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color w:val="auto"/>
          <w:sz w:val="24"/>
        </w:rPr>
      </w:pPr>
      <w:r>
        <w:rPr>
          <w:rFonts w:hint="eastAsia" w:ascii="宋体" w:hAnsi="宋体" w:cs="宋体"/>
          <w:b/>
          <w:bCs/>
          <w:color w:val="auto"/>
          <w:kern w:val="0"/>
          <w:sz w:val="36"/>
          <w:szCs w:val="36"/>
        </w:rPr>
        <w:t>安庆大南门特色文化街地下一体化雨水提升泵站土建工程工程量清单、最高投标限价编制补疑</w:t>
      </w:r>
    </w:p>
    <w:p>
      <w:pPr>
        <w:spacing w:line="600" w:lineRule="exact"/>
        <w:rPr>
          <w:rFonts w:hint="eastAsia" w:ascii="仿宋" w:hAnsi="仿宋" w:eastAsia="仿宋" w:cs="仿宋"/>
          <w:color w:val="auto"/>
          <w:sz w:val="24"/>
          <w:szCs w:val="24"/>
        </w:rPr>
      </w:pPr>
      <w:r>
        <w:rPr>
          <w:rFonts w:hint="eastAsia" w:ascii="仿宋" w:hAnsi="仿宋" w:eastAsia="仿宋" w:cs="仿宋"/>
          <w:color w:val="auto"/>
          <w:sz w:val="24"/>
          <w:szCs w:val="24"/>
        </w:rPr>
        <w:t>各投标人：</w:t>
      </w:r>
    </w:p>
    <w:p>
      <w:pPr>
        <w:spacing w:line="600" w:lineRule="exact"/>
        <w:ind w:firstLine="482" w:firstLineChars="200"/>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重要提示</w:t>
      </w:r>
    </w:p>
    <w:p>
      <w:pPr>
        <w:numPr>
          <w:ilvl w:val="0"/>
          <w:numId w:val="0"/>
        </w:numPr>
        <w:spacing w:line="600" w:lineRule="exact"/>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1、</w:t>
      </w:r>
      <w:r>
        <w:rPr>
          <w:rFonts w:hint="eastAsia" w:ascii="仿宋" w:hAnsi="仿宋" w:eastAsia="仿宋" w:cs="仿宋"/>
          <w:b/>
          <w:color w:val="auto"/>
          <w:sz w:val="24"/>
          <w:szCs w:val="24"/>
        </w:rPr>
        <w:t>本工程取费按“</w:t>
      </w:r>
      <w:r>
        <w:rPr>
          <w:rFonts w:hint="eastAsia" w:ascii="仿宋" w:hAnsi="仿宋" w:eastAsia="仿宋" w:cs="仿宋"/>
          <w:b/>
          <w:color w:val="auto"/>
          <w:sz w:val="24"/>
          <w:szCs w:val="24"/>
          <w:u w:val="single"/>
          <w:lang w:val="en-US" w:eastAsia="zh-CN"/>
        </w:rPr>
        <w:t xml:space="preserve">市政 </w:t>
      </w:r>
      <w:r>
        <w:rPr>
          <w:rFonts w:hint="eastAsia" w:ascii="仿宋" w:hAnsi="仿宋" w:eastAsia="仿宋" w:cs="仿宋"/>
          <w:b/>
          <w:color w:val="auto"/>
          <w:sz w:val="24"/>
          <w:szCs w:val="24"/>
        </w:rPr>
        <w:t>工程取费标准”中“</w:t>
      </w:r>
      <w:r>
        <w:rPr>
          <w:rFonts w:hint="eastAsia" w:ascii="仿宋" w:hAnsi="仿宋" w:eastAsia="仿宋" w:cs="仿宋"/>
          <w:b/>
          <w:color w:val="auto"/>
          <w:sz w:val="24"/>
          <w:szCs w:val="24"/>
          <w:u w:val="single"/>
          <w:lang w:val="en-US" w:eastAsia="zh-CN"/>
        </w:rPr>
        <w:t>道路、排水、桥涵工程</w:t>
      </w:r>
      <w:r>
        <w:rPr>
          <w:rFonts w:hint="eastAsia" w:ascii="仿宋" w:hAnsi="仿宋" w:eastAsia="仿宋" w:cs="仿宋"/>
          <w:b/>
          <w:color w:val="auto"/>
          <w:sz w:val="24"/>
          <w:szCs w:val="24"/>
        </w:rPr>
        <w:t>”的费率</w:t>
      </w:r>
      <w:r>
        <w:rPr>
          <w:rFonts w:hint="eastAsia" w:ascii="仿宋" w:hAnsi="仿宋" w:eastAsia="仿宋" w:cs="仿宋"/>
          <w:b/>
          <w:color w:val="auto"/>
          <w:sz w:val="24"/>
          <w:szCs w:val="24"/>
          <w:highlight w:val="none"/>
        </w:rPr>
        <w:t>计取；其中房屋建筑、市政工程中挖或填土石方量大于5000m</w:t>
      </w:r>
      <w:r>
        <w:rPr>
          <w:rFonts w:hint="eastAsia" w:ascii="仿宋" w:hAnsi="仿宋" w:eastAsia="仿宋" w:cs="仿宋"/>
          <w:b/>
          <w:color w:val="auto"/>
          <w:sz w:val="24"/>
          <w:szCs w:val="24"/>
          <w:highlight w:val="none"/>
          <w:vertAlign w:val="superscript"/>
        </w:rPr>
        <w:t>3</w:t>
      </w:r>
      <w:r>
        <w:rPr>
          <w:rFonts w:hint="eastAsia" w:ascii="仿宋" w:hAnsi="仿宋" w:eastAsia="仿宋" w:cs="仿宋"/>
          <w:b/>
          <w:color w:val="auto"/>
          <w:sz w:val="24"/>
          <w:szCs w:val="24"/>
          <w:highlight w:val="none"/>
        </w:rPr>
        <w:t>的大型土石方工程，其企业管理费率8%、利润率8%，措施项目费率和不可竞争费率按房屋建筑工程相应费率乘0.6系数。</w:t>
      </w:r>
      <w:bookmarkStart w:id="0" w:name="_GoBack"/>
      <w:bookmarkEnd w:id="0"/>
    </w:p>
    <w:p>
      <w:pPr>
        <w:spacing w:line="600" w:lineRule="exact"/>
        <w:rPr>
          <w:rFonts w:hint="eastAsia" w:ascii="仿宋" w:hAnsi="仿宋" w:eastAsia="仿宋" w:cs="仿宋"/>
          <w:color w:val="auto"/>
          <w:sz w:val="24"/>
          <w:szCs w:val="24"/>
        </w:rPr>
      </w:pPr>
      <w:r>
        <w:rPr>
          <w:rFonts w:hint="eastAsia" w:ascii="仿宋" w:hAnsi="仿宋" w:eastAsia="仿宋" w:cs="仿宋"/>
          <w:color w:val="auto"/>
          <w:sz w:val="24"/>
          <w:szCs w:val="24"/>
        </w:rPr>
        <w:t>按业主要求，现对本项目招标工程量清单、最高投标限价编制作出如下补充：</w:t>
      </w:r>
    </w:p>
    <w:p>
      <w:pPr>
        <w:spacing w:line="600" w:lineRule="exact"/>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第一部分：招标需求</w:t>
      </w:r>
    </w:p>
    <w:p>
      <w:pPr>
        <w:spacing w:line="600" w:lineRule="exact"/>
        <w:rPr>
          <w:rFonts w:hint="eastAsia" w:ascii="仿宋" w:hAnsi="仿宋" w:eastAsia="仿宋" w:cs="仿宋"/>
          <w:b/>
          <w:color w:val="auto"/>
          <w:sz w:val="24"/>
          <w:szCs w:val="24"/>
        </w:rPr>
      </w:pPr>
      <w:r>
        <w:rPr>
          <w:rFonts w:hint="eastAsia" w:ascii="仿宋" w:hAnsi="仿宋" w:eastAsia="仿宋" w:cs="仿宋"/>
          <w:b/>
          <w:color w:val="auto"/>
          <w:sz w:val="24"/>
          <w:szCs w:val="24"/>
        </w:rPr>
        <w:t>一、招标范围：</w:t>
      </w:r>
    </w:p>
    <w:p>
      <w:pPr>
        <w:spacing w:line="600" w:lineRule="exac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    本项目分为1个标段，位于安徽</w:t>
      </w:r>
      <w:r>
        <w:rPr>
          <w:rFonts w:hint="eastAsia" w:ascii="仿宋" w:hAnsi="仿宋" w:eastAsia="仿宋" w:cs="仿宋"/>
          <w:b w:val="0"/>
          <w:bCs w:val="0"/>
          <w:color w:val="auto"/>
          <w:sz w:val="24"/>
          <w:szCs w:val="24"/>
          <w:highlight w:val="none"/>
          <w:lang w:val="en-US" w:eastAsia="zh-CN"/>
        </w:rPr>
        <w:t>安庆市</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主要为泵站工程，</w:t>
      </w:r>
      <w:r>
        <w:rPr>
          <w:rFonts w:hint="eastAsia" w:ascii="仿宋" w:hAnsi="仿宋" w:eastAsia="仿宋" w:cs="仿宋"/>
          <w:b w:val="0"/>
          <w:bCs w:val="0"/>
          <w:color w:val="auto"/>
          <w:sz w:val="24"/>
          <w:szCs w:val="24"/>
          <w:highlight w:val="none"/>
        </w:rPr>
        <w:t>包括</w:t>
      </w:r>
      <w:r>
        <w:rPr>
          <w:rFonts w:hint="eastAsia" w:ascii="仿宋" w:hAnsi="仿宋" w:eastAsia="仿宋" w:cs="仿宋"/>
          <w:b w:val="0"/>
          <w:bCs w:val="0"/>
          <w:color w:val="auto"/>
          <w:sz w:val="24"/>
          <w:szCs w:val="24"/>
          <w:highlight w:val="none"/>
          <w:lang w:val="en-US" w:eastAsia="zh-CN"/>
        </w:rPr>
        <w:t>土方工程、阀门井、箱涵及配套设备安装等</w:t>
      </w:r>
      <w:r>
        <w:rPr>
          <w:rFonts w:hint="eastAsia" w:ascii="仿宋" w:hAnsi="仿宋" w:eastAsia="仿宋" w:cs="仿宋"/>
          <w:b w:val="0"/>
          <w:bCs w:val="0"/>
          <w:color w:val="auto"/>
          <w:sz w:val="24"/>
          <w:szCs w:val="24"/>
          <w:highlight w:val="none"/>
        </w:rPr>
        <w:t>内容。除特殊说明外，图纸设计范围内的所有内容，均按图计入。</w:t>
      </w:r>
    </w:p>
    <w:p>
      <w:pPr>
        <w:numPr>
          <w:ilvl w:val="0"/>
          <w:numId w:val="1"/>
        </w:numPr>
        <w:spacing w:line="600" w:lineRule="exac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土建</w:t>
      </w:r>
      <w:r>
        <w:rPr>
          <w:rFonts w:hint="eastAsia" w:ascii="仿宋" w:hAnsi="仿宋" w:eastAsia="仿宋" w:cs="仿宋"/>
          <w:b w:val="0"/>
          <w:bCs w:val="0"/>
          <w:color w:val="auto"/>
          <w:sz w:val="24"/>
          <w:szCs w:val="24"/>
          <w:highlight w:val="none"/>
        </w:rPr>
        <w:t>工程</w:t>
      </w:r>
    </w:p>
    <w:p>
      <w:pPr>
        <w:numPr>
          <w:ilvl w:val="0"/>
          <w:numId w:val="0"/>
        </w:numPr>
        <w:spacing w:line="600" w:lineRule="exact"/>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图纸范围内，按图计入</w:t>
      </w:r>
    </w:p>
    <w:p>
      <w:pPr>
        <w:numPr>
          <w:ilvl w:val="0"/>
          <w:numId w:val="0"/>
        </w:numPr>
        <w:spacing w:line="600" w:lineRule="exac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二</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 xml:space="preserve">安装工程： </w:t>
      </w:r>
    </w:p>
    <w:p>
      <w:pPr>
        <w:numPr>
          <w:ilvl w:val="0"/>
          <w:numId w:val="0"/>
        </w:numPr>
        <w:spacing w:line="600" w:lineRule="exact"/>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一体化泵站及阀门井的接地、柔性防水套管预留预埋、一体化控制柜进、出线电源配管、基础（土建中）及一体化控制柜进线电缆：</w:t>
      </w:r>
    </w:p>
    <w:p>
      <w:pPr>
        <w:numPr>
          <w:ilvl w:val="0"/>
          <w:numId w:val="0"/>
        </w:numPr>
        <w:spacing w:line="600" w:lineRule="exact"/>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三</w:t>
      </w:r>
      <w:r>
        <w:rPr>
          <w:rFonts w:hint="eastAsia" w:ascii="仿宋" w:hAnsi="仿宋" w:eastAsia="仿宋" w:cs="仿宋"/>
          <w:b w:val="0"/>
          <w:bCs w:val="0"/>
          <w:color w:val="auto"/>
          <w:sz w:val="24"/>
          <w:szCs w:val="24"/>
          <w:highlight w:val="none"/>
        </w:rPr>
        <w:t>）补充说明：</w:t>
      </w:r>
    </w:p>
    <w:p>
      <w:pPr>
        <w:keepNext w:val="0"/>
        <w:keepLines w:val="0"/>
        <w:pageBreakBefore w:val="0"/>
        <w:kinsoku/>
        <w:wordWrap/>
        <w:overflowPunct/>
        <w:topLinePunct w:val="0"/>
        <w:autoSpaceDE/>
        <w:autoSpaceDN/>
        <w:bidi w:val="0"/>
        <w:spacing w:line="600" w:lineRule="exact"/>
        <w:ind w:firstLine="480" w:firstLineChars="200"/>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图纸上已设计，但不计入本次招标范围的有：</w:t>
      </w:r>
      <w:r>
        <w:rPr>
          <w:rFonts w:hint="eastAsia" w:ascii="仿宋" w:hAnsi="仿宋" w:eastAsia="仿宋" w:cs="仿宋"/>
          <w:b w:val="0"/>
          <w:bCs w:val="0"/>
          <w:color w:val="auto"/>
          <w:sz w:val="24"/>
          <w:szCs w:val="24"/>
          <w:highlight w:val="none"/>
          <w:lang w:val="en-US" w:eastAsia="zh-CN"/>
        </w:rPr>
        <w:t>一体化泵，监控系统。</w:t>
      </w:r>
    </w:p>
    <w:p>
      <w:pPr>
        <w:spacing w:line="600" w:lineRule="exac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二、暂定项目：</w:t>
      </w:r>
    </w:p>
    <w:p>
      <w:pPr>
        <w:spacing w:line="600" w:lineRule="exac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（一）以下项目按照业主要求，以</w:t>
      </w:r>
      <w:r>
        <w:rPr>
          <w:rFonts w:hint="eastAsia" w:ascii="仿宋" w:hAnsi="仿宋" w:eastAsia="仿宋" w:cs="仿宋"/>
          <w:b w:val="0"/>
          <w:bCs w:val="0"/>
          <w:color w:val="auto"/>
          <w:sz w:val="24"/>
          <w:szCs w:val="24"/>
          <w:highlight w:val="none"/>
          <w:u w:val="single"/>
        </w:rPr>
        <w:t>暂定工程量计入分部分项工程量清单</w:t>
      </w:r>
      <w:r>
        <w:rPr>
          <w:rFonts w:hint="eastAsia" w:ascii="仿宋" w:hAnsi="仿宋" w:eastAsia="仿宋" w:cs="仿宋"/>
          <w:b w:val="0"/>
          <w:bCs w:val="0"/>
          <w:color w:val="auto"/>
          <w:sz w:val="24"/>
          <w:szCs w:val="24"/>
          <w:highlight w:val="none"/>
        </w:rPr>
        <w:t>，投标人综合考虑报价，标后按实际工程量结算。</w:t>
      </w:r>
      <w:r>
        <w:rPr>
          <w:rFonts w:hint="eastAsia" w:ascii="仿宋" w:hAnsi="仿宋" w:eastAsia="仿宋" w:cs="仿宋"/>
          <w:b w:val="0"/>
          <w:bCs w:val="0"/>
          <w:color w:val="auto"/>
          <w:sz w:val="24"/>
          <w:szCs w:val="24"/>
          <w:highlight w:val="none"/>
          <w:lang w:val="en-US" w:eastAsia="zh-CN"/>
        </w:rPr>
        <w:t>无</w:t>
      </w:r>
    </w:p>
    <w:p>
      <w:pPr>
        <w:spacing w:line="600" w:lineRule="exact"/>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（二）按照业主要求，暂列金额为</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6.00  </w:t>
      </w:r>
      <w:r>
        <w:rPr>
          <w:rFonts w:hint="eastAsia" w:ascii="仿宋" w:hAnsi="仿宋" w:eastAsia="仿宋" w:cs="仿宋"/>
          <w:b w:val="0"/>
          <w:bCs w:val="0"/>
          <w:color w:val="auto"/>
          <w:sz w:val="24"/>
          <w:szCs w:val="24"/>
          <w:highlight w:val="none"/>
        </w:rPr>
        <w:t>万元</w:t>
      </w:r>
      <w:r>
        <w:rPr>
          <w:rFonts w:hint="eastAsia" w:ascii="仿宋" w:hAnsi="仿宋" w:eastAsia="仿宋" w:cs="仿宋"/>
          <w:b w:val="0"/>
          <w:bCs w:val="0"/>
          <w:color w:val="auto"/>
          <w:sz w:val="24"/>
          <w:szCs w:val="24"/>
          <w:highlight w:val="none"/>
          <w:lang w:eastAsia="zh-CN"/>
        </w:rPr>
        <w:t>。</w:t>
      </w:r>
    </w:p>
    <w:p>
      <w:pPr>
        <w:spacing w:line="600" w:lineRule="exact"/>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（三）执行暂估价的材料、设备、专业工程及其金额如下：</w:t>
      </w:r>
      <w:r>
        <w:rPr>
          <w:rFonts w:hint="eastAsia" w:ascii="仿宋" w:hAnsi="仿宋" w:eastAsia="仿宋" w:cs="仿宋"/>
          <w:b w:val="0"/>
          <w:bCs w:val="0"/>
          <w:color w:val="auto"/>
          <w:sz w:val="24"/>
          <w:szCs w:val="24"/>
          <w:highlight w:val="none"/>
          <w:lang w:val="en-US" w:eastAsia="zh-CN"/>
        </w:rPr>
        <w:t>无</w:t>
      </w:r>
    </w:p>
    <w:p>
      <w:pPr>
        <w:spacing w:line="600" w:lineRule="exac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三、按项列入清单的内容，标后不予调整：</w:t>
      </w:r>
    </w:p>
    <w:p>
      <w:pPr>
        <w:spacing w:line="600" w:lineRule="exact"/>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b w:val="0"/>
          <w:bCs w:val="0"/>
          <w:color w:val="auto"/>
          <w:sz w:val="24"/>
          <w:szCs w:val="24"/>
          <w:highlight w:val="none"/>
        </w:rPr>
        <w:t>以下项目按照业主要求，按项计入，投标人自行踏勘现场，综合考虑报价，中标后不予调整。</w:t>
      </w:r>
      <w:r>
        <w:rPr>
          <w:rFonts w:hint="eastAsia" w:ascii="仿宋" w:hAnsi="仿宋" w:eastAsia="仿宋" w:cs="仿宋"/>
          <w:b w:val="0"/>
          <w:bCs w:val="0"/>
          <w:color w:val="auto"/>
          <w:sz w:val="24"/>
          <w:szCs w:val="24"/>
          <w:highlight w:val="none"/>
          <w:lang w:val="en-US" w:eastAsia="zh-CN"/>
        </w:rPr>
        <w:t xml:space="preserve"> 无</w:t>
      </w:r>
    </w:p>
    <w:p>
      <w:pPr>
        <w:spacing w:line="600" w:lineRule="exac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四、补充图纸及修改图纸的说明：</w:t>
      </w:r>
    </w:p>
    <w:p>
      <w:pPr>
        <w:spacing w:line="600" w:lineRule="exac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本工程在第一次发放图纸后，</w:t>
      </w:r>
      <w:r>
        <w:rPr>
          <w:rFonts w:hint="eastAsia" w:ascii="仿宋" w:hAnsi="仿宋" w:eastAsia="仿宋" w:cs="仿宋"/>
          <w:b w:val="0"/>
          <w:bCs w:val="0"/>
          <w:color w:val="auto"/>
          <w:sz w:val="24"/>
          <w:szCs w:val="24"/>
          <w:highlight w:val="none"/>
          <w:lang w:eastAsia="zh-CN"/>
        </w:rPr>
        <w:t>无</w:t>
      </w:r>
      <w:r>
        <w:rPr>
          <w:rFonts w:hint="eastAsia" w:ascii="仿宋" w:hAnsi="仿宋" w:eastAsia="仿宋" w:cs="仿宋"/>
          <w:b w:val="0"/>
          <w:bCs w:val="0"/>
          <w:color w:val="auto"/>
          <w:sz w:val="24"/>
          <w:szCs w:val="24"/>
          <w:highlight w:val="none"/>
        </w:rPr>
        <w:t>补充图纸，具体详见图纸目录。</w:t>
      </w:r>
    </w:p>
    <w:p>
      <w:pPr>
        <w:spacing w:line="600" w:lineRule="exac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五、总承包服务费：</w:t>
      </w:r>
    </w:p>
    <w:p>
      <w:pPr>
        <w:spacing w:line="360" w:lineRule="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详见招标文件。</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无</w:t>
      </w:r>
      <w:r>
        <w:rPr>
          <w:rFonts w:hint="eastAsia" w:ascii="仿宋" w:hAnsi="仿宋" w:eastAsia="仿宋" w:cs="仿宋"/>
          <w:b w:val="0"/>
          <w:bCs w:val="0"/>
          <w:color w:val="auto"/>
          <w:sz w:val="24"/>
          <w:szCs w:val="24"/>
          <w:highlight w:val="none"/>
          <w:lang w:eastAsia="zh-CN"/>
        </w:rPr>
        <w:t>）</w:t>
      </w:r>
    </w:p>
    <w:p>
      <w:pPr>
        <w:spacing w:line="600" w:lineRule="exac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六、温馨提示：投标人投标报价还须仔细阅读本项目招标文件，慎重报价。</w:t>
      </w:r>
    </w:p>
    <w:p>
      <w:pPr>
        <w:spacing w:line="600" w:lineRule="exact"/>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施工水电接引及报装：包含为满足现场施工所必须的水电管路</w:t>
      </w:r>
      <w:r>
        <w:rPr>
          <w:rFonts w:hint="eastAsia" w:ascii="仿宋" w:hAnsi="仿宋" w:eastAsia="仿宋" w:cs="仿宋"/>
          <w:b w:val="0"/>
          <w:bCs w:val="0"/>
          <w:color w:val="auto"/>
          <w:sz w:val="24"/>
          <w:szCs w:val="24"/>
          <w:highlight w:val="none"/>
          <w:lang w:val="en-US" w:eastAsia="zh-CN"/>
        </w:rPr>
        <w:t>接驳、</w:t>
      </w:r>
      <w:r>
        <w:rPr>
          <w:rFonts w:hint="eastAsia" w:ascii="仿宋" w:hAnsi="仿宋" w:eastAsia="仿宋" w:cs="仿宋"/>
          <w:b w:val="0"/>
          <w:bCs w:val="0"/>
          <w:color w:val="auto"/>
          <w:sz w:val="24"/>
          <w:szCs w:val="24"/>
          <w:highlight w:val="none"/>
        </w:rPr>
        <w:t>铺设、设备材料、临时用电许可手续、可能发生的线路增容、绿化移植等所产生的一切费用、相关单位的协调费用以及完工后的拆除恢复费用，清单控制价不单独列项，投标人根据设计图纸并结合现场踏勘情况在投标报价中综合考虑，中标后不得因此提出任何形式的费用增加，中标人须按照图纸要求及相关规范完成上述工作内容并确保验收移交。</w:t>
      </w:r>
    </w:p>
    <w:p>
      <w:pPr>
        <w:spacing w:line="600" w:lineRule="exact"/>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中标人自行考虑材料堆场、建筑垃圾堆场、加工区、办公区、生活区等临时设施位置，同时必须采取必要的防火、安全用电、扬程防治、排污措施，中标人不得在施工区搭设办公区、生活区，清单控制价不再单独列费用，投标人在投标报价中综合考虑，费用含在投标报价中，中标后不予调整。若中标人租用的场地列入上市计划，中标人无条件拆除地块建筑物以及相关材料的二次搬运由中标人自行承担，清单控制价不再单独列费用，投标人在投标报价中综合考虑，费用含在投标报价中，中标后不再调整。</w:t>
      </w:r>
    </w:p>
    <w:p>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土建部分</w:t>
      </w:r>
      <w:r>
        <w:rPr>
          <w:rFonts w:hint="eastAsia" w:ascii="仿宋" w:hAnsi="仿宋" w:eastAsia="仿宋" w:cs="仿宋"/>
          <w:b/>
          <w:bCs/>
          <w:color w:val="auto"/>
          <w:sz w:val="24"/>
          <w:szCs w:val="24"/>
          <w:highlight w:val="none"/>
        </w:rPr>
        <w:t>：</w:t>
      </w:r>
    </w:p>
    <w:p>
      <w:pPr>
        <w:numPr>
          <w:ilvl w:val="0"/>
          <w:numId w:val="2"/>
        </w:num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拆除建筑垃圾是否考虑外弃，若考虑，运距请明确。</w:t>
      </w:r>
    </w:p>
    <w:p>
      <w:pPr>
        <w:pStyle w:val="3"/>
        <w:ind w:left="0" w:leftChars="0"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回复：考虑外弃，实际运距、渣土费、弃土场等投标人需现场勘察后在投标报价中综合考虑，中标后不予调整，清单按照20km计取。</w:t>
      </w:r>
    </w:p>
    <w:p>
      <w:pPr>
        <w:pStyle w:val="3"/>
        <w:numPr>
          <w:ilvl w:val="0"/>
          <w:numId w:val="2"/>
        </w:numPr>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箱涵长度是否按照图纸给定工程量计入，请明确。</w:t>
      </w:r>
    </w:p>
    <w:p>
      <w:pPr>
        <w:pStyle w:val="3"/>
        <w:numPr>
          <w:ilvl w:val="0"/>
          <w:numId w:val="0"/>
        </w:numPr>
        <w:ind w:left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回复：拆除长度按照图纸给定工程量，新建箱涵边界见下图</w:t>
      </w:r>
    </w:p>
    <w:p>
      <w:pPr>
        <w:pStyle w:val="3"/>
        <w:numPr>
          <w:ilvl w:val="0"/>
          <w:numId w:val="0"/>
        </w:numPr>
        <w:ind w:leftChars="0"/>
        <w:rPr>
          <w:rFonts w:hint="default" w:ascii="仿宋" w:hAnsi="仿宋" w:eastAsia="仿宋" w:cs="仿宋"/>
          <w:color w:val="auto"/>
          <w:sz w:val="24"/>
          <w:szCs w:val="24"/>
          <w:highlight w:val="none"/>
          <w:lang w:val="en-US" w:eastAsia="zh-CN"/>
        </w:rPr>
      </w:pPr>
      <w:r>
        <w:drawing>
          <wp:inline distT="0" distB="0" distL="114300" distR="114300">
            <wp:extent cx="5266055" cy="3474720"/>
            <wp:effectExtent l="0" t="0" r="6985"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4"/>
                    <a:stretch>
                      <a:fillRect/>
                    </a:stretch>
                  </pic:blipFill>
                  <pic:spPr>
                    <a:xfrm>
                      <a:off x="0" y="0"/>
                      <a:ext cx="5266055" cy="3474720"/>
                    </a:xfrm>
                    <a:prstGeom prst="rect">
                      <a:avLst/>
                    </a:prstGeom>
                    <a:noFill/>
                    <a:ln>
                      <a:noFill/>
                    </a:ln>
                  </pic:spPr>
                </pic:pic>
              </a:graphicData>
            </a:graphic>
          </wp:inline>
        </w:drawing>
      </w:r>
    </w:p>
    <w:p>
      <w:pPr>
        <w:pStyle w:val="3"/>
        <w:numPr>
          <w:ilvl w:val="0"/>
          <w:numId w:val="2"/>
        </w:numPr>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基础土方开挖深度如何考虑，构筑物顶板标高及现场原状地面标高多少，是否需要基坑支护，请明确。</w:t>
      </w:r>
    </w:p>
    <w:p>
      <w:pPr>
        <w:pStyle w:val="3"/>
        <w:numPr>
          <w:ilvl w:val="0"/>
          <w:numId w:val="0"/>
        </w:numPr>
        <w:ind w:left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回复：默认构筑物顶标高为室外正负零标高，挖深按照基础与顶板相对标高考虑挖深，另本工程开挖施工支护采用钢板桩(SPV-IV-400X170 X15-9m)支护,支护周长暂定50米，支护时间按照1个月计取。</w:t>
      </w:r>
    </w:p>
    <w:p>
      <w:pPr>
        <w:pStyle w:val="3"/>
        <w:numPr>
          <w:ilvl w:val="0"/>
          <w:numId w:val="2"/>
        </w:numPr>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如下图筏板下是否设置垫层，若设置垫层做法，请明确。</w:t>
      </w:r>
    </w:p>
    <w:p>
      <w:pPr>
        <w:pStyle w:val="3"/>
        <w:numPr>
          <w:ilvl w:val="0"/>
          <w:numId w:val="0"/>
        </w:numPr>
        <w:ind w:leftChars="0"/>
        <w:rPr>
          <w:rFonts w:hint="eastAsia" w:ascii="仿宋" w:hAnsi="仿宋" w:eastAsia="仿宋" w:cs="仿宋"/>
          <w:color w:val="auto"/>
          <w:sz w:val="24"/>
          <w:szCs w:val="24"/>
          <w:highlight w:val="none"/>
          <w:lang w:val="en-US" w:eastAsia="zh-CN"/>
        </w:rPr>
      </w:pPr>
      <w:r>
        <w:drawing>
          <wp:inline distT="0" distB="0" distL="114300" distR="114300">
            <wp:extent cx="5271770" cy="948055"/>
            <wp:effectExtent l="0" t="0" r="508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5271770" cy="948055"/>
                    </a:xfrm>
                    <a:prstGeom prst="rect">
                      <a:avLst/>
                    </a:prstGeom>
                    <a:noFill/>
                    <a:ln>
                      <a:noFill/>
                    </a:ln>
                  </pic:spPr>
                </pic:pic>
              </a:graphicData>
            </a:graphic>
          </wp:inline>
        </w:drawing>
      </w:r>
      <w:r>
        <w:drawing>
          <wp:inline distT="0" distB="0" distL="114300" distR="114300">
            <wp:extent cx="4076700" cy="1323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076700" cy="1323975"/>
                    </a:xfrm>
                    <a:prstGeom prst="rect">
                      <a:avLst/>
                    </a:prstGeom>
                    <a:noFill/>
                    <a:ln>
                      <a:noFill/>
                    </a:ln>
                  </pic:spPr>
                </pic:pic>
              </a:graphicData>
            </a:graphic>
          </wp:inline>
        </w:drawing>
      </w:r>
    </w:p>
    <w:p>
      <w:pPr>
        <w:pStyle w:val="3"/>
        <w:numPr>
          <w:ilvl w:val="0"/>
          <w:numId w:val="0"/>
        </w:numPr>
        <w:ind w:left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回复：100mmC20素砼，每边宽出筏板100mm。</w:t>
      </w:r>
    </w:p>
    <w:p>
      <w:pPr>
        <w:pStyle w:val="3"/>
        <w:numPr>
          <w:ilvl w:val="0"/>
          <w:numId w:val="2"/>
        </w:numPr>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箱涵及阀门井基坑回填材质，请明确。</w:t>
      </w:r>
    </w:p>
    <w:p>
      <w:pPr>
        <w:pStyle w:val="3"/>
        <w:numPr>
          <w:ilvl w:val="0"/>
          <w:numId w:val="0"/>
        </w:numPr>
        <w:ind w:leftChars="0"/>
      </w:pPr>
      <w:r>
        <w:drawing>
          <wp:inline distT="0" distB="0" distL="114300" distR="114300">
            <wp:extent cx="4191000" cy="5810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4191000" cy="581025"/>
                    </a:xfrm>
                    <a:prstGeom prst="rect">
                      <a:avLst/>
                    </a:prstGeom>
                    <a:noFill/>
                    <a:ln>
                      <a:noFill/>
                    </a:ln>
                  </pic:spPr>
                </pic:pic>
              </a:graphicData>
            </a:graphic>
          </wp:inline>
        </w:drawing>
      </w:r>
    </w:p>
    <w:p>
      <w:pPr>
        <w:pStyle w:val="3"/>
        <w:numPr>
          <w:ilvl w:val="0"/>
          <w:numId w:val="0"/>
        </w:numPr>
        <w:ind w:leftChars="0"/>
        <w:rPr>
          <w:rFonts w:hint="eastAsia"/>
          <w:lang w:val="en-US" w:eastAsia="zh-CN"/>
        </w:rPr>
      </w:pPr>
      <w:r>
        <w:drawing>
          <wp:inline distT="0" distB="0" distL="114300" distR="114300">
            <wp:extent cx="3390900" cy="7524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3390900" cy="752475"/>
                    </a:xfrm>
                    <a:prstGeom prst="rect">
                      <a:avLst/>
                    </a:prstGeom>
                    <a:noFill/>
                    <a:ln>
                      <a:noFill/>
                    </a:ln>
                  </pic:spPr>
                </pic:pic>
              </a:graphicData>
            </a:graphic>
          </wp:inline>
        </w:drawing>
      </w:r>
    </w:p>
    <w:p>
      <w:pPr>
        <w:pStyle w:val="3"/>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回复：箱涵采用5%水泥土回填，阀门井采用30%碎石土回填，夯填。</w:t>
      </w:r>
    </w:p>
    <w:p>
      <w:pPr>
        <w:numPr>
          <w:ilvl w:val="0"/>
          <w:numId w:val="2"/>
        </w:numP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一体化泵基坑回填材质做法，请明确。</w:t>
      </w:r>
    </w:p>
    <w:p>
      <w:pPr>
        <w:pStyle w:val="2"/>
        <w:rPr>
          <w:rFonts w:hint="default"/>
          <w:lang w:val="en-US" w:eastAsia="zh-CN"/>
        </w:rPr>
      </w:pPr>
      <w:r>
        <w:rPr>
          <w:rFonts w:hint="eastAsia" w:ascii="仿宋" w:hAnsi="仿宋" w:eastAsia="仿宋" w:cs="仿宋"/>
          <w:color w:val="auto"/>
          <w:sz w:val="24"/>
          <w:szCs w:val="24"/>
          <w:highlight w:val="none"/>
          <w:lang w:val="en-US" w:eastAsia="zh-CN"/>
        </w:rPr>
        <w:t>回复：素土回填。</w:t>
      </w:r>
    </w:p>
    <w:p>
      <w:pPr>
        <w:numPr>
          <w:ilvl w:val="0"/>
          <w:numId w:val="2"/>
        </w:numP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如图箭头所示，混凝土强度请明确。</w:t>
      </w:r>
    </w:p>
    <w:p>
      <w:pPr>
        <w:pStyle w:val="2"/>
      </w:pPr>
      <w:r>
        <w:drawing>
          <wp:inline distT="0" distB="0" distL="114300" distR="114300">
            <wp:extent cx="5266690" cy="1195070"/>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266690" cy="1195070"/>
                    </a:xfrm>
                    <a:prstGeom prst="rect">
                      <a:avLst/>
                    </a:prstGeom>
                    <a:noFill/>
                    <a:ln>
                      <a:noFill/>
                    </a:ln>
                  </pic:spPr>
                </pic:pic>
              </a:graphicData>
            </a:graphic>
          </wp:inline>
        </w:drawing>
      </w:r>
    </w:p>
    <w:p>
      <w:pPr>
        <w:numPr>
          <w:ilvl w:val="0"/>
          <w:numId w:val="0"/>
        </w:numP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回复：不在本次招标范围，本次仅计设备基础。</w:t>
      </w:r>
    </w:p>
    <w:p>
      <w:pPr>
        <w:numPr>
          <w:ilvl w:val="0"/>
          <w:numId w:val="2"/>
        </w:numP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如下图拍门井筏板下筏板厚度做法，请明确</w:t>
      </w:r>
    </w:p>
    <w:p>
      <w:pPr>
        <w:numPr>
          <w:ilvl w:val="0"/>
          <w:numId w:val="0"/>
        </w:numPr>
        <w:rPr>
          <w:rFonts w:hint="default" w:ascii="仿宋" w:hAnsi="仿宋" w:eastAsia="仿宋" w:cs="仿宋"/>
          <w:color w:val="auto"/>
          <w:sz w:val="24"/>
          <w:szCs w:val="24"/>
          <w:highlight w:val="none"/>
          <w:lang w:val="en-US" w:eastAsia="zh-CN"/>
        </w:rPr>
      </w:pPr>
      <w:r>
        <w:drawing>
          <wp:inline distT="0" distB="0" distL="114300" distR="114300">
            <wp:extent cx="5269230" cy="2086610"/>
            <wp:effectExtent l="0" t="0" r="762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269230" cy="2086610"/>
                    </a:xfrm>
                    <a:prstGeom prst="rect">
                      <a:avLst/>
                    </a:prstGeom>
                    <a:noFill/>
                    <a:ln>
                      <a:noFill/>
                    </a:ln>
                  </pic:spPr>
                </pic:pic>
              </a:graphicData>
            </a:graphic>
          </wp:inline>
        </w:drawing>
      </w:r>
      <w:r>
        <w:drawing>
          <wp:inline distT="0" distB="0" distL="114300" distR="114300">
            <wp:extent cx="4657725" cy="15335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4657725" cy="1533525"/>
                    </a:xfrm>
                    <a:prstGeom prst="rect">
                      <a:avLst/>
                    </a:prstGeom>
                    <a:noFill/>
                    <a:ln>
                      <a:noFill/>
                    </a:ln>
                  </pic:spPr>
                </pic:pic>
              </a:graphicData>
            </a:graphic>
          </wp:inline>
        </w:drawing>
      </w:r>
    </w:p>
    <w:p>
      <w:pPr>
        <w:pStyle w:val="3"/>
        <w:numPr>
          <w:ilvl w:val="0"/>
          <w:numId w:val="0"/>
        </w:numPr>
        <w:ind w:left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回复：350厚</w:t>
      </w:r>
    </w:p>
    <w:p>
      <w:pPr>
        <w:numPr>
          <w:ilvl w:val="0"/>
          <w:numId w:val="2"/>
        </w:num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如下图阀门井内装闸槽柱、梁等结构强度做法，请明确</w:t>
      </w:r>
    </w:p>
    <w:p>
      <w:pPr>
        <w:pStyle w:val="3"/>
        <w:numPr>
          <w:ilvl w:val="0"/>
          <w:numId w:val="0"/>
        </w:numPr>
        <w:ind w:leftChars="0"/>
        <w:rPr>
          <w:rFonts w:hint="default" w:ascii="仿宋" w:hAnsi="仿宋" w:eastAsia="仿宋" w:cs="仿宋"/>
          <w:color w:val="auto"/>
          <w:sz w:val="24"/>
          <w:szCs w:val="24"/>
          <w:highlight w:val="none"/>
          <w:lang w:val="en-US" w:eastAsia="zh-CN"/>
        </w:rPr>
      </w:pPr>
      <w:r>
        <w:drawing>
          <wp:inline distT="0" distB="0" distL="114300" distR="114300">
            <wp:extent cx="2419350" cy="31908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2419350" cy="3190875"/>
                    </a:xfrm>
                    <a:prstGeom prst="rect">
                      <a:avLst/>
                    </a:prstGeom>
                    <a:noFill/>
                    <a:ln>
                      <a:noFill/>
                    </a:ln>
                  </pic:spPr>
                </pic:pic>
              </a:graphicData>
            </a:graphic>
          </wp:inline>
        </w:drawing>
      </w:r>
      <w:r>
        <w:drawing>
          <wp:inline distT="0" distB="0" distL="114300" distR="114300">
            <wp:extent cx="5191125" cy="388620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5191125" cy="3886200"/>
                    </a:xfrm>
                    <a:prstGeom prst="rect">
                      <a:avLst/>
                    </a:prstGeom>
                    <a:noFill/>
                    <a:ln>
                      <a:noFill/>
                    </a:ln>
                  </pic:spPr>
                </pic:pic>
              </a:graphicData>
            </a:graphic>
          </wp:inline>
        </w:drawing>
      </w:r>
    </w:p>
    <w:p>
      <w:pPr>
        <w:pStyle w:val="3"/>
        <w:numPr>
          <w:ilvl w:val="0"/>
          <w:numId w:val="0"/>
        </w:numPr>
        <w:ind w:left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回复：C35素混凝土。</w:t>
      </w:r>
    </w:p>
    <w:p>
      <w:pPr>
        <w:numPr>
          <w:ilvl w:val="0"/>
          <w:numId w:val="2"/>
        </w:num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如下图上人孔是否设置盖板，若设置，做法，请明确</w:t>
      </w:r>
    </w:p>
    <w:p>
      <w:pPr>
        <w:pStyle w:val="3"/>
        <w:numPr>
          <w:ilvl w:val="0"/>
          <w:numId w:val="0"/>
        </w:numPr>
        <w:ind w:leftChars="0"/>
      </w:pPr>
      <w:r>
        <w:drawing>
          <wp:inline distT="0" distB="0" distL="114300" distR="114300">
            <wp:extent cx="4095750" cy="15811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4095750" cy="1581150"/>
                    </a:xfrm>
                    <a:prstGeom prst="rect">
                      <a:avLst/>
                    </a:prstGeom>
                    <a:noFill/>
                    <a:ln>
                      <a:noFill/>
                    </a:ln>
                  </pic:spPr>
                </pic:pic>
              </a:graphicData>
            </a:graphic>
          </wp:inline>
        </w:drawing>
      </w:r>
    </w:p>
    <w:p>
      <w:pPr>
        <w:pStyle w:val="3"/>
        <w:numPr>
          <w:ilvl w:val="0"/>
          <w:numId w:val="0"/>
        </w:numPr>
        <w:ind w:left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回复：“五防”功能的轻型球墨铸铁标准件（承载能力≥200KN）</w:t>
      </w:r>
    </w:p>
    <w:p>
      <w:pPr>
        <w:numPr>
          <w:ilvl w:val="0"/>
          <w:numId w:val="2"/>
        </w:num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如下图箱涵埋深如何考虑，请明确。</w:t>
      </w:r>
    </w:p>
    <w:p>
      <w:pPr>
        <w:pStyle w:val="3"/>
        <w:numPr>
          <w:ilvl w:val="0"/>
          <w:numId w:val="0"/>
        </w:numPr>
        <w:ind w:leftChars="0"/>
        <w:rPr>
          <w:rFonts w:hint="eastAsia"/>
          <w:lang w:val="en-US" w:eastAsia="zh-CN"/>
        </w:rPr>
      </w:pPr>
    </w:p>
    <w:p>
      <w:pPr>
        <w:pStyle w:val="3"/>
        <w:numPr>
          <w:ilvl w:val="0"/>
          <w:numId w:val="0"/>
        </w:numPr>
        <w:ind w:leftChars="0"/>
      </w:pPr>
      <w:r>
        <w:drawing>
          <wp:inline distT="0" distB="0" distL="114300" distR="114300">
            <wp:extent cx="5273675" cy="3586480"/>
            <wp:effectExtent l="0" t="0" r="3175" b="139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5273675" cy="3586480"/>
                    </a:xfrm>
                    <a:prstGeom prst="rect">
                      <a:avLst/>
                    </a:prstGeom>
                    <a:noFill/>
                    <a:ln>
                      <a:noFill/>
                    </a:ln>
                  </pic:spPr>
                </pic:pic>
              </a:graphicData>
            </a:graphic>
          </wp:inline>
        </w:drawing>
      </w:r>
    </w:p>
    <w:p>
      <w:pPr>
        <w:pStyle w:val="3"/>
        <w:numPr>
          <w:ilvl w:val="0"/>
          <w:numId w:val="0"/>
        </w:numPr>
        <w:ind w:leftChars="0"/>
        <w:rPr>
          <w:rFonts w:hint="eastAsia"/>
          <w:lang w:val="en-US" w:eastAsia="zh-CN"/>
        </w:rPr>
      </w:pPr>
      <w:r>
        <w:rPr>
          <w:rFonts w:hint="eastAsia" w:ascii="仿宋" w:hAnsi="仿宋" w:eastAsia="仿宋" w:cs="仿宋"/>
          <w:color w:val="auto"/>
          <w:sz w:val="24"/>
          <w:szCs w:val="24"/>
          <w:highlight w:val="none"/>
          <w:lang w:val="en-US" w:eastAsia="zh-CN"/>
        </w:rPr>
        <w:t>回复：统一按照2000mm考虑</w:t>
      </w:r>
      <w:r>
        <w:rPr>
          <w:rFonts w:hint="eastAsia"/>
          <w:lang w:val="en-US" w:eastAsia="zh-CN"/>
        </w:rPr>
        <w:t>。</w:t>
      </w:r>
    </w:p>
    <w:p>
      <w:pPr>
        <w:numPr>
          <w:ilvl w:val="0"/>
          <w:numId w:val="2"/>
        </w:num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如下图，箱涵混凝土包箍，混凝土强度请明确。</w:t>
      </w:r>
    </w:p>
    <w:p>
      <w:pPr>
        <w:pStyle w:val="3"/>
        <w:numPr>
          <w:ilvl w:val="0"/>
          <w:numId w:val="0"/>
        </w:numPr>
        <w:ind w:leftChars="0"/>
        <w:rPr>
          <w:rFonts w:hint="eastAsia"/>
          <w:lang w:val="en-US" w:eastAsia="zh-CN"/>
        </w:rPr>
      </w:pPr>
    </w:p>
    <w:p>
      <w:pPr>
        <w:pStyle w:val="3"/>
        <w:numPr>
          <w:ilvl w:val="0"/>
          <w:numId w:val="0"/>
        </w:numPr>
        <w:ind w:leftChars="0"/>
      </w:pPr>
      <w:r>
        <w:drawing>
          <wp:inline distT="0" distB="0" distL="114300" distR="114300">
            <wp:extent cx="5272405" cy="3530600"/>
            <wp:effectExtent l="0" t="0" r="4445" b="1270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6"/>
                    <a:stretch>
                      <a:fillRect/>
                    </a:stretch>
                  </pic:blipFill>
                  <pic:spPr>
                    <a:xfrm>
                      <a:off x="0" y="0"/>
                      <a:ext cx="5272405" cy="3530600"/>
                    </a:xfrm>
                    <a:prstGeom prst="rect">
                      <a:avLst/>
                    </a:prstGeom>
                    <a:noFill/>
                    <a:ln>
                      <a:noFill/>
                    </a:ln>
                  </pic:spPr>
                </pic:pic>
              </a:graphicData>
            </a:graphic>
          </wp:inline>
        </w:drawing>
      </w:r>
    </w:p>
    <w:p>
      <w:pPr>
        <w:pStyle w:val="3"/>
        <w:numPr>
          <w:ilvl w:val="0"/>
          <w:numId w:val="0"/>
        </w:numPr>
        <w:ind w:leftChars="0"/>
        <w:rPr>
          <w:rFonts w:hint="eastAsia"/>
          <w:lang w:val="en-US" w:eastAsia="zh-CN"/>
        </w:rPr>
      </w:pPr>
      <w:r>
        <w:rPr>
          <w:rFonts w:hint="eastAsia" w:ascii="仿宋" w:hAnsi="仿宋" w:eastAsia="仿宋" w:cs="仿宋"/>
          <w:color w:val="auto"/>
          <w:sz w:val="24"/>
          <w:szCs w:val="24"/>
          <w:highlight w:val="none"/>
          <w:lang w:val="en-US" w:eastAsia="zh-CN"/>
        </w:rPr>
        <w:t>回复：混凝土强度为C20</w:t>
      </w:r>
      <w:r>
        <w:rPr>
          <w:rFonts w:hint="eastAsia"/>
          <w:lang w:val="en-US" w:eastAsia="zh-CN"/>
        </w:rPr>
        <w:t>。</w:t>
      </w:r>
    </w:p>
    <w:p>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安装部分</w:t>
      </w:r>
      <w:r>
        <w:rPr>
          <w:rFonts w:hint="eastAsia" w:ascii="仿宋" w:hAnsi="仿宋" w:eastAsia="仿宋" w:cs="仿宋"/>
          <w:b/>
          <w:bCs/>
          <w:color w:val="auto"/>
          <w:sz w:val="24"/>
          <w:szCs w:val="24"/>
          <w:highlight w:val="none"/>
        </w:rPr>
        <w:t>：</w:t>
      </w:r>
    </w:p>
    <w:p>
      <w:pPr>
        <w:numPr>
          <w:ilvl w:val="0"/>
          <w:numId w:val="2"/>
        </w:num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柔性防水套管是否计入？</w:t>
      </w:r>
    </w:p>
    <w:p>
      <w:pPr>
        <w:numPr>
          <w:ilvl w:val="0"/>
          <w:numId w:val="0"/>
        </w:num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答复：计入。</w:t>
      </w:r>
    </w:p>
    <w:p>
      <w:pPr>
        <w:numPr>
          <w:ilvl w:val="0"/>
          <w:numId w:val="2"/>
        </w:num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一体化泵站及阀门井的接地是否计入？</w:t>
      </w:r>
    </w:p>
    <w:p>
      <w:pPr>
        <w:pStyle w:val="3"/>
        <w:numPr>
          <w:ilvl w:val="0"/>
          <w:numId w:val="0"/>
        </w:numPr>
        <w:ind w:left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答复：计入。</w:t>
      </w:r>
    </w:p>
    <w:p>
      <w:pPr>
        <w:numPr>
          <w:ilvl w:val="0"/>
          <w:numId w:val="2"/>
        </w:num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一体化控制柜进线电源是否按照YJV-4x300+1x180-RC200-50m计入？</w:t>
      </w:r>
    </w:p>
    <w:p>
      <w:pPr>
        <w:pStyle w:val="3"/>
        <w:numPr>
          <w:ilvl w:val="0"/>
          <w:numId w:val="0"/>
        </w:numPr>
        <w:ind w:left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答复：是，一体化控制柜不计。</w:t>
      </w:r>
    </w:p>
    <w:p>
      <w:pPr>
        <w:numPr>
          <w:ilvl w:val="0"/>
          <w:numId w:val="2"/>
        </w:num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控制柜出线是否仅计配管？</w:t>
      </w:r>
    </w:p>
    <w:p>
      <w:pPr>
        <w:pStyle w:val="3"/>
        <w:numPr>
          <w:ilvl w:val="0"/>
          <w:numId w:val="0"/>
        </w:numPr>
        <w:ind w:left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答复：仅计配管，RC50按30米、RC150按20米、照明PC管按35米计入。</w:t>
      </w:r>
    </w:p>
    <w:p>
      <w:pPr>
        <w:pStyle w:val="3"/>
        <w:numPr>
          <w:ilvl w:val="0"/>
          <w:numId w:val="0"/>
        </w:numPr>
        <w:ind w:leftChars="0"/>
        <w:rPr>
          <w:rFonts w:hint="eastAsia" w:ascii="仿宋" w:hAnsi="仿宋" w:eastAsia="仿宋" w:cs="仿宋"/>
          <w:b w:val="0"/>
          <w:bCs w:val="0"/>
          <w:color w:val="auto"/>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3CEB7D"/>
    <w:multiLevelType w:val="singleLevel"/>
    <w:tmpl w:val="FF3CEB7D"/>
    <w:lvl w:ilvl="0" w:tentative="0">
      <w:start w:val="1"/>
      <w:numFmt w:val="chineseCounting"/>
      <w:suff w:val="nothing"/>
      <w:lvlText w:val="（%1）"/>
      <w:lvlJc w:val="left"/>
      <w:rPr>
        <w:rFonts w:hint="eastAsia"/>
      </w:rPr>
    </w:lvl>
  </w:abstractNum>
  <w:abstractNum w:abstractNumId="1">
    <w:nsid w:val="687B51BB"/>
    <w:multiLevelType w:val="singleLevel"/>
    <w:tmpl w:val="687B51B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ZWQ2NTIzYTE4N2E0YzlhMzQ5NDU4ODdmZDk1MDYifQ=="/>
  </w:docVars>
  <w:rsids>
    <w:rsidRoot w:val="6BC55F6F"/>
    <w:rsid w:val="00104283"/>
    <w:rsid w:val="00371189"/>
    <w:rsid w:val="004776B1"/>
    <w:rsid w:val="0052311E"/>
    <w:rsid w:val="007272DB"/>
    <w:rsid w:val="00C1457A"/>
    <w:rsid w:val="00DA1414"/>
    <w:rsid w:val="00EF10B3"/>
    <w:rsid w:val="00F96E09"/>
    <w:rsid w:val="00FC5973"/>
    <w:rsid w:val="00FE7630"/>
    <w:rsid w:val="095B6FF9"/>
    <w:rsid w:val="09736C45"/>
    <w:rsid w:val="09C07485"/>
    <w:rsid w:val="09C37B5D"/>
    <w:rsid w:val="0A21616D"/>
    <w:rsid w:val="0A8358B5"/>
    <w:rsid w:val="0AEB0D8A"/>
    <w:rsid w:val="0BD719B0"/>
    <w:rsid w:val="0C9A2D73"/>
    <w:rsid w:val="0D62677A"/>
    <w:rsid w:val="0D874684"/>
    <w:rsid w:val="0E990A54"/>
    <w:rsid w:val="11203B56"/>
    <w:rsid w:val="13440E09"/>
    <w:rsid w:val="13443AEC"/>
    <w:rsid w:val="135A172B"/>
    <w:rsid w:val="179641D9"/>
    <w:rsid w:val="17976393"/>
    <w:rsid w:val="18F5267A"/>
    <w:rsid w:val="19846073"/>
    <w:rsid w:val="199D458D"/>
    <w:rsid w:val="19B320FC"/>
    <w:rsid w:val="19FB6B4D"/>
    <w:rsid w:val="1A947AA6"/>
    <w:rsid w:val="1BE369B7"/>
    <w:rsid w:val="1C34556D"/>
    <w:rsid w:val="1DB56EEC"/>
    <w:rsid w:val="1E171E79"/>
    <w:rsid w:val="1EF35905"/>
    <w:rsid w:val="212B375D"/>
    <w:rsid w:val="220E5C07"/>
    <w:rsid w:val="22A8794F"/>
    <w:rsid w:val="22D96CD3"/>
    <w:rsid w:val="23244CD1"/>
    <w:rsid w:val="24A8695E"/>
    <w:rsid w:val="253F6BE0"/>
    <w:rsid w:val="25D35E9C"/>
    <w:rsid w:val="25D54AB7"/>
    <w:rsid w:val="262E4BA7"/>
    <w:rsid w:val="267C1A48"/>
    <w:rsid w:val="26D7660D"/>
    <w:rsid w:val="285F71A5"/>
    <w:rsid w:val="2A082B00"/>
    <w:rsid w:val="2A686B46"/>
    <w:rsid w:val="2AE85096"/>
    <w:rsid w:val="2F40000E"/>
    <w:rsid w:val="2FB53F6A"/>
    <w:rsid w:val="31000B10"/>
    <w:rsid w:val="32A059B3"/>
    <w:rsid w:val="33441CAD"/>
    <w:rsid w:val="341113B0"/>
    <w:rsid w:val="34984081"/>
    <w:rsid w:val="363D47F9"/>
    <w:rsid w:val="37916AA9"/>
    <w:rsid w:val="37987019"/>
    <w:rsid w:val="37F06F3B"/>
    <w:rsid w:val="3ABC70E6"/>
    <w:rsid w:val="3B5C57E2"/>
    <w:rsid w:val="3BA25DFA"/>
    <w:rsid w:val="3C042717"/>
    <w:rsid w:val="3D1E33B6"/>
    <w:rsid w:val="3DF6758B"/>
    <w:rsid w:val="3E172CB8"/>
    <w:rsid w:val="3E7C294B"/>
    <w:rsid w:val="41B80300"/>
    <w:rsid w:val="430A5BB8"/>
    <w:rsid w:val="43F156B6"/>
    <w:rsid w:val="44A72B41"/>
    <w:rsid w:val="44F064F7"/>
    <w:rsid w:val="45A331C1"/>
    <w:rsid w:val="47033933"/>
    <w:rsid w:val="475251F6"/>
    <w:rsid w:val="47B02308"/>
    <w:rsid w:val="497B6A50"/>
    <w:rsid w:val="4ABD5639"/>
    <w:rsid w:val="4BE375CB"/>
    <w:rsid w:val="4CC70226"/>
    <w:rsid w:val="4D202B47"/>
    <w:rsid w:val="4EEE17E7"/>
    <w:rsid w:val="5109622B"/>
    <w:rsid w:val="514F2BD1"/>
    <w:rsid w:val="51B85D28"/>
    <w:rsid w:val="51C616FC"/>
    <w:rsid w:val="51EC0E33"/>
    <w:rsid w:val="52630BD1"/>
    <w:rsid w:val="537B6345"/>
    <w:rsid w:val="55067F3A"/>
    <w:rsid w:val="57334054"/>
    <w:rsid w:val="57A177AE"/>
    <w:rsid w:val="58672154"/>
    <w:rsid w:val="590012FE"/>
    <w:rsid w:val="5DBF1655"/>
    <w:rsid w:val="5FDD0567"/>
    <w:rsid w:val="61CF066C"/>
    <w:rsid w:val="621A7340"/>
    <w:rsid w:val="63560857"/>
    <w:rsid w:val="65113C28"/>
    <w:rsid w:val="67176F2A"/>
    <w:rsid w:val="67892697"/>
    <w:rsid w:val="69794082"/>
    <w:rsid w:val="6BBE5FFB"/>
    <w:rsid w:val="6BC55F6F"/>
    <w:rsid w:val="6CF91AF9"/>
    <w:rsid w:val="6DF72AC6"/>
    <w:rsid w:val="6F651B4F"/>
    <w:rsid w:val="70587444"/>
    <w:rsid w:val="7210444C"/>
    <w:rsid w:val="74007BC3"/>
    <w:rsid w:val="76902E5A"/>
    <w:rsid w:val="76CB792F"/>
    <w:rsid w:val="775E6B5F"/>
    <w:rsid w:val="77935160"/>
    <w:rsid w:val="78063FEE"/>
    <w:rsid w:val="7937030A"/>
    <w:rsid w:val="7952507A"/>
    <w:rsid w:val="7B4323D6"/>
    <w:rsid w:val="7CBA7632"/>
    <w:rsid w:val="7CC27316"/>
    <w:rsid w:val="7D537911"/>
    <w:rsid w:val="7D9F68FF"/>
    <w:rsid w:val="7F3D2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3"/>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customStyle="1" w:styleId="3">
    <w:name w:val="Numbered List"/>
    <w:qFormat/>
    <w:uiPriority w:val="0"/>
    <w:pPr>
      <w:widowControl w:val="0"/>
      <w:autoSpaceDE w:val="0"/>
      <w:autoSpaceDN w:val="0"/>
      <w:ind w:left="720" w:hanging="431"/>
    </w:pPr>
    <w:rPr>
      <w:rFonts w:ascii="Times New Roman" w:hAnsi="Times New Roman" w:eastAsia="宋体" w:cs="Times New Roman"/>
      <w:lang w:val="en-US" w:eastAsia="zh-CN" w:bidi="ar-SA"/>
    </w:rPr>
  </w:style>
  <w:style w:type="paragraph" w:styleId="4">
    <w:name w:val="Normal Indent"/>
    <w:basedOn w:val="1"/>
    <w:unhideWhenUsed/>
    <w:qFormat/>
    <w:uiPriority w:val="99"/>
    <w:pPr>
      <w:ind w:firstLine="420" w:firstLineChars="200"/>
    </w:pPr>
  </w:style>
  <w:style w:type="paragraph" w:styleId="5">
    <w:name w:val="Body Text Indent"/>
    <w:basedOn w:val="1"/>
    <w:unhideWhenUsed/>
    <w:qFormat/>
    <w:uiPriority w:val="99"/>
    <w:pPr>
      <w:spacing w:after="120"/>
      <w:ind w:left="420" w:leftChars="200"/>
    </w:pPr>
  </w:style>
  <w:style w:type="paragraph" w:styleId="6">
    <w:name w:val="Balloon Text"/>
    <w:basedOn w:val="1"/>
    <w:link w:val="12"/>
    <w:qFormat/>
    <w:uiPriority w:val="0"/>
    <w:rPr>
      <w:sz w:val="18"/>
      <w:szCs w:val="18"/>
    </w:rPr>
  </w:style>
  <w:style w:type="paragraph" w:styleId="7">
    <w:name w:val="envelope return"/>
    <w:basedOn w:val="1"/>
    <w:qFormat/>
    <w:uiPriority w:val="0"/>
    <w:pPr>
      <w:snapToGrid w:val="0"/>
    </w:pPr>
    <w:rPr>
      <w:rFonts w:ascii="Arial" w:hAnsi="Arial"/>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unhideWhenUsed/>
    <w:qFormat/>
    <w:uiPriority w:val="0"/>
    <w:pPr>
      <w:ind w:firstLine="420" w:firstLineChars="200"/>
    </w:pPr>
  </w:style>
  <w:style w:type="character" w:customStyle="1" w:styleId="12">
    <w:name w:val="批注框文本 Char"/>
    <w:basedOn w:val="11"/>
    <w:link w:val="6"/>
    <w:qFormat/>
    <w:uiPriority w:val="0"/>
    <w:rPr>
      <w:rFonts w:asciiTheme="minorHAnsi" w:hAnsiTheme="minorHAnsi" w:eastAsiaTheme="minorEastAsia" w:cstheme="minorBidi"/>
      <w:kern w:val="2"/>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1746</Words>
  <Characters>1845</Characters>
  <Lines>4</Lines>
  <Paragraphs>1</Paragraphs>
  <TotalTime>1</TotalTime>
  <ScaleCrop>false</ScaleCrop>
  <LinksUpToDate>false</LinksUpToDate>
  <CharactersWithSpaces>1857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2021-08-12T03:02:00Z</dcterms:created>
  <dc:creator>阳光</dc:creator>
  <cp:lastModifiedBy>阳光</cp:lastModifiedBy>
  <dcterms:modified xsi:type="dcterms:W3CDTF">2023-04-18T03:24:46Z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FAC6A6B6F5D146638BA9EE6A2B38B065</vt:lpwstr>
  </property>
</Properties>
</file>