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sz w:val="24"/>
        </w:rPr>
      </w:pPr>
      <w:r>
        <w:rPr>
          <w:rFonts w:hint="eastAsia" w:ascii="宋体" w:hAnsi="宋体" w:cs="宋体"/>
          <w:b/>
          <w:bCs/>
          <w:kern w:val="0"/>
          <w:sz w:val="36"/>
          <w:szCs w:val="36"/>
        </w:rPr>
        <w:t>水丽坊商业123、131商铺屋面渗水维修施工工程量清单、最高投标限价编制补疑</w:t>
      </w:r>
      <w:bookmarkStart w:id="0" w:name="_GoBack"/>
      <w:bookmarkEnd w:id="0"/>
    </w:p>
    <w:p>
      <w:pPr>
        <w:spacing w:line="600" w:lineRule="exact"/>
        <w:rPr>
          <w:rFonts w:ascii="宋体" w:hAnsi="宋体"/>
          <w:sz w:val="24"/>
        </w:rPr>
      </w:pPr>
      <w:r>
        <w:rPr>
          <w:rFonts w:hint="eastAsia" w:ascii="宋体" w:hAnsi="宋体"/>
          <w:sz w:val="24"/>
        </w:rPr>
        <w:t>各投标人：</w:t>
      </w:r>
    </w:p>
    <w:p>
      <w:pPr>
        <w:spacing w:line="600" w:lineRule="exact"/>
        <w:ind w:firstLine="643" w:firstLineChars="200"/>
        <w:jc w:val="center"/>
        <w:rPr>
          <w:rFonts w:ascii="仿宋_GB2312" w:hAnsi="宋体" w:eastAsia="仿宋_GB2312"/>
          <w:b/>
          <w:sz w:val="32"/>
          <w:szCs w:val="32"/>
        </w:rPr>
      </w:pPr>
      <w:r>
        <w:rPr>
          <w:rFonts w:hint="eastAsia" w:ascii="仿宋_GB2312" w:hAnsi="宋体" w:eastAsia="仿宋_GB2312"/>
          <w:b/>
          <w:sz w:val="32"/>
          <w:szCs w:val="32"/>
        </w:rPr>
        <w:t>重要提示</w:t>
      </w:r>
    </w:p>
    <w:p>
      <w:pPr>
        <w:spacing w:line="600" w:lineRule="exact"/>
        <w:ind w:firstLine="562" w:firstLineChars="200"/>
        <w:rPr>
          <w:rFonts w:ascii="仿宋_GB2312" w:eastAsia="仿宋_GB2312"/>
          <w:b/>
          <w:color w:val="auto"/>
          <w:sz w:val="28"/>
          <w:szCs w:val="28"/>
          <w:highlight w:val="none"/>
        </w:rPr>
      </w:pPr>
      <w:r>
        <w:rPr>
          <w:rFonts w:hint="eastAsia" w:ascii="仿宋_GB2312" w:eastAsia="仿宋_GB2312"/>
          <w:b/>
          <w:sz w:val="28"/>
          <w:szCs w:val="28"/>
        </w:rPr>
        <w:t>1</w:t>
      </w:r>
      <w:r>
        <w:rPr>
          <w:rFonts w:hint="eastAsia" w:ascii="仿宋_GB2312" w:eastAsia="仿宋_GB2312"/>
          <w:b/>
          <w:color w:val="auto"/>
          <w:sz w:val="28"/>
          <w:szCs w:val="28"/>
          <w:highlight w:val="none"/>
        </w:rPr>
        <w:t>、本工程取费按“</w:t>
      </w:r>
      <w:r>
        <w:rPr>
          <w:rFonts w:hint="eastAsia" w:ascii="仿宋_GB2312" w:eastAsia="仿宋_GB2312"/>
          <w:b/>
          <w:color w:val="auto"/>
          <w:sz w:val="28"/>
          <w:szCs w:val="28"/>
          <w:highlight w:val="none"/>
          <w:u w:val="single"/>
          <w:lang w:val="en-US" w:eastAsia="zh-CN"/>
        </w:rPr>
        <w:t>土建</w:t>
      </w:r>
      <w:r>
        <w:rPr>
          <w:rFonts w:hint="eastAsia" w:ascii="仿宋_GB2312" w:eastAsia="仿宋_GB2312"/>
          <w:b/>
          <w:color w:val="auto"/>
          <w:sz w:val="28"/>
          <w:szCs w:val="28"/>
          <w:highlight w:val="none"/>
        </w:rPr>
        <w:t>工程取费标准”中“</w:t>
      </w:r>
      <w:r>
        <w:rPr>
          <w:rFonts w:hint="eastAsia" w:ascii="仿宋_GB2312" w:eastAsia="仿宋_GB2312"/>
          <w:b/>
          <w:color w:val="auto"/>
          <w:sz w:val="28"/>
          <w:szCs w:val="28"/>
          <w:highlight w:val="none"/>
          <w:u w:val="single"/>
          <w:lang w:val="en-US" w:eastAsia="zh-CN"/>
        </w:rPr>
        <w:t>民用建筑</w:t>
      </w:r>
      <w:r>
        <w:rPr>
          <w:rFonts w:hint="eastAsia" w:ascii="仿宋_GB2312" w:eastAsia="仿宋_GB2312"/>
          <w:b/>
          <w:color w:val="auto"/>
          <w:sz w:val="28"/>
          <w:szCs w:val="28"/>
          <w:highlight w:val="none"/>
        </w:rPr>
        <w:t>”的费率计取；其中房屋建筑、市政工程中挖或填土石方量大于5000m</w:t>
      </w:r>
      <w:r>
        <w:rPr>
          <w:rFonts w:hint="eastAsia" w:ascii="仿宋_GB2312" w:eastAsia="仿宋_GB2312"/>
          <w:b/>
          <w:color w:val="auto"/>
          <w:sz w:val="28"/>
          <w:szCs w:val="28"/>
          <w:highlight w:val="none"/>
          <w:vertAlign w:val="superscript"/>
        </w:rPr>
        <w:t>3</w:t>
      </w:r>
      <w:r>
        <w:rPr>
          <w:rFonts w:hint="eastAsia" w:ascii="仿宋_GB2312" w:eastAsia="仿宋_GB2312"/>
          <w:b/>
          <w:color w:val="auto"/>
          <w:sz w:val="28"/>
          <w:szCs w:val="28"/>
          <w:highlight w:val="none"/>
        </w:rPr>
        <w:t>的大型土石方工程，其企业管理费率8%、利润率8%，措施项目费率和不可竞争费率按房屋建筑工程相应费率乘0.6系数。</w:t>
      </w:r>
    </w:p>
    <w:p>
      <w:pPr>
        <w:spacing w:line="6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按业主要求，现对本项目招标工程量清单、最高投标限价编制作出如下补充：</w:t>
      </w:r>
    </w:p>
    <w:p>
      <w:pPr>
        <w:spacing w:line="6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第一部分：招标需求</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一、招标范围：</w:t>
      </w:r>
    </w:p>
    <w:p>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本项目分为1个标段</w:t>
      </w:r>
      <w:r>
        <w:rPr>
          <w:rFonts w:hint="eastAsia" w:ascii="仿宋" w:hAnsi="仿宋" w:eastAsia="仿宋" w:cs="仿宋"/>
          <w:color w:val="auto"/>
          <w:kern w:val="0"/>
          <w:sz w:val="24"/>
          <w:highlight w:val="none"/>
        </w:rPr>
        <w:t>。水丽坊商业123、131商铺屋面渗水维修面积共计约650m²，需将现有屋面保温层及防水层破除至原结构板，并按新的屋面构造做法重新施工。部分商铺石材幕墙老化结构胶铲除，重新打胶</w:t>
      </w:r>
      <w:r>
        <w:rPr>
          <w:rFonts w:hint="eastAsia" w:ascii="仿宋" w:hAnsi="仿宋" w:eastAsia="仿宋" w:cs="仿宋"/>
          <w:color w:val="auto"/>
          <w:sz w:val="24"/>
          <w:highlight w:val="none"/>
        </w:rPr>
        <w:t>。除特殊说明外，图纸设计范围内的所有内容，均按图计入。</w:t>
      </w:r>
    </w:p>
    <w:p>
      <w:pPr>
        <w:keepNext w:val="0"/>
        <w:keepLines w:val="0"/>
        <w:pageBreakBefore w:val="0"/>
        <w:numPr>
          <w:ilvl w:val="0"/>
          <w:numId w:val="1"/>
        </w:numPr>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土建</w:t>
      </w:r>
      <w:r>
        <w:rPr>
          <w:rFonts w:hint="eastAsia" w:ascii="仿宋" w:hAnsi="仿宋" w:eastAsia="仿宋" w:cs="仿宋"/>
          <w:b/>
          <w:bCs/>
          <w:color w:val="auto"/>
          <w:sz w:val="24"/>
          <w:highlight w:val="none"/>
        </w:rPr>
        <w:t>工程</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屋面保温层及防水层破除至原结构板，垃圾外弃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屋面重新施工</w:t>
      </w:r>
      <w:r>
        <w:rPr>
          <w:rFonts w:hint="eastAsia" w:ascii="仿宋" w:hAnsi="仿宋" w:eastAsia="仿宋" w:cs="仿宋"/>
          <w:color w:val="auto"/>
          <w:sz w:val="24"/>
          <w:highlight w:val="none"/>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商铺石材幕墙老化结构胶铲除</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重新打胶</w:t>
      </w:r>
      <w:r>
        <w:rPr>
          <w:rFonts w:hint="eastAsia" w:ascii="仿宋" w:hAnsi="仿宋" w:eastAsia="仿宋" w:cs="仿宋"/>
          <w:color w:val="auto"/>
          <w:sz w:val="24"/>
          <w:highlight w:val="none"/>
        </w:rPr>
        <w:t>。</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二</w:t>
      </w:r>
      <w:r>
        <w:rPr>
          <w:rFonts w:hint="eastAsia" w:ascii="仿宋" w:hAnsi="仿宋" w:eastAsia="仿宋" w:cs="仿宋"/>
          <w:b/>
          <w:bCs/>
          <w:color w:val="auto"/>
          <w:sz w:val="24"/>
          <w:highlight w:val="none"/>
        </w:rPr>
        <w:t>）补充说明：</w:t>
      </w:r>
    </w:p>
    <w:p>
      <w:pPr>
        <w:keepNext w:val="0"/>
        <w:keepLines w:val="0"/>
        <w:pageBreakBefore w:val="0"/>
        <w:kinsoku/>
        <w:wordWrap/>
        <w:overflowPunct/>
        <w:topLinePunct w:val="0"/>
        <w:autoSpaceDE/>
        <w:autoSpaceDN/>
        <w:bidi w:val="0"/>
        <w:spacing w:line="360" w:lineRule="auto"/>
        <w:textAlignment w:val="auto"/>
        <w:rPr>
          <w:rFonts w:hint="default" w:eastAsia="仿宋"/>
          <w:color w:val="auto"/>
          <w:highlight w:val="none"/>
          <w:lang w:val="en-US" w:eastAsia="zh-CN"/>
        </w:rPr>
      </w:pPr>
      <w:r>
        <w:rPr>
          <w:rFonts w:hint="eastAsia" w:ascii="仿宋" w:hAnsi="仿宋" w:eastAsia="仿宋" w:cs="仿宋"/>
          <w:color w:val="auto"/>
          <w:sz w:val="24"/>
          <w:highlight w:val="none"/>
        </w:rPr>
        <w:t>图纸上已设计，但不计入本次招标范围</w:t>
      </w:r>
      <w:r>
        <w:rPr>
          <w:rFonts w:hint="eastAsia" w:ascii="仿宋" w:hAnsi="仿宋" w:eastAsia="仿宋" w:cs="仿宋"/>
          <w:color w:val="auto"/>
          <w:sz w:val="24"/>
          <w:highlight w:val="none"/>
          <w:lang w:val="en-US" w:eastAsia="zh-CN"/>
        </w:rPr>
        <w:t>。无</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二、暂定项目：</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（一）以下项目按照业主要求，以</w:t>
      </w:r>
      <w:r>
        <w:rPr>
          <w:rFonts w:hint="eastAsia" w:ascii="仿宋" w:hAnsi="仿宋" w:eastAsia="仿宋" w:cs="仿宋"/>
          <w:color w:val="auto"/>
          <w:sz w:val="24"/>
          <w:highlight w:val="none"/>
          <w:u w:val="single"/>
        </w:rPr>
        <w:t>暂定工程量计入分部分项工程量清单</w:t>
      </w:r>
      <w:r>
        <w:rPr>
          <w:rFonts w:hint="eastAsia" w:ascii="仿宋" w:hAnsi="仿宋" w:eastAsia="仿宋" w:cs="仿宋"/>
          <w:color w:val="auto"/>
          <w:sz w:val="24"/>
          <w:highlight w:val="none"/>
        </w:rPr>
        <w:t>，投标人综合考虑报价，标后按实际工程量结算。</w:t>
      </w:r>
      <w:r>
        <w:rPr>
          <w:rFonts w:hint="eastAsia" w:ascii="仿宋" w:hAnsi="仿宋" w:eastAsia="仿宋" w:cs="仿宋"/>
          <w:color w:val="auto"/>
          <w:sz w:val="24"/>
          <w:highlight w:val="none"/>
          <w:lang w:val="en-US" w:eastAsia="zh-CN"/>
        </w:rPr>
        <w:t>无</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（二）按照业主要求，暂列金额为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万元，计入单位工程，投标人应按招标人所列的金额计入投标总价。</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（三）执行暂估价的材料、设备、专业工程及其金额如下：无</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三、按项列入清单的内容，标后不予调整：</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以下项目按照业主要求，按项计入，投标人自行踏勘现场，综合考虑报价，中标后不予调整。 无</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四、补充图纸及修改图纸的说明：</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本工程在第一次发放图纸后，无补充图纸，具体详见图纸。</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五、总承包服务费：</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详见招标文件。</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六、温馨提示：投标人投标报价还须仔细阅读本项目招标文件，慎重报价。</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施工水电接引及报装：包含为满足现场施工所必须的水电管路铺设、设备材料、临时用电许可手续、可能发生的线路增容等所产生的一切费用、相关单位的协调费用以及完工后的拆除恢复费用，清单控制价不单独列项，投标人根据设计图纸并结合现场踏勘情况在投标报价中综合考虑，中标后不得因此提出任何形式的费用增加，中标人须按照图纸要求及相关规范完成上述工作内容并确保验收移交。</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中标人自行考虑材料堆场、建筑垃圾堆场、加工区、办公区、生活区等临时设施位置，同时必须采取必要的防火、安全用电措施，中标人不得在施工区搭设办公区、生活区，清单控制价不再单独列费用，投标人在投标报价中综合考虑，费用含在投标报价中，中标后不予调整。若中标人租用的场地列入上市计划，中标人无条件拆除地块建筑物以及相关材料的二次搬运由中标人自行承担，清单控制价不再单独列费用，投标人在投标报价中综合考虑，费用含在投标报价中，中标后不再调整。</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3、本工程招标范围内施工材料质量复检，包含业主要求所需及现场监理、业主、设计单位有疑惑的施工材料质量复检所有项目等产生的一切费用。费用包含在投标报价中，中标后不予调整，清单不单独列项。</w:t>
      </w:r>
    </w:p>
    <w:p>
      <w:pPr>
        <w:keepNext w:val="0"/>
        <w:keepLines w:val="0"/>
        <w:pageBreakBefore w:val="0"/>
        <w:kinsoku/>
        <w:wordWrap/>
        <w:overflowPunct/>
        <w:topLinePunct w:val="0"/>
        <w:autoSpaceDE/>
        <w:autoSpaceDN/>
        <w:bidi w:val="0"/>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rPr>
        <w:t>答疑：</w:t>
      </w:r>
    </w:p>
    <w:p>
      <w:pPr>
        <w:keepNext w:val="0"/>
        <w:keepLines w:val="0"/>
        <w:pageBreakBefore w:val="0"/>
        <w:kinsoku/>
        <w:wordWrap/>
        <w:overflowPunct/>
        <w:topLinePunct w:val="0"/>
        <w:autoSpaceDE/>
        <w:autoSpaceDN/>
        <w:bidi w:val="0"/>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1、屋面是否全部修复，还是部分修复，请明确。</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回复：参照下列范围</w:t>
      </w:r>
    </w:p>
    <w:p>
      <w:pPr>
        <w:numPr>
          <w:ilvl w:val="0"/>
          <w:numId w:val="0"/>
        </w:numPr>
        <w:jc w:val="both"/>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drawing>
          <wp:inline distT="0" distB="0" distL="114300" distR="114300">
            <wp:extent cx="5272405" cy="5493385"/>
            <wp:effectExtent l="0" t="0" r="635" b="8255"/>
            <wp:docPr id="3" name="图片 3" descr="KOPMJWUAKY34B8[X~W0LU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KOPMJWUAKY34B8[X~W0LUI2"/>
                    <pic:cNvPicPr>
                      <a:picLocks noChangeAspect="1"/>
                    </pic:cNvPicPr>
                  </pic:nvPicPr>
                  <pic:blipFill>
                    <a:blip r:embed="rId4"/>
                    <a:stretch>
                      <a:fillRect/>
                    </a:stretch>
                  </pic:blipFill>
                  <pic:spPr>
                    <a:xfrm>
                      <a:off x="0" y="0"/>
                      <a:ext cx="5272405" cy="5493385"/>
                    </a:xfrm>
                    <a:prstGeom prst="rect">
                      <a:avLst/>
                    </a:prstGeom>
                  </pic:spPr>
                </pic:pic>
              </a:graphicData>
            </a:graphic>
          </wp:inline>
        </w:drawing>
      </w:r>
    </w:p>
    <w:p>
      <w:pPr>
        <w:numPr>
          <w:ilvl w:val="0"/>
          <w:numId w:val="0"/>
        </w:numPr>
        <w:jc w:val="both"/>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drawing>
          <wp:inline distT="0" distB="0" distL="114300" distR="114300">
            <wp:extent cx="5270500" cy="5793105"/>
            <wp:effectExtent l="0" t="0" r="2540" b="13335"/>
            <wp:docPr id="4" name="图片 4" descr="BNPGY5}K8ZJWQ0SVCK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NPGY5}K8ZJWQ0SVCKW@)~S"/>
                    <pic:cNvPicPr>
                      <a:picLocks noChangeAspect="1"/>
                    </pic:cNvPicPr>
                  </pic:nvPicPr>
                  <pic:blipFill>
                    <a:blip r:embed="rId5"/>
                    <a:stretch>
                      <a:fillRect/>
                    </a:stretch>
                  </pic:blipFill>
                  <pic:spPr>
                    <a:xfrm>
                      <a:off x="0" y="0"/>
                      <a:ext cx="5270500" cy="5793105"/>
                    </a:xfrm>
                    <a:prstGeom prst="rect">
                      <a:avLst/>
                    </a:prstGeom>
                  </pic:spPr>
                </pic:pic>
              </a:graphicData>
            </a:graphic>
          </wp:inline>
        </w:drawing>
      </w:r>
    </w:p>
    <w:p>
      <w:pPr>
        <w:keepNext w:val="0"/>
        <w:keepLines w:val="0"/>
        <w:pageBreakBefore w:val="0"/>
        <w:numPr>
          <w:numId w:val="0"/>
        </w:numPr>
        <w:kinsoku/>
        <w:wordWrap/>
        <w:overflowPunct/>
        <w:topLinePunct w:val="0"/>
        <w:autoSpaceDE/>
        <w:autoSpaceDN/>
        <w:bidi w:val="0"/>
        <w:spacing w:line="360" w:lineRule="auto"/>
        <w:ind w:leftChars="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2、屋面修复做法，请明确。</w:t>
      </w:r>
    </w:p>
    <w:p>
      <w:pPr>
        <w:pStyle w:val="2"/>
        <w:numPr>
          <w:numId w:val="0"/>
        </w:numPr>
        <w:ind w:leftChars="0"/>
        <w:rPr>
          <w:rFonts w:hint="eastAsia"/>
          <w:lang w:val="en-US" w:eastAsia="zh-CN"/>
        </w:rPr>
      </w:pPr>
      <w:r>
        <w:rPr>
          <w:rFonts w:hint="eastAsia"/>
          <w:lang w:val="en-US" w:eastAsia="zh-CN"/>
        </w:rPr>
        <w:t>回复：（1）铲除原有保温层及防水层至原有屋面板；</w:t>
      </w:r>
    </w:p>
    <w:p>
      <w:pPr>
        <w:pStyle w:val="2"/>
        <w:numPr>
          <w:numId w:val="0"/>
        </w:numPr>
        <w:ind w:leftChars="0" w:firstLine="630" w:firstLineChars="300"/>
        <w:rPr>
          <w:rFonts w:hint="eastAsia"/>
          <w:lang w:val="en-US" w:eastAsia="zh-CN"/>
        </w:rPr>
      </w:pPr>
      <w:r>
        <w:rPr>
          <w:rFonts w:hint="eastAsia"/>
          <w:lang w:val="en-US" w:eastAsia="zh-CN"/>
        </w:rPr>
        <w:t>（2）基层清理；</w:t>
      </w:r>
    </w:p>
    <w:p>
      <w:pPr>
        <w:pStyle w:val="2"/>
        <w:numPr>
          <w:numId w:val="0"/>
        </w:numPr>
        <w:ind w:leftChars="0" w:firstLine="630" w:firstLineChars="300"/>
        <w:rPr>
          <w:rFonts w:hint="eastAsia"/>
          <w:lang w:val="en-US" w:eastAsia="zh-CN"/>
        </w:rPr>
      </w:pPr>
      <w:r>
        <w:rPr>
          <w:rFonts w:hint="eastAsia"/>
          <w:lang w:val="en-US" w:eastAsia="zh-CN"/>
        </w:rPr>
        <w:t>（3）最薄处30mm厚细石砼2%找坡；</w:t>
      </w:r>
    </w:p>
    <w:p>
      <w:pPr>
        <w:pStyle w:val="2"/>
        <w:numPr>
          <w:numId w:val="0"/>
        </w:numPr>
        <w:ind w:leftChars="0" w:firstLine="630" w:firstLineChars="300"/>
        <w:rPr>
          <w:rFonts w:hint="eastAsia"/>
          <w:lang w:val="en-US" w:eastAsia="zh-CN"/>
        </w:rPr>
      </w:pPr>
      <w:r>
        <w:rPr>
          <w:rFonts w:hint="eastAsia"/>
          <w:lang w:val="en-US" w:eastAsia="zh-CN"/>
        </w:rPr>
        <w:t>（4）2.0mm厚非固化橡塑沥青防水涂料（含上翻300mm高）；</w:t>
      </w:r>
    </w:p>
    <w:p>
      <w:pPr>
        <w:pStyle w:val="2"/>
        <w:numPr>
          <w:numId w:val="0"/>
        </w:numPr>
        <w:ind w:leftChars="0" w:firstLine="630" w:firstLineChars="300"/>
        <w:rPr>
          <w:rFonts w:hint="eastAsia"/>
          <w:lang w:val="en-US" w:eastAsia="zh-CN"/>
        </w:rPr>
      </w:pPr>
      <w:r>
        <w:rPr>
          <w:rFonts w:hint="eastAsia"/>
          <w:lang w:val="en-US" w:eastAsia="zh-CN"/>
        </w:rPr>
        <w:t>（5）4.0mm厚SBS改性沥青卷材防水层（注明卷材胎型）女儿墙上翻300mm高；</w:t>
      </w:r>
    </w:p>
    <w:p>
      <w:pPr>
        <w:pStyle w:val="2"/>
        <w:numPr>
          <w:numId w:val="0"/>
        </w:numPr>
        <w:ind w:leftChars="0" w:firstLine="630" w:firstLineChars="300"/>
        <w:rPr>
          <w:rFonts w:hint="eastAsia"/>
          <w:lang w:val="en-US" w:eastAsia="zh-CN"/>
        </w:rPr>
      </w:pPr>
      <w:r>
        <w:rPr>
          <w:rFonts w:hint="eastAsia"/>
          <w:lang w:val="en-US" w:eastAsia="zh-CN"/>
        </w:rPr>
        <w:t>（6）40mm厚挤塑聚苯保温层；</w:t>
      </w:r>
    </w:p>
    <w:p>
      <w:pPr>
        <w:pStyle w:val="2"/>
        <w:numPr>
          <w:numId w:val="0"/>
        </w:numPr>
        <w:ind w:leftChars="0" w:firstLine="630" w:firstLineChars="300"/>
        <w:rPr>
          <w:rFonts w:hint="eastAsia"/>
          <w:lang w:val="en-US" w:eastAsia="zh-CN"/>
        </w:rPr>
      </w:pPr>
      <w:r>
        <w:rPr>
          <w:rFonts w:hint="eastAsia"/>
          <w:lang w:val="en-US" w:eastAsia="zh-CN"/>
        </w:rPr>
        <w:t>（7）I型（最薄）油毡隔离层一道；</w:t>
      </w:r>
    </w:p>
    <w:p>
      <w:pPr>
        <w:pStyle w:val="2"/>
        <w:numPr>
          <w:numId w:val="0"/>
        </w:numPr>
        <w:ind w:leftChars="0" w:firstLine="630" w:firstLineChars="300"/>
        <w:rPr>
          <w:rFonts w:hint="default"/>
          <w:lang w:val="en-US" w:eastAsia="zh-CN"/>
        </w:rPr>
      </w:pPr>
      <w:r>
        <w:rPr>
          <w:rFonts w:hint="eastAsia"/>
          <w:lang w:val="en-US" w:eastAsia="zh-CN"/>
        </w:rPr>
        <w:t>（8）50mm厚C30细石混凝土保护层(配φ6@150双向钢筋网片，保护层不小于10mm，分格缝宽20mm，纵横缝间距3m，缝中用密封材料嵌填)；</w:t>
      </w:r>
    </w:p>
    <w:p>
      <w:pPr>
        <w:keepNext w:val="0"/>
        <w:keepLines w:val="0"/>
        <w:pageBreakBefore w:val="0"/>
        <w:kinsoku/>
        <w:wordWrap/>
        <w:overflowPunct/>
        <w:topLinePunct w:val="0"/>
        <w:autoSpaceDE/>
        <w:autoSpaceDN/>
        <w:bidi w:val="0"/>
        <w:spacing w:line="360" w:lineRule="auto"/>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3、如下图、类似屋面悬挑雨棚是否在本次招标范围，若在是否按照屋面做法考虑，请明确。</w:t>
      </w:r>
    </w:p>
    <w:p>
      <w:pPr>
        <w:numPr>
          <w:ilvl w:val="0"/>
          <w:numId w:val="0"/>
        </w:numPr>
        <w:ind w:leftChars="-199"/>
        <w:jc w:val="both"/>
      </w:pPr>
      <w:r>
        <w:drawing>
          <wp:inline distT="0" distB="0" distL="114300" distR="114300">
            <wp:extent cx="5135880" cy="3043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135880" cy="3043555"/>
                    </a:xfrm>
                    <a:prstGeom prst="rect">
                      <a:avLst/>
                    </a:prstGeom>
                    <a:noFill/>
                    <a:ln>
                      <a:noFill/>
                    </a:ln>
                  </pic:spPr>
                </pic:pic>
              </a:graphicData>
            </a:graphic>
          </wp:inline>
        </w:drawing>
      </w:r>
    </w:p>
    <w:p>
      <w:pPr>
        <w:numPr>
          <w:ilvl w:val="0"/>
          <w:numId w:val="0"/>
        </w:numPr>
        <w:ind w:leftChars="-199"/>
        <w:jc w:val="both"/>
        <w:rPr>
          <w:rFonts w:hint="eastAsia"/>
          <w:lang w:val="en-US" w:eastAsia="zh-CN"/>
        </w:rPr>
      </w:pPr>
      <w:r>
        <w:rPr>
          <w:rFonts w:hint="eastAsia"/>
          <w:lang w:val="en-US" w:eastAsia="zh-CN"/>
        </w:rPr>
        <w:t>回复：不在招标范围。</w:t>
      </w:r>
    </w:p>
    <w:p>
      <w:pPr>
        <w:numPr>
          <w:ilvl w:val="0"/>
          <w:numId w:val="0"/>
        </w:numPr>
        <w:ind w:leftChars="-199"/>
        <w:jc w:val="both"/>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3、如下图，找坡层细石砼强度请明确。</w:t>
      </w:r>
    </w:p>
    <w:p>
      <w:pPr>
        <w:numPr>
          <w:ilvl w:val="0"/>
          <w:numId w:val="0"/>
        </w:numPr>
        <w:ind w:leftChars="-199"/>
        <w:jc w:val="both"/>
      </w:pPr>
      <w:r>
        <w:drawing>
          <wp:inline distT="0" distB="0" distL="114300" distR="114300">
            <wp:extent cx="4975860" cy="8001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975860" cy="800100"/>
                    </a:xfrm>
                    <a:prstGeom prst="rect">
                      <a:avLst/>
                    </a:prstGeom>
                    <a:noFill/>
                    <a:ln>
                      <a:noFill/>
                    </a:ln>
                  </pic:spPr>
                </pic:pic>
              </a:graphicData>
            </a:graphic>
          </wp:inline>
        </w:drawing>
      </w:r>
    </w:p>
    <w:p>
      <w:pPr>
        <w:numPr>
          <w:ilvl w:val="0"/>
          <w:numId w:val="0"/>
        </w:numPr>
        <w:ind w:leftChars="-199"/>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回复：找坡细石砼强度为C20</w:t>
      </w:r>
    </w:p>
    <w:p>
      <w:pPr>
        <w:numPr>
          <w:ilvl w:val="0"/>
          <w:numId w:val="0"/>
        </w:numPr>
        <w:ind w:leftChars="-199"/>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4、原石材幕墙结构胶老化开裂的铲除重新打胶，清单如何考虑。</w:t>
      </w:r>
    </w:p>
    <w:p>
      <w:pPr>
        <w:numPr>
          <w:ilvl w:val="0"/>
          <w:numId w:val="0"/>
        </w:numPr>
        <w:ind w:leftChars="-199"/>
        <w:jc w:val="both"/>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回复：按项计列，清单按照120m计入。</w:t>
      </w:r>
    </w:p>
    <w:p>
      <w:pPr>
        <w:pStyle w:val="2"/>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FD02ED"/>
    <w:multiLevelType w:val="singleLevel"/>
    <w:tmpl w:val="DDFD02ED"/>
    <w:lvl w:ilvl="0" w:tentative="0">
      <w:start w:val="1"/>
      <w:numFmt w:val="decimal"/>
      <w:suff w:val="nothing"/>
      <w:lvlText w:val="%1、"/>
      <w:lvlJc w:val="left"/>
    </w:lvl>
  </w:abstractNum>
  <w:abstractNum w:abstractNumId="1">
    <w:nsid w:val="FF3CEB7D"/>
    <w:multiLevelType w:val="singleLevel"/>
    <w:tmpl w:val="FF3CEB7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Q2NTIzYTE4N2E0YzlhMzQ5NDU4ODdmZDk1MDYifQ=="/>
  </w:docVars>
  <w:rsids>
    <w:rsidRoot w:val="6BC55F6F"/>
    <w:rsid w:val="00104283"/>
    <w:rsid w:val="002808F1"/>
    <w:rsid w:val="00371189"/>
    <w:rsid w:val="003E7F68"/>
    <w:rsid w:val="004776B1"/>
    <w:rsid w:val="0052311E"/>
    <w:rsid w:val="007272DB"/>
    <w:rsid w:val="00925BFB"/>
    <w:rsid w:val="00C1457A"/>
    <w:rsid w:val="00C14A69"/>
    <w:rsid w:val="00D03555"/>
    <w:rsid w:val="00D07CD2"/>
    <w:rsid w:val="00DA1414"/>
    <w:rsid w:val="00E24410"/>
    <w:rsid w:val="00EF10B3"/>
    <w:rsid w:val="00F96E09"/>
    <w:rsid w:val="00FC5973"/>
    <w:rsid w:val="00FE7630"/>
    <w:rsid w:val="042B759C"/>
    <w:rsid w:val="04956019"/>
    <w:rsid w:val="07977A01"/>
    <w:rsid w:val="07F765CD"/>
    <w:rsid w:val="095B6FF9"/>
    <w:rsid w:val="09C07485"/>
    <w:rsid w:val="09C37B5D"/>
    <w:rsid w:val="0A21616D"/>
    <w:rsid w:val="0AEB0D8A"/>
    <w:rsid w:val="0B0C2F66"/>
    <w:rsid w:val="0C6E04E1"/>
    <w:rsid w:val="0D5A2BC6"/>
    <w:rsid w:val="0D874684"/>
    <w:rsid w:val="0E374D2E"/>
    <w:rsid w:val="0E8913B6"/>
    <w:rsid w:val="0E8E1159"/>
    <w:rsid w:val="0E990A54"/>
    <w:rsid w:val="11203B56"/>
    <w:rsid w:val="121B0CA2"/>
    <w:rsid w:val="12C851F8"/>
    <w:rsid w:val="135A172B"/>
    <w:rsid w:val="152D0EF1"/>
    <w:rsid w:val="16E16390"/>
    <w:rsid w:val="16E318AE"/>
    <w:rsid w:val="179641D9"/>
    <w:rsid w:val="1856715E"/>
    <w:rsid w:val="18F5267A"/>
    <w:rsid w:val="19846073"/>
    <w:rsid w:val="199D458D"/>
    <w:rsid w:val="19B320FC"/>
    <w:rsid w:val="1A4E1FAD"/>
    <w:rsid w:val="1A9C62E3"/>
    <w:rsid w:val="1BE369B7"/>
    <w:rsid w:val="1C34556D"/>
    <w:rsid w:val="1C9E00EF"/>
    <w:rsid w:val="1E171E79"/>
    <w:rsid w:val="1F5E1E9A"/>
    <w:rsid w:val="1F7D44ED"/>
    <w:rsid w:val="212B375D"/>
    <w:rsid w:val="214D2DD2"/>
    <w:rsid w:val="22361AC1"/>
    <w:rsid w:val="22A8794F"/>
    <w:rsid w:val="24A8695E"/>
    <w:rsid w:val="253D2ACD"/>
    <w:rsid w:val="25D54AB7"/>
    <w:rsid w:val="27390F10"/>
    <w:rsid w:val="2A3A2D91"/>
    <w:rsid w:val="2A922FF4"/>
    <w:rsid w:val="2AE85096"/>
    <w:rsid w:val="2BC07473"/>
    <w:rsid w:val="2CAD1CE2"/>
    <w:rsid w:val="31000B10"/>
    <w:rsid w:val="31523460"/>
    <w:rsid w:val="341113B0"/>
    <w:rsid w:val="34984081"/>
    <w:rsid w:val="34F802A8"/>
    <w:rsid w:val="351337AF"/>
    <w:rsid w:val="3741631B"/>
    <w:rsid w:val="37A424CE"/>
    <w:rsid w:val="37F06F3B"/>
    <w:rsid w:val="386B15A1"/>
    <w:rsid w:val="39842853"/>
    <w:rsid w:val="3A8530E2"/>
    <w:rsid w:val="3AB112D5"/>
    <w:rsid w:val="3B4B2DEC"/>
    <w:rsid w:val="3B5C57E2"/>
    <w:rsid w:val="3C042717"/>
    <w:rsid w:val="3CF91FA3"/>
    <w:rsid w:val="3D1E33B6"/>
    <w:rsid w:val="3E172CB8"/>
    <w:rsid w:val="3E3A622A"/>
    <w:rsid w:val="3E486D51"/>
    <w:rsid w:val="3E7C294B"/>
    <w:rsid w:val="3FF35E0E"/>
    <w:rsid w:val="41832E33"/>
    <w:rsid w:val="42FA0F8E"/>
    <w:rsid w:val="43B45F39"/>
    <w:rsid w:val="441608DC"/>
    <w:rsid w:val="44A72B41"/>
    <w:rsid w:val="44E840F5"/>
    <w:rsid w:val="47033933"/>
    <w:rsid w:val="47E744AA"/>
    <w:rsid w:val="48B3418B"/>
    <w:rsid w:val="49355192"/>
    <w:rsid w:val="497B6A50"/>
    <w:rsid w:val="4ABD5639"/>
    <w:rsid w:val="4BE375CB"/>
    <w:rsid w:val="4C026003"/>
    <w:rsid w:val="4C9348FA"/>
    <w:rsid w:val="4D202B47"/>
    <w:rsid w:val="4E6E5683"/>
    <w:rsid w:val="50752C9B"/>
    <w:rsid w:val="508F0ADF"/>
    <w:rsid w:val="514F2BD1"/>
    <w:rsid w:val="51782FDD"/>
    <w:rsid w:val="51B85D28"/>
    <w:rsid w:val="51C616FC"/>
    <w:rsid w:val="537B6345"/>
    <w:rsid w:val="547629DD"/>
    <w:rsid w:val="55067F3A"/>
    <w:rsid w:val="56291489"/>
    <w:rsid w:val="57334054"/>
    <w:rsid w:val="58672154"/>
    <w:rsid w:val="590012FE"/>
    <w:rsid w:val="59407EBE"/>
    <w:rsid w:val="5B6D5236"/>
    <w:rsid w:val="5CDB7653"/>
    <w:rsid w:val="5DBF1655"/>
    <w:rsid w:val="5E3E4070"/>
    <w:rsid w:val="61E74DD7"/>
    <w:rsid w:val="621A7340"/>
    <w:rsid w:val="63560857"/>
    <w:rsid w:val="64F867E2"/>
    <w:rsid w:val="66325410"/>
    <w:rsid w:val="67A24624"/>
    <w:rsid w:val="68A5281B"/>
    <w:rsid w:val="69794082"/>
    <w:rsid w:val="6BC55F6F"/>
    <w:rsid w:val="6BF712F9"/>
    <w:rsid w:val="6C21535D"/>
    <w:rsid w:val="6CF91AF9"/>
    <w:rsid w:val="6DF72AC6"/>
    <w:rsid w:val="6E4D331A"/>
    <w:rsid w:val="720D6938"/>
    <w:rsid w:val="74F650A1"/>
    <w:rsid w:val="75467FE0"/>
    <w:rsid w:val="76902E5A"/>
    <w:rsid w:val="774C68CD"/>
    <w:rsid w:val="776E278B"/>
    <w:rsid w:val="77935160"/>
    <w:rsid w:val="78063FEE"/>
    <w:rsid w:val="79310503"/>
    <w:rsid w:val="7AD544FB"/>
    <w:rsid w:val="7C5E2286"/>
    <w:rsid w:val="7CBA7632"/>
    <w:rsid w:val="7D9F68FF"/>
    <w:rsid w:val="7E661E5F"/>
    <w:rsid w:val="7ECD3CD0"/>
    <w:rsid w:val="7F3D260A"/>
    <w:rsid w:val="7F605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firstLineChars="200"/>
    </w:pPr>
  </w:style>
  <w:style w:type="paragraph" w:styleId="3">
    <w:name w:val="Body Text Indent"/>
    <w:basedOn w:val="1"/>
    <w:next w:val="4"/>
    <w:unhideWhenUsed/>
    <w:qFormat/>
    <w:uiPriority w:val="99"/>
    <w:pPr>
      <w:spacing w:after="120"/>
      <w:ind w:left="420" w:leftChars="200"/>
    </w:pPr>
  </w:style>
  <w:style w:type="paragraph" w:customStyle="1" w:styleId="4">
    <w:name w:val="Char Char Char1 Char"/>
    <w:basedOn w:val="1"/>
    <w:next w:val="1"/>
    <w:qFormat/>
    <w:uiPriority w:val="0"/>
    <w:pPr>
      <w:spacing w:line="360" w:lineRule="auto"/>
      <w:ind w:firstLine="200"/>
    </w:pPr>
    <w:rPr>
      <w:rFonts w:ascii="宋体" w:hAnsi="宋体" w:eastAsia="黑体"/>
      <w:sz w:val="24"/>
    </w:rPr>
  </w:style>
  <w:style w:type="paragraph" w:styleId="5">
    <w:name w:val="Normal Indent"/>
    <w:basedOn w:val="1"/>
    <w:unhideWhenUsed/>
    <w:qFormat/>
    <w:uiPriority w:val="99"/>
    <w:pPr>
      <w:ind w:firstLine="420" w:firstLineChars="200"/>
    </w:pPr>
  </w:style>
  <w:style w:type="paragraph" w:styleId="6">
    <w:name w:val="Balloon Text"/>
    <w:basedOn w:val="1"/>
    <w:link w:val="16"/>
    <w:qFormat/>
    <w:uiPriority w:val="0"/>
    <w:rPr>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Default"/>
    <w:next w:val="15"/>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5">
    <w:name w:val="Numbered List"/>
    <w:qFormat/>
    <w:uiPriority w:val="0"/>
    <w:pPr>
      <w:widowControl w:val="0"/>
      <w:autoSpaceDE w:val="0"/>
      <w:autoSpaceDN w:val="0"/>
      <w:ind w:left="720" w:hanging="431"/>
    </w:pPr>
    <w:rPr>
      <w:rFonts w:ascii="Times New Roman" w:hAnsi="Times New Roman" w:eastAsia="宋体" w:cs="Times New Roman"/>
      <w:lang w:val="en-US" w:eastAsia="zh-CN" w:bidi="ar-SA"/>
    </w:rPr>
  </w:style>
  <w:style w:type="character" w:customStyle="1" w:styleId="16">
    <w:name w:val="批注框文本 字符"/>
    <w:basedOn w:val="13"/>
    <w:link w:val="6"/>
    <w:qFormat/>
    <w:uiPriority w:val="0"/>
    <w:rPr>
      <w:rFonts w:asciiTheme="minorHAnsi" w:hAnsiTheme="minorHAnsi" w:eastAsiaTheme="minorEastAsia" w:cstheme="minorBidi"/>
      <w:kern w:val="2"/>
      <w:sz w:val="18"/>
      <w:szCs w:val="18"/>
    </w:rPr>
  </w:style>
  <w:style w:type="character" w:customStyle="1" w:styleId="17">
    <w:name w:val="页眉 字符"/>
    <w:basedOn w:val="13"/>
    <w:link w:val="9"/>
    <w:qFormat/>
    <w:uiPriority w:val="0"/>
    <w:rPr>
      <w:rFonts w:asciiTheme="minorHAnsi" w:hAnsiTheme="minorHAnsi" w:eastAsiaTheme="minorEastAsia" w:cstheme="minorBidi"/>
      <w:kern w:val="2"/>
      <w:sz w:val="18"/>
      <w:szCs w:val="18"/>
    </w:rPr>
  </w:style>
  <w:style w:type="character" w:customStyle="1" w:styleId="18">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1524</Words>
  <Characters>1592</Characters>
  <Lines>22</Lines>
  <Paragraphs>6</Paragraphs>
  <TotalTime>5</TotalTime>
  <ScaleCrop>false</ScaleCrop>
  <LinksUpToDate>false</LinksUpToDate>
  <CharactersWithSpaces>1595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2021-08-12T03:02:00Z</dcterms:created>
  <dc:creator>阳光</dc:creator>
  <cp:lastModifiedBy>Lenovo</cp:lastModifiedBy>
  <dcterms:modified xsi:type="dcterms:W3CDTF">2023-05-07T02:32:19Z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15DF07923B884B1388E094E436B5FC2E</vt:lpwstr>
  </property>
</Properties>
</file>