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B3C63">
      <w:pPr>
        <w:spacing w:line="900" w:lineRule="exact"/>
        <w:ind w:right="-218" w:rightChars="-104"/>
        <w:jc w:val="center"/>
        <w:rPr>
          <w:rFonts w:hint="eastAsia" w:ascii="Arial" w:hAnsi="Arial" w:eastAsia="黑体"/>
          <w:b/>
          <w:color w:val="000000"/>
          <w:sz w:val="44"/>
          <w:szCs w:val="44"/>
        </w:rPr>
      </w:pPr>
      <w:r>
        <w:rPr>
          <w:rFonts w:hint="eastAsia" w:ascii="宋体" w:hAnsi="宋体" w:cs="宋体"/>
          <w:b/>
          <w:spacing w:val="-20"/>
          <w:sz w:val="48"/>
          <w:szCs w:val="48"/>
          <w:u w:val="single"/>
          <w:lang w:val="en-US" w:eastAsia="zh-CN"/>
        </w:rPr>
        <w:t>合柴1972文创园消防维保服务</w:t>
      </w:r>
      <w:r>
        <w:rPr>
          <w:rFonts w:eastAsia="黑体"/>
          <w:sz w:val="52"/>
        </w:rPr>
        <w:tab/>
      </w:r>
    </w:p>
    <w:p w14:paraId="11D6FC51">
      <w:pPr>
        <w:adjustRightInd w:val="0"/>
        <w:snapToGrid w:val="0"/>
        <w:spacing w:before="48" w:beforeLines="20" w:after="48" w:afterLines="20" w:line="640" w:lineRule="exact"/>
        <w:ind w:right="-218" w:rightChars="-104"/>
        <w:jc w:val="center"/>
        <w:rPr>
          <w:rFonts w:eastAsia="幼圆"/>
          <w:b/>
          <w:bCs/>
          <w:sz w:val="36"/>
          <w:szCs w:val="36"/>
        </w:rPr>
      </w:pPr>
    </w:p>
    <w:p w14:paraId="1158A6D2">
      <w:pPr>
        <w:adjustRightInd w:val="0"/>
        <w:snapToGrid w:val="0"/>
        <w:spacing w:before="48" w:beforeLines="20" w:after="48" w:afterLines="20" w:line="940" w:lineRule="exact"/>
        <w:ind w:right="-218" w:rightChars="-104"/>
        <w:jc w:val="center"/>
        <w:rPr>
          <w:rFonts w:hint="eastAsia" w:ascii="宋体" w:hAnsi="宋体" w:eastAsia="宋体" w:cs="宋体"/>
          <w:b/>
          <w:bCs/>
          <w:sz w:val="84"/>
          <w:szCs w:val="84"/>
        </w:rPr>
      </w:pPr>
    </w:p>
    <w:p w14:paraId="68B71761">
      <w:pPr>
        <w:adjustRightInd w:val="0"/>
        <w:snapToGrid w:val="0"/>
        <w:spacing w:before="48" w:beforeLines="20" w:after="48" w:afterLines="20" w:line="940" w:lineRule="exact"/>
        <w:ind w:right="-218" w:rightChars="-104"/>
        <w:jc w:val="center"/>
        <w:rPr>
          <w:rFonts w:hint="eastAsia" w:ascii="宋体" w:hAnsi="宋体" w:eastAsia="宋体" w:cs="宋体"/>
          <w:b/>
          <w:bCs/>
          <w:sz w:val="84"/>
          <w:szCs w:val="84"/>
        </w:rPr>
      </w:pPr>
    </w:p>
    <w:p w14:paraId="2EC9F2B9">
      <w:pPr>
        <w:adjustRightInd w:val="0"/>
        <w:snapToGrid w:val="0"/>
        <w:spacing w:before="48" w:beforeLines="20" w:after="48" w:afterLines="20" w:line="940" w:lineRule="exact"/>
        <w:ind w:right="-218" w:rightChars="-104"/>
        <w:jc w:val="center"/>
        <w:rPr>
          <w:rFonts w:hint="eastAsia" w:ascii="宋体" w:hAnsi="宋体" w:eastAsia="宋体" w:cs="宋体"/>
          <w:bCs/>
          <w:sz w:val="84"/>
          <w:szCs w:val="84"/>
        </w:rPr>
      </w:pPr>
      <w:r>
        <w:rPr>
          <w:rFonts w:hint="eastAsia" w:ascii="宋体" w:hAnsi="宋体" w:eastAsia="宋体" w:cs="宋体"/>
          <w:bCs/>
          <w:sz w:val="84"/>
          <w:szCs w:val="84"/>
        </w:rPr>
        <w:t>招</w:t>
      </w:r>
    </w:p>
    <w:p w14:paraId="7487D6C5">
      <w:pPr>
        <w:adjustRightInd w:val="0"/>
        <w:snapToGrid w:val="0"/>
        <w:spacing w:before="48" w:beforeLines="20" w:after="48" w:afterLines="20" w:line="940" w:lineRule="exact"/>
        <w:ind w:right="-218" w:rightChars="-104"/>
        <w:jc w:val="center"/>
        <w:rPr>
          <w:rFonts w:hint="eastAsia" w:ascii="宋体" w:hAnsi="宋体" w:eastAsia="宋体" w:cs="宋体"/>
          <w:bCs/>
          <w:sz w:val="84"/>
          <w:szCs w:val="84"/>
        </w:rPr>
      </w:pPr>
      <w:r>
        <w:rPr>
          <w:rFonts w:hint="eastAsia" w:ascii="宋体" w:hAnsi="宋体" w:eastAsia="宋体" w:cs="宋体"/>
          <w:bCs/>
          <w:sz w:val="84"/>
          <w:szCs w:val="84"/>
        </w:rPr>
        <w:t>标</w:t>
      </w:r>
    </w:p>
    <w:p w14:paraId="11CF0BAD">
      <w:pPr>
        <w:adjustRightInd w:val="0"/>
        <w:snapToGrid w:val="0"/>
        <w:spacing w:before="48" w:beforeLines="20" w:after="48" w:afterLines="20" w:line="940" w:lineRule="exact"/>
        <w:ind w:right="-218" w:rightChars="-104"/>
        <w:jc w:val="center"/>
        <w:rPr>
          <w:rFonts w:hint="eastAsia" w:ascii="宋体" w:hAnsi="宋体" w:eastAsia="宋体" w:cs="宋体"/>
          <w:bCs/>
          <w:sz w:val="84"/>
          <w:szCs w:val="84"/>
        </w:rPr>
      </w:pPr>
      <w:r>
        <w:rPr>
          <w:rFonts w:hint="eastAsia" w:ascii="宋体" w:hAnsi="宋体" w:eastAsia="宋体" w:cs="宋体"/>
          <w:bCs/>
          <w:sz w:val="84"/>
          <w:szCs w:val="84"/>
        </w:rPr>
        <w:t>文</w:t>
      </w:r>
    </w:p>
    <w:p w14:paraId="5AE0C8FA">
      <w:pPr>
        <w:adjustRightInd w:val="0"/>
        <w:snapToGrid w:val="0"/>
        <w:spacing w:before="48" w:beforeLines="20" w:after="48" w:afterLines="20" w:line="940" w:lineRule="exact"/>
        <w:ind w:right="-218" w:rightChars="-104"/>
        <w:jc w:val="center"/>
        <w:rPr>
          <w:rFonts w:hint="eastAsia" w:ascii="宋体" w:hAnsi="宋体" w:eastAsia="宋体" w:cs="宋体"/>
          <w:bCs/>
          <w:sz w:val="84"/>
          <w:szCs w:val="84"/>
        </w:rPr>
      </w:pPr>
      <w:r>
        <w:rPr>
          <w:rFonts w:hint="eastAsia" w:ascii="宋体" w:hAnsi="宋体" w:eastAsia="宋体" w:cs="宋体"/>
          <w:bCs/>
          <w:sz w:val="84"/>
          <w:szCs w:val="84"/>
        </w:rPr>
        <w:t>件</w:t>
      </w:r>
    </w:p>
    <w:p w14:paraId="7E6769F7">
      <w:pPr>
        <w:adjustRightInd w:val="0"/>
        <w:snapToGrid w:val="0"/>
        <w:spacing w:before="48" w:beforeLines="20" w:after="48" w:afterLines="20" w:line="640" w:lineRule="exact"/>
        <w:ind w:right="-218" w:rightChars="-104"/>
        <w:rPr>
          <w:rFonts w:hint="eastAsia" w:ascii="宋体" w:hAnsi="宋体" w:eastAsia="宋体" w:cs="宋体"/>
          <w:bCs/>
          <w:sz w:val="28"/>
        </w:rPr>
      </w:pPr>
      <w:r>
        <w:rPr>
          <w:rFonts w:hint="eastAsia" w:ascii="宋体" w:hAnsi="宋体" w:eastAsia="宋体" w:cs="宋体"/>
          <w:bCs/>
          <w:sz w:val="28"/>
        </w:rPr>
        <w:t xml:space="preserve">                    </w:t>
      </w:r>
    </w:p>
    <w:p w14:paraId="565E132A">
      <w:pPr>
        <w:adjustRightInd w:val="0"/>
        <w:snapToGrid w:val="0"/>
        <w:spacing w:before="48" w:beforeLines="20" w:after="48" w:afterLines="20" w:line="540" w:lineRule="exact"/>
        <w:ind w:right="-218" w:rightChars="-104"/>
        <w:rPr>
          <w:rFonts w:hint="eastAsia" w:ascii="宋体" w:hAnsi="宋体" w:eastAsia="宋体" w:cs="宋体"/>
          <w:b/>
          <w:sz w:val="30"/>
          <w:szCs w:val="30"/>
        </w:rPr>
      </w:pPr>
    </w:p>
    <w:p w14:paraId="27EBB521">
      <w:pPr>
        <w:adjustRightInd w:val="0"/>
        <w:snapToGrid w:val="0"/>
        <w:spacing w:before="48" w:beforeLines="20" w:after="48" w:afterLines="20" w:line="540" w:lineRule="exact"/>
        <w:ind w:right="-218" w:rightChars="-104"/>
        <w:jc w:val="center"/>
        <w:rPr>
          <w:rFonts w:hint="default" w:ascii="宋体" w:hAnsi="宋体" w:eastAsia="宋体" w:cs="宋体"/>
          <w:b/>
          <w:bCs/>
          <w:spacing w:val="-20"/>
          <w:sz w:val="36"/>
          <w:szCs w:val="36"/>
          <w:lang w:val="en-US" w:eastAsia="zh-CN"/>
        </w:rPr>
      </w:pPr>
      <w:r>
        <w:rPr>
          <w:rFonts w:hint="eastAsia" w:ascii="宋体" w:hAnsi="宋体" w:eastAsia="宋体" w:cs="宋体"/>
          <w:b/>
          <w:bCs/>
          <w:spacing w:val="-20"/>
          <w:sz w:val="36"/>
          <w:szCs w:val="36"/>
        </w:rPr>
        <w:t>招</w:t>
      </w:r>
      <w:r>
        <w:rPr>
          <w:rFonts w:hint="eastAsia" w:ascii="宋体" w:hAnsi="宋体" w:eastAsia="宋体" w:cs="宋体"/>
          <w:b/>
          <w:bCs/>
          <w:spacing w:val="-20"/>
          <w:sz w:val="36"/>
          <w:szCs w:val="36"/>
          <w:lang w:val="en-US" w:eastAsia="zh-CN"/>
        </w:rPr>
        <w:t xml:space="preserve">  </w:t>
      </w:r>
      <w:r>
        <w:rPr>
          <w:rFonts w:hint="eastAsia" w:ascii="宋体" w:hAnsi="宋体" w:eastAsia="宋体" w:cs="宋体"/>
          <w:b/>
          <w:bCs/>
          <w:spacing w:val="-20"/>
          <w:sz w:val="36"/>
          <w:szCs w:val="36"/>
        </w:rPr>
        <w:t>标</w:t>
      </w:r>
      <w:r>
        <w:rPr>
          <w:rFonts w:hint="eastAsia" w:ascii="宋体" w:hAnsi="宋体" w:eastAsia="宋体" w:cs="宋体"/>
          <w:b/>
          <w:bCs/>
          <w:spacing w:val="-20"/>
          <w:sz w:val="36"/>
          <w:szCs w:val="36"/>
          <w:lang w:val="en-US" w:eastAsia="zh-CN"/>
        </w:rPr>
        <w:t xml:space="preserve">  </w:t>
      </w:r>
      <w:r>
        <w:rPr>
          <w:rFonts w:hint="eastAsia" w:ascii="宋体" w:hAnsi="宋体" w:eastAsia="宋体" w:cs="宋体"/>
          <w:b/>
          <w:bCs/>
          <w:spacing w:val="-20"/>
          <w:sz w:val="36"/>
          <w:szCs w:val="36"/>
          <w:lang w:eastAsia="zh-CN"/>
        </w:rPr>
        <w:t>人</w:t>
      </w:r>
      <w:r>
        <w:rPr>
          <w:rFonts w:hint="eastAsia" w:ascii="宋体" w:hAnsi="宋体" w:eastAsia="宋体" w:cs="宋体"/>
          <w:b/>
          <w:bCs/>
          <w:spacing w:val="-20"/>
          <w:sz w:val="36"/>
          <w:szCs w:val="36"/>
        </w:rPr>
        <w:t>：</w:t>
      </w:r>
      <w:r>
        <w:rPr>
          <w:rFonts w:hint="eastAsia" w:ascii="宋体" w:hAnsi="宋体" w:cs="宋体"/>
          <w:b/>
          <w:bCs/>
          <w:spacing w:val="-20"/>
          <w:sz w:val="36"/>
          <w:szCs w:val="36"/>
          <w:lang w:val="en-US" w:eastAsia="zh-CN"/>
        </w:rPr>
        <w:t>合肥滨投文化创意发展有限公司</w:t>
      </w:r>
    </w:p>
    <w:p w14:paraId="44813774">
      <w:pPr>
        <w:tabs>
          <w:tab w:val="left" w:pos="4620"/>
        </w:tabs>
        <w:spacing w:line="440" w:lineRule="exact"/>
        <w:ind w:right="-218" w:rightChars="-104"/>
        <w:jc w:val="center"/>
        <w:rPr>
          <w:rFonts w:hint="eastAsia" w:ascii="宋体" w:hAnsi="宋体" w:eastAsia="宋体" w:cs="宋体"/>
          <w:bCs/>
          <w:sz w:val="36"/>
          <w:lang w:val="en-US" w:eastAsia="zh-CN"/>
        </w:rPr>
      </w:pPr>
    </w:p>
    <w:p w14:paraId="4737BD77">
      <w:pPr>
        <w:tabs>
          <w:tab w:val="left" w:pos="4620"/>
        </w:tabs>
        <w:spacing w:line="440" w:lineRule="exact"/>
        <w:ind w:right="-218" w:rightChars="-104" w:firstLine="1928" w:firstLineChars="600"/>
        <w:jc w:val="both"/>
        <w:rPr>
          <w:rFonts w:hint="default" w:ascii="宋体" w:hAnsi="宋体" w:eastAsia="宋体" w:cs="宋体"/>
          <w:bCs/>
          <w:sz w:val="36"/>
          <w:lang w:val="en-US" w:eastAsia="zh-CN"/>
        </w:rPr>
      </w:pPr>
      <w:r>
        <w:rPr>
          <w:rFonts w:hint="eastAsia" w:ascii="宋体" w:hAnsi="宋体" w:eastAsia="宋体" w:cs="宋体"/>
          <w:b/>
          <w:bCs/>
          <w:spacing w:val="-20"/>
          <w:sz w:val="36"/>
          <w:szCs w:val="36"/>
          <w:lang w:val="en-US" w:eastAsia="zh-CN"/>
        </w:rPr>
        <w:t>日      期：</w:t>
      </w:r>
      <w:r>
        <w:rPr>
          <w:rFonts w:hint="eastAsia" w:ascii="宋体" w:hAnsi="宋体" w:eastAsia="宋体" w:cs="宋体"/>
          <w:b/>
          <w:bCs w:val="0"/>
          <w:sz w:val="36"/>
          <w:lang w:val="en-US" w:eastAsia="zh-CN"/>
        </w:rPr>
        <w:t>202</w:t>
      </w:r>
      <w:r>
        <w:rPr>
          <w:rFonts w:hint="eastAsia" w:ascii="宋体" w:hAnsi="宋体" w:cs="宋体"/>
          <w:b/>
          <w:bCs w:val="0"/>
          <w:sz w:val="36"/>
          <w:lang w:val="en-US" w:eastAsia="zh-CN"/>
        </w:rPr>
        <w:t>5</w:t>
      </w:r>
      <w:r>
        <w:rPr>
          <w:rFonts w:hint="eastAsia" w:ascii="宋体" w:hAnsi="宋体" w:eastAsia="宋体" w:cs="宋体"/>
          <w:b/>
          <w:bCs w:val="0"/>
          <w:sz w:val="36"/>
          <w:u w:val="none"/>
          <w:lang w:val="en-US" w:eastAsia="zh-CN"/>
        </w:rPr>
        <w:t>年</w:t>
      </w:r>
      <w:r>
        <w:rPr>
          <w:rFonts w:hint="eastAsia" w:ascii="宋体" w:hAnsi="宋体" w:cs="宋体"/>
          <w:b/>
          <w:bCs w:val="0"/>
          <w:sz w:val="36"/>
          <w:u w:val="none"/>
          <w:lang w:val="en-US" w:eastAsia="zh-CN"/>
        </w:rPr>
        <w:t>2月</w:t>
      </w:r>
    </w:p>
    <w:p w14:paraId="2EF4E889">
      <w:pPr>
        <w:tabs>
          <w:tab w:val="left" w:pos="4620"/>
        </w:tabs>
        <w:spacing w:line="440" w:lineRule="exact"/>
        <w:ind w:right="-218" w:rightChars="-104"/>
        <w:jc w:val="center"/>
        <w:rPr>
          <w:rFonts w:hint="eastAsia" w:eastAsia="幼圆"/>
          <w:bCs/>
          <w:sz w:val="36"/>
          <w:lang w:val="en-US" w:eastAsia="zh-CN"/>
        </w:rPr>
      </w:pPr>
    </w:p>
    <w:p w14:paraId="53D0BE8D">
      <w:r>
        <w:br w:type="page"/>
      </w:r>
    </w:p>
    <w:p w14:paraId="11C7D88E">
      <w:pPr>
        <w:pStyle w:val="3"/>
        <w:spacing w:before="0" w:after="0" w:line="240" w:lineRule="auto"/>
        <w:ind w:right="-218" w:rightChars="-104" w:firstLine="0"/>
        <w:rPr>
          <w:rFonts w:hint="eastAsia"/>
          <w:color w:val="000000"/>
        </w:rPr>
      </w:pPr>
      <w:bookmarkStart w:id="0" w:name="_Toc1558"/>
      <w:r>
        <w:rPr>
          <w:rFonts w:hint="eastAsia" w:ascii="宋体" w:hAnsi="宋体" w:eastAsia="宋体"/>
          <w:color w:val="000000"/>
        </w:rPr>
        <w:t xml:space="preserve">第一章 </w:t>
      </w:r>
      <w:r>
        <w:rPr>
          <w:rFonts w:hint="eastAsia" w:ascii="宋体" w:hAnsi="宋体" w:eastAsia="宋体"/>
          <w:color w:val="000000"/>
          <w:lang w:val="en-US" w:eastAsia="zh-CN"/>
        </w:rPr>
        <w:t>招标</w:t>
      </w:r>
      <w:bookmarkStart w:id="189" w:name="_GoBack"/>
      <w:bookmarkEnd w:id="189"/>
      <w:r>
        <w:rPr>
          <w:rFonts w:hint="eastAsia" w:ascii="宋体" w:hAnsi="宋体" w:eastAsia="宋体"/>
          <w:color w:val="000000"/>
        </w:rPr>
        <w:t>公告</w:t>
      </w:r>
      <w:bookmarkEnd w:id="0"/>
    </w:p>
    <w:p w14:paraId="3D72DF22">
      <w:pPr>
        <w:autoSpaceDE w:val="0"/>
        <w:autoSpaceDN w:val="0"/>
        <w:adjustRightInd w:val="0"/>
        <w:spacing w:line="360" w:lineRule="auto"/>
        <w:ind w:right="-218" w:rightChars="-104" w:firstLine="200"/>
        <w:jc w:val="left"/>
        <w:rPr>
          <w:rFonts w:hint="eastAsia" w:ascii="宋体" w:hAnsi="宋体"/>
          <w:color w:val="000000"/>
          <w:sz w:val="24"/>
          <w:szCs w:val="18"/>
        </w:rPr>
      </w:pPr>
      <w:r>
        <w:rPr>
          <w:rFonts w:hint="eastAsia" w:ascii="宋体" w:hAnsi="宋体"/>
          <w:color w:val="000000"/>
          <w:sz w:val="24"/>
          <w:szCs w:val="18"/>
        </w:rPr>
        <w:t xml:space="preserve">   </w:t>
      </w:r>
    </w:p>
    <w:p w14:paraId="1F031FED">
      <w:pPr>
        <w:autoSpaceDE w:val="0"/>
        <w:autoSpaceDN w:val="0"/>
        <w:adjustRightInd w:val="0"/>
        <w:spacing w:line="360" w:lineRule="auto"/>
        <w:ind w:right="-218" w:rightChars="-104" w:firstLine="480" w:firstLineChars="200"/>
        <w:jc w:val="left"/>
        <w:rPr>
          <w:rFonts w:hint="eastAsia" w:ascii="宋体" w:hAnsi="宋体"/>
          <w:b w:val="0"/>
          <w:bCs/>
          <w:color w:val="000000"/>
          <w:sz w:val="24"/>
          <w:szCs w:val="18"/>
          <w:u w:val="none"/>
        </w:rPr>
      </w:pPr>
      <w:r>
        <w:rPr>
          <w:rFonts w:hint="eastAsia" w:ascii="宋体" w:hAnsi="宋体"/>
          <w:b w:val="0"/>
          <w:bCs/>
          <w:color w:val="000000"/>
          <w:sz w:val="24"/>
          <w:szCs w:val="18"/>
          <w:u w:val="none"/>
          <w:lang w:val="en-US" w:eastAsia="zh-CN"/>
        </w:rPr>
        <w:t>合柴1972文创园消防维保服务</w:t>
      </w:r>
      <w:r>
        <w:rPr>
          <w:rFonts w:hint="eastAsia" w:ascii="宋体" w:hAnsi="宋体"/>
          <w:b w:val="0"/>
          <w:bCs/>
          <w:color w:val="000000"/>
          <w:sz w:val="24"/>
          <w:szCs w:val="18"/>
          <w:u w:val="none"/>
        </w:rPr>
        <w:t>项目的潜在投标人应在</w:t>
      </w:r>
      <w:r>
        <w:rPr>
          <w:rFonts w:hint="eastAsia" w:ascii="宋体" w:hAnsi="宋体"/>
          <w:b w:val="0"/>
          <w:bCs/>
          <w:color w:val="000000"/>
          <w:sz w:val="24"/>
          <w:szCs w:val="18"/>
          <w:u w:val="none"/>
          <w:lang w:val="en-US" w:eastAsia="zh-CN"/>
        </w:rPr>
        <w:t>合肥滨湖投资控股集团有限公司官网</w:t>
      </w:r>
      <w:r>
        <w:rPr>
          <w:rFonts w:hint="eastAsia" w:ascii="宋体" w:hAnsi="宋体"/>
          <w:b w:val="0"/>
          <w:bCs/>
          <w:color w:val="000000"/>
          <w:sz w:val="24"/>
          <w:szCs w:val="18"/>
          <w:u w:val="none"/>
        </w:rPr>
        <w:t>获取招标文件，并于202</w:t>
      </w:r>
      <w:r>
        <w:rPr>
          <w:rFonts w:hint="eastAsia" w:ascii="宋体" w:hAnsi="宋体"/>
          <w:b w:val="0"/>
          <w:bCs/>
          <w:color w:val="000000"/>
          <w:sz w:val="24"/>
          <w:szCs w:val="18"/>
          <w:u w:val="none"/>
          <w:lang w:val="en-US" w:eastAsia="zh-CN"/>
        </w:rPr>
        <w:t>5</w:t>
      </w:r>
      <w:r>
        <w:rPr>
          <w:rFonts w:hint="eastAsia" w:ascii="宋体" w:hAnsi="宋体"/>
          <w:b w:val="0"/>
          <w:bCs/>
          <w:color w:val="000000"/>
          <w:sz w:val="24"/>
          <w:szCs w:val="18"/>
          <w:u w:val="none"/>
        </w:rPr>
        <w:t>年</w:t>
      </w:r>
      <w:r>
        <w:rPr>
          <w:rFonts w:hint="eastAsia" w:ascii="宋体" w:hAnsi="宋体"/>
          <w:b w:val="0"/>
          <w:bCs/>
          <w:color w:val="000000"/>
          <w:sz w:val="24"/>
          <w:szCs w:val="18"/>
          <w:u w:val="none"/>
          <w:lang w:val="en-US" w:eastAsia="zh-CN"/>
        </w:rPr>
        <w:t>2</w:t>
      </w:r>
      <w:r>
        <w:rPr>
          <w:rFonts w:hint="eastAsia" w:ascii="宋体" w:hAnsi="宋体"/>
          <w:b w:val="0"/>
          <w:bCs/>
          <w:color w:val="000000"/>
          <w:sz w:val="24"/>
          <w:szCs w:val="18"/>
          <w:u w:val="none"/>
        </w:rPr>
        <w:t>月</w:t>
      </w:r>
      <w:r>
        <w:rPr>
          <w:rFonts w:hint="eastAsia" w:ascii="宋体" w:hAnsi="宋体"/>
          <w:b w:val="0"/>
          <w:bCs/>
          <w:color w:val="000000"/>
          <w:sz w:val="24"/>
          <w:szCs w:val="18"/>
          <w:u w:val="none"/>
          <w:lang w:val="en-US" w:eastAsia="zh-CN"/>
        </w:rPr>
        <w:t>24</w:t>
      </w:r>
      <w:r>
        <w:rPr>
          <w:rFonts w:hint="eastAsia" w:ascii="宋体" w:hAnsi="宋体"/>
          <w:b w:val="0"/>
          <w:bCs/>
          <w:color w:val="000000"/>
          <w:sz w:val="24"/>
          <w:szCs w:val="18"/>
          <w:u w:val="none"/>
        </w:rPr>
        <w:t>日1</w:t>
      </w:r>
      <w:r>
        <w:rPr>
          <w:rFonts w:hint="eastAsia" w:ascii="宋体" w:hAnsi="宋体"/>
          <w:b w:val="0"/>
          <w:bCs/>
          <w:color w:val="000000"/>
          <w:sz w:val="24"/>
          <w:szCs w:val="18"/>
          <w:u w:val="none"/>
          <w:lang w:val="en-US" w:eastAsia="zh-CN"/>
        </w:rPr>
        <w:t>6</w:t>
      </w:r>
      <w:r>
        <w:rPr>
          <w:rFonts w:hint="eastAsia" w:ascii="宋体" w:hAnsi="宋体"/>
          <w:b w:val="0"/>
          <w:bCs/>
          <w:color w:val="000000"/>
          <w:sz w:val="24"/>
          <w:szCs w:val="18"/>
          <w:u w:val="none"/>
        </w:rPr>
        <w:t>点前递交（</w:t>
      </w:r>
      <w:r>
        <w:rPr>
          <w:rFonts w:hint="eastAsia" w:ascii="宋体" w:hAnsi="宋体"/>
          <w:b w:val="0"/>
          <w:bCs/>
          <w:color w:val="000000"/>
          <w:sz w:val="24"/>
          <w:szCs w:val="18"/>
          <w:u w:val="none"/>
          <w:lang w:val="en-US" w:eastAsia="zh-CN"/>
        </w:rPr>
        <w:t>纸质版</w:t>
      </w:r>
      <w:r>
        <w:rPr>
          <w:rFonts w:hint="eastAsia" w:ascii="宋体" w:hAnsi="宋体"/>
          <w:b w:val="0"/>
          <w:bCs/>
          <w:color w:val="000000"/>
          <w:sz w:val="24"/>
          <w:szCs w:val="18"/>
          <w:u w:val="none"/>
        </w:rPr>
        <w:t>）投标文件。</w:t>
      </w:r>
    </w:p>
    <w:p w14:paraId="59DB8BF7">
      <w:pPr>
        <w:autoSpaceDE w:val="0"/>
        <w:autoSpaceDN w:val="0"/>
        <w:adjustRightInd w:val="0"/>
        <w:spacing w:before="120" w:beforeLines="50" w:line="360" w:lineRule="auto"/>
        <w:ind w:right="-218" w:rightChars="-104" w:firstLine="200"/>
        <w:jc w:val="left"/>
        <w:rPr>
          <w:rFonts w:hint="eastAsia" w:ascii="宋体" w:hAnsi="宋体"/>
          <w:color w:val="000000"/>
          <w:kern w:val="0"/>
          <w:sz w:val="24"/>
          <w:lang w:val="zh-CN"/>
        </w:rPr>
      </w:pPr>
      <w:r>
        <w:rPr>
          <w:rFonts w:hint="eastAsia" w:ascii="宋体" w:hAnsi="宋体"/>
          <w:b/>
          <w:color w:val="000000"/>
          <w:kern w:val="0"/>
          <w:sz w:val="24"/>
          <w:lang w:val="zh-CN"/>
        </w:rPr>
        <w:t>一、项目名称及内容：</w:t>
      </w:r>
      <w:r>
        <w:rPr>
          <w:rFonts w:hint="eastAsia" w:ascii="宋体" w:hAnsi="宋体"/>
          <w:color w:val="000000"/>
          <w:kern w:val="0"/>
          <w:sz w:val="24"/>
        </w:rPr>
        <w:t xml:space="preserve"> </w:t>
      </w:r>
    </w:p>
    <w:p w14:paraId="455A8027">
      <w:pPr>
        <w:autoSpaceDE w:val="0"/>
        <w:autoSpaceDN w:val="0"/>
        <w:adjustRightInd w:val="0"/>
        <w:spacing w:line="360" w:lineRule="auto"/>
        <w:ind w:right="-218" w:rightChars="-104" w:firstLine="200"/>
        <w:jc w:val="left"/>
        <w:rPr>
          <w:rFonts w:hint="eastAsia" w:ascii="宋体" w:hAnsi="宋体"/>
          <w:b/>
          <w:color w:val="000000"/>
          <w:sz w:val="24"/>
          <w:szCs w:val="18"/>
          <w:lang w:val="en-US" w:eastAsia="zh-CN"/>
        </w:rPr>
      </w:pPr>
      <w:r>
        <w:rPr>
          <w:rFonts w:hint="eastAsia" w:ascii="宋体" w:hAnsi="宋体"/>
          <w:color w:val="000000"/>
          <w:kern w:val="0"/>
          <w:sz w:val="24"/>
          <w:lang w:val="en-US" w:eastAsia="zh-CN"/>
        </w:rPr>
        <w:t>1</w:t>
      </w:r>
      <w:r>
        <w:rPr>
          <w:rFonts w:hint="eastAsia" w:ascii="宋体" w:hAnsi="宋体"/>
          <w:color w:val="000000"/>
          <w:kern w:val="0"/>
          <w:sz w:val="24"/>
          <w:lang w:val="zh-CN"/>
        </w:rPr>
        <w:t>、项目名称：</w:t>
      </w:r>
      <w:r>
        <w:rPr>
          <w:rFonts w:hint="eastAsia" w:ascii="宋体" w:hAnsi="宋体"/>
          <w:color w:val="000000"/>
          <w:kern w:val="0"/>
          <w:sz w:val="24"/>
          <w:lang w:val="en-US" w:eastAsia="zh-CN"/>
        </w:rPr>
        <w:t>合柴1972文创园</w:t>
      </w:r>
      <w:r>
        <w:rPr>
          <w:rFonts w:hint="eastAsia" w:ascii="宋体" w:hAnsi="宋体"/>
          <w:color w:val="000000"/>
          <w:kern w:val="0"/>
          <w:sz w:val="24"/>
          <w:lang w:val="zh-CN"/>
        </w:rPr>
        <w:t>消防维保服务</w:t>
      </w:r>
    </w:p>
    <w:p w14:paraId="5B6A022F">
      <w:pPr>
        <w:autoSpaceDE w:val="0"/>
        <w:autoSpaceDN w:val="0"/>
        <w:adjustRightInd w:val="0"/>
        <w:spacing w:line="360" w:lineRule="auto"/>
        <w:ind w:right="-218" w:rightChars="-104" w:firstLine="200"/>
        <w:jc w:val="left"/>
        <w:rPr>
          <w:rFonts w:hint="default" w:ascii="宋体" w:hAnsi="宋体"/>
          <w:b w:val="0"/>
          <w:bCs/>
          <w:color w:val="000000"/>
          <w:sz w:val="24"/>
          <w:szCs w:val="18"/>
          <w:lang w:val="en-US" w:eastAsia="zh-CN"/>
        </w:rPr>
      </w:pPr>
      <w:r>
        <w:rPr>
          <w:rFonts w:hint="eastAsia" w:ascii="宋体" w:hAnsi="宋体"/>
          <w:b w:val="0"/>
          <w:bCs/>
          <w:color w:val="000000"/>
          <w:sz w:val="24"/>
          <w:szCs w:val="18"/>
          <w:lang w:val="en-US" w:eastAsia="zh-CN"/>
        </w:rPr>
        <w:t>2、项目地点：</w:t>
      </w:r>
      <w:r>
        <w:rPr>
          <w:rFonts w:hint="eastAsia" w:ascii="宋体" w:hAnsi="宋体"/>
          <w:b w:val="0"/>
          <w:sz w:val="24"/>
          <w:lang w:val="en-US" w:eastAsia="zh-CN"/>
        </w:rPr>
        <w:t>合肥市包河区合柴1972文创园</w:t>
      </w:r>
    </w:p>
    <w:p w14:paraId="247DB551">
      <w:pPr>
        <w:autoSpaceDE w:val="0"/>
        <w:autoSpaceDN w:val="0"/>
        <w:adjustRightInd w:val="0"/>
        <w:spacing w:line="360" w:lineRule="auto"/>
        <w:ind w:right="-218" w:rightChars="-104" w:firstLine="200"/>
        <w:jc w:val="left"/>
        <w:rPr>
          <w:rFonts w:hint="default" w:ascii="宋体" w:hAnsi="宋体" w:eastAsia="宋体"/>
          <w:sz w:val="24"/>
          <w:szCs w:val="18"/>
          <w:lang w:val="en-US" w:eastAsia="zh-CN"/>
        </w:rPr>
      </w:pPr>
      <w:r>
        <w:rPr>
          <w:rFonts w:hint="eastAsia" w:ascii="宋体" w:hAnsi="宋体"/>
          <w:sz w:val="24"/>
          <w:szCs w:val="18"/>
          <w:lang w:val="en-US" w:eastAsia="zh-CN"/>
        </w:rPr>
        <w:t>3</w:t>
      </w:r>
      <w:r>
        <w:rPr>
          <w:rFonts w:hint="eastAsia" w:ascii="宋体" w:hAnsi="宋体"/>
          <w:sz w:val="24"/>
          <w:szCs w:val="18"/>
        </w:rPr>
        <w:t>、招标</w:t>
      </w:r>
      <w:r>
        <w:rPr>
          <w:rFonts w:hint="eastAsia" w:ascii="宋体" w:hAnsi="宋体"/>
          <w:sz w:val="24"/>
          <w:szCs w:val="18"/>
          <w:lang w:eastAsia="zh-CN"/>
        </w:rPr>
        <w:t>人</w:t>
      </w:r>
      <w:r>
        <w:rPr>
          <w:rFonts w:hint="eastAsia" w:ascii="宋体" w:hAnsi="宋体"/>
          <w:sz w:val="24"/>
          <w:szCs w:val="18"/>
        </w:rPr>
        <w:t>：</w:t>
      </w:r>
      <w:r>
        <w:rPr>
          <w:rFonts w:hint="eastAsia" w:ascii="宋体" w:hAnsi="宋体"/>
          <w:sz w:val="24"/>
          <w:szCs w:val="18"/>
          <w:lang w:val="en-US" w:eastAsia="zh-CN"/>
        </w:rPr>
        <w:t>合肥滨投文化创意发展有限公司</w:t>
      </w:r>
    </w:p>
    <w:p w14:paraId="4F3624A7">
      <w:pPr>
        <w:autoSpaceDE w:val="0"/>
        <w:autoSpaceDN w:val="0"/>
        <w:adjustRightInd w:val="0"/>
        <w:spacing w:line="360" w:lineRule="auto"/>
        <w:ind w:right="-218" w:rightChars="-104" w:firstLine="200"/>
        <w:jc w:val="left"/>
        <w:rPr>
          <w:rFonts w:hint="eastAsia" w:ascii="宋体" w:hAnsi="宋体"/>
          <w:kern w:val="0"/>
          <w:sz w:val="24"/>
          <w:lang w:val="zh-CN"/>
        </w:rPr>
      </w:pPr>
      <w:r>
        <w:rPr>
          <w:rFonts w:hint="eastAsia" w:ascii="宋体" w:hAnsi="宋体"/>
          <w:kern w:val="0"/>
          <w:sz w:val="24"/>
          <w:lang w:val="en-US" w:eastAsia="zh-CN"/>
        </w:rPr>
        <w:t>4</w:t>
      </w:r>
      <w:r>
        <w:rPr>
          <w:rFonts w:hint="eastAsia" w:ascii="宋体" w:hAnsi="宋体"/>
          <w:kern w:val="0"/>
          <w:sz w:val="24"/>
          <w:lang w:val="zh-CN"/>
        </w:rPr>
        <w:t>、项目业主：</w:t>
      </w:r>
      <w:r>
        <w:rPr>
          <w:rFonts w:hint="eastAsia" w:ascii="宋体" w:hAnsi="宋体"/>
          <w:sz w:val="24"/>
          <w:szCs w:val="18"/>
          <w:lang w:val="en-US" w:eastAsia="zh-CN"/>
        </w:rPr>
        <w:t>合肥滨投文化创意发展有限公司</w:t>
      </w:r>
    </w:p>
    <w:p w14:paraId="7E2F98D2">
      <w:pPr>
        <w:spacing w:line="360" w:lineRule="auto"/>
        <w:ind w:right="-218" w:rightChars="-104" w:firstLine="240" w:firstLineChars="100"/>
        <w:rPr>
          <w:rFonts w:ascii="宋体" w:hAnsi="宋体" w:eastAsia="宋体"/>
          <w:bCs/>
          <w:sz w:val="24"/>
          <w:szCs w:val="18"/>
        </w:rPr>
      </w:pPr>
      <w:r>
        <w:rPr>
          <w:rFonts w:hint="eastAsia" w:ascii="宋体" w:hAnsi="宋体"/>
          <w:kern w:val="0"/>
          <w:sz w:val="24"/>
          <w:lang w:val="en-US" w:eastAsia="zh-CN"/>
        </w:rPr>
        <w:t>5</w:t>
      </w:r>
      <w:r>
        <w:rPr>
          <w:rFonts w:hint="eastAsia" w:ascii="宋体" w:hAnsi="宋体"/>
          <w:kern w:val="0"/>
          <w:sz w:val="24"/>
          <w:lang w:val="zh-CN"/>
        </w:rPr>
        <w:t>、</w:t>
      </w:r>
      <w:r>
        <w:rPr>
          <w:rFonts w:hint="eastAsia" w:ascii="宋体" w:hAnsi="宋体"/>
          <w:sz w:val="24"/>
          <w:szCs w:val="18"/>
        </w:rPr>
        <w:t>项目</w:t>
      </w:r>
      <w:r>
        <w:rPr>
          <w:rFonts w:hint="eastAsia" w:ascii="宋体" w:hAnsi="宋体"/>
          <w:sz w:val="24"/>
          <w:szCs w:val="18"/>
          <w:lang w:eastAsia="zh-CN"/>
        </w:rPr>
        <w:t>概况</w:t>
      </w:r>
      <w:r>
        <w:rPr>
          <w:rFonts w:hint="eastAsia" w:ascii="宋体" w:hAnsi="宋体"/>
          <w:sz w:val="24"/>
          <w:szCs w:val="18"/>
        </w:rPr>
        <w:t>：</w:t>
      </w:r>
      <w:r>
        <w:rPr>
          <w:rFonts w:hint="eastAsia" w:ascii="宋体" w:hAnsi="宋体" w:eastAsia="宋体"/>
          <w:bCs/>
          <w:sz w:val="24"/>
          <w:szCs w:val="18"/>
        </w:rPr>
        <w:t>本次招标范围为</w:t>
      </w:r>
      <w:r>
        <w:rPr>
          <w:rFonts w:hint="eastAsia" w:ascii="宋体" w:hAnsi="宋体"/>
          <w:bCs/>
          <w:sz w:val="24"/>
          <w:szCs w:val="18"/>
          <w:lang w:val="en-US" w:eastAsia="zh-CN"/>
        </w:rPr>
        <w:t>合柴1972文创园</w:t>
      </w:r>
      <w:r>
        <w:rPr>
          <w:rFonts w:hint="eastAsia" w:ascii="宋体" w:hAnsi="宋体" w:eastAsia="宋体"/>
          <w:bCs/>
          <w:sz w:val="24"/>
          <w:szCs w:val="18"/>
        </w:rPr>
        <w:t>项目的消防系统维保服务，主要服务主要包括火灾自动报警系统、自动喷水灭火系统、室内外消火栓系统、防排烟系统、防火门、应急照明与指示标志系统、防火卷帘门系统；火灾联动监控系统设备设施等。</w:t>
      </w:r>
    </w:p>
    <w:p w14:paraId="38432316">
      <w:pPr>
        <w:autoSpaceDE w:val="0"/>
        <w:autoSpaceDN w:val="0"/>
        <w:adjustRightInd w:val="0"/>
        <w:spacing w:line="360" w:lineRule="auto"/>
        <w:ind w:left="210" w:leftChars="100" w:right="-218" w:rightChars="-104"/>
        <w:jc w:val="left"/>
        <w:rPr>
          <w:rFonts w:hint="default" w:ascii="宋体" w:hAnsi="宋体"/>
          <w:sz w:val="24"/>
          <w:szCs w:val="18"/>
          <w:lang w:val="en-US" w:eastAsia="zh-CN"/>
        </w:rPr>
      </w:pPr>
      <w:r>
        <w:rPr>
          <w:rFonts w:hint="eastAsia" w:ascii="宋体" w:hAnsi="宋体"/>
          <w:sz w:val="24"/>
          <w:szCs w:val="18"/>
          <w:lang w:val="en-US" w:eastAsia="zh-CN"/>
        </w:rPr>
        <w:t>6、项目概算：</w:t>
      </w:r>
      <w:r>
        <w:rPr>
          <w:rFonts w:hint="eastAsia" w:ascii="宋体" w:hAnsi="宋体" w:cs="宋体"/>
          <w:sz w:val="24"/>
          <w:szCs w:val="24"/>
          <w:lang w:val="en-US" w:eastAsia="zh-CN"/>
        </w:rPr>
        <w:t>9.5</w:t>
      </w:r>
      <w:r>
        <w:rPr>
          <w:rFonts w:hint="eastAsia" w:ascii="宋体" w:hAnsi="宋体" w:eastAsia="宋体" w:cs="宋体"/>
          <w:sz w:val="24"/>
          <w:szCs w:val="24"/>
          <w:lang w:val="en-US" w:eastAsia="zh-CN"/>
        </w:rPr>
        <w:t>万</w:t>
      </w:r>
      <w:r>
        <w:rPr>
          <w:rFonts w:hint="eastAsia" w:ascii="宋体" w:hAnsi="宋体" w:eastAsia="宋体" w:cs="宋体"/>
          <w:sz w:val="24"/>
          <w:szCs w:val="24"/>
        </w:rPr>
        <w:t>元/年。</w:t>
      </w:r>
    </w:p>
    <w:p w14:paraId="646782B8">
      <w:pPr>
        <w:autoSpaceDE w:val="0"/>
        <w:autoSpaceDN w:val="0"/>
        <w:adjustRightInd w:val="0"/>
        <w:spacing w:line="360" w:lineRule="auto"/>
        <w:ind w:left="210" w:leftChars="100" w:right="-218" w:rightChars="-104"/>
        <w:jc w:val="left"/>
        <w:rPr>
          <w:rFonts w:hint="eastAsia" w:ascii="宋体" w:hAnsi="宋体"/>
          <w:sz w:val="24"/>
          <w:szCs w:val="18"/>
          <w:lang w:val="en-US" w:eastAsia="zh-CN"/>
        </w:rPr>
      </w:pPr>
      <w:r>
        <w:rPr>
          <w:rFonts w:hint="eastAsia" w:ascii="宋体" w:hAnsi="宋体"/>
          <w:sz w:val="24"/>
          <w:szCs w:val="18"/>
          <w:lang w:val="en-US" w:eastAsia="zh-CN"/>
        </w:rPr>
        <w:t>7、项目类别：服务类</w:t>
      </w:r>
    </w:p>
    <w:p w14:paraId="4E317A4C">
      <w:pPr>
        <w:autoSpaceDE w:val="0"/>
        <w:autoSpaceDN w:val="0"/>
        <w:adjustRightInd w:val="0"/>
        <w:spacing w:line="360" w:lineRule="auto"/>
        <w:ind w:left="210" w:leftChars="100" w:right="-218" w:rightChars="-104"/>
        <w:jc w:val="left"/>
        <w:rPr>
          <w:rFonts w:hint="eastAsia" w:ascii="宋体" w:hAnsi="宋体"/>
          <w:sz w:val="24"/>
          <w:szCs w:val="18"/>
          <w:u w:val="none"/>
          <w:lang w:val="en-US" w:eastAsia="zh-CN"/>
        </w:rPr>
      </w:pPr>
      <w:r>
        <w:rPr>
          <w:rFonts w:hint="eastAsia" w:ascii="宋体" w:hAnsi="宋体"/>
          <w:sz w:val="24"/>
          <w:szCs w:val="18"/>
          <w:lang w:val="en-US" w:eastAsia="zh-CN"/>
        </w:rPr>
        <w:t>8、标段划分：本项目共划分</w:t>
      </w:r>
      <w:r>
        <w:rPr>
          <w:rFonts w:hint="eastAsia" w:ascii="宋体" w:hAnsi="宋体"/>
          <w:sz w:val="24"/>
          <w:szCs w:val="18"/>
          <w:u w:val="single"/>
          <w:lang w:val="en-US" w:eastAsia="zh-CN"/>
        </w:rPr>
        <w:t>1</w:t>
      </w:r>
      <w:r>
        <w:rPr>
          <w:rFonts w:hint="eastAsia" w:ascii="宋体" w:hAnsi="宋体"/>
          <w:sz w:val="24"/>
          <w:szCs w:val="18"/>
          <w:u w:val="none"/>
          <w:lang w:val="en-US" w:eastAsia="zh-CN"/>
        </w:rPr>
        <w:t>个标段</w:t>
      </w:r>
    </w:p>
    <w:p w14:paraId="1006C8FD">
      <w:pPr>
        <w:autoSpaceDE w:val="0"/>
        <w:autoSpaceDN w:val="0"/>
        <w:adjustRightInd w:val="0"/>
        <w:spacing w:line="360" w:lineRule="auto"/>
        <w:ind w:left="210" w:leftChars="100" w:right="-218" w:rightChars="-104"/>
        <w:jc w:val="left"/>
        <w:rPr>
          <w:rFonts w:hint="default" w:ascii="宋体" w:hAnsi="宋体"/>
          <w:sz w:val="24"/>
          <w:szCs w:val="18"/>
          <w:u w:val="none"/>
          <w:lang w:val="en-US" w:eastAsia="zh-CN"/>
        </w:rPr>
      </w:pPr>
      <w:r>
        <w:rPr>
          <w:rFonts w:hint="eastAsia" w:ascii="宋体" w:hAnsi="宋体"/>
          <w:sz w:val="24"/>
          <w:szCs w:val="18"/>
          <w:u w:val="none"/>
          <w:lang w:val="en-US" w:eastAsia="zh-CN"/>
        </w:rPr>
        <w:t>9、服务期限：一年；服务期内履约良好，合同到期前60日，经考核良好和合同双方同意，可续签后一年合同，服务价格、合同条款内容不变。</w:t>
      </w:r>
    </w:p>
    <w:p w14:paraId="52F4694E">
      <w:pPr>
        <w:autoSpaceDE w:val="0"/>
        <w:autoSpaceDN w:val="0"/>
        <w:adjustRightInd w:val="0"/>
        <w:spacing w:line="360" w:lineRule="auto"/>
        <w:ind w:right="-218" w:rightChars="-104" w:firstLine="200"/>
        <w:jc w:val="left"/>
        <w:rPr>
          <w:rFonts w:hint="eastAsia" w:ascii="宋体" w:hAnsi="宋体"/>
          <w:b/>
          <w:bCs/>
          <w:sz w:val="24"/>
          <w:szCs w:val="24"/>
        </w:rPr>
      </w:pPr>
      <w:r>
        <w:rPr>
          <w:rFonts w:hint="eastAsia" w:ascii="宋体" w:hAnsi="宋体"/>
          <w:b/>
          <w:bCs/>
          <w:sz w:val="24"/>
          <w:szCs w:val="24"/>
        </w:rPr>
        <w:t>二、投标人资格</w:t>
      </w:r>
    </w:p>
    <w:p w14:paraId="1FAB0907">
      <w:pPr>
        <w:autoSpaceDE w:val="0"/>
        <w:autoSpaceDN w:val="0"/>
        <w:adjustRightInd w:val="0"/>
        <w:spacing w:line="360" w:lineRule="auto"/>
        <w:ind w:right="-218" w:rightChars="-104" w:firstLine="200"/>
        <w:jc w:val="left"/>
        <w:rPr>
          <w:rFonts w:hint="eastAsia" w:ascii="宋体" w:hAnsi="宋体"/>
          <w:sz w:val="24"/>
          <w:szCs w:val="24"/>
        </w:rPr>
      </w:pPr>
      <w:r>
        <w:rPr>
          <w:rFonts w:hint="eastAsia" w:ascii="宋体" w:hAnsi="宋体"/>
          <w:sz w:val="24"/>
          <w:szCs w:val="24"/>
        </w:rPr>
        <w:t>1.投标人资质要求：</w:t>
      </w:r>
    </w:p>
    <w:p w14:paraId="522C6E1B">
      <w:pPr>
        <w:spacing w:line="360" w:lineRule="auto"/>
        <w:ind w:firstLine="660" w:firstLineChars="275"/>
        <w:rPr>
          <w:rFonts w:ascii="宋体" w:hAnsi="宋体" w:cs="宋体"/>
          <w:sz w:val="24"/>
          <w:szCs w:val="24"/>
        </w:rPr>
      </w:pPr>
      <w:r>
        <w:rPr>
          <w:rFonts w:hint="eastAsia" w:ascii="宋体" w:hAnsi="宋体" w:cs="宋体"/>
          <w:sz w:val="24"/>
          <w:szCs w:val="24"/>
        </w:rPr>
        <w:t>（1）具有独立承担民事责任的能力；</w:t>
      </w:r>
    </w:p>
    <w:p w14:paraId="1B8286AA">
      <w:pPr>
        <w:spacing w:line="360" w:lineRule="auto"/>
        <w:ind w:firstLine="660" w:firstLineChars="275"/>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乙方单位需</w:t>
      </w:r>
      <w:r>
        <w:rPr>
          <w:rFonts w:hint="eastAsia" w:ascii="宋体" w:hAnsi="宋体" w:cs="宋体"/>
          <w:sz w:val="24"/>
          <w:szCs w:val="24"/>
        </w:rPr>
        <w:t>符合应急管理部应[2019]88号通知要求，且在社会消防技术服务信息服务系统可查</w:t>
      </w:r>
      <w:r>
        <w:rPr>
          <w:rFonts w:ascii="宋体" w:hAnsi="宋体" w:cs="宋体"/>
          <w:sz w:val="24"/>
          <w:szCs w:val="24"/>
        </w:rPr>
        <w:t>；</w:t>
      </w:r>
    </w:p>
    <w:p w14:paraId="1B225785">
      <w:pPr>
        <w:spacing w:line="360" w:lineRule="auto"/>
        <w:ind w:firstLine="660" w:firstLineChars="275"/>
        <w:rPr>
          <w:rFonts w:hint="eastAsia" w:ascii="宋体" w:hAnsi="宋体" w:cs="宋体"/>
          <w:color w:val="000000"/>
          <w:sz w:val="24"/>
          <w:szCs w:val="24"/>
        </w:rPr>
      </w:pPr>
      <w:r>
        <w:rPr>
          <w:rFonts w:hint="eastAsia" w:ascii="宋体" w:hAnsi="宋体" w:cs="宋体"/>
          <w:sz w:val="24"/>
          <w:szCs w:val="24"/>
        </w:rPr>
        <w:t>2.投标人</w:t>
      </w:r>
      <w:r>
        <w:rPr>
          <w:rFonts w:hint="eastAsia" w:ascii="宋体" w:hAnsi="宋体" w:cs="宋体"/>
          <w:color w:val="000000"/>
          <w:sz w:val="24"/>
          <w:szCs w:val="24"/>
        </w:rPr>
        <w:t>业绩要求：自20</w:t>
      </w:r>
      <w:r>
        <w:rPr>
          <w:rFonts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年1月1日以来（以合同签订日期为准），投标人须具备在中华人民共和国境内（不含港澳台地区）单个合同金额不少于</w:t>
      </w:r>
      <w:r>
        <w:rPr>
          <w:rFonts w:hint="eastAsia" w:ascii="宋体" w:hAnsi="宋体" w:cs="宋体"/>
          <w:color w:val="000000"/>
          <w:sz w:val="24"/>
          <w:szCs w:val="24"/>
          <w:lang w:val="en-US" w:eastAsia="zh-CN"/>
        </w:rPr>
        <w:t>10</w:t>
      </w:r>
      <w:r>
        <w:rPr>
          <w:rFonts w:hint="eastAsia" w:ascii="宋体" w:hAnsi="宋体" w:cs="宋体"/>
          <w:color w:val="000000"/>
          <w:sz w:val="24"/>
          <w:szCs w:val="24"/>
        </w:rPr>
        <w:t>万元的消防维保业绩；</w:t>
      </w:r>
    </w:p>
    <w:p w14:paraId="36D96EC0">
      <w:pPr>
        <w:spacing w:line="360" w:lineRule="auto"/>
        <w:ind w:firstLine="660" w:firstLineChars="275"/>
        <w:rPr>
          <w:rFonts w:ascii="宋体" w:hAnsi="宋体" w:cs="宋体"/>
          <w:color w:val="000000"/>
          <w:sz w:val="24"/>
          <w:szCs w:val="24"/>
        </w:rPr>
      </w:pPr>
      <w:r>
        <w:rPr>
          <w:rFonts w:hint="eastAsia" w:ascii="宋体" w:hAnsi="宋体" w:cs="宋体"/>
          <w:color w:val="000000"/>
          <w:sz w:val="24"/>
          <w:szCs w:val="24"/>
        </w:rPr>
        <w:t>3.项目经理资格要求：具有注册一级消防工程师证书，且具有3</w:t>
      </w:r>
      <w:r>
        <w:rPr>
          <w:rFonts w:ascii="宋体" w:hAnsi="宋体" w:cs="宋体"/>
          <w:color w:val="000000"/>
          <w:sz w:val="24"/>
          <w:szCs w:val="24"/>
        </w:rPr>
        <w:t>-5</w:t>
      </w:r>
      <w:r>
        <w:rPr>
          <w:rFonts w:hint="eastAsia" w:ascii="宋体" w:hAnsi="宋体" w:cs="宋体"/>
          <w:color w:val="000000"/>
          <w:sz w:val="24"/>
          <w:szCs w:val="24"/>
        </w:rPr>
        <w:t>年相关工作经验；需提供</w:t>
      </w:r>
      <w:r>
        <w:rPr>
          <w:rFonts w:ascii="宋体" w:hAnsi="宋体" w:cs="宋体"/>
          <w:color w:val="000000"/>
          <w:sz w:val="24"/>
          <w:szCs w:val="24"/>
        </w:rPr>
        <w:t>人员</w:t>
      </w:r>
      <w:r>
        <w:rPr>
          <w:rFonts w:hint="eastAsia" w:ascii="宋体" w:hAnsi="宋体" w:cs="宋体"/>
          <w:color w:val="000000"/>
          <w:sz w:val="24"/>
          <w:szCs w:val="24"/>
        </w:rPr>
        <w:t>自20</w:t>
      </w:r>
      <w:r>
        <w:rPr>
          <w:rFonts w:ascii="宋体" w:hAnsi="宋体" w:cs="宋体"/>
          <w:color w:val="000000"/>
          <w:sz w:val="24"/>
          <w:szCs w:val="24"/>
        </w:rPr>
        <w:t>2</w:t>
      </w:r>
      <w:r>
        <w:rPr>
          <w:rFonts w:hint="eastAsia" w:ascii="宋体" w:hAnsi="宋体" w:cs="宋体"/>
          <w:color w:val="000000"/>
          <w:sz w:val="24"/>
          <w:szCs w:val="24"/>
          <w:lang w:val="en-US" w:eastAsia="zh-CN"/>
        </w:rPr>
        <w:t>3</w:t>
      </w:r>
      <w:r>
        <w:rPr>
          <w:rFonts w:hint="eastAsia" w:ascii="宋体" w:hAnsi="宋体" w:cs="宋体"/>
          <w:color w:val="000000"/>
          <w:sz w:val="24"/>
          <w:szCs w:val="24"/>
        </w:rPr>
        <w:t>年</w:t>
      </w:r>
      <w:r>
        <w:rPr>
          <w:rFonts w:hint="eastAsia" w:ascii="宋体" w:hAnsi="宋体" w:cs="宋体"/>
          <w:color w:val="000000"/>
          <w:sz w:val="24"/>
          <w:szCs w:val="24"/>
          <w:lang w:val="en-US" w:eastAsia="zh-CN"/>
        </w:rPr>
        <w:t>1</w:t>
      </w:r>
      <w:r>
        <w:rPr>
          <w:rFonts w:hint="eastAsia" w:ascii="宋体" w:hAnsi="宋体" w:cs="宋体"/>
          <w:color w:val="000000"/>
          <w:sz w:val="24"/>
          <w:szCs w:val="24"/>
        </w:rPr>
        <w:t>月至今</w:t>
      </w:r>
      <w:r>
        <w:rPr>
          <w:rFonts w:ascii="宋体" w:hAnsi="宋体" w:cs="宋体"/>
          <w:color w:val="000000"/>
          <w:sz w:val="24"/>
          <w:szCs w:val="24"/>
        </w:rPr>
        <w:t>的社保关系证明文件（证件复印件甲方均需保留）</w:t>
      </w:r>
    </w:p>
    <w:p w14:paraId="6DE06862">
      <w:pPr>
        <w:spacing w:line="360" w:lineRule="auto"/>
        <w:ind w:firstLine="660" w:firstLineChars="275"/>
        <w:rPr>
          <w:rFonts w:hint="eastAsia" w:ascii="宋体" w:hAnsi="宋体" w:cs="宋体"/>
          <w:sz w:val="24"/>
          <w:szCs w:val="24"/>
        </w:rPr>
      </w:pPr>
      <w:r>
        <w:rPr>
          <w:rFonts w:ascii="宋体" w:hAnsi="宋体" w:cs="宋体"/>
          <w:color w:val="000000"/>
          <w:sz w:val="24"/>
          <w:szCs w:val="24"/>
        </w:rPr>
        <w:t>4</w:t>
      </w:r>
      <w:r>
        <w:rPr>
          <w:rFonts w:hint="eastAsia" w:ascii="宋体" w:hAnsi="宋体" w:cs="宋体"/>
          <w:color w:val="000000"/>
          <w:sz w:val="24"/>
          <w:szCs w:val="24"/>
        </w:rPr>
        <w:t>．基层维保人员资格要求：</w:t>
      </w:r>
      <w:r>
        <w:rPr>
          <w:rFonts w:ascii="宋体" w:hAnsi="宋体" w:cs="宋体"/>
          <w:color w:val="000000"/>
          <w:sz w:val="24"/>
          <w:szCs w:val="24"/>
        </w:rPr>
        <w:t>基层维保人员持有</w:t>
      </w:r>
      <w:r>
        <w:rPr>
          <w:rFonts w:hint="eastAsia" w:ascii="宋体" w:hAnsi="宋体" w:cs="宋体"/>
          <w:color w:val="000000"/>
          <w:sz w:val="24"/>
          <w:szCs w:val="24"/>
        </w:rPr>
        <w:t>中</w:t>
      </w:r>
      <w:r>
        <w:rPr>
          <w:rFonts w:hint="eastAsia" w:ascii="宋体" w:hAnsi="宋体" w:cs="宋体"/>
          <w:sz w:val="24"/>
          <w:szCs w:val="24"/>
        </w:rPr>
        <w:t>级及以上</w:t>
      </w:r>
      <w:r>
        <w:rPr>
          <w:rFonts w:ascii="宋体" w:hAnsi="宋体" w:cs="宋体"/>
          <w:sz w:val="24"/>
          <w:szCs w:val="24"/>
        </w:rPr>
        <w:t>消防员证件</w:t>
      </w:r>
      <w:r>
        <w:rPr>
          <w:rFonts w:hint="eastAsia" w:ascii="宋体" w:hAnsi="宋体" w:cs="宋体"/>
          <w:sz w:val="24"/>
          <w:szCs w:val="24"/>
        </w:rPr>
        <w:t>（至少两人），需提供</w:t>
      </w:r>
      <w:r>
        <w:rPr>
          <w:rFonts w:ascii="宋体" w:hAnsi="宋体" w:cs="宋体"/>
          <w:sz w:val="24"/>
          <w:szCs w:val="24"/>
        </w:rPr>
        <w:t>人员</w:t>
      </w:r>
      <w:r>
        <w:rPr>
          <w:rFonts w:hint="eastAsia" w:ascii="宋体" w:hAnsi="宋体" w:cs="宋体"/>
          <w:sz w:val="24"/>
          <w:szCs w:val="24"/>
        </w:rPr>
        <w:t>自20</w:t>
      </w:r>
      <w:r>
        <w:rPr>
          <w:rFonts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月至今</w:t>
      </w:r>
      <w:r>
        <w:rPr>
          <w:rFonts w:ascii="宋体" w:hAnsi="宋体" w:cs="宋体"/>
          <w:sz w:val="24"/>
          <w:szCs w:val="24"/>
        </w:rPr>
        <w:t>的社保关系证明文件（证件复印件甲方均需保留）；</w:t>
      </w:r>
    </w:p>
    <w:p w14:paraId="361E79A6">
      <w:pPr>
        <w:spacing w:line="360" w:lineRule="auto"/>
        <w:ind w:firstLine="660" w:firstLineChars="275"/>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.本项目不接受联合体投标；</w:t>
      </w:r>
    </w:p>
    <w:p w14:paraId="0BAC9DFB">
      <w:pPr>
        <w:spacing w:line="360" w:lineRule="auto"/>
        <w:ind w:firstLine="660" w:firstLineChars="275"/>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.投标人存在以下不良信用记录情形之一的，不得推荐为中标候选人，不得确定为中标人：</w:t>
      </w:r>
    </w:p>
    <w:p w14:paraId="270EBAE6">
      <w:pPr>
        <w:spacing w:line="360" w:lineRule="auto"/>
        <w:ind w:firstLine="660" w:firstLineChars="275"/>
        <w:rPr>
          <w:rFonts w:hint="eastAsia" w:ascii="宋体" w:hAnsi="宋体" w:cs="宋体"/>
          <w:sz w:val="24"/>
          <w:szCs w:val="24"/>
        </w:rPr>
      </w:pPr>
      <w:r>
        <w:rPr>
          <w:rFonts w:hint="eastAsia" w:ascii="宋体" w:hAnsi="宋体" w:cs="宋体"/>
          <w:sz w:val="24"/>
          <w:szCs w:val="24"/>
        </w:rPr>
        <w:t>（1）投标人被人民法院列入失信被执行人的；</w:t>
      </w:r>
    </w:p>
    <w:p w14:paraId="3444FBC3">
      <w:pPr>
        <w:spacing w:line="360" w:lineRule="auto"/>
        <w:ind w:firstLine="660" w:firstLineChars="275"/>
        <w:rPr>
          <w:rFonts w:hint="eastAsia" w:ascii="宋体" w:hAnsi="宋体" w:cs="宋体"/>
          <w:sz w:val="24"/>
          <w:szCs w:val="24"/>
        </w:rPr>
      </w:pPr>
      <w:r>
        <w:rPr>
          <w:rFonts w:hint="eastAsia" w:ascii="宋体" w:hAnsi="宋体" w:cs="宋体"/>
          <w:sz w:val="24"/>
          <w:szCs w:val="24"/>
        </w:rPr>
        <w:t xml:space="preserve">（2）投标人或其法定代表人被人民检察院列入行贿犯罪档案的； </w:t>
      </w:r>
    </w:p>
    <w:p w14:paraId="64FD7E6D">
      <w:pPr>
        <w:spacing w:line="360" w:lineRule="auto"/>
        <w:ind w:firstLine="660" w:firstLineChars="275"/>
        <w:rPr>
          <w:rFonts w:hint="eastAsia" w:ascii="宋体" w:hAnsi="宋体" w:cs="宋体"/>
          <w:sz w:val="24"/>
          <w:szCs w:val="24"/>
        </w:rPr>
      </w:pPr>
      <w:r>
        <w:rPr>
          <w:rFonts w:hint="eastAsia" w:ascii="宋体" w:hAnsi="宋体" w:cs="宋体"/>
          <w:sz w:val="24"/>
          <w:szCs w:val="24"/>
        </w:rPr>
        <w:t>（3）投标人被工商行政管理部门列入企业经营异常名录的；</w:t>
      </w:r>
    </w:p>
    <w:p w14:paraId="3BBF1F58">
      <w:pPr>
        <w:spacing w:line="360" w:lineRule="auto"/>
        <w:ind w:firstLine="660" w:firstLineChars="275"/>
        <w:rPr>
          <w:rFonts w:hint="eastAsia" w:ascii="宋体" w:hAnsi="宋体" w:cs="宋体"/>
          <w:sz w:val="24"/>
          <w:szCs w:val="24"/>
        </w:rPr>
      </w:pPr>
      <w:r>
        <w:rPr>
          <w:rFonts w:hint="eastAsia" w:ascii="宋体" w:hAnsi="宋体" w:cs="宋体"/>
          <w:sz w:val="24"/>
          <w:szCs w:val="24"/>
        </w:rPr>
        <w:t>（4）投标人被税务部门列入重大税收违法案件当事人名单的；</w:t>
      </w:r>
    </w:p>
    <w:p w14:paraId="1F88BECF">
      <w:pPr>
        <w:spacing w:line="360" w:lineRule="auto"/>
        <w:ind w:firstLine="660" w:firstLineChars="275"/>
        <w:rPr>
          <w:rFonts w:hint="eastAsia" w:ascii="宋体" w:hAnsi="宋体" w:cs="宋体"/>
          <w:sz w:val="24"/>
          <w:szCs w:val="24"/>
        </w:rPr>
      </w:pPr>
      <w:r>
        <w:rPr>
          <w:rFonts w:hint="eastAsia" w:ascii="宋体" w:hAnsi="宋体" w:cs="宋体"/>
          <w:sz w:val="24"/>
          <w:szCs w:val="24"/>
        </w:rPr>
        <w:t>（5）投标人被合肥市人社部门列入拖欠农民工工资黑名单的；</w:t>
      </w:r>
    </w:p>
    <w:p w14:paraId="51E67AD4">
      <w:pPr>
        <w:spacing w:line="360" w:lineRule="auto"/>
        <w:ind w:firstLine="660" w:firstLineChars="275"/>
        <w:rPr>
          <w:rFonts w:ascii="宋体" w:hAnsi="宋体" w:cs="宋体"/>
          <w:sz w:val="24"/>
          <w:szCs w:val="24"/>
        </w:rPr>
      </w:pPr>
      <w:r>
        <w:rPr>
          <w:rFonts w:hint="eastAsia" w:ascii="宋体" w:hAnsi="宋体" w:cs="宋体"/>
          <w:sz w:val="24"/>
          <w:szCs w:val="24"/>
        </w:rPr>
        <w:t>（6)</w:t>
      </w:r>
      <w:r>
        <w:rPr>
          <w:rFonts w:ascii="宋体" w:hAnsi="宋体" w:cs="宋体"/>
          <w:sz w:val="24"/>
          <w:szCs w:val="24"/>
        </w:rPr>
        <w:t xml:space="preserve"> </w:t>
      </w:r>
      <w:r>
        <w:rPr>
          <w:rFonts w:hint="eastAsia" w:ascii="宋体" w:hAnsi="宋体" w:cs="宋体"/>
          <w:sz w:val="24"/>
          <w:szCs w:val="24"/>
        </w:rPr>
        <w:t>投标人被合肥市城乡建设局因安全生产责任事故限制在合肥行政区域内承接新的工程项目且在限制期内的。</w:t>
      </w:r>
    </w:p>
    <w:p w14:paraId="00C6E8CE">
      <w:pPr>
        <w:autoSpaceDE w:val="0"/>
        <w:autoSpaceDN w:val="0"/>
        <w:adjustRightInd w:val="0"/>
        <w:spacing w:line="360" w:lineRule="auto"/>
        <w:ind w:right="-218" w:rightChars="-104" w:firstLine="200"/>
        <w:jc w:val="left"/>
        <w:rPr>
          <w:rFonts w:ascii="宋体" w:hAnsi="宋体"/>
          <w:b/>
          <w:bCs/>
          <w:sz w:val="24"/>
          <w:szCs w:val="24"/>
        </w:rPr>
      </w:pPr>
      <w:r>
        <w:rPr>
          <w:rFonts w:hint="eastAsia" w:ascii="宋体" w:hAnsi="宋体"/>
          <w:b/>
          <w:bCs/>
          <w:sz w:val="24"/>
          <w:szCs w:val="24"/>
        </w:rPr>
        <w:t>三、招标文件的获取及招标文件发售办法</w:t>
      </w:r>
    </w:p>
    <w:p w14:paraId="6BE94A12">
      <w:pPr>
        <w:autoSpaceDE w:val="0"/>
        <w:autoSpaceDN w:val="0"/>
        <w:adjustRightInd w:val="0"/>
        <w:spacing w:line="360" w:lineRule="auto"/>
        <w:ind w:right="-218" w:rightChars="-104" w:firstLine="200"/>
        <w:jc w:val="left"/>
        <w:rPr>
          <w:rFonts w:ascii="宋体" w:hAnsi="宋体"/>
          <w:bCs/>
          <w:sz w:val="24"/>
          <w:szCs w:val="24"/>
        </w:rPr>
      </w:pPr>
      <w:r>
        <w:rPr>
          <w:rFonts w:hint="eastAsia" w:ascii="宋体" w:hAnsi="宋体"/>
          <w:bCs/>
          <w:sz w:val="24"/>
          <w:szCs w:val="24"/>
        </w:rPr>
        <w:t>1.获取时间：</w:t>
      </w:r>
      <w:r>
        <w:rPr>
          <w:rFonts w:hint="eastAsia" w:ascii="宋体" w:hAnsi="宋体"/>
          <w:bCs/>
          <w:sz w:val="24"/>
          <w:szCs w:val="24"/>
          <w:u w:val="single"/>
        </w:rPr>
        <w:t>20</w:t>
      </w:r>
      <w:r>
        <w:rPr>
          <w:rFonts w:hint="eastAsia" w:ascii="宋体" w:hAnsi="宋体"/>
          <w:bCs/>
          <w:sz w:val="24"/>
          <w:szCs w:val="24"/>
          <w:u w:val="single"/>
          <w:lang w:val="en-US" w:eastAsia="zh-CN"/>
        </w:rPr>
        <w:t>25</w:t>
      </w:r>
      <w:r>
        <w:rPr>
          <w:rFonts w:hint="eastAsia" w:ascii="宋体" w:hAnsi="宋体"/>
          <w:bCs/>
          <w:sz w:val="24"/>
          <w:szCs w:val="24"/>
        </w:rPr>
        <w:t>年</w:t>
      </w:r>
      <w:r>
        <w:rPr>
          <w:rFonts w:hint="eastAsia" w:ascii="宋体" w:hAnsi="宋体"/>
          <w:bCs/>
          <w:sz w:val="24"/>
          <w:szCs w:val="24"/>
          <w:u w:val="single"/>
          <w:lang w:val="en-US" w:eastAsia="zh-CN"/>
        </w:rPr>
        <w:t>2</w:t>
      </w:r>
      <w:r>
        <w:rPr>
          <w:rFonts w:hint="eastAsia" w:ascii="宋体" w:hAnsi="宋体"/>
          <w:bCs/>
          <w:sz w:val="24"/>
          <w:szCs w:val="24"/>
        </w:rPr>
        <w:t>月</w:t>
      </w:r>
      <w:r>
        <w:rPr>
          <w:rFonts w:hint="eastAsia" w:ascii="宋体" w:hAnsi="宋体"/>
          <w:bCs/>
          <w:sz w:val="24"/>
          <w:szCs w:val="24"/>
          <w:u w:val="single"/>
          <w:lang w:val="en-US" w:eastAsia="zh-CN"/>
        </w:rPr>
        <w:t>19</w:t>
      </w:r>
      <w:r>
        <w:rPr>
          <w:rFonts w:hint="eastAsia" w:ascii="宋体" w:hAnsi="宋体"/>
          <w:bCs/>
          <w:sz w:val="24"/>
          <w:szCs w:val="24"/>
        </w:rPr>
        <w:t>日</w:t>
      </w:r>
      <w:r>
        <w:rPr>
          <w:rFonts w:hint="eastAsia" w:ascii="宋体" w:hAnsi="宋体"/>
          <w:bCs/>
          <w:sz w:val="24"/>
          <w:szCs w:val="24"/>
          <w:lang w:val="en-US" w:eastAsia="zh-CN"/>
        </w:rPr>
        <w:t>下</w:t>
      </w:r>
      <w:r>
        <w:rPr>
          <w:rFonts w:hint="eastAsia" w:ascii="宋体" w:hAnsi="宋体"/>
          <w:bCs/>
          <w:sz w:val="24"/>
          <w:szCs w:val="24"/>
        </w:rPr>
        <w:t>午1</w:t>
      </w:r>
      <w:r>
        <w:rPr>
          <w:rFonts w:hint="eastAsia" w:ascii="宋体" w:hAnsi="宋体"/>
          <w:bCs/>
          <w:sz w:val="24"/>
          <w:szCs w:val="24"/>
          <w:lang w:val="en-US" w:eastAsia="zh-CN"/>
        </w:rPr>
        <w:t>5</w:t>
      </w:r>
      <w:r>
        <w:rPr>
          <w:rFonts w:hint="eastAsia" w:ascii="宋体" w:hAnsi="宋体"/>
          <w:bCs/>
          <w:sz w:val="24"/>
          <w:szCs w:val="24"/>
        </w:rPr>
        <w:t>:</w:t>
      </w:r>
      <w:r>
        <w:rPr>
          <w:rFonts w:hint="eastAsia" w:ascii="宋体" w:hAnsi="宋体"/>
          <w:bCs/>
          <w:sz w:val="24"/>
          <w:szCs w:val="24"/>
          <w:lang w:val="en-US" w:eastAsia="zh-CN"/>
        </w:rPr>
        <w:t>0</w:t>
      </w:r>
      <w:r>
        <w:rPr>
          <w:rFonts w:hint="eastAsia" w:ascii="宋体" w:hAnsi="宋体"/>
          <w:bCs/>
          <w:sz w:val="24"/>
          <w:szCs w:val="24"/>
        </w:rPr>
        <w:t>0</w:t>
      </w:r>
    </w:p>
    <w:p w14:paraId="1705D08A">
      <w:pPr>
        <w:autoSpaceDE w:val="0"/>
        <w:autoSpaceDN w:val="0"/>
        <w:adjustRightInd w:val="0"/>
        <w:spacing w:line="360" w:lineRule="auto"/>
        <w:ind w:right="-218" w:rightChars="-104" w:firstLine="200"/>
        <w:jc w:val="left"/>
        <w:rPr>
          <w:rFonts w:hint="eastAsia"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.获取方式：潜在投标人须登录</w:t>
      </w:r>
      <w:r>
        <w:rPr>
          <w:rFonts w:hint="eastAsia" w:ascii="宋体" w:hAnsi="宋体"/>
          <w:bCs/>
          <w:sz w:val="24"/>
          <w:szCs w:val="24"/>
          <w:lang w:eastAsia="zh-CN"/>
        </w:rPr>
        <w:t>合肥滨湖投资控股集团有限公司官网自行下载</w:t>
      </w:r>
      <w:r>
        <w:rPr>
          <w:rFonts w:hint="eastAsia" w:ascii="宋体" w:hAnsi="宋体"/>
          <w:bCs/>
          <w:sz w:val="24"/>
          <w:szCs w:val="24"/>
        </w:rPr>
        <w:t>招标文件</w:t>
      </w:r>
      <w:r>
        <w:rPr>
          <w:rFonts w:hint="eastAsia" w:ascii="宋体" w:hAnsi="宋体"/>
          <w:bCs/>
          <w:sz w:val="24"/>
          <w:szCs w:val="24"/>
          <w:lang w:eastAsia="zh-CN"/>
        </w:rPr>
        <w:t>，</w:t>
      </w:r>
      <w:r>
        <w:rPr>
          <w:rFonts w:hint="eastAsia" w:ascii="宋体" w:hAnsi="宋体"/>
          <w:bCs/>
          <w:sz w:val="24"/>
          <w:szCs w:val="24"/>
          <w:lang w:val="en-US" w:eastAsia="zh-CN"/>
        </w:rPr>
        <w:t>在开标时间前到招标文件指定地点报送投标文件即可。</w:t>
      </w:r>
    </w:p>
    <w:p w14:paraId="3A5FCACC">
      <w:pPr>
        <w:autoSpaceDE w:val="0"/>
        <w:autoSpaceDN w:val="0"/>
        <w:adjustRightInd w:val="0"/>
        <w:spacing w:line="360" w:lineRule="auto"/>
        <w:ind w:right="-218" w:rightChars="-104" w:firstLine="200"/>
        <w:jc w:val="left"/>
        <w:rPr>
          <w:rFonts w:hint="eastAsia" w:ascii="宋体" w:hAnsi="宋体"/>
          <w:b/>
          <w:bCs/>
          <w:sz w:val="24"/>
          <w:szCs w:val="18"/>
        </w:rPr>
      </w:pPr>
      <w:r>
        <w:rPr>
          <w:rFonts w:hint="eastAsia" w:ascii="宋体" w:hAnsi="宋体"/>
          <w:b/>
          <w:bCs/>
          <w:sz w:val="24"/>
          <w:szCs w:val="18"/>
        </w:rPr>
        <w:t>四、开标时间及地点</w:t>
      </w:r>
    </w:p>
    <w:p w14:paraId="5844594D">
      <w:pPr>
        <w:autoSpaceDE w:val="0"/>
        <w:autoSpaceDN w:val="0"/>
        <w:adjustRightInd w:val="0"/>
        <w:spacing w:line="360" w:lineRule="auto"/>
        <w:ind w:right="-218" w:rightChars="-104" w:firstLine="200"/>
        <w:jc w:val="left"/>
        <w:rPr>
          <w:rFonts w:hint="eastAsia" w:ascii="宋体" w:hAnsi="宋体"/>
          <w:bCs/>
          <w:sz w:val="24"/>
          <w:u w:val="single"/>
        </w:rPr>
      </w:pPr>
      <w:r>
        <w:rPr>
          <w:rFonts w:hint="eastAsia" w:ascii="宋体" w:hAnsi="宋体"/>
          <w:bCs/>
          <w:sz w:val="24"/>
          <w:szCs w:val="18"/>
        </w:rPr>
        <w:t>1.开标时间：</w:t>
      </w:r>
      <w:r>
        <w:rPr>
          <w:rFonts w:hint="eastAsia" w:ascii="宋体" w:hAnsi="宋体"/>
          <w:sz w:val="24"/>
          <w:u w:val="single"/>
        </w:rPr>
        <w:t>20</w:t>
      </w:r>
      <w:r>
        <w:rPr>
          <w:rFonts w:hint="eastAsia" w:ascii="宋体" w:hAnsi="宋体"/>
          <w:sz w:val="24"/>
          <w:u w:val="single"/>
          <w:lang w:val="en-US" w:eastAsia="zh-CN"/>
        </w:rPr>
        <w:t>25</w:t>
      </w:r>
      <w:r>
        <w:rPr>
          <w:rFonts w:hint="eastAsia" w:ascii="宋体" w:hAnsi="宋体"/>
          <w:bCs/>
          <w:sz w:val="24"/>
        </w:rPr>
        <w:t>年</w:t>
      </w:r>
      <w:r>
        <w:rPr>
          <w:rFonts w:hint="eastAsia" w:ascii="宋体" w:hAnsi="宋体"/>
          <w:bCs/>
          <w:sz w:val="24"/>
          <w:u w:val="single"/>
          <w:lang w:val="en-US" w:eastAsia="zh-CN"/>
        </w:rPr>
        <w:t>2</w:t>
      </w:r>
      <w:r>
        <w:rPr>
          <w:rFonts w:hint="eastAsia" w:ascii="宋体" w:hAnsi="宋体"/>
          <w:bCs/>
          <w:sz w:val="24"/>
        </w:rPr>
        <w:t>月</w:t>
      </w:r>
      <w:r>
        <w:rPr>
          <w:rFonts w:hint="eastAsia" w:ascii="宋体" w:hAnsi="宋体"/>
          <w:bCs/>
          <w:sz w:val="24"/>
          <w:u w:val="single"/>
          <w:lang w:val="en-US" w:eastAsia="zh-CN"/>
        </w:rPr>
        <w:t>24</w:t>
      </w:r>
      <w:r>
        <w:rPr>
          <w:rFonts w:hint="eastAsia" w:ascii="宋体" w:hAnsi="宋体"/>
          <w:bCs/>
          <w:sz w:val="24"/>
        </w:rPr>
        <w:t>日</w:t>
      </w:r>
      <w:r>
        <w:rPr>
          <w:rFonts w:hint="eastAsia" w:ascii="宋体" w:hAnsi="宋体"/>
          <w:bCs/>
          <w:sz w:val="24"/>
          <w:u w:val="single"/>
          <w:lang w:val="en-US" w:eastAsia="zh-CN"/>
        </w:rPr>
        <w:t>16</w:t>
      </w:r>
      <w:r>
        <w:rPr>
          <w:rFonts w:hint="eastAsia" w:ascii="宋体" w:hAnsi="宋体"/>
          <w:bCs/>
          <w:sz w:val="24"/>
        </w:rPr>
        <w:t>:</w:t>
      </w:r>
      <w:r>
        <w:rPr>
          <w:rFonts w:hint="eastAsia" w:ascii="宋体" w:hAnsi="宋体"/>
          <w:bCs/>
          <w:sz w:val="24"/>
          <w:u w:val="single"/>
          <w:lang w:val="en-US" w:eastAsia="zh-CN"/>
        </w:rPr>
        <w:t>00</w:t>
      </w:r>
    </w:p>
    <w:p w14:paraId="02E3F7AC">
      <w:pPr>
        <w:autoSpaceDE w:val="0"/>
        <w:autoSpaceDN w:val="0"/>
        <w:adjustRightInd w:val="0"/>
        <w:spacing w:line="360" w:lineRule="auto"/>
        <w:ind w:right="-218" w:rightChars="-104" w:firstLine="200"/>
        <w:jc w:val="left"/>
        <w:rPr>
          <w:rFonts w:hint="default" w:ascii="宋体" w:hAnsi="宋体" w:eastAsia="宋体"/>
          <w:bCs/>
          <w:sz w:val="24"/>
          <w:szCs w:val="18"/>
          <w:lang w:val="en-US" w:eastAsia="zh-CN"/>
        </w:rPr>
      </w:pPr>
      <w:r>
        <w:rPr>
          <w:rFonts w:hint="eastAsia" w:ascii="宋体" w:hAnsi="宋体"/>
          <w:bCs/>
          <w:sz w:val="24"/>
          <w:szCs w:val="18"/>
        </w:rPr>
        <w:t>2.开标地点：</w:t>
      </w:r>
      <w:r>
        <w:rPr>
          <w:rFonts w:hint="eastAsia" w:ascii="宋体" w:hAnsi="宋体"/>
          <w:bCs/>
          <w:sz w:val="24"/>
          <w:szCs w:val="18"/>
          <w:lang w:val="en-US" w:eastAsia="zh-CN"/>
        </w:rPr>
        <w:t>合柴1972文创园合肥滨投文化创意发展有限公司三楼会议室</w:t>
      </w:r>
    </w:p>
    <w:p w14:paraId="669457BF">
      <w:pPr>
        <w:autoSpaceDE w:val="0"/>
        <w:autoSpaceDN w:val="0"/>
        <w:adjustRightInd w:val="0"/>
        <w:spacing w:line="360" w:lineRule="auto"/>
        <w:ind w:right="-218" w:rightChars="-104" w:firstLine="200"/>
        <w:jc w:val="left"/>
        <w:rPr>
          <w:rFonts w:hint="eastAsia" w:ascii="宋体" w:hAnsi="宋体"/>
          <w:b/>
          <w:bCs/>
          <w:sz w:val="24"/>
          <w:szCs w:val="18"/>
        </w:rPr>
      </w:pPr>
      <w:r>
        <w:rPr>
          <w:rFonts w:hint="eastAsia" w:ascii="宋体" w:hAnsi="宋体"/>
          <w:b/>
          <w:bCs/>
          <w:sz w:val="24"/>
          <w:szCs w:val="18"/>
        </w:rPr>
        <w:t>五、投标截止时间</w:t>
      </w:r>
    </w:p>
    <w:p w14:paraId="290C2FC0">
      <w:pPr>
        <w:autoSpaceDE w:val="0"/>
        <w:autoSpaceDN w:val="0"/>
        <w:adjustRightInd w:val="0"/>
        <w:spacing w:line="360" w:lineRule="auto"/>
        <w:ind w:right="-218" w:rightChars="-104" w:firstLine="200"/>
        <w:jc w:val="left"/>
        <w:rPr>
          <w:rFonts w:hint="eastAsia" w:ascii="宋体" w:hAnsi="宋体"/>
          <w:bCs/>
          <w:sz w:val="24"/>
          <w:u w:val="single"/>
        </w:rPr>
      </w:pPr>
      <w:r>
        <w:rPr>
          <w:rFonts w:hint="eastAsia" w:ascii="宋体" w:hAnsi="宋体"/>
          <w:sz w:val="24"/>
          <w:u w:val="single"/>
        </w:rPr>
        <w:t>20</w:t>
      </w:r>
      <w:r>
        <w:rPr>
          <w:rFonts w:hint="eastAsia" w:ascii="宋体" w:hAnsi="宋体"/>
          <w:sz w:val="24"/>
          <w:u w:val="single"/>
          <w:lang w:val="en-US" w:eastAsia="zh-CN"/>
        </w:rPr>
        <w:t>25</w:t>
      </w:r>
      <w:r>
        <w:rPr>
          <w:rFonts w:hint="eastAsia" w:ascii="宋体" w:hAnsi="宋体"/>
          <w:bCs/>
          <w:sz w:val="24"/>
        </w:rPr>
        <w:t>年</w:t>
      </w:r>
      <w:r>
        <w:rPr>
          <w:rFonts w:hint="eastAsia" w:ascii="宋体" w:hAnsi="宋体"/>
          <w:bCs/>
          <w:sz w:val="24"/>
          <w:u w:val="single"/>
          <w:lang w:val="en-US" w:eastAsia="zh-CN"/>
        </w:rPr>
        <w:t>2</w:t>
      </w:r>
      <w:r>
        <w:rPr>
          <w:rFonts w:hint="eastAsia" w:ascii="宋体" w:hAnsi="宋体"/>
          <w:bCs/>
          <w:sz w:val="24"/>
        </w:rPr>
        <w:t>月</w:t>
      </w:r>
      <w:r>
        <w:rPr>
          <w:rFonts w:hint="eastAsia" w:ascii="宋体" w:hAnsi="宋体"/>
          <w:bCs/>
          <w:sz w:val="24"/>
          <w:u w:val="single"/>
          <w:lang w:val="en-US" w:eastAsia="zh-CN"/>
        </w:rPr>
        <w:t>24</w:t>
      </w:r>
      <w:r>
        <w:rPr>
          <w:rFonts w:hint="eastAsia" w:ascii="宋体" w:hAnsi="宋体"/>
          <w:bCs/>
          <w:sz w:val="24"/>
        </w:rPr>
        <w:t>日</w:t>
      </w:r>
      <w:r>
        <w:rPr>
          <w:rFonts w:hint="eastAsia" w:ascii="宋体" w:hAnsi="宋体"/>
          <w:bCs/>
          <w:sz w:val="24"/>
          <w:u w:val="single"/>
          <w:lang w:val="en-US" w:eastAsia="zh-CN"/>
        </w:rPr>
        <w:t>16</w:t>
      </w:r>
      <w:r>
        <w:rPr>
          <w:rFonts w:hint="eastAsia" w:ascii="宋体" w:hAnsi="宋体"/>
          <w:bCs/>
          <w:sz w:val="24"/>
        </w:rPr>
        <w:t>:</w:t>
      </w:r>
      <w:r>
        <w:rPr>
          <w:rFonts w:hint="eastAsia" w:ascii="宋体" w:hAnsi="宋体"/>
          <w:bCs/>
          <w:sz w:val="24"/>
          <w:u w:val="single"/>
          <w:lang w:val="en-US" w:eastAsia="zh-CN"/>
        </w:rPr>
        <w:t>00</w:t>
      </w:r>
    </w:p>
    <w:p w14:paraId="11366945">
      <w:pPr>
        <w:autoSpaceDE w:val="0"/>
        <w:autoSpaceDN w:val="0"/>
        <w:adjustRightInd w:val="0"/>
        <w:spacing w:line="360" w:lineRule="auto"/>
        <w:ind w:right="-218" w:rightChars="-104" w:firstLine="200"/>
        <w:jc w:val="left"/>
        <w:rPr>
          <w:rFonts w:hint="eastAsia" w:ascii="宋体" w:hAnsi="宋体"/>
          <w:b/>
          <w:bCs/>
          <w:sz w:val="24"/>
          <w:szCs w:val="18"/>
        </w:rPr>
      </w:pPr>
      <w:r>
        <w:rPr>
          <w:rFonts w:hint="eastAsia" w:ascii="宋体" w:hAnsi="宋体"/>
          <w:b/>
          <w:bCs/>
          <w:sz w:val="24"/>
          <w:szCs w:val="18"/>
        </w:rPr>
        <w:t>六、联系方法</w:t>
      </w:r>
    </w:p>
    <w:p w14:paraId="4D344353">
      <w:pPr>
        <w:autoSpaceDE w:val="0"/>
        <w:autoSpaceDN w:val="0"/>
        <w:adjustRightInd w:val="0"/>
        <w:spacing w:line="360" w:lineRule="auto"/>
        <w:ind w:right="-218" w:rightChars="-104" w:firstLine="200"/>
        <w:jc w:val="left"/>
        <w:rPr>
          <w:rFonts w:hint="eastAsia" w:ascii="宋体" w:hAnsi="宋体" w:eastAsia="宋体"/>
          <w:sz w:val="24"/>
          <w:szCs w:val="24"/>
          <w:lang w:eastAsia="zh-CN"/>
        </w:rPr>
      </w:pPr>
      <w:r>
        <w:rPr>
          <w:rFonts w:hint="eastAsia" w:ascii="宋体" w:hAnsi="宋体"/>
          <w:sz w:val="24"/>
          <w:szCs w:val="24"/>
          <w:lang w:eastAsia="zh-CN"/>
        </w:rPr>
        <w:t>招标</w:t>
      </w:r>
      <w:r>
        <w:rPr>
          <w:rFonts w:hint="eastAsia" w:ascii="宋体" w:hAnsi="宋体"/>
          <w:sz w:val="24"/>
          <w:szCs w:val="24"/>
        </w:rPr>
        <w:t>单位：</w:t>
      </w:r>
      <w:r>
        <w:rPr>
          <w:rFonts w:hint="eastAsia" w:ascii="宋体" w:hAnsi="宋体"/>
          <w:bCs/>
          <w:sz w:val="24"/>
          <w:szCs w:val="18"/>
          <w:lang w:val="en-US" w:eastAsia="zh-CN"/>
        </w:rPr>
        <w:t>合肥滨投文化创意发展有限公司</w:t>
      </w:r>
    </w:p>
    <w:p w14:paraId="2B6CFAE3">
      <w:pPr>
        <w:autoSpaceDE w:val="0"/>
        <w:autoSpaceDN w:val="0"/>
        <w:adjustRightInd w:val="0"/>
        <w:spacing w:line="360" w:lineRule="auto"/>
        <w:ind w:right="-218" w:rightChars="-104" w:firstLine="200"/>
        <w:jc w:val="left"/>
        <w:rPr>
          <w:rFonts w:hint="default" w:ascii="宋体" w:hAnsi="宋体" w:eastAsia="宋体"/>
          <w:sz w:val="24"/>
          <w:szCs w:val="24"/>
          <w:lang w:val="en-US" w:eastAsia="zh-CN"/>
        </w:rPr>
      </w:pPr>
      <w:r>
        <w:rPr>
          <w:rFonts w:hint="eastAsia" w:ascii="宋体" w:hAnsi="宋体"/>
          <w:sz w:val="24"/>
          <w:szCs w:val="24"/>
        </w:rPr>
        <w:t>地址</w:t>
      </w:r>
      <w:r>
        <w:rPr>
          <w:rFonts w:hint="eastAsia" w:ascii="宋体" w:hAnsi="宋体"/>
          <w:sz w:val="24"/>
          <w:szCs w:val="24"/>
          <w:lang w:eastAsia="zh-CN"/>
        </w:rPr>
        <w:t>：</w:t>
      </w:r>
      <w:r>
        <w:rPr>
          <w:rFonts w:hint="eastAsia" w:ascii="宋体" w:hAnsi="宋体"/>
          <w:sz w:val="24"/>
          <w:szCs w:val="24"/>
          <w:lang w:val="en-US" w:eastAsia="zh-CN"/>
        </w:rPr>
        <w:t>合柴1972文创园滨投文创公司办公室206室</w:t>
      </w:r>
    </w:p>
    <w:p w14:paraId="2821BF4D">
      <w:pPr>
        <w:autoSpaceDE w:val="0"/>
        <w:autoSpaceDN w:val="0"/>
        <w:adjustRightInd w:val="0"/>
        <w:spacing w:line="360" w:lineRule="auto"/>
        <w:ind w:right="-218" w:rightChars="-104" w:firstLine="200"/>
        <w:jc w:val="left"/>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val="en-US" w:eastAsia="zh-CN"/>
        </w:rPr>
        <w:t>许工</w:t>
      </w:r>
    </w:p>
    <w:p w14:paraId="34B971E9">
      <w:pPr>
        <w:autoSpaceDE w:val="0"/>
        <w:autoSpaceDN w:val="0"/>
        <w:adjustRightInd w:val="0"/>
        <w:spacing w:line="360" w:lineRule="auto"/>
        <w:ind w:right="-218" w:rightChars="-104" w:firstLine="200"/>
        <w:jc w:val="left"/>
        <w:rPr>
          <w:rFonts w:hint="default" w:ascii="宋体" w:hAnsi="宋体"/>
          <w:sz w:val="24"/>
          <w:szCs w:val="24"/>
          <w:lang w:val="en-US"/>
        </w:rPr>
      </w:pPr>
      <w:r>
        <w:rPr>
          <w:rFonts w:hint="eastAsia" w:ascii="宋体" w:hAnsi="宋体"/>
          <w:sz w:val="24"/>
          <w:szCs w:val="24"/>
        </w:rPr>
        <w:t>电话：</w:t>
      </w:r>
      <w:r>
        <w:rPr>
          <w:rFonts w:hint="eastAsia" w:ascii="宋体" w:hAnsi="宋体"/>
          <w:sz w:val="24"/>
          <w:szCs w:val="24"/>
          <w:lang w:val="en-US" w:eastAsia="zh-CN"/>
        </w:rPr>
        <w:t>18257364900</w:t>
      </w:r>
    </w:p>
    <w:p w14:paraId="27997FA9">
      <w:pPr>
        <w:rPr>
          <w:rFonts w:hint="eastAsia"/>
        </w:rPr>
      </w:pPr>
    </w:p>
    <w:p w14:paraId="3EF5B2F6">
      <w:r>
        <w:br w:type="page"/>
      </w:r>
    </w:p>
    <w:p w14:paraId="26E4E1E8">
      <w:pPr>
        <w:pStyle w:val="3"/>
        <w:spacing w:before="0" w:after="0" w:line="240" w:lineRule="auto"/>
        <w:ind w:right="-218" w:rightChars="-104" w:firstLine="0"/>
        <w:rPr>
          <w:rFonts w:hint="eastAsia" w:ascii="宋体" w:hAnsi="宋体" w:eastAsia="宋体"/>
          <w:b w:val="0"/>
          <w:color w:val="000000"/>
        </w:rPr>
      </w:pPr>
      <w:bookmarkStart w:id="1" w:name="_Hlt510343011"/>
      <w:bookmarkStart w:id="2" w:name="_Hlt510342998"/>
      <w:bookmarkStart w:id="3" w:name="_Toc273602340"/>
      <w:bookmarkStart w:id="4" w:name="_Toc19607"/>
      <w:bookmarkStart w:id="5" w:name="_Toc245092760"/>
      <w:r>
        <w:rPr>
          <w:rFonts w:hint="eastAsia" w:ascii="宋体" w:hAnsi="宋体" w:eastAsia="宋体"/>
          <w:color w:val="000000"/>
        </w:rPr>
        <w:t>第二章 投标人须</w:t>
      </w:r>
      <w:bookmarkEnd w:id="1"/>
      <w:r>
        <w:rPr>
          <w:rFonts w:hint="eastAsia" w:ascii="宋体" w:hAnsi="宋体" w:eastAsia="宋体"/>
          <w:color w:val="000000"/>
        </w:rPr>
        <w:t>知前</w:t>
      </w:r>
      <w:bookmarkEnd w:id="2"/>
      <w:r>
        <w:rPr>
          <w:rFonts w:hint="eastAsia" w:ascii="宋体" w:hAnsi="宋体" w:eastAsia="宋体"/>
          <w:color w:val="000000"/>
        </w:rPr>
        <w:t>附表</w:t>
      </w:r>
      <w:bookmarkEnd w:id="3"/>
      <w:bookmarkEnd w:id="4"/>
      <w:bookmarkEnd w:id="5"/>
    </w:p>
    <w:tbl>
      <w:tblPr>
        <w:tblStyle w:val="18"/>
        <w:tblW w:w="10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0"/>
        <w:gridCol w:w="7395"/>
      </w:tblGrid>
      <w:tr w14:paraId="4C86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noWrap w:val="0"/>
            <w:vAlign w:val="center"/>
          </w:tcPr>
          <w:p w14:paraId="4A7F3D9E">
            <w:pPr>
              <w:ind w:right="-218" w:rightChars="-104"/>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910" w:type="dxa"/>
            <w:noWrap w:val="0"/>
            <w:vAlign w:val="center"/>
          </w:tcPr>
          <w:p w14:paraId="7ADB282C">
            <w:pPr>
              <w:ind w:right="-218" w:rightChars="-104"/>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内容</w:t>
            </w:r>
          </w:p>
        </w:tc>
        <w:tc>
          <w:tcPr>
            <w:tcW w:w="7395" w:type="dxa"/>
            <w:noWrap w:val="0"/>
            <w:vAlign w:val="center"/>
          </w:tcPr>
          <w:p w14:paraId="3958B91F">
            <w:pPr>
              <w:pStyle w:val="21"/>
              <w:widowControl w:val="0"/>
              <w:spacing w:before="0" w:beforeAutospacing="0" w:after="0" w:afterAutospacing="0"/>
              <w:ind w:right="-218" w:rightChars="-104"/>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rPr>
              <w:t>说明与要求</w:t>
            </w:r>
          </w:p>
        </w:tc>
      </w:tr>
      <w:tr w14:paraId="47FB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noWrap w:val="0"/>
            <w:vAlign w:val="center"/>
          </w:tcPr>
          <w:p w14:paraId="75C3DBEE">
            <w:pPr>
              <w:ind w:right="-218" w:rightChars="-104"/>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1910" w:type="dxa"/>
            <w:noWrap w:val="0"/>
            <w:vAlign w:val="center"/>
          </w:tcPr>
          <w:p w14:paraId="6A4FE800">
            <w:pPr>
              <w:ind w:right="-218" w:rightChars="-104"/>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招标人</w:t>
            </w:r>
          </w:p>
        </w:tc>
        <w:tc>
          <w:tcPr>
            <w:tcW w:w="7395" w:type="dxa"/>
            <w:noWrap w:val="0"/>
            <w:vAlign w:val="center"/>
          </w:tcPr>
          <w:p w14:paraId="181ED887">
            <w:pPr>
              <w:pStyle w:val="21"/>
              <w:widowControl w:val="0"/>
              <w:spacing w:before="0" w:beforeAutospacing="0" w:after="0" w:afterAutospacing="0"/>
              <w:ind w:right="-218" w:rightChars="-104"/>
              <w:jc w:val="both"/>
              <w:rPr>
                <w:rFonts w:hint="eastAsia" w:ascii="宋体" w:hAnsi="宋体" w:eastAsia="宋体" w:cs="宋体"/>
                <w:b w:val="0"/>
                <w:color w:val="000000"/>
                <w:kern w:val="2"/>
                <w:sz w:val="24"/>
                <w:szCs w:val="24"/>
                <w:lang w:val="zh-CN"/>
              </w:rPr>
            </w:pPr>
            <w:r>
              <w:rPr>
                <w:rFonts w:hint="eastAsia" w:ascii="宋体" w:hAnsi="宋体"/>
                <w:bCs/>
                <w:sz w:val="24"/>
                <w:szCs w:val="18"/>
                <w:lang w:val="en-US" w:eastAsia="zh-CN"/>
              </w:rPr>
              <w:t>合肥滨投文化创意发展有限公司</w:t>
            </w:r>
          </w:p>
        </w:tc>
      </w:tr>
      <w:tr w14:paraId="0DDC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noWrap w:val="0"/>
            <w:vAlign w:val="center"/>
          </w:tcPr>
          <w:p w14:paraId="068BFDBA">
            <w:pPr>
              <w:ind w:right="-218" w:rightChars="-104"/>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1910" w:type="dxa"/>
            <w:noWrap w:val="0"/>
            <w:vAlign w:val="center"/>
          </w:tcPr>
          <w:p w14:paraId="7F40D588">
            <w:pPr>
              <w:ind w:right="-218" w:rightChars="-104"/>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项目业主</w:t>
            </w:r>
          </w:p>
        </w:tc>
        <w:tc>
          <w:tcPr>
            <w:tcW w:w="7395" w:type="dxa"/>
            <w:noWrap w:val="0"/>
            <w:vAlign w:val="center"/>
          </w:tcPr>
          <w:p w14:paraId="0CD9EF9C">
            <w:pPr>
              <w:pStyle w:val="21"/>
              <w:widowControl w:val="0"/>
              <w:spacing w:before="0" w:beforeAutospacing="0" w:after="0" w:afterAutospacing="0"/>
              <w:ind w:right="-218" w:rightChars="-104"/>
              <w:jc w:val="both"/>
              <w:rPr>
                <w:rFonts w:hint="eastAsia" w:ascii="宋体" w:hAnsi="宋体" w:eastAsia="宋体" w:cs="宋体"/>
                <w:b w:val="0"/>
                <w:bCs/>
                <w:color w:val="000000"/>
                <w:sz w:val="24"/>
                <w:szCs w:val="24"/>
                <w:lang w:eastAsia="zh-CN"/>
              </w:rPr>
            </w:pPr>
            <w:r>
              <w:rPr>
                <w:rFonts w:hint="eastAsia" w:ascii="宋体" w:hAnsi="宋体"/>
                <w:bCs/>
                <w:sz w:val="24"/>
                <w:szCs w:val="18"/>
                <w:lang w:val="en-US" w:eastAsia="zh-CN"/>
              </w:rPr>
              <w:t>合肥滨投文化创意发展有限公司</w:t>
            </w:r>
          </w:p>
        </w:tc>
      </w:tr>
      <w:tr w14:paraId="676C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66" w:type="dxa"/>
            <w:noWrap w:val="0"/>
            <w:vAlign w:val="center"/>
          </w:tcPr>
          <w:p w14:paraId="21D0B8C4">
            <w:pPr>
              <w:ind w:right="-218" w:rightChars="-104"/>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1910" w:type="dxa"/>
            <w:noWrap w:val="0"/>
            <w:vAlign w:val="center"/>
          </w:tcPr>
          <w:p w14:paraId="0C06A9F9">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395" w:type="dxa"/>
            <w:noWrap w:val="0"/>
            <w:vAlign w:val="center"/>
          </w:tcPr>
          <w:p w14:paraId="74C16ECB">
            <w:pPr>
              <w:ind w:right="-218" w:rightChars="-104"/>
              <w:rPr>
                <w:rFonts w:hint="eastAsia" w:ascii="宋体" w:hAnsi="宋体" w:eastAsia="宋体" w:cs="宋体"/>
                <w:color w:val="000000"/>
                <w:sz w:val="24"/>
                <w:szCs w:val="24"/>
              </w:rPr>
            </w:pPr>
            <w:r>
              <w:rPr>
                <w:rFonts w:hint="eastAsia" w:ascii="宋体" w:hAnsi="宋体"/>
                <w:color w:val="000000"/>
                <w:kern w:val="0"/>
                <w:sz w:val="24"/>
                <w:lang w:val="en-US" w:eastAsia="zh-CN"/>
              </w:rPr>
              <w:t>合柴1972文创园</w:t>
            </w:r>
            <w:r>
              <w:rPr>
                <w:rFonts w:hint="eastAsia" w:ascii="宋体" w:hAnsi="宋体"/>
                <w:color w:val="000000"/>
                <w:kern w:val="0"/>
                <w:sz w:val="24"/>
                <w:lang w:val="zh-CN"/>
              </w:rPr>
              <w:t>防维保服务</w:t>
            </w:r>
          </w:p>
        </w:tc>
      </w:tr>
      <w:tr w14:paraId="6CCA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 w:type="dxa"/>
            <w:noWrap w:val="0"/>
            <w:vAlign w:val="center"/>
          </w:tcPr>
          <w:p w14:paraId="3F93C52F">
            <w:pPr>
              <w:ind w:right="-218" w:rightChars="-104"/>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1910" w:type="dxa"/>
            <w:noWrap w:val="0"/>
            <w:vAlign w:val="center"/>
          </w:tcPr>
          <w:p w14:paraId="7AD169CD">
            <w:pPr>
              <w:ind w:right="-218" w:rightChars="-104"/>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项目编号</w:t>
            </w:r>
          </w:p>
        </w:tc>
        <w:tc>
          <w:tcPr>
            <w:tcW w:w="7395" w:type="dxa"/>
            <w:noWrap w:val="0"/>
            <w:vAlign w:val="center"/>
          </w:tcPr>
          <w:p w14:paraId="59F31AB5">
            <w:pPr>
              <w:ind w:right="-218" w:rightChars="-104"/>
              <w:rPr>
                <w:rFonts w:hint="default" w:ascii="宋体" w:hAnsi="宋体" w:eastAsia="宋体" w:cs="宋体"/>
                <w:b/>
                <w:bCs/>
                <w:color w:val="000000"/>
                <w:sz w:val="24"/>
                <w:szCs w:val="24"/>
                <w:lang w:val="en-US" w:eastAsia="zh-CN"/>
              </w:rPr>
            </w:pPr>
          </w:p>
        </w:tc>
      </w:tr>
      <w:tr w14:paraId="0B2D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388FAAA7">
            <w:pPr>
              <w:ind w:right="-218" w:rightChars="-104"/>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1910" w:type="dxa"/>
            <w:noWrap w:val="0"/>
            <w:vAlign w:val="center"/>
          </w:tcPr>
          <w:p w14:paraId="5257E0DE">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项目预算</w:t>
            </w:r>
          </w:p>
        </w:tc>
        <w:tc>
          <w:tcPr>
            <w:tcW w:w="7395" w:type="dxa"/>
            <w:noWrap w:val="0"/>
            <w:vAlign w:val="center"/>
          </w:tcPr>
          <w:p w14:paraId="5728B89B">
            <w:pPr>
              <w:ind w:right="-218" w:rightChars="-104"/>
              <w:rPr>
                <w:rFonts w:hint="default" w:ascii="宋体" w:hAnsi="宋体" w:eastAsia="宋体" w:cs="宋体"/>
                <w:b/>
                <w:color w:val="000000"/>
                <w:sz w:val="24"/>
                <w:szCs w:val="24"/>
                <w:lang w:val="en-US" w:eastAsia="zh-CN"/>
              </w:rPr>
            </w:pPr>
            <w:r>
              <w:rPr>
                <w:rFonts w:hint="eastAsia" w:ascii="宋体" w:hAnsi="宋体" w:cs="宋体"/>
                <w:sz w:val="24"/>
                <w:szCs w:val="24"/>
                <w:lang w:val="en-US" w:eastAsia="zh-CN"/>
              </w:rPr>
              <w:t>9.5</w:t>
            </w:r>
            <w:r>
              <w:rPr>
                <w:rFonts w:hint="eastAsia" w:ascii="宋体" w:hAnsi="宋体" w:eastAsia="宋体" w:cs="宋体"/>
                <w:sz w:val="24"/>
                <w:szCs w:val="24"/>
                <w:lang w:val="en-US" w:eastAsia="zh-CN"/>
              </w:rPr>
              <w:t>万</w:t>
            </w:r>
            <w:r>
              <w:rPr>
                <w:rFonts w:hint="eastAsia" w:ascii="宋体" w:hAnsi="宋体" w:eastAsia="宋体" w:cs="宋体"/>
                <w:sz w:val="24"/>
                <w:szCs w:val="24"/>
              </w:rPr>
              <w:t>元/年</w:t>
            </w:r>
          </w:p>
        </w:tc>
      </w:tr>
      <w:tr w14:paraId="1BB9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12C9533F">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910" w:type="dxa"/>
            <w:noWrap w:val="0"/>
            <w:vAlign w:val="center"/>
          </w:tcPr>
          <w:p w14:paraId="3548FEAF">
            <w:pPr>
              <w:ind w:right="-218" w:rightChars="-104"/>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rPr>
              <w:t>包别划分</w:t>
            </w:r>
          </w:p>
        </w:tc>
        <w:tc>
          <w:tcPr>
            <w:tcW w:w="7395" w:type="dxa"/>
            <w:noWrap w:val="0"/>
            <w:vAlign w:val="center"/>
          </w:tcPr>
          <w:p w14:paraId="3B8A83B6">
            <w:pPr>
              <w:ind w:left="841" w:right="-218" w:rightChars="-104" w:hanging="841"/>
              <w:rPr>
                <w:rFonts w:hint="eastAsia" w:ascii="宋体" w:hAnsi="宋体" w:eastAsia="宋体" w:cs="宋体"/>
                <w:bCs/>
                <w:color w:val="000000"/>
                <w:sz w:val="24"/>
                <w:szCs w:val="24"/>
              </w:rPr>
            </w:pPr>
            <w:r>
              <w:rPr>
                <w:rFonts w:hint="eastAsia" w:ascii="宋体" w:hAnsi="宋体" w:eastAsia="宋体" w:cs="宋体"/>
                <w:b/>
                <w:bCs/>
                <w:color w:val="000000"/>
                <w:sz w:val="24"/>
                <w:szCs w:val="24"/>
              </w:rPr>
              <w:sym w:font="Wingdings" w:char="F0FE"/>
            </w:r>
            <w:r>
              <w:rPr>
                <w:rFonts w:hint="eastAsia" w:ascii="宋体" w:hAnsi="宋体" w:eastAsia="宋体" w:cs="宋体"/>
                <w:color w:val="000000"/>
                <w:sz w:val="24"/>
                <w:szCs w:val="24"/>
              </w:rPr>
              <w:t xml:space="preserve">不分包     </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分为  包</w:t>
            </w:r>
          </w:p>
        </w:tc>
      </w:tr>
      <w:tr w14:paraId="2B02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7FA77D52">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910" w:type="dxa"/>
            <w:noWrap w:val="0"/>
            <w:vAlign w:val="center"/>
          </w:tcPr>
          <w:p w14:paraId="6C0EF4BC">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项目性质</w:t>
            </w:r>
          </w:p>
        </w:tc>
        <w:tc>
          <w:tcPr>
            <w:tcW w:w="7395" w:type="dxa"/>
            <w:noWrap w:val="0"/>
            <w:vAlign w:val="center"/>
          </w:tcPr>
          <w:p w14:paraId="16AC19D0">
            <w:pPr>
              <w:ind w:left="841" w:right="-218" w:rightChars="-104" w:hanging="841"/>
              <w:rPr>
                <w:rFonts w:hint="eastAsia" w:ascii="宋体" w:hAnsi="宋体" w:eastAsia="宋体" w:cs="宋体"/>
                <w:color w:val="000000"/>
                <w:sz w:val="24"/>
                <w:szCs w:val="24"/>
              </w:rPr>
            </w:pPr>
            <w:r>
              <w:rPr>
                <w:rFonts w:hint="eastAsia" w:ascii="宋体" w:hAnsi="宋体" w:eastAsia="宋体" w:cs="宋体"/>
                <w:color w:val="000000"/>
                <w:sz w:val="24"/>
                <w:szCs w:val="24"/>
              </w:rPr>
              <w:t>服务类</w:t>
            </w:r>
          </w:p>
        </w:tc>
      </w:tr>
      <w:tr w14:paraId="65AE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6" w:type="dxa"/>
            <w:noWrap w:val="0"/>
            <w:vAlign w:val="center"/>
          </w:tcPr>
          <w:p w14:paraId="0C88B075">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910" w:type="dxa"/>
            <w:noWrap w:val="0"/>
            <w:vAlign w:val="center"/>
          </w:tcPr>
          <w:p w14:paraId="0D40B7B9">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形式</w:t>
            </w:r>
          </w:p>
        </w:tc>
        <w:tc>
          <w:tcPr>
            <w:tcW w:w="7395" w:type="dxa"/>
            <w:noWrap w:val="0"/>
            <w:vAlign w:val="center"/>
          </w:tcPr>
          <w:p w14:paraId="3D3D9151">
            <w:pPr>
              <w:ind w:left="841" w:right="-218" w:rightChars="-104" w:hanging="841"/>
              <w:rPr>
                <w:rFonts w:hint="eastAsia" w:ascii="宋体" w:hAnsi="宋体" w:eastAsia="宋体" w:cs="宋体"/>
                <w:sz w:val="24"/>
                <w:szCs w:val="24"/>
              </w:rPr>
            </w:pPr>
            <w:r>
              <w:rPr>
                <w:rFonts w:hint="eastAsia" w:ascii="宋体" w:hAnsi="宋体" w:eastAsia="宋体" w:cs="宋体"/>
                <w:sz w:val="24"/>
                <w:szCs w:val="24"/>
              </w:rPr>
              <w:t>公开招标</w:t>
            </w:r>
          </w:p>
        </w:tc>
      </w:tr>
      <w:tr w14:paraId="2FAA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66" w:type="dxa"/>
            <w:noWrap w:val="0"/>
            <w:vAlign w:val="center"/>
          </w:tcPr>
          <w:p w14:paraId="6856B77C">
            <w:pPr>
              <w:ind w:right="-218" w:rightChars="-104"/>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w:t>
            </w:r>
          </w:p>
        </w:tc>
        <w:tc>
          <w:tcPr>
            <w:tcW w:w="1910" w:type="dxa"/>
            <w:noWrap w:val="0"/>
            <w:vAlign w:val="center"/>
          </w:tcPr>
          <w:p w14:paraId="2FB22FD0">
            <w:pPr>
              <w:pStyle w:val="21"/>
              <w:widowControl w:val="0"/>
              <w:spacing w:before="0" w:beforeAutospacing="0" w:after="0" w:afterAutospacing="0"/>
              <w:ind w:right="-218" w:rightChars="-104"/>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付款方式</w:t>
            </w:r>
          </w:p>
        </w:tc>
        <w:tc>
          <w:tcPr>
            <w:tcW w:w="7395" w:type="dxa"/>
            <w:noWrap w:val="0"/>
            <w:vAlign w:val="center"/>
          </w:tcPr>
          <w:p w14:paraId="0BD224D2">
            <w:pPr>
              <w:pStyle w:val="21"/>
              <w:widowControl w:val="0"/>
              <w:spacing w:before="0" w:beforeAutospacing="0" w:after="0" w:afterAutospacing="0"/>
              <w:ind w:right="38" w:rightChars="18"/>
              <w:jc w:val="both"/>
              <w:rPr>
                <w:rFonts w:hint="eastAsia"/>
                <w:b w:val="0"/>
                <w:sz w:val="24"/>
                <w:lang w:eastAsia="zh-CN"/>
              </w:rPr>
            </w:pPr>
            <w:r>
              <w:rPr>
                <w:rFonts w:hint="eastAsia" w:ascii="宋体" w:hAnsi="宋体" w:eastAsia="宋体"/>
                <w:b w:val="0"/>
                <w:sz w:val="24"/>
              </w:rPr>
              <w:t>付款方式：</w:t>
            </w:r>
            <w:r>
              <w:rPr>
                <w:rFonts w:hint="eastAsia"/>
                <w:b w:val="0"/>
                <w:sz w:val="24"/>
                <w:lang w:eastAsia="zh-CN"/>
              </w:rPr>
              <w:t>1．付款方式：维保费用按每三个月据实结算一次，甲方在得到专用发票和当期考核评价表后一个月内支付给乙方；维保过程中更换设备材料的费用，原则上按每三个月支付或费用累计超过一万元时，乙方须提供专用发票等材料，经甲方确认后，一个月内支付给乙方。</w:t>
            </w:r>
          </w:p>
          <w:p w14:paraId="669182A4">
            <w:pPr>
              <w:pStyle w:val="21"/>
              <w:widowControl w:val="0"/>
              <w:spacing w:before="0" w:beforeAutospacing="0" w:after="0" w:afterAutospacing="0"/>
              <w:ind w:right="38" w:rightChars="18"/>
              <w:jc w:val="both"/>
              <w:rPr>
                <w:rFonts w:hint="eastAsia" w:ascii="宋体" w:hAnsi="宋体" w:eastAsia="宋体" w:cs="宋体"/>
                <w:b w:val="0"/>
                <w:bCs/>
                <w:sz w:val="24"/>
                <w:szCs w:val="24"/>
              </w:rPr>
            </w:pPr>
            <w:r>
              <w:rPr>
                <w:rFonts w:hint="eastAsia"/>
                <w:b w:val="0"/>
                <w:sz w:val="24"/>
                <w:lang w:eastAsia="zh-CN"/>
              </w:rPr>
              <w:t>2．开票要求：在付款前乙方须按照一般计税方法提供增值税专用发票（税率6%），如未按约定开具增值税专用发票或实际开具的增值税专用发票税率低于合同中约定税率的，乙方应向甲方支付无法抵扣部分的税款金额</w:t>
            </w:r>
            <w:r>
              <w:rPr>
                <w:rFonts w:hint="eastAsia" w:ascii="宋体" w:hAnsi="宋体" w:eastAsia="宋体" w:cs="宋体"/>
                <w:b w:val="0"/>
                <w:bCs/>
                <w:sz w:val="24"/>
                <w:szCs w:val="24"/>
              </w:rPr>
              <w:t>。</w:t>
            </w:r>
          </w:p>
          <w:p w14:paraId="43E7A6B0">
            <w:pPr>
              <w:pStyle w:val="21"/>
              <w:widowControl w:val="0"/>
              <w:spacing w:before="0" w:beforeAutospacing="0" w:after="0" w:afterAutospacing="0"/>
              <w:ind w:right="38" w:rightChars="18"/>
              <w:jc w:val="both"/>
              <w:rPr>
                <w:rFonts w:hint="eastAsia" w:ascii="宋体" w:hAnsi="宋体" w:eastAsia="宋体" w:cs="宋体"/>
                <w:b w:val="0"/>
                <w:bCs/>
                <w:sz w:val="24"/>
                <w:szCs w:val="24"/>
              </w:rPr>
            </w:pPr>
            <w:r>
              <w:rPr>
                <w:rFonts w:hint="eastAsia" w:ascii="宋体" w:hAnsi="宋体" w:eastAsia="宋体" w:cs="宋体"/>
                <w:b w:val="0"/>
                <w:bCs/>
                <w:sz w:val="24"/>
                <w:szCs w:val="24"/>
              </w:rPr>
              <w:t>投标人提交的投标文件中如有关于付款条件的表述与招标文件规定不符，将被视为实质性不响应，将导致投标无效。</w:t>
            </w:r>
          </w:p>
        </w:tc>
      </w:tr>
      <w:tr w14:paraId="76BB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6" w:type="dxa"/>
            <w:noWrap w:val="0"/>
            <w:vAlign w:val="center"/>
          </w:tcPr>
          <w:p w14:paraId="20A71BB2">
            <w:pPr>
              <w:ind w:right="-218" w:rightChars="-104"/>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w:t>
            </w:r>
          </w:p>
        </w:tc>
        <w:tc>
          <w:tcPr>
            <w:tcW w:w="1910" w:type="dxa"/>
            <w:noWrap w:val="0"/>
            <w:vAlign w:val="center"/>
          </w:tcPr>
          <w:p w14:paraId="0BFAC1A8">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联合体投标</w:t>
            </w:r>
          </w:p>
        </w:tc>
        <w:tc>
          <w:tcPr>
            <w:tcW w:w="7395" w:type="dxa"/>
            <w:noWrap w:val="0"/>
            <w:vAlign w:val="center"/>
          </w:tcPr>
          <w:p w14:paraId="1D9807E1">
            <w:pPr>
              <w:ind w:right="-218" w:rightChars="-104"/>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 xml:space="preserve">允许   </w:t>
            </w:r>
            <w:r>
              <w:rPr>
                <w:rFonts w:hint="eastAsia" w:ascii="宋体" w:hAnsi="宋体" w:eastAsia="宋体" w:cs="宋体"/>
                <w:b/>
                <w:bCs/>
                <w:color w:val="000000"/>
                <w:sz w:val="24"/>
                <w:szCs w:val="24"/>
              </w:rPr>
              <w:sym w:font="Wingdings" w:char="F0FE"/>
            </w:r>
            <w:r>
              <w:rPr>
                <w:rFonts w:hint="eastAsia" w:ascii="宋体" w:hAnsi="宋体" w:eastAsia="宋体" w:cs="宋体"/>
                <w:color w:val="000000"/>
                <w:sz w:val="24"/>
                <w:szCs w:val="24"/>
              </w:rPr>
              <w:t>不允许</w:t>
            </w:r>
          </w:p>
        </w:tc>
      </w:tr>
      <w:tr w14:paraId="7848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66" w:type="dxa"/>
            <w:noWrap w:val="0"/>
            <w:vAlign w:val="center"/>
          </w:tcPr>
          <w:p w14:paraId="14B86D95">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910" w:type="dxa"/>
            <w:noWrap w:val="0"/>
            <w:vAlign w:val="center"/>
          </w:tcPr>
          <w:p w14:paraId="57D6951C">
            <w:pPr>
              <w:ind w:right="-218" w:rightChars="-104"/>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rPr>
              <w:t>投标有效期</w:t>
            </w:r>
          </w:p>
        </w:tc>
        <w:tc>
          <w:tcPr>
            <w:tcW w:w="7395" w:type="dxa"/>
            <w:noWrap w:val="0"/>
            <w:vAlign w:val="center"/>
          </w:tcPr>
          <w:p w14:paraId="480A17C9">
            <w:pPr>
              <w:ind w:right="-218" w:rightChars="-104"/>
              <w:rPr>
                <w:rFonts w:hint="eastAsia" w:ascii="宋体" w:hAnsi="宋体" w:eastAsia="宋体" w:cs="宋体"/>
                <w:color w:val="000000"/>
                <w:sz w:val="24"/>
                <w:szCs w:val="24"/>
              </w:rPr>
            </w:pPr>
            <w:r>
              <w:rPr>
                <w:rFonts w:hint="eastAsia" w:ascii="宋体" w:hAnsi="宋体" w:eastAsia="宋体" w:cs="宋体"/>
                <w:bCs/>
                <w:color w:val="000000"/>
                <w:sz w:val="24"/>
                <w:szCs w:val="24"/>
              </w:rPr>
              <w:t>开标后</w:t>
            </w:r>
            <w:r>
              <w:rPr>
                <w:rFonts w:hint="eastAsia" w:ascii="宋体" w:hAnsi="宋体" w:eastAsia="宋体" w:cs="宋体"/>
                <w:bCs/>
                <w:color w:val="000000"/>
                <w:sz w:val="24"/>
                <w:szCs w:val="24"/>
                <w:u w:val="single"/>
              </w:rPr>
              <w:t>30</w:t>
            </w:r>
            <w:r>
              <w:rPr>
                <w:rFonts w:hint="eastAsia" w:ascii="宋体" w:hAnsi="宋体" w:eastAsia="宋体" w:cs="宋体"/>
                <w:bCs/>
                <w:color w:val="000000"/>
                <w:sz w:val="24"/>
                <w:szCs w:val="24"/>
              </w:rPr>
              <w:t>天</w:t>
            </w:r>
          </w:p>
        </w:tc>
      </w:tr>
      <w:tr w14:paraId="0055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66" w:type="dxa"/>
            <w:noWrap w:val="0"/>
            <w:vAlign w:val="center"/>
          </w:tcPr>
          <w:p w14:paraId="0C5C5C57">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910" w:type="dxa"/>
            <w:noWrap w:val="0"/>
            <w:vAlign w:val="center"/>
          </w:tcPr>
          <w:p w14:paraId="534B32F9">
            <w:pPr>
              <w:ind w:right="13" w:rightChars="6"/>
              <w:jc w:val="center"/>
              <w:rPr>
                <w:rFonts w:hint="eastAsia" w:ascii="宋体" w:hAnsi="宋体" w:eastAsia="宋体" w:cs="宋体"/>
                <w:sz w:val="24"/>
                <w:szCs w:val="24"/>
                <w:lang w:val="zh-CN"/>
              </w:rPr>
            </w:pPr>
            <w:r>
              <w:rPr>
                <w:rFonts w:hint="eastAsia" w:ascii="宋体" w:hAnsi="宋体" w:eastAsia="宋体" w:cs="宋体"/>
                <w:sz w:val="24"/>
                <w:szCs w:val="24"/>
                <w:lang w:val="zh-CN"/>
              </w:rPr>
              <w:t>服务（供货）周期</w:t>
            </w:r>
          </w:p>
        </w:tc>
        <w:tc>
          <w:tcPr>
            <w:tcW w:w="7395" w:type="dxa"/>
            <w:noWrap w:val="0"/>
            <w:vAlign w:val="center"/>
          </w:tcPr>
          <w:p w14:paraId="7B25DA49">
            <w:pPr>
              <w:ind w:right="38" w:rightChars="18"/>
              <w:rPr>
                <w:rFonts w:hint="eastAsia" w:ascii="宋体" w:hAnsi="宋体" w:eastAsia="宋体" w:cs="宋体"/>
                <w:sz w:val="24"/>
                <w:szCs w:val="24"/>
                <w:highlight w:val="none"/>
                <w:lang w:eastAsia="zh-CN"/>
              </w:rPr>
            </w:pPr>
            <w:r>
              <w:rPr>
                <w:rFonts w:hint="eastAsia" w:ascii="宋体" w:hAnsi="宋体" w:eastAsia="宋体"/>
                <w:b w:val="0"/>
                <w:color w:val="auto"/>
                <w:sz w:val="24"/>
                <w:highlight w:val="none"/>
              </w:rPr>
              <w:t>一年；服务期内履约良好，合同到期后，经考核良好和合同双方同意，可续签后两年合同，合同一年一签，服务价格、合同条款内容不变</w:t>
            </w:r>
            <w:r>
              <w:rPr>
                <w:rFonts w:hint="eastAsia" w:ascii="宋体" w:hAnsi="宋体" w:eastAsia="宋体"/>
                <w:b w:val="0"/>
                <w:color w:val="auto"/>
                <w:sz w:val="24"/>
                <w:highlight w:val="none"/>
                <w:lang w:eastAsia="zh-CN"/>
              </w:rPr>
              <w:t>。</w:t>
            </w:r>
          </w:p>
        </w:tc>
      </w:tr>
      <w:tr w14:paraId="342E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6" w:type="dxa"/>
            <w:noWrap w:val="0"/>
            <w:vAlign w:val="center"/>
          </w:tcPr>
          <w:p w14:paraId="5DE9CD76">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910" w:type="dxa"/>
            <w:noWrap w:val="0"/>
            <w:vAlign w:val="center"/>
          </w:tcPr>
          <w:p w14:paraId="491F7576">
            <w:pPr>
              <w:pStyle w:val="22"/>
              <w:pBdr>
                <w:bottom w:val="none" w:color="auto" w:sz="0" w:space="0"/>
              </w:pBdr>
              <w:tabs>
                <w:tab w:val="clear" w:pos="4153"/>
                <w:tab w:val="clear" w:pos="8306"/>
              </w:tabs>
              <w:adjustRightInd/>
              <w:spacing w:line="240" w:lineRule="auto"/>
              <w:ind w:right="-218" w:rightChars="-104"/>
              <w:textAlignment w:val="auto"/>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en-US" w:eastAsia="zh-CN"/>
              </w:rPr>
              <w:t>投标保证金</w:t>
            </w:r>
          </w:p>
        </w:tc>
        <w:tc>
          <w:tcPr>
            <w:tcW w:w="7395" w:type="dxa"/>
            <w:noWrap w:val="0"/>
            <w:vAlign w:val="center"/>
          </w:tcPr>
          <w:p w14:paraId="2B6902E8">
            <w:pPr>
              <w:snapToGrid w:val="0"/>
              <w:ind w:right="-218" w:rightChars="-104"/>
              <w:rPr>
                <w:rFonts w:hint="eastAsia"/>
              </w:rPr>
            </w:pPr>
            <w:r>
              <w:rPr>
                <w:rFonts w:hint="eastAsia"/>
                <w:lang w:val="en-US" w:eastAsia="zh-CN"/>
              </w:rPr>
              <w:t>1.</w:t>
            </w:r>
            <w:r>
              <w:rPr>
                <w:rFonts w:hint="eastAsia"/>
              </w:rPr>
              <w:t>是否要求投标人递交投标保证金：</w:t>
            </w:r>
          </w:p>
          <w:p w14:paraId="7BC09FAC">
            <w:pPr>
              <w:snapToGrid w:val="0"/>
              <w:ind w:right="-218" w:rightChars="-104"/>
              <w:rPr>
                <w:rFonts w:hint="eastAsia"/>
              </w:rPr>
            </w:pPr>
            <w:r>
              <w:rPr>
                <w:rFonts w:hint="eastAsia"/>
                <w:lang w:eastAsia="zh-CN"/>
              </w:rPr>
              <w:t>☑</w:t>
            </w:r>
            <w:r>
              <w:rPr>
                <w:rFonts w:hint="eastAsia"/>
              </w:rPr>
              <w:t>不要求</w:t>
            </w:r>
          </w:p>
          <w:p w14:paraId="38042AE2">
            <w:pPr>
              <w:snapToGrid w:val="0"/>
              <w:ind w:right="-218" w:rightChars="-104"/>
              <w:rPr>
                <w:rFonts w:hint="eastAsia"/>
              </w:rPr>
            </w:pPr>
            <w:r>
              <w:rPr>
                <w:rFonts w:hint="eastAsia"/>
              </w:rPr>
              <w:fldChar w:fldCharType="begin"/>
            </w:r>
            <w:r>
              <w:rPr>
                <w:rFonts w:hint="eastAsia"/>
              </w:rPr>
              <w:instrText xml:space="preserve"> eq \o\ac(□)</w:instrText>
            </w:r>
            <w:r>
              <w:rPr>
                <w:rFonts w:hint="eastAsia"/>
              </w:rPr>
              <w:fldChar w:fldCharType="end"/>
            </w:r>
            <w:r>
              <w:rPr>
                <w:rFonts w:hint="eastAsia"/>
              </w:rPr>
              <w:t>要求</w:t>
            </w:r>
          </w:p>
          <w:p w14:paraId="7F00A3D7">
            <w:pPr>
              <w:snapToGrid w:val="0"/>
              <w:ind w:right="-218" w:rightChars="-104"/>
              <w:rPr>
                <w:rFonts w:hint="eastAsia"/>
              </w:rPr>
            </w:pPr>
            <w:r>
              <w:rPr>
                <w:rFonts w:hint="eastAsia"/>
              </w:rPr>
              <w:t xml:space="preserve">投标保证金的形式： </w:t>
            </w:r>
          </w:p>
          <w:p w14:paraId="3D2FED88">
            <w:pPr>
              <w:snapToGrid w:val="0"/>
              <w:ind w:right="-218" w:rightChars="-104"/>
              <w:rPr>
                <w:rFonts w:hint="eastAsia"/>
              </w:rPr>
            </w:pPr>
            <w:r>
              <w:rPr>
                <w:rFonts w:hint="eastAsia"/>
              </w:rPr>
              <w:fldChar w:fldCharType="begin"/>
            </w:r>
            <w:r>
              <w:rPr>
                <w:rFonts w:hint="eastAsia"/>
              </w:rPr>
              <w:instrText xml:space="preserve"> eq \o\ac(□)</w:instrText>
            </w:r>
            <w:r>
              <w:rPr>
                <w:rFonts w:hint="eastAsia"/>
              </w:rPr>
              <w:fldChar w:fldCharType="end"/>
            </w:r>
            <w:r>
              <w:rPr>
                <w:rFonts w:hint="eastAsia"/>
              </w:rPr>
              <w:t xml:space="preserve">银行保函  </w:t>
            </w:r>
            <w:r>
              <w:rPr>
                <w:rFonts w:hint="eastAsia"/>
              </w:rPr>
              <w:fldChar w:fldCharType="begin"/>
            </w:r>
            <w:r>
              <w:rPr>
                <w:rFonts w:hint="eastAsia"/>
              </w:rPr>
              <w:instrText xml:space="preserve"> eq \o\ac(□)</w:instrText>
            </w:r>
            <w:r>
              <w:rPr>
                <w:rFonts w:hint="eastAsia"/>
              </w:rPr>
              <w:fldChar w:fldCharType="end"/>
            </w:r>
            <w:r>
              <w:rPr>
                <w:rFonts w:hint="eastAsia"/>
              </w:rPr>
              <w:t xml:space="preserve">担保机构担保    </w:t>
            </w:r>
            <w:r>
              <w:rPr>
                <w:rFonts w:hint="eastAsia"/>
              </w:rPr>
              <w:fldChar w:fldCharType="begin"/>
            </w:r>
            <w:r>
              <w:rPr>
                <w:rFonts w:hint="eastAsia"/>
              </w:rPr>
              <w:instrText xml:space="preserve"> eq \o\ac(□)</w:instrText>
            </w:r>
            <w:r>
              <w:rPr>
                <w:rFonts w:hint="eastAsia"/>
              </w:rPr>
              <w:fldChar w:fldCharType="end"/>
            </w:r>
            <w:r>
              <w:rPr>
                <w:rFonts w:hint="eastAsia"/>
              </w:rPr>
              <w:t xml:space="preserve">保证保险 </w:t>
            </w:r>
          </w:p>
          <w:p w14:paraId="6BF44B0B">
            <w:pPr>
              <w:snapToGrid w:val="0"/>
              <w:ind w:right="-218" w:rightChars="-104"/>
              <w:rPr>
                <w:rFonts w:hint="eastAsia"/>
              </w:rPr>
            </w:pPr>
            <w:r>
              <w:rPr>
                <w:rFonts w:hint="eastAsia"/>
              </w:rPr>
              <w:t xml:space="preserve"> </w:t>
            </w:r>
            <w:r>
              <w:rPr>
                <w:rFonts w:hint="eastAsia"/>
              </w:rPr>
              <w:fldChar w:fldCharType="begin"/>
            </w:r>
            <w:r>
              <w:rPr>
                <w:rFonts w:hint="eastAsia"/>
              </w:rPr>
              <w:instrText xml:space="preserve"> eq \o\ac(□)</w:instrText>
            </w:r>
            <w:r>
              <w:rPr>
                <w:rFonts w:hint="eastAsia"/>
              </w:rPr>
              <w:fldChar w:fldCharType="end"/>
            </w:r>
            <w:r>
              <w:rPr>
                <w:rFonts w:hint="eastAsia"/>
              </w:rPr>
              <w:t>电子保函</w:t>
            </w:r>
          </w:p>
          <w:p w14:paraId="5E97AADA">
            <w:pPr>
              <w:snapToGrid w:val="0"/>
              <w:ind w:right="38" w:rightChars="18"/>
              <w:rPr>
                <w:rFonts w:hint="eastAsia" w:eastAsia="宋体"/>
                <w:lang w:eastAsia="zh-CN"/>
              </w:rPr>
            </w:pPr>
            <w:r>
              <w:rPr>
                <w:rFonts w:hint="eastAsia"/>
              </w:rPr>
              <w:t>注：采用银行保函，应为投标人基本账户开户行出具的见索即付无条件银行保函；采用担保机构出具的保函（担保机构担保），应为经安徽省地方金融监督管理局审查批准，依法取得融资担保业务经营许可证的融资担保机构出具的无条件保函</w:t>
            </w:r>
            <w:r>
              <w:rPr>
                <w:rFonts w:hint="eastAsia"/>
                <w:lang w:eastAsia="zh-CN"/>
              </w:rPr>
              <w:t>。</w:t>
            </w:r>
          </w:p>
          <w:p w14:paraId="0A1CC9AB">
            <w:pPr>
              <w:snapToGrid w:val="0"/>
              <w:ind w:right="-218" w:rightChars="-104"/>
              <w:rPr>
                <w:rFonts w:hint="default" w:ascii="宋体" w:hAnsi="宋体" w:eastAsia="宋体" w:cs="宋体"/>
                <w:bCs/>
                <w:sz w:val="24"/>
                <w:szCs w:val="24"/>
                <w:lang w:val="en-US" w:eastAsia="zh-CN"/>
              </w:rPr>
            </w:pPr>
            <w:r>
              <w:rPr>
                <w:rFonts w:hint="eastAsia"/>
                <w:highlight w:val="none"/>
              </w:rPr>
              <w:t>投标保证金的金额：</w:t>
            </w:r>
            <w:r>
              <w:rPr>
                <w:rFonts w:hint="eastAsia"/>
                <w:highlight w:val="none"/>
                <w:u w:val="single"/>
                <w:lang w:val="en-US" w:eastAsia="zh-CN"/>
              </w:rPr>
              <w:t xml:space="preserve">  </w:t>
            </w:r>
          </w:p>
        </w:tc>
      </w:tr>
      <w:tr w14:paraId="08B3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66" w:type="dxa"/>
            <w:noWrap w:val="0"/>
            <w:vAlign w:val="center"/>
          </w:tcPr>
          <w:p w14:paraId="4E06787D">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910" w:type="dxa"/>
            <w:noWrap w:val="0"/>
            <w:vAlign w:val="center"/>
          </w:tcPr>
          <w:p w14:paraId="5B852CB1">
            <w:pPr>
              <w:ind w:right="-218" w:rightChars="-104"/>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答疑</w:t>
            </w:r>
          </w:p>
        </w:tc>
        <w:tc>
          <w:tcPr>
            <w:tcW w:w="7395" w:type="dxa"/>
            <w:noWrap w:val="0"/>
            <w:vAlign w:val="center"/>
          </w:tcPr>
          <w:p w14:paraId="0BA2F55C">
            <w:pPr>
              <w:ind w:right="38" w:rightChars="18"/>
              <w:rPr>
                <w:rFonts w:hint="default" w:ascii="宋体" w:hAnsi="宋体" w:eastAsia="宋体" w:cs="宋体"/>
                <w:sz w:val="24"/>
                <w:szCs w:val="24"/>
                <w:lang w:val="en-US" w:eastAsia="zh-CN"/>
              </w:rPr>
            </w:pP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w:t>
            </w:r>
            <w:r>
              <w:rPr>
                <w:rFonts w:hint="eastAsia" w:ascii="宋体" w:hAnsi="宋体" w:cs="宋体"/>
                <w:sz w:val="24"/>
                <w:szCs w:val="24"/>
                <w:u w:val="single"/>
                <w:lang w:val="en-US" w:eastAsia="zh-CN"/>
              </w:rPr>
              <w:t>5</w:t>
            </w:r>
            <w:r>
              <w:rPr>
                <w:rFonts w:hint="eastAsia" w:ascii="宋体" w:hAnsi="宋体" w:eastAsia="宋体" w:cs="宋体"/>
                <w:sz w:val="24"/>
                <w:szCs w:val="24"/>
              </w:rPr>
              <w:t>年</w:t>
            </w:r>
            <w:r>
              <w:rPr>
                <w:rFonts w:hint="eastAsia" w:ascii="宋体" w:hAnsi="宋体" w:cs="宋体"/>
                <w:sz w:val="24"/>
                <w:szCs w:val="24"/>
                <w:u w:val="single"/>
                <w:lang w:val="en-US" w:eastAsia="zh-CN"/>
              </w:rPr>
              <w:t>2</w:t>
            </w:r>
            <w:r>
              <w:rPr>
                <w:rFonts w:hint="eastAsia" w:ascii="宋体" w:hAnsi="宋体" w:eastAsia="宋体" w:cs="宋体"/>
                <w:sz w:val="24"/>
                <w:szCs w:val="24"/>
              </w:rPr>
              <w:t>月</w:t>
            </w:r>
            <w:r>
              <w:rPr>
                <w:rFonts w:hint="eastAsia" w:ascii="宋体" w:hAnsi="宋体" w:cs="宋体"/>
                <w:sz w:val="24"/>
                <w:szCs w:val="24"/>
                <w:u w:val="single"/>
                <w:lang w:val="en-US" w:eastAsia="zh-CN"/>
              </w:rPr>
              <w:t>21</w:t>
            </w:r>
            <w:r>
              <w:rPr>
                <w:rFonts w:hint="eastAsia" w:ascii="宋体" w:hAnsi="宋体" w:eastAsia="宋体" w:cs="宋体"/>
                <w:sz w:val="24"/>
                <w:szCs w:val="24"/>
              </w:rPr>
              <w:t>日</w:t>
            </w:r>
            <w:r>
              <w:rPr>
                <w:rFonts w:hint="eastAsia" w:ascii="宋体" w:hAnsi="宋体" w:eastAsia="宋体" w:cs="宋体"/>
                <w:sz w:val="24"/>
                <w:szCs w:val="24"/>
                <w:u w:val="single"/>
                <w:lang w:val="en-US" w:eastAsia="zh-CN"/>
              </w:rPr>
              <w:t>9：00</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17：00</w:t>
            </w:r>
            <w:r>
              <w:rPr>
                <w:rFonts w:hint="eastAsia" w:ascii="宋体" w:hAnsi="宋体" w:eastAsia="宋体" w:cs="宋体"/>
                <w:sz w:val="24"/>
                <w:szCs w:val="24"/>
              </w:rPr>
              <w:t>，</w:t>
            </w:r>
            <w:r>
              <w:rPr>
                <w:rFonts w:hint="eastAsia" w:ascii="宋体" w:hAnsi="宋体" w:cs="宋体"/>
                <w:sz w:val="24"/>
                <w:szCs w:val="24"/>
                <w:lang w:val="en-US" w:eastAsia="zh-CN"/>
              </w:rPr>
              <w:t>合柴1972文创园现场答疑</w:t>
            </w:r>
          </w:p>
        </w:tc>
      </w:tr>
      <w:tr w14:paraId="50A1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noWrap w:val="0"/>
            <w:vAlign w:val="center"/>
          </w:tcPr>
          <w:p w14:paraId="0DECD68A">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910" w:type="dxa"/>
            <w:noWrap w:val="0"/>
            <w:vAlign w:val="center"/>
          </w:tcPr>
          <w:p w14:paraId="4E30DE88">
            <w:pPr>
              <w:ind w:right="-218" w:rightChars="-104"/>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勘察现场</w:t>
            </w:r>
          </w:p>
        </w:tc>
        <w:tc>
          <w:tcPr>
            <w:tcW w:w="7395" w:type="dxa"/>
            <w:noWrap w:val="0"/>
            <w:vAlign w:val="center"/>
          </w:tcPr>
          <w:p w14:paraId="4F92A552">
            <w:pPr>
              <w:pStyle w:val="7"/>
              <w:ind w:right="38" w:rightChars="18"/>
              <w:rPr>
                <w:rFonts w:hint="eastAsia"/>
              </w:rPr>
            </w:pPr>
            <w:r>
              <w:rPr>
                <w:rFonts w:hint="eastAsia"/>
              </w:rPr>
              <w:sym w:font="Wingdings" w:char="F0FE"/>
            </w:r>
            <w:r>
              <w:rPr>
                <w:rFonts w:hint="eastAsia"/>
              </w:rPr>
              <w:t>自行勘察  □ 统一组织</w:t>
            </w:r>
          </w:p>
        </w:tc>
      </w:tr>
      <w:tr w14:paraId="791C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14:paraId="308E1699">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910" w:type="dxa"/>
            <w:noWrap w:val="0"/>
            <w:vAlign w:val="center"/>
          </w:tcPr>
          <w:p w14:paraId="22A57CCF">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标书份数及封装</w:t>
            </w:r>
          </w:p>
        </w:tc>
        <w:tc>
          <w:tcPr>
            <w:tcW w:w="7395" w:type="dxa"/>
            <w:noWrap w:val="0"/>
            <w:vAlign w:val="center"/>
          </w:tcPr>
          <w:p w14:paraId="2E815350">
            <w:pPr>
              <w:pStyle w:val="7"/>
              <w:ind w:right="-218" w:rightChars="-104"/>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1、商务标文件：1份正本，2份副本。</w:t>
            </w:r>
          </w:p>
          <w:p w14:paraId="11513F35">
            <w:pPr>
              <w:pStyle w:val="7"/>
              <w:ind w:right="-218" w:rightChars="-104"/>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2、技术标文件：1份正本，2份副本。</w:t>
            </w:r>
          </w:p>
          <w:p w14:paraId="124A219C">
            <w:pPr>
              <w:pStyle w:val="7"/>
              <w:ind w:right="-218" w:rightChars="-104"/>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3、技术标、商务标必须分别封装,密封提交。</w:t>
            </w:r>
          </w:p>
          <w:p w14:paraId="2C8317CB">
            <w:pPr>
              <w:pStyle w:val="7"/>
              <w:ind w:right="-218" w:rightChars="-104"/>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CN"/>
              </w:rPr>
              <w:t>注：各投标人须现场同时递交投标文件纸质版和电子版（U盘），电子版投标文件与商务标纸质版文件一同封装。</w:t>
            </w:r>
          </w:p>
        </w:tc>
      </w:tr>
      <w:tr w14:paraId="3B0A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14:paraId="3ED74AAB">
            <w:pPr>
              <w:ind w:right="-218" w:rightChars="-104"/>
              <w:jc w:val="center"/>
              <w:rPr>
                <w:rFonts w:hint="eastAsia" w:ascii="宋体" w:hAnsi="宋体" w:eastAsia="宋体" w:cs="宋体"/>
                <w:sz w:val="24"/>
                <w:szCs w:val="24"/>
              </w:rPr>
            </w:pPr>
            <w:r>
              <w:rPr>
                <w:rFonts w:hint="eastAsia" w:ascii="宋体" w:hAnsi="宋体" w:eastAsia="宋体" w:cs="宋体"/>
                <w:sz w:val="24"/>
                <w:szCs w:val="24"/>
              </w:rPr>
              <w:t>17</w:t>
            </w:r>
          </w:p>
        </w:tc>
        <w:tc>
          <w:tcPr>
            <w:tcW w:w="1910" w:type="dxa"/>
            <w:noWrap w:val="0"/>
            <w:vAlign w:val="center"/>
          </w:tcPr>
          <w:p w14:paraId="5A096F13">
            <w:pPr>
              <w:ind w:left="841" w:right="-218" w:rightChars="-104" w:hanging="841"/>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投标时间及地点</w:t>
            </w:r>
          </w:p>
        </w:tc>
        <w:tc>
          <w:tcPr>
            <w:tcW w:w="7395" w:type="dxa"/>
            <w:noWrap w:val="0"/>
            <w:vAlign w:val="center"/>
          </w:tcPr>
          <w:p w14:paraId="3CAED124">
            <w:pPr>
              <w:ind w:right="-218" w:rightChars="-104"/>
              <w:rPr>
                <w:rFonts w:hint="eastAsia" w:ascii="宋体" w:hAnsi="宋体" w:eastAsia="宋体" w:cs="宋体"/>
                <w:sz w:val="24"/>
                <w:szCs w:val="24"/>
              </w:rPr>
            </w:pPr>
            <w:r>
              <w:rPr>
                <w:rFonts w:hint="eastAsia" w:ascii="宋体" w:hAnsi="宋体" w:eastAsia="宋体" w:cs="宋体"/>
                <w:sz w:val="24"/>
                <w:szCs w:val="24"/>
              </w:rPr>
              <w:t>投标截止时间：同开标时间</w:t>
            </w:r>
          </w:p>
          <w:p w14:paraId="6AFE074C">
            <w:pPr>
              <w:ind w:right="-218" w:rightChars="-104"/>
              <w:rPr>
                <w:rFonts w:hint="eastAsia" w:ascii="宋体" w:hAnsi="宋体" w:eastAsia="宋体" w:cs="宋体"/>
                <w:sz w:val="24"/>
                <w:szCs w:val="24"/>
              </w:rPr>
            </w:pPr>
            <w:r>
              <w:rPr>
                <w:rFonts w:hint="eastAsia" w:ascii="宋体" w:hAnsi="宋体" w:eastAsia="宋体" w:cs="宋体"/>
                <w:sz w:val="24"/>
                <w:szCs w:val="24"/>
              </w:rPr>
              <w:t>标书递交地点：同开标地点</w:t>
            </w:r>
          </w:p>
          <w:p w14:paraId="39495DBA">
            <w:pPr>
              <w:ind w:left="-3" w:right="38" w:rightChars="18" w:firstLine="3"/>
              <w:rPr>
                <w:rFonts w:hint="eastAsia" w:ascii="宋体" w:hAnsi="宋体" w:eastAsia="宋体" w:cs="宋体"/>
                <w:sz w:val="24"/>
                <w:szCs w:val="24"/>
              </w:rPr>
            </w:pPr>
            <w:r>
              <w:rPr>
                <w:rFonts w:hint="eastAsia" w:ascii="宋体" w:hAnsi="宋体" w:eastAsia="宋体" w:cs="宋体"/>
                <w:sz w:val="24"/>
                <w:szCs w:val="24"/>
              </w:rPr>
              <w:t>投标文件接收时间：北京时间</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日</w:t>
            </w:r>
            <w:r>
              <w:rPr>
                <w:rFonts w:hint="eastAsia" w:ascii="宋体" w:hAnsi="宋体" w:cs="宋体"/>
                <w:sz w:val="24"/>
                <w:szCs w:val="24"/>
                <w:u w:val="single"/>
                <w:lang w:val="en-US" w:eastAsia="zh-CN"/>
              </w:rPr>
              <w:t>下</w:t>
            </w:r>
            <w:r>
              <w:rPr>
                <w:rFonts w:hint="eastAsia" w:ascii="宋体" w:hAnsi="宋体" w:eastAsia="宋体" w:cs="宋体"/>
                <w:sz w:val="24"/>
                <w:szCs w:val="24"/>
                <w:u w:val="single"/>
              </w:rPr>
              <w:t>午</w:t>
            </w:r>
            <w:r>
              <w:rPr>
                <w:rFonts w:hint="eastAsia" w:ascii="宋体" w:hAnsi="宋体" w:cs="宋体"/>
                <w:sz w:val="24"/>
                <w:szCs w:val="24"/>
                <w:u w:val="single"/>
                <w:lang w:val="en-US" w:eastAsia="zh-CN"/>
              </w:rPr>
              <w:t>14</w:t>
            </w:r>
            <w:r>
              <w:rPr>
                <w:rFonts w:hint="eastAsia" w:ascii="宋体" w:hAnsi="宋体" w:eastAsia="宋体" w:cs="宋体"/>
                <w:sz w:val="24"/>
                <w:szCs w:val="24"/>
                <w:u w:val="single"/>
                <w:lang w:val="en-US" w:eastAsia="zh-CN"/>
              </w:rPr>
              <w:t>：30</w:t>
            </w:r>
            <w:r>
              <w:rPr>
                <w:rFonts w:hint="eastAsia" w:ascii="宋体" w:hAnsi="宋体" w:eastAsia="宋体" w:cs="宋体"/>
                <w:sz w:val="24"/>
                <w:szCs w:val="24"/>
              </w:rPr>
              <w:t xml:space="preserve"> 至北京时间</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下</w:t>
            </w:r>
            <w:r>
              <w:rPr>
                <w:rFonts w:hint="eastAsia" w:ascii="宋体" w:hAnsi="宋体" w:eastAsia="宋体" w:cs="宋体"/>
                <w:sz w:val="24"/>
                <w:szCs w:val="24"/>
                <w:u w:val="single"/>
              </w:rPr>
              <w:t>午</w:t>
            </w:r>
            <w:r>
              <w:rPr>
                <w:rFonts w:hint="eastAsia" w:ascii="宋体" w:hAnsi="宋体" w:eastAsia="宋体" w:cs="宋体"/>
                <w:sz w:val="24"/>
                <w:szCs w:val="24"/>
                <w:u w:val="single"/>
                <w:lang w:val="en-US" w:eastAsia="zh-CN"/>
              </w:rPr>
              <w:t>1</w:t>
            </w:r>
            <w:r>
              <w:rPr>
                <w:rFonts w:hint="eastAsia" w:ascii="宋体" w:hAnsi="宋体" w:cs="宋体"/>
                <w:sz w:val="24"/>
                <w:szCs w:val="24"/>
                <w:u w:val="single"/>
                <w:lang w:val="en-US" w:eastAsia="zh-CN"/>
              </w:rPr>
              <w:t>6</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0</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p>
        </w:tc>
      </w:tr>
      <w:tr w14:paraId="5AE7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66" w:type="dxa"/>
            <w:noWrap w:val="0"/>
            <w:vAlign w:val="center"/>
          </w:tcPr>
          <w:p w14:paraId="2A49E537">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910" w:type="dxa"/>
            <w:noWrap w:val="0"/>
            <w:vAlign w:val="center"/>
          </w:tcPr>
          <w:p w14:paraId="7D1441EB">
            <w:pPr>
              <w:ind w:right="-218" w:rightChars="-104"/>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开标时间及地点</w:t>
            </w:r>
          </w:p>
        </w:tc>
        <w:tc>
          <w:tcPr>
            <w:tcW w:w="7395" w:type="dxa"/>
            <w:noWrap w:val="0"/>
            <w:vAlign w:val="center"/>
          </w:tcPr>
          <w:p w14:paraId="7C6A292B">
            <w:pPr>
              <w:ind w:right="-218" w:rightChars="-104"/>
              <w:rPr>
                <w:rFonts w:hint="eastAsia" w:ascii="宋体" w:hAnsi="宋体" w:eastAsia="宋体" w:cs="宋体"/>
                <w:sz w:val="24"/>
                <w:szCs w:val="24"/>
                <w:u w:val="single"/>
              </w:rPr>
            </w:pPr>
            <w:r>
              <w:rPr>
                <w:rFonts w:hint="eastAsia" w:ascii="宋体" w:hAnsi="宋体" w:eastAsia="宋体" w:cs="宋体"/>
                <w:sz w:val="24"/>
                <w:szCs w:val="24"/>
              </w:rPr>
              <w:t>开标时间：</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下</w:t>
            </w:r>
            <w:r>
              <w:rPr>
                <w:rFonts w:hint="eastAsia" w:ascii="宋体" w:hAnsi="宋体" w:eastAsia="宋体" w:cs="宋体"/>
                <w:sz w:val="24"/>
                <w:szCs w:val="24"/>
                <w:u w:val="single"/>
              </w:rPr>
              <w:t>午</w:t>
            </w:r>
            <w:r>
              <w:rPr>
                <w:rFonts w:hint="eastAsia" w:ascii="宋体" w:hAnsi="宋体" w:eastAsia="宋体" w:cs="宋体"/>
                <w:sz w:val="24"/>
                <w:szCs w:val="24"/>
                <w:u w:val="single"/>
                <w:lang w:val="en-US" w:eastAsia="zh-CN"/>
              </w:rPr>
              <w:t>1</w:t>
            </w:r>
            <w:r>
              <w:rPr>
                <w:rFonts w:hint="eastAsia" w:ascii="宋体" w:hAnsi="宋体" w:cs="宋体"/>
                <w:sz w:val="24"/>
                <w:szCs w:val="24"/>
                <w:u w:val="single"/>
                <w:lang w:val="en-US" w:eastAsia="zh-CN"/>
              </w:rPr>
              <w:t>6</w:t>
            </w:r>
            <w:r>
              <w:rPr>
                <w:rFonts w:hint="eastAsia" w:ascii="宋体" w:hAnsi="宋体" w:eastAsia="宋体" w:cs="宋体"/>
                <w:sz w:val="24"/>
                <w:szCs w:val="24"/>
                <w:u w:val="single"/>
                <w:lang w:val="en-US" w:eastAsia="zh-CN"/>
              </w:rPr>
              <w:t xml:space="preserve">：00  </w:t>
            </w:r>
          </w:p>
          <w:p w14:paraId="492085B2">
            <w:pPr>
              <w:ind w:right="-218" w:rightChars="-104"/>
              <w:rPr>
                <w:rFonts w:hint="eastAsia" w:ascii="宋体" w:hAnsi="宋体" w:eastAsia="宋体" w:cs="宋体"/>
                <w:sz w:val="24"/>
                <w:szCs w:val="24"/>
                <w:u w:val="single"/>
              </w:rPr>
            </w:pPr>
            <w:r>
              <w:rPr>
                <w:rFonts w:hint="eastAsia" w:ascii="宋体" w:hAnsi="宋体" w:eastAsia="宋体" w:cs="宋体"/>
                <w:sz w:val="24"/>
                <w:szCs w:val="24"/>
              </w:rPr>
              <w:t>开标地点：</w:t>
            </w:r>
            <w:r>
              <w:rPr>
                <w:rFonts w:hint="eastAsia" w:ascii="宋体" w:hAnsi="宋体" w:cs="宋体"/>
                <w:sz w:val="24"/>
                <w:szCs w:val="24"/>
                <w:lang w:val="en-US" w:eastAsia="zh-CN"/>
              </w:rPr>
              <w:t>滨投文创公司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楼会议室（</w:t>
            </w:r>
            <w:r>
              <w:rPr>
                <w:rFonts w:hint="eastAsia" w:ascii="宋体" w:hAnsi="宋体" w:cs="宋体"/>
                <w:sz w:val="24"/>
                <w:szCs w:val="24"/>
                <w:lang w:val="en-US" w:eastAsia="zh-CN"/>
              </w:rPr>
              <w:t>合柴1972文创园内</w:t>
            </w:r>
            <w:r>
              <w:rPr>
                <w:rFonts w:hint="eastAsia" w:ascii="宋体" w:hAnsi="宋体" w:eastAsia="宋体" w:cs="宋体"/>
                <w:sz w:val="24"/>
                <w:szCs w:val="24"/>
              </w:rPr>
              <w:t xml:space="preserve">）    </w:t>
            </w:r>
            <w:r>
              <w:rPr>
                <w:rFonts w:hint="eastAsia" w:ascii="宋体" w:hAnsi="宋体" w:eastAsia="宋体" w:cs="宋体"/>
                <w:kern w:val="0"/>
                <w:sz w:val="24"/>
                <w:szCs w:val="24"/>
                <w:lang w:val="zh-CN"/>
              </w:rPr>
              <w:t xml:space="preserve">                                                                                                                                                                                                                                                                                                                                                                                                                                                                                                                                                                                                                                                                                                                                                                                                                                                                                                                                                                                                                                                                                                                                                                                                                                                                                                                                                                                                                                                                                                                                                                                                                                                                                                                                                                                                                                                                                                                                                                                                                                                                                                                                                                                                                                                                                                                                                                                                                                                                                                                                                                                                                                                                                                                                                                                                                                                                                                                                                                                                                                                                                                                                                                                                                               </w:t>
            </w:r>
          </w:p>
        </w:tc>
      </w:tr>
      <w:tr w14:paraId="4AC2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6" w:type="dxa"/>
            <w:noWrap w:val="0"/>
            <w:vAlign w:val="center"/>
          </w:tcPr>
          <w:p w14:paraId="5B9B5948">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910" w:type="dxa"/>
            <w:noWrap w:val="0"/>
            <w:vAlign w:val="center"/>
          </w:tcPr>
          <w:p w14:paraId="4D0D134D">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评标办法</w:t>
            </w:r>
          </w:p>
        </w:tc>
        <w:tc>
          <w:tcPr>
            <w:tcW w:w="7395" w:type="dxa"/>
            <w:noWrap w:val="0"/>
            <w:vAlign w:val="center"/>
          </w:tcPr>
          <w:p w14:paraId="3ECFDF52">
            <w:pPr>
              <w:ind w:right="-218" w:rightChars="-104"/>
              <w:rPr>
                <w:rFonts w:hint="eastAsia" w:ascii="宋体" w:hAnsi="宋体" w:eastAsia="宋体" w:cs="宋体"/>
                <w:color w:val="000000"/>
                <w:sz w:val="24"/>
                <w:szCs w:val="24"/>
              </w:rPr>
            </w:pPr>
            <w:r>
              <w:rPr>
                <w:rFonts w:hint="eastAsia" w:ascii="宋体" w:hAnsi="宋体" w:eastAsia="宋体"/>
                <w:b w:val="0"/>
                <w:sz w:val="24"/>
                <w:lang w:eastAsia="zh-CN"/>
              </w:rPr>
              <w:t>采用</w:t>
            </w:r>
            <w:r>
              <w:rPr>
                <w:rFonts w:hint="eastAsia" w:ascii="宋体" w:hAnsi="宋体" w:eastAsia="宋体" w:cs="宋体"/>
                <w:color w:val="000000"/>
                <w:sz w:val="24"/>
                <w:szCs w:val="24"/>
                <w:highlight w:val="yellow"/>
              </w:rPr>
              <w:t>综合评分法</w:t>
            </w:r>
            <w:r>
              <w:rPr>
                <w:rFonts w:hint="eastAsia" w:ascii="宋体" w:hAnsi="宋体" w:eastAsia="宋体" w:cs="宋体"/>
                <w:color w:val="000000"/>
                <w:sz w:val="24"/>
                <w:szCs w:val="24"/>
              </w:rPr>
              <w:t>，详见招标文件第一部分第四章评标办法。</w:t>
            </w:r>
          </w:p>
        </w:tc>
      </w:tr>
      <w:tr w14:paraId="5772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40819740">
            <w:pPr>
              <w:ind w:right="-218" w:rightChars="-104"/>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0</w:t>
            </w:r>
          </w:p>
        </w:tc>
        <w:tc>
          <w:tcPr>
            <w:tcW w:w="1910" w:type="dxa"/>
            <w:noWrap w:val="0"/>
            <w:vAlign w:val="center"/>
          </w:tcPr>
          <w:p w14:paraId="5F4FC19E">
            <w:pPr>
              <w:ind w:right="-218" w:rightChars="-104"/>
              <w:jc w:val="center"/>
              <w:rPr>
                <w:rFonts w:hint="eastAsia" w:ascii="宋体" w:hAnsi="宋体" w:eastAsia="宋体" w:cs="宋体"/>
                <w:bCs/>
                <w:color w:val="000000"/>
                <w:sz w:val="24"/>
                <w:szCs w:val="24"/>
                <w:highlight w:val="yellow"/>
              </w:rPr>
            </w:pPr>
            <w:r>
              <w:rPr>
                <w:rFonts w:hint="eastAsia" w:ascii="宋体" w:hAnsi="宋体" w:eastAsia="宋体" w:cs="宋体"/>
                <w:bCs/>
                <w:color w:val="000000"/>
                <w:sz w:val="24"/>
                <w:szCs w:val="24"/>
                <w:highlight w:val="yellow"/>
              </w:rPr>
              <w:t>履约保证金</w:t>
            </w:r>
          </w:p>
        </w:tc>
        <w:tc>
          <w:tcPr>
            <w:tcW w:w="7395" w:type="dxa"/>
            <w:noWrap w:val="0"/>
            <w:vAlign w:val="center"/>
          </w:tcPr>
          <w:p w14:paraId="4374FAB2">
            <w:pPr>
              <w:ind w:right="38" w:rightChars="18"/>
              <w:rPr>
                <w:rFonts w:hint="default" w:ascii="宋体" w:hAnsi="宋体" w:eastAsia="宋体" w:cs="宋体"/>
                <w:bCs/>
                <w:color w:val="FF0000"/>
                <w:sz w:val="24"/>
                <w:szCs w:val="24"/>
                <w:highlight w:val="yellow"/>
                <w:lang w:val="en-US" w:eastAsia="zh-CN"/>
              </w:rPr>
            </w:pPr>
            <w:r>
              <w:rPr>
                <w:rFonts w:hint="eastAsia" w:ascii="Times New Roman" w:hAnsi="Times New Roman" w:eastAsia="宋体" w:cs="Times New Roman"/>
                <w:color w:val="FF0000"/>
                <w:kern w:val="2"/>
                <w:sz w:val="21"/>
                <w:lang w:val="en-US" w:eastAsia="zh-CN" w:bidi="ar-SA"/>
              </w:rPr>
              <w:t>中标金额的5%，收受人：</w:t>
            </w:r>
            <w:r>
              <w:rPr>
                <w:rFonts w:hint="eastAsia" w:cs="Times New Roman"/>
                <w:color w:val="FF0000"/>
                <w:kern w:val="2"/>
                <w:sz w:val="21"/>
                <w:lang w:val="en-US" w:eastAsia="zh-CN" w:bidi="ar-SA"/>
              </w:rPr>
              <w:t>合肥滨投文化创意发展有限公司</w:t>
            </w:r>
            <w:r>
              <w:rPr>
                <w:rFonts w:hint="eastAsia" w:ascii="Times New Roman" w:hAnsi="Times New Roman" w:eastAsia="宋体" w:cs="Times New Roman"/>
                <w:color w:val="FF0000"/>
                <w:kern w:val="2"/>
                <w:sz w:val="21"/>
                <w:lang w:val="en-US" w:eastAsia="zh-CN" w:bidi="ar-SA"/>
              </w:rPr>
              <w:t>，支付方式：银行转账，服务期结束后无息。</w:t>
            </w:r>
          </w:p>
        </w:tc>
      </w:tr>
      <w:tr w14:paraId="47F2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866" w:type="dxa"/>
            <w:noWrap w:val="0"/>
            <w:vAlign w:val="center"/>
          </w:tcPr>
          <w:p w14:paraId="182EFA3F">
            <w:pPr>
              <w:ind w:right="-218" w:rightChars="-104"/>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1</w:t>
            </w:r>
          </w:p>
        </w:tc>
        <w:tc>
          <w:tcPr>
            <w:tcW w:w="1910" w:type="dxa"/>
            <w:noWrap w:val="0"/>
            <w:vAlign w:val="center"/>
          </w:tcPr>
          <w:p w14:paraId="0D251316">
            <w:pPr>
              <w:ind w:right="13" w:rightChars="6"/>
              <w:jc w:val="center"/>
              <w:rPr>
                <w:rFonts w:hint="eastAsia" w:ascii="宋体" w:hAnsi="宋体" w:eastAsia="宋体" w:cs="宋体"/>
                <w:color w:val="000000"/>
                <w:sz w:val="24"/>
                <w:szCs w:val="24"/>
              </w:rPr>
            </w:pPr>
            <w:r>
              <w:rPr>
                <w:rFonts w:hint="eastAsia" w:ascii="宋体" w:hAnsi="宋体" w:eastAsia="宋体" w:cs="宋体"/>
                <w:sz w:val="24"/>
                <w:szCs w:val="24"/>
              </w:rPr>
              <w:t>投标人信用记录</w:t>
            </w:r>
          </w:p>
        </w:tc>
        <w:tc>
          <w:tcPr>
            <w:tcW w:w="7395" w:type="dxa"/>
            <w:noWrap w:val="0"/>
            <w:vAlign w:val="center"/>
          </w:tcPr>
          <w:p w14:paraId="66AA429C">
            <w:pPr>
              <w:spacing w:line="360" w:lineRule="auto"/>
              <w:ind w:right="38" w:rightChars="18"/>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1.投标文件中须提供投标人信用承诺（格式见第</w:t>
            </w: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章“投标人信用承诺”）【“投标人信用承诺”须盖投标人公章（或投标人电子签章）；联合体投标的，“投标人信用承诺”须由所有联合体成员盖单位公章（或单位电子签章）（分别盖章提供或各方共同在同一份承诺函上盖章均可）】。</w:t>
            </w:r>
            <w:r>
              <w:rPr>
                <w:rFonts w:hint="eastAsia" w:ascii="宋体" w:hAnsi="宋体" w:eastAsia="宋体" w:cs="宋体"/>
                <w:b/>
                <w:sz w:val="24"/>
                <w:szCs w:val="24"/>
                <w:highlight w:val="none"/>
              </w:rPr>
              <w:t>（未提供或提供不符合的，投标无效）</w:t>
            </w:r>
          </w:p>
          <w:p w14:paraId="42C5C8BA">
            <w:pPr>
              <w:spacing w:line="360" w:lineRule="auto"/>
              <w:ind w:right="38" w:rightChars="18"/>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2.若联合体投标的，联合体任何一方存在投标人资格规定的不良信用记录的，视同联合体存在不良信用记录。</w:t>
            </w:r>
          </w:p>
        </w:tc>
      </w:tr>
      <w:tr w14:paraId="48E1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6" w:type="dxa"/>
            <w:noWrap w:val="0"/>
            <w:vAlign w:val="center"/>
          </w:tcPr>
          <w:p w14:paraId="3276FAC1">
            <w:pPr>
              <w:ind w:right="-218" w:rightChars="-104"/>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w:t>
            </w:r>
          </w:p>
        </w:tc>
        <w:tc>
          <w:tcPr>
            <w:tcW w:w="1910" w:type="dxa"/>
            <w:noWrap w:val="0"/>
            <w:vAlign w:val="center"/>
          </w:tcPr>
          <w:p w14:paraId="6FCABBCF">
            <w:pPr>
              <w:ind w:right="-218" w:rightChars="-104"/>
              <w:jc w:val="center"/>
              <w:rPr>
                <w:rFonts w:hint="eastAsia" w:ascii="宋体" w:hAnsi="宋体" w:eastAsia="宋体" w:cs="宋体"/>
                <w:color w:val="000000"/>
                <w:sz w:val="24"/>
                <w:szCs w:val="24"/>
              </w:rPr>
            </w:pPr>
            <w:r>
              <w:rPr>
                <w:rFonts w:hint="eastAsia" w:ascii="宋体" w:hAnsi="宋体" w:eastAsia="宋体" w:cs="宋体"/>
                <w:sz w:val="24"/>
                <w:szCs w:val="24"/>
              </w:rPr>
              <w:t>业绩要求</w:t>
            </w:r>
          </w:p>
        </w:tc>
        <w:tc>
          <w:tcPr>
            <w:tcW w:w="7395" w:type="dxa"/>
            <w:noWrap w:val="0"/>
            <w:vAlign w:val="center"/>
          </w:tcPr>
          <w:p w14:paraId="656B3CEC">
            <w:pPr>
              <w:spacing w:line="500" w:lineRule="exact"/>
              <w:ind w:right="38" w:rightChars="18"/>
              <w:rPr>
                <w:rFonts w:hint="eastAsia" w:ascii="宋体" w:hAnsi="宋体" w:eastAsia="宋体" w:cs="宋体"/>
                <w:b/>
                <w:bCs/>
                <w:sz w:val="24"/>
                <w:szCs w:val="24"/>
              </w:rPr>
            </w:pPr>
            <w:r>
              <w:rPr>
                <w:rFonts w:hint="eastAsia" w:ascii="宋体" w:hAnsi="宋体" w:eastAsia="宋体" w:cs="宋体"/>
                <w:b/>
                <w:bCs/>
                <w:sz w:val="24"/>
                <w:szCs w:val="24"/>
              </w:rPr>
              <w:t>1.本招标文件中要求的业绩须为：已完成的业绩。</w:t>
            </w:r>
          </w:p>
          <w:p w14:paraId="644D4159">
            <w:pPr>
              <w:spacing w:line="500" w:lineRule="exact"/>
              <w:ind w:right="38" w:rightChars="18"/>
              <w:rPr>
                <w:rFonts w:hint="eastAsia" w:ascii="宋体" w:hAnsi="宋体" w:eastAsia="宋体" w:cs="宋体"/>
                <w:b/>
                <w:bCs/>
                <w:sz w:val="24"/>
                <w:szCs w:val="24"/>
              </w:rPr>
            </w:pPr>
            <w:r>
              <w:rPr>
                <w:rFonts w:hint="eastAsia" w:ascii="宋体" w:hAnsi="宋体" w:eastAsia="宋体" w:cs="宋体"/>
                <w:b/>
                <w:bCs/>
                <w:sz w:val="24"/>
                <w:szCs w:val="24"/>
              </w:rPr>
              <w:t>2.投标文件中须同时提供以下业绩证明材料：</w:t>
            </w:r>
          </w:p>
          <w:p w14:paraId="1B1E1CEA">
            <w:pPr>
              <w:spacing w:line="500" w:lineRule="exact"/>
              <w:ind w:right="38" w:rightChars="18"/>
              <w:rPr>
                <w:rFonts w:hint="eastAsia" w:ascii="宋体" w:hAnsi="宋体" w:eastAsia="宋体" w:cs="宋体"/>
                <w:b/>
                <w:bCs/>
                <w:sz w:val="24"/>
                <w:szCs w:val="24"/>
              </w:rPr>
            </w:pPr>
            <w:r>
              <w:rPr>
                <w:rFonts w:hint="eastAsia" w:ascii="宋体" w:hAnsi="宋体" w:eastAsia="宋体" w:cs="宋体"/>
                <w:b/>
                <w:bCs/>
                <w:sz w:val="24"/>
                <w:szCs w:val="24"/>
              </w:rPr>
              <w:t>（1）业绩合同（扫描件）；</w:t>
            </w:r>
          </w:p>
          <w:p w14:paraId="1CA3AF71">
            <w:pPr>
              <w:spacing w:line="500" w:lineRule="exact"/>
              <w:ind w:right="38" w:rightChars="18"/>
              <w:rPr>
                <w:rFonts w:hint="eastAsia" w:ascii="宋体" w:hAnsi="宋体" w:eastAsia="宋体" w:cs="宋体"/>
                <w:b/>
                <w:bCs/>
                <w:sz w:val="24"/>
                <w:szCs w:val="24"/>
              </w:rPr>
            </w:pPr>
            <w:r>
              <w:rPr>
                <w:rFonts w:hint="eastAsia" w:ascii="宋体" w:hAnsi="宋体" w:eastAsia="宋体" w:cs="宋体"/>
                <w:b/>
                <w:bCs/>
                <w:sz w:val="24"/>
                <w:szCs w:val="24"/>
              </w:rPr>
              <w:t>（2）与该业绩对应的</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任务已完成的证明材料验收报告或项目业主证明或合同甲方证明。</w:t>
            </w:r>
          </w:p>
          <w:p w14:paraId="176AEC5A">
            <w:pPr>
              <w:spacing w:line="500" w:lineRule="exact"/>
              <w:ind w:right="38" w:rightChars="18"/>
              <w:rPr>
                <w:rFonts w:hint="eastAsia" w:ascii="宋体" w:hAnsi="宋体" w:eastAsia="宋体" w:cs="宋体"/>
                <w:color w:val="000000"/>
                <w:sz w:val="24"/>
                <w:szCs w:val="24"/>
              </w:rPr>
            </w:pPr>
            <w:r>
              <w:rPr>
                <w:rFonts w:hint="eastAsia" w:ascii="宋体" w:hAnsi="宋体" w:eastAsia="宋体" w:cs="宋体"/>
                <w:b/>
                <w:sz w:val="24"/>
                <w:szCs w:val="24"/>
              </w:rPr>
              <w:t>注：（1）已完成的证明材料中项目业主或合同甲方出具的证明材料须盖有项目业主单位或合同甲方公章，否则评标委员会不予认可。</w:t>
            </w:r>
          </w:p>
        </w:tc>
      </w:tr>
      <w:tr w14:paraId="5F8D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6" w:type="dxa"/>
            <w:noWrap w:val="0"/>
            <w:vAlign w:val="center"/>
          </w:tcPr>
          <w:p w14:paraId="59BF7B4D">
            <w:pPr>
              <w:ind w:right="-218" w:rightChars="-104"/>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p>
        </w:tc>
        <w:tc>
          <w:tcPr>
            <w:tcW w:w="1910" w:type="dxa"/>
            <w:noWrap w:val="0"/>
            <w:vAlign w:val="center"/>
          </w:tcPr>
          <w:p w14:paraId="249CF5AE">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7395" w:type="dxa"/>
            <w:noWrap w:val="0"/>
            <w:vAlign w:val="center"/>
          </w:tcPr>
          <w:p w14:paraId="702646BB">
            <w:pPr>
              <w:ind w:right="-218" w:rightChars="-104"/>
              <w:rPr>
                <w:rFonts w:hint="eastAsia" w:ascii="宋体" w:hAnsi="宋体" w:eastAsia="宋体" w:cs="宋体"/>
                <w:color w:val="000000"/>
                <w:sz w:val="24"/>
                <w:szCs w:val="24"/>
              </w:rPr>
            </w:pPr>
            <w:r>
              <w:rPr>
                <w:rFonts w:hint="eastAsia" w:ascii="宋体" w:hAnsi="宋体" w:eastAsia="宋体" w:cs="宋体"/>
                <w:color w:val="000000"/>
                <w:sz w:val="24"/>
                <w:szCs w:val="24"/>
              </w:rPr>
              <w:t>资格后审。</w:t>
            </w:r>
          </w:p>
        </w:tc>
      </w:tr>
      <w:tr w14:paraId="0626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6" w:type="dxa"/>
            <w:noWrap w:val="0"/>
            <w:vAlign w:val="center"/>
          </w:tcPr>
          <w:p w14:paraId="768E9234">
            <w:pPr>
              <w:ind w:right="-218" w:rightChars="-104"/>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4</w:t>
            </w:r>
          </w:p>
        </w:tc>
        <w:tc>
          <w:tcPr>
            <w:tcW w:w="1910" w:type="dxa"/>
            <w:noWrap w:val="0"/>
            <w:vAlign w:val="center"/>
          </w:tcPr>
          <w:p w14:paraId="0B0BC26E">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本项目提供除电子版招标文件以外的其他资料</w:t>
            </w:r>
          </w:p>
        </w:tc>
        <w:tc>
          <w:tcPr>
            <w:tcW w:w="7395" w:type="dxa"/>
            <w:noWrap w:val="0"/>
            <w:vAlign w:val="center"/>
          </w:tcPr>
          <w:p w14:paraId="1ECAE8AF">
            <w:pPr>
              <w:ind w:right="-218" w:rightChars="-104"/>
              <w:rPr>
                <w:rFonts w:hint="eastAsia" w:ascii="宋体" w:hAnsi="宋体" w:eastAsia="宋体" w:cs="宋体"/>
                <w:bCs/>
                <w:color w:val="000000"/>
                <w:sz w:val="24"/>
                <w:szCs w:val="24"/>
              </w:rPr>
            </w:pPr>
            <w:r>
              <w:rPr>
                <w:rFonts w:hint="eastAsia" w:ascii="宋体" w:hAnsi="宋体" w:eastAsia="宋体" w:cs="宋体"/>
                <w:bCs/>
                <w:color w:val="000000"/>
                <w:sz w:val="24"/>
                <w:szCs w:val="24"/>
              </w:rPr>
              <w:sym w:font="Wingdings" w:char="F0FE"/>
            </w:r>
            <w:r>
              <w:rPr>
                <w:rFonts w:hint="eastAsia" w:ascii="宋体" w:hAnsi="宋体" w:eastAsia="宋体" w:cs="宋体"/>
                <w:bCs/>
                <w:color w:val="000000"/>
                <w:sz w:val="24"/>
                <w:szCs w:val="24"/>
              </w:rPr>
              <w:t xml:space="preserve">无   </w:t>
            </w:r>
            <w:r>
              <w:rPr>
                <w:rFonts w:hint="eastAsia" w:ascii="宋体" w:hAnsi="宋体" w:eastAsia="宋体" w:cs="宋体"/>
                <w:color w:val="000000"/>
                <w:sz w:val="24"/>
                <w:szCs w:val="24"/>
              </w:rPr>
              <w:t>□</w:t>
            </w:r>
            <w:r>
              <w:rPr>
                <w:rFonts w:hint="eastAsia" w:ascii="宋体" w:hAnsi="宋体" w:eastAsia="宋体" w:cs="宋体"/>
                <w:bCs/>
                <w:color w:val="000000"/>
                <w:sz w:val="24"/>
                <w:szCs w:val="24"/>
              </w:rPr>
              <w:t xml:space="preserve">电子版图纸   </w:t>
            </w:r>
            <w:r>
              <w:rPr>
                <w:rFonts w:hint="eastAsia" w:ascii="宋体" w:hAnsi="宋体" w:eastAsia="宋体" w:cs="宋体"/>
                <w:color w:val="000000"/>
                <w:sz w:val="24"/>
                <w:szCs w:val="24"/>
              </w:rPr>
              <w:t>□</w:t>
            </w:r>
            <w:r>
              <w:rPr>
                <w:rFonts w:hint="eastAsia" w:ascii="宋体" w:hAnsi="宋体" w:eastAsia="宋体" w:cs="宋体"/>
                <w:bCs/>
                <w:color w:val="000000"/>
                <w:sz w:val="24"/>
                <w:szCs w:val="24"/>
              </w:rPr>
              <w:t>光盘</w:t>
            </w:r>
          </w:p>
        </w:tc>
      </w:tr>
      <w:tr w14:paraId="5027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noWrap w:val="0"/>
            <w:vAlign w:val="center"/>
          </w:tcPr>
          <w:p w14:paraId="272706E2">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1910" w:type="dxa"/>
            <w:noWrap w:val="0"/>
            <w:vAlign w:val="center"/>
          </w:tcPr>
          <w:p w14:paraId="684431AD">
            <w:pPr>
              <w:ind w:right="-218" w:rightChars="-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7395" w:type="dxa"/>
            <w:noWrap w:val="0"/>
            <w:vAlign w:val="center"/>
          </w:tcPr>
          <w:p w14:paraId="722742F9">
            <w:pPr>
              <w:pStyle w:val="24"/>
              <w:ind w:right="-218" w:rightChars="-104" w:firstLine="0" w:firstLineChars="0"/>
              <w:rPr>
                <w:rFonts w:hint="eastAsia" w:ascii="宋体" w:hAnsi="宋体" w:eastAsia="宋体" w:cs="宋体"/>
                <w:color w:val="FF0000"/>
                <w:sz w:val="24"/>
                <w:szCs w:val="24"/>
              </w:rPr>
            </w:pPr>
          </w:p>
        </w:tc>
      </w:tr>
    </w:tbl>
    <w:p w14:paraId="7BB2BEB5">
      <w:r>
        <w:br w:type="page"/>
      </w:r>
    </w:p>
    <w:p w14:paraId="040B3969">
      <w:pPr>
        <w:pStyle w:val="3"/>
        <w:spacing w:line="500" w:lineRule="exact"/>
        <w:ind w:right="-218" w:rightChars="-104"/>
        <w:rPr>
          <w:rFonts w:hint="eastAsia" w:ascii="宋体" w:hAnsi="宋体" w:eastAsia="宋体"/>
        </w:rPr>
      </w:pPr>
      <w:bookmarkStart w:id="6" w:name="_Toc245092761"/>
      <w:bookmarkStart w:id="7" w:name="_Toc220232390"/>
      <w:bookmarkStart w:id="8" w:name="_Toc22486"/>
      <w:bookmarkStart w:id="9" w:name="_Toc273602341"/>
      <w:r>
        <w:rPr>
          <w:rFonts w:hint="eastAsia" w:ascii="宋体" w:hAnsi="宋体" w:eastAsia="宋体"/>
        </w:rPr>
        <w:t xml:space="preserve">第三章 </w:t>
      </w:r>
      <w:bookmarkEnd w:id="6"/>
      <w:bookmarkEnd w:id="7"/>
      <w:r>
        <w:rPr>
          <w:rFonts w:hint="eastAsia" w:ascii="宋体" w:hAnsi="宋体" w:eastAsia="宋体"/>
        </w:rPr>
        <w:t>招标范围及要求</w:t>
      </w:r>
      <w:bookmarkEnd w:id="8"/>
      <w:bookmarkEnd w:id="9"/>
    </w:p>
    <w:p w14:paraId="473FF44B">
      <w:pPr>
        <w:spacing w:line="360" w:lineRule="auto"/>
        <w:ind w:right="-218" w:rightChars="-104" w:firstLine="480" w:firstLineChars="200"/>
        <w:rPr>
          <w:rFonts w:hint="eastAsia" w:ascii="宋体" w:hAnsi="宋体"/>
          <w:sz w:val="24"/>
          <w:szCs w:val="28"/>
        </w:rPr>
      </w:pPr>
      <w:r>
        <w:rPr>
          <w:rFonts w:hint="eastAsia" w:ascii="宋体" w:hAnsi="宋体"/>
          <w:sz w:val="24"/>
          <w:szCs w:val="28"/>
        </w:rPr>
        <w:t>前注：</w:t>
      </w:r>
    </w:p>
    <w:p w14:paraId="02FADA70">
      <w:pPr>
        <w:kinsoku w:val="0"/>
        <w:overflowPunct w:val="0"/>
        <w:autoSpaceDE w:val="0"/>
        <w:autoSpaceDN w:val="0"/>
        <w:adjustRightInd w:val="0"/>
        <w:snapToGrid w:val="0"/>
        <w:spacing w:line="276" w:lineRule="auto"/>
        <w:ind w:right="-92" w:rightChars="-44" w:firstLine="560"/>
        <w:rPr>
          <w:rFonts w:hint="eastAsia" w:ascii="宋体" w:hAnsi="宋体" w:eastAsia="宋体" w:cs="宋体"/>
          <w:bCs/>
          <w:sz w:val="24"/>
          <w:szCs w:val="24"/>
        </w:rPr>
      </w:pPr>
      <w:r>
        <w:rPr>
          <w:rFonts w:hint="eastAsia" w:ascii="宋体" w:hAnsi="宋体" w:eastAsia="宋体" w:cs="宋体"/>
          <w:bCs/>
          <w:sz w:val="24"/>
          <w:szCs w:val="24"/>
        </w:rPr>
        <w:t>1.投标人自行考虑“营改增”税收费用及风险，中标后须按国家相关规定缴纳税金并按招标人要求提供发票，费用含在本次投标总价中，中标后不作调整。</w:t>
      </w:r>
    </w:p>
    <w:p w14:paraId="5C9B01E9">
      <w:pPr>
        <w:kinsoku w:val="0"/>
        <w:overflowPunct w:val="0"/>
        <w:autoSpaceDE w:val="0"/>
        <w:autoSpaceDN w:val="0"/>
        <w:adjustRightInd w:val="0"/>
        <w:snapToGrid w:val="0"/>
        <w:spacing w:line="276" w:lineRule="auto"/>
        <w:ind w:right="-92" w:rightChars="-44" w:firstLine="560"/>
        <w:rPr>
          <w:rFonts w:hint="eastAsia" w:ascii="宋体" w:hAnsi="宋体" w:eastAsia="宋体" w:cs="宋体"/>
          <w:bCs/>
          <w:sz w:val="24"/>
          <w:szCs w:val="24"/>
        </w:rPr>
      </w:pPr>
      <w:r>
        <w:rPr>
          <w:rFonts w:hint="eastAsia" w:ascii="宋体" w:hAnsi="宋体" w:eastAsia="宋体" w:cs="宋体"/>
          <w:bCs/>
          <w:sz w:val="24"/>
          <w:szCs w:val="24"/>
        </w:rPr>
        <w:t>2.如对本招标文件有任何疑问或澄清要求，请按本招标文件“投标人须知前附表”中的约定方式</w:t>
      </w:r>
      <w:r>
        <w:rPr>
          <w:rFonts w:hint="eastAsia" w:ascii="宋体" w:hAnsi="宋体" w:eastAsia="宋体" w:cs="宋体"/>
          <w:bCs/>
          <w:sz w:val="24"/>
          <w:szCs w:val="24"/>
          <w:lang w:eastAsia="zh-CN"/>
        </w:rPr>
        <w:t>在</w:t>
      </w:r>
      <w:r>
        <w:rPr>
          <w:rFonts w:hint="eastAsia" w:ascii="宋体" w:hAnsi="宋体" w:eastAsia="宋体" w:cs="宋体"/>
          <w:bCs/>
          <w:sz w:val="24"/>
          <w:szCs w:val="24"/>
        </w:rPr>
        <w:t>接受答疑截止时间前联系招标人。否则视同理解和接受。</w:t>
      </w:r>
    </w:p>
    <w:p w14:paraId="2AAE055C">
      <w:pPr>
        <w:pStyle w:val="2"/>
        <w:spacing w:before="0" w:after="0" w:line="360" w:lineRule="auto"/>
        <w:ind w:left="561" w:hanging="561" w:firstLineChars="0"/>
        <w:rPr>
          <w:rFonts w:ascii="宋体" w:hAnsi="宋体"/>
          <w:sz w:val="24"/>
          <w:szCs w:val="24"/>
        </w:rPr>
      </w:pPr>
      <w:r>
        <w:rPr>
          <w:rFonts w:hint="eastAsia" w:ascii="宋体" w:hAnsi="宋体" w:eastAsia="宋体" w:cs="宋体"/>
          <w:bCs/>
          <w:sz w:val="24"/>
          <w:szCs w:val="24"/>
          <w:lang w:val="en-US" w:eastAsia="zh-CN"/>
        </w:rPr>
        <w:t>一</w:t>
      </w:r>
      <w:r>
        <w:rPr>
          <w:rFonts w:hint="eastAsia" w:ascii="宋体" w:hAnsi="宋体" w:eastAsia="宋体" w:cs="宋体"/>
          <w:bCs/>
          <w:sz w:val="24"/>
          <w:szCs w:val="24"/>
          <w:lang w:eastAsia="zh-CN"/>
        </w:rPr>
        <w:t>、</w:t>
      </w:r>
      <w:r>
        <w:rPr>
          <w:rFonts w:hint="eastAsia" w:ascii="宋体" w:hAnsi="宋体"/>
          <w:sz w:val="24"/>
          <w:szCs w:val="24"/>
        </w:rPr>
        <w:t>工程服务要求及考核标准</w:t>
      </w:r>
    </w:p>
    <w:p w14:paraId="7E182BE2">
      <w:pPr>
        <w:spacing w:line="360" w:lineRule="auto"/>
        <w:ind w:firstLine="660" w:firstLineChars="275"/>
        <w:rPr>
          <w:rFonts w:hint="eastAsia" w:ascii="宋体" w:hAnsi="宋体" w:cs="宋体"/>
          <w:sz w:val="24"/>
          <w:szCs w:val="24"/>
        </w:rPr>
      </w:pPr>
      <w:r>
        <w:rPr>
          <w:rFonts w:hint="eastAsia" w:ascii="宋体" w:hAnsi="宋体" w:cs="宋体"/>
          <w:sz w:val="24"/>
          <w:szCs w:val="24"/>
        </w:rPr>
        <w:t>1．项目招标一般要求</w:t>
      </w:r>
    </w:p>
    <w:p w14:paraId="122B810D">
      <w:pPr>
        <w:spacing w:line="360" w:lineRule="auto"/>
        <w:ind w:firstLine="660" w:firstLineChars="275"/>
        <w:rPr>
          <w:rFonts w:ascii="宋体" w:hAnsi="宋体" w:cs="宋体"/>
          <w:sz w:val="24"/>
          <w:szCs w:val="24"/>
        </w:rPr>
      </w:pPr>
      <w:r>
        <w:rPr>
          <w:rFonts w:hint="eastAsia" w:ascii="宋体" w:hAnsi="宋体" w:cs="宋体"/>
          <w:sz w:val="24"/>
          <w:szCs w:val="24"/>
        </w:rPr>
        <w:t>（1）</w:t>
      </w:r>
      <w:r>
        <w:rPr>
          <w:rFonts w:ascii="宋体" w:hAnsi="宋体" w:cs="宋体"/>
          <w:sz w:val="24"/>
          <w:szCs w:val="24"/>
        </w:rPr>
        <w:t>投标人务必按国家规范、政府要求认真提供有效的确保系统完善及维修保养到位的服务保障</w:t>
      </w:r>
      <w:r>
        <w:rPr>
          <w:rFonts w:hint="eastAsia" w:ascii="宋体" w:hAnsi="宋体" w:cs="宋体"/>
          <w:sz w:val="24"/>
          <w:szCs w:val="24"/>
        </w:rPr>
        <w:t>；</w:t>
      </w:r>
    </w:p>
    <w:p w14:paraId="454A8F7A">
      <w:pPr>
        <w:spacing w:line="360" w:lineRule="auto"/>
        <w:ind w:firstLine="660" w:firstLineChars="275"/>
        <w:rPr>
          <w:rFonts w:ascii="宋体" w:hAnsi="宋体" w:cs="宋体"/>
          <w:sz w:val="24"/>
          <w:szCs w:val="24"/>
        </w:rPr>
      </w:pPr>
      <w:r>
        <w:rPr>
          <w:rFonts w:hint="eastAsia" w:ascii="宋体" w:hAnsi="宋体" w:cs="宋体"/>
          <w:sz w:val="24"/>
          <w:szCs w:val="24"/>
        </w:rPr>
        <w:t>（2）</w:t>
      </w:r>
      <w:r>
        <w:rPr>
          <w:rFonts w:ascii="宋体" w:hAnsi="宋体" w:cs="宋体"/>
          <w:sz w:val="24"/>
          <w:szCs w:val="24"/>
        </w:rPr>
        <w:t>提供的备品备件产品必须是全新正品</w:t>
      </w:r>
      <w:r>
        <w:rPr>
          <w:rFonts w:hint="eastAsia" w:ascii="宋体" w:hAnsi="宋体" w:cs="宋体"/>
          <w:sz w:val="24"/>
          <w:szCs w:val="24"/>
        </w:rPr>
        <w:t>的品牌产品；</w:t>
      </w:r>
    </w:p>
    <w:p w14:paraId="52EBC8C9">
      <w:pPr>
        <w:spacing w:line="360" w:lineRule="auto"/>
        <w:ind w:firstLine="660" w:firstLineChars="275"/>
        <w:rPr>
          <w:rFonts w:ascii="宋体" w:hAnsi="宋体" w:cs="宋体"/>
          <w:sz w:val="24"/>
          <w:szCs w:val="24"/>
        </w:rPr>
      </w:pPr>
      <w:r>
        <w:rPr>
          <w:rFonts w:hint="eastAsia" w:ascii="宋体" w:hAnsi="宋体" w:cs="宋体"/>
          <w:sz w:val="24"/>
          <w:szCs w:val="24"/>
        </w:rPr>
        <w:t>（3）</w:t>
      </w:r>
      <w:r>
        <w:rPr>
          <w:rFonts w:ascii="宋体" w:hAnsi="宋体" w:cs="宋体"/>
          <w:sz w:val="24"/>
          <w:szCs w:val="24"/>
        </w:rPr>
        <w:t>涉及重要关键的零配件，必须与原系统产品一致，不允许更换不同品牌或型号的产品。</w:t>
      </w:r>
    </w:p>
    <w:p w14:paraId="77DF8F0F">
      <w:pPr>
        <w:spacing w:line="360" w:lineRule="auto"/>
        <w:ind w:firstLine="660" w:firstLineChars="275"/>
        <w:rPr>
          <w:rFonts w:hint="eastAsia" w:ascii="宋体" w:hAnsi="宋体" w:cs="宋体"/>
          <w:sz w:val="24"/>
          <w:szCs w:val="24"/>
        </w:rPr>
      </w:pPr>
      <w:r>
        <w:rPr>
          <w:rFonts w:hint="eastAsia" w:ascii="宋体" w:hAnsi="宋体" w:cs="宋体"/>
          <w:sz w:val="24"/>
          <w:szCs w:val="24"/>
        </w:rPr>
        <w:t>（4）投标人须在投标文件中附《常用维修配件清单报价表》（格式自拟），表中内容要包含配件名称、规格型号、品牌产地、含税报价等。</w:t>
      </w:r>
    </w:p>
    <w:p w14:paraId="7432BBEF">
      <w:pPr>
        <w:spacing w:line="360" w:lineRule="auto"/>
        <w:ind w:firstLine="660" w:firstLineChars="275"/>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．现场管理要求及考核标准</w:t>
      </w:r>
    </w:p>
    <w:p w14:paraId="31A6F0B1">
      <w:pPr>
        <w:spacing w:line="360" w:lineRule="auto"/>
        <w:ind w:firstLine="660" w:firstLineChars="275"/>
        <w:rPr>
          <w:rFonts w:ascii="宋体" w:hAnsi="宋体" w:cs="宋体"/>
          <w:sz w:val="24"/>
          <w:szCs w:val="24"/>
        </w:rPr>
      </w:pPr>
      <w:r>
        <w:rPr>
          <w:rFonts w:hint="eastAsia" w:ascii="宋体" w:hAnsi="宋体" w:cs="宋体"/>
          <w:sz w:val="24"/>
          <w:szCs w:val="24"/>
        </w:rPr>
        <w:t>（1）</w:t>
      </w:r>
      <w:r>
        <w:rPr>
          <w:rFonts w:ascii="宋体" w:hAnsi="宋体" w:cs="宋体"/>
          <w:sz w:val="24"/>
          <w:szCs w:val="24"/>
        </w:rPr>
        <w:t>乙方人员主要负责甲方的应急报修、</w:t>
      </w:r>
      <w:r>
        <w:rPr>
          <w:rFonts w:hint="eastAsia" w:ascii="宋体" w:hAnsi="宋体" w:cs="宋体"/>
          <w:sz w:val="24"/>
          <w:szCs w:val="24"/>
        </w:rPr>
        <w:t>维保</w:t>
      </w:r>
      <w:r>
        <w:rPr>
          <w:rFonts w:ascii="宋体" w:hAnsi="宋体" w:cs="宋体"/>
          <w:sz w:val="24"/>
          <w:szCs w:val="24"/>
        </w:rPr>
        <w:t>人员管理、维保工作的开展与对接工作等；需指定</w:t>
      </w:r>
      <w:r>
        <w:rPr>
          <w:rFonts w:hint="eastAsia" w:ascii="宋体" w:hAnsi="宋体" w:cs="宋体"/>
          <w:sz w:val="24"/>
          <w:szCs w:val="24"/>
        </w:rPr>
        <w:t>维保</w:t>
      </w:r>
      <w:r>
        <w:rPr>
          <w:rFonts w:ascii="宋体" w:hAnsi="宋体" w:cs="宋体"/>
          <w:sz w:val="24"/>
          <w:szCs w:val="24"/>
        </w:rPr>
        <w:t>人员</w:t>
      </w:r>
      <w:r>
        <w:rPr>
          <w:rFonts w:hint="eastAsia" w:ascii="宋体" w:hAnsi="宋体" w:cs="宋体"/>
          <w:sz w:val="24"/>
          <w:szCs w:val="24"/>
        </w:rPr>
        <w:t>2-3</w:t>
      </w:r>
      <w:r>
        <w:rPr>
          <w:rFonts w:ascii="宋体" w:hAnsi="宋体" w:cs="宋体"/>
          <w:sz w:val="24"/>
          <w:szCs w:val="24"/>
        </w:rPr>
        <w:t>人，辅助项目负责人进行</w:t>
      </w:r>
      <w:r>
        <w:rPr>
          <w:rFonts w:hint="eastAsia" w:ascii="宋体" w:hAnsi="宋体" w:cs="宋体"/>
          <w:sz w:val="24"/>
          <w:szCs w:val="24"/>
        </w:rPr>
        <w:t>维保</w:t>
      </w:r>
      <w:r>
        <w:rPr>
          <w:rFonts w:ascii="宋体" w:hAnsi="宋体" w:cs="宋体"/>
          <w:sz w:val="24"/>
          <w:szCs w:val="24"/>
        </w:rPr>
        <w:t xml:space="preserve">人员日常管理和工作安排对接。实行维修与维保相结合，及时处理消防设施的故障，并如实填写相关记录。 </w:t>
      </w:r>
    </w:p>
    <w:p w14:paraId="05CA1492">
      <w:pPr>
        <w:spacing w:line="360" w:lineRule="auto"/>
        <w:ind w:firstLine="660" w:firstLineChars="275"/>
        <w:rPr>
          <w:rFonts w:ascii="宋体" w:hAnsi="宋体" w:cs="宋体"/>
          <w:sz w:val="24"/>
          <w:szCs w:val="24"/>
        </w:rPr>
      </w:pPr>
      <w:r>
        <w:rPr>
          <w:rFonts w:hint="eastAsia" w:ascii="宋体" w:hAnsi="宋体" w:cs="宋体"/>
          <w:sz w:val="24"/>
          <w:szCs w:val="24"/>
        </w:rPr>
        <w:t>（2）</w:t>
      </w:r>
      <w:r>
        <w:rPr>
          <w:rFonts w:ascii="宋体" w:hAnsi="宋体" w:cs="宋体"/>
          <w:sz w:val="24"/>
          <w:szCs w:val="24"/>
        </w:rPr>
        <w:t>投标单位应自行办理有关工作人员的人身、财产保险，保险时间应根据服务时间的延长而顺延，并自行办理相关的各种手续和索赔。否则，对有关风险及后果自负其责。</w:t>
      </w:r>
    </w:p>
    <w:p w14:paraId="6757F7CB">
      <w:pPr>
        <w:spacing w:line="360" w:lineRule="auto"/>
        <w:ind w:firstLine="660" w:firstLineChars="275"/>
        <w:rPr>
          <w:rFonts w:ascii="宋体" w:hAnsi="宋体" w:cs="宋体"/>
          <w:sz w:val="24"/>
          <w:szCs w:val="24"/>
        </w:rPr>
      </w:pPr>
      <w:r>
        <w:rPr>
          <w:rFonts w:hint="eastAsia" w:ascii="宋体" w:hAnsi="宋体" w:cs="宋体"/>
          <w:sz w:val="24"/>
          <w:szCs w:val="24"/>
        </w:rPr>
        <w:t>（3）</w:t>
      </w:r>
      <w:r>
        <w:rPr>
          <w:rFonts w:ascii="宋体" w:hAnsi="宋体" w:cs="宋体"/>
          <w:sz w:val="24"/>
          <w:szCs w:val="24"/>
        </w:rPr>
        <w:t>中标单位应积极、主动的开展相关维保工作，并对发现的设备设施隐患、故障等及时进行维护维修。对于招标人发起的相关整改、维护测试、联动测试检查，应按要求，积极予以配合。</w:t>
      </w:r>
    </w:p>
    <w:p w14:paraId="61A72FDF">
      <w:pPr>
        <w:spacing w:line="360" w:lineRule="auto"/>
        <w:ind w:firstLine="660" w:firstLineChars="275"/>
        <w:rPr>
          <w:rFonts w:ascii="宋体" w:hAnsi="宋体" w:cs="宋体"/>
          <w:sz w:val="24"/>
          <w:szCs w:val="24"/>
        </w:rPr>
      </w:pPr>
      <w:r>
        <w:rPr>
          <w:rFonts w:hint="eastAsia" w:ascii="宋体" w:hAnsi="宋体" w:cs="宋体"/>
          <w:sz w:val="24"/>
          <w:szCs w:val="24"/>
        </w:rPr>
        <w:t>（4）</w:t>
      </w:r>
      <w:r>
        <w:rPr>
          <w:rFonts w:ascii="宋体" w:hAnsi="宋体" w:cs="宋体"/>
          <w:sz w:val="24"/>
          <w:szCs w:val="24"/>
        </w:rPr>
        <w:t>各业主、租户区域内的二次装修，乙方应配合验收，协助取得消防管理部门的验收通过文件；中标单位应配合物业工程服务部进行二次装修区域内的消防设备设施的查验，确保相关设备设施功能完善，并维护相关设备的持续、可靠运行。</w:t>
      </w:r>
    </w:p>
    <w:p w14:paraId="7CD2377E">
      <w:pPr>
        <w:spacing w:line="360" w:lineRule="auto"/>
        <w:ind w:firstLine="660" w:firstLineChars="275"/>
        <w:rPr>
          <w:rFonts w:ascii="宋体" w:hAnsi="宋体" w:cs="宋体"/>
          <w:sz w:val="24"/>
          <w:szCs w:val="24"/>
        </w:rPr>
      </w:pPr>
      <w:r>
        <w:rPr>
          <w:rFonts w:hint="eastAsia" w:ascii="宋体" w:hAnsi="宋体" w:cs="宋体"/>
          <w:sz w:val="24"/>
          <w:szCs w:val="24"/>
        </w:rPr>
        <w:t>（5）</w:t>
      </w:r>
      <w:r>
        <w:rPr>
          <w:rFonts w:ascii="宋体" w:hAnsi="宋体" w:cs="宋体"/>
          <w:sz w:val="24"/>
          <w:szCs w:val="24"/>
        </w:rPr>
        <w:t>一般故障须立即排除，较复杂的但对消防安全影响不大的故障可在24小时内修复。特殊情况应及时书面向物业工程服务部提出申请，并征得物业工程服务部同意。遇有重大设备故障、需更换单价在400元以上设备或配件的，应在故障部位或部件确认2小时内将维修方案报</w:t>
      </w:r>
      <w:r>
        <w:rPr>
          <w:rFonts w:hint="eastAsia" w:ascii="宋体" w:hAnsi="宋体" w:cs="宋体"/>
          <w:sz w:val="24"/>
          <w:szCs w:val="24"/>
          <w:lang w:val="en-US" w:eastAsia="zh-CN"/>
        </w:rPr>
        <w:t>运营管理部</w:t>
      </w:r>
      <w:r>
        <w:rPr>
          <w:rFonts w:ascii="宋体" w:hAnsi="宋体" w:cs="宋体"/>
          <w:sz w:val="24"/>
          <w:szCs w:val="24"/>
        </w:rPr>
        <w:t>，维修方案确认24小时内或根据维修方案协商约定时间内予以修复。对于非</w:t>
      </w:r>
      <w:r>
        <w:rPr>
          <w:rFonts w:hint="eastAsia" w:ascii="宋体" w:hAnsi="宋体" w:cs="宋体"/>
          <w:sz w:val="24"/>
          <w:szCs w:val="24"/>
        </w:rPr>
        <w:t>维保</w:t>
      </w:r>
      <w:r>
        <w:rPr>
          <w:rFonts w:ascii="宋体" w:hAnsi="宋体" w:cs="宋体"/>
          <w:sz w:val="24"/>
          <w:szCs w:val="24"/>
        </w:rPr>
        <w:t>人员工作时间段内发生的系统设备故障，项目负责人自接到报修电话 2 小时内应安排维修人员到场处理。</w:t>
      </w:r>
    </w:p>
    <w:p w14:paraId="6AEE7E7C">
      <w:pPr>
        <w:spacing w:line="360" w:lineRule="auto"/>
        <w:ind w:firstLine="660" w:firstLineChars="275"/>
        <w:rPr>
          <w:rFonts w:hint="eastAsia" w:ascii="宋体" w:hAnsi="宋体" w:cs="宋体"/>
          <w:sz w:val="24"/>
          <w:szCs w:val="24"/>
        </w:rPr>
      </w:pPr>
      <w:r>
        <w:rPr>
          <w:rFonts w:hint="eastAsia" w:ascii="宋体" w:hAnsi="宋体" w:cs="宋体"/>
          <w:sz w:val="24"/>
          <w:szCs w:val="24"/>
        </w:rPr>
        <w:t>（6）</w:t>
      </w:r>
      <w:r>
        <w:rPr>
          <w:rFonts w:ascii="宋体" w:hAnsi="宋体" w:cs="宋体"/>
          <w:sz w:val="24"/>
          <w:szCs w:val="24"/>
        </w:rPr>
        <w:t>中标单位</w:t>
      </w:r>
      <w:r>
        <w:rPr>
          <w:rFonts w:hint="eastAsia" w:ascii="宋体" w:hAnsi="宋体" w:cs="宋体"/>
          <w:sz w:val="24"/>
          <w:szCs w:val="24"/>
        </w:rPr>
        <w:t>维保</w:t>
      </w:r>
      <w:r>
        <w:rPr>
          <w:rFonts w:ascii="宋体" w:hAnsi="宋体" w:cs="宋体"/>
          <w:sz w:val="24"/>
          <w:szCs w:val="24"/>
        </w:rPr>
        <w:t>消防维保人员需按照国家及当地消防、安监部门要求持证上岗，每月对</w:t>
      </w:r>
      <w:r>
        <w:rPr>
          <w:rFonts w:hint="eastAsia" w:ascii="宋体" w:hAnsi="宋体" w:cs="宋体"/>
          <w:sz w:val="24"/>
          <w:szCs w:val="24"/>
        </w:rPr>
        <w:t>维保</w:t>
      </w:r>
      <w:r>
        <w:rPr>
          <w:rFonts w:ascii="宋体" w:hAnsi="宋体" w:cs="宋体"/>
          <w:sz w:val="24"/>
          <w:szCs w:val="24"/>
        </w:rPr>
        <w:t>消防维保人员进行安全生产培训教育，定期更新安全防护工具。</w:t>
      </w:r>
    </w:p>
    <w:p w14:paraId="0CCFF3F5">
      <w:pPr>
        <w:spacing w:line="360" w:lineRule="auto"/>
        <w:ind w:firstLine="660" w:firstLineChars="275"/>
        <w:rPr>
          <w:rFonts w:ascii="宋体" w:hAnsi="宋体" w:cs="宋体"/>
          <w:sz w:val="24"/>
          <w:szCs w:val="24"/>
        </w:rPr>
      </w:pPr>
      <w:r>
        <w:rPr>
          <w:rFonts w:hint="eastAsia" w:ascii="宋体" w:hAnsi="宋体" w:cs="宋体"/>
          <w:sz w:val="24"/>
          <w:szCs w:val="24"/>
        </w:rPr>
        <w:t>（7）</w:t>
      </w:r>
      <w:r>
        <w:rPr>
          <w:rFonts w:ascii="宋体" w:hAnsi="宋体" w:cs="宋体"/>
          <w:sz w:val="24"/>
          <w:szCs w:val="24"/>
        </w:rPr>
        <w:t>甲方及甲方的上级公司、地方消防或其他行政管理部门进行各类检查，所发现的消防隐患、设备故障、损坏等属于维保责任内的事项，都视做维保责任不到位，列入维保考核项。</w:t>
      </w:r>
    </w:p>
    <w:p w14:paraId="5CAC90E7">
      <w:pPr>
        <w:spacing w:line="360" w:lineRule="auto"/>
        <w:ind w:firstLine="660" w:firstLineChars="275"/>
        <w:rPr>
          <w:rFonts w:ascii="宋体" w:hAnsi="宋体" w:cs="宋体"/>
          <w:sz w:val="24"/>
          <w:szCs w:val="24"/>
        </w:rPr>
      </w:pPr>
      <w:r>
        <w:rPr>
          <w:rFonts w:hint="eastAsia" w:ascii="宋体" w:hAnsi="宋体" w:cs="宋体"/>
          <w:sz w:val="24"/>
          <w:szCs w:val="24"/>
        </w:rPr>
        <w:t>（8）</w:t>
      </w:r>
      <w:r>
        <w:rPr>
          <w:rFonts w:ascii="宋体" w:hAnsi="宋体" w:cs="宋体"/>
          <w:sz w:val="24"/>
          <w:szCs w:val="24"/>
        </w:rPr>
        <w:t>由于中标单位的原因致使系统、设备故障未能及时修复，而造成其他设备损坏、影响租户正常营运</w:t>
      </w:r>
      <w:r>
        <w:rPr>
          <w:rFonts w:hint="eastAsia" w:ascii="宋体" w:hAnsi="宋体" w:cs="宋体"/>
          <w:sz w:val="24"/>
          <w:szCs w:val="24"/>
          <w:lang w:val="en-US" w:eastAsia="zh-CN"/>
        </w:rPr>
        <w:t>的</w:t>
      </w:r>
      <w:r>
        <w:rPr>
          <w:rFonts w:ascii="宋体" w:hAnsi="宋体" w:cs="宋体"/>
          <w:sz w:val="24"/>
          <w:szCs w:val="24"/>
        </w:rPr>
        <w:t>，视作中标单位违约行为，除在月度考核中按相关要求进行扣分处理外，同时视情节轻重、不良影响程度，分别处以500元、1000元、2000元违约处罚。</w:t>
      </w:r>
    </w:p>
    <w:p w14:paraId="5FC59B51">
      <w:pPr>
        <w:spacing w:line="360" w:lineRule="auto"/>
        <w:ind w:firstLine="660" w:firstLineChars="275"/>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有以下情形（包括但不限于）的，处以500元违约处罚： </w:t>
      </w:r>
    </w:p>
    <w:p w14:paraId="45065F09">
      <w:pPr>
        <w:spacing w:line="360" w:lineRule="auto"/>
        <w:ind w:firstLine="660" w:firstLineChars="275"/>
        <w:rPr>
          <w:rFonts w:ascii="宋体" w:hAnsi="宋体" w:cs="宋体"/>
          <w:sz w:val="24"/>
          <w:szCs w:val="24"/>
        </w:rPr>
      </w:pPr>
      <w:r>
        <w:rPr>
          <w:rFonts w:hint="eastAsia" w:ascii="宋体" w:hAnsi="宋体" w:cs="宋体"/>
          <w:sz w:val="24"/>
          <w:szCs w:val="24"/>
        </w:rPr>
        <w:t>①</w:t>
      </w:r>
      <w:r>
        <w:rPr>
          <w:rFonts w:ascii="宋体" w:hAnsi="宋体" w:cs="宋体"/>
          <w:sz w:val="24"/>
          <w:szCs w:val="24"/>
        </w:rPr>
        <w:t>因维保责任而导致营业时间营业区域停电、营业时间内营业区域防火卷帘门下降等事件的；</w:t>
      </w:r>
    </w:p>
    <w:p w14:paraId="53D789B3">
      <w:pPr>
        <w:spacing w:line="360" w:lineRule="auto"/>
        <w:ind w:firstLine="660" w:firstLineChars="275"/>
        <w:rPr>
          <w:rFonts w:ascii="宋体" w:hAnsi="宋体" w:cs="宋体"/>
          <w:sz w:val="24"/>
          <w:szCs w:val="24"/>
        </w:rPr>
      </w:pPr>
      <w:r>
        <w:rPr>
          <w:rFonts w:hint="eastAsia" w:ascii="宋体" w:hAnsi="宋体" w:cs="宋体"/>
          <w:sz w:val="24"/>
          <w:szCs w:val="24"/>
        </w:rPr>
        <w:t>②</w:t>
      </w:r>
      <w:r>
        <w:rPr>
          <w:rFonts w:ascii="宋体" w:hAnsi="宋体" w:cs="宋体"/>
          <w:sz w:val="24"/>
          <w:szCs w:val="24"/>
        </w:rPr>
        <w:t>因维保责任导致的设备损坏未能及时修复而影响店铺正常营业的，除应承担店铺、招标单位的损失外，首次出现的处以500元违约处罚；</w:t>
      </w:r>
    </w:p>
    <w:p w14:paraId="188B6F18">
      <w:pPr>
        <w:spacing w:line="360" w:lineRule="auto"/>
        <w:ind w:firstLine="660" w:firstLineChars="275"/>
        <w:rPr>
          <w:rFonts w:ascii="宋体" w:hAnsi="宋体" w:cs="宋体"/>
          <w:sz w:val="24"/>
          <w:szCs w:val="24"/>
        </w:rPr>
      </w:pPr>
      <w:r>
        <w:rPr>
          <w:rFonts w:hint="eastAsia" w:ascii="宋体" w:hAnsi="宋体" w:cs="宋体"/>
          <w:sz w:val="24"/>
          <w:szCs w:val="24"/>
        </w:rPr>
        <w:t>2）</w:t>
      </w:r>
      <w:r>
        <w:rPr>
          <w:rFonts w:ascii="宋体" w:hAnsi="宋体" w:cs="宋体"/>
          <w:sz w:val="24"/>
          <w:szCs w:val="24"/>
        </w:rPr>
        <w:t>有以下情形（包括但不限于）的，处以1000元违约处罚：</w:t>
      </w:r>
    </w:p>
    <w:p w14:paraId="3336F298">
      <w:pPr>
        <w:spacing w:line="360" w:lineRule="auto"/>
        <w:ind w:firstLine="660" w:firstLineChars="275"/>
        <w:rPr>
          <w:rFonts w:ascii="宋体" w:hAnsi="宋体" w:cs="宋体"/>
          <w:sz w:val="24"/>
          <w:szCs w:val="24"/>
        </w:rPr>
      </w:pPr>
      <w:r>
        <w:rPr>
          <w:rFonts w:hint="eastAsia" w:ascii="宋体" w:hAnsi="宋体" w:cs="宋体"/>
          <w:sz w:val="24"/>
          <w:szCs w:val="24"/>
        </w:rPr>
        <w:t>①</w:t>
      </w:r>
      <w:r>
        <w:rPr>
          <w:rFonts w:ascii="宋体" w:hAnsi="宋体" w:cs="宋体"/>
          <w:sz w:val="24"/>
          <w:szCs w:val="24"/>
        </w:rPr>
        <w:t>因维保责任而导致营业时间营业区域停电、营业时间内营业区域防火卷帘门下降等事件的，在首次后三个月内出现第二次的；</w:t>
      </w:r>
    </w:p>
    <w:p w14:paraId="11F5044A">
      <w:pPr>
        <w:spacing w:line="360" w:lineRule="auto"/>
        <w:ind w:firstLine="660" w:firstLineChars="275"/>
        <w:rPr>
          <w:rFonts w:ascii="宋体" w:hAnsi="宋体" w:cs="宋体"/>
          <w:sz w:val="24"/>
          <w:szCs w:val="24"/>
        </w:rPr>
      </w:pPr>
      <w:r>
        <w:rPr>
          <w:rFonts w:hint="eastAsia" w:ascii="宋体" w:hAnsi="宋体" w:cs="宋体"/>
          <w:sz w:val="24"/>
          <w:szCs w:val="24"/>
        </w:rPr>
        <w:t>②</w:t>
      </w:r>
      <w:r>
        <w:rPr>
          <w:rFonts w:ascii="宋体" w:hAnsi="宋体" w:cs="宋体"/>
          <w:sz w:val="24"/>
          <w:szCs w:val="24"/>
        </w:rPr>
        <w:t>因维保责任导致的设备损坏未能及时修复而影响店铺正常营业的，除应承担店铺、招标单位的损失外，在首次发生的3个月内再次出现的；</w:t>
      </w:r>
    </w:p>
    <w:p w14:paraId="38F04AA5">
      <w:pPr>
        <w:spacing w:line="360" w:lineRule="auto"/>
        <w:ind w:firstLine="660" w:firstLineChars="275"/>
        <w:rPr>
          <w:rFonts w:ascii="宋体" w:hAnsi="宋体" w:cs="宋体"/>
          <w:sz w:val="24"/>
          <w:szCs w:val="24"/>
        </w:rPr>
      </w:pPr>
      <w:r>
        <w:rPr>
          <w:rFonts w:hint="eastAsia" w:ascii="宋体" w:hAnsi="宋体" w:cs="宋体"/>
          <w:sz w:val="24"/>
          <w:szCs w:val="24"/>
        </w:rPr>
        <w:t>③</w:t>
      </w:r>
      <w:r>
        <w:rPr>
          <w:rFonts w:ascii="宋体" w:hAnsi="宋体" w:cs="宋体"/>
          <w:sz w:val="24"/>
          <w:szCs w:val="24"/>
        </w:rPr>
        <w:t>因维保责任导致的设备损坏未能及时修复而导致店铺二次装修后的消防支队验收无法进行或延期的；</w:t>
      </w:r>
    </w:p>
    <w:p w14:paraId="6D2A015B">
      <w:pPr>
        <w:spacing w:line="360" w:lineRule="auto"/>
        <w:ind w:firstLine="660" w:firstLineChars="275"/>
        <w:rPr>
          <w:rFonts w:ascii="宋体" w:hAnsi="宋体" w:cs="宋体"/>
          <w:sz w:val="24"/>
          <w:szCs w:val="24"/>
        </w:rPr>
      </w:pPr>
      <w:r>
        <w:rPr>
          <w:rFonts w:hint="eastAsia" w:ascii="宋体" w:hAnsi="宋体" w:cs="宋体"/>
          <w:sz w:val="24"/>
          <w:szCs w:val="24"/>
        </w:rPr>
        <w:t>3）</w:t>
      </w:r>
      <w:r>
        <w:rPr>
          <w:rFonts w:ascii="宋体" w:hAnsi="宋体" w:cs="宋体"/>
          <w:sz w:val="24"/>
          <w:szCs w:val="24"/>
        </w:rPr>
        <w:t>以下情形（包括但不限于）的，处以 2000 元违约处罚：</w:t>
      </w:r>
    </w:p>
    <w:p w14:paraId="304A3B02">
      <w:pPr>
        <w:spacing w:line="360" w:lineRule="auto"/>
        <w:ind w:firstLine="660" w:firstLineChars="275"/>
        <w:rPr>
          <w:rFonts w:ascii="宋体" w:hAnsi="宋体" w:cs="宋体"/>
          <w:sz w:val="24"/>
          <w:szCs w:val="24"/>
        </w:rPr>
      </w:pPr>
      <w:r>
        <w:rPr>
          <w:rFonts w:hint="eastAsia" w:ascii="宋体" w:hAnsi="宋体" w:cs="宋体"/>
          <w:sz w:val="24"/>
          <w:szCs w:val="24"/>
        </w:rPr>
        <w:t>①</w:t>
      </w:r>
      <w:r>
        <w:rPr>
          <w:rFonts w:ascii="宋体" w:hAnsi="宋体" w:cs="宋体"/>
          <w:sz w:val="24"/>
          <w:szCs w:val="24"/>
        </w:rPr>
        <w:t>因维保责任而导致营业时间营业区域停电、营业时间内营业区域防火卷帘门下降等事件的，在首次后一个月内出现第二次的或维保期内出现 3 次及以上的，</w:t>
      </w:r>
    </w:p>
    <w:p w14:paraId="3248B8D5">
      <w:pPr>
        <w:spacing w:line="360" w:lineRule="auto"/>
        <w:ind w:firstLine="660" w:firstLineChars="275"/>
        <w:rPr>
          <w:rFonts w:ascii="宋体" w:hAnsi="宋体" w:cs="宋体"/>
          <w:sz w:val="24"/>
          <w:szCs w:val="24"/>
        </w:rPr>
      </w:pPr>
      <w:r>
        <w:rPr>
          <w:rFonts w:hint="eastAsia" w:ascii="宋体" w:hAnsi="宋体" w:cs="宋体"/>
          <w:sz w:val="24"/>
          <w:szCs w:val="24"/>
        </w:rPr>
        <w:t>②</w:t>
      </w:r>
      <w:r>
        <w:rPr>
          <w:rFonts w:ascii="宋体" w:hAnsi="宋体" w:cs="宋体"/>
          <w:sz w:val="24"/>
          <w:szCs w:val="24"/>
        </w:rPr>
        <w:t xml:space="preserve">因维保责任导致的设备损坏未能及时修复而影响店铺正常营业的，除应承担店铺、招标单位的损失外，在首次发生的 1 个月内再次出现的或维保期内出现 3 次及以上的； </w:t>
      </w:r>
    </w:p>
    <w:p w14:paraId="67B99209">
      <w:pPr>
        <w:spacing w:line="360" w:lineRule="auto"/>
        <w:ind w:firstLine="660" w:firstLineChars="275"/>
        <w:rPr>
          <w:rFonts w:ascii="宋体" w:hAnsi="宋体" w:cs="宋体"/>
          <w:sz w:val="24"/>
          <w:szCs w:val="24"/>
        </w:rPr>
      </w:pPr>
      <w:r>
        <w:rPr>
          <w:rFonts w:hint="eastAsia" w:ascii="宋体" w:hAnsi="宋体" w:cs="宋体"/>
          <w:sz w:val="24"/>
          <w:szCs w:val="24"/>
        </w:rPr>
        <w:t>③</w:t>
      </w:r>
      <w:r>
        <w:rPr>
          <w:rFonts w:ascii="宋体" w:hAnsi="宋体" w:cs="宋体"/>
          <w:sz w:val="24"/>
          <w:szCs w:val="24"/>
        </w:rPr>
        <w:t>因维保责任导致的设备损坏未能及时修复而导致店铺二次装修后的消防支队验收无法进行或延期的，在维保期内出现 2 次及以上的。</w:t>
      </w:r>
    </w:p>
    <w:p w14:paraId="6867F5BF">
      <w:pPr>
        <w:spacing w:line="360" w:lineRule="auto"/>
        <w:ind w:firstLine="660" w:firstLineChars="275"/>
        <w:rPr>
          <w:rFonts w:ascii="宋体" w:hAnsi="宋体" w:cs="宋体"/>
          <w:sz w:val="24"/>
          <w:szCs w:val="24"/>
        </w:rPr>
      </w:pPr>
      <w:r>
        <w:rPr>
          <w:rFonts w:hint="eastAsia" w:ascii="宋体" w:hAnsi="宋体" w:cs="宋体"/>
          <w:sz w:val="24"/>
          <w:szCs w:val="24"/>
        </w:rPr>
        <w:t>（9）</w:t>
      </w:r>
      <w:r>
        <w:rPr>
          <w:rFonts w:ascii="宋体" w:hAnsi="宋体" w:cs="宋体"/>
          <w:sz w:val="24"/>
          <w:szCs w:val="24"/>
        </w:rPr>
        <w:t xml:space="preserve">由于中标单位维保人员未遵守安全管理规定、安全操作规范或不服从工程服务部现场管理人员的安全管理的，除在月度考核中按相关要求进行扣分处理外，同时视情节轻重，分别处以警告或 1000 元、2000 元违约处罚。 </w:t>
      </w:r>
    </w:p>
    <w:p w14:paraId="46798AA8">
      <w:pPr>
        <w:spacing w:line="360" w:lineRule="auto"/>
        <w:ind w:firstLine="660" w:firstLineChars="275"/>
        <w:rPr>
          <w:rFonts w:ascii="宋体" w:hAnsi="宋体" w:cs="宋体"/>
          <w:sz w:val="24"/>
          <w:szCs w:val="24"/>
        </w:rPr>
      </w:pPr>
      <w:r>
        <w:rPr>
          <w:rFonts w:hint="eastAsia" w:ascii="宋体" w:hAnsi="宋体" w:cs="宋体"/>
          <w:sz w:val="24"/>
          <w:szCs w:val="24"/>
        </w:rPr>
        <w:t>1）</w:t>
      </w:r>
      <w:r>
        <w:rPr>
          <w:rFonts w:ascii="宋体" w:hAnsi="宋体" w:cs="宋体"/>
          <w:sz w:val="24"/>
          <w:szCs w:val="24"/>
        </w:rPr>
        <w:t>有以下（包括但不限于）不安全行为的，处以警告处罚：登高作业未使用符合要求的登高梯具、登高作业人员未戴安全帽、未合理使用安全带的、在停车场或车道区域作业时未摆放作业提醒标识、作业人员未穿戴反光衣的；</w:t>
      </w:r>
    </w:p>
    <w:p w14:paraId="0CFA6B92">
      <w:pPr>
        <w:spacing w:line="360" w:lineRule="auto"/>
        <w:ind w:firstLine="660" w:firstLineChars="275"/>
        <w:rPr>
          <w:rFonts w:ascii="宋体" w:hAnsi="宋体" w:cs="宋体"/>
          <w:sz w:val="24"/>
          <w:szCs w:val="24"/>
        </w:rPr>
      </w:pPr>
      <w:r>
        <w:rPr>
          <w:rFonts w:hint="eastAsia" w:ascii="宋体" w:hAnsi="宋体" w:cs="宋体"/>
          <w:sz w:val="24"/>
          <w:szCs w:val="24"/>
        </w:rPr>
        <w:t>2）</w:t>
      </w:r>
      <w:r>
        <w:rPr>
          <w:rFonts w:ascii="宋体" w:hAnsi="宋体" w:cs="宋体"/>
          <w:sz w:val="24"/>
          <w:szCs w:val="24"/>
        </w:rPr>
        <w:t>有以下（包括但不限于）不安全行为的，处以1000元处罚：</w:t>
      </w:r>
    </w:p>
    <w:p w14:paraId="2201B578">
      <w:pPr>
        <w:spacing w:line="360" w:lineRule="auto"/>
        <w:ind w:firstLine="660" w:firstLineChars="275"/>
        <w:rPr>
          <w:rFonts w:ascii="宋体" w:hAnsi="宋体" w:cs="宋体"/>
          <w:sz w:val="24"/>
          <w:szCs w:val="24"/>
        </w:rPr>
      </w:pPr>
      <w:r>
        <w:rPr>
          <w:rFonts w:hint="eastAsia" w:ascii="宋体" w:hAnsi="宋体" w:cs="宋体"/>
          <w:sz w:val="24"/>
          <w:szCs w:val="24"/>
        </w:rPr>
        <w:t>①</w:t>
      </w:r>
      <w:r>
        <w:rPr>
          <w:rFonts w:ascii="宋体" w:hAnsi="宋体" w:cs="宋体"/>
          <w:sz w:val="24"/>
          <w:szCs w:val="24"/>
        </w:rPr>
        <w:t>因不安全行为而在 1 个月内被警告三次的，第三次既处以1000元处罚；</w:t>
      </w:r>
    </w:p>
    <w:p w14:paraId="2082C33F">
      <w:pPr>
        <w:spacing w:line="360" w:lineRule="auto"/>
        <w:ind w:firstLine="660" w:firstLineChars="275"/>
        <w:rPr>
          <w:rFonts w:hint="eastAsia" w:ascii="宋体" w:hAnsi="宋体" w:cs="宋体"/>
          <w:sz w:val="24"/>
          <w:szCs w:val="24"/>
        </w:rPr>
      </w:pPr>
      <w:r>
        <w:rPr>
          <w:rFonts w:hint="eastAsia" w:ascii="宋体" w:hAnsi="宋体" w:cs="宋体"/>
          <w:sz w:val="24"/>
          <w:szCs w:val="24"/>
        </w:rPr>
        <w:t>②</w:t>
      </w:r>
      <w:r>
        <w:rPr>
          <w:rFonts w:ascii="宋体" w:hAnsi="宋体" w:cs="宋体"/>
          <w:sz w:val="24"/>
          <w:szCs w:val="24"/>
        </w:rPr>
        <w:t>出现不安全行为，且不服从工程服务部现场管理人员要求立即改正的，首次处以1000元处罚；</w:t>
      </w:r>
    </w:p>
    <w:p w14:paraId="06F1EC08">
      <w:pPr>
        <w:spacing w:line="360" w:lineRule="auto"/>
        <w:ind w:firstLine="660" w:firstLineChars="275"/>
        <w:rPr>
          <w:rFonts w:ascii="宋体" w:hAnsi="宋体" w:cs="宋体"/>
          <w:sz w:val="24"/>
          <w:szCs w:val="24"/>
        </w:rPr>
      </w:pPr>
      <w:r>
        <w:rPr>
          <w:rFonts w:hint="eastAsia" w:ascii="宋体" w:hAnsi="宋体" w:cs="宋体"/>
          <w:sz w:val="24"/>
          <w:szCs w:val="24"/>
        </w:rPr>
        <w:t>3）</w:t>
      </w:r>
      <w:r>
        <w:rPr>
          <w:rFonts w:ascii="宋体" w:hAnsi="宋体" w:cs="宋体"/>
          <w:sz w:val="24"/>
          <w:szCs w:val="24"/>
        </w:rPr>
        <w:t>有以下（包括但不限于）不安全行为的，处以 2000 元处罚：</w:t>
      </w:r>
    </w:p>
    <w:p w14:paraId="6F51515F">
      <w:pPr>
        <w:spacing w:line="360" w:lineRule="auto"/>
        <w:ind w:firstLine="660" w:firstLineChars="275"/>
        <w:rPr>
          <w:rFonts w:ascii="宋体" w:hAnsi="宋体" w:cs="宋体"/>
          <w:sz w:val="24"/>
          <w:szCs w:val="24"/>
        </w:rPr>
      </w:pPr>
      <w:r>
        <w:rPr>
          <w:rFonts w:hint="eastAsia" w:ascii="宋体" w:hAnsi="宋体" w:cs="宋体"/>
          <w:sz w:val="24"/>
          <w:szCs w:val="24"/>
        </w:rPr>
        <w:t>①</w:t>
      </w:r>
      <w:r>
        <w:rPr>
          <w:rFonts w:ascii="宋体" w:hAnsi="宋体" w:cs="宋体"/>
          <w:sz w:val="24"/>
          <w:szCs w:val="24"/>
        </w:rPr>
        <w:t>因不安全行为而在维保期内被警告四次及以上的，第四次起既处以2000 元处罚；</w:t>
      </w:r>
    </w:p>
    <w:p w14:paraId="742C1B35">
      <w:pPr>
        <w:spacing w:line="360" w:lineRule="auto"/>
        <w:ind w:firstLine="660" w:firstLineChars="275"/>
        <w:rPr>
          <w:rFonts w:ascii="宋体" w:hAnsi="宋体" w:cs="宋体"/>
          <w:sz w:val="24"/>
          <w:szCs w:val="24"/>
        </w:rPr>
      </w:pPr>
      <w:r>
        <w:rPr>
          <w:rFonts w:hint="eastAsia" w:ascii="宋体" w:hAnsi="宋体" w:cs="宋体"/>
          <w:sz w:val="24"/>
          <w:szCs w:val="24"/>
        </w:rPr>
        <w:t>②</w:t>
      </w:r>
      <w:r>
        <w:rPr>
          <w:rFonts w:ascii="宋体" w:hAnsi="宋体" w:cs="宋体"/>
          <w:sz w:val="24"/>
          <w:szCs w:val="24"/>
        </w:rPr>
        <w:t>出现不安全行为，且不服从工程服务部现场管理人员要求立即改正的，维保期内出现 2 次及以上的，每次处以2000元处罚；</w:t>
      </w:r>
    </w:p>
    <w:p w14:paraId="487FFD10">
      <w:pPr>
        <w:spacing w:line="360" w:lineRule="auto"/>
        <w:ind w:firstLine="660" w:firstLineChars="275"/>
        <w:rPr>
          <w:rFonts w:hint="eastAsia" w:ascii="宋体" w:hAnsi="宋体" w:cs="宋体"/>
          <w:sz w:val="24"/>
          <w:szCs w:val="24"/>
        </w:rPr>
      </w:pPr>
      <w:r>
        <w:rPr>
          <w:rFonts w:hint="eastAsia" w:ascii="宋体" w:hAnsi="宋体" w:cs="宋体"/>
          <w:sz w:val="24"/>
          <w:szCs w:val="24"/>
        </w:rPr>
        <w:t>③</w:t>
      </w:r>
      <w:r>
        <w:rPr>
          <w:rFonts w:ascii="宋体" w:hAnsi="宋体" w:cs="宋体"/>
          <w:sz w:val="24"/>
          <w:szCs w:val="24"/>
        </w:rPr>
        <w:t>因不安全行为，而出现跌落等人身伤害事件的，每次处以2000元处罚。</w:t>
      </w:r>
    </w:p>
    <w:p w14:paraId="152EFEC1">
      <w:pPr>
        <w:pStyle w:val="2"/>
        <w:spacing w:before="0" w:after="0" w:line="360" w:lineRule="auto"/>
        <w:ind w:left="561" w:hanging="561" w:firstLineChars="0"/>
        <w:rPr>
          <w:rFonts w:ascii="宋体" w:hAnsi="宋体"/>
          <w:sz w:val="24"/>
          <w:szCs w:val="24"/>
        </w:rPr>
      </w:pPr>
      <w:r>
        <w:rPr>
          <w:rFonts w:hint="eastAsia" w:ascii="宋体" w:hAnsi="宋体"/>
          <w:sz w:val="24"/>
          <w:szCs w:val="24"/>
          <w:lang w:val="en-US" w:eastAsia="zh-CN"/>
        </w:rPr>
        <w:t>二</w:t>
      </w:r>
      <w:r>
        <w:rPr>
          <w:rFonts w:hint="eastAsia" w:ascii="宋体" w:hAnsi="宋体"/>
          <w:sz w:val="24"/>
          <w:szCs w:val="24"/>
        </w:rPr>
        <w:t>、消防维保范围</w:t>
      </w:r>
    </w:p>
    <w:p w14:paraId="2FBBC966">
      <w:pPr>
        <w:spacing w:line="360" w:lineRule="auto"/>
        <w:ind w:firstLine="660" w:firstLineChars="275"/>
        <w:rPr>
          <w:rFonts w:ascii="宋体" w:hAnsi="宋体" w:cs="宋体"/>
          <w:sz w:val="24"/>
          <w:szCs w:val="24"/>
        </w:rPr>
      </w:pPr>
      <w:r>
        <w:rPr>
          <w:rFonts w:ascii="宋体" w:hAnsi="宋体" w:cs="宋体"/>
          <w:sz w:val="24"/>
          <w:szCs w:val="24"/>
        </w:rPr>
        <w:t>火灾自动报警系统、温、烟感智能模块、CRT系统、消防风机、风阀、防火卷帘系统（包括异形卷帘）、防火门监控、气体灭火系统、紧急广播及背景音乐系统、智能疏散、消防水泵、湿式报警阀、管道阀门、水炮系统以及所有消防控制柜及消防模块箱等维保相关内容</w:t>
      </w:r>
      <w:r>
        <w:rPr>
          <w:rFonts w:hint="eastAsia" w:ascii="宋体" w:hAnsi="宋体" w:cs="宋体"/>
          <w:sz w:val="24"/>
          <w:szCs w:val="24"/>
        </w:rPr>
        <w:t>。</w:t>
      </w:r>
    </w:p>
    <w:p w14:paraId="376FA668">
      <w:pPr>
        <w:spacing w:line="360" w:lineRule="auto"/>
        <w:ind w:firstLine="660" w:firstLineChars="275"/>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消控主机：清灰保养保养、配件维修更换、联动程序梳理；</w:t>
      </w:r>
    </w:p>
    <w:p w14:paraId="257EF449">
      <w:pPr>
        <w:spacing w:line="360" w:lineRule="auto"/>
        <w:ind w:firstLine="660" w:firstLineChars="275"/>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防火隔断：控制柜、电机、导轨、帘布、手动控制器保养，配件维修更换；</w:t>
      </w:r>
    </w:p>
    <w:p w14:paraId="34B69855">
      <w:pPr>
        <w:spacing w:line="360" w:lineRule="auto"/>
        <w:ind w:firstLine="660" w:firstLineChars="275"/>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模块点位：包括温感、烟感、手报、各种模块清灰保养，故障更换以及线路排查；</w:t>
      </w:r>
    </w:p>
    <w:p w14:paraId="4719F0DF">
      <w:pPr>
        <w:spacing w:line="360" w:lineRule="auto"/>
        <w:ind w:firstLine="660" w:firstLineChars="275"/>
        <w:rPr>
          <w:rFonts w:ascii="宋体" w:hAnsi="宋体" w:cs="宋体"/>
          <w:sz w:val="24"/>
          <w:szCs w:val="24"/>
        </w:rPr>
      </w:pPr>
      <w:r>
        <w:rPr>
          <w:rFonts w:hint="eastAsia" w:ascii="宋体" w:hAnsi="宋体" w:cs="宋体"/>
          <w:sz w:val="24"/>
          <w:szCs w:val="24"/>
        </w:rPr>
        <w:t>4．</w:t>
      </w:r>
      <w:r>
        <w:rPr>
          <w:rFonts w:ascii="宋体" w:hAnsi="宋体" w:cs="宋体"/>
          <w:sz w:val="24"/>
          <w:szCs w:val="24"/>
        </w:rPr>
        <w:t>消防水炮：水炮主机、监控、矩阵、硬盘现场设备、手动操作盘等设备保养，配件维修更换；</w:t>
      </w:r>
    </w:p>
    <w:p w14:paraId="64CAB451">
      <w:pPr>
        <w:spacing w:line="360" w:lineRule="auto"/>
        <w:ind w:firstLine="660" w:firstLineChars="275"/>
        <w:rPr>
          <w:rFonts w:ascii="宋体" w:hAnsi="宋体" w:cs="宋体"/>
          <w:sz w:val="24"/>
          <w:szCs w:val="24"/>
        </w:rPr>
      </w:pPr>
      <w:r>
        <w:rPr>
          <w:rFonts w:hint="eastAsia" w:ascii="宋体" w:hAnsi="宋体" w:cs="宋体"/>
          <w:sz w:val="24"/>
          <w:szCs w:val="24"/>
        </w:rPr>
        <w:t>5．</w:t>
      </w:r>
      <w:r>
        <w:rPr>
          <w:rFonts w:ascii="宋体" w:hAnsi="宋体" w:cs="宋体"/>
          <w:sz w:val="24"/>
          <w:szCs w:val="24"/>
        </w:rPr>
        <w:t>气体灭火：现场操作主机、气瓶、及附属警铃、声光报警等设备保养，配件维修更换</w:t>
      </w:r>
    </w:p>
    <w:p w14:paraId="232EEAB8">
      <w:pPr>
        <w:spacing w:line="360" w:lineRule="auto"/>
        <w:ind w:firstLine="660" w:firstLineChars="275"/>
        <w:rPr>
          <w:rFonts w:hint="eastAsia" w:ascii="宋体" w:hAnsi="宋体" w:cs="宋体"/>
          <w:sz w:val="24"/>
          <w:szCs w:val="24"/>
        </w:rPr>
      </w:pPr>
      <w:r>
        <w:rPr>
          <w:rFonts w:hint="eastAsia" w:ascii="宋体" w:hAnsi="宋体" w:cs="宋体"/>
          <w:sz w:val="24"/>
          <w:szCs w:val="24"/>
        </w:rPr>
        <w:t>6．</w:t>
      </w:r>
      <w:r>
        <w:rPr>
          <w:rFonts w:ascii="宋体" w:hAnsi="宋体" w:cs="宋体"/>
          <w:sz w:val="24"/>
          <w:szCs w:val="24"/>
        </w:rPr>
        <w:t xml:space="preserve">消防电话：电话机柜，现场电话分机测试、维修、更换； </w:t>
      </w:r>
    </w:p>
    <w:p w14:paraId="0EB04C66">
      <w:pPr>
        <w:spacing w:line="360" w:lineRule="auto"/>
        <w:ind w:firstLine="660" w:firstLineChars="275"/>
        <w:rPr>
          <w:rFonts w:hint="eastAsia" w:ascii="宋体" w:hAnsi="宋体" w:cs="宋体"/>
          <w:sz w:val="24"/>
          <w:szCs w:val="24"/>
        </w:rPr>
      </w:pPr>
      <w:r>
        <w:rPr>
          <w:rFonts w:hint="eastAsia" w:ascii="宋体" w:hAnsi="宋体" w:cs="宋体"/>
          <w:sz w:val="24"/>
          <w:szCs w:val="24"/>
        </w:rPr>
        <w:t>7．</w:t>
      </w:r>
      <w:r>
        <w:rPr>
          <w:rFonts w:ascii="宋体" w:hAnsi="宋体" w:cs="宋体"/>
          <w:sz w:val="24"/>
          <w:szCs w:val="24"/>
        </w:rPr>
        <w:t>报警系统：燃气探头智能模块清洗保养，事故风机连锁控制设备等保养。</w:t>
      </w:r>
    </w:p>
    <w:p w14:paraId="498A9079">
      <w:pPr>
        <w:spacing w:line="360" w:lineRule="auto"/>
        <w:ind w:firstLine="660" w:firstLineChars="275"/>
        <w:rPr>
          <w:rFonts w:ascii="宋体" w:hAnsi="宋体" w:cs="宋体"/>
          <w:sz w:val="24"/>
          <w:szCs w:val="24"/>
        </w:rPr>
      </w:pPr>
      <w:r>
        <w:rPr>
          <w:rFonts w:ascii="宋体" w:hAnsi="宋体" w:cs="宋体"/>
          <w:sz w:val="24"/>
          <w:szCs w:val="24"/>
        </w:rPr>
        <w:t>8</w:t>
      </w:r>
      <w:r>
        <w:rPr>
          <w:rFonts w:hint="eastAsia" w:ascii="宋体" w:hAnsi="宋体" w:cs="宋体"/>
          <w:sz w:val="24"/>
          <w:szCs w:val="24"/>
        </w:rPr>
        <w:t>．</w:t>
      </w:r>
      <w:r>
        <w:rPr>
          <w:rFonts w:ascii="宋体" w:hAnsi="宋体" w:cs="宋体"/>
          <w:sz w:val="24"/>
          <w:szCs w:val="24"/>
        </w:rPr>
        <w:t xml:space="preserve">CRT：机保养，图纸更新、完善； </w:t>
      </w:r>
    </w:p>
    <w:p w14:paraId="07E053FA">
      <w:pPr>
        <w:spacing w:line="360" w:lineRule="auto"/>
        <w:ind w:firstLine="660" w:firstLineChars="275"/>
        <w:rPr>
          <w:rFonts w:ascii="宋体" w:hAnsi="宋体" w:cs="宋体"/>
          <w:sz w:val="24"/>
          <w:szCs w:val="24"/>
        </w:rPr>
      </w:pPr>
      <w:r>
        <w:rPr>
          <w:rFonts w:hint="eastAsia" w:ascii="宋体" w:hAnsi="宋体" w:cs="宋体"/>
          <w:sz w:val="24"/>
          <w:szCs w:val="24"/>
        </w:rPr>
        <w:t>9．</w:t>
      </w:r>
      <w:r>
        <w:rPr>
          <w:rFonts w:ascii="宋体" w:hAnsi="宋体" w:cs="宋体"/>
          <w:sz w:val="24"/>
          <w:szCs w:val="24"/>
        </w:rPr>
        <w:t>背景音乐：背景音乐主机、功放、监听、现场广播等设备清洁除尘，设备维修更换；</w:t>
      </w:r>
    </w:p>
    <w:p w14:paraId="6D60E2F6">
      <w:pPr>
        <w:spacing w:line="360" w:lineRule="auto"/>
        <w:ind w:firstLine="660" w:firstLineChars="275"/>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w:t>
      </w:r>
      <w:r>
        <w:rPr>
          <w:rFonts w:ascii="宋体" w:hAnsi="宋体" w:cs="宋体"/>
          <w:sz w:val="24"/>
          <w:szCs w:val="24"/>
        </w:rPr>
        <w:t>消防风机：对风机本体保养，控制柜线路检查，对多线控制、总线控制、风阀、执行机构等设备的维修更换及线路排查；</w:t>
      </w:r>
    </w:p>
    <w:p w14:paraId="70293575">
      <w:pPr>
        <w:spacing w:line="360" w:lineRule="auto"/>
        <w:ind w:firstLine="660" w:firstLineChars="275"/>
        <w:rPr>
          <w:rFonts w:ascii="宋体" w:hAnsi="宋体" w:cs="宋体"/>
          <w:sz w:val="24"/>
          <w:szCs w:val="24"/>
        </w:rPr>
      </w:pP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消防泵房：对水泵本体保养，控制柜线路检查，对属消防电方面的多线控制、总线控制、水流指示器、压力开关、信号蝶阀、等设备的维修更换及线路排查；</w:t>
      </w:r>
    </w:p>
    <w:p w14:paraId="60C16695">
      <w:pPr>
        <w:pStyle w:val="2"/>
        <w:spacing w:before="0" w:after="0" w:line="360" w:lineRule="auto"/>
        <w:ind w:left="561" w:hanging="561" w:firstLineChars="0"/>
        <w:rPr>
          <w:rFonts w:ascii="宋体" w:hAnsi="宋体"/>
          <w:sz w:val="24"/>
          <w:szCs w:val="24"/>
        </w:rPr>
      </w:pPr>
      <w:r>
        <w:rPr>
          <w:rFonts w:hint="eastAsia" w:ascii="宋体" w:hAnsi="宋体"/>
          <w:sz w:val="24"/>
          <w:szCs w:val="24"/>
          <w:lang w:val="en-US" w:eastAsia="zh-CN"/>
        </w:rPr>
        <w:t>三</w:t>
      </w:r>
      <w:r>
        <w:rPr>
          <w:rFonts w:hint="eastAsia" w:ascii="宋体" w:hAnsi="宋体"/>
          <w:sz w:val="24"/>
          <w:szCs w:val="24"/>
        </w:rPr>
        <w:t>、消防系统维保内容及标准</w:t>
      </w:r>
    </w:p>
    <w:p w14:paraId="62093A2C">
      <w:pPr>
        <w:spacing w:line="360" w:lineRule="auto"/>
        <w:ind w:firstLine="660" w:firstLineChars="275"/>
        <w:rPr>
          <w:rFonts w:ascii="宋体" w:hAnsi="宋体" w:cs="宋体"/>
          <w:sz w:val="24"/>
          <w:szCs w:val="24"/>
        </w:rPr>
      </w:pPr>
      <w:r>
        <w:rPr>
          <w:rFonts w:hint="eastAsia" w:ascii="宋体" w:hAnsi="宋体" w:cs="宋体"/>
          <w:sz w:val="24"/>
          <w:szCs w:val="24"/>
        </w:rPr>
        <w:t>1．火灾自动报警系统</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5191"/>
        <w:gridCol w:w="2199"/>
      </w:tblGrid>
      <w:tr w14:paraId="62E8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242" w:type="dxa"/>
            <w:noWrap w:val="0"/>
            <w:vAlign w:val="center"/>
          </w:tcPr>
          <w:p w14:paraId="71C478F4">
            <w:pPr>
              <w:kinsoku w:val="0"/>
              <w:overflowPunct w:val="0"/>
              <w:autoSpaceDE w:val="0"/>
              <w:autoSpaceDN w:val="0"/>
              <w:adjustRightInd w:val="0"/>
              <w:snapToGrid w:val="0"/>
              <w:spacing w:line="0" w:lineRule="atLeast"/>
              <w:ind w:firstLine="0" w:firstLineChars="0"/>
              <w:jc w:val="center"/>
              <w:rPr>
                <w:rFonts w:hint="eastAsia" w:ascii="宋体" w:hAnsi="宋体" w:cs="宋体"/>
                <w:b/>
                <w:sz w:val="22"/>
              </w:rPr>
            </w:pPr>
            <w:r>
              <w:rPr>
                <w:rFonts w:ascii="宋体" w:hAnsi="宋体" w:cs="宋体"/>
                <w:b/>
                <w:sz w:val="22"/>
              </w:rPr>
              <w:t>项目</w:t>
            </w:r>
          </w:p>
        </w:tc>
        <w:tc>
          <w:tcPr>
            <w:tcW w:w="6096" w:type="dxa"/>
            <w:noWrap w:val="0"/>
            <w:vAlign w:val="center"/>
          </w:tcPr>
          <w:p w14:paraId="1BB4963E">
            <w:pPr>
              <w:kinsoku w:val="0"/>
              <w:overflowPunct w:val="0"/>
              <w:autoSpaceDE w:val="0"/>
              <w:autoSpaceDN w:val="0"/>
              <w:adjustRightInd w:val="0"/>
              <w:snapToGrid w:val="0"/>
              <w:spacing w:line="0" w:lineRule="atLeast"/>
              <w:ind w:firstLine="0" w:firstLineChars="0"/>
              <w:jc w:val="center"/>
              <w:rPr>
                <w:rFonts w:hint="eastAsia" w:ascii="宋体" w:hAnsi="宋体" w:cs="宋体"/>
                <w:b/>
                <w:sz w:val="22"/>
              </w:rPr>
            </w:pPr>
            <w:r>
              <w:rPr>
                <w:rFonts w:ascii="宋体" w:hAnsi="宋体" w:cs="宋体"/>
                <w:b/>
                <w:sz w:val="22"/>
              </w:rPr>
              <w:t>维修保养检查内容及频次</w:t>
            </w:r>
          </w:p>
        </w:tc>
        <w:tc>
          <w:tcPr>
            <w:tcW w:w="2516" w:type="dxa"/>
            <w:noWrap w:val="0"/>
            <w:vAlign w:val="center"/>
          </w:tcPr>
          <w:p w14:paraId="5A3D1860">
            <w:pPr>
              <w:kinsoku w:val="0"/>
              <w:overflowPunct w:val="0"/>
              <w:autoSpaceDE w:val="0"/>
              <w:autoSpaceDN w:val="0"/>
              <w:adjustRightInd w:val="0"/>
              <w:snapToGrid w:val="0"/>
              <w:spacing w:line="0" w:lineRule="atLeast"/>
              <w:ind w:firstLine="0" w:firstLineChars="0"/>
              <w:jc w:val="center"/>
              <w:rPr>
                <w:rFonts w:hint="eastAsia" w:ascii="宋体" w:hAnsi="宋体" w:cs="宋体"/>
                <w:b/>
                <w:sz w:val="22"/>
              </w:rPr>
            </w:pPr>
            <w:r>
              <w:rPr>
                <w:rFonts w:ascii="宋体" w:hAnsi="宋体" w:cs="宋体"/>
                <w:b/>
                <w:sz w:val="22"/>
              </w:rPr>
              <w:t>标准</w:t>
            </w:r>
          </w:p>
        </w:tc>
      </w:tr>
      <w:tr w14:paraId="76B6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64862C8E">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火灾报警控制器</w:t>
            </w:r>
          </w:p>
        </w:tc>
        <w:tc>
          <w:tcPr>
            <w:tcW w:w="6096" w:type="dxa"/>
            <w:noWrap w:val="0"/>
            <w:vAlign w:val="center"/>
          </w:tcPr>
          <w:p w14:paraId="3FF7062A">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对火灾报警控制器做外观检查，清除积尘和异物，紧固接线；检查控制器运行有无过 热、异常噪音的现象；检测火灾报警功能、消音复位功能、故障报警功能、火灾优先功能、显示与记录打印功能、自检功能、隔离（屏蔽）功能，对程序进行备份并有检查保养记录</w:t>
            </w:r>
            <w:r>
              <w:rPr>
                <w:rFonts w:hint="eastAsia" w:ascii="宋体" w:hAnsi="宋体" w:cs="宋体"/>
                <w:bCs/>
                <w:sz w:val="22"/>
              </w:rPr>
              <w:t>，</w:t>
            </w:r>
            <w:r>
              <w:rPr>
                <w:rFonts w:ascii="宋体" w:hAnsi="宋体" w:cs="宋体"/>
                <w:bCs/>
                <w:sz w:val="22"/>
              </w:rPr>
              <w:t>每月1次</w:t>
            </w:r>
            <w:r>
              <w:rPr>
                <w:rFonts w:hint="eastAsia" w:ascii="宋体" w:hAnsi="宋体" w:cs="宋体"/>
                <w:bCs/>
                <w:sz w:val="22"/>
              </w:rPr>
              <w:t>。</w:t>
            </w:r>
          </w:p>
        </w:tc>
        <w:tc>
          <w:tcPr>
            <w:tcW w:w="2516" w:type="dxa"/>
            <w:noWrap w:val="0"/>
            <w:vAlign w:val="center"/>
          </w:tcPr>
          <w:p w14:paraId="56D9747B">
            <w:pPr>
              <w:kinsoku w:val="0"/>
              <w:overflowPunct w:val="0"/>
              <w:autoSpaceDE w:val="0"/>
              <w:autoSpaceDN w:val="0"/>
              <w:adjustRightInd w:val="0"/>
              <w:snapToGrid w:val="0"/>
              <w:spacing w:line="0" w:lineRule="atLeast"/>
              <w:ind w:firstLine="0" w:firstLineChars="0"/>
              <w:rPr>
                <w:rFonts w:hint="eastAsia" w:ascii="宋体" w:hAnsi="宋体" w:cs="宋体"/>
                <w:bCs/>
                <w:sz w:val="22"/>
              </w:rPr>
            </w:pPr>
            <w:r>
              <w:rPr>
                <w:rFonts w:ascii="宋体" w:hAnsi="宋体" w:cs="宋体"/>
                <w:bCs/>
                <w:sz w:val="22"/>
              </w:rPr>
              <w:t>系统运行正常无故障，接线牢固、各功能键控制灵活，控制箱内清洁、无积尘，标识清晰。</w:t>
            </w:r>
          </w:p>
        </w:tc>
      </w:tr>
      <w:tr w14:paraId="3E79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6DDFB326">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图文中心工作站</w:t>
            </w:r>
          </w:p>
        </w:tc>
        <w:tc>
          <w:tcPr>
            <w:tcW w:w="6096" w:type="dxa"/>
            <w:noWrap w:val="0"/>
            <w:vAlign w:val="center"/>
          </w:tcPr>
          <w:p w14:paraId="1B9B0BF3">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对系统自检，清洁除尘、打印运行报告，查看工作站操作系统运行情况</w:t>
            </w:r>
            <w:r>
              <w:rPr>
                <w:rFonts w:hint="eastAsia" w:ascii="宋体" w:hAnsi="宋体" w:cs="宋体"/>
                <w:bCs/>
                <w:sz w:val="22"/>
              </w:rPr>
              <w:t>，</w:t>
            </w:r>
            <w:r>
              <w:rPr>
                <w:rFonts w:ascii="宋体" w:hAnsi="宋体" w:cs="宋体"/>
                <w:bCs/>
                <w:sz w:val="22"/>
              </w:rPr>
              <w:t>每月1次</w:t>
            </w:r>
            <w:r>
              <w:rPr>
                <w:rFonts w:hint="eastAsia" w:ascii="宋体" w:hAnsi="宋体" w:cs="宋体"/>
                <w:bCs/>
                <w:sz w:val="22"/>
              </w:rPr>
              <w:t>。</w:t>
            </w:r>
          </w:p>
        </w:tc>
        <w:tc>
          <w:tcPr>
            <w:tcW w:w="2516" w:type="dxa"/>
            <w:noWrap w:val="0"/>
            <w:vAlign w:val="center"/>
          </w:tcPr>
          <w:p w14:paraId="5012B195">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工作站报警主机通讯正常，工作站无故障，正确显示每一个消防设备所在位置。</w:t>
            </w:r>
          </w:p>
        </w:tc>
      </w:tr>
      <w:tr w14:paraId="3F23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24A0D0EB">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智能模块箱</w:t>
            </w:r>
          </w:p>
        </w:tc>
        <w:tc>
          <w:tcPr>
            <w:tcW w:w="6096" w:type="dxa"/>
            <w:noWrap w:val="0"/>
            <w:vAlign w:val="center"/>
          </w:tcPr>
          <w:p w14:paraId="28A8D757">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对模块箱做外观检查，清除积尘和异物、紧固；检查模块端子接线有无异常</w:t>
            </w:r>
            <w:r>
              <w:rPr>
                <w:rFonts w:hint="eastAsia" w:ascii="宋体" w:hAnsi="宋体" w:cs="宋体"/>
                <w:bCs/>
                <w:sz w:val="22"/>
              </w:rPr>
              <w:t>，</w:t>
            </w:r>
            <w:r>
              <w:rPr>
                <w:rFonts w:ascii="宋体" w:hAnsi="宋体" w:cs="宋体"/>
                <w:bCs/>
                <w:sz w:val="22"/>
              </w:rPr>
              <w:t>每季度 1 次</w:t>
            </w:r>
            <w:r>
              <w:rPr>
                <w:rFonts w:hint="eastAsia" w:ascii="宋体" w:hAnsi="宋体" w:cs="宋体"/>
                <w:bCs/>
                <w:sz w:val="22"/>
              </w:rPr>
              <w:t>。</w:t>
            </w:r>
          </w:p>
        </w:tc>
        <w:tc>
          <w:tcPr>
            <w:tcW w:w="2516" w:type="dxa"/>
            <w:noWrap w:val="0"/>
            <w:vAlign w:val="center"/>
          </w:tcPr>
          <w:p w14:paraId="2193FEDF">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智能模块工作正常，接线牢固、整洁、无故障、无积尘，标识清晰。</w:t>
            </w:r>
          </w:p>
        </w:tc>
      </w:tr>
      <w:tr w14:paraId="5E96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9B29240">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烟/温感</w:t>
            </w:r>
          </w:p>
        </w:tc>
        <w:tc>
          <w:tcPr>
            <w:tcW w:w="6096" w:type="dxa"/>
            <w:noWrap w:val="0"/>
            <w:vAlign w:val="center"/>
          </w:tcPr>
          <w:p w14:paraId="14004DAA">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对烟/温感做外观检查，清洗或清除积尘和异物；对烟/温感报警设备做检测</w:t>
            </w:r>
            <w:r>
              <w:rPr>
                <w:rFonts w:hint="eastAsia" w:ascii="宋体" w:hAnsi="宋体" w:cs="宋体"/>
                <w:bCs/>
                <w:sz w:val="22"/>
              </w:rPr>
              <w:t>，</w:t>
            </w:r>
            <w:r>
              <w:rPr>
                <w:rFonts w:ascii="宋体" w:hAnsi="宋体" w:cs="宋体"/>
                <w:bCs/>
                <w:sz w:val="22"/>
              </w:rPr>
              <w:t>每月测试，</w:t>
            </w:r>
            <w:r>
              <w:rPr>
                <w:rFonts w:hint="eastAsia" w:ascii="宋体" w:hAnsi="宋体" w:cs="宋体"/>
                <w:bCs/>
                <w:sz w:val="22"/>
              </w:rPr>
              <w:t>年度</w:t>
            </w:r>
            <w:r>
              <w:rPr>
                <w:rFonts w:ascii="宋体" w:hAnsi="宋体" w:cs="宋体"/>
                <w:bCs/>
                <w:sz w:val="22"/>
              </w:rPr>
              <w:t>全覆盖。</w:t>
            </w:r>
          </w:p>
        </w:tc>
        <w:tc>
          <w:tcPr>
            <w:tcW w:w="2516" w:type="dxa"/>
            <w:noWrap w:val="0"/>
            <w:vAlign w:val="center"/>
          </w:tcPr>
          <w:p w14:paraId="3CBBEDB8">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探测器工作正常，接线牢固、无故障。</w:t>
            </w:r>
          </w:p>
        </w:tc>
      </w:tr>
      <w:tr w14:paraId="4677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694EFB3E">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消防电话</w:t>
            </w:r>
          </w:p>
        </w:tc>
        <w:tc>
          <w:tcPr>
            <w:tcW w:w="6096" w:type="dxa"/>
            <w:noWrap w:val="0"/>
            <w:vAlign w:val="center"/>
          </w:tcPr>
          <w:p w14:paraId="5EF64D96">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检查现场消防电话与电话主机通话是否正 常，清洁、紧固接线，对地电阻测试</w:t>
            </w:r>
            <w:r>
              <w:rPr>
                <w:rFonts w:hint="eastAsia" w:ascii="宋体" w:hAnsi="宋体" w:cs="宋体"/>
                <w:bCs/>
                <w:sz w:val="22"/>
              </w:rPr>
              <w:t>，</w:t>
            </w:r>
            <w:r>
              <w:rPr>
                <w:rFonts w:ascii="宋体" w:hAnsi="宋体" w:cs="宋体"/>
                <w:bCs/>
                <w:sz w:val="22"/>
              </w:rPr>
              <w:t>每</w:t>
            </w:r>
            <w:r>
              <w:rPr>
                <w:rFonts w:hint="eastAsia" w:ascii="宋体" w:hAnsi="宋体" w:cs="宋体"/>
                <w:bCs/>
                <w:sz w:val="22"/>
              </w:rPr>
              <w:t>月</w:t>
            </w:r>
            <w:r>
              <w:rPr>
                <w:rFonts w:ascii="宋体" w:hAnsi="宋体" w:cs="宋体"/>
                <w:bCs/>
                <w:sz w:val="22"/>
              </w:rPr>
              <w:t xml:space="preserve"> 1 次 </w:t>
            </w:r>
            <w:r>
              <w:rPr>
                <w:rFonts w:hint="eastAsia" w:ascii="宋体" w:hAnsi="宋体" w:cs="宋体"/>
                <w:bCs/>
                <w:sz w:val="22"/>
              </w:rPr>
              <w:t>。</w:t>
            </w:r>
          </w:p>
        </w:tc>
        <w:tc>
          <w:tcPr>
            <w:tcW w:w="2516" w:type="dxa"/>
            <w:noWrap w:val="0"/>
            <w:vAlign w:val="center"/>
          </w:tcPr>
          <w:p w14:paraId="0EE65556">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接线牢固、通话声音清晰无杂音。</w:t>
            </w:r>
          </w:p>
        </w:tc>
      </w:tr>
      <w:tr w14:paraId="4C8B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1A0D7051">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手动报警按钮</w:t>
            </w:r>
          </w:p>
        </w:tc>
        <w:tc>
          <w:tcPr>
            <w:tcW w:w="6096" w:type="dxa"/>
            <w:noWrap w:val="0"/>
            <w:vAlign w:val="center"/>
          </w:tcPr>
          <w:p w14:paraId="1428544B">
            <w:pPr>
              <w:pStyle w:val="25"/>
              <w:spacing w:line="0" w:lineRule="atLeast"/>
              <w:ind w:left="124"/>
              <w:rPr>
                <w:bCs/>
                <w:kern w:val="2"/>
                <w:lang w:val="en-US" w:bidi="ar-SA"/>
              </w:rPr>
            </w:pPr>
            <w:r>
              <w:rPr>
                <w:bCs/>
                <w:kern w:val="2"/>
                <w:lang w:val="en-US" w:bidi="ar-SA"/>
              </w:rPr>
              <w:t>对手动报警按钮做外观检查，清除积尘和异</w:t>
            </w:r>
          </w:p>
          <w:p w14:paraId="55AFEDD8">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物，紧固接线，对地电阻测试和回路电阻测试，报警功能测试</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2516" w:type="dxa"/>
            <w:noWrap w:val="0"/>
            <w:vAlign w:val="center"/>
          </w:tcPr>
          <w:p w14:paraId="6AD72769">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手动报警按钮工作正常，接线牢固、无故障。</w:t>
            </w:r>
          </w:p>
        </w:tc>
      </w:tr>
      <w:tr w14:paraId="50A7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1ED88F56">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警铃</w:t>
            </w:r>
          </w:p>
        </w:tc>
        <w:tc>
          <w:tcPr>
            <w:tcW w:w="6096" w:type="dxa"/>
            <w:noWrap w:val="0"/>
            <w:vAlign w:val="center"/>
          </w:tcPr>
          <w:p w14:paraId="47E75A8E">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对警铃做外观检查，清除积尘和异物，紧固接线；对警铃进行测试，警铃响声是否正常</w:t>
            </w:r>
            <w:r>
              <w:rPr>
                <w:rFonts w:hint="eastAsia" w:ascii="宋体" w:hAnsi="宋体" w:cs="宋体"/>
                <w:bCs/>
                <w:sz w:val="22"/>
              </w:rPr>
              <w:t>，</w:t>
            </w:r>
            <w:r>
              <w:rPr>
                <w:rFonts w:ascii="宋体" w:hAnsi="宋体" w:cs="宋体"/>
                <w:bCs/>
                <w:sz w:val="22"/>
              </w:rPr>
              <w:t>每月 1 次</w:t>
            </w:r>
            <w:r>
              <w:rPr>
                <w:rFonts w:hint="eastAsia" w:ascii="宋体" w:hAnsi="宋体" w:cs="宋体"/>
                <w:bCs/>
                <w:sz w:val="22"/>
              </w:rPr>
              <w:t>。</w:t>
            </w:r>
          </w:p>
        </w:tc>
        <w:tc>
          <w:tcPr>
            <w:tcW w:w="2516" w:type="dxa"/>
            <w:noWrap w:val="0"/>
            <w:vAlign w:val="center"/>
          </w:tcPr>
          <w:p w14:paraId="2DF2130B">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警铃工作正常，接线牢固、无故障。</w:t>
            </w:r>
          </w:p>
        </w:tc>
      </w:tr>
      <w:tr w14:paraId="710F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4AAAE61C">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主机供电</w:t>
            </w:r>
          </w:p>
        </w:tc>
        <w:tc>
          <w:tcPr>
            <w:tcW w:w="6096" w:type="dxa"/>
            <w:noWrap w:val="0"/>
            <w:vAlign w:val="center"/>
          </w:tcPr>
          <w:p w14:paraId="49BF2B6C">
            <w:pPr>
              <w:kinsoku w:val="0"/>
              <w:overflowPunct w:val="0"/>
              <w:autoSpaceDE w:val="0"/>
              <w:autoSpaceDN w:val="0"/>
              <w:adjustRightInd w:val="0"/>
              <w:snapToGrid w:val="0"/>
              <w:spacing w:line="0" w:lineRule="atLeast"/>
              <w:ind w:firstLine="0" w:firstLineChars="0"/>
              <w:jc w:val="left"/>
              <w:rPr>
                <w:rFonts w:ascii="宋体" w:hAnsi="宋体" w:cs="宋体"/>
                <w:bCs/>
                <w:sz w:val="22"/>
              </w:rPr>
            </w:pPr>
            <w:r>
              <w:rPr>
                <w:rFonts w:ascii="宋体" w:hAnsi="宋体" w:cs="宋体"/>
                <w:bCs/>
                <w:sz w:val="22"/>
              </w:rPr>
              <w:t>检查电源盘、电池性能，检查主备电源切换功能、接线端子连接牢固情况，检查供电部分电压及电池供电是否正常</w:t>
            </w:r>
            <w:r>
              <w:rPr>
                <w:rFonts w:hint="eastAsia" w:ascii="宋体" w:hAnsi="宋体" w:cs="宋体"/>
                <w:bCs/>
                <w:sz w:val="22"/>
              </w:rPr>
              <w:t>，</w:t>
            </w:r>
            <w:r>
              <w:rPr>
                <w:rFonts w:ascii="宋体" w:hAnsi="宋体" w:cs="宋体"/>
                <w:bCs/>
                <w:sz w:val="22"/>
              </w:rPr>
              <w:t>每月 1 次</w:t>
            </w:r>
          </w:p>
        </w:tc>
        <w:tc>
          <w:tcPr>
            <w:tcW w:w="2516" w:type="dxa"/>
            <w:noWrap w:val="0"/>
            <w:vAlign w:val="center"/>
          </w:tcPr>
          <w:p w14:paraId="61ACAAA7">
            <w:pPr>
              <w:kinsoku w:val="0"/>
              <w:overflowPunct w:val="0"/>
              <w:autoSpaceDE w:val="0"/>
              <w:autoSpaceDN w:val="0"/>
              <w:adjustRightInd w:val="0"/>
              <w:snapToGrid w:val="0"/>
              <w:spacing w:line="0" w:lineRule="atLeast"/>
              <w:ind w:firstLine="0" w:firstLineChars="0"/>
              <w:rPr>
                <w:rFonts w:ascii="宋体" w:hAnsi="宋体" w:cs="宋体"/>
                <w:bCs/>
                <w:sz w:val="22"/>
              </w:rPr>
            </w:pPr>
            <w:r>
              <w:rPr>
                <w:rFonts w:ascii="宋体" w:hAnsi="宋体" w:cs="宋体"/>
                <w:bCs/>
                <w:sz w:val="22"/>
              </w:rPr>
              <w:t>接线牢固、供电正常可靠。</w:t>
            </w:r>
          </w:p>
        </w:tc>
      </w:tr>
      <w:tr w14:paraId="591D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E17619C">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记录</w:t>
            </w:r>
          </w:p>
        </w:tc>
        <w:tc>
          <w:tcPr>
            <w:tcW w:w="6096" w:type="dxa"/>
            <w:noWrap w:val="0"/>
            <w:vAlign w:val="center"/>
          </w:tcPr>
          <w:p w14:paraId="1687418B">
            <w:pPr>
              <w:kinsoku w:val="0"/>
              <w:overflowPunct w:val="0"/>
              <w:autoSpaceDE w:val="0"/>
              <w:autoSpaceDN w:val="0"/>
              <w:adjustRightInd w:val="0"/>
              <w:snapToGrid w:val="0"/>
              <w:spacing w:line="0" w:lineRule="atLeast"/>
              <w:ind w:firstLine="0" w:firstLineChars="0"/>
              <w:jc w:val="left"/>
              <w:rPr>
                <w:rFonts w:ascii="宋体" w:hAnsi="宋体" w:cs="宋体"/>
                <w:bCs/>
                <w:sz w:val="22"/>
              </w:rPr>
            </w:pPr>
            <w:r>
              <w:rPr>
                <w:rFonts w:ascii="宋体" w:hAnsi="宋体" w:cs="宋体"/>
                <w:bCs/>
                <w:sz w:val="22"/>
              </w:rPr>
              <w:t>对火灾自动报警系统维修保养记录。</w:t>
            </w:r>
          </w:p>
        </w:tc>
        <w:tc>
          <w:tcPr>
            <w:tcW w:w="2516" w:type="dxa"/>
            <w:noWrap w:val="0"/>
            <w:vAlign w:val="center"/>
          </w:tcPr>
          <w:p w14:paraId="4BD43B65">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记录及时、完整。</w:t>
            </w:r>
          </w:p>
        </w:tc>
      </w:tr>
    </w:tbl>
    <w:p w14:paraId="5527EA54">
      <w:pPr>
        <w:kinsoku w:val="0"/>
        <w:overflowPunct w:val="0"/>
        <w:autoSpaceDE w:val="0"/>
        <w:autoSpaceDN w:val="0"/>
        <w:adjustRightInd w:val="0"/>
        <w:snapToGrid w:val="0"/>
        <w:spacing w:line="276" w:lineRule="auto"/>
        <w:ind w:firstLine="560"/>
        <w:rPr>
          <w:rFonts w:hint="eastAsia" w:ascii="宋体" w:hAnsi="宋体" w:cs="宋体"/>
          <w:bCs/>
          <w:sz w:val="28"/>
          <w:szCs w:val="28"/>
        </w:rPr>
      </w:pPr>
    </w:p>
    <w:p w14:paraId="233356CF">
      <w:pPr>
        <w:spacing w:line="360" w:lineRule="auto"/>
        <w:ind w:firstLine="660" w:firstLineChars="275"/>
        <w:rPr>
          <w:rFonts w:ascii="宋体" w:hAnsi="宋体" w:cs="宋体"/>
          <w:sz w:val="24"/>
          <w:szCs w:val="24"/>
        </w:rPr>
      </w:pPr>
      <w:r>
        <w:rPr>
          <w:rFonts w:hint="eastAsia" w:ascii="宋体" w:hAnsi="宋体" w:cs="宋体"/>
          <w:sz w:val="24"/>
          <w:szCs w:val="24"/>
        </w:rPr>
        <w:t>2．联动控制系统及主要设备要求</w:t>
      </w: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096"/>
        <w:gridCol w:w="2551"/>
      </w:tblGrid>
      <w:tr w14:paraId="7E79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noWrap w:val="0"/>
            <w:vAlign w:val="center"/>
          </w:tcPr>
          <w:p w14:paraId="131CD4A3">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
                <w:sz w:val="22"/>
              </w:rPr>
              <w:t>项目</w:t>
            </w:r>
          </w:p>
        </w:tc>
        <w:tc>
          <w:tcPr>
            <w:tcW w:w="6096" w:type="dxa"/>
            <w:noWrap w:val="0"/>
            <w:vAlign w:val="center"/>
          </w:tcPr>
          <w:p w14:paraId="498B2796">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
                <w:sz w:val="22"/>
              </w:rPr>
              <w:t>维修保养检查内容及频次</w:t>
            </w:r>
          </w:p>
        </w:tc>
        <w:tc>
          <w:tcPr>
            <w:tcW w:w="2551" w:type="dxa"/>
            <w:noWrap w:val="0"/>
            <w:vAlign w:val="center"/>
          </w:tcPr>
          <w:p w14:paraId="31B7437B">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
                <w:sz w:val="22"/>
              </w:rPr>
              <w:t>标准</w:t>
            </w:r>
          </w:p>
        </w:tc>
      </w:tr>
      <w:tr w14:paraId="6D3E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56AB64D">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联动程序</w:t>
            </w:r>
          </w:p>
        </w:tc>
        <w:tc>
          <w:tcPr>
            <w:tcW w:w="6096" w:type="dxa"/>
            <w:noWrap w:val="0"/>
            <w:vAlign w:val="center"/>
          </w:tcPr>
          <w:p w14:paraId="542A3C14">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在探测器报警后，检查测试火警联动设备是否按正确指令打开</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2551" w:type="dxa"/>
            <w:noWrap w:val="0"/>
            <w:vAlign w:val="center"/>
          </w:tcPr>
          <w:p w14:paraId="59ADF766">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在收到探测器报警信号 后，程序能正确联动相关设备，并能正常显示联动</w:t>
            </w:r>
          </w:p>
          <w:p w14:paraId="44DE7EFC">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关系。</w:t>
            </w:r>
          </w:p>
        </w:tc>
      </w:tr>
      <w:tr w14:paraId="19CD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7E8DB93">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联动型火灾报警控制器</w:t>
            </w:r>
          </w:p>
        </w:tc>
        <w:tc>
          <w:tcPr>
            <w:tcW w:w="6096" w:type="dxa"/>
            <w:noWrap w:val="0"/>
            <w:vAlign w:val="center"/>
          </w:tcPr>
          <w:p w14:paraId="52B54D33">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对联动型火灾报警控制器清洁除尘、紧固所有接线端，更换生锈螺丝，对所联动设备进行点动启动测试。联动 24V 电源检测，线路回路电阻和对地电阻测试</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2551" w:type="dxa"/>
            <w:noWrap w:val="0"/>
            <w:vAlign w:val="center"/>
          </w:tcPr>
          <w:p w14:paraId="350D28E6">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联动型火灾报警控制器运行正常，连线</w:t>
            </w:r>
            <w:r>
              <w:rPr>
                <w:rFonts w:hint="eastAsia" w:ascii="宋体" w:hAnsi="宋体" w:cs="宋体"/>
                <w:bCs/>
                <w:sz w:val="22"/>
              </w:rPr>
              <w:t>牢</w:t>
            </w:r>
            <w:r>
              <w:rPr>
                <w:rFonts w:ascii="宋体" w:hAnsi="宋体" w:cs="宋体"/>
                <w:bCs/>
                <w:sz w:val="22"/>
              </w:rPr>
              <w:t>固、应答正 确，如：能直接启动风机、迫降卷帘与电梯等。</w:t>
            </w:r>
          </w:p>
        </w:tc>
      </w:tr>
      <w:tr w14:paraId="6987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70C00919">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联动启动喷淋水泵</w:t>
            </w:r>
          </w:p>
        </w:tc>
        <w:tc>
          <w:tcPr>
            <w:tcW w:w="6096" w:type="dxa"/>
            <w:noWrap w:val="0"/>
            <w:vAlign w:val="center"/>
          </w:tcPr>
          <w:p w14:paraId="6A6B0579">
            <w:pPr>
              <w:pStyle w:val="25"/>
              <w:spacing w:before="1" w:line="0" w:lineRule="atLeast"/>
              <w:ind w:left="124"/>
              <w:jc w:val="center"/>
              <w:rPr>
                <w:rFonts w:hint="eastAsia"/>
                <w:bCs/>
                <w:kern w:val="2"/>
                <w:lang w:val="en-US" w:bidi="ar-SA"/>
              </w:rPr>
            </w:pPr>
            <w:r>
              <w:rPr>
                <w:bCs/>
                <w:kern w:val="2"/>
                <w:lang w:val="en-US" w:bidi="ar-SA"/>
              </w:rPr>
              <w:t>检查喷淋水泵与消防的联动功能（注意水泵</w:t>
            </w:r>
            <w:r>
              <w:rPr>
                <w:bCs/>
              </w:rPr>
              <w:t>房留 1 人观察水压，点动即可）每</w:t>
            </w:r>
            <w:r>
              <w:rPr>
                <w:rFonts w:hint="eastAsia"/>
                <w:bCs/>
                <w:lang w:val="en-US"/>
              </w:rPr>
              <w:t>季度</w:t>
            </w:r>
            <w:r>
              <w:rPr>
                <w:bCs/>
              </w:rPr>
              <w:t xml:space="preserve"> 1 次</w:t>
            </w:r>
            <w:r>
              <w:rPr>
                <w:rFonts w:hint="eastAsia"/>
                <w:bCs/>
              </w:rPr>
              <w:t>。</w:t>
            </w:r>
          </w:p>
        </w:tc>
        <w:tc>
          <w:tcPr>
            <w:tcW w:w="2551" w:type="dxa"/>
            <w:noWrap w:val="0"/>
            <w:vAlign w:val="center"/>
          </w:tcPr>
          <w:p w14:paraId="33537D45">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功能正常、运行可靠。</w:t>
            </w:r>
          </w:p>
        </w:tc>
      </w:tr>
      <w:tr w14:paraId="22F8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15F83D78">
            <w:pPr>
              <w:kinsoku w:val="0"/>
              <w:overflowPunct w:val="0"/>
              <w:autoSpaceDE w:val="0"/>
              <w:autoSpaceDN w:val="0"/>
              <w:adjustRightInd w:val="0"/>
              <w:snapToGrid w:val="0"/>
              <w:spacing w:line="276" w:lineRule="auto"/>
              <w:ind w:firstLine="0" w:firstLineChars="0"/>
              <w:jc w:val="center"/>
              <w:rPr>
                <w:rFonts w:hint="eastAsia" w:ascii="宋体" w:hAnsi="宋体" w:cs="宋体"/>
                <w:bCs/>
                <w:sz w:val="28"/>
                <w:szCs w:val="28"/>
              </w:rPr>
            </w:pPr>
            <w:r>
              <w:t>联动启动送、排风机</w:t>
            </w:r>
          </w:p>
        </w:tc>
        <w:tc>
          <w:tcPr>
            <w:tcW w:w="6096" w:type="dxa"/>
            <w:noWrap w:val="0"/>
            <w:vAlign w:val="center"/>
          </w:tcPr>
          <w:p w14:paraId="0334FBFA">
            <w:pPr>
              <w:kinsoku w:val="0"/>
              <w:overflowPunct w:val="0"/>
              <w:autoSpaceDE w:val="0"/>
              <w:autoSpaceDN w:val="0"/>
              <w:adjustRightInd w:val="0"/>
              <w:snapToGrid w:val="0"/>
              <w:spacing w:line="276" w:lineRule="auto"/>
              <w:ind w:firstLine="0" w:firstLineChars="0"/>
              <w:jc w:val="center"/>
              <w:rPr>
                <w:rFonts w:hint="eastAsia" w:ascii="宋体" w:hAnsi="宋体" w:cs="宋体"/>
                <w:bCs/>
                <w:sz w:val="28"/>
                <w:szCs w:val="28"/>
              </w:rPr>
            </w:pPr>
            <w:r>
              <w:t>检查送风机、排风机与消防系统的联动功能</w:t>
            </w:r>
            <w:r>
              <w:rPr>
                <w:rFonts w:hint="eastAsia"/>
              </w:rPr>
              <w:t>，</w:t>
            </w:r>
            <w:r>
              <w:t>每</w:t>
            </w:r>
            <w:r>
              <w:rPr>
                <w:rFonts w:hint="eastAsia"/>
              </w:rPr>
              <w:t>季度</w:t>
            </w:r>
            <w:r>
              <w:t xml:space="preserve"> 1 次</w:t>
            </w:r>
            <w:r>
              <w:rPr>
                <w:rFonts w:hint="eastAsia"/>
              </w:rPr>
              <w:t>。</w:t>
            </w:r>
          </w:p>
        </w:tc>
        <w:tc>
          <w:tcPr>
            <w:tcW w:w="2551" w:type="dxa"/>
            <w:noWrap w:val="0"/>
            <w:vAlign w:val="center"/>
          </w:tcPr>
          <w:p w14:paraId="2AB522C7">
            <w:pPr>
              <w:kinsoku w:val="0"/>
              <w:overflowPunct w:val="0"/>
              <w:autoSpaceDE w:val="0"/>
              <w:autoSpaceDN w:val="0"/>
              <w:adjustRightInd w:val="0"/>
              <w:snapToGrid w:val="0"/>
              <w:spacing w:line="276" w:lineRule="auto"/>
              <w:ind w:firstLine="0" w:firstLineChars="0"/>
              <w:jc w:val="center"/>
              <w:rPr>
                <w:rFonts w:hint="eastAsia" w:ascii="宋体" w:hAnsi="宋体" w:cs="宋体"/>
                <w:bCs/>
                <w:sz w:val="28"/>
                <w:szCs w:val="28"/>
              </w:rPr>
            </w:pPr>
            <w:r>
              <w:t>功能正常、运行可靠。</w:t>
            </w:r>
          </w:p>
        </w:tc>
      </w:tr>
      <w:tr w14:paraId="0611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022DF002">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联动气体灭火系统</w:t>
            </w:r>
          </w:p>
        </w:tc>
        <w:tc>
          <w:tcPr>
            <w:tcW w:w="6096" w:type="dxa"/>
            <w:noWrap w:val="0"/>
            <w:vAlign w:val="center"/>
          </w:tcPr>
          <w:p w14:paraId="73F2FD59">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检查气体灭火系统与消防系统的联动功能、信号反馈功能</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2551" w:type="dxa"/>
            <w:noWrap w:val="0"/>
            <w:vAlign w:val="center"/>
          </w:tcPr>
          <w:p w14:paraId="3EDA158A">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功能正常、运行可靠。</w:t>
            </w:r>
          </w:p>
        </w:tc>
      </w:tr>
      <w:tr w14:paraId="1315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DD7EC1A">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联动防火卷帘</w:t>
            </w:r>
          </w:p>
        </w:tc>
        <w:tc>
          <w:tcPr>
            <w:tcW w:w="6096" w:type="dxa"/>
            <w:noWrap w:val="0"/>
            <w:vAlign w:val="center"/>
          </w:tcPr>
          <w:p w14:paraId="573D96C0">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检查防火卷帘与消防系统的联动功能</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2551" w:type="dxa"/>
            <w:noWrap w:val="0"/>
            <w:vAlign w:val="center"/>
          </w:tcPr>
          <w:p w14:paraId="317C17BA">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功能正常，运行可靠。</w:t>
            </w:r>
          </w:p>
        </w:tc>
      </w:tr>
      <w:tr w14:paraId="246D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2CAAB287">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联动警铃和紧急广播 </w:t>
            </w:r>
          </w:p>
        </w:tc>
        <w:tc>
          <w:tcPr>
            <w:tcW w:w="6096" w:type="dxa"/>
            <w:noWrap w:val="0"/>
            <w:vAlign w:val="center"/>
          </w:tcPr>
          <w:p w14:paraId="4F94BBEF">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检查火警情况下联动警铃和紧急广播功能</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p w14:paraId="5E54DDFA">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 </w:t>
            </w:r>
          </w:p>
        </w:tc>
        <w:tc>
          <w:tcPr>
            <w:tcW w:w="2551" w:type="dxa"/>
            <w:noWrap w:val="0"/>
            <w:vAlign w:val="center"/>
          </w:tcPr>
          <w:p w14:paraId="35E513E1">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功能正常，运行可靠。 </w:t>
            </w:r>
          </w:p>
        </w:tc>
      </w:tr>
      <w:tr w14:paraId="0991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4547FC6C">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联动模块箱 </w:t>
            </w:r>
          </w:p>
        </w:tc>
        <w:tc>
          <w:tcPr>
            <w:tcW w:w="6096" w:type="dxa"/>
            <w:noWrap w:val="0"/>
            <w:vAlign w:val="center"/>
          </w:tcPr>
          <w:p w14:paraId="629D93A4">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对联动模块箱清洁除尘、继电器保养，紧固所有接线端，更换生锈螺丝，对模块所控设备进行校验标签</w:t>
            </w:r>
            <w:r>
              <w:rPr>
                <w:rFonts w:hint="eastAsia" w:ascii="宋体" w:hAnsi="宋体" w:cs="宋体"/>
                <w:bCs/>
                <w:sz w:val="22"/>
              </w:rPr>
              <w:t>，</w:t>
            </w:r>
            <w:r>
              <w:rPr>
                <w:rFonts w:ascii="宋体" w:hAnsi="宋体" w:cs="宋体"/>
                <w:bCs/>
                <w:sz w:val="22"/>
              </w:rPr>
              <w:t xml:space="preserve">每季度 1 次 </w:t>
            </w:r>
            <w:r>
              <w:rPr>
                <w:rFonts w:hint="eastAsia" w:ascii="宋体" w:hAnsi="宋体" w:cs="宋体"/>
                <w:bCs/>
                <w:sz w:val="22"/>
              </w:rPr>
              <w:t>。’</w:t>
            </w:r>
          </w:p>
        </w:tc>
        <w:tc>
          <w:tcPr>
            <w:tcW w:w="2551" w:type="dxa"/>
            <w:noWrap w:val="0"/>
            <w:vAlign w:val="center"/>
          </w:tcPr>
          <w:p w14:paraId="5545D94A">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收到主机联动信号后，联动模块能正确启动相关设备，并能正常显示联动关</w:t>
            </w:r>
          </w:p>
          <w:p w14:paraId="2D1317AA">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系。 </w:t>
            </w:r>
          </w:p>
        </w:tc>
      </w:tr>
      <w:tr w14:paraId="0C98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0E4D5B35">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记录 </w:t>
            </w:r>
          </w:p>
        </w:tc>
        <w:tc>
          <w:tcPr>
            <w:tcW w:w="6096" w:type="dxa"/>
            <w:noWrap w:val="0"/>
            <w:vAlign w:val="center"/>
          </w:tcPr>
          <w:p w14:paraId="4CBFF2D7">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对联动控制系统有维修保养记录、联动测试有完整的记录 </w:t>
            </w:r>
          </w:p>
        </w:tc>
        <w:tc>
          <w:tcPr>
            <w:tcW w:w="2551" w:type="dxa"/>
            <w:noWrap w:val="0"/>
            <w:vAlign w:val="center"/>
          </w:tcPr>
          <w:p w14:paraId="0BB84705">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记录及时、完整。 </w:t>
            </w:r>
          </w:p>
        </w:tc>
      </w:tr>
    </w:tbl>
    <w:p w14:paraId="74E5ACBB">
      <w:pPr>
        <w:kinsoku w:val="0"/>
        <w:overflowPunct w:val="0"/>
        <w:autoSpaceDE w:val="0"/>
        <w:autoSpaceDN w:val="0"/>
        <w:adjustRightInd w:val="0"/>
        <w:snapToGrid w:val="0"/>
        <w:spacing w:line="276" w:lineRule="auto"/>
        <w:ind w:firstLine="560"/>
        <w:rPr>
          <w:rFonts w:ascii="宋体" w:hAnsi="宋体" w:cs="宋体"/>
          <w:bCs/>
          <w:sz w:val="28"/>
          <w:szCs w:val="28"/>
        </w:rPr>
      </w:pPr>
    </w:p>
    <w:p w14:paraId="555727C1">
      <w:pPr>
        <w:spacing w:line="360" w:lineRule="auto"/>
        <w:ind w:firstLine="660" w:firstLineChars="275"/>
        <w:rPr>
          <w:rFonts w:ascii="宋体" w:hAnsi="宋体" w:cs="宋体"/>
          <w:sz w:val="24"/>
          <w:szCs w:val="24"/>
        </w:rPr>
      </w:pPr>
      <w:r>
        <w:rPr>
          <w:rFonts w:ascii="宋体" w:hAnsi="宋体" w:cs="宋体"/>
          <w:sz w:val="24"/>
          <w:szCs w:val="24"/>
        </w:rPr>
        <w:t>3</w:t>
      </w:r>
      <w:r>
        <w:rPr>
          <w:rFonts w:hint="eastAsia" w:ascii="宋体" w:hAnsi="宋体" w:cs="宋体"/>
          <w:sz w:val="24"/>
          <w:szCs w:val="24"/>
        </w:rPr>
        <w:t>．消防水系统（自动喷淋及消火栓系统）</w:t>
      </w:r>
    </w:p>
    <w:tbl>
      <w:tblPr>
        <w:tblStyle w:val="18"/>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4675"/>
        <w:gridCol w:w="2908"/>
      </w:tblGrid>
      <w:tr w14:paraId="7BC8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86" w:type="dxa"/>
            <w:noWrap w:val="0"/>
            <w:vAlign w:val="center"/>
          </w:tcPr>
          <w:p w14:paraId="1F157EDB">
            <w:pPr>
              <w:kinsoku w:val="0"/>
              <w:overflowPunct w:val="0"/>
              <w:autoSpaceDE w:val="0"/>
              <w:autoSpaceDN w:val="0"/>
              <w:adjustRightInd w:val="0"/>
              <w:snapToGrid w:val="0"/>
              <w:spacing w:line="0" w:lineRule="atLeast"/>
              <w:ind w:firstLine="0" w:firstLineChars="0"/>
              <w:jc w:val="center"/>
              <w:rPr>
                <w:rFonts w:ascii="宋体" w:hAnsi="宋体" w:cs="宋体"/>
                <w:b/>
                <w:sz w:val="22"/>
              </w:rPr>
            </w:pPr>
            <w:r>
              <w:rPr>
                <w:rFonts w:ascii="宋体" w:hAnsi="宋体" w:cs="宋体"/>
                <w:b/>
                <w:sz w:val="22"/>
              </w:rPr>
              <w:t>项目</w:t>
            </w:r>
          </w:p>
        </w:tc>
        <w:tc>
          <w:tcPr>
            <w:tcW w:w="4675" w:type="dxa"/>
            <w:noWrap w:val="0"/>
            <w:vAlign w:val="center"/>
          </w:tcPr>
          <w:p w14:paraId="13282C41">
            <w:pPr>
              <w:kinsoku w:val="0"/>
              <w:overflowPunct w:val="0"/>
              <w:autoSpaceDE w:val="0"/>
              <w:autoSpaceDN w:val="0"/>
              <w:adjustRightInd w:val="0"/>
              <w:snapToGrid w:val="0"/>
              <w:spacing w:line="0" w:lineRule="atLeast"/>
              <w:ind w:firstLine="0" w:firstLineChars="0"/>
              <w:jc w:val="center"/>
              <w:rPr>
                <w:rFonts w:ascii="宋体" w:hAnsi="宋体" w:cs="宋体"/>
                <w:b/>
                <w:sz w:val="22"/>
              </w:rPr>
            </w:pPr>
            <w:r>
              <w:rPr>
                <w:rFonts w:ascii="宋体" w:hAnsi="宋体" w:cs="宋体"/>
                <w:b/>
                <w:sz w:val="22"/>
              </w:rPr>
              <w:t>维修保养检查内容及频次</w:t>
            </w:r>
          </w:p>
        </w:tc>
        <w:tc>
          <w:tcPr>
            <w:tcW w:w="2908" w:type="dxa"/>
            <w:noWrap w:val="0"/>
            <w:vAlign w:val="center"/>
          </w:tcPr>
          <w:p w14:paraId="7E24C25E">
            <w:pPr>
              <w:kinsoku w:val="0"/>
              <w:overflowPunct w:val="0"/>
              <w:autoSpaceDE w:val="0"/>
              <w:autoSpaceDN w:val="0"/>
              <w:adjustRightInd w:val="0"/>
              <w:snapToGrid w:val="0"/>
              <w:spacing w:line="0" w:lineRule="atLeast"/>
              <w:ind w:firstLine="0" w:firstLineChars="0"/>
              <w:jc w:val="center"/>
              <w:rPr>
                <w:rFonts w:ascii="宋体" w:hAnsi="宋体" w:cs="宋体"/>
                <w:b/>
                <w:sz w:val="22"/>
              </w:rPr>
            </w:pPr>
            <w:r>
              <w:rPr>
                <w:rFonts w:ascii="宋体" w:hAnsi="宋体" w:cs="宋体"/>
                <w:b/>
                <w:sz w:val="22"/>
              </w:rPr>
              <w:t xml:space="preserve">标准 </w:t>
            </w:r>
          </w:p>
        </w:tc>
      </w:tr>
      <w:tr w14:paraId="2899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6E401950">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湿式报警阀及组件</w:t>
            </w:r>
          </w:p>
        </w:tc>
        <w:tc>
          <w:tcPr>
            <w:tcW w:w="4675" w:type="dxa"/>
            <w:noWrap w:val="0"/>
            <w:vAlign w:val="center"/>
          </w:tcPr>
          <w:p w14:paraId="2FEF86FE">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报警阀外表，有否锈蚀；检查报警阀有否损坏；检查报警阀连接管及主水管有否损坏；检查所有阀门是否挂有“常开”或“常闭”标识牌；检查报警阀排水操作；检查报警阀水力警铃有否漏水、声响是否正常；检查阀组信号阀是否损坏、关阀操作是否有反馈信号；检查报警阀压力开关是否有反馈信</w:t>
            </w:r>
          </w:p>
          <w:p w14:paraId="68DBC20C">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号，是否联动喷淋泵启泵</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2908" w:type="dxa"/>
            <w:noWrap w:val="0"/>
            <w:vAlign w:val="center"/>
          </w:tcPr>
          <w:p w14:paraId="79A195A2">
            <w:pPr>
              <w:kinsoku w:val="0"/>
              <w:overflowPunct w:val="0"/>
              <w:autoSpaceDE w:val="0"/>
              <w:autoSpaceDN w:val="0"/>
              <w:adjustRightInd w:val="0"/>
              <w:snapToGrid w:val="0"/>
              <w:spacing w:line="0" w:lineRule="atLeast"/>
              <w:ind w:firstLine="0" w:firstLineChars="0"/>
              <w:rPr>
                <w:rFonts w:ascii="宋体" w:hAnsi="宋体" w:cs="宋体"/>
                <w:bCs/>
                <w:sz w:val="22"/>
              </w:rPr>
            </w:pPr>
            <w:r>
              <w:rPr>
                <w:rFonts w:ascii="宋体" w:hAnsi="宋体" w:cs="宋体"/>
                <w:bCs/>
                <w:sz w:val="22"/>
              </w:rPr>
              <w:t>外表清洁、无锈蚀，动作灵敏、运行正常，压力表显示正常、水压正常。</w:t>
            </w:r>
          </w:p>
        </w:tc>
      </w:tr>
      <w:tr w14:paraId="5E8F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0380E605">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水流指示器</w:t>
            </w:r>
          </w:p>
        </w:tc>
        <w:tc>
          <w:tcPr>
            <w:tcW w:w="4675" w:type="dxa"/>
            <w:noWrap w:val="0"/>
            <w:vAlign w:val="center"/>
          </w:tcPr>
          <w:p w14:paraId="485D90D1">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检查水流指示器有否损坏；检查内部接点及功能是否正常；检测水流指示器在末端试水放水操作时有否反馈信号。每</w:t>
            </w:r>
            <w:r>
              <w:rPr>
                <w:rFonts w:hint="eastAsia" w:ascii="宋体" w:hAnsi="宋体" w:cs="宋体"/>
                <w:bCs/>
                <w:sz w:val="22"/>
              </w:rPr>
              <w:t>季度</w:t>
            </w:r>
            <w:r>
              <w:rPr>
                <w:rFonts w:ascii="宋体" w:hAnsi="宋体" w:cs="宋体"/>
                <w:bCs/>
                <w:sz w:val="22"/>
              </w:rPr>
              <w:t>1次</w:t>
            </w:r>
          </w:p>
        </w:tc>
        <w:tc>
          <w:tcPr>
            <w:tcW w:w="2908" w:type="dxa"/>
            <w:noWrap w:val="0"/>
            <w:vAlign w:val="center"/>
          </w:tcPr>
          <w:p w14:paraId="576EB4C1">
            <w:pPr>
              <w:kinsoku w:val="0"/>
              <w:overflowPunct w:val="0"/>
              <w:autoSpaceDE w:val="0"/>
              <w:autoSpaceDN w:val="0"/>
              <w:adjustRightInd w:val="0"/>
              <w:snapToGrid w:val="0"/>
              <w:spacing w:line="0" w:lineRule="atLeast"/>
              <w:ind w:firstLine="0" w:firstLineChars="0"/>
              <w:rPr>
                <w:rFonts w:ascii="宋体" w:hAnsi="宋体" w:cs="宋体"/>
                <w:bCs/>
                <w:sz w:val="22"/>
              </w:rPr>
            </w:pPr>
            <w:r>
              <w:rPr>
                <w:rFonts w:ascii="宋体" w:hAnsi="宋体" w:cs="宋体"/>
                <w:bCs/>
                <w:sz w:val="22"/>
              </w:rPr>
              <w:t>功能正常、运行可靠。</w:t>
            </w:r>
          </w:p>
        </w:tc>
      </w:tr>
      <w:tr w14:paraId="1DC1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14E48D7A">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信号蝶阀</w:t>
            </w:r>
          </w:p>
        </w:tc>
        <w:tc>
          <w:tcPr>
            <w:tcW w:w="4675" w:type="dxa"/>
            <w:noWrap w:val="0"/>
            <w:vAlign w:val="center"/>
          </w:tcPr>
          <w:p w14:paraId="5442543B">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检查信号蝶阀有否损坏；检查内部接点及功能是否正常；检测信号蝶阀在管网阀门关闭操作时有否反馈信号</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1次</w:t>
            </w:r>
            <w:r>
              <w:rPr>
                <w:rFonts w:hint="eastAsia" w:ascii="宋体" w:hAnsi="宋体" w:cs="宋体"/>
                <w:bCs/>
                <w:sz w:val="22"/>
              </w:rPr>
              <w:t>。</w:t>
            </w:r>
          </w:p>
        </w:tc>
        <w:tc>
          <w:tcPr>
            <w:tcW w:w="2908" w:type="dxa"/>
            <w:noWrap w:val="0"/>
            <w:vAlign w:val="center"/>
          </w:tcPr>
          <w:p w14:paraId="596D968E">
            <w:pPr>
              <w:kinsoku w:val="0"/>
              <w:overflowPunct w:val="0"/>
              <w:autoSpaceDE w:val="0"/>
              <w:autoSpaceDN w:val="0"/>
              <w:adjustRightInd w:val="0"/>
              <w:snapToGrid w:val="0"/>
              <w:spacing w:line="0" w:lineRule="atLeast"/>
              <w:ind w:firstLine="0" w:firstLineChars="0"/>
              <w:rPr>
                <w:rFonts w:ascii="宋体" w:hAnsi="宋体" w:cs="宋体"/>
                <w:bCs/>
                <w:sz w:val="22"/>
              </w:rPr>
            </w:pPr>
            <w:r>
              <w:rPr>
                <w:rFonts w:ascii="宋体" w:hAnsi="宋体" w:cs="宋体"/>
                <w:bCs/>
                <w:sz w:val="22"/>
              </w:rPr>
              <w:t>功能正常、运行可靠。</w:t>
            </w:r>
          </w:p>
        </w:tc>
      </w:tr>
      <w:tr w14:paraId="65A2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6D4B07A9">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压力表</w:t>
            </w:r>
          </w:p>
        </w:tc>
        <w:tc>
          <w:tcPr>
            <w:tcW w:w="4675" w:type="dxa"/>
            <w:noWrap w:val="0"/>
            <w:vAlign w:val="center"/>
          </w:tcPr>
          <w:p w14:paraId="2D7214B7">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检查各压力表外观, 压力显示是否正常。管网压力是否在正常范围内</w:t>
            </w:r>
            <w:r>
              <w:rPr>
                <w:rFonts w:hint="eastAsia" w:ascii="宋体" w:hAnsi="宋体" w:cs="宋体"/>
                <w:bCs/>
                <w:sz w:val="22"/>
              </w:rPr>
              <w:t>，</w:t>
            </w:r>
            <w:r>
              <w:rPr>
                <w:rFonts w:ascii="宋体" w:hAnsi="宋体" w:cs="宋体"/>
                <w:bCs/>
                <w:sz w:val="22"/>
              </w:rPr>
              <w:t>每季度 1 次</w:t>
            </w:r>
            <w:r>
              <w:rPr>
                <w:rFonts w:hint="eastAsia" w:ascii="宋体" w:hAnsi="宋体" w:cs="宋体"/>
                <w:bCs/>
                <w:sz w:val="22"/>
              </w:rPr>
              <w:t>。</w:t>
            </w:r>
            <w:r>
              <w:rPr>
                <w:rFonts w:ascii="宋体" w:hAnsi="宋体" w:cs="宋体"/>
                <w:bCs/>
                <w:sz w:val="22"/>
              </w:rPr>
              <w:t xml:space="preserve"> </w:t>
            </w:r>
          </w:p>
        </w:tc>
        <w:tc>
          <w:tcPr>
            <w:tcW w:w="2908" w:type="dxa"/>
            <w:noWrap w:val="0"/>
            <w:vAlign w:val="center"/>
          </w:tcPr>
          <w:p w14:paraId="4F4EE89F">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外表清洁、显示正常、清晰，螺丝无松动。 </w:t>
            </w:r>
          </w:p>
        </w:tc>
      </w:tr>
      <w:tr w14:paraId="1113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5ABBD9D6">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控制阀</w:t>
            </w:r>
          </w:p>
        </w:tc>
        <w:tc>
          <w:tcPr>
            <w:tcW w:w="4675" w:type="dxa"/>
            <w:noWrap w:val="0"/>
            <w:vAlign w:val="center"/>
          </w:tcPr>
          <w:p w14:paraId="6E0D9280">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检查各控制是否阀门灵活,关闭密封每季度1 次 </w:t>
            </w:r>
            <w:r>
              <w:rPr>
                <w:rFonts w:hint="eastAsia" w:ascii="宋体" w:hAnsi="宋体" w:cs="宋体"/>
                <w:bCs/>
                <w:sz w:val="22"/>
              </w:rPr>
              <w:t>。</w:t>
            </w:r>
          </w:p>
        </w:tc>
        <w:tc>
          <w:tcPr>
            <w:tcW w:w="2908" w:type="dxa"/>
            <w:noWrap w:val="0"/>
            <w:vAlign w:val="center"/>
          </w:tcPr>
          <w:p w14:paraId="7189E3FD">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阀门灵活,关闭密封,明杆闸阀的阀杆应加油。 </w:t>
            </w:r>
          </w:p>
        </w:tc>
      </w:tr>
      <w:tr w14:paraId="06C4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7D78E4BC">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消防水泵、控制箱及组件 </w:t>
            </w:r>
          </w:p>
        </w:tc>
        <w:tc>
          <w:tcPr>
            <w:tcW w:w="4675" w:type="dxa"/>
            <w:noWrap w:val="0"/>
            <w:vAlign w:val="center"/>
          </w:tcPr>
          <w:p w14:paraId="67C62268">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测试水泵控制箱的输入/输出信号显示及联动控制；检查水泵之入水管/出水管(包括闸阀、止回阀、隔沙器、伸缩接头及其他配件)有否损坏；清洁水泵及控制柜。水泵盘动试验。检查接地线有无松动、锈蚀。检查水泵轴承润滑是否正常、运行有无噪声，风扇运转是否正常、有无擦边现象，清理电机表面灰尘</w:t>
            </w:r>
            <w:r>
              <w:rPr>
                <w:rFonts w:hint="eastAsia" w:ascii="宋体" w:hAnsi="宋体" w:cs="宋体"/>
                <w:bCs/>
                <w:sz w:val="22"/>
              </w:rPr>
              <w:t>，</w:t>
            </w:r>
            <w:r>
              <w:rPr>
                <w:rFonts w:ascii="宋体" w:hAnsi="宋体" w:cs="宋体"/>
                <w:bCs/>
                <w:sz w:val="22"/>
              </w:rPr>
              <w:t xml:space="preserve">每月 1 次 </w:t>
            </w:r>
            <w:r>
              <w:rPr>
                <w:rFonts w:hint="eastAsia" w:ascii="宋体" w:hAnsi="宋体" w:cs="宋体"/>
                <w:bCs/>
                <w:sz w:val="22"/>
              </w:rPr>
              <w:t>。</w:t>
            </w:r>
          </w:p>
        </w:tc>
        <w:tc>
          <w:tcPr>
            <w:tcW w:w="2908" w:type="dxa"/>
            <w:noWrap w:val="0"/>
            <w:vAlign w:val="center"/>
          </w:tcPr>
          <w:p w14:paraId="3851462C">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功能正常，接线牢固，控制箱整洁、美观、水泵转动灵活，运行无异响、系统运行可靠，电动机试运行 30 分钟，温升应在正常范围内，水泵轴封无渗  漏。水泵主轴应灵活。控</w:t>
            </w:r>
          </w:p>
          <w:p w14:paraId="272FCEA9">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制信号准确,无错误信号。 </w:t>
            </w:r>
          </w:p>
        </w:tc>
      </w:tr>
      <w:tr w14:paraId="7040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76645952">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电机及电源线绝缘性能。 </w:t>
            </w:r>
          </w:p>
        </w:tc>
        <w:tc>
          <w:tcPr>
            <w:tcW w:w="4675" w:type="dxa"/>
            <w:noWrap w:val="0"/>
            <w:vAlign w:val="center"/>
          </w:tcPr>
          <w:p w14:paraId="7BE158D0">
            <w:pPr>
              <w:kinsoku w:val="0"/>
              <w:overflowPunct w:val="0"/>
              <w:autoSpaceDE w:val="0"/>
              <w:autoSpaceDN w:val="0"/>
              <w:adjustRightInd w:val="0"/>
              <w:snapToGrid w:val="0"/>
              <w:spacing w:line="0" w:lineRule="atLeast"/>
              <w:ind w:firstLine="0" w:firstLineChars="0"/>
              <w:rPr>
                <w:rFonts w:ascii="宋体" w:hAnsi="宋体" w:cs="宋体"/>
                <w:bCs/>
                <w:sz w:val="22"/>
              </w:rPr>
            </w:pPr>
            <w:r>
              <w:rPr>
                <w:rFonts w:ascii="宋体" w:hAnsi="宋体" w:cs="宋体"/>
                <w:bCs/>
                <w:sz w:val="22"/>
              </w:rPr>
              <w:t>检验电机及电源线绝缘性能</w:t>
            </w:r>
            <w:r>
              <w:rPr>
                <w:rFonts w:hint="eastAsia" w:ascii="宋体" w:hAnsi="宋体" w:cs="宋体"/>
                <w:bCs/>
                <w:sz w:val="22"/>
              </w:rPr>
              <w:t>，</w:t>
            </w:r>
            <w:r>
              <w:rPr>
                <w:rFonts w:ascii="宋体" w:hAnsi="宋体" w:cs="宋体"/>
                <w:bCs/>
                <w:sz w:val="22"/>
              </w:rPr>
              <w:t xml:space="preserve">每季度 1 次。 </w:t>
            </w:r>
          </w:p>
        </w:tc>
        <w:tc>
          <w:tcPr>
            <w:tcW w:w="2908" w:type="dxa"/>
            <w:noWrap w:val="0"/>
            <w:vAlign w:val="center"/>
          </w:tcPr>
          <w:p w14:paraId="3A8AB7AB">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电机及线路绝缘值不可小于 2 兆欧 </w:t>
            </w:r>
          </w:p>
        </w:tc>
      </w:tr>
      <w:tr w14:paraId="564F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35CF452F">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水泵控制箱内主供电线路 </w:t>
            </w:r>
          </w:p>
        </w:tc>
        <w:tc>
          <w:tcPr>
            <w:tcW w:w="4675" w:type="dxa"/>
            <w:noWrap w:val="0"/>
            <w:vAlign w:val="center"/>
          </w:tcPr>
          <w:p w14:paraId="3C5FDE11">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检查水泵控制箱内主供电线路、切换装置</w:t>
            </w:r>
            <w:r>
              <w:rPr>
                <w:rFonts w:hint="eastAsia" w:ascii="宋体" w:hAnsi="宋体" w:cs="宋体"/>
                <w:bCs/>
                <w:sz w:val="22"/>
              </w:rPr>
              <w:t>，</w:t>
            </w:r>
            <w:r>
              <w:rPr>
                <w:rFonts w:ascii="宋体" w:hAnsi="宋体" w:cs="宋体"/>
                <w:bCs/>
                <w:sz w:val="22"/>
              </w:rPr>
              <w:t>每月 1 次。</w:t>
            </w:r>
          </w:p>
        </w:tc>
        <w:tc>
          <w:tcPr>
            <w:tcW w:w="2908" w:type="dxa"/>
            <w:noWrap w:val="0"/>
            <w:vAlign w:val="center"/>
          </w:tcPr>
          <w:p w14:paraId="229AC42C">
            <w:pPr>
              <w:pStyle w:val="25"/>
              <w:spacing w:line="0" w:lineRule="atLeast"/>
              <w:ind w:left="123" w:right="220"/>
              <w:jc w:val="center"/>
              <w:rPr>
                <w:bCs/>
                <w:kern w:val="2"/>
                <w:lang w:val="en-US" w:bidi="ar-SA"/>
              </w:rPr>
            </w:pPr>
            <w:r>
              <w:rPr>
                <w:bCs/>
                <w:kern w:val="2"/>
                <w:lang w:val="en-US" w:bidi="ar-SA"/>
              </w:rPr>
              <w:t>接线头压接良好、色标清晰、绝缘良好无烧焦现</w:t>
            </w:r>
          </w:p>
          <w:p w14:paraId="474C53BC">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象；主备电切换正常 </w:t>
            </w:r>
          </w:p>
        </w:tc>
      </w:tr>
      <w:tr w14:paraId="3352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6CAE44F3">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消火栓测试 </w:t>
            </w:r>
          </w:p>
        </w:tc>
        <w:tc>
          <w:tcPr>
            <w:tcW w:w="4675" w:type="dxa"/>
            <w:noWrap w:val="0"/>
            <w:vAlign w:val="center"/>
          </w:tcPr>
          <w:p w14:paraId="4B8BEE21">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对区域最不利点消火栓进行放水试验，检查管网压力</w:t>
            </w:r>
            <w:r>
              <w:rPr>
                <w:rFonts w:hint="eastAsia" w:ascii="宋体" w:hAnsi="宋体" w:cs="宋体"/>
                <w:bCs/>
                <w:sz w:val="22"/>
              </w:rPr>
              <w:t>，</w:t>
            </w:r>
            <w:r>
              <w:rPr>
                <w:rFonts w:ascii="宋体" w:hAnsi="宋体" w:cs="宋体"/>
                <w:bCs/>
                <w:sz w:val="22"/>
              </w:rPr>
              <w:t xml:space="preserve"> 每月 1 次 </w:t>
            </w:r>
            <w:r>
              <w:rPr>
                <w:rFonts w:hint="eastAsia" w:ascii="宋体" w:hAnsi="宋体" w:cs="宋体"/>
                <w:bCs/>
                <w:sz w:val="22"/>
              </w:rPr>
              <w:t>。</w:t>
            </w:r>
          </w:p>
        </w:tc>
        <w:tc>
          <w:tcPr>
            <w:tcW w:w="2908" w:type="dxa"/>
            <w:noWrap w:val="0"/>
            <w:vAlign w:val="center"/>
          </w:tcPr>
          <w:p w14:paraId="2C39A6B1">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确保管网压力正常。 </w:t>
            </w:r>
          </w:p>
        </w:tc>
      </w:tr>
      <w:tr w14:paraId="5BD6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07AF29AC">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消火栓按钮启泵功能测试 </w:t>
            </w:r>
          </w:p>
        </w:tc>
        <w:tc>
          <w:tcPr>
            <w:tcW w:w="4675" w:type="dxa"/>
            <w:noWrap w:val="0"/>
            <w:vAlign w:val="center"/>
          </w:tcPr>
          <w:p w14:paraId="6CDF9666">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检查所有消火栓按钮启泵功能</w:t>
            </w:r>
            <w:r>
              <w:rPr>
                <w:rFonts w:hint="eastAsia" w:ascii="宋体" w:hAnsi="宋体" w:cs="宋体"/>
                <w:bCs/>
                <w:sz w:val="22"/>
              </w:rPr>
              <w:t>，</w:t>
            </w:r>
            <w:r>
              <w:rPr>
                <w:rFonts w:ascii="宋体" w:hAnsi="宋体" w:cs="宋体"/>
                <w:bCs/>
                <w:sz w:val="22"/>
              </w:rPr>
              <w:t>每</w:t>
            </w:r>
            <w:r>
              <w:rPr>
                <w:rFonts w:hint="eastAsia" w:ascii="宋体" w:hAnsi="宋体" w:cs="宋体"/>
                <w:bCs/>
                <w:sz w:val="22"/>
              </w:rPr>
              <w:t>半年</w:t>
            </w:r>
            <w:r>
              <w:rPr>
                <w:rFonts w:ascii="宋体" w:hAnsi="宋体" w:cs="宋体"/>
                <w:bCs/>
                <w:sz w:val="22"/>
              </w:rPr>
              <w:t xml:space="preserve"> 1 次 </w:t>
            </w:r>
          </w:p>
        </w:tc>
        <w:tc>
          <w:tcPr>
            <w:tcW w:w="2908" w:type="dxa"/>
            <w:noWrap w:val="0"/>
            <w:vAlign w:val="center"/>
          </w:tcPr>
          <w:p w14:paraId="01C189E0">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功能正常、运行可靠。 </w:t>
            </w:r>
          </w:p>
        </w:tc>
      </w:tr>
      <w:tr w14:paraId="48DC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61567AF4">
            <w:pPr>
              <w:kinsoku w:val="0"/>
              <w:overflowPunct w:val="0"/>
              <w:autoSpaceDE w:val="0"/>
              <w:autoSpaceDN w:val="0"/>
              <w:adjustRightInd w:val="0"/>
              <w:snapToGrid w:val="0"/>
              <w:spacing w:line="276" w:lineRule="auto"/>
              <w:ind w:firstLine="0" w:firstLineChars="0"/>
              <w:rPr>
                <w:rFonts w:hint="eastAsia" w:ascii="宋体" w:hAnsi="宋体" w:cs="宋体"/>
                <w:bCs/>
                <w:sz w:val="28"/>
                <w:szCs w:val="28"/>
              </w:rPr>
            </w:pPr>
            <w:r>
              <w:rPr>
                <w:spacing w:val="-3"/>
              </w:rPr>
              <w:t>水泵点动试验</w:t>
            </w:r>
            <w:r>
              <w:t xml:space="preserve"> </w:t>
            </w:r>
          </w:p>
        </w:tc>
        <w:tc>
          <w:tcPr>
            <w:tcW w:w="4675" w:type="dxa"/>
            <w:noWrap w:val="0"/>
            <w:vAlign w:val="center"/>
          </w:tcPr>
          <w:p w14:paraId="47FA81F3">
            <w:pPr>
              <w:kinsoku w:val="0"/>
              <w:overflowPunct w:val="0"/>
              <w:autoSpaceDE w:val="0"/>
              <w:autoSpaceDN w:val="0"/>
              <w:adjustRightInd w:val="0"/>
              <w:snapToGrid w:val="0"/>
              <w:spacing w:line="276" w:lineRule="auto"/>
              <w:ind w:firstLine="0" w:firstLineChars="0"/>
              <w:rPr>
                <w:rFonts w:ascii="宋体" w:hAnsi="宋体" w:cs="宋体"/>
                <w:bCs/>
                <w:sz w:val="28"/>
                <w:szCs w:val="28"/>
              </w:rPr>
            </w:pPr>
            <w:r>
              <w:t>进行水泵点动试验</w:t>
            </w:r>
            <w:r>
              <w:rPr>
                <w:rFonts w:hint="eastAsia"/>
              </w:rPr>
              <w:t>，</w:t>
            </w:r>
            <w:r>
              <w:t xml:space="preserve">每月 1 次。 </w:t>
            </w:r>
          </w:p>
        </w:tc>
        <w:tc>
          <w:tcPr>
            <w:tcW w:w="2908" w:type="dxa"/>
            <w:noWrap w:val="0"/>
            <w:vAlign w:val="center"/>
          </w:tcPr>
          <w:p w14:paraId="3BE8FC88">
            <w:pPr>
              <w:pStyle w:val="25"/>
              <w:spacing w:before="1"/>
              <w:ind w:left="123"/>
              <w:rPr>
                <w:sz w:val="21"/>
              </w:rPr>
            </w:pPr>
            <w:r>
              <w:rPr>
                <w:sz w:val="21"/>
              </w:rPr>
              <w:t>应无异常噪音,电机温升应</w:t>
            </w:r>
          </w:p>
          <w:p w14:paraId="2C525394">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在正常范围内。 </w:t>
            </w:r>
          </w:p>
        </w:tc>
      </w:tr>
      <w:tr w14:paraId="30CB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0E6BE5E3">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接地电阻 </w:t>
            </w:r>
          </w:p>
        </w:tc>
        <w:tc>
          <w:tcPr>
            <w:tcW w:w="4675" w:type="dxa"/>
            <w:noWrap w:val="0"/>
            <w:vAlign w:val="center"/>
          </w:tcPr>
          <w:p w14:paraId="3E86339A">
            <w:pPr>
              <w:kinsoku w:val="0"/>
              <w:overflowPunct w:val="0"/>
              <w:autoSpaceDE w:val="0"/>
              <w:autoSpaceDN w:val="0"/>
              <w:adjustRightInd w:val="0"/>
              <w:snapToGrid w:val="0"/>
              <w:spacing w:line="276" w:lineRule="auto"/>
              <w:ind w:firstLine="0" w:firstLineChars="0"/>
              <w:rPr>
                <w:rFonts w:ascii="宋体" w:hAnsi="宋体" w:cs="宋体"/>
                <w:bCs/>
                <w:sz w:val="28"/>
                <w:szCs w:val="28"/>
              </w:rPr>
            </w:pPr>
            <w:r>
              <w:t>检测接地电阻</w:t>
            </w:r>
            <w:r>
              <w:rPr>
                <w:rFonts w:hint="eastAsia"/>
              </w:rPr>
              <w:t>，</w:t>
            </w:r>
            <w:r>
              <w:t xml:space="preserve">每季度 1 次。 </w:t>
            </w:r>
          </w:p>
        </w:tc>
        <w:tc>
          <w:tcPr>
            <w:tcW w:w="2908" w:type="dxa"/>
            <w:noWrap w:val="0"/>
            <w:vAlign w:val="center"/>
          </w:tcPr>
          <w:p w14:paraId="3DEE405F">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阻值不可大于 4 欧。 </w:t>
            </w:r>
          </w:p>
        </w:tc>
      </w:tr>
      <w:tr w14:paraId="2E9C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1EDA1A79">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测量电机三相电流 </w:t>
            </w:r>
          </w:p>
        </w:tc>
        <w:tc>
          <w:tcPr>
            <w:tcW w:w="4675" w:type="dxa"/>
            <w:noWrap w:val="0"/>
            <w:vAlign w:val="center"/>
          </w:tcPr>
          <w:p w14:paraId="49B02689">
            <w:pPr>
              <w:kinsoku w:val="0"/>
              <w:overflowPunct w:val="0"/>
              <w:autoSpaceDE w:val="0"/>
              <w:autoSpaceDN w:val="0"/>
              <w:adjustRightInd w:val="0"/>
              <w:snapToGrid w:val="0"/>
              <w:spacing w:line="276" w:lineRule="auto"/>
              <w:ind w:firstLine="0" w:firstLineChars="0"/>
              <w:rPr>
                <w:rFonts w:ascii="宋体" w:hAnsi="宋体" w:cs="宋体"/>
                <w:bCs/>
                <w:sz w:val="28"/>
                <w:szCs w:val="28"/>
              </w:rPr>
            </w:pPr>
            <w:r>
              <w:t>测量电机三相电流</w:t>
            </w:r>
            <w:r>
              <w:rPr>
                <w:rFonts w:hint="eastAsia"/>
              </w:rPr>
              <w:t>，</w:t>
            </w:r>
            <w:r>
              <w:t xml:space="preserve">每季度 1 次。 </w:t>
            </w:r>
          </w:p>
        </w:tc>
        <w:tc>
          <w:tcPr>
            <w:tcW w:w="2908" w:type="dxa"/>
            <w:noWrap w:val="0"/>
            <w:vAlign w:val="center"/>
          </w:tcPr>
          <w:p w14:paraId="53F2F30C">
            <w:pPr>
              <w:kinsoku w:val="0"/>
              <w:overflowPunct w:val="0"/>
              <w:autoSpaceDE w:val="0"/>
              <w:autoSpaceDN w:val="0"/>
              <w:adjustRightInd w:val="0"/>
              <w:snapToGrid w:val="0"/>
              <w:spacing w:line="276" w:lineRule="auto"/>
              <w:ind w:firstLine="0" w:firstLineChars="0"/>
              <w:rPr>
                <w:rFonts w:ascii="宋体" w:hAnsi="宋体" w:cs="宋体"/>
                <w:bCs/>
                <w:sz w:val="28"/>
                <w:szCs w:val="28"/>
              </w:rPr>
            </w:pPr>
            <w:r>
              <w:rPr>
                <w:spacing w:val="-3"/>
              </w:rPr>
              <w:t xml:space="preserve">三相电流平衡，数值稳 </w:t>
            </w:r>
            <w:r>
              <w:rPr>
                <w:spacing w:val="-5"/>
              </w:rPr>
              <w:t>定，无摆动，运行无异常</w:t>
            </w:r>
            <w:r>
              <w:rPr>
                <w:spacing w:val="-1"/>
              </w:rPr>
              <w:t>噪声。</w:t>
            </w:r>
            <w:r>
              <w:t xml:space="preserve"> </w:t>
            </w:r>
          </w:p>
        </w:tc>
      </w:tr>
      <w:tr w14:paraId="38CE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7D2FE765">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水泵软接头 </w:t>
            </w:r>
          </w:p>
        </w:tc>
        <w:tc>
          <w:tcPr>
            <w:tcW w:w="4675" w:type="dxa"/>
            <w:noWrap w:val="0"/>
            <w:vAlign w:val="center"/>
          </w:tcPr>
          <w:p w14:paraId="2B9E1017">
            <w:pPr>
              <w:kinsoku w:val="0"/>
              <w:overflowPunct w:val="0"/>
              <w:autoSpaceDE w:val="0"/>
              <w:autoSpaceDN w:val="0"/>
              <w:adjustRightInd w:val="0"/>
              <w:snapToGrid w:val="0"/>
              <w:spacing w:line="276" w:lineRule="auto"/>
              <w:ind w:firstLine="0" w:firstLineChars="0"/>
              <w:rPr>
                <w:rFonts w:ascii="宋体" w:hAnsi="宋体" w:cs="宋体"/>
                <w:bCs/>
                <w:sz w:val="28"/>
                <w:szCs w:val="28"/>
              </w:rPr>
            </w:pPr>
            <w:r>
              <w:t>检查水泵软接头外观，螺丝</w:t>
            </w:r>
            <w:r>
              <w:rPr>
                <w:rFonts w:hint="eastAsia"/>
              </w:rPr>
              <w:t>，</w:t>
            </w:r>
            <w:r>
              <w:t>每</w:t>
            </w:r>
            <w:r>
              <w:rPr>
                <w:rFonts w:hint="eastAsia"/>
              </w:rPr>
              <w:t>月</w:t>
            </w:r>
            <w:r>
              <w:t xml:space="preserve"> 1 次。 </w:t>
            </w:r>
          </w:p>
        </w:tc>
        <w:tc>
          <w:tcPr>
            <w:tcW w:w="2908" w:type="dxa"/>
            <w:noWrap w:val="0"/>
            <w:vAlign w:val="center"/>
          </w:tcPr>
          <w:p w14:paraId="37A5D830">
            <w:pPr>
              <w:pStyle w:val="25"/>
              <w:spacing w:before="1"/>
              <w:ind w:left="123"/>
              <w:rPr>
                <w:sz w:val="21"/>
              </w:rPr>
            </w:pPr>
            <w:r>
              <w:rPr>
                <w:sz w:val="21"/>
              </w:rPr>
              <w:t>应无破损，螺丝应紧固、</w:t>
            </w:r>
          </w:p>
          <w:p w14:paraId="2387090E">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无松动现象。 </w:t>
            </w:r>
          </w:p>
        </w:tc>
      </w:tr>
      <w:tr w14:paraId="3E7F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7D0810C5">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泄压阀 </w:t>
            </w:r>
          </w:p>
        </w:tc>
        <w:tc>
          <w:tcPr>
            <w:tcW w:w="4675" w:type="dxa"/>
            <w:noWrap w:val="0"/>
            <w:vAlign w:val="center"/>
          </w:tcPr>
          <w:p w14:paraId="272308B3">
            <w:pPr>
              <w:kinsoku w:val="0"/>
              <w:overflowPunct w:val="0"/>
              <w:autoSpaceDE w:val="0"/>
              <w:autoSpaceDN w:val="0"/>
              <w:adjustRightInd w:val="0"/>
              <w:snapToGrid w:val="0"/>
              <w:spacing w:line="276" w:lineRule="auto"/>
              <w:ind w:firstLine="0" w:firstLineChars="0"/>
              <w:rPr>
                <w:rFonts w:ascii="宋体" w:hAnsi="宋体" w:cs="宋体"/>
                <w:bCs/>
                <w:sz w:val="28"/>
                <w:szCs w:val="28"/>
              </w:rPr>
            </w:pPr>
            <w:r>
              <w:t>泄压阀排水试验</w:t>
            </w:r>
            <w:r>
              <w:rPr>
                <w:rFonts w:hint="eastAsia"/>
              </w:rPr>
              <w:t>，</w:t>
            </w:r>
            <w:r>
              <w:t xml:space="preserve">每季度 1 次。 </w:t>
            </w:r>
          </w:p>
        </w:tc>
        <w:tc>
          <w:tcPr>
            <w:tcW w:w="2908" w:type="dxa"/>
            <w:noWrap w:val="0"/>
            <w:vAlign w:val="center"/>
          </w:tcPr>
          <w:p w14:paraId="2120F7D4">
            <w:pPr>
              <w:pStyle w:val="25"/>
              <w:spacing w:before="1"/>
              <w:ind w:left="123"/>
              <w:rPr>
                <w:sz w:val="21"/>
              </w:rPr>
            </w:pPr>
            <w:r>
              <w:rPr>
                <w:sz w:val="21"/>
              </w:rPr>
              <w:t>超设定压力 0.5MPa 泄压,</w:t>
            </w:r>
          </w:p>
          <w:p w14:paraId="4B3BB09D">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到设定压力时可以停止泄压。 </w:t>
            </w:r>
          </w:p>
        </w:tc>
      </w:tr>
      <w:tr w14:paraId="47CF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3CC92C42">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消防水池 </w:t>
            </w:r>
          </w:p>
        </w:tc>
        <w:tc>
          <w:tcPr>
            <w:tcW w:w="4675" w:type="dxa"/>
            <w:noWrap w:val="0"/>
            <w:vAlign w:val="center"/>
          </w:tcPr>
          <w:p w14:paraId="3B70959C">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检查供水及水量是否正常。每月 1 次。 </w:t>
            </w:r>
          </w:p>
        </w:tc>
        <w:tc>
          <w:tcPr>
            <w:tcW w:w="2908" w:type="dxa"/>
            <w:noWrap w:val="0"/>
            <w:vAlign w:val="center"/>
          </w:tcPr>
          <w:p w14:paraId="5271BD62">
            <w:pPr>
              <w:pStyle w:val="25"/>
              <w:spacing w:before="1"/>
              <w:ind w:left="123"/>
              <w:rPr>
                <w:sz w:val="21"/>
              </w:rPr>
            </w:pPr>
            <w:r>
              <w:rPr>
                <w:sz w:val="21"/>
              </w:rPr>
              <w:t>消防水池液位计信号工作</w:t>
            </w:r>
          </w:p>
          <w:p w14:paraId="32DFE382">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正常，无故障， </w:t>
            </w:r>
          </w:p>
        </w:tc>
      </w:tr>
      <w:tr w14:paraId="5081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4CCD2859">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记录 </w:t>
            </w:r>
          </w:p>
        </w:tc>
        <w:tc>
          <w:tcPr>
            <w:tcW w:w="4675" w:type="dxa"/>
            <w:noWrap w:val="0"/>
            <w:vAlign w:val="center"/>
          </w:tcPr>
          <w:p w14:paraId="714310C7">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对消防水系统有维修保养记录。 </w:t>
            </w:r>
          </w:p>
        </w:tc>
        <w:tc>
          <w:tcPr>
            <w:tcW w:w="2908" w:type="dxa"/>
            <w:noWrap w:val="0"/>
            <w:vAlign w:val="center"/>
          </w:tcPr>
          <w:p w14:paraId="04C28F7B">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记录及时、完整。 </w:t>
            </w:r>
          </w:p>
        </w:tc>
      </w:tr>
      <w:tr w14:paraId="61DD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253FE335">
            <w:pPr>
              <w:kinsoku w:val="0"/>
              <w:overflowPunct w:val="0"/>
              <w:autoSpaceDE w:val="0"/>
              <w:autoSpaceDN w:val="0"/>
              <w:adjustRightInd w:val="0"/>
              <w:snapToGrid w:val="0"/>
              <w:spacing w:line="276" w:lineRule="auto"/>
              <w:ind w:firstLine="0" w:firstLineChars="0"/>
              <w:rPr>
                <w:rFonts w:ascii="宋体" w:hAnsi="宋体" w:cs="宋体"/>
                <w:bCs/>
                <w:sz w:val="28"/>
                <w:szCs w:val="28"/>
              </w:rPr>
            </w:pPr>
            <w:r>
              <w:rPr>
                <w:spacing w:val="-3"/>
              </w:rPr>
              <w:t>水泵点动试验</w:t>
            </w:r>
            <w:r>
              <w:t xml:space="preserve"> </w:t>
            </w:r>
          </w:p>
        </w:tc>
        <w:tc>
          <w:tcPr>
            <w:tcW w:w="4675" w:type="dxa"/>
            <w:noWrap w:val="0"/>
            <w:vAlign w:val="center"/>
          </w:tcPr>
          <w:p w14:paraId="65F00A6A">
            <w:pPr>
              <w:kinsoku w:val="0"/>
              <w:overflowPunct w:val="0"/>
              <w:autoSpaceDE w:val="0"/>
              <w:autoSpaceDN w:val="0"/>
              <w:adjustRightInd w:val="0"/>
              <w:snapToGrid w:val="0"/>
              <w:spacing w:line="276" w:lineRule="auto"/>
              <w:ind w:firstLine="0" w:firstLineChars="0"/>
              <w:rPr>
                <w:rFonts w:ascii="宋体" w:hAnsi="宋体" w:cs="宋体"/>
                <w:bCs/>
                <w:sz w:val="28"/>
                <w:szCs w:val="28"/>
              </w:rPr>
            </w:pPr>
            <w:r>
              <w:t>进行水泵点动试验</w:t>
            </w:r>
            <w:r>
              <w:rPr>
                <w:rFonts w:hint="eastAsia"/>
              </w:rPr>
              <w:t>，</w:t>
            </w:r>
            <w:r>
              <w:t xml:space="preserve">每月 1 次。 </w:t>
            </w:r>
          </w:p>
        </w:tc>
        <w:tc>
          <w:tcPr>
            <w:tcW w:w="2908" w:type="dxa"/>
            <w:noWrap w:val="0"/>
            <w:vAlign w:val="center"/>
          </w:tcPr>
          <w:p w14:paraId="582887C2">
            <w:pPr>
              <w:pStyle w:val="25"/>
              <w:spacing w:before="1"/>
              <w:ind w:left="123"/>
              <w:rPr>
                <w:sz w:val="21"/>
              </w:rPr>
            </w:pPr>
            <w:r>
              <w:rPr>
                <w:sz w:val="21"/>
              </w:rPr>
              <w:t>应无异常噪音,电机温升应</w:t>
            </w:r>
          </w:p>
          <w:p w14:paraId="7F981795">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在正常范围内。 </w:t>
            </w:r>
          </w:p>
        </w:tc>
      </w:tr>
      <w:tr w14:paraId="77D7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5567014F">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接地电阻 </w:t>
            </w:r>
          </w:p>
        </w:tc>
        <w:tc>
          <w:tcPr>
            <w:tcW w:w="4675" w:type="dxa"/>
            <w:noWrap w:val="0"/>
            <w:vAlign w:val="center"/>
          </w:tcPr>
          <w:p w14:paraId="649F328A">
            <w:pPr>
              <w:kinsoku w:val="0"/>
              <w:overflowPunct w:val="0"/>
              <w:autoSpaceDE w:val="0"/>
              <w:autoSpaceDN w:val="0"/>
              <w:adjustRightInd w:val="0"/>
              <w:snapToGrid w:val="0"/>
              <w:spacing w:line="276" w:lineRule="auto"/>
              <w:ind w:firstLine="0" w:firstLineChars="0"/>
              <w:rPr>
                <w:rFonts w:ascii="宋体" w:hAnsi="宋体" w:cs="宋体"/>
                <w:bCs/>
                <w:sz w:val="28"/>
                <w:szCs w:val="28"/>
              </w:rPr>
            </w:pPr>
            <w:r>
              <w:t>检测接地电阻</w:t>
            </w:r>
            <w:r>
              <w:rPr>
                <w:rFonts w:hint="eastAsia"/>
              </w:rPr>
              <w:t>，</w:t>
            </w:r>
            <w:r>
              <w:t xml:space="preserve">每季度 1 次。 </w:t>
            </w:r>
          </w:p>
        </w:tc>
        <w:tc>
          <w:tcPr>
            <w:tcW w:w="2908" w:type="dxa"/>
            <w:noWrap w:val="0"/>
            <w:vAlign w:val="center"/>
          </w:tcPr>
          <w:p w14:paraId="45245F6D">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阻值不可大于 4 欧。 </w:t>
            </w:r>
          </w:p>
        </w:tc>
      </w:tr>
      <w:tr w14:paraId="49FB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23C0726D">
            <w:pPr>
              <w:kinsoku w:val="0"/>
              <w:overflowPunct w:val="0"/>
              <w:autoSpaceDE w:val="0"/>
              <w:autoSpaceDN w:val="0"/>
              <w:adjustRightInd w:val="0"/>
              <w:snapToGrid w:val="0"/>
              <w:spacing w:line="276" w:lineRule="auto"/>
              <w:ind w:firstLine="0" w:firstLineChars="0"/>
            </w:pPr>
            <w:r>
              <w:t xml:space="preserve">测量电机三相电流 </w:t>
            </w:r>
          </w:p>
        </w:tc>
        <w:tc>
          <w:tcPr>
            <w:tcW w:w="4675" w:type="dxa"/>
            <w:noWrap w:val="0"/>
            <w:vAlign w:val="center"/>
          </w:tcPr>
          <w:p w14:paraId="56A1C25F">
            <w:pPr>
              <w:pStyle w:val="25"/>
              <w:spacing w:before="5"/>
              <w:rPr>
                <w:rFonts w:ascii="Times New Roman" w:hAnsi="Times New Roman" w:cs="Times New Roman"/>
                <w:kern w:val="2"/>
                <w:sz w:val="21"/>
                <w:lang w:val="en-US" w:bidi="ar-SA"/>
              </w:rPr>
            </w:pPr>
          </w:p>
          <w:p w14:paraId="4864746D">
            <w:pPr>
              <w:kinsoku w:val="0"/>
              <w:overflowPunct w:val="0"/>
              <w:autoSpaceDE w:val="0"/>
              <w:autoSpaceDN w:val="0"/>
              <w:adjustRightInd w:val="0"/>
              <w:snapToGrid w:val="0"/>
              <w:spacing w:line="276" w:lineRule="auto"/>
              <w:ind w:firstLine="0" w:firstLineChars="0"/>
            </w:pPr>
            <w:r>
              <w:t>测量电机三相电流</w:t>
            </w:r>
            <w:r>
              <w:rPr>
                <w:rFonts w:hint="eastAsia"/>
              </w:rPr>
              <w:t>，</w:t>
            </w:r>
            <w:r>
              <w:t xml:space="preserve">每季度 1 次。 </w:t>
            </w:r>
          </w:p>
        </w:tc>
        <w:tc>
          <w:tcPr>
            <w:tcW w:w="2908" w:type="dxa"/>
            <w:noWrap w:val="0"/>
            <w:vAlign w:val="center"/>
          </w:tcPr>
          <w:p w14:paraId="0006C446">
            <w:pPr>
              <w:kinsoku w:val="0"/>
              <w:overflowPunct w:val="0"/>
              <w:autoSpaceDE w:val="0"/>
              <w:autoSpaceDN w:val="0"/>
              <w:adjustRightInd w:val="0"/>
              <w:snapToGrid w:val="0"/>
              <w:spacing w:line="276" w:lineRule="auto"/>
              <w:ind w:firstLine="0" w:firstLineChars="0"/>
            </w:pPr>
            <w:r>
              <w:t xml:space="preserve">三相电流平衡，数值稳 定，无摆动，运行无异常噪声。 </w:t>
            </w:r>
          </w:p>
        </w:tc>
      </w:tr>
      <w:tr w14:paraId="5CC0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3887953A">
            <w:pPr>
              <w:kinsoku w:val="0"/>
              <w:overflowPunct w:val="0"/>
              <w:autoSpaceDE w:val="0"/>
              <w:autoSpaceDN w:val="0"/>
              <w:adjustRightInd w:val="0"/>
              <w:snapToGrid w:val="0"/>
              <w:spacing w:line="276" w:lineRule="auto"/>
              <w:ind w:firstLine="0" w:firstLineChars="0"/>
            </w:pPr>
            <w:r>
              <w:t xml:space="preserve">水泵软接头 </w:t>
            </w:r>
          </w:p>
        </w:tc>
        <w:tc>
          <w:tcPr>
            <w:tcW w:w="4675" w:type="dxa"/>
            <w:noWrap w:val="0"/>
            <w:vAlign w:val="center"/>
          </w:tcPr>
          <w:p w14:paraId="65E78C90">
            <w:pPr>
              <w:kinsoku w:val="0"/>
              <w:overflowPunct w:val="0"/>
              <w:autoSpaceDE w:val="0"/>
              <w:autoSpaceDN w:val="0"/>
              <w:adjustRightInd w:val="0"/>
              <w:snapToGrid w:val="0"/>
              <w:spacing w:line="276" w:lineRule="auto"/>
              <w:ind w:firstLine="0" w:firstLineChars="0"/>
            </w:pPr>
            <w:r>
              <w:t>检查水泵软接头外观，螺丝</w:t>
            </w:r>
            <w:r>
              <w:rPr>
                <w:rFonts w:hint="eastAsia"/>
              </w:rPr>
              <w:t>，</w:t>
            </w:r>
            <w:r>
              <w:t>每</w:t>
            </w:r>
            <w:r>
              <w:rPr>
                <w:rFonts w:hint="eastAsia"/>
              </w:rPr>
              <w:t>月</w:t>
            </w:r>
            <w:r>
              <w:t xml:space="preserve"> 1 次。 </w:t>
            </w:r>
          </w:p>
        </w:tc>
        <w:tc>
          <w:tcPr>
            <w:tcW w:w="2908" w:type="dxa"/>
            <w:noWrap w:val="0"/>
            <w:vAlign w:val="center"/>
          </w:tcPr>
          <w:p w14:paraId="6A82E7DC">
            <w:pPr>
              <w:pStyle w:val="25"/>
              <w:spacing w:before="1"/>
              <w:rPr>
                <w:rFonts w:ascii="Times New Roman" w:hAnsi="Times New Roman" w:cs="Times New Roman"/>
                <w:kern w:val="2"/>
                <w:sz w:val="21"/>
                <w:lang w:val="en-US" w:bidi="ar-SA"/>
              </w:rPr>
            </w:pPr>
            <w:r>
              <w:rPr>
                <w:rFonts w:ascii="Times New Roman" w:hAnsi="Times New Roman" w:cs="Times New Roman"/>
                <w:kern w:val="2"/>
                <w:sz w:val="21"/>
                <w:lang w:val="en-US" w:bidi="ar-SA"/>
              </w:rPr>
              <w:t>应无破损，螺丝应紧固、</w:t>
            </w:r>
          </w:p>
          <w:p w14:paraId="1CF66800">
            <w:pPr>
              <w:kinsoku w:val="0"/>
              <w:overflowPunct w:val="0"/>
              <w:autoSpaceDE w:val="0"/>
              <w:autoSpaceDN w:val="0"/>
              <w:adjustRightInd w:val="0"/>
              <w:snapToGrid w:val="0"/>
              <w:spacing w:line="276" w:lineRule="auto"/>
              <w:ind w:firstLine="0" w:firstLineChars="0"/>
            </w:pPr>
            <w:r>
              <w:t xml:space="preserve">无松动现象。 </w:t>
            </w:r>
          </w:p>
        </w:tc>
      </w:tr>
      <w:tr w14:paraId="1A8A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4D745B33">
            <w:pPr>
              <w:kinsoku w:val="0"/>
              <w:overflowPunct w:val="0"/>
              <w:autoSpaceDE w:val="0"/>
              <w:autoSpaceDN w:val="0"/>
              <w:adjustRightInd w:val="0"/>
              <w:snapToGrid w:val="0"/>
              <w:spacing w:line="276" w:lineRule="auto"/>
              <w:ind w:firstLine="0" w:firstLineChars="0"/>
            </w:pPr>
            <w:r>
              <w:t xml:space="preserve">泄压阀 </w:t>
            </w:r>
          </w:p>
        </w:tc>
        <w:tc>
          <w:tcPr>
            <w:tcW w:w="4675" w:type="dxa"/>
            <w:noWrap w:val="0"/>
            <w:vAlign w:val="center"/>
          </w:tcPr>
          <w:p w14:paraId="0696F10D">
            <w:pPr>
              <w:kinsoku w:val="0"/>
              <w:overflowPunct w:val="0"/>
              <w:autoSpaceDE w:val="0"/>
              <w:autoSpaceDN w:val="0"/>
              <w:adjustRightInd w:val="0"/>
              <w:snapToGrid w:val="0"/>
              <w:spacing w:line="276" w:lineRule="auto"/>
              <w:ind w:firstLine="0" w:firstLineChars="0"/>
            </w:pPr>
            <w:r>
              <w:t>泄压阀排水试验</w:t>
            </w:r>
            <w:r>
              <w:rPr>
                <w:rFonts w:hint="eastAsia"/>
              </w:rPr>
              <w:t>，</w:t>
            </w:r>
            <w:r>
              <w:t>每季度 1 次。</w:t>
            </w:r>
          </w:p>
        </w:tc>
        <w:tc>
          <w:tcPr>
            <w:tcW w:w="2908" w:type="dxa"/>
            <w:noWrap w:val="0"/>
            <w:vAlign w:val="center"/>
          </w:tcPr>
          <w:p w14:paraId="2541B8BC">
            <w:pPr>
              <w:kinsoku w:val="0"/>
              <w:overflowPunct w:val="0"/>
              <w:autoSpaceDE w:val="0"/>
              <w:autoSpaceDN w:val="0"/>
              <w:adjustRightInd w:val="0"/>
              <w:snapToGrid w:val="0"/>
              <w:spacing w:line="276" w:lineRule="auto"/>
              <w:ind w:firstLine="0" w:firstLineChars="0"/>
            </w:pPr>
            <w:r>
              <w:t>超设定压力 0.5MPa 泄压,</w:t>
            </w:r>
          </w:p>
          <w:p w14:paraId="07773304">
            <w:pPr>
              <w:kinsoku w:val="0"/>
              <w:overflowPunct w:val="0"/>
              <w:autoSpaceDE w:val="0"/>
              <w:autoSpaceDN w:val="0"/>
              <w:adjustRightInd w:val="0"/>
              <w:snapToGrid w:val="0"/>
              <w:spacing w:line="276" w:lineRule="auto"/>
              <w:ind w:firstLine="0" w:firstLineChars="0"/>
            </w:pPr>
            <w:r>
              <w:t xml:space="preserve">到设定压力时可以停止泄压。 </w:t>
            </w:r>
          </w:p>
        </w:tc>
      </w:tr>
      <w:tr w14:paraId="7F86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2C0B54CA">
            <w:pPr>
              <w:kinsoku w:val="0"/>
              <w:overflowPunct w:val="0"/>
              <w:autoSpaceDE w:val="0"/>
              <w:autoSpaceDN w:val="0"/>
              <w:adjustRightInd w:val="0"/>
              <w:snapToGrid w:val="0"/>
              <w:spacing w:line="276" w:lineRule="auto"/>
              <w:ind w:firstLine="0" w:firstLineChars="0"/>
            </w:pPr>
            <w:r>
              <w:t>消防水池</w:t>
            </w:r>
          </w:p>
        </w:tc>
        <w:tc>
          <w:tcPr>
            <w:tcW w:w="4675" w:type="dxa"/>
            <w:noWrap w:val="0"/>
            <w:vAlign w:val="center"/>
          </w:tcPr>
          <w:p w14:paraId="003CA318">
            <w:pPr>
              <w:kinsoku w:val="0"/>
              <w:overflowPunct w:val="0"/>
              <w:autoSpaceDE w:val="0"/>
              <w:autoSpaceDN w:val="0"/>
              <w:adjustRightInd w:val="0"/>
              <w:snapToGrid w:val="0"/>
              <w:spacing w:line="276" w:lineRule="auto"/>
              <w:ind w:firstLine="0" w:firstLineChars="0"/>
            </w:pPr>
            <w:r>
              <w:t xml:space="preserve">检查供水及水量是否正常。每月 1 次。 </w:t>
            </w:r>
          </w:p>
        </w:tc>
        <w:tc>
          <w:tcPr>
            <w:tcW w:w="2908" w:type="dxa"/>
            <w:noWrap w:val="0"/>
            <w:vAlign w:val="center"/>
          </w:tcPr>
          <w:p w14:paraId="7AF2E4DA">
            <w:pPr>
              <w:pStyle w:val="25"/>
              <w:spacing w:before="1"/>
              <w:rPr>
                <w:rFonts w:ascii="Times New Roman" w:hAnsi="Times New Roman" w:cs="Times New Roman"/>
                <w:kern w:val="2"/>
                <w:sz w:val="21"/>
                <w:lang w:val="en-US" w:bidi="ar-SA"/>
              </w:rPr>
            </w:pPr>
            <w:r>
              <w:rPr>
                <w:rFonts w:ascii="Times New Roman" w:hAnsi="Times New Roman" w:cs="Times New Roman"/>
                <w:kern w:val="2"/>
                <w:sz w:val="21"/>
                <w:lang w:val="en-US" w:bidi="ar-SA"/>
              </w:rPr>
              <w:t>消防水池液位计信号工作</w:t>
            </w:r>
          </w:p>
          <w:p w14:paraId="55455F42">
            <w:pPr>
              <w:kinsoku w:val="0"/>
              <w:overflowPunct w:val="0"/>
              <w:autoSpaceDE w:val="0"/>
              <w:autoSpaceDN w:val="0"/>
              <w:adjustRightInd w:val="0"/>
              <w:snapToGrid w:val="0"/>
              <w:spacing w:line="276" w:lineRule="auto"/>
              <w:ind w:firstLine="0" w:firstLineChars="0"/>
            </w:pPr>
            <w:r>
              <w:t xml:space="preserve">正常，无故障， </w:t>
            </w:r>
          </w:p>
        </w:tc>
      </w:tr>
      <w:tr w14:paraId="7316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488FE471">
            <w:pPr>
              <w:kinsoku w:val="0"/>
              <w:overflowPunct w:val="0"/>
              <w:autoSpaceDE w:val="0"/>
              <w:autoSpaceDN w:val="0"/>
              <w:adjustRightInd w:val="0"/>
              <w:snapToGrid w:val="0"/>
              <w:spacing w:line="276" w:lineRule="auto"/>
              <w:ind w:firstLine="0" w:firstLineChars="0"/>
            </w:pPr>
            <w:r>
              <w:t>记录</w:t>
            </w:r>
          </w:p>
        </w:tc>
        <w:tc>
          <w:tcPr>
            <w:tcW w:w="4675" w:type="dxa"/>
            <w:noWrap w:val="0"/>
            <w:vAlign w:val="center"/>
          </w:tcPr>
          <w:p w14:paraId="61222DFB">
            <w:pPr>
              <w:kinsoku w:val="0"/>
              <w:overflowPunct w:val="0"/>
              <w:autoSpaceDE w:val="0"/>
              <w:autoSpaceDN w:val="0"/>
              <w:adjustRightInd w:val="0"/>
              <w:snapToGrid w:val="0"/>
              <w:spacing w:line="276" w:lineRule="auto"/>
              <w:ind w:firstLine="0" w:firstLineChars="0"/>
            </w:pPr>
            <w:r>
              <w:t xml:space="preserve">对消防水系统有维修保养记录。 </w:t>
            </w:r>
          </w:p>
        </w:tc>
        <w:tc>
          <w:tcPr>
            <w:tcW w:w="2908" w:type="dxa"/>
            <w:noWrap w:val="0"/>
            <w:vAlign w:val="center"/>
          </w:tcPr>
          <w:p w14:paraId="6851D111">
            <w:pPr>
              <w:kinsoku w:val="0"/>
              <w:overflowPunct w:val="0"/>
              <w:autoSpaceDE w:val="0"/>
              <w:autoSpaceDN w:val="0"/>
              <w:adjustRightInd w:val="0"/>
              <w:snapToGrid w:val="0"/>
              <w:spacing w:line="276" w:lineRule="auto"/>
              <w:ind w:firstLine="0" w:firstLineChars="0"/>
            </w:pPr>
            <w:r>
              <w:t xml:space="preserve">记录及时、完整。 </w:t>
            </w:r>
          </w:p>
        </w:tc>
      </w:tr>
    </w:tbl>
    <w:p w14:paraId="1E428F95">
      <w:pPr>
        <w:kinsoku w:val="0"/>
        <w:overflowPunct w:val="0"/>
        <w:autoSpaceDE w:val="0"/>
        <w:autoSpaceDN w:val="0"/>
        <w:adjustRightInd w:val="0"/>
        <w:snapToGrid w:val="0"/>
        <w:spacing w:line="276" w:lineRule="auto"/>
        <w:ind w:firstLine="560"/>
        <w:rPr>
          <w:rFonts w:ascii="宋体" w:hAnsi="宋体" w:cs="宋体"/>
          <w:bCs/>
          <w:sz w:val="28"/>
          <w:szCs w:val="28"/>
        </w:rPr>
      </w:pPr>
    </w:p>
    <w:p w14:paraId="1228FACA">
      <w:pPr>
        <w:spacing w:line="360" w:lineRule="auto"/>
        <w:ind w:firstLine="660" w:firstLineChars="275"/>
        <w:rPr>
          <w:rFonts w:ascii="宋体" w:hAnsi="宋体" w:cs="宋体"/>
          <w:sz w:val="24"/>
          <w:szCs w:val="24"/>
        </w:rPr>
      </w:pPr>
      <w:r>
        <w:rPr>
          <w:rFonts w:hint="eastAsia" w:ascii="宋体" w:hAnsi="宋体" w:cs="宋体"/>
          <w:sz w:val="24"/>
          <w:szCs w:val="24"/>
        </w:rPr>
        <w:t>4．防排烟系统</w:t>
      </w:r>
    </w:p>
    <w:tbl>
      <w:tblPr>
        <w:tblStyle w:val="18"/>
        <w:tblW w:w="53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17"/>
        <w:gridCol w:w="3274"/>
        <w:gridCol w:w="4010"/>
      </w:tblGrid>
      <w:tr w14:paraId="7D5EA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62" w:type="pct"/>
            <w:noWrap w:val="0"/>
            <w:vAlign w:val="center"/>
          </w:tcPr>
          <w:p w14:paraId="1BCEF519">
            <w:pPr>
              <w:pStyle w:val="25"/>
              <w:spacing w:before="3" w:line="250" w:lineRule="exact"/>
              <w:jc w:val="center"/>
              <w:rPr>
                <w:b/>
                <w:bCs/>
                <w:sz w:val="21"/>
              </w:rPr>
            </w:pPr>
            <w:r>
              <w:rPr>
                <w:b/>
                <w:bCs/>
                <w:sz w:val="21"/>
              </w:rPr>
              <w:t>项目</w:t>
            </w:r>
          </w:p>
        </w:tc>
        <w:tc>
          <w:tcPr>
            <w:tcW w:w="1859" w:type="pct"/>
            <w:noWrap w:val="0"/>
            <w:vAlign w:val="center"/>
          </w:tcPr>
          <w:p w14:paraId="088CCA67">
            <w:pPr>
              <w:pStyle w:val="25"/>
              <w:spacing w:before="3" w:line="250" w:lineRule="exact"/>
              <w:jc w:val="center"/>
              <w:rPr>
                <w:b/>
                <w:bCs/>
                <w:sz w:val="21"/>
              </w:rPr>
            </w:pPr>
            <w:r>
              <w:rPr>
                <w:b/>
                <w:bCs/>
                <w:sz w:val="21"/>
              </w:rPr>
              <w:t>维修保养检查内容及频次</w:t>
            </w:r>
          </w:p>
        </w:tc>
        <w:tc>
          <w:tcPr>
            <w:tcW w:w="2277" w:type="pct"/>
            <w:noWrap w:val="0"/>
            <w:vAlign w:val="center"/>
          </w:tcPr>
          <w:p w14:paraId="1C078407">
            <w:pPr>
              <w:pStyle w:val="25"/>
              <w:spacing w:before="3" w:line="250" w:lineRule="exact"/>
              <w:ind w:left="114" w:firstLine="420"/>
              <w:jc w:val="center"/>
              <w:rPr>
                <w:b/>
                <w:bCs/>
                <w:sz w:val="21"/>
              </w:rPr>
            </w:pPr>
            <w:r>
              <w:rPr>
                <w:b/>
                <w:bCs/>
                <w:sz w:val="21"/>
              </w:rPr>
              <w:t>标准</w:t>
            </w:r>
          </w:p>
        </w:tc>
      </w:tr>
      <w:tr w14:paraId="0F9A3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jc w:val="center"/>
        </w:trPr>
        <w:tc>
          <w:tcPr>
            <w:tcW w:w="862" w:type="pct"/>
            <w:noWrap w:val="0"/>
            <w:vAlign w:val="center"/>
          </w:tcPr>
          <w:p w14:paraId="64E16D33">
            <w:pPr>
              <w:pStyle w:val="25"/>
              <w:spacing w:line="321" w:lineRule="auto"/>
              <w:ind w:left="105" w:leftChars="50" w:right="105" w:rightChars="50"/>
              <w:jc w:val="center"/>
              <w:rPr>
                <w:sz w:val="21"/>
              </w:rPr>
            </w:pPr>
            <w:r>
              <w:rPr>
                <w:sz w:val="21"/>
              </w:rPr>
              <w:t>送风机、排烟机</w:t>
            </w:r>
          </w:p>
        </w:tc>
        <w:tc>
          <w:tcPr>
            <w:tcW w:w="1859" w:type="pct"/>
            <w:noWrap w:val="0"/>
            <w:vAlign w:val="center"/>
          </w:tcPr>
          <w:p w14:paraId="095BFC11">
            <w:pPr>
              <w:pStyle w:val="25"/>
              <w:spacing w:line="242" w:lineRule="auto"/>
              <w:ind w:left="105" w:leftChars="50" w:right="105" w:rightChars="50"/>
              <w:rPr>
                <w:sz w:val="21"/>
              </w:rPr>
            </w:pPr>
            <w:r>
              <w:rPr>
                <w:spacing w:val="-3"/>
                <w:sz w:val="21"/>
              </w:rPr>
              <w:t xml:space="preserve">检查风机外观，添加润滑油；检查控制功 </w:t>
            </w:r>
            <w:r>
              <w:rPr>
                <w:spacing w:val="-4"/>
                <w:sz w:val="21"/>
              </w:rPr>
              <w:t>能：自动启动、远程启动、现场启动功能； 风机电流检测；信号反馈；检查接地线有无</w:t>
            </w:r>
            <w:r>
              <w:rPr>
                <w:spacing w:val="-3"/>
                <w:sz w:val="21"/>
              </w:rPr>
              <w:t xml:space="preserve">松动、锈蚀；检查传动皮带；送排风机叶 </w:t>
            </w:r>
            <w:r>
              <w:rPr>
                <w:spacing w:val="-12"/>
                <w:sz w:val="21"/>
              </w:rPr>
              <w:t xml:space="preserve">轮；每季度 </w:t>
            </w:r>
            <w:r>
              <w:rPr>
                <w:sz w:val="21"/>
              </w:rPr>
              <w:t>1</w:t>
            </w:r>
            <w:r>
              <w:rPr>
                <w:spacing w:val="-20"/>
                <w:sz w:val="21"/>
              </w:rPr>
              <w:t xml:space="preserve"> 次。</w:t>
            </w:r>
            <w:r>
              <w:rPr>
                <w:sz w:val="21"/>
              </w:rPr>
              <w:t xml:space="preserve"> </w:t>
            </w:r>
          </w:p>
        </w:tc>
        <w:tc>
          <w:tcPr>
            <w:tcW w:w="2277" w:type="pct"/>
            <w:noWrap w:val="0"/>
            <w:vAlign w:val="center"/>
          </w:tcPr>
          <w:p w14:paraId="4AD20499">
            <w:pPr>
              <w:pStyle w:val="25"/>
              <w:spacing w:before="3" w:line="242" w:lineRule="auto"/>
              <w:ind w:left="105" w:leftChars="50" w:right="105" w:rightChars="50"/>
              <w:rPr>
                <w:sz w:val="21"/>
              </w:rPr>
            </w:pPr>
            <w:r>
              <w:rPr>
                <w:spacing w:val="-3"/>
                <w:sz w:val="21"/>
              </w:rPr>
              <w:t>轴承润滑正常、运行应无噪声，风扇运转应正常、无擦边现现象，电动机试</w:t>
            </w:r>
            <w:r>
              <w:rPr>
                <w:spacing w:val="-19"/>
                <w:sz w:val="21"/>
              </w:rPr>
              <w:t xml:space="preserve">运行 </w:t>
            </w:r>
            <w:r>
              <w:rPr>
                <w:sz w:val="21"/>
              </w:rPr>
              <w:t>30</w:t>
            </w:r>
            <w:r>
              <w:rPr>
                <w:spacing w:val="-11"/>
                <w:sz w:val="21"/>
              </w:rPr>
              <w:t xml:space="preserve"> 分钟，温升应在正</w:t>
            </w:r>
            <w:r>
              <w:rPr>
                <w:spacing w:val="-3"/>
                <w:sz w:val="21"/>
              </w:rPr>
              <w:t>常范围内，清理电机表面灰尘。工作正常，无故障；皮带松紧度合适，无打滑现象，对磨损严重已不符合使用的应及时更换；风机叶轮应无擦边，</w:t>
            </w:r>
          </w:p>
          <w:p w14:paraId="278B8102">
            <w:pPr>
              <w:pStyle w:val="25"/>
              <w:spacing w:before="5" w:line="252" w:lineRule="exact"/>
              <w:ind w:left="105" w:leftChars="50" w:right="105" w:rightChars="50"/>
              <w:rPr>
                <w:sz w:val="21"/>
              </w:rPr>
            </w:pPr>
            <w:r>
              <w:rPr>
                <w:sz w:val="21"/>
              </w:rPr>
              <w:t xml:space="preserve">无噪音，无灰垢现象。 </w:t>
            </w:r>
          </w:p>
        </w:tc>
      </w:tr>
      <w:tr w14:paraId="4A219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862" w:type="pct"/>
            <w:noWrap w:val="0"/>
            <w:vAlign w:val="center"/>
          </w:tcPr>
          <w:p w14:paraId="541BAC55">
            <w:pPr>
              <w:pStyle w:val="25"/>
              <w:spacing w:before="143" w:line="321" w:lineRule="auto"/>
              <w:ind w:left="105" w:leftChars="50" w:right="105" w:rightChars="50"/>
              <w:jc w:val="center"/>
              <w:rPr>
                <w:sz w:val="21"/>
              </w:rPr>
            </w:pPr>
            <w:r>
              <w:rPr>
                <w:sz w:val="21"/>
              </w:rPr>
              <w:t>多线盘手动控制柜</w:t>
            </w:r>
          </w:p>
        </w:tc>
        <w:tc>
          <w:tcPr>
            <w:tcW w:w="1859" w:type="pct"/>
            <w:noWrap w:val="0"/>
            <w:vAlign w:val="center"/>
          </w:tcPr>
          <w:p w14:paraId="1A427A62">
            <w:pPr>
              <w:pStyle w:val="25"/>
              <w:spacing w:before="1" w:line="242" w:lineRule="auto"/>
              <w:ind w:left="105" w:leftChars="50" w:right="105" w:rightChars="50"/>
              <w:jc w:val="both"/>
              <w:rPr>
                <w:sz w:val="21"/>
              </w:rPr>
            </w:pPr>
            <w:r>
              <w:rPr>
                <w:sz w:val="21"/>
              </w:rPr>
              <w:t>对多线盘手动控制柜清洁除尘、紧固所有接线端，更换生锈螺丝，对多柜所控设备进行手动启动测试。</w:t>
            </w:r>
          </w:p>
          <w:p w14:paraId="259C1601">
            <w:pPr>
              <w:pStyle w:val="25"/>
              <w:ind w:left="105" w:leftChars="50" w:right="105" w:rightChars="50"/>
              <w:jc w:val="both"/>
              <w:rPr>
                <w:sz w:val="21"/>
              </w:rPr>
            </w:pPr>
            <w:r>
              <w:rPr>
                <w:sz w:val="21"/>
              </w:rPr>
              <w:t>24V 电源检测，线路回路电阻和对地电阻测试</w:t>
            </w:r>
            <w:r>
              <w:rPr>
                <w:rFonts w:hint="eastAsia"/>
                <w:sz w:val="21"/>
              </w:rPr>
              <w:t>，</w:t>
            </w:r>
            <w:r>
              <w:rPr>
                <w:sz w:val="21"/>
              </w:rPr>
              <w:t xml:space="preserve">每月 1 次 </w:t>
            </w:r>
            <w:r>
              <w:rPr>
                <w:rFonts w:hint="eastAsia"/>
                <w:sz w:val="21"/>
              </w:rPr>
              <w:t>。</w:t>
            </w:r>
          </w:p>
        </w:tc>
        <w:tc>
          <w:tcPr>
            <w:tcW w:w="2277" w:type="pct"/>
            <w:noWrap w:val="0"/>
            <w:vAlign w:val="center"/>
          </w:tcPr>
          <w:p w14:paraId="21B54090">
            <w:pPr>
              <w:pStyle w:val="25"/>
              <w:spacing w:before="137" w:line="242" w:lineRule="auto"/>
              <w:ind w:left="105" w:leftChars="50" w:right="105" w:rightChars="50"/>
              <w:rPr>
                <w:sz w:val="21"/>
              </w:rPr>
            </w:pPr>
            <w:r>
              <w:rPr>
                <w:spacing w:val="-5"/>
                <w:sz w:val="21"/>
              </w:rPr>
              <w:t>多线盘手动控制柜运行正</w:t>
            </w:r>
            <w:r>
              <w:rPr>
                <w:spacing w:val="-3"/>
                <w:sz w:val="21"/>
              </w:rPr>
              <w:t>常，连线牢固、应答正</w:t>
            </w:r>
            <w:r>
              <w:rPr>
                <w:spacing w:val="-5"/>
                <w:sz w:val="21"/>
              </w:rPr>
              <w:t>确，能直接启动风机、水</w:t>
            </w:r>
            <w:r>
              <w:rPr>
                <w:spacing w:val="-1"/>
                <w:sz w:val="21"/>
              </w:rPr>
              <w:t>泵等。</w:t>
            </w:r>
            <w:r>
              <w:rPr>
                <w:sz w:val="21"/>
              </w:rPr>
              <w:t xml:space="preserve"> </w:t>
            </w:r>
          </w:p>
        </w:tc>
      </w:tr>
      <w:tr w14:paraId="5C74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6" w:hRule="atLeast"/>
          <w:jc w:val="center"/>
        </w:trPr>
        <w:tc>
          <w:tcPr>
            <w:tcW w:w="862" w:type="pct"/>
            <w:noWrap w:val="0"/>
            <w:vAlign w:val="center"/>
          </w:tcPr>
          <w:p w14:paraId="25FC1ED3">
            <w:pPr>
              <w:pStyle w:val="25"/>
              <w:spacing w:line="321" w:lineRule="auto"/>
              <w:ind w:left="105" w:leftChars="50" w:right="105" w:rightChars="50"/>
              <w:jc w:val="center"/>
              <w:rPr>
                <w:sz w:val="21"/>
              </w:rPr>
            </w:pPr>
            <w:r>
              <w:rPr>
                <w:spacing w:val="-1"/>
                <w:sz w:val="21"/>
              </w:rPr>
              <w:t xml:space="preserve">风机电流检  </w:t>
            </w:r>
            <w:r>
              <w:rPr>
                <w:spacing w:val="-3"/>
                <w:sz w:val="21"/>
              </w:rPr>
              <w:t>测；电机及电源线绝缘性能</w:t>
            </w:r>
          </w:p>
        </w:tc>
        <w:tc>
          <w:tcPr>
            <w:tcW w:w="1859" w:type="pct"/>
            <w:noWrap w:val="0"/>
            <w:vAlign w:val="center"/>
          </w:tcPr>
          <w:p w14:paraId="206EDACA">
            <w:pPr>
              <w:pStyle w:val="25"/>
              <w:spacing w:before="1" w:line="242" w:lineRule="auto"/>
              <w:ind w:left="105" w:leftChars="50" w:right="105" w:rightChars="50"/>
              <w:rPr>
                <w:sz w:val="21"/>
              </w:rPr>
            </w:pPr>
            <w:r>
              <w:rPr>
                <w:sz w:val="21"/>
              </w:rPr>
              <w:t>风机电流检测。检验电机及电源线绝缘性能</w:t>
            </w:r>
            <w:r>
              <w:rPr>
                <w:rFonts w:hint="eastAsia"/>
                <w:sz w:val="21"/>
              </w:rPr>
              <w:t>，</w:t>
            </w:r>
            <w:r>
              <w:rPr>
                <w:sz w:val="21"/>
              </w:rPr>
              <w:t xml:space="preserve">每季度 1 次。 </w:t>
            </w:r>
          </w:p>
        </w:tc>
        <w:tc>
          <w:tcPr>
            <w:tcW w:w="2277" w:type="pct"/>
            <w:noWrap w:val="0"/>
            <w:vAlign w:val="center"/>
          </w:tcPr>
          <w:p w14:paraId="2561C2E2">
            <w:pPr>
              <w:pStyle w:val="25"/>
              <w:spacing w:before="3" w:line="242" w:lineRule="auto"/>
              <w:ind w:left="105" w:leftChars="50" w:right="105" w:rightChars="50"/>
              <w:rPr>
                <w:sz w:val="21"/>
              </w:rPr>
            </w:pPr>
            <w:r>
              <w:rPr>
                <w:spacing w:val="-3"/>
                <w:sz w:val="21"/>
              </w:rPr>
              <w:t xml:space="preserve">三相电流平衡，数值稳 </w:t>
            </w:r>
            <w:r>
              <w:rPr>
                <w:spacing w:val="-5"/>
                <w:sz w:val="21"/>
              </w:rPr>
              <w:t>定，无摆动，运行无异常噪声；电机绝缘值不可小</w:t>
            </w:r>
            <w:r>
              <w:rPr>
                <w:spacing w:val="-24"/>
                <w:sz w:val="21"/>
              </w:rPr>
              <w:t xml:space="preserve">于 </w:t>
            </w:r>
            <w:r>
              <w:rPr>
                <w:sz w:val="21"/>
              </w:rPr>
              <w:t>0.5</w:t>
            </w:r>
            <w:r>
              <w:rPr>
                <w:spacing w:val="-9"/>
                <w:sz w:val="21"/>
              </w:rPr>
              <w:t xml:space="preserve"> 兆欧，电动机二次</w:t>
            </w:r>
            <w:r>
              <w:rPr>
                <w:sz w:val="21"/>
              </w:rPr>
              <w:t xml:space="preserve">回路绝缘电阻不应小于1兆欧。 </w:t>
            </w:r>
          </w:p>
        </w:tc>
      </w:tr>
      <w:tr w14:paraId="6EA1B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862" w:type="pct"/>
            <w:noWrap w:val="0"/>
            <w:vAlign w:val="center"/>
          </w:tcPr>
          <w:p w14:paraId="4945378D">
            <w:pPr>
              <w:pStyle w:val="25"/>
              <w:spacing w:before="54" w:line="360" w:lineRule="atLeast"/>
              <w:ind w:left="105" w:leftChars="50" w:right="105" w:rightChars="50"/>
              <w:jc w:val="center"/>
              <w:rPr>
                <w:sz w:val="21"/>
              </w:rPr>
            </w:pPr>
            <w:r>
              <w:rPr>
                <w:sz w:val="21"/>
              </w:rPr>
              <w:t>电机及风机轴承</w:t>
            </w:r>
          </w:p>
        </w:tc>
        <w:tc>
          <w:tcPr>
            <w:tcW w:w="1859" w:type="pct"/>
            <w:noWrap w:val="0"/>
            <w:vAlign w:val="center"/>
          </w:tcPr>
          <w:p w14:paraId="3F236809">
            <w:pPr>
              <w:pStyle w:val="25"/>
              <w:spacing w:before="20" w:line="242" w:lineRule="auto"/>
              <w:ind w:left="105" w:leftChars="50" w:right="105" w:rightChars="50"/>
              <w:rPr>
                <w:sz w:val="21"/>
              </w:rPr>
            </w:pPr>
            <w:r>
              <w:rPr>
                <w:sz w:val="21"/>
              </w:rPr>
              <w:t>检查电动机轴承、电动机散热风扇，轴承固定螺丝有无松动，给轴承添加相应标准润滑脂，各紧固螺丝加油防锈</w:t>
            </w:r>
            <w:r>
              <w:rPr>
                <w:rFonts w:hint="eastAsia"/>
                <w:sz w:val="21"/>
              </w:rPr>
              <w:t>，</w:t>
            </w:r>
            <w:r>
              <w:rPr>
                <w:sz w:val="21"/>
              </w:rPr>
              <w:t xml:space="preserve">每季度 1 次。 </w:t>
            </w:r>
          </w:p>
        </w:tc>
        <w:tc>
          <w:tcPr>
            <w:tcW w:w="2277" w:type="pct"/>
            <w:noWrap w:val="0"/>
            <w:vAlign w:val="center"/>
          </w:tcPr>
          <w:p w14:paraId="24EF53DD">
            <w:pPr>
              <w:pStyle w:val="25"/>
              <w:spacing w:before="154" w:line="244" w:lineRule="auto"/>
              <w:ind w:left="105" w:leftChars="50" w:right="105" w:rightChars="50"/>
              <w:rPr>
                <w:sz w:val="21"/>
              </w:rPr>
            </w:pPr>
            <w:r>
              <w:rPr>
                <w:sz w:val="21"/>
              </w:rPr>
              <w:t xml:space="preserve">轴承应无异常噪音，轴承固定螺丝应无松动。 </w:t>
            </w:r>
          </w:p>
        </w:tc>
      </w:tr>
      <w:tr w14:paraId="45F77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862" w:type="pct"/>
            <w:noWrap w:val="0"/>
            <w:vAlign w:val="center"/>
          </w:tcPr>
          <w:p w14:paraId="2A75E293">
            <w:pPr>
              <w:pStyle w:val="25"/>
              <w:spacing w:before="4" w:line="360" w:lineRule="exact"/>
              <w:ind w:left="105" w:leftChars="50" w:right="105" w:rightChars="50"/>
              <w:jc w:val="center"/>
              <w:rPr>
                <w:sz w:val="21"/>
              </w:rPr>
            </w:pPr>
            <w:r>
              <w:rPr>
                <w:sz w:val="21"/>
              </w:rPr>
              <w:t>送排风机进出风管电动阀或手动阀</w:t>
            </w:r>
          </w:p>
        </w:tc>
        <w:tc>
          <w:tcPr>
            <w:tcW w:w="1859" w:type="pct"/>
            <w:noWrap w:val="0"/>
            <w:vAlign w:val="center"/>
          </w:tcPr>
          <w:p w14:paraId="569C907B">
            <w:pPr>
              <w:pStyle w:val="25"/>
              <w:spacing w:before="137" w:line="242" w:lineRule="auto"/>
              <w:ind w:left="105" w:leftChars="50" w:right="105" w:rightChars="50"/>
              <w:jc w:val="both"/>
              <w:rPr>
                <w:sz w:val="21"/>
              </w:rPr>
            </w:pPr>
            <w:r>
              <w:rPr>
                <w:sz w:val="21"/>
              </w:rPr>
              <w:t>检查电动风阀控制电路，自动启动、远程启动、现场启动、手动复位功能，风阀机构清洁，加油润滑</w:t>
            </w:r>
            <w:r>
              <w:rPr>
                <w:rFonts w:hint="eastAsia"/>
                <w:sz w:val="21"/>
              </w:rPr>
              <w:t>，</w:t>
            </w:r>
            <w:r>
              <w:rPr>
                <w:sz w:val="21"/>
              </w:rPr>
              <w:t xml:space="preserve">每季度 1 次。 </w:t>
            </w:r>
          </w:p>
        </w:tc>
        <w:tc>
          <w:tcPr>
            <w:tcW w:w="2277" w:type="pct"/>
            <w:noWrap w:val="0"/>
            <w:vAlign w:val="center"/>
          </w:tcPr>
          <w:p w14:paraId="7EBB83DE">
            <w:pPr>
              <w:pStyle w:val="25"/>
              <w:spacing w:before="1" w:line="242" w:lineRule="auto"/>
              <w:ind w:left="105" w:leftChars="50" w:right="105" w:rightChars="50"/>
              <w:jc w:val="both"/>
              <w:rPr>
                <w:sz w:val="21"/>
              </w:rPr>
            </w:pPr>
            <w:r>
              <w:rPr>
                <w:sz w:val="21"/>
              </w:rPr>
              <w:t xml:space="preserve">开与关应灵活可靠，无阻滞现象；传动机构运转正常、转动部位添加润滑脂；工作正常，无故障。 </w:t>
            </w:r>
          </w:p>
        </w:tc>
      </w:tr>
      <w:tr w14:paraId="327D3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862" w:type="pct"/>
            <w:noWrap w:val="0"/>
            <w:vAlign w:val="center"/>
          </w:tcPr>
          <w:p w14:paraId="6190AE6E">
            <w:pPr>
              <w:pStyle w:val="25"/>
              <w:spacing w:before="77" w:line="321" w:lineRule="auto"/>
              <w:ind w:left="105" w:leftChars="50" w:right="105" w:rightChars="50"/>
              <w:jc w:val="center"/>
              <w:rPr>
                <w:sz w:val="21"/>
              </w:rPr>
            </w:pPr>
            <w:r>
              <w:rPr>
                <w:sz w:val="21"/>
              </w:rPr>
              <w:t>送、排风管防火阀、手动复位开关，风管</w:t>
            </w:r>
          </w:p>
          <w:p w14:paraId="6D5822BC">
            <w:pPr>
              <w:pStyle w:val="25"/>
              <w:spacing w:line="261" w:lineRule="exact"/>
              <w:ind w:left="105" w:leftChars="50" w:right="105" w:rightChars="50"/>
              <w:jc w:val="center"/>
              <w:rPr>
                <w:sz w:val="21"/>
              </w:rPr>
            </w:pPr>
            <w:r>
              <w:rPr>
                <w:sz w:val="21"/>
              </w:rPr>
              <w:t>风口百叶</w:t>
            </w:r>
          </w:p>
        </w:tc>
        <w:tc>
          <w:tcPr>
            <w:tcW w:w="1859" w:type="pct"/>
            <w:noWrap w:val="0"/>
            <w:vAlign w:val="center"/>
          </w:tcPr>
          <w:p w14:paraId="63AEFC3B">
            <w:pPr>
              <w:pStyle w:val="25"/>
              <w:spacing w:line="242" w:lineRule="auto"/>
              <w:ind w:left="105" w:leftChars="50" w:right="105" w:rightChars="50"/>
              <w:rPr>
                <w:sz w:val="21"/>
              </w:rPr>
            </w:pPr>
            <w:r>
              <w:rPr>
                <w:sz w:val="21"/>
              </w:rPr>
              <w:t>检查各送排风管排烟阀、送风阀手动复位开关，风管风口百叶等</w:t>
            </w:r>
            <w:r>
              <w:rPr>
                <w:rFonts w:hint="eastAsia"/>
                <w:sz w:val="21"/>
              </w:rPr>
              <w:t>，</w:t>
            </w:r>
            <w:r>
              <w:rPr>
                <w:sz w:val="21"/>
              </w:rPr>
              <w:t>每季度 1 次。</w:t>
            </w:r>
          </w:p>
        </w:tc>
        <w:tc>
          <w:tcPr>
            <w:tcW w:w="2277" w:type="pct"/>
            <w:noWrap w:val="0"/>
            <w:vAlign w:val="center"/>
          </w:tcPr>
          <w:p w14:paraId="05B088F3">
            <w:pPr>
              <w:pStyle w:val="25"/>
              <w:spacing w:before="41" w:line="242" w:lineRule="auto"/>
              <w:ind w:left="105" w:leftChars="50" w:right="105" w:rightChars="50"/>
              <w:jc w:val="both"/>
              <w:rPr>
                <w:sz w:val="21"/>
              </w:rPr>
            </w:pPr>
            <w:r>
              <w:rPr>
                <w:sz w:val="21"/>
              </w:rPr>
              <w:t xml:space="preserve">风阀开关位置正确（状态应处于正常状态），动作灵活、可靠，转动部位添加润滑油；风口百叶无缺片或损坏。 </w:t>
            </w:r>
          </w:p>
        </w:tc>
      </w:tr>
      <w:tr w14:paraId="673F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862" w:type="pct"/>
            <w:noWrap w:val="0"/>
            <w:vAlign w:val="center"/>
          </w:tcPr>
          <w:p w14:paraId="7760835A">
            <w:pPr>
              <w:pStyle w:val="25"/>
              <w:spacing w:before="2" w:line="360" w:lineRule="exact"/>
              <w:ind w:left="105" w:leftChars="50" w:right="105" w:rightChars="50"/>
              <w:jc w:val="center"/>
              <w:rPr>
                <w:sz w:val="21"/>
              </w:rPr>
            </w:pPr>
            <w:r>
              <w:rPr>
                <w:spacing w:val="-2"/>
                <w:sz w:val="21"/>
              </w:rPr>
              <w:t>风机的支承机</w:t>
            </w:r>
            <w:r>
              <w:rPr>
                <w:spacing w:val="-3"/>
                <w:sz w:val="21"/>
              </w:rPr>
              <w:t>座、防震弹簧</w:t>
            </w:r>
          </w:p>
        </w:tc>
        <w:tc>
          <w:tcPr>
            <w:tcW w:w="1859" w:type="pct"/>
            <w:noWrap w:val="0"/>
            <w:vAlign w:val="center"/>
          </w:tcPr>
          <w:p w14:paraId="256831E4">
            <w:pPr>
              <w:pStyle w:val="25"/>
              <w:spacing w:before="89" w:line="244" w:lineRule="auto"/>
              <w:ind w:left="105" w:leftChars="50" w:right="105" w:rightChars="50"/>
              <w:rPr>
                <w:sz w:val="21"/>
              </w:rPr>
            </w:pPr>
            <w:r>
              <w:rPr>
                <w:sz w:val="21"/>
              </w:rPr>
              <w:t>检查风机的支承机座、防震弹簧</w:t>
            </w:r>
            <w:r>
              <w:rPr>
                <w:rFonts w:hint="eastAsia"/>
                <w:sz w:val="21"/>
              </w:rPr>
              <w:t>，</w:t>
            </w:r>
            <w:r>
              <w:rPr>
                <w:sz w:val="21"/>
              </w:rPr>
              <w:t>每季度1次。</w:t>
            </w:r>
          </w:p>
        </w:tc>
        <w:tc>
          <w:tcPr>
            <w:tcW w:w="2277" w:type="pct"/>
            <w:noWrap w:val="0"/>
            <w:vAlign w:val="center"/>
          </w:tcPr>
          <w:p w14:paraId="773B9FEC">
            <w:pPr>
              <w:pStyle w:val="25"/>
              <w:ind w:left="105" w:leftChars="50" w:right="105" w:rightChars="50"/>
              <w:rPr>
                <w:sz w:val="21"/>
              </w:rPr>
            </w:pPr>
            <w:r>
              <w:rPr>
                <w:sz w:val="21"/>
              </w:rPr>
              <w:t xml:space="preserve">无锈蚀现象，功能良好。 </w:t>
            </w:r>
          </w:p>
        </w:tc>
      </w:tr>
      <w:tr w14:paraId="707E3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62" w:type="pct"/>
            <w:noWrap w:val="0"/>
            <w:vAlign w:val="center"/>
          </w:tcPr>
          <w:p w14:paraId="14398DA0">
            <w:pPr>
              <w:pStyle w:val="25"/>
              <w:spacing w:before="168"/>
              <w:ind w:left="105" w:leftChars="50" w:right="105" w:rightChars="50"/>
              <w:jc w:val="center"/>
              <w:rPr>
                <w:sz w:val="21"/>
              </w:rPr>
            </w:pPr>
            <w:r>
              <w:rPr>
                <w:sz w:val="21"/>
              </w:rPr>
              <w:t>风管软接头</w:t>
            </w:r>
          </w:p>
        </w:tc>
        <w:tc>
          <w:tcPr>
            <w:tcW w:w="1859" w:type="pct"/>
            <w:noWrap w:val="0"/>
            <w:vAlign w:val="center"/>
          </w:tcPr>
          <w:p w14:paraId="53DBA5E2">
            <w:pPr>
              <w:pStyle w:val="25"/>
              <w:spacing w:before="137"/>
              <w:ind w:left="105" w:leftChars="50" w:right="105" w:rightChars="50"/>
              <w:rPr>
                <w:sz w:val="21"/>
              </w:rPr>
            </w:pPr>
            <w:r>
              <w:rPr>
                <w:sz w:val="21"/>
              </w:rPr>
              <w:t>检查风管软接头</w:t>
            </w:r>
            <w:r>
              <w:rPr>
                <w:rFonts w:hint="eastAsia"/>
                <w:sz w:val="21"/>
              </w:rPr>
              <w:t>，</w:t>
            </w:r>
            <w:r>
              <w:rPr>
                <w:sz w:val="21"/>
              </w:rPr>
              <w:t>每季度1次。</w:t>
            </w:r>
          </w:p>
        </w:tc>
        <w:tc>
          <w:tcPr>
            <w:tcW w:w="2277" w:type="pct"/>
            <w:noWrap w:val="0"/>
            <w:vAlign w:val="center"/>
          </w:tcPr>
          <w:p w14:paraId="29E8EAE0">
            <w:pPr>
              <w:pStyle w:val="25"/>
              <w:ind w:left="105" w:leftChars="50" w:right="105" w:rightChars="50"/>
              <w:rPr>
                <w:sz w:val="21"/>
              </w:rPr>
            </w:pPr>
            <w:r>
              <w:rPr>
                <w:sz w:val="21"/>
              </w:rPr>
              <w:t xml:space="preserve">应无破损，螺丝应紧固、无松动现象。 </w:t>
            </w:r>
          </w:p>
        </w:tc>
      </w:tr>
      <w:tr w14:paraId="32852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862" w:type="pct"/>
            <w:noWrap w:val="0"/>
            <w:vAlign w:val="center"/>
          </w:tcPr>
          <w:p w14:paraId="77543CAC">
            <w:pPr>
              <w:pStyle w:val="25"/>
              <w:spacing w:before="77" w:line="321" w:lineRule="auto"/>
              <w:ind w:left="105" w:leftChars="50" w:right="105" w:rightChars="50"/>
              <w:jc w:val="center"/>
              <w:rPr>
                <w:sz w:val="21"/>
              </w:rPr>
            </w:pPr>
            <w:r>
              <w:rPr>
                <w:sz w:val="21"/>
              </w:rPr>
              <w:t>风管各接合面间的垫片和填</w:t>
            </w:r>
          </w:p>
          <w:p w14:paraId="411BD3FE">
            <w:pPr>
              <w:pStyle w:val="25"/>
              <w:spacing w:line="263" w:lineRule="exact"/>
              <w:ind w:left="105" w:leftChars="50" w:right="105" w:rightChars="50"/>
              <w:jc w:val="center"/>
              <w:rPr>
                <w:sz w:val="21"/>
              </w:rPr>
            </w:pPr>
            <w:r>
              <w:rPr>
                <w:sz w:val="21"/>
              </w:rPr>
              <w:t>料。</w:t>
            </w:r>
          </w:p>
        </w:tc>
        <w:tc>
          <w:tcPr>
            <w:tcW w:w="1859" w:type="pct"/>
            <w:noWrap w:val="0"/>
            <w:vAlign w:val="center"/>
          </w:tcPr>
          <w:p w14:paraId="3D485095">
            <w:pPr>
              <w:pStyle w:val="25"/>
              <w:ind w:left="105" w:leftChars="50" w:right="105" w:rightChars="50"/>
              <w:rPr>
                <w:sz w:val="21"/>
              </w:rPr>
            </w:pPr>
            <w:r>
              <w:rPr>
                <w:sz w:val="21"/>
              </w:rPr>
              <w:t>检查风管各接合面间的垫片和填料</w:t>
            </w:r>
            <w:r>
              <w:rPr>
                <w:rFonts w:hint="eastAsia"/>
                <w:sz w:val="21"/>
              </w:rPr>
              <w:t>，</w:t>
            </w:r>
            <w:r>
              <w:rPr>
                <w:sz w:val="21"/>
              </w:rPr>
              <w:t xml:space="preserve">每季度1 次。 </w:t>
            </w:r>
          </w:p>
        </w:tc>
        <w:tc>
          <w:tcPr>
            <w:tcW w:w="2277" w:type="pct"/>
            <w:noWrap w:val="0"/>
            <w:vAlign w:val="center"/>
          </w:tcPr>
          <w:p w14:paraId="6858C882">
            <w:pPr>
              <w:pStyle w:val="25"/>
              <w:spacing w:before="133" w:line="242" w:lineRule="auto"/>
              <w:ind w:left="105" w:leftChars="50" w:right="105" w:rightChars="50"/>
              <w:jc w:val="both"/>
              <w:rPr>
                <w:sz w:val="21"/>
              </w:rPr>
            </w:pPr>
            <w:r>
              <w:rPr>
                <w:sz w:val="21"/>
              </w:rPr>
              <w:t xml:space="preserve">风管与风管、风机进出口连接接合面应牢固无漏风现象。 </w:t>
            </w:r>
          </w:p>
        </w:tc>
      </w:tr>
    </w:tbl>
    <w:p w14:paraId="72431A6A">
      <w:pPr>
        <w:kinsoku w:val="0"/>
        <w:overflowPunct w:val="0"/>
        <w:autoSpaceDE w:val="0"/>
        <w:autoSpaceDN w:val="0"/>
        <w:adjustRightInd w:val="0"/>
        <w:snapToGrid w:val="0"/>
        <w:spacing w:line="276" w:lineRule="auto"/>
        <w:ind w:firstLine="560"/>
        <w:rPr>
          <w:rFonts w:ascii="宋体" w:hAnsi="宋体" w:cs="宋体"/>
          <w:bCs/>
          <w:sz w:val="28"/>
          <w:szCs w:val="28"/>
        </w:rPr>
      </w:pPr>
    </w:p>
    <w:p w14:paraId="47E2C5E4">
      <w:pPr>
        <w:spacing w:line="360" w:lineRule="auto"/>
        <w:ind w:firstLine="660" w:firstLineChars="275"/>
        <w:rPr>
          <w:rFonts w:ascii="宋体" w:hAnsi="宋体" w:cs="宋体"/>
          <w:sz w:val="24"/>
          <w:szCs w:val="24"/>
        </w:rPr>
      </w:pPr>
      <w:r>
        <w:rPr>
          <w:rFonts w:hint="eastAsia" w:ascii="宋体" w:hAnsi="宋体" w:cs="宋体"/>
          <w:sz w:val="24"/>
          <w:szCs w:val="24"/>
        </w:rPr>
        <w:t>（5）防火卷帘系统</w:t>
      </w:r>
    </w:p>
    <w:tbl>
      <w:tblPr>
        <w:tblStyle w:val="18"/>
        <w:tblW w:w="5143" w:type="pct"/>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6"/>
        <w:gridCol w:w="4665"/>
        <w:gridCol w:w="2765"/>
      </w:tblGrid>
      <w:tr w14:paraId="33083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43" w:type="pct"/>
            <w:noWrap w:val="0"/>
            <w:vAlign w:val="top"/>
          </w:tcPr>
          <w:p w14:paraId="6E240958">
            <w:pPr>
              <w:pStyle w:val="25"/>
              <w:spacing w:before="3" w:line="250" w:lineRule="exact"/>
              <w:jc w:val="center"/>
              <w:rPr>
                <w:b/>
                <w:bCs/>
                <w:sz w:val="21"/>
              </w:rPr>
            </w:pPr>
            <w:r>
              <w:rPr>
                <w:b/>
                <w:bCs/>
                <w:sz w:val="21"/>
              </w:rPr>
              <w:t>项目</w:t>
            </w:r>
          </w:p>
        </w:tc>
        <w:tc>
          <w:tcPr>
            <w:tcW w:w="2736" w:type="pct"/>
            <w:noWrap w:val="0"/>
            <w:vAlign w:val="top"/>
          </w:tcPr>
          <w:p w14:paraId="6BD57817">
            <w:pPr>
              <w:pStyle w:val="25"/>
              <w:spacing w:before="3" w:line="250" w:lineRule="exact"/>
              <w:ind w:left="1039" w:firstLine="420"/>
              <w:jc w:val="center"/>
              <w:rPr>
                <w:b/>
                <w:bCs/>
                <w:sz w:val="21"/>
              </w:rPr>
            </w:pPr>
            <w:r>
              <w:rPr>
                <w:b/>
                <w:bCs/>
                <w:sz w:val="21"/>
              </w:rPr>
              <w:t>维修保养检查内容及频次</w:t>
            </w:r>
          </w:p>
        </w:tc>
        <w:tc>
          <w:tcPr>
            <w:tcW w:w="1621" w:type="pct"/>
            <w:noWrap w:val="0"/>
            <w:vAlign w:val="top"/>
          </w:tcPr>
          <w:p w14:paraId="18E8FC39">
            <w:pPr>
              <w:pStyle w:val="25"/>
              <w:spacing w:before="3" w:line="250" w:lineRule="exact"/>
              <w:jc w:val="center"/>
              <w:rPr>
                <w:b/>
                <w:bCs/>
                <w:sz w:val="21"/>
              </w:rPr>
            </w:pPr>
            <w:r>
              <w:rPr>
                <w:b/>
                <w:bCs/>
                <w:sz w:val="21"/>
              </w:rPr>
              <w:t>标准</w:t>
            </w:r>
          </w:p>
        </w:tc>
      </w:tr>
      <w:tr w14:paraId="6F7FF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43" w:type="pct"/>
            <w:noWrap w:val="0"/>
            <w:vAlign w:val="center"/>
          </w:tcPr>
          <w:p w14:paraId="3013D8D6">
            <w:pPr>
              <w:pStyle w:val="25"/>
              <w:spacing w:before="137"/>
              <w:ind w:left="105" w:leftChars="50" w:right="105" w:rightChars="50"/>
              <w:jc w:val="center"/>
              <w:rPr>
                <w:sz w:val="21"/>
              </w:rPr>
            </w:pPr>
            <w:r>
              <w:rPr>
                <w:spacing w:val="-3"/>
                <w:sz w:val="21"/>
              </w:rPr>
              <w:t>防火卷帘外观</w:t>
            </w:r>
          </w:p>
        </w:tc>
        <w:tc>
          <w:tcPr>
            <w:tcW w:w="2736" w:type="pct"/>
            <w:noWrap w:val="0"/>
            <w:vAlign w:val="center"/>
          </w:tcPr>
          <w:p w14:paraId="01AED569">
            <w:pPr>
              <w:pStyle w:val="25"/>
              <w:spacing w:before="1"/>
              <w:ind w:left="105" w:leftChars="50" w:right="105" w:rightChars="50"/>
              <w:jc w:val="center"/>
              <w:rPr>
                <w:sz w:val="21"/>
              </w:rPr>
            </w:pPr>
            <w:r>
              <w:rPr>
                <w:sz w:val="21"/>
              </w:rPr>
              <w:t>防火卷帘外观检查， 是否收到位，不影响租户;每</w:t>
            </w:r>
            <w:r>
              <w:rPr>
                <w:rFonts w:hint="eastAsia"/>
                <w:sz w:val="21"/>
                <w:lang w:val="en-US"/>
              </w:rPr>
              <w:t>季度</w:t>
            </w:r>
            <w:r>
              <w:rPr>
                <w:sz w:val="21"/>
              </w:rPr>
              <w:t>一次</w:t>
            </w:r>
          </w:p>
        </w:tc>
        <w:tc>
          <w:tcPr>
            <w:tcW w:w="1621" w:type="pct"/>
            <w:noWrap w:val="0"/>
            <w:vAlign w:val="center"/>
          </w:tcPr>
          <w:p w14:paraId="4AFCAD9E">
            <w:pPr>
              <w:pStyle w:val="25"/>
              <w:spacing w:before="137"/>
              <w:ind w:left="105" w:leftChars="50" w:right="105" w:rightChars="50" w:firstLine="420"/>
              <w:jc w:val="center"/>
              <w:rPr>
                <w:sz w:val="21"/>
              </w:rPr>
            </w:pPr>
            <w:r>
              <w:rPr>
                <w:sz w:val="21"/>
              </w:rPr>
              <w:t>收卷到位，落地平整。</w:t>
            </w:r>
          </w:p>
        </w:tc>
      </w:tr>
      <w:tr w14:paraId="1B0DC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643" w:type="pct"/>
            <w:noWrap w:val="0"/>
            <w:vAlign w:val="center"/>
          </w:tcPr>
          <w:p w14:paraId="2331208B">
            <w:pPr>
              <w:pStyle w:val="25"/>
              <w:spacing w:before="155" w:line="242" w:lineRule="auto"/>
              <w:ind w:left="105" w:leftChars="50" w:right="105" w:rightChars="50"/>
              <w:jc w:val="center"/>
              <w:rPr>
                <w:sz w:val="21"/>
              </w:rPr>
            </w:pPr>
            <w:r>
              <w:rPr>
                <w:sz w:val="21"/>
              </w:rPr>
              <w:t>防火卷帘控制箱</w:t>
            </w:r>
          </w:p>
        </w:tc>
        <w:tc>
          <w:tcPr>
            <w:tcW w:w="2736" w:type="pct"/>
            <w:noWrap w:val="0"/>
            <w:vAlign w:val="center"/>
          </w:tcPr>
          <w:p w14:paraId="0743B429">
            <w:pPr>
              <w:pStyle w:val="25"/>
              <w:spacing w:before="3" w:line="242" w:lineRule="auto"/>
              <w:ind w:left="105" w:leftChars="50" w:right="105" w:rightChars="50"/>
              <w:jc w:val="center"/>
              <w:rPr>
                <w:sz w:val="21"/>
              </w:rPr>
            </w:pPr>
            <w:r>
              <w:rPr>
                <w:sz w:val="21"/>
              </w:rPr>
              <w:t>检查紧固线路、自动控制功能、手动控制功能、火灾报警功能、声光报警器报警功能、信号反馈功能、延时功能、手动急停优先功能、故障报警功能，检查箱内备用电池功能和状态，每</w:t>
            </w:r>
            <w:r>
              <w:rPr>
                <w:rFonts w:hint="eastAsia"/>
                <w:sz w:val="21"/>
                <w:lang w:val="en-US"/>
              </w:rPr>
              <w:t>季度</w:t>
            </w:r>
            <w:r>
              <w:rPr>
                <w:sz w:val="21"/>
              </w:rPr>
              <w:t>一次</w:t>
            </w:r>
          </w:p>
        </w:tc>
        <w:tc>
          <w:tcPr>
            <w:tcW w:w="1621" w:type="pct"/>
            <w:noWrap w:val="0"/>
            <w:vAlign w:val="center"/>
          </w:tcPr>
          <w:p w14:paraId="5EED3FBE">
            <w:pPr>
              <w:pStyle w:val="25"/>
              <w:spacing w:before="155" w:line="242" w:lineRule="auto"/>
              <w:ind w:left="105" w:leftChars="50" w:right="105" w:rightChars="50"/>
              <w:jc w:val="center"/>
              <w:rPr>
                <w:sz w:val="21"/>
              </w:rPr>
            </w:pPr>
            <w:r>
              <w:rPr>
                <w:sz w:val="21"/>
              </w:rPr>
              <w:t>接线牢固，箱内无灰尘， 工作正常，无故障。</w:t>
            </w:r>
          </w:p>
        </w:tc>
      </w:tr>
      <w:tr w14:paraId="11E1C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43" w:type="pct"/>
            <w:noWrap w:val="0"/>
            <w:vAlign w:val="center"/>
          </w:tcPr>
          <w:p w14:paraId="19E5F6BE">
            <w:pPr>
              <w:pStyle w:val="25"/>
              <w:spacing w:line="242" w:lineRule="auto"/>
              <w:ind w:left="105" w:leftChars="50" w:right="105" w:rightChars="50"/>
              <w:jc w:val="center"/>
              <w:rPr>
                <w:sz w:val="21"/>
              </w:rPr>
            </w:pPr>
            <w:r>
              <w:rPr>
                <w:sz w:val="21"/>
              </w:rPr>
              <w:t>防火卷帘控制盒</w:t>
            </w:r>
          </w:p>
        </w:tc>
        <w:tc>
          <w:tcPr>
            <w:tcW w:w="2736" w:type="pct"/>
            <w:noWrap w:val="0"/>
            <w:vAlign w:val="center"/>
          </w:tcPr>
          <w:p w14:paraId="65CA31AC">
            <w:pPr>
              <w:pStyle w:val="25"/>
              <w:spacing w:before="153"/>
              <w:ind w:left="105" w:leftChars="50" w:right="105" w:rightChars="50"/>
              <w:jc w:val="center"/>
              <w:rPr>
                <w:sz w:val="21"/>
              </w:rPr>
            </w:pPr>
            <w:r>
              <w:rPr>
                <w:sz w:val="21"/>
              </w:rPr>
              <w:t>检查紧固线路、测试按键功能。每</w:t>
            </w:r>
            <w:r>
              <w:rPr>
                <w:rFonts w:hint="eastAsia"/>
                <w:sz w:val="21"/>
                <w:lang w:val="en-US"/>
              </w:rPr>
              <w:t>季度</w:t>
            </w:r>
            <w:r>
              <w:rPr>
                <w:sz w:val="21"/>
              </w:rPr>
              <w:t>一次</w:t>
            </w:r>
          </w:p>
        </w:tc>
        <w:tc>
          <w:tcPr>
            <w:tcW w:w="1621" w:type="pct"/>
            <w:noWrap w:val="0"/>
            <w:vAlign w:val="center"/>
          </w:tcPr>
          <w:p w14:paraId="3CC986D1">
            <w:pPr>
              <w:pStyle w:val="25"/>
              <w:spacing w:before="1" w:line="242" w:lineRule="auto"/>
              <w:ind w:left="105" w:leftChars="50" w:right="105" w:rightChars="50"/>
              <w:jc w:val="center"/>
              <w:rPr>
                <w:sz w:val="21"/>
              </w:rPr>
            </w:pPr>
            <w:r>
              <w:rPr>
                <w:sz w:val="21"/>
              </w:rPr>
              <w:t>盒体外观干净完整、无变形，接线牢固，盒内清洁无积尘，各按键灵活、功能正常。</w:t>
            </w:r>
          </w:p>
        </w:tc>
      </w:tr>
      <w:tr w14:paraId="773BF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643" w:type="pct"/>
            <w:noWrap w:val="0"/>
            <w:vAlign w:val="center"/>
          </w:tcPr>
          <w:p w14:paraId="294B81BF">
            <w:pPr>
              <w:pStyle w:val="25"/>
              <w:spacing w:line="242" w:lineRule="auto"/>
              <w:ind w:left="105" w:leftChars="50" w:right="105" w:rightChars="50"/>
              <w:jc w:val="center"/>
              <w:rPr>
                <w:sz w:val="21"/>
              </w:rPr>
            </w:pPr>
            <w:r>
              <w:rPr>
                <w:sz w:val="21"/>
              </w:rPr>
              <w:t>帘布，帘片，门楣、电机、轨道等</w:t>
            </w:r>
          </w:p>
        </w:tc>
        <w:tc>
          <w:tcPr>
            <w:tcW w:w="2736" w:type="pct"/>
            <w:noWrap w:val="0"/>
            <w:vAlign w:val="center"/>
          </w:tcPr>
          <w:p w14:paraId="1A02E578">
            <w:pPr>
              <w:pStyle w:val="25"/>
              <w:spacing w:before="1" w:line="242" w:lineRule="auto"/>
              <w:ind w:left="105" w:leftChars="50" w:right="105" w:rightChars="50"/>
              <w:jc w:val="center"/>
              <w:rPr>
                <w:sz w:val="21"/>
              </w:rPr>
            </w:pPr>
            <w:r>
              <w:rPr>
                <w:sz w:val="21"/>
              </w:rPr>
              <w:t>检查帘布是否有破损、帘片是否挤压变形， 是否有卡阻及刮门楣现象，检查轨道是否变形、轨道沿线有无障碍物阻挡门帘的前进； 检查钢丝绳是否完好，卷筒滑轮工作是否灵活；机械部件检查状态，对机械活动件添加润滑油，就地和远程联动测试；每</w:t>
            </w:r>
            <w:r>
              <w:rPr>
                <w:rFonts w:hint="eastAsia"/>
                <w:sz w:val="21"/>
                <w:lang w:val="en-US"/>
              </w:rPr>
              <w:t>季度</w:t>
            </w:r>
            <w:r>
              <w:rPr>
                <w:sz w:val="21"/>
              </w:rPr>
              <w:t>一次。</w:t>
            </w:r>
          </w:p>
        </w:tc>
        <w:tc>
          <w:tcPr>
            <w:tcW w:w="1621" w:type="pct"/>
            <w:noWrap w:val="0"/>
            <w:vAlign w:val="center"/>
          </w:tcPr>
          <w:p w14:paraId="4E543626">
            <w:pPr>
              <w:pStyle w:val="25"/>
              <w:spacing w:line="242" w:lineRule="auto"/>
              <w:ind w:left="105" w:leftChars="50" w:right="105" w:rightChars="50"/>
              <w:jc w:val="center"/>
              <w:rPr>
                <w:sz w:val="21"/>
              </w:rPr>
            </w:pPr>
            <w:r>
              <w:rPr>
                <w:spacing w:val="-3"/>
                <w:sz w:val="21"/>
              </w:rPr>
              <w:t>帘片、帘布完好，手动和联动测试卷帘门运行顺  畅，无卡阻现象；钢丝绳完整无断丝，滑轮无锈  蚀，机械部件灵活、可靠</w:t>
            </w:r>
          </w:p>
        </w:tc>
      </w:tr>
      <w:tr w14:paraId="14DB1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43" w:type="pct"/>
            <w:noWrap w:val="0"/>
            <w:vAlign w:val="center"/>
          </w:tcPr>
          <w:p w14:paraId="3EF34B2D">
            <w:pPr>
              <w:pStyle w:val="25"/>
              <w:spacing w:before="1" w:line="252" w:lineRule="exact"/>
              <w:ind w:left="105" w:leftChars="50" w:right="105" w:rightChars="50" w:firstLine="420"/>
              <w:jc w:val="center"/>
              <w:rPr>
                <w:sz w:val="21"/>
              </w:rPr>
            </w:pPr>
            <w:r>
              <w:rPr>
                <w:sz w:val="21"/>
              </w:rPr>
              <w:t>记录</w:t>
            </w:r>
          </w:p>
        </w:tc>
        <w:tc>
          <w:tcPr>
            <w:tcW w:w="2736" w:type="pct"/>
            <w:noWrap w:val="0"/>
            <w:vAlign w:val="center"/>
          </w:tcPr>
          <w:p w14:paraId="4C2DDAA7">
            <w:pPr>
              <w:pStyle w:val="25"/>
              <w:spacing w:before="1" w:line="252" w:lineRule="exact"/>
              <w:ind w:left="105" w:leftChars="50" w:right="105" w:rightChars="50" w:firstLine="420"/>
              <w:jc w:val="center"/>
              <w:rPr>
                <w:sz w:val="21"/>
              </w:rPr>
            </w:pPr>
            <w:r>
              <w:rPr>
                <w:sz w:val="21"/>
              </w:rPr>
              <w:t>对防火卷帘门系统维修保养有记录。</w:t>
            </w:r>
          </w:p>
        </w:tc>
        <w:tc>
          <w:tcPr>
            <w:tcW w:w="1621" w:type="pct"/>
            <w:noWrap w:val="0"/>
            <w:vAlign w:val="center"/>
          </w:tcPr>
          <w:p w14:paraId="72FD82AD">
            <w:pPr>
              <w:pStyle w:val="25"/>
              <w:spacing w:before="1" w:line="252" w:lineRule="exact"/>
              <w:ind w:left="105" w:leftChars="50" w:right="105" w:rightChars="50" w:firstLine="420"/>
              <w:jc w:val="center"/>
              <w:rPr>
                <w:sz w:val="21"/>
              </w:rPr>
            </w:pPr>
            <w:r>
              <w:rPr>
                <w:sz w:val="21"/>
              </w:rPr>
              <w:t>记录及时、完整。</w:t>
            </w:r>
          </w:p>
        </w:tc>
      </w:tr>
    </w:tbl>
    <w:p w14:paraId="0C646D17">
      <w:pPr>
        <w:kinsoku w:val="0"/>
        <w:overflowPunct w:val="0"/>
        <w:autoSpaceDE w:val="0"/>
        <w:autoSpaceDN w:val="0"/>
        <w:adjustRightInd w:val="0"/>
        <w:snapToGrid w:val="0"/>
        <w:spacing w:line="276" w:lineRule="auto"/>
        <w:ind w:firstLine="560"/>
        <w:rPr>
          <w:rFonts w:ascii="宋体" w:hAnsi="宋体" w:cs="宋体"/>
          <w:bCs/>
          <w:sz w:val="28"/>
          <w:szCs w:val="28"/>
        </w:rPr>
      </w:pPr>
    </w:p>
    <w:p w14:paraId="66E4C64F">
      <w:pPr>
        <w:spacing w:line="360" w:lineRule="auto"/>
        <w:ind w:firstLine="660" w:firstLineChars="275"/>
        <w:rPr>
          <w:rFonts w:ascii="宋体" w:hAnsi="宋体" w:cs="宋体"/>
          <w:sz w:val="24"/>
          <w:szCs w:val="24"/>
        </w:rPr>
      </w:pPr>
      <w:r>
        <w:rPr>
          <w:rFonts w:hint="eastAsia" w:ascii="宋体" w:hAnsi="宋体" w:cs="宋体"/>
          <w:sz w:val="24"/>
          <w:szCs w:val="24"/>
        </w:rPr>
        <w:t>（6）气体灭火系统</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5"/>
        <w:gridCol w:w="4887"/>
        <w:gridCol w:w="2187"/>
      </w:tblGrid>
      <w:tr w14:paraId="7E090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3" w:type="pct"/>
            <w:noWrap w:val="0"/>
            <w:vAlign w:val="center"/>
          </w:tcPr>
          <w:p w14:paraId="61CA9D6F">
            <w:pPr>
              <w:pStyle w:val="25"/>
              <w:spacing w:line="252" w:lineRule="exact"/>
              <w:jc w:val="center"/>
              <w:rPr>
                <w:b/>
                <w:bCs/>
                <w:sz w:val="21"/>
              </w:rPr>
            </w:pPr>
            <w:r>
              <w:rPr>
                <w:b/>
                <w:bCs/>
                <w:sz w:val="21"/>
              </w:rPr>
              <w:t>项目</w:t>
            </w:r>
          </w:p>
        </w:tc>
        <w:tc>
          <w:tcPr>
            <w:tcW w:w="2948" w:type="pct"/>
            <w:noWrap w:val="0"/>
            <w:vAlign w:val="center"/>
          </w:tcPr>
          <w:p w14:paraId="054D7C99">
            <w:pPr>
              <w:pStyle w:val="25"/>
              <w:spacing w:line="252" w:lineRule="exact"/>
              <w:ind w:right="921" w:firstLine="420"/>
              <w:jc w:val="center"/>
              <w:rPr>
                <w:b/>
                <w:bCs/>
                <w:sz w:val="21"/>
              </w:rPr>
            </w:pPr>
            <w:r>
              <w:rPr>
                <w:b/>
                <w:bCs/>
                <w:sz w:val="21"/>
              </w:rPr>
              <w:t>维修保养检查内容及频次</w:t>
            </w:r>
          </w:p>
        </w:tc>
        <w:tc>
          <w:tcPr>
            <w:tcW w:w="1319" w:type="pct"/>
            <w:noWrap w:val="0"/>
            <w:vAlign w:val="center"/>
          </w:tcPr>
          <w:p w14:paraId="10810E52">
            <w:pPr>
              <w:pStyle w:val="25"/>
              <w:spacing w:line="252" w:lineRule="exact"/>
              <w:ind w:left="111" w:firstLine="420"/>
              <w:jc w:val="center"/>
              <w:rPr>
                <w:b/>
                <w:bCs/>
                <w:sz w:val="21"/>
              </w:rPr>
            </w:pPr>
            <w:r>
              <w:rPr>
                <w:b/>
                <w:bCs/>
                <w:sz w:val="21"/>
              </w:rPr>
              <w:t>标准</w:t>
            </w:r>
          </w:p>
        </w:tc>
      </w:tr>
      <w:tr w14:paraId="6F12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733" w:type="pct"/>
            <w:noWrap w:val="0"/>
            <w:vAlign w:val="center"/>
          </w:tcPr>
          <w:p w14:paraId="1068BDC0">
            <w:pPr>
              <w:pStyle w:val="25"/>
              <w:spacing w:before="137"/>
              <w:ind w:left="4"/>
              <w:jc w:val="center"/>
              <w:rPr>
                <w:sz w:val="21"/>
              </w:rPr>
            </w:pPr>
            <w:r>
              <w:rPr>
                <w:sz w:val="21"/>
              </w:rPr>
              <w:t>现场探测器</w:t>
            </w:r>
          </w:p>
        </w:tc>
        <w:tc>
          <w:tcPr>
            <w:tcW w:w="2948" w:type="pct"/>
            <w:noWrap w:val="0"/>
            <w:vAlign w:val="center"/>
          </w:tcPr>
          <w:p w14:paraId="16B4B866">
            <w:pPr>
              <w:pStyle w:val="25"/>
              <w:spacing w:before="1"/>
              <w:jc w:val="center"/>
              <w:rPr>
                <w:sz w:val="21"/>
              </w:rPr>
            </w:pPr>
            <w:r>
              <w:rPr>
                <w:sz w:val="21"/>
              </w:rPr>
              <w:t>检查报警系统是否灵敏，外观是否完好，是否处于工作状态</w:t>
            </w:r>
            <w:r>
              <w:rPr>
                <w:rFonts w:hint="eastAsia"/>
                <w:sz w:val="21"/>
              </w:rPr>
              <w:t>，</w:t>
            </w:r>
            <w:r>
              <w:rPr>
                <w:sz w:val="21"/>
              </w:rPr>
              <w:t>每季度一次。</w:t>
            </w:r>
          </w:p>
        </w:tc>
        <w:tc>
          <w:tcPr>
            <w:tcW w:w="1319" w:type="pct"/>
            <w:noWrap w:val="0"/>
            <w:vAlign w:val="center"/>
          </w:tcPr>
          <w:p w14:paraId="316597DF">
            <w:pPr>
              <w:pStyle w:val="25"/>
              <w:spacing w:before="1"/>
              <w:ind w:left="122"/>
              <w:jc w:val="center"/>
              <w:rPr>
                <w:sz w:val="21"/>
              </w:rPr>
            </w:pPr>
            <w:r>
              <w:rPr>
                <w:sz w:val="21"/>
              </w:rPr>
              <w:t>气体灭火系统工作正常，</w:t>
            </w:r>
          </w:p>
          <w:p w14:paraId="054AE9E4">
            <w:pPr>
              <w:pStyle w:val="25"/>
              <w:spacing w:before="4" w:line="250" w:lineRule="exact"/>
              <w:jc w:val="center"/>
              <w:rPr>
                <w:sz w:val="21"/>
              </w:rPr>
            </w:pPr>
            <w:r>
              <w:rPr>
                <w:sz w:val="21"/>
              </w:rPr>
              <w:t>无故障。</w:t>
            </w:r>
          </w:p>
        </w:tc>
      </w:tr>
      <w:tr w14:paraId="14692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733" w:type="pct"/>
            <w:noWrap w:val="0"/>
            <w:vAlign w:val="center"/>
          </w:tcPr>
          <w:p w14:paraId="78E7FD11">
            <w:pPr>
              <w:pStyle w:val="25"/>
              <w:spacing w:before="1"/>
              <w:ind w:left="4"/>
              <w:jc w:val="center"/>
              <w:rPr>
                <w:sz w:val="21"/>
              </w:rPr>
            </w:pPr>
            <w:r>
              <w:rPr>
                <w:sz w:val="21"/>
              </w:rPr>
              <w:t>声光报警器、</w:t>
            </w:r>
          </w:p>
          <w:p w14:paraId="51D7DFE7">
            <w:pPr>
              <w:pStyle w:val="25"/>
              <w:spacing w:before="3" w:line="270" w:lineRule="atLeast"/>
              <w:ind w:right="88"/>
              <w:jc w:val="center"/>
              <w:rPr>
                <w:sz w:val="21"/>
              </w:rPr>
            </w:pPr>
            <w:r>
              <w:rPr>
                <w:sz w:val="21"/>
              </w:rPr>
              <w:t>警铃、放气指示灯</w:t>
            </w:r>
          </w:p>
        </w:tc>
        <w:tc>
          <w:tcPr>
            <w:tcW w:w="2948" w:type="pct"/>
            <w:noWrap w:val="0"/>
            <w:vAlign w:val="center"/>
          </w:tcPr>
          <w:p w14:paraId="1EDEFF25">
            <w:pPr>
              <w:pStyle w:val="25"/>
              <w:spacing w:before="1"/>
              <w:jc w:val="center"/>
              <w:rPr>
                <w:sz w:val="21"/>
              </w:rPr>
            </w:pPr>
            <w:r>
              <w:rPr>
                <w:sz w:val="21"/>
              </w:rPr>
              <w:t>检查声光报警器、警铃、放气指示灯外观是否清洁、完好，测试功能是否正常</w:t>
            </w:r>
            <w:r>
              <w:rPr>
                <w:rFonts w:hint="eastAsia"/>
                <w:sz w:val="21"/>
              </w:rPr>
              <w:t>，</w:t>
            </w:r>
            <w:r>
              <w:rPr>
                <w:sz w:val="21"/>
              </w:rPr>
              <w:t>每季度一次。</w:t>
            </w:r>
          </w:p>
        </w:tc>
        <w:tc>
          <w:tcPr>
            <w:tcW w:w="1319" w:type="pct"/>
            <w:noWrap w:val="0"/>
            <w:vAlign w:val="center"/>
          </w:tcPr>
          <w:p w14:paraId="3C2ED110">
            <w:pPr>
              <w:pStyle w:val="25"/>
              <w:spacing w:before="137" w:line="242" w:lineRule="auto"/>
              <w:ind w:left="122" w:right="242"/>
              <w:jc w:val="center"/>
              <w:rPr>
                <w:sz w:val="21"/>
              </w:rPr>
            </w:pPr>
            <w:r>
              <w:rPr>
                <w:sz w:val="21"/>
              </w:rPr>
              <w:t>气体灭火系统工作正常，无故障。</w:t>
            </w:r>
          </w:p>
        </w:tc>
      </w:tr>
      <w:tr w14:paraId="1084A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733" w:type="pct"/>
            <w:noWrap w:val="0"/>
            <w:vAlign w:val="center"/>
          </w:tcPr>
          <w:p w14:paraId="676143B7">
            <w:pPr>
              <w:pStyle w:val="25"/>
              <w:jc w:val="center"/>
              <w:rPr>
                <w:sz w:val="21"/>
              </w:rPr>
            </w:pPr>
            <w:r>
              <w:rPr>
                <w:sz w:val="21"/>
              </w:rPr>
              <w:t>喷嘴</w:t>
            </w:r>
          </w:p>
        </w:tc>
        <w:tc>
          <w:tcPr>
            <w:tcW w:w="2948" w:type="pct"/>
            <w:noWrap w:val="0"/>
            <w:vAlign w:val="center"/>
          </w:tcPr>
          <w:p w14:paraId="154AC7F4">
            <w:pPr>
              <w:pStyle w:val="25"/>
              <w:spacing w:before="1" w:line="242" w:lineRule="auto"/>
              <w:ind w:left="124" w:right="259"/>
              <w:jc w:val="center"/>
              <w:rPr>
                <w:sz w:val="21"/>
              </w:rPr>
            </w:pPr>
            <w:r>
              <w:rPr>
                <w:spacing w:val="-3"/>
                <w:sz w:val="21"/>
              </w:rPr>
              <w:t xml:space="preserve">检查喷嘴有无变形、损伤、锈蚀、脱落松 </w:t>
            </w:r>
            <w:r>
              <w:rPr>
                <w:spacing w:val="-4"/>
                <w:sz w:val="21"/>
              </w:rPr>
              <w:t>动，检查开孔是否畅通，有无灰尘粘结</w:t>
            </w:r>
            <w:r>
              <w:rPr>
                <w:rFonts w:hint="eastAsia"/>
                <w:spacing w:val="-4"/>
                <w:sz w:val="21"/>
              </w:rPr>
              <w:t>，</w:t>
            </w:r>
            <w:r>
              <w:rPr>
                <w:spacing w:val="-4"/>
                <w:sz w:val="21"/>
              </w:rPr>
              <w:t>每</w:t>
            </w:r>
            <w:r>
              <w:rPr>
                <w:sz w:val="21"/>
              </w:rPr>
              <w:t>季度一次。</w:t>
            </w:r>
          </w:p>
        </w:tc>
        <w:tc>
          <w:tcPr>
            <w:tcW w:w="1319" w:type="pct"/>
            <w:noWrap w:val="0"/>
            <w:vAlign w:val="center"/>
          </w:tcPr>
          <w:p w14:paraId="0A667E52">
            <w:pPr>
              <w:pStyle w:val="25"/>
              <w:spacing w:before="137" w:line="242" w:lineRule="auto"/>
              <w:ind w:left="122" w:right="242"/>
              <w:jc w:val="center"/>
              <w:rPr>
                <w:sz w:val="21"/>
              </w:rPr>
            </w:pPr>
            <w:r>
              <w:rPr>
                <w:sz w:val="21"/>
              </w:rPr>
              <w:t>气体灭火系统工作正常，无故障。</w:t>
            </w:r>
          </w:p>
        </w:tc>
      </w:tr>
      <w:tr w14:paraId="7A8EB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733" w:type="pct"/>
            <w:noWrap w:val="0"/>
            <w:vAlign w:val="center"/>
          </w:tcPr>
          <w:p w14:paraId="0A998F8F">
            <w:pPr>
              <w:pStyle w:val="25"/>
              <w:spacing w:before="137" w:line="244" w:lineRule="auto"/>
              <w:ind w:right="88"/>
              <w:jc w:val="center"/>
              <w:rPr>
                <w:sz w:val="21"/>
              </w:rPr>
            </w:pPr>
            <w:r>
              <w:rPr>
                <w:sz w:val="21"/>
              </w:rPr>
              <w:t>灭火剂储存容器</w:t>
            </w:r>
          </w:p>
        </w:tc>
        <w:tc>
          <w:tcPr>
            <w:tcW w:w="2948" w:type="pct"/>
            <w:noWrap w:val="0"/>
            <w:vAlign w:val="center"/>
          </w:tcPr>
          <w:p w14:paraId="23EE7299">
            <w:pPr>
              <w:pStyle w:val="25"/>
              <w:spacing w:before="3" w:line="242" w:lineRule="auto"/>
              <w:ind w:left="124" w:right="259"/>
              <w:jc w:val="center"/>
              <w:rPr>
                <w:sz w:val="21"/>
              </w:rPr>
            </w:pPr>
            <w:r>
              <w:rPr>
                <w:sz w:val="21"/>
              </w:rPr>
              <w:t>检查外观有无腐蚀和脱落现象，容器是否符合数量，压力是否符合设计要求</w:t>
            </w:r>
            <w:r>
              <w:rPr>
                <w:rFonts w:hint="eastAsia"/>
                <w:sz w:val="21"/>
              </w:rPr>
              <w:t>，</w:t>
            </w:r>
            <w:r>
              <w:rPr>
                <w:sz w:val="21"/>
              </w:rPr>
              <w:t>每季度一次。</w:t>
            </w:r>
          </w:p>
        </w:tc>
        <w:tc>
          <w:tcPr>
            <w:tcW w:w="1319" w:type="pct"/>
            <w:noWrap w:val="0"/>
            <w:vAlign w:val="center"/>
          </w:tcPr>
          <w:p w14:paraId="482446AA">
            <w:pPr>
              <w:pStyle w:val="25"/>
              <w:spacing w:before="137" w:line="244" w:lineRule="auto"/>
              <w:ind w:left="122" w:right="242"/>
              <w:jc w:val="center"/>
              <w:rPr>
                <w:sz w:val="21"/>
              </w:rPr>
            </w:pPr>
            <w:r>
              <w:rPr>
                <w:sz w:val="21"/>
              </w:rPr>
              <w:t>气体灭火系统工作正常，无故障。</w:t>
            </w:r>
          </w:p>
        </w:tc>
      </w:tr>
      <w:tr w14:paraId="3F00B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733" w:type="pct"/>
            <w:noWrap w:val="0"/>
            <w:vAlign w:val="center"/>
          </w:tcPr>
          <w:p w14:paraId="09DD21BF">
            <w:pPr>
              <w:pStyle w:val="25"/>
              <w:spacing w:line="242" w:lineRule="auto"/>
              <w:ind w:right="-15"/>
              <w:jc w:val="center"/>
              <w:rPr>
                <w:sz w:val="21"/>
              </w:rPr>
            </w:pPr>
            <w:r>
              <w:rPr>
                <w:spacing w:val="-1"/>
                <w:sz w:val="21"/>
              </w:rPr>
              <w:t xml:space="preserve">容器阀、管  </w:t>
            </w:r>
            <w:r>
              <w:rPr>
                <w:spacing w:val="-3"/>
                <w:sz w:val="21"/>
              </w:rPr>
              <w:t>道、管道组件</w:t>
            </w:r>
          </w:p>
        </w:tc>
        <w:tc>
          <w:tcPr>
            <w:tcW w:w="2948" w:type="pct"/>
            <w:noWrap w:val="0"/>
            <w:vAlign w:val="center"/>
          </w:tcPr>
          <w:p w14:paraId="045F0B19">
            <w:pPr>
              <w:pStyle w:val="25"/>
              <w:spacing w:before="1" w:line="242" w:lineRule="auto"/>
              <w:ind w:left="124" w:right="259"/>
              <w:jc w:val="center"/>
              <w:rPr>
                <w:sz w:val="21"/>
              </w:rPr>
            </w:pPr>
            <w:r>
              <w:rPr>
                <w:spacing w:val="-4"/>
                <w:sz w:val="21"/>
              </w:rPr>
              <w:t>检查容器阀有无松动变形、损伤，集流管有无变形、腐蚀、损伤，设备吊、支架固定、各螺纹连接部分有无松动，检查驱动装置压</w:t>
            </w:r>
            <w:r>
              <w:rPr>
                <w:spacing w:val="-6"/>
                <w:sz w:val="21"/>
              </w:rPr>
              <w:t xml:space="preserve">力不少于设计存储压力 </w:t>
            </w:r>
            <w:r>
              <w:rPr>
                <w:sz w:val="21"/>
              </w:rPr>
              <w:t>90</w:t>
            </w:r>
            <w:r>
              <w:rPr>
                <w:spacing w:val="-3"/>
                <w:sz w:val="21"/>
              </w:rPr>
              <w:t>%</w:t>
            </w:r>
            <w:r>
              <w:rPr>
                <w:rFonts w:hint="eastAsia"/>
                <w:spacing w:val="-3"/>
                <w:sz w:val="21"/>
              </w:rPr>
              <w:t>，</w:t>
            </w:r>
            <w:r>
              <w:rPr>
                <w:spacing w:val="-3"/>
                <w:sz w:val="21"/>
              </w:rPr>
              <w:t>每季度一次。</w:t>
            </w:r>
          </w:p>
        </w:tc>
        <w:tc>
          <w:tcPr>
            <w:tcW w:w="1319" w:type="pct"/>
            <w:noWrap w:val="0"/>
            <w:vAlign w:val="center"/>
          </w:tcPr>
          <w:p w14:paraId="14D7E1AE">
            <w:pPr>
              <w:pStyle w:val="25"/>
              <w:spacing w:line="242" w:lineRule="auto"/>
              <w:ind w:right="242"/>
              <w:jc w:val="center"/>
              <w:rPr>
                <w:sz w:val="21"/>
              </w:rPr>
            </w:pPr>
            <w:r>
              <w:rPr>
                <w:sz w:val="21"/>
              </w:rPr>
              <w:t>气体灭火系统工作正常， 无故障。</w:t>
            </w:r>
          </w:p>
        </w:tc>
      </w:tr>
      <w:tr w14:paraId="52BE8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733" w:type="pct"/>
            <w:noWrap w:val="0"/>
            <w:vAlign w:val="center"/>
          </w:tcPr>
          <w:p w14:paraId="72DAF10B">
            <w:pPr>
              <w:pStyle w:val="25"/>
              <w:spacing w:line="242" w:lineRule="auto"/>
              <w:ind w:right="88"/>
              <w:jc w:val="center"/>
              <w:rPr>
                <w:sz w:val="21"/>
              </w:rPr>
            </w:pPr>
            <w:r>
              <w:rPr>
                <w:sz w:val="21"/>
              </w:rPr>
              <w:t>气体灭火控制器、控制盒</w:t>
            </w:r>
          </w:p>
        </w:tc>
        <w:tc>
          <w:tcPr>
            <w:tcW w:w="2948" w:type="pct"/>
            <w:noWrap w:val="0"/>
            <w:vAlign w:val="center"/>
          </w:tcPr>
          <w:p w14:paraId="15B0C2B4">
            <w:pPr>
              <w:pStyle w:val="25"/>
              <w:spacing w:before="1" w:line="242" w:lineRule="auto"/>
              <w:ind w:left="124" w:right="259"/>
              <w:jc w:val="center"/>
              <w:rPr>
                <w:sz w:val="21"/>
              </w:rPr>
            </w:pPr>
            <w:r>
              <w:rPr>
                <w:spacing w:val="-3"/>
                <w:sz w:val="21"/>
              </w:rPr>
              <w:t xml:space="preserve">检查电气接线是否完整，端子有无松动损 </w:t>
            </w:r>
            <w:r>
              <w:rPr>
                <w:spacing w:val="-4"/>
                <w:sz w:val="21"/>
              </w:rPr>
              <w:t>伤；主机运行状态、主备电源、各按键功能检查；模拟试验时各信号、指示灯应正常</w:t>
            </w:r>
            <w:r>
              <w:rPr>
                <w:rFonts w:hint="eastAsia"/>
                <w:spacing w:val="-4"/>
                <w:sz w:val="21"/>
              </w:rPr>
              <w:t>，</w:t>
            </w:r>
            <w:r>
              <w:rPr>
                <w:sz w:val="21"/>
              </w:rPr>
              <w:t>每季度一次。</w:t>
            </w:r>
          </w:p>
        </w:tc>
        <w:tc>
          <w:tcPr>
            <w:tcW w:w="1319" w:type="pct"/>
            <w:noWrap w:val="0"/>
            <w:vAlign w:val="center"/>
          </w:tcPr>
          <w:p w14:paraId="0A208BD2">
            <w:pPr>
              <w:pStyle w:val="25"/>
              <w:spacing w:line="242" w:lineRule="auto"/>
              <w:ind w:right="242"/>
              <w:jc w:val="center"/>
              <w:rPr>
                <w:sz w:val="21"/>
              </w:rPr>
            </w:pPr>
            <w:r>
              <w:rPr>
                <w:sz w:val="21"/>
              </w:rPr>
              <w:t>气体灭火系统工作正常， 无故障。</w:t>
            </w:r>
          </w:p>
        </w:tc>
      </w:tr>
      <w:tr w14:paraId="0B918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733" w:type="pct"/>
            <w:noWrap w:val="0"/>
            <w:vAlign w:val="center"/>
          </w:tcPr>
          <w:p w14:paraId="444E76EF">
            <w:pPr>
              <w:pStyle w:val="25"/>
              <w:ind w:right="-15"/>
              <w:jc w:val="center"/>
              <w:rPr>
                <w:sz w:val="21"/>
              </w:rPr>
            </w:pPr>
            <w:r>
              <w:rPr>
                <w:spacing w:val="-3"/>
                <w:sz w:val="21"/>
              </w:rPr>
              <w:t>联动功能测试</w:t>
            </w:r>
          </w:p>
        </w:tc>
        <w:tc>
          <w:tcPr>
            <w:tcW w:w="2948" w:type="pct"/>
            <w:noWrap w:val="0"/>
            <w:vAlign w:val="center"/>
          </w:tcPr>
          <w:p w14:paraId="45004B6A">
            <w:pPr>
              <w:pStyle w:val="25"/>
              <w:spacing w:before="137" w:line="244" w:lineRule="auto"/>
              <w:ind w:right="259"/>
              <w:jc w:val="center"/>
              <w:rPr>
                <w:sz w:val="21"/>
              </w:rPr>
            </w:pPr>
            <w:r>
              <w:rPr>
                <w:sz w:val="21"/>
              </w:rPr>
              <w:t>检查气体保护区域气体灭火主机的消防联动功能</w:t>
            </w:r>
            <w:r>
              <w:rPr>
                <w:rFonts w:hint="eastAsia"/>
                <w:sz w:val="21"/>
              </w:rPr>
              <w:t>，</w:t>
            </w:r>
            <w:r>
              <w:rPr>
                <w:sz w:val="21"/>
              </w:rPr>
              <w:t>每季度一次。</w:t>
            </w:r>
          </w:p>
        </w:tc>
        <w:tc>
          <w:tcPr>
            <w:tcW w:w="1319" w:type="pct"/>
            <w:noWrap w:val="0"/>
            <w:vAlign w:val="center"/>
          </w:tcPr>
          <w:p w14:paraId="6AF65435">
            <w:pPr>
              <w:pStyle w:val="25"/>
              <w:spacing w:before="3" w:line="242" w:lineRule="auto"/>
              <w:ind w:left="122" w:right="242"/>
              <w:jc w:val="center"/>
              <w:rPr>
                <w:sz w:val="21"/>
              </w:rPr>
            </w:pPr>
            <w:r>
              <w:rPr>
                <w:sz w:val="21"/>
              </w:rPr>
              <w:t>气体灭火系统工作正常，无故障；各联动设备联动功能正常。</w:t>
            </w:r>
          </w:p>
        </w:tc>
      </w:tr>
      <w:tr w14:paraId="00558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3" w:type="pct"/>
            <w:noWrap w:val="0"/>
            <w:vAlign w:val="center"/>
          </w:tcPr>
          <w:p w14:paraId="7D334C68">
            <w:pPr>
              <w:pStyle w:val="25"/>
              <w:spacing w:before="1" w:line="252" w:lineRule="exact"/>
              <w:jc w:val="center"/>
              <w:rPr>
                <w:sz w:val="21"/>
              </w:rPr>
            </w:pPr>
            <w:r>
              <w:rPr>
                <w:sz w:val="21"/>
              </w:rPr>
              <w:t>记录</w:t>
            </w:r>
          </w:p>
        </w:tc>
        <w:tc>
          <w:tcPr>
            <w:tcW w:w="2948" w:type="pct"/>
            <w:noWrap w:val="0"/>
            <w:vAlign w:val="center"/>
          </w:tcPr>
          <w:p w14:paraId="74BAC781">
            <w:pPr>
              <w:pStyle w:val="25"/>
              <w:spacing w:before="1" w:line="252" w:lineRule="exact"/>
              <w:ind w:right="995" w:firstLine="420"/>
              <w:jc w:val="center"/>
              <w:rPr>
                <w:sz w:val="21"/>
              </w:rPr>
            </w:pPr>
            <w:r>
              <w:rPr>
                <w:sz w:val="21"/>
              </w:rPr>
              <w:t>对气体灭火系统维修保养有记录。</w:t>
            </w:r>
          </w:p>
        </w:tc>
        <w:tc>
          <w:tcPr>
            <w:tcW w:w="1319" w:type="pct"/>
            <w:noWrap w:val="0"/>
            <w:vAlign w:val="center"/>
          </w:tcPr>
          <w:p w14:paraId="398A00DD">
            <w:pPr>
              <w:pStyle w:val="25"/>
              <w:spacing w:before="1" w:line="252" w:lineRule="exact"/>
              <w:ind w:left="122" w:firstLine="420"/>
              <w:jc w:val="center"/>
              <w:rPr>
                <w:sz w:val="21"/>
              </w:rPr>
            </w:pPr>
            <w:r>
              <w:rPr>
                <w:sz w:val="21"/>
              </w:rPr>
              <w:t>记录及时、完整。</w:t>
            </w:r>
          </w:p>
        </w:tc>
      </w:tr>
    </w:tbl>
    <w:p w14:paraId="2BC31767">
      <w:pPr>
        <w:kinsoku w:val="0"/>
        <w:overflowPunct w:val="0"/>
        <w:autoSpaceDE w:val="0"/>
        <w:autoSpaceDN w:val="0"/>
        <w:adjustRightInd w:val="0"/>
        <w:snapToGrid w:val="0"/>
        <w:spacing w:line="276" w:lineRule="auto"/>
        <w:ind w:firstLine="0" w:firstLineChars="0"/>
        <w:rPr>
          <w:rFonts w:hint="eastAsia" w:ascii="宋体" w:hAnsi="宋体" w:cs="宋体"/>
          <w:bCs/>
          <w:sz w:val="28"/>
          <w:szCs w:val="28"/>
        </w:rPr>
      </w:pPr>
    </w:p>
    <w:p w14:paraId="186E8047">
      <w:pPr>
        <w:spacing w:line="360" w:lineRule="auto"/>
        <w:ind w:firstLine="660" w:firstLineChars="275"/>
        <w:rPr>
          <w:rFonts w:ascii="宋体" w:hAnsi="宋体" w:cs="宋体"/>
          <w:sz w:val="24"/>
          <w:szCs w:val="24"/>
        </w:rPr>
      </w:pPr>
      <w:r>
        <w:rPr>
          <w:rFonts w:hint="eastAsia" w:ascii="宋体" w:hAnsi="宋体" w:cs="宋体"/>
          <w:sz w:val="24"/>
          <w:szCs w:val="24"/>
        </w:rPr>
        <w:t>（7）消防广播（背景音乐）系统</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027"/>
        <w:gridCol w:w="4702"/>
        <w:gridCol w:w="2560"/>
      </w:tblGrid>
      <w:tr w14:paraId="25A908E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620" w:type="pct"/>
            <w:noWrap w:val="0"/>
            <w:vAlign w:val="center"/>
          </w:tcPr>
          <w:p w14:paraId="1BE266E3">
            <w:pPr>
              <w:pStyle w:val="25"/>
              <w:spacing w:line="242" w:lineRule="auto"/>
              <w:ind w:right="88"/>
              <w:jc w:val="center"/>
              <w:rPr>
                <w:b/>
                <w:bCs/>
                <w:sz w:val="21"/>
              </w:rPr>
            </w:pPr>
            <w:r>
              <w:rPr>
                <w:b/>
                <w:bCs/>
                <w:sz w:val="21"/>
              </w:rPr>
              <w:t xml:space="preserve">项目 </w:t>
            </w:r>
          </w:p>
        </w:tc>
        <w:tc>
          <w:tcPr>
            <w:tcW w:w="2836" w:type="pct"/>
            <w:noWrap w:val="0"/>
            <w:vAlign w:val="center"/>
          </w:tcPr>
          <w:p w14:paraId="2DC7863B">
            <w:pPr>
              <w:pStyle w:val="25"/>
              <w:spacing w:line="242" w:lineRule="auto"/>
              <w:ind w:right="88"/>
              <w:jc w:val="center"/>
              <w:rPr>
                <w:b/>
                <w:bCs/>
                <w:sz w:val="21"/>
              </w:rPr>
            </w:pPr>
            <w:r>
              <w:rPr>
                <w:b/>
                <w:bCs/>
                <w:sz w:val="21"/>
              </w:rPr>
              <w:t xml:space="preserve">维修保养检查内容及频次 </w:t>
            </w:r>
          </w:p>
        </w:tc>
        <w:tc>
          <w:tcPr>
            <w:tcW w:w="1544" w:type="pct"/>
            <w:noWrap w:val="0"/>
            <w:vAlign w:val="center"/>
          </w:tcPr>
          <w:p w14:paraId="78299C39">
            <w:pPr>
              <w:pStyle w:val="25"/>
              <w:spacing w:line="242" w:lineRule="auto"/>
              <w:ind w:right="88"/>
              <w:jc w:val="center"/>
              <w:rPr>
                <w:b/>
                <w:bCs/>
                <w:sz w:val="21"/>
              </w:rPr>
            </w:pPr>
            <w:r>
              <w:rPr>
                <w:b/>
                <w:bCs/>
                <w:sz w:val="21"/>
              </w:rPr>
              <w:t xml:space="preserve"> 标 准 </w:t>
            </w:r>
          </w:p>
        </w:tc>
      </w:tr>
      <w:tr w14:paraId="22D066B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3" w:hRule="atLeast"/>
          <w:jc w:val="center"/>
        </w:trPr>
        <w:tc>
          <w:tcPr>
            <w:tcW w:w="620" w:type="pct"/>
            <w:noWrap w:val="0"/>
            <w:vAlign w:val="center"/>
          </w:tcPr>
          <w:p w14:paraId="7022104B">
            <w:pPr>
              <w:pStyle w:val="25"/>
              <w:spacing w:line="242" w:lineRule="auto"/>
              <w:ind w:left="105" w:leftChars="50" w:right="105" w:rightChars="50"/>
              <w:jc w:val="center"/>
              <w:rPr>
                <w:sz w:val="21"/>
              </w:rPr>
            </w:pPr>
            <w:r>
              <w:rPr>
                <w:sz w:val="21"/>
              </w:rPr>
              <w:t xml:space="preserve">广播扬声器 </w:t>
            </w:r>
          </w:p>
        </w:tc>
        <w:tc>
          <w:tcPr>
            <w:tcW w:w="2836" w:type="pct"/>
            <w:noWrap w:val="0"/>
            <w:vAlign w:val="center"/>
          </w:tcPr>
          <w:p w14:paraId="3AE142F5">
            <w:pPr>
              <w:pStyle w:val="25"/>
              <w:spacing w:line="242" w:lineRule="auto"/>
              <w:ind w:left="105" w:leftChars="50" w:right="105" w:rightChars="50"/>
              <w:jc w:val="center"/>
              <w:rPr>
                <w:sz w:val="21"/>
              </w:rPr>
            </w:pPr>
            <w:r>
              <w:rPr>
                <w:sz w:val="21"/>
              </w:rPr>
              <w:t>检查广播扬声器的声响是否正常</w:t>
            </w:r>
            <w:r>
              <w:rPr>
                <w:rFonts w:hint="eastAsia"/>
                <w:sz w:val="21"/>
              </w:rPr>
              <w:t>，</w:t>
            </w:r>
            <w:r>
              <w:rPr>
                <w:sz w:val="21"/>
              </w:rPr>
              <w:t xml:space="preserve">每月 1 次 </w:t>
            </w:r>
          </w:p>
        </w:tc>
        <w:tc>
          <w:tcPr>
            <w:tcW w:w="1544" w:type="pct"/>
            <w:noWrap w:val="0"/>
            <w:vAlign w:val="center"/>
          </w:tcPr>
          <w:p w14:paraId="5145D4B8">
            <w:pPr>
              <w:pStyle w:val="25"/>
              <w:spacing w:line="242" w:lineRule="auto"/>
              <w:ind w:left="105" w:leftChars="50" w:right="105" w:rightChars="50"/>
              <w:jc w:val="center"/>
              <w:rPr>
                <w:sz w:val="21"/>
              </w:rPr>
            </w:pPr>
            <w:r>
              <w:rPr>
                <w:sz w:val="21"/>
              </w:rPr>
              <w:t xml:space="preserve">工作正常，无故障。 </w:t>
            </w:r>
          </w:p>
        </w:tc>
      </w:tr>
      <w:tr w14:paraId="4F66CEE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620" w:type="pct"/>
            <w:noWrap w:val="0"/>
            <w:vAlign w:val="center"/>
          </w:tcPr>
          <w:p w14:paraId="51E10AFE">
            <w:pPr>
              <w:pStyle w:val="25"/>
              <w:spacing w:line="242" w:lineRule="auto"/>
              <w:ind w:left="105" w:leftChars="50" w:right="105" w:rightChars="50"/>
              <w:jc w:val="center"/>
              <w:rPr>
                <w:sz w:val="21"/>
              </w:rPr>
            </w:pPr>
            <w:r>
              <w:rPr>
                <w:sz w:val="21"/>
              </w:rPr>
              <w:t xml:space="preserve">广播主机设备 </w:t>
            </w:r>
          </w:p>
        </w:tc>
        <w:tc>
          <w:tcPr>
            <w:tcW w:w="2836" w:type="pct"/>
            <w:noWrap w:val="0"/>
            <w:vAlign w:val="center"/>
          </w:tcPr>
          <w:p w14:paraId="5EC0C3E9">
            <w:pPr>
              <w:pStyle w:val="25"/>
              <w:spacing w:line="242" w:lineRule="auto"/>
              <w:ind w:left="105" w:leftChars="50" w:right="105" w:rightChars="50"/>
              <w:jc w:val="center"/>
              <w:rPr>
                <w:sz w:val="21"/>
              </w:rPr>
            </w:pPr>
            <w:r>
              <w:rPr>
                <w:sz w:val="21"/>
              </w:rPr>
              <w:t>清洁除尘、检查主机设备、线路，紧固各接</w:t>
            </w:r>
          </w:p>
          <w:p w14:paraId="458DAA57">
            <w:pPr>
              <w:pStyle w:val="25"/>
              <w:spacing w:line="242" w:lineRule="auto"/>
              <w:ind w:left="105" w:leftChars="50" w:right="105" w:rightChars="50"/>
              <w:jc w:val="center"/>
              <w:rPr>
                <w:sz w:val="21"/>
              </w:rPr>
            </w:pPr>
            <w:r>
              <w:rPr>
                <w:sz w:val="21"/>
              </w:rPr>
              <w:t>线端子</w:t>
            </w:r>
            <w:r>
              <w:rPr>
                <w:rFonts w:hint="eastAsia"/>
                <w:sz w:val="21"/>
              </w:rPr>
              <w:t>，</w:t>
            </w:r>
            <w:r>
              <w:rPr>
                <w:sz w:val="21"/>
              </w:rPr>
              <w:t xml:space="preserve">每月 1 次 </w:t>
            </w:r>
          </w:p>
        </w:tc>
        <w:tc>
          <w:tcPr>
            <w:tcW w:w="1544" w:type="pct"/>
            <w:noWrap w:val="0"/>
            <w:vAlign w:val="center"/>
          </w:tcPr>
          <w:p w14:paraId="6994BFD7">
            <w:pPr>
              <w:pStyle w:val="25"/>
              <w:spacing w:line="242" w:lineRule="auto"/>
              <w:ind w:left="105" w:leftChars="50" w:right="105" w:rightChars="50"/>
              <w:jc w:val="center"/>
              <w:rPr>
                <w:sz w:val="21"/>
              </w:rPr>
            </w:pPr>
            <w:r>
              <w:rPr>
                <w:sz w:val="21"/>
              </w:rPr>
              <w:t xml:space="preserve">工作正常，无故障。 </w:t>
            </w:r>
          </w:p>
        </w:tc>
      </w:tr>
      <w:tr w14:paraId="672971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3" w:hRule="atLeast"/>
          <w:jc w:val="center"/>
        </w:trPr>
        <w:tc>
          <w:tcPr>
            <w:tcW w:w="620" w:type="pct"/>
            <w:noWrap w:val="0"/>
            <w:vAlign w:val="center"/>
          </w:tcPr>
          <w:p w14:paraId="1C0DD4CA">
            <w:pPr>
              <w:pStyle w:val="25"/>
              <w:spacing w:line="242" w:lineRule="auto"/>
              <w:ind w:left="105" w:leftChars="50" w:right="105" w:rightChars="50"/>
              <w:jc w:val="center"/>
              <w:rPr>
                <w:sz w:val="21"/>
              </w:rPr>
            </w:pPr>
            <w:r>
              <w:rPr>
                <w:sz w:val="21"/>
              </w:rPr>
              <w:t xml:space="preserve">广播模块 </w:t>
            </w:r>
          </w:p>
        </w:tc>
        <w:tc>
          <w:tcPr>
            <w:tcW w:w="2836" w:type="pct"/>
            <w:noWrap w:val="0"/>
            <w:vAlign w:val="center"/>
          </w:tcPr>
          <w:p w14:paraId="0426D5C6">
            <w:pPr>
              <w:pStyle w:val="25"/>
              <w:spacing w:line="242" w:lineRule="auto"/>
              <w:ind w:left="105" w:leftChars="50" w:right="105" w:rightChars="50"/>
              <w:jc w:val="center"/>
              <w:rPr>
                <w:sz w:val="21"/>
              </w:rPr>
            </w:pPr>
            <w:r>
              <w:rPr>
                <w:sz w:val="21"/>
              </w:rPr>
              <w:t>检查功能是否正常</w:t>
            </w:r>
            <w:r>
              <w:rPr>
                <w:rFonts w:hint="eastAsia"/>
                <w:sz w:val="21"/>
              </w:rPr>
              <w:t>，</w:t>
            </w:r>
            <w:r>
              <w:rPr>
                <w:sz w:val="21"/>
              </w:rPr>
              <w:t>每</w:t>
            </w:r>
            <w:r>
              <w:rPr>
                <w:rFonts w:hint="eastAsia"/>
                <w:sz w:val="21"/>
              </w:rPr>
              <w:t>季度</w:t>
            </w:r>
            <w:r>
              <w:rPr>
                <w:sz w:val="21"/>
              </w:rPr>
              <w:t xml:space="preserve"> 1 次 </w:t>
            </w:r>
          </w:p>
        </w:tc>
        <w:tc>
          <w:tcPr>
            <w:tcW w:w="1544" w:type="pct"/>
            <w:noWrap w:val="0"/>
            <w:vAlign w:val="center"/>
          </w:tcPr>
          <w:p w14:paraId="36BAD53E">
            <w:pPr>
              <w:pStyle w:val="25"/>
              <w:spacing w:line="242" w:lineRule="auto"/>
              <w:ind w:left="105" w:leftChars="50" w:right="105" w:rightChars="50"/>
              <w:jc w:val="center"/>
              <w:rPr>
                <w:sz w:val="21"/>
              </w:rPr>
            </w:pPr>
            <w:r>
              <w:rPr>
                <w:sz w:val="21"/>
              </w:rPr>
              <w:t xml:space="preserve">工作正常，无故障。 </w:t>
            </w:r>
          </w:p>
        </w:tc>
      </w:tr>
      <w:tr w14:paraId="758149B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620" w:type="pct"/>
            <w:noWrap w:val="0"/>
            <w:vAlign w:val="center"/>
          </w:tcPr>
          <w:p w14:paraId="69E16C9F">
            <w:pPr>
              <w:pStyle w:val="25"/>
              <w:spacing w:line="242" w:lineRule="auto"/>
              <w:ind w:left="105" w:leftChars="50" w:right="105" w:rightChars="50"/>
              <w:jc w:val="center"/>
              <w:rPr>
                <w:sz w:val="21"/>
              </w:rPr>
            </w:pPr>
            <w:r>
              <w:rPr>
                <w:sz w:val="21"/>
              </w:rPr>
              <w:t>功放等设备</w:t>
            </w:r>
          </w:p>
        </w:tc>
        <w:tc>
          <w:tcPr>
            <w:tcW w:w="2836" w:type="pct"/>
            <w:noWrap w:val="0"/>
            <w:vAlign w:val="center"/>
          </w:tcPr>
          <w:p w14:paraId="053B7038">
            <w:pPr>
              <w:pStyle w:val="25"/>
              <w:spacing w:line="242" w:lineRule="auto"/>
              <w:ind w:left="105" w:leftChars="50" w:right="105" w:rightChars="50"/>
              <w:jc w:val="center"/>
              <w:rPr>
                <w:sz w:val="21"/>
              </w:rPr>
            </w:pPr>
            <w:r>
              <w:rPr>
                <w:sz w:val="21"/>
              </w:rPr>
              <w:t>清洁除尘、检查功放、切换器、网络终端、</w:t>
            </w:r>
          </w:p>
          <w:p w14:paraId="7602776C">
            <w:pPr>
              <w:pStyle w:val="25"/>
              <w:spacing w:line="242" w:lineRule="auto"/>
              <w:ind w:left="105" w:leftChars="50" w:right="105" w:rightChars="50"/>
              <w:jc w:val="center"/>
              <w:rPr>
                <w:sz w:val="21"/>
              </w:rPr>
            </w:pPr>
            <w:r>
              <w:rPr>
                <w:sz w:val="21"/>
              </w:rPr>
              <w:t>线路检测器设备功能、规整线路，紧固各接线端子</w:t>
            </w:r>
            <w:r>
              <w:rPr>
                <w:rFonts w:hint="eastAsia"/>
                <w:sz w:val="21"/>
              </w:rPr>
              <w:t>，</w:t>
            </w:r>
            <w:r>
              <w:rPr>
                <w:sz w:val="21"/>
              </w:rPr>
              <w:t xml:space="preserve">每月 1 次 </w:t>
            </w:r>
          </w:p>
        </w:tc>
        <w:tc>
          <w:tcPr>
            <w:tcW w:w="1544" w:type="pct"/>
            <w:noWrap w:val="0"/>
            <w:vAlign w:val="center"/>
          </w:tcPr>
          <w:p w14:paraId="12148CF1">
            <w:pPr>
              <w:pStyle w:val="25"/>
              <w:spacing w:line="242" w:lineRule="auto"/>
              <w:ind w:left="105" w:leftChars="50" w:right="105" w:rightChars="50"/>
              <w:jc w:val="center"/>
              <w:rPr>
                <w:sz w:val="21"/>
              </w:rPr>
            </w:pPr>
            <w:r>
              <w:rPr>
                <w:sz w:val="21"/>
              </w:rPr>
              <w:t xml:space="preserve">机柜无尘垢，设备工作正常，无故障。 </w:t>
            </w:r>
          </w:p>
        </w:tc>
      </w:tr>
      <w:tr w14:paraId="6115354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620" w:type="pct"/>
            <w:noWrap w:val="0"/>
            <w:vAlign w:val="center"/>
          </w:tcPr>
          <w:p w14:paraId="3C5D2F9A">
            <w:pPr>
              <w:pStyle w:val="25"/>
              <w:spacing w:line="242" w:lineRule="auto"/>
              <w:ind w:left="105" w:leftChars="50" w:right="105" w:rightChars="50"/>
              <w:jc w:val="center"/>
              <w:rPr>
                <w:sz w:val="21"/>
              </w:rPr>
            </w:pPr>
            <w:r>
              <w:rPr>
                <w:sz w:val="21"/>
              </w:rPr>
              <w:t xml:space="preserve">记录 </w:t>
            </w:r>
          </w:p>
        </w:tc>
        <w:tc>
          <w:tcPr>
            <w:tcW w:w="2836" w:type="pct"/>
            <w:noWrap w:val="0"/>
            <w:vAlign w:val="center"/>
          </w:tcPr>
          <w:p w14:paraId="30C9EBC0">
            <w:pPr>
              <w:pStyle w:val="25"/>
              <w:spacing w:line="242" w:lineRule="auto"/>
              <w:ind w:left="105" w:leftChars="50" w:right="105" w:rightChars="50"/>
              <w:jc w:val="center"/>
              <w:rPr>
                <w:sz w:val="21"/>
              </w:rPr>
            </w:pPr>
            <w:r>
              <w:rPr>
                <w:sz w:val="21"/>
              </w:rPr>
              <w:t xml:space="preserve">对消防广播系统维修保养有记录。 </w:t>
            </w:r>
          </w:p>
        </w:tc>
        <w:tc>
          <w:tcPr>
            <w:tcW w:w="1544" w:type="pct"/>
            <w:noWrap w:val="0"/>
            <w:vAlign w:val="center"/>
          </w:tcPr>
          <w:p w14:paraId="0FA879FA">
            <w:pPr>
              <w:pStyle w:val="25"/>
              <w:spacing w:line="242" w:lineRule="auto"/>
              <w:ind w:left="105" w:leftChars="50" w:right="105" w:rightChars="50"/>
              <w:jc w:val="center"/>
              <w:rPr>
                <w:sz w:val="21"/>
              </w:rPr>
            </w:pPr>
            <w:r>
              <w:rPr>
                <w:sz w:val="21"/>
              </w:rPr>
              <w:t xml:space="preserve">记录及时、完整。 </w:t>
            </w:r>
          </w:p>
        </w:tc>
      </w:tr>
    </w:tbl>
    <w:p w14:paraId="50501685">
      <w:pPr>
        <w:kinsoku w:val="0"/>
        <w:overflowPunct w:val="0"/>
        <w:autoSpaceDE w:val="0"/>
        <w:autoSpaceDN w:val="0"/>
        <w:adjustRightInd w:val="0"/>
        <w:snapToGrid w:val="0"/>
        <w:spacing w:line="276" w:lineRule="auto"/>
        <w:ind w:left="105" w:leftChars="50" w:right="105" w:rightChars="50" w:firstLine="560"/>
        <w:rPr>
          <w:rFonts w:hint="eastAsia" w:ascii="宋体" w:hAnsi="宋体" w:cs="宋体"/>
          <w:bCs/>
          <w:sz w:val="28"/>
          <w:szCs w:val="28"/>
        </w:rPr>
      </w:pPr>
    </w:p>
    <w:p w14:paraId="634AB1E1">
      <w:pPr>
        <w:spacing w:line="360" w:lineRule="auto"/>
        <w:ind w:left="105" w:leftChars="50" w:right="105" w:rightChars="50" w:firstLine="660" w:firstLineChars="275"/>
        <w:rPr>
          <w:rFonts w:ascii="宋体" w:hAnsi="宋体" w:cs="宋体"/>
          <w:sz w:val="24"/>
          <w:szCs w:val="24"/>
        </w:rPr>
      </w:pPr>
      <w:r>
        <w:rPr>
          <w:rFonts w:hint="eastAsia" w:ascii="宋体" w:hAnsi="宋体" w:cs="宋体"/>
          <w:sz w:val="24"/>
          <w:szCs w:val="24"/>
        </w:rPr>
        <w:t>（8）电气火灾报警系统</w:t>
      </w:r>
    </w:p>
    <w:tbl>
      <w:tblPr>
        <w:tblStyle w:val="18"/>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47"/>
        <w:gridCol w:w="4141"/>
        <w:gridCol w:w="2601"/>
      </w:tblGrid>
      <w:tr w14:paraId="7021B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933" w:type="pct"/>
            <w:noWrap w:val="0"/>
            <w:vAlign w:val="top"/>
          </w:tcPr>
          <w:p w14:paraId="7AB66872">
            <w:pPr>
              <w:pStyle w:val="25"/>
              <w:spacing w:line="242" w:lineRule="auto"/>
              <w:ind w:left="105" w:leftChars="50" w:right="105" w:rightChars="50"/>
              <w:jc w:val="center"/>
              <w:rPr>
                <w:b/>
                <w:bCs/>
                <w:sz w:val="21"/>
              </w:rPr>
            </w:pPr>
            <w:r>
              <w:rPr>
                <w:b/>
                <w:bCs/>
                <w:sz w:val="21"/>
              </w:rPr>
              <w:t xml:space="preserve">项目 </w:t>
            </w:r>
          </w:p>
        </w:tc>
        <w:tc>
          <w:tcPr>
            <w:tcW w:w="2498" w:type="pct"/>
            <w:noWrap w:val="0"/>
            <w:vAlign w:val="top"/>
          </w:tcPr>
          <w:p w14:paraId="6FA3FAEA">
            <w:pPr>
              <w:pStyle w:val="25"/>
              <w:spacing w:line="242" w:lineRule="auto"/>
              <w:ind w:left="105" w:leftChars="50" w:right="105" w:rightChars="50"/>
              <w:jc w:val="center"/>
              <w:rPr>
                <w:b/>
                <w:bCs/>
                <w:sz w:val="21"/>
              </w:rPr>
            </w:pPr>
            <w:r>
              <w:rPr>
                <w:b/>
                <w:bCs/>
                <w:sz w:val="21"/>
              </w:rPr>
              <w:t xml:space="preserve">  维修保养检查内容及频次 </w:t>
            </w:r>
          </w:p>
        </w:tc>
        <w:tc>
          <w:tcPr>
            <w:tcW w:w="1569" w:type="pct"/>
            <w:noWrap w:val="0"/>
            <w:vAlign w:val="top"/>
          </w:tcPr>
          <w:p w14:paraId="558BC537">
            <w:pPr>
              <w:pStyle w:val="25"/>
              <w:spacing w:line="242" w:lineRule="auto"/>
              <w:ind w:left="105" w:leftChars="50" w:right="105" w:rightChars="50"/>
              <w:jc w:val="center"/>
              <w:rPr>
                <w:b/>
                <w:bCs/>
                <w:sz w:val="21"/>
              </w:rPr>
            </w:pPr>
            <w:r>
              <w:rPr>
                <w:b/>
                <w:bCs/>
                <w:sz w:val="21"/>
              </w:rPr>
              <w:t xml:space="preserve"> 标 准 </w:t>
            </w:r>
          </w:p>
        </w:tc>
      </w:tr>
      <w:tr w14:paraId="740A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33" w:type="pct"/>
            <w:noWrap w:val="0"/>
            <w:vAlign w:val="top"/>
          </w:tcPr>
          <w:p w14:paraId="00598B48">
            <w:pPr>
              <w:pStyle w:val="25"/>
              <w:spacing w:line="242" w:lineRule="auto"/>
              <w:ind w:left="105" w:leftChars="50" w:right="105" w:rightChars="50"/>
              <w:jc w:val="center"/>
              <w:rPr>
                <w:sz w:val="21"/>
              </w:rPr>
            </w:pPr>
            <w:r>
              <w:rPr>
                <w:sz w:val="21"/>
              </w:rPr>
              <w:t>电气火灾报警</w:t>
            </w:r>
          </w:p>
          <w:p w14:paraId="3CEFD3F9">
            <w:pPr>
              <w:pStyle w:val="25"/>
              <w:spacing w:line="242" w:lineRule="auto"/>
              <w:ind w:left="105" w:leftChars="50" w:right="105" w:rightChars="50"/>
              <w:jc w:val="center"/>
              <w:rPr>
                <w:sz w:val="21"/>
              </w:rPr>
            </w:pPr>
            <w:r>
              <w:rPr>
                <w:sz w:val="21"/>
              </w:rPr>
              <w:t xml:space="preserve">主机（及监控单元） </w:t>
            </w:r>
          </w:p>
        </w:tc>
        <w:tc>
          <w:tcPr>
            <w:tcW w:w="2498" w:type="pct"/>
            <w:noWrap w:val="0"/>
            <w:vAlign w:val="top"/>
          </w:tcPr>
          <w:p w14:paraId="2ED8B6B0">
            <w:pPr>
              <w:pStyle w:val="25"/>
              <w:spacing w:line="242" w:lineRule="auto"/>
              <w:ind w:left="105" w:leftChars="50" w:right="105" w:rightChars="50"/>
              <w:rPr>
                <w:sz w:val="21"/>
              </w:rPr>
            </w:pPr>
            <w:r>
              <w:rPr>
                <w:sz w:val="21"/>
              </w:rPr>
              <w:t>清洁、检查报警主机（及监控单元）与各探测器连接通讯是否正常，报警功能是否正常</w:t>
            </w:r>
            <w:r>
              <w:rPr>
                <w:rFonts w:hint="eastAsia"/>
                <w:sz w:val="21"/>
              </w:rPr>
              <w:t>，</w:t>
            </w:r>
            <w:r>
              <w:rPr>
                <w:sz w:val="21"/>
              </w:rPr>
              <w:t xml:space="preserve">每月 1 次 </w:t>
            </w:r>
          </w:p>
        </w:tc>
        <w:tc>
          <w:tcPr>
            <w:tcW w:w="1569" w:type="pct"/>
            <w:noWrap w:val="0"/>
            <w:vAlign w:val="top"/>
          </w:tcPr>
          <w:p w14:paraId="656CB4A3">
            <w:pPr>
              <w:pStyle w:val="25"/>
              <w:spacing w:line="242" w:lineRule="auto"/>
              <w:ind w:left="105" w:leftChars="50" w:right="105" w:rightChars="50"/>
              <w:jc w:val="center"/>
              <w:rPr>
                <w:sz w:val="21"/>
              </w:rPr>
            </w:pPr>
            <w:r>
              <w:rPr>
                <w:sz w:val="21"/>
              </w:rPr>
              <w:t>主机无尘垢，工作正常， 无故障。</w:t>
            </w:r>
          </w:p>
        </w:tc>
      </w:tr>
      <w:tr w14:paraId="1C0AF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33" w:type="pct"/>
            <w:noWrap w:val="0"/>
            <w:vAlign w:val="top"/>
          </w:tcPr>
          <w:p w14:paraId="30FED04B">
            <w:pPr>
              <w:pStyle w:val="25"/>
              <w:spacing w:line="242" w:lineRule="auto"/>
              <w:ind w:left="105" w:leftChars="50" w:right="105" w:rightChars="50"/>
              <w:jc w:val="center"/>
              <w:rPr>
                <w:sz w:val="21"/>
              </w:rPr>
            </w:pPr>
            <w:r>
              <w:rPr>
                <w:sz w:val="21"/>
              </w:rPr>
              <w:t xml:space="preserve">电气火灾探测器 </w:t>
            </w:r>
          </w:p>
        </w:tc>
        <w:tc>
          <w:tcPr>
            <w:tcW w:w="2498" w:type="pct"/>
            <w:noWrap w:val="0"/>
            <w:vAlign w:val="top"/>
          </w:tcPr>
          <w:p w14:paraId="4BAF8272">
            <w:pPr>
              <w:pStyle w:val="25"/>
              <w:spacing w:line="242" w:lineRule="auto"/>
              <w:ind w:left="105" w:leftChars="50" w:right="105" w:rightChars="50"/>
              <w:rPr>
                <w:sz w:val="21"/>
              </w:rPr>
            </w:pPr>
            <w:r>
              <w:rPr>
                <w:sz w:val="21"/>
              </w:rPr>
              <w:t>清洁、外观检查及通讯、报警功能检测是否正常</w:t>
            </w:r>
            <w:r>
              <w:rPr>
                <w:rFonts w:hint="eastAsia"/>
                <w:sz w:val="21"/>
              </w:rPr>
              <w:t>，</w:t>
            </w:r>
            <w:r>
              <w:rPr>
                <w:sz w:val="21"/>
              </w:rPr>
              <w:t xml:space="preserve">每月1次 </w:t>
            </w:r>
          </w:p>
        </w:tc>
        <w:tc>
          <w:tcPr>
            <w:tcW w:w="1569" w:type="pct"/>
            <w:noWrap w:val="0"/>
            <w:vAlign w:val="top"/>
          </w:tcPr>
          <w:p w14:paraId="699CEDDC">
            <w:pPr>
              <w:pStyle w:val="25"/>
              <w:spacing w:line="242" w:lineRule="auto"/>
              <w:ind w:left="105" w:leftChars="50" w:right="105" w:rightChars="50"/>
              <w:jc w:val="center"/>
              <w:rPr>
                <w:sz w:val="21"/>
              </w:rPr>
            </w:pPr>
            <w:r>
              <w:rPr>
                <w:sz w:val="21"/>
              </w:rPr>
              <w:t>探测器无尘垢，工作正常，无故障。</w:t>
            </w:r>
          </w:p>
        </w:tc>
      </w:tr>
      <w:tr w14:paraId="5864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933" w:type="pct"/>
            <w:noWrap w:val="0"/>
            <w:vAlign w:val="top"/>
          </w:tcPr>
          <w:p w14:paraId="469B20D0">
            <w:pPr>
              <w:pStyle w:val="25"/>
              <w:spacing w:line="242" w:lineRule="auto"/>
              <w:ind w:left="105" w:leftChars="50" w:right="105" w:rightChars="50"/>
              <w:jc w:val="center"/>
              <w:rPr>
                <w:sz w:val="21"/>
              </w:rPr>
            </w:pPr>
            <w:r>
              <w:rPr>
                <w:sz w:val="21"/>
              </w:rPr>
              <w:t xml:space="preserve">记录 </w:t>
            </w:r>
          </w:p>
        </w:tc>
        <w:tc>
          <w:tcPr>
            <w:tcW w:w="2498" w:type="pct"/>
            <w:noWrap w:val="0"/>
            <w:vAlign w:val="top"/>
          </w:tcPr>
          <w:p w14:paraId="4E308D44">
            <w:pPr>
              <w:pStyle w:val="25"/>
              <w:spacing w:line="242" w:lineRule="auto"/>
              <w:ind w:left="105" w:leftChars="50" w:right="105" w:rightChars="50"/>
              <w:jc w:val="center"/>
              <w:rPr>
                <w:sz w:val="21"/>
              </w:rPr>
            </w:pPr>
            <w:r>
              <w:rPr>
                <w:sz w:val="21"/>
              </w:rPr>
              <w:t xml:space="preserve">对电气火灾报警系统维修保养有记录。 </w:t>
            </w:r>
          </w:p>
        </w:tc>
        <w:tc>
          <w:tcPr>
            <w:tcW w:w="1569" w:type="pct"/>
            <w:noWrap w:val="0"/>
            <w:vAlign w:val="top"/>
          </w:tcPr>
          <w:p w14:paraId="0368E1FE">
            <w:pPr>
              <w:pStyle w:val="25"/>
              <w:spacing w:line="242" w:lineRule="auto"/>
              <w:ind w:left="105" w:leftChars="50" w:right="105" w:rightChars="50"/>
              <w:jc w:val="center"/>
              <w:rPr>
                <w:sz w:val="21"/>
              </w:rPr>
            </w:pPr>
            <w:r>
              <w:rPr>
                <w:sz w:val="21"/>
              </w:rPr>
              <w:t xml:space="preserve">记录及时、完整。 </w:t>
            </w:r>
          </w:p>
        </w:tc>
      </w:tr>
    </w:tbl>
    <w:p w14:paraId="6677ABDF">
      <w:pPr>
        <w:kinsoku w:val="0"/>
        <w:overflowPunct w:val="0"/>
        <w:autoSpaceDE w:val="0"/>
        <w:autoSpaceDN w:val="0"/>
        <w:adjustRightInd w:val="0"/>
        <w:snapToGrid w:val="0"/>
        <w:spacing w:line="276" w:lineRule="auto"/>
        <w:ind w:firstLine="560"/>
        <w:rPr>
          <w:rFonts w:ascii="宋体" w:hAnsi="宋体" w:cs="宋体"/>
          <w:bCs/>
          <w:sz w:val="28"/>
          <w:szCs w:val="28"/>
        </w:rPr>
      </w:pPr>
    </w:p>
    <w:p w14:paraId="15149F23">
      <w:pPr>
        <w:spacing w:line="360" w:lineRule="auto"/>
        <w:ind w:firstLine="660" w:firstLineChars="275"/>
        <w:rPr>
          <w:rFonts w:ascii="宋体" w:hAnsi="宋体" w:cs="宋体"/>
          <w:sz w:val="24"/>
          <w:szCs w:val="24"/>
        </w:rPr>
      </w:pPr>
      <w:r>
        <w:rPr>
          <w:rFonts w:hint="eastAsia" w:ascii="宋体" w:hAnsi="宋体" w:cs="宋体"/>
          <w:sz w:val="24"/>
          <w:szCs w:val="24"/>
        </w:rPr>
        <w:t>（9）</w:t>
      </w:r>
      <w:r>
        <w:rPr>
          <w:rFonts w:ascii="宋体" w:hAnsi="宋体" w:cs="宋体"/>
          <w:sz w:val="24"/>
          <w:szCs w:val="24"/>
        </w:rPr>
        <w:t>应急照明及消防疏散指示系统</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101"/>
        <w:gridCol w:w="4993"/>
        <w:gridCol w:w="2195"/>
      </w:tblGrid>
      <w:tr w14:paraId="35578E0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664" w:type="pct"/>
            <w:noWrap w:val="0"/>
            <w:vAlign w:val="center"/>
          </w:tcPr>
          <w:p w14:paraId="0E344648">
            <w:pPr>
              <w:pStyle w:val="25"/>
              <w:spacing w:line="242" w:lineRule="auto"/>
              <w:ind w:right="88"/>
              <w:jc w:val="center"/>
              <w:rPr>
                <w:b/>
                <w:bCs/>
                <w:sz w:val="21"/>
              </w:rPr>
            </w:pPr>
            <w:r>
              <w:rPr>
                <w:b/>
                <w:bCs/>
                <w:sz w:val="21"/>
              </w:rPr>
              <w:t xml:space="preserve">项目 </w:t>
            </w:r>
          </w:p>
        </w:tc>
        <w:tc>
          <w:tcPr>
            <w:tcW w:w="3012" w:type="pct"/>
            <w:noWrap w:val="0"/>
            <w:vAlign w:val="center"/>
          </w:tcPr>
          <w:p w14:paraId="06BB24B7">
            <w:pPr>
              <w:pStyle w:val="25"/>
              <w:spacing w:line="242" w:lineRule="auto"/>
              <w:ind w:right="88"/>
              <w:jc w:val="center"/>
              <w:rPr>
                <w:b/>
                <w:bCs/>
                <w:sz w:val="21"/>
              </w:rPr>
            </w:pPr>
            <w:r>
              <w:rPr>
                <w:b/>
                <w:bCs/>
                <w:sz w:val="21"/>
              </w:rPr>
              <w:t xml:space="preserve">  维修保养检查内容及频次 </w:t>
            </w:r>
          </w:p>
        </w:tc>
        <w:tc>
          <w:tcPr>
            <w:tcW w:w="1324" w:type="pct"/>
            <w:noWrap w:val="0"/>
            <w:vAlign w:val="center"/>
          </w:tcPr>
          <w:p w14:paraId="4D9DC001">
            <w:pPr>
              <w:pStyle w:val="25"/>
              <w:spacing w:line="242" w:lineRule="auto"/>
              <w:ind w:right="88"/>
              <w:jc w:val="center"/>
              <w:rPr>
                <w:b/>
                <w:bCs/>
                <w:sz w:val="21"/>
              </w:rPr>
            </w:pPr>
            <w:r>
              <w:rPr>
                <w:b/>
                <w:bCs/>
                <w:sz w:val="21"/>
              </w:rPr>
              <w:t xml:space="preserve"> 标 准 </w:t>
            </w:r>
          </w:p>
        </w:tc>
      </w:tr>
      <w:tr w14:paraId="6042D51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664" w:type="pct"/>
            <w:noWrap w:val="0"/>
            <w:vAlign w:val="center"/>
          </w:tcPr>
          <w:p w14:paraId="55770693">
            <w:pPr>
              <w:pStyle w:val="25"/>
              <w:spacing w:line="242" w:lineRule="auto"/>
              <w:ind w:right="88"/>
              <w:jc w:val="center"/>
              <w:rPr>
                <w:sz w:val="21"/>
              </w:rPr>
            </w:pPr>
            <w:r>
              <w:rPr>
                <w:sz w:val="21"/>
              </w:rPr>
              <w:t xml:space="preserve">疏散指示牌 </w:t>
            </w:r>
          </w:p>
        </w:tc>
        <w:tc>
          <w:tcPr>
            <w:tcW w:w="3012" w:type="pct"/>
            <w:noWrap w:val="0"/>
            <w:vAlign w:val="center"/>
          </w:tcPr>
          <w:p w14:paraId="56EE2E53">
            <w:pPr>
              <w:pStyle w:val="25"/>
              <w:spacing w:line="242" w:lineRule="auto"/>
              <w:ind w:right="88"/>
              <w:jc w:val="center"/>
              <w:rPr>
                <w:sz w:val="21"/>
              </w:rPr>
            </w:pPr>
            <w:r>
              <w:rPr>
                <w:sz w:val="21"/>
              </w:rPr>
              <w:t>清洁、检查标示字体完整度，方向指示正确</w:t>
            </w:r>
            <w:r>
              <w:rPr>
                <w:rFonts w:hint="eastAsia"/>
                <w:sz w:val="21"/>
              </w:rPr>
              <w:t>，</w:t>
            </w:r>
            <w:r>
              <w:rPr>
                <w:sz w:val="21"/>
              </w:rPr>
              <w:t xml:space="preserve">每月 1 次 </w:t>
            </w:r>
            <w:r>
              <w:rPr>
                <w:rFonts w:hint="eastAsia"/>
                <w:sz w:val="21"/>
              </w:rPr>
              <w:t>。</w:t>
            </w:r>
          </w:p>
        </w:tc>
        <w:tc>
          <w:tcPr>
            <w:tcW w:w="1324" w:type="pct"/>
            <w:vMerge w:val="restart"/>
            <w:noWrap w:val="0"/>
            <w:vAlign w:val="center"/>
          </w:tcPr>
          <w:p w14:paraId="1441CFC1">
            <w:pPr>
              <w:pStyle w:val="25"/>
              <w:spacing w:line="242" w:lineRule="auto"/>
              <w:ind w:right="88"/>
              <w:jc w:val="center"/>
              <w:rPr>
                <w:sz w:val="21"/>
              </w:rPr>
            </w:pPr>
          </w:p>
          <w:p w14:paraId="5CFE9A69">
            <w:pPr>
              <w:pStyle w:val="25"/>
              <w:spacing w:line="242" w:lineRule="auto"/>
              <w:ind w:right="88"/>
              <w:jc w:val="center"/>
              <w:rPr>
                <w:sz w:val="21"/>
              </w:rPr>
            </w:pPr>
            <w:r>
              <w:rPr>
                <w:sz w:val="21"/>
              </w:rPr>
              <w:t xml:space="preserve">符合相关规范，满足人员紧急疏散指示要求。 </w:t>
            </w:r>
          </w:p>
        </w:tc>
      </w:tr>
      <w:tr w14:paraId="50F55CD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664" w:type="pct"/>
            <w:noWrap w:val="0"/>
            <w:vAlign w:val="center"/>
          </w:tcPr>
          <w:p w14:paraId="429438B4">
            <w:pPr>
              <w:pStyle w:val="25"/>
              <w:spacing w:line="242" w:lineRule="auto"/>
              <w:ind w:right="88"/>
              <w:jc w:val="center"/>
              <w:rPr>
                <w:sz w:val="21"/>
              </w:rPr>
            </w:pPr>
            <w:r>
              <w:rPr>
                <w:sz w:val="21"/>
              </w:rPr>
              <w:t xml:space="preserve">应急照明灯 </w:t>
            </w:r>
          </w:p>
        </w:tc>
        <w:tc>
          <w:tcPr>
            <w:tcW w:w="3012" w:type="pct"/>
            <w:noWrap w:val="0"/>
            <w:vAlign w:val="center"/>
          </w:tcPr>
          <w:p w14:paraId="0BF4B878">
            <w:pPr>
              <w:pStyle w:val="25"/>
              <w:spacing w:line="242" w:lineRule="auto"/>
              <w:ind w:right="88"/>
              <w:jc w:val="center"/>
              <w:rPr>
                <w:sz w:val="21"/>
              </w:rPr>
            </w:pPr>
            <w:r>
              <w:rPr>
                <w:sz w:val="21"/>
              </w:rPr>
              <w:t>清洁、外观检查及功能检测是否正常</w:t>
            </w:r>
            <w:r>
              <w:rPr>
                <w:rFonts w:hint="eastAsia"/>
                <w:sz w:val="21"/>
              </w:rPr>
              <w:t>，</w:t>
            </w:r>
            <w:r>
              <w:rPr>
                <w:sz w:val="21"/>
              </w:rPr>
              <w:t xml:space="preserve">每月1 次 </w:t>
            </w:r>
            <w:r>
              <w:rPr>
                <w:rFonts w:hint="eastAsia"/>
                <w:sz w:val="21"/>
              </w:rPr>
              <w:t>。</w:t>
            </w:r>
          </w:p>
        </w:tc>
        <w:tc>
          <w:tcPr>
            <w:tcW w:w="1324" w:type="pct"/>
            <w:vMerge w:val="continue"/>
            <w:noWrap w:val="0"/>
            <w:vAlign w:val="center"/>
          </w:tcPr>
          <w:p w14:paraId="32BED2FD">
            <w:pPr>
              <w:spacing w:line="242" w:lineRule="auto"/>
              <w:ind w:right="88" w:firstLine="420"/>
              <w:jc w:val="center"/>
              <w:rPr>
                <w:rFonts w:ascii="宋体" w:hAnsi="宋体" w:cs="宋体"/>
                <w:kern w:val="0"/>
                <w:lang w:val="zh-CN" w:bidi="zh-CN"/>
              </w:rPr>
            </w:pPr>
          </w:p>
        </w:tc>
      </w:tr>
      <w:tr w14:paraId="784A72D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664" w:type="pct"/>
            <w:noWrap w:val="0"/>
            <w:vAlign w:val="center"/>
          </w:tcPr>
          <w:p w14:paraId="6AE76F19">
            <w:pPr>
              <w:pStyle w:val="25"/>
              <w:spacing w:line="242" w:lineRule="auto"/>
              <w:ind w:right="88"/>
              <w:jc w:val="center"/>
              <w:rPr>
                <w:sz w:val="21"/>
              </w:rPr>
            </w:pPr>
            <w:r>
              <w:rPr>
                <w:sz w:val="21"/>
              </w:rPr>
              <w:t xml:space="preserve">常开防火门 </w:t>
            </w:r>
          </w:p>
        </w:tc>
        <w:tc>
          <w:tcPr>
            <w:tcW w:w="3012" w:type="pct"/>
            <w:noWrap w:val="0"/>
            <w:vAlign w:val="center"/>
          </w:tcPr>
          <w:p w14:paraId="39479F0D">
            <w:pPr>
              <w:pStyle w:val="25"/>
              <w:spacing w:line="242" w:lineRule="auto"/>
              <w:ind w:right="88"/>
              <w:jc w:val="center"/>
              <w:rPr>
                <w:sz w:val="21"/>
              </w:rPr>
            </w:pPr>
            <w:r>
              <w:rPr>
                <w:sz w:val="21"/>
              </w:rPr>
              <w:t>清洁、外观检查及功能检测是否正常</w:t>
            </w:r>
            <w:r>
              <w:rPr>
                <w:rFonts w:hint="eastAsia"/>
                <w:sz w:val="21"/>
              </w:rPr>
              <w:t>，</w:t>
            </w:r>
            <w:r>
              <w:rPr>
                <w:sz w:val="21"/>
              </w:rPr>
              <w:t xml:space="preserve">每月1 次 </w:t>
            </w:r>
            <w:r>
              <w:rPr>
                <w:rFonts w:hint="eastAsia"/>
                <w:sz w:val="21"/>
              </w:rPr>
              <w:t>。</w:t>
            </w:r>
          </w:p>
        </w:tc>
        <w:tc>
          <w:tcPr>
            <w:tcW w:w="1324" w:type="pct"/>
            <w:vMerge w:val="restart"/>
            <w:noWrap w:val="0"/>
            <w:vAlign w:val="center"/>
          </w:tcPr>
          <w:p w14:paraId="4FAE16AB">
            <w:pPr>
              <w:pStyle w:val="25"/>
              <w:spacing w:line="242" w:lineRule="auto"/>
              <w:ind w:right="88"/>
              <w:jc w:val="center"/>
              <w:rPr>
                <w:sz w:val="21"/>
              </w:rPr>
            </w:pPr>
            <w:r>
              <w:rPr>
                <w:sz w:val="21"/>
              </w:rPr>
              <w:t xml:space="preserve">符合相关规范，满足人员紧急疏散指示要求。 </w:t>
            </w:r>
          </w:p>
        </w:tc>
      </w:tr>
      <w:tr w14:paraId="6730286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664" w:type="pct"/>
            <w:noWrap w:val="0"/>
            <w:vAlign w:val="center"/>
          </w:tcPr>
          <w:p w14:paraId="672FC886">
            <w:pPr>
              <w:pStyle w:val="25"/>
              <w:spacing w:line="242" w:lineRule="auto"/>
              <w:ind w:right="88"/>
              <w:jc w:val="center"/>
              <w:rPr>
                <w:sz w:val="21"/>
              </w:rPr>
            </w:pPr>
            <w:r>
              <w:rPr>
                <w:sz w:val="21"/>
              </w:rPr>
              <w:t xml:space="preserve">门禁系统 </w:t>
            </w:r>
          </w:p>
        </w:tc>
        <w:tc>
          <w:tcPr>
            <w:tcW w:w="3012" w:type="pct"/>
            <w:noWrap w:val="0"/>
            <w:vAlign w:val="center"/>
          </w:tcPr>
          <w:p w14:paraId="564E5D8D">
            <w:pPr>
              <w:pStyle w:val="25"/>
              <w:spacing w:line="242" w:lineRule="auto"/>
              <w:ind w:right="88"/>
              <w:jc w:val="center"/>
              <w:rPr>
                <w:sz w:val="21"/>
              </w:rPr>
            </w:pPr>
            <w:r>
              <w:rPr>
                <w:sz w:val="21"/>
              </w:rPr>
              <w:t>清洁、功能检测是否正常</w:t>
            </w:r>
            <w:r>
              <w:rPr>
                <w:rFonts w:hint="eastAsia"/>
                <w:sz w:val="21"/>
              </w:rPr>
              <w:t>，</w:t>
            </w:r>
            <w:r>
              <w:rPr>
                <w:sz w:val="21"/>
              </w:rPr>
              <w:t>每月 1 次</w:t>
            </w:r>
            <w:r>
              <w:rPr>
                <w:rFonts w:hint="eastAsia"/>
                <w:sz w:val="21"/>
              </w:rPr>
              <w:t>。</w:t>
            </w:r>
            <w:r>
              <w:rPr>
                <w:sz w:val="21"/>
              </w:rPr>
              <w:t xml:space="preserve"> </w:t>
            </w:r>
          </w:p>
        </w:tc>
        <w:tc>
          <w:tcPr>
            <w:tcW w:w="1324" w:type="pct"/>
            <w:vMerge w:val="continue"/>
            <w:noWrap w:val="0"/>
            <w:vAlign w:val="center"/>
          </w:tcPr>
          <w:p w14:paraId="5928BAAA">
            <w:pPr>
              <w:spacing w:line="242" w:lineRule="auto"/>
              <w:ind w:right="88" w:firstLine="420"/>
              <w:jc w:val="center"/>
              <w:rPr>
                <w:rFonts w:ascii="宋体" w:hAnsi="宋体" w:cs="宋体"/>
                <w:kern w:val="0"/>
                <w:lang w:val="zh-CN" w:bidi="zh-CN"/>
              </w:rPr>
            </w:pPr>
          </w:p>
        </w:tc>
      </w:tr>
      <w:tr w14:paraId="01D35A0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664" w:type="pct"/>
            <w:noWrap w:val="0"/>
            <w:vAlign w:val="center"/>
          </w:tcPr>
          <w:p w14:paraId="496E1F8A">
            <w:pPr>
              <w:pStyle w:val="25"/>
              <w:spacing w:line="242" w:lineRule="auto"/>
              <w:ind w:right="88"/>
              <w:jc w:val="center"/>
              <w:rPr>
                <w:sz w:val="21"/>
              </w:rPr>
            </w:pPr>
            <w:r>
              <w:rPr>
                <w:sz w:val="21"/>
              </w:rPr>
              <w:t xml:space="preserve">记录 </w:t>
            </w:r>
          </w:p>
        </w:tc>
        <w:tc>
          <w:tcPr>
            <w:tcW w:w="3012" w:type="pct"/>
            <w:noWrap w:val="0"/>
            <w:vAlign w:val="center"/>
          </w:tcPr>
          <w:p w14:paraId="40E54919">
            <w:pPr>
              <w:pStyle w:val="25"/>
              <w:spacing w:line="242" w:lineRule="auto"/>
              <w:ind w:right="88"/>
              <w:jc w:val="center"/>
              <w:rPr>
                <w:sz w:val="21"/>
              </w:rPr>
            </w:pPr>
            <w:r>
              <w:rPr>
                <w:sz w:val="21"/>
              </w:rPr>
              <w:t xml:space="preserve">对消防疏散指示系统维修保养有记录。 </w:t>
            </w:r>
          </w:p>
        </w:tc>
        <w:tc>
          <w:tcPr>
            <w:tcW w:w="1324" w:type="pct"/>
            <w:noWrap w:val="0"/>
            <w:vAlign w:val="center"/>
          </w:tcPr>
          <w:p w14:paraId="11B5ACED">
            <w:pPr>
              <w:pStyle w:val="25"/>
              <w:spacing w:line="242" w:lineRule="auto"/>
              <w:ind w:right="88"/>
              <w:jc w:val="center"/>
              <w:rPr>
                <w:sz w:val="21"/>
              </w:rPr>
            </w:pPr>
            <w:r>
              <w:rPr>
                <w:sz w:val="21"/>
              </w:rPr>
              <w:t xml:space="preserve">记录及时、完整。 </w:t>
            </w:r>
          </w:p>
        </w:tc>
      </w:tr>
    </w:tbl>
    <w:p w14:paraId="271F2C74">
      <w:pPr>
        <w:kinsoku w:val="0"/>
        <w:overflowPunct w:val="0"/>
        <w:autoSpaceDE w:val="0"/>
        <w:autoSpaceDN w:val="0"/>
        <w:adjustRightInd w:val="0"/>
        <w:snapToGrid w:val="0"/>
        <w:spacing w:line="276" w:lineRule="auto"/>
        <w:ind w:firstLine="408"/>
        <w:rPr>
          <w:spacing w:val="-3"/>
        </w:rPr>
      </w:pPr>
    </w:p>
    <w:p w14:paraId="3CE220A1">
      <w:pPr>
        <w:pStyle w:val="2"/>
        <w:spacing w:before="0" w:after="0" w:line="360" w:lineRule="auto"/>
        <w:ind w:left="561" w:hanging="561" w:firstLineChars="0"/>
        <w:rPr>
          <w:rFonts w:ascii="宋体" w:hAnsi="宋体"/>
          <w:sz w:val="24"/>
          <w:szCs w:val="24"/>
        </w:rPr>
      </w:pPr>
      <w:r>
        <w:rPr>
          <w:rFonts w:hint="eastAsia" w:ascii="宋体" w:hAnsi="宋体"/>
          <w:sz w:val="24"/>
          <w:szCs w:val="24"/>
          <w:lang w:val="en-US" w:eastAsia="zh-CN"/>
        </w:rPr>
        <w:t>四</w:t>
      </w:r>
      <w:r>
        <w:rPr>
          <w:rFonts w:hint="eastAsia" w:ascii="宋体" w:hAnsi="宋体"/>
          <w:sz w:val="24"/>
          <w:szCs w:val="24"/>
        </w:rPr>
        <w:t>、维修保养频次等说明</w:t>
      </w:r>
    </w:p>
    <w:p w14:paraId="20DB0D34">
      <w:pPr>
        <w:spacing w:line="360" w:lineRule="auto"/>
        <w:ind w:firstLine="660" w:firstLineChars="275"/>
        <w:rPr>
          <w:rFonts w:ascii="宋体" w:hAnsi="宋体" w:cs="宋体"/>
          <w:sz w:val="24"/>
          <w:szCs w:val="24"/>
        </w:rPr>
      </w:pPr>
      <w:r>
        <w:rPr>
          <w:rFonts w:ascii="宋体" w:hAnsi="宋体" w:cs="宋体"/>
          <w:sz w:val="24"/>
          <w:szCs w:val="24"/>
        </w:rPr>
        <w:t>1</w:t>
      </w:r>
      <w:r>
        <w:rPr>
          <w:rFonts w:hint="eastAsia" w:ascii="宋体" w:hAnsi="宋体" w:cs="宋体"/>
          <w:sz w:val="24"/>
          <w:szCs w:val="24"/>
        </w:rPr>
        <w:t>．</w:t>
      </w:r>
      <w:r>
        <w:rPr>
          <w:rFonts w:ascii="宋体" w:hAnsi="宋体" w:cs="宋体"/>
          <w:sz w:val="24"/>
          <w:szCs w:val="24"/>
        </w:rPr>
        <w:t>上述确定的维修保养频度是维修保养过程所需要达到的最基本的要求，投标人可在此基础上根据实际情况提出更高的标准，投标人须根据工作量拟定合理的维护计划和确定维修保养人数。</w:t>
      </w:r>
    </w:p>
    <w:p w14:paraId="728E7FAB">
      <w:pPr>
        <w:spacing w:line="360" w:lineRule="auto"/>
        <w:ind w:firstLine="660" w:firstLineChars="275"/>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对消防系统的接地电阻及相关的绝缘电阻须</w:t>
      </w:r>
      <w:r>
        <w:rPr>
          <w:rFonts w:hint="eastAsia" w:ascii="宋体" w:hAnsi="宋体" w:cs="宋体"/>
          <w:sz w:val="24"/>
          <w:szCs w:val="24"/>
        </w:rPr>
        <w:t>1</w:t>
      </w:r>
      <w:r>
        <w:rPr>
          <w:rFonts w:ascii="宋体" w:hAnsi="宋体" w:cs="宋体"/>
          <w:sz w:val="24"/>
          <w:szCs w:val="24"/>
        </w:rPr>
        <w:t>年</w:t>
      </w:r>
      <w:r>
        <w:rPr>
          <w:rFonts w:hint="eastAsia" w:ascii="宋体" w:hAnsi="宋体" w:cs="宋体"/>
          <w:sz w:val="24"/>
          <w:szCs w:val="24"/>
        </w:rPr>
        <w:t>1</w:t>
      </w:r>
      <w:r>
        <w:rPr>
          <w:rFonts w:ascii="宋体" w:hAnsi="宋体" w:cs="宋体"/>
          <w:sz w:val="24"/>
          <w:szCs w:val="24"/>
        </w:rPr>
        <w:t>次检测，对发现不符合规范要求的，立刻进行整改。</w:t>
      </w:r>
    </w:p>
    <w:p w14:paraId="2262FB33">
      <w:pPr>
        <w:spacing w:line="360" w:lineRule="auto"/>
        <w:ind w:firstLine="660" w:firstLineChars="275"/>
        <w:rPr>
          <w:rFonts w:ascii="宋体" w:hAnsi="宋体" w:cs="宋体"/>
          <w:sz w:val="24"/>
          <w:szCs w:val="24"/>
        </w:rPr>
      </w:pPr>
      <w:r>
        <w:rPr>
          <w:rFonts w:hint="eastAsia" w:ascii="宋体" w:hAnsi="宋体" w:cs="宋体"/>
          <w:sz w:val="24"/>
          <w:szCs w:val="24"/>
        </w:rPr>
        <w:t>3．</w:t>
      </w:r>
      <w:r>
        <w:rPr>
          <w:rFonts w:ascii="宋体" w:hAnsi="宋体" w:cs="宋体"/>
          <w:sz w:val="24"/>
          <w:szCs w:val="24"/>
        </w:rPr>
        <w:t>维保过程中发现的故障应按要求及时查明故障原因，属维保责任的应及时予以修复</w:t>
      </w:r>
      <w:r>
        <w:rPr>
          <w:rFonts w:hint="eastAsia" w:ascii="宋体" w:hAnsi="宋体" w:cs="宋体"/>
          <w:sz w:val="24"/>
          <w:szCs w:val="24"/>
        </w:rPr>
        <w:t>；</w:t>
      </w:r>
      <w:r>
        <w:rPr>
          <w:rFonts w:ascii="宋体" w:hAnsi="宋体" w:cs="宋体"/>
          <w:sz w:val="24"/>
          <w:szCs w:val="24"/>
        </w:rPr>
        <w:t>需与物业工程人员现场检查确认；应确保消防信号线路、反馈信号准确，故障应及时修复；非消防信号线路、继电器的故障应及时报告，提供相应维修建议、方案</w:t>
      </w:r>
      <w:r>
        <w:rPr>
          <w:rFonts w:hint="eastAsia" w:ascii="宋体" w:hAnsi="宋体" w:cs="宋体"/>
          <w:sz w:val="24"/>
          <w:szCs w:val="24"/>
        </w:rPr>
        <w:t>。</w:t>
      </w:r>
    </w:p>
    <w:p w14:paraId="664121CA">
      <w:pPr>
        <w:pStyle w:val="2"/>
        <w:spacing w:before="0" w:after="0" w:line="360" w:lineRule="auto"/>
        <w:ind w:left="561" w:hanging="561" w:firstLineChars="0"/>
        <w:rPr>
          <w:rFonts w:ascii="宋体" w:hAnsi="宋体"/>
          <w:sz w:val="24"/>
          <w:szCs w:val="24"/>
        </w:rPr>
      </w:pPr>
      <w:r>
        <w:rPr>
          <w:rFonts w:hint="eastAsia" w:ascii="宋体" w:hAnsi="宋体"/>
          <w:sz w:val="24"/>
          <w:szCs w:val="24"/>
          <w:lang w:val="en-US" w:eastAsia="zh-CN"/>
        </w:rPr>
        <w:t>五</w:t>
      </w:r>
      <w:r>
        <w:rPr>
          <w:rFonts w:hint="eastAsia" w:ascii="宋体" w:hAnsi="宋体"/>
          <w:sz w:val="24"/>
          <w:szCs w:val="24"/>
        </w:rPr>
        <w:t>、其他要求</w:t>
      </w:r>
    </w:p>
    <w:p w14:paraId="08C5D08F">
      <w:pPr>
        <w:spacing w:line="360" w:lineRule="auto"/>
        <w:ind w:firstLine="660" w:firstLineChars="275"/>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投标报价涵盖该项目所有发生的一切费用。投标人应充分踏勘现场。中标后不得以未到现场和不完全了解现场情况为由，提出异议和任何形式的增加合同外造价或其它要求，而由此发生的一切后果，其责任由中标人自负。</w:t>
      </w:r>
    </w:p>
    <w:p w14:paraId="2746799D">
      <w:pPr>
        <w:spacing w:line="360" w:lineRule="auto"/>
        <w:ind w:firstLine="660" w:firstLineChars="275"/>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本项目工程管理严格按照招标人《滨湖集团安全生产管理办法》《滨湖集团工程管理检查制度》《滨湖集团建设工程合约单位违约行为违约金支付标准管理办法》《滨湖集团工程变更及签证管理办法》《滨湖集团工程结算管理办法》等相关制度执行。</w:t>
      </w:r>
    </w:p>
    <w:p w14:paraId="7D004B2E">
      <w:pPr>
        <w:spacing w:line="360" w:lineRule="auto"/>
        <w:ind w:firstLine="660" w:firstLineChars="275"/>
        <w:rPr>
          <w:rFonts w:hint="default" w:ascii="宋体" w:hAnsi="宋体" w:eastAsia="宋体" w:cs="Times New Roman"/>
          <w:b/>
          <w:bCs/>
          <w:kern w:val="44"/>
          <w:sz w:val="24"/>
          <w:szCs w:val="24"/>
          <w:lang w:val="en-US" w:eastAsia="zh-CN" w:bidi="ar-SA"/>
        </w:rPr>
      </w:pPr>
      <w:r>
        <w:rPr>
          <w:rFonts w:hint="eastAsia" w:ascii="宋体" w:hAnsi="宋体" w:cs="宋体"/>
          <w:sz w:val="24"/>
          <w:szCs w:val="24"/>
        </w:rPr>
        <w:t>3．投标人在投标时，须提供2份常规易损配件清单，①单价小于1</w:t>
      </w:r>
      <w:r>
        <w:rPr>
          <w:rFonts w:ascii="宋体" w:hAnsi="宋体" w:cs="宋体"/>
          <w:sz w:val="24"/>
          <w:szCs w:val="24"/>
        </w:rPr>
        <w:t>00</w:t>
      </w:r>
      <w:r>
        <w:rPr>
          <w:rFonts w:hint="eastAsia" w:ascii="宋体" w:hAnsi="宋体" w:cs="宋体"/>
          <w:sz w:val="24"/>
          <w:szCs w:val="24"/>
        </w:rPr>
        <w:t>元的规易损配件清单②单价大于等于1</w:t>
      </w:r>
      <w:r>
        <w:rPr>
          <w:rFonts w:ascii="宋体" w:hAnsi="宋体" w:cs="宋体"/>
          <w:sz w:val="24"/>
          <w:szCs w:val="24"/>
        </w:rPr>
        <w:t>00</w:t>
      </w:r>
      <w:r>
        <w:rPr>
          <w:rFonts w:hint="eastAsia" w:ascii="宋体" w:hAnsi="宋体" w:cs="宋体"/>
          <w:sz w:val="24"/>
          <w:szCs w:val="24"/>
        </w:rPr>
        <w:t>元的常规易损配件。清单内容包括配件名称（不少于3</w:t>
      </w:r>
      <w:r>
        <w:rPr>
          <w:rFonts w:ascii="宋体" w:hAnsi="宋体" w:cs="宋体"/>
          <w:sz w:val="24"/>
          <w:szCs w:val="24"/>
        </w:rPr>
        <w:t>0</w:t>
      </w:r>
      <w:r>
        <w:rPr>
          <w:rFonts w:hint="eastAsia" w:ascii="宋体" w:hAnsi="宋体" w:cs="宋体"/>
          <w:sz w:val="24"/>
          <w:szCs w:val="24"/>
        </w:rPr>
        <w:t>项）、品牌、规格、价格。作为合同期内更换配件费用确定的依据，且消控室部分更换配件品牌须跟原主机品牌相同。若不提供，视为不响应招标文件。</w:t>
      </w:r>
      <w:r>
        <w:rPr>
          <w:rFonts w:hint="eastAsia" w:ascii="宋体" w:hAnsi="宋体" w:cs="宋体"/>
          <w:sz w:val="24"/>
          <w:szCs w:val="24"/>
        </w:rPr>
        <w:br w:type="textWrapping"/>
      </w:r>
      <w:r>
        <w:rPr>
          <w:rFonts w:hint="eastAsia" w:ascii="宋体" w:hAnsi="宋体" w:eastAsia="宋体" w:cs="Times New Roman"/>
          <w:b/>
          <w:bCs/>
          <w:kern w:val="44"/>
          <w:sz w:val="24"/>
          <w:szCs w:val="24"/>
          <w:lang w:val="en-US" w:eastAsia="zh-CN" w:bidi="ar-SA"/>
        </w:rPr>
        <w:t>六、报价方式：报价不得多于费用控制价，详见下表：</w:t>
      </w:r>
      <w:r>
        <w:rPr>
          <w:rFonts w:hint="eastAsia" w:ascii="宋体" w:hAnsi="宋体" w:eastAsia="宋体" w:cs="Times New Roman"/>
          <w:b/>
          <w:bCs/>
          <w:kern w:val="44"/>
          <w:sz w:val="24"/>
          <w:szCs w:val="24"/>
          <w:lang w:val="en-US" w:eastAsia="zh-CN" w:bidi="ar-SA"/>
        </w:rPr>
        <w:br w:type="textWrapping"/>
      </w:r>
    </w:p>
    <w:tbl>
      <w:tblPr>
        <w:tblStyle w:val="18"/>
        <w:tblW w:w="8371" w:type="dxa"/>
        <w:jc w:val="center"/>
        <w:tblLayout w:type="fixed"/>
        <w:tblCellMar>
          <w:top w:w="0" w:type="dxa"/>
          <w:left w:w="108" w:type="dxa"/>
          <w:bottom w:w="0" w:type="dxa"/>
          <w:right w:w="108" w:type="dxa"/>
        </w:tblCellMar>
      </w:tblPr>
      <w:tblGrid>
        <w:gridCol w:w="560"/>
        <w:gridCol w:w="1812"/>
        <w:gridCol w:w="1391"/>
        <w:gridCol w:w="1145"/>
        <w:gridCol w:w="1200"/>
        <w:gridCol w:w="1214"/>
        <w:gridCol w:w="1049"/>
      </w:tblGrid>
      <w:tr w14:paraId="36319AE9">
        <w:tblPrEx>
          <w:tblCellMar>
            <w:top w:w="0" w:type="dxa"/>
            <w:left w:w="108" w:type="dxa"/>
            <w:bottom w:w="0" w:type="dxa"/>
            <w:right w:w="108" w:type="dxa"/>
          </w:tblCellMar>
        </w:tblPrEx>
        <w:trPr>
          <w:trHeight w:val="429" w:hRule="atLeast"/>
          <w:jc w:val="center"/>
        </w:trPr>
        <w:tc>
          <w:tcPr>
            <w:tcW w:w="560" w:type="dxa"/>
            <w:tcBorders>
              <w:top w:val="nil"/>
              <w:left w:val="single" w:color="auto" w:sz="4" w:space="0"/>
              <w:bottom w:val="single" w:color="auto" w:sz="4" w:space="0"/>
              <w:right w:val="single" w:color="auto" w:sz="4" w:space="0"/>
            </w:tcBorders>
            <w:noWrap/>
            <w:vAlign w:val="center"/>
          </w:tcPr>
          <w:p w14:paraId="21CA51AD">
            <w:pPr>
              <w:widowControl/>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序号</w:t>
            </w:r>
          </w:p>
        </w:tc>
        <w:tc>
          <w:tcPr>
            <w:tcW w:w="1812" w:type="dxa"/>
            <w:tcBorders>
              <w:top w:val="nil"/>
              <w:left w:val="nil"/>
              <w:bottom w:val="single" w:color="auto" w:sz="4" w:space="0"/>
              <w:right w:val="single" w:color="auto" w:sz="4" w:space="0"/>
            </w:tcBorders>
            <w:noWrap/>
            <w:vAlign w:val="center"/>
          </w:tcPr>
          <w:p w14:paraId="27387B6D">
            <w:pPr>
              <w:widowControl/>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项目名称</w:t>
            </w:r>
          </w:p>
        </w:tc>
        <w:tc>
          <w:tcPr>
            <w:tcW w:w="1391" w:type="dxa"/>
            <w:tcBorders>
              <w:top w:val="nil"/>
              <w:left w:val="nil"/>
              <w:bottom w:val="single" w:color="auto" w:sz="4" w:space="0"/>
              <w:right w:val="single" w:color="auto" w:sz="4" w:space="0"/>
            </w:tcBorders>
            <w:noWrap/>
            <w:vAlign w:val="center"/>
          </w:tcPr>
          <w:p w14:paraId="37D49237">
            <w:pPr>
              <w:widowControl/>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建筑总面积（m2)</w:t>
            </w:r>
          </w:p>
        </w:tc>
        <w:tc>
          <w:tcPr>
            <w:tcW w:w="1145" w:type="dxa"/>
            <w:tcBorders>
              <w:top w:val="nil"/>
              <w:left w:val="nil"/>
              <w:bottom w:val="single" w:color="auto" w:sz="4" w:space="0"/>
              <w:right w:val="single" w:color="auto" w:sz="4" w:space="0"/>
            </w:tcBorders>
            <w:noWrap/>
            <w:vAlign w:val="center"/>
          </w:tcPr>
          <w:p w14:paraId="20C4D2CB">
            <w:pPr>
              <w:widowControl/>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消控室个数</w:t>
            </w:r>
          </w:p>
        </w:tc>
        <w:tc>
          <w:tcPr>
            <w:tcW w:w="1200" w:type="dxa"/>
            <w:tcBorders>
              <w:top w:val="nil"/>
              <w:left w:val="nil"/>
              <w:bottom w:val="single" w:color="auto" w:sz="4" w:space="0"/>
              <w:right w:val="single" w:color="auto" w:sz="4" w:space="0"/>
            </w:tcBorders>
            <w:noWrap/>
            <w:vAlign w:val="center"/>
          </w:tcPr>
          <w:p w14:paraId="68DC3ACA">
            <w:pPr>
              <w:widowControl/>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消防泵房个数</w:t>
            </w:r>
          </w:p>
        </w:tc>
        <w:tc>
          <w:tcPr>
            <w:tcW w:w="1214" w:type="dxa"/>
            <w:tcBorders>
              <w:top w:val="nil"/>
              <w:left w:val="nil"/>
              <w:bottom w:val="single" w:color="auto" w:sz="4" w:space="0"/>
              <w:right w:val="single" w:color="auto" w:sz="4" w:space="0"/>
            </w:tcBorders>
            <w:noWrap/>
            <w:vAlign w:val="center"/>
          </w:tcPr>
          <w:p w14:paraId="53D11410">
            <w:pPr>
              <w:widowControl/>
              <w:spacing w:line="240" w:lineRule="auto"/>
              <w:ind w:firstLine="0" w:firstLineChars="0"/>
              <w:jc w:val="center"/>
              <w:rPr>
                <w:rFonts w:ascii="宋体" w:hAnsi="宋体" w:cs="宋体"/>
                <w:color w:val="auto"/>
                <w:kern w:val="0"/>
                <w:sz w:val="22"/>
              </w:rPr>
            </w:pPr>
            <w:r>
              <w:rPr>
                <w:rFonts w:hint="eastAsia" w:ascii="宋体" w:hAnsi="宋体" w:cs="宋体"/>
                <w:color w:val="auto"/>
                <w:kern w:val="0"/>
                <w:sz w:val="22"/>
              </w:rPr>
              <w:t>最高投标限价</w:t>
            </w:r>
          </w:p>
          <w:p w14:paraId="1E8F7C51">
            <w:pPr>
              <w:widowControl/>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(元/年）</w:t>
            </w:r>
          </w:p>
        </w:tc>
        <w:tc>
          <w:tcPr>
            <w:tcW w:w="1049" w:type="dxa"/>
            <w:tcBorders>
              <w:top w:val="nil"/>
              <w:left w:val="nil"/>
              <w:bottom w:val="single" w:color="auto" w:sz="4" w:space="0"/>
              <w:right w:val="single" w:color="auto" w:sz="4" w:space="0"/>
            </w:tcBorders>
            <w:noWrap/>
            <w:vAlign w:val="center"/>
          </w:tcPr>
          <w:p w14:paraId="2E80178E">
            <w:pPr>
              <w:widowControl/>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备注</w:t>
            </w:r>
          </w:p>
        </w:tc>
      </w:tr>
      <w:tr w14:paraId="4D6974EF">
        <w:tblPrEx>
          <w:tblCellMar>
            <w:top w:w="0" w:type="dxa"/>
            <w:left w:w="108" w:type="dxa"/>
            <w:bottom w:w="0" w:type="dxa"/>
            <w:right w:w="108" w:type="dxa"/>
          </w:tblCellMar>
        </w:tblPrEx>
        <w:trPr>
          <w:trHeight w:val="429" w:hRule="atLeast"/>
          <w:jc w:val="center"/>
        </w:trPr>
        <w:tc>
          <w:tcPr>
            <w:tcW w:w="560" w:type="dxa"/>
            <w:tcBorders>
              <w:top w:val="nil"/>
              <w:left w:val="single" w:color="auto" w:sz="4" w:space="0"/>
              <w:bottom w:val="single" w:color="auto" w:sz="4" w:space="0"/>
              <w:right w:val="single" w:color="auto" w:sz="4" w:space="0"/>
            </w:tcBorders>
            <w:noWrap/>
            <w:vAlign w:val="center"/>
          </w:tcPr>
          <w:p w14:paraId="4F30C40D">
            <w:pPr>
              <w:widowControl/>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1</w:t>
            </w:r>
          </w:p>
        </w:tc>
        <w:tc>
          <w:tcPr>
            <w:tcW w:w="1812" w:type="dxa"/>
            <w:tcBorders>
              <w:top w:val="nil"/>
              <w:left w:val="nil"/>
              <w:bottom w:val="single" w:color="auto" w:sz="4" w:space="0"/>
              <w:right w:val="single" w:color="auto" w:sz="4" w:space="0"/>
            </w:tcBorders>
            <w:noWrap/>
            <w:vAlign w:val="center"/>
          </w:tcPr>
          <w:p w14:paraId="382A4F6B">
            <w:pPr>
              <w:widowControl/>
              <w:spacing w:line="240" w:lineRule="auto"/>
              <w:ind w:firstLine="0" w:firstLineChars="0"/>
              <w:jc w:val="both"/>
              <w:rPr>
                <w:rFonts w:hint="default" w:ascii="宋体" w:hAnsi="宋体" w:eastAsia="宋体" w:cs="宋体"/>
                <w:color w:val="auto"/>
                <w:sz w:val="24"/>
                <w:lang w:val="en-US" w:eastAsia="zh-CN"/>
              </w:rPr>
            </w:pPr>
            <w:r>
              <w:rPr>
                <w:rFonts w:hint="eastAsia" w:ascii="Times New Roman" w:hAnsi="Times New Roman" w:cs="Times New Roman"/>
                <w:color w:val="auto"/>
                <w:sz w:val="22"/>
                <w:lang w:val="en-US" w:eastAsia="zh-CN"/>
              </w:rPr>
              <w:t>合柴1972文创园</w:t>
            </w:r>
          </w:p>
        </w:tc>
        <w:tc>
          <w:tcPr>
            <w:tcW w:w="1391" w:type="dxa"/>
            <w:tcBorders>
              <w:top w:val="nil"/>
              <w:left w:val="nil"/>
              <w:bottom w:val="single" w:color="auto" w:sz="4" w:space="0"/>
              <w:right w:val="single" w:color="auto" w:sz="4" w:space="0"/>
            </w:tcBorders>
            <w:noWrap/>
            <w:vAlign w:val="center"/>
          </w:tcPr>
          <w:p w14:paraId="22742183">
            <w:pPr>
              <w:widowControl/>
              <w:spacing w:line="240" w:lineRule="auto"/>
              <w:ind w:firstLine="0" w:firstLineChars="0"/>
              <w:jc w:val="center"/>
              <w:rPr>
                <w:rFonts w:hint="eastAsia"/>
                <w:color w:val="auto"/>
                <w:kern w:val="0"/>
                <w:sz w:val="22"/>
              </w:rPr>
            </w:pPr>
            <w:r>
              <w:rPr>
                <w:rFonts w:hint="eastAsia" w:ascii="宋体" w:hAnsi="宋体" w:eastAsia="宋体" w:cs="宋体"/>
                <w:i w:val="0"/>
                <w:iCs w:val="0"/>
                <w:snapToGrid w:val="0"/>
                <w:color w:val="000000"/>
                <w:kern w:val="0"/>
                <w:sz w:val="22"/>
                <w:szCs w:val="22"/>
                <w:u w:val="none"/>
                <w:lang w:val="en-US" w:eastAsia="zh-CN" w:bidi="ar"/>
              </w:rPr>
              <w:fldChar w:fldCharType="begin"/>
            </w:r>
            <w:r>
              <w:rPr>
                <w:rFonts w:hint="eastAsia" w:ascii="宋体" w:hAnsi="宋体" w:eastAsia="宋体" w:cs="宋体"/>
                <w:i w:val="0"/>
                <w:iCs w:val="0"/>
                <w:snapToGrid w:val="0"/>
                <w:color w:val="000000"/>
                <w:kern w:val="0"/>
                <w:sz w:val="22"/>
                <w:szCs w:val="22"/>
                <w:u w:val="none"/>
                <w:lang w:val="en-US" w:eastAsia="zh-CN" w:bidi="ar"/>
              </w:rPr>
              <w:instrText xml:space="preserve"> = sum(D2:D20) \* MERGEFORMAT </w:instrText>
            </w:r>
            <w:r>
              <w:rPr>
                <w:rFonts w:hint="eastAsia" w:ascii="宋体" w:hAnsi="宋体" w:eastAsia="宋体" w:cs="宋体"/>
                <w:i w:val="0"/>
                <w:iCs w:val="0"/>
                <w:snapToGrid w:val="0"/>
                <w:color w:val="000000"/>
                <w:kern w:val="0"/>
                <w:sz w:val="22"/>
                <w:szCs w:val="22"/>
                <w:u w:val="none"/>
                <w:lang w:val="en-US" w:eastAsia="zh-CN" w:bidi="ar"/>
              </w:rPr>
              <w:fldChar w:fldCharType="separate"/>
            </w:r>
            <w:r>
              <w:rPr>
                <w:rFonts w:hint="eastAsia" w:ascii="宋体" w:hAnsi="宋体" w:eastAsia="宋体" w:cs="宋体"/>
                <w:i w:val="0"/>
                <w:iCs w:val="0"/>
                <w:snapToGrid w:val="0"/>
                <w:color w:val="000000"/>
                <w:kern w:val="0"/>
                <w:sz w:val="22"/>
                <w:szCs w:val="22"/>
                <w:u w:val="none"/>
                <w:lang w:val="en-US" w:eastAsia="zh-CN" w:bidi="ar"/>
              </w:rPr>
              <w:t>77320</w:t>
            </w:r>
            <w:r>
              <w:rPr>
                <w:rFonts w:hint="eastAsia" w:ascii="宋体" w:hAnsi="宋体" w:eastAsia="宋体" w:cs="宋体"/>
                <w:i w:val="0"/>
                <w:iCs w:val="0"/>
                <w:snapToGrid w:val="0"/>
                <w:color w:val="000000"/>
                <w:kern w:val="0"/>
                <w:sz w:val="22"/>
                <w:szCs w:val="22"/>
                <w:u w:val="none"/>
                <w:lang w:val="en-US" w:eastAsia="zh-CN" w:bidi="ar"/>
              </w:rPr>
              <w:fldChar w:fldCharType="end"/>
            </w:r>
          </w:p>
        </w:tc>
        <w:tc>
          <w:tcPr>
            <w:tcW w:w="1145" w:type="dxa"/>
            <w:tcBorders>
              <w:top w:val="nil"/>
              <w:left w:val="nil"/>
              <w:bottom w:val="single" w:color="auto" w:sz="4" w:space="0"/>
              <w:right w:val="single" w:color="auto" w:sz="4" w:space="0"/>
            </w:tcBorders>
            <w:noWrap/>
            <w:vAlign w:val="center"/>
          </w:tcPr>
          <w:p w14:paraId="006CFA5B">
            <w:pPr>
              <w:widowControl/>
              <w:spacing w:line="240" w:lineRule="auto"/>
              <w:ind w:firstLine="0" w:firstLineChars="0"/>
              <w:jc w:val="center"/>
              <w:rPr>
                <w:rFonts w:hint="eastAsia" w:eastAsia="宋体"/>
                <w:color w:val="auto"/>
                <w:kern w:val="0"/>
                <w:sz w:val="22"/>
                <w:lang w:eastAsia="zh-CN"/>
              </w:rPr>
            </w:pPr>
            <w:r>
              <w:rPr>
                <w:rFonts w:hint="eastAsia"/>
                <w:color w:val="auto"/>
                <w:sz w:val="22"/>
                <w:lang w:val="en-US" w:eastAsia="zh-CN"/>
              </w:rPr>
              <w:t>5</w:t>
            </w:r>
          </w:p>
        </w:tc>
        <w:tc>
          <w:tcPr>
            <w:tcW w:w="1200" w:type="dxa"/>
            <w:tcBorders>
              <w:top w:val="nil"/>
              <w:left w:val="nil"/>
              <w:bottom w:val="single" w:color="auto" w:sz="4" w:space="0"/>
              <w:right w:val="single" w:color="auto" w:sz="4" w:space="0"/>
            </w:tcBorders>
            <w:noWrap/>
            <w:vAlign w:val="center"/>
          </w:tcPr>
          <w:p w14:paraId="2803D1F7">
            <w:pPr>
              <w:widowControl/>
              <w:spacing w:line="240" w:lineRule="auto"/>
              <w:ind w:firstLine="0" w:firstLineChars="0"/>
              <w:jc w:val="center"/>
              <w:rPr>
                <w:rFonts w:hint="default" w:eastAsia="宋体"/>
                <w:color w:val="auto"/>
                <w:kern w:val="0"/>
                <w:sz w:val="22"/>
                <w:lang w:val="en-US" w:eastAsia="zh-CN"/>
              </w:rPr>
            </w:pPr>
            <w:r>
              <w:rPr>
                <w:rFonts w:hint="eastAsia"/>
                <w:color w:val="auto"/>
                <w:kern w:val="0"/>
                <w:sz w:val="22"/>
                <w:lang w:val="en-US" w:eastAsia="zh-CN"/>
              </w:rPr>
              <w:t>3</w:t>
            </w:r>
          </w:p>
        </w:tc>
        <w:tc>
          <w:tcPr>
            <w:tcW w:w="1214" w:type="dxa"/>
            <w:tcBorders>
              <w:top w:val="nil"/>
              <w:left w:val="nil"/>
              <w:bottom w:val="single" w:color="auto" w:sz="4" w:space="0"/>
              <w:right w:val="single" w:color="auto" w:sz="4" w:space="0"/>
            </w:tcBorders>
            <w:noWrap/>
            <w:vAlign w:val="center"/>
          </w:tcPr>
          <w:p w14:paraId="5FDA2E09">
            <w:pPr>
              <w:widowControl/>
              <w:spacing w:line="240" w:lineRule="auto"/>
              <w:ind w:firstLine="0" w:firstLineChars="0"/>
              <w:jc w:val="center"/>
              <w:rPr>
                <w:rFonts w:hint="eastAsia"/>
                <w:color w:val="auto"/>
                <w:kern w:val="0"/>
                <w:sz w:val="22"/>
              </w:rPr>
            </w:pPr>
            <w:r>
              <w:rPr>
                <w:rFonts w:hint="eastAsia"/>
                <w:color w:val="auto"/>
                <w:sz w:val="22"/>
                <w:lang w:val="en-US" w:eastAsia="zh-CN"/>
              </w:rPr>
              <w:t>95</w:t>
            </w:r>
            <w:r>
              <w:rPr>
                <w:rFonts w:hint="eastAsia"/>
                <w:color w:val="auto"/>
                <w:sz w:val="22"/>
              </w:rPr>
              <w:t>000</w:t>
            </w:r>
          </w:p>
        </w:tc>
        <w:tc>
          <w:tcPr>
            <w:tcW w:w="1049" w:type="dxa"/>
            <w:tcBorders>
              <w:top w:val="nil"/>
              <w:left w:val="nil"/>
              <w:bottom w:val="single" w:color="auto" w:sz="4" w:space="0"/>
              <w:right w:val="single" w:color="auto" w:sz="4" w:space="0"/>
            </w:tcBorders>
            <w:noWrap/>
            <w:vAlign w:val="center"/>
          </w:tcPr>
          <w:p w14:paraId="081F019A">
            <w:pPr>
              <w:widowControl/>
              <w:spacing w:line="240" w:lineRule="auto"/>
              <w:ind w:left="-972" w:leftChars="-463" w:firstLine="972" w:firstLineChars="442"/>
              <w:jc w:val="center"/>
              <w:rPr>
                <w:rFonts w:hint="eastAsia" w:ascii="宋体" w:hAnsi="宋体" w:cs="宋体"/>
                <w:color w:val="auto"/>
                <w:kern w:val="0"/>
                <w:sz w:val="22"/>
              </w:rPr>
            </w:pPr>
          </w:p>
        </w:tc>
      </w:tr>
    </w:tbl>
    <w:p w14:paraId="2DCC17BE">
      <w:pPr>
        <w:spacing w:line="360" w:lineRule="auto"/>
        <w:ind w:firstLine="663" w:firstLineChars="275"/>
        <w:rPr>
          <w:rFonts w:hint="default" w:ascii="宋体" w:hAnsi="宋体" w:eastAsia="宋体" w:cs="Times New Roman"/>
          <w:b/>
          <w:bCs/>
          <w:kern w:val="44"/>
          <w:sz w:val="24"/>
          <w:szCs w:val="24"/>
          <w:lang w:val="en-US" w:eastAsia="zh-CN" w:bidi="ar-SA"/>
        </w:rPr>
      </w:pPr>
    </w:p>
    <w:p w14:paraId="0F2F6DBE">
      <w:pPr>
        <w:pStyle w:val="2"/>
        <w:spacing w:before="0" w:after="0" w:line="360" w:lineRule="auto"/>
        <w:ind w:left="561" w:hanging="561" w:firstLineChars="0"/>
        <w:rPr>
          <w:rFonts w:hint="eastAsia" w:ascii="宋体" w:hAnsi="宋体"/>
          <w:sz w:val="24"/>
          <w:szCs w:val="24"/>
        </w:rPr>
      </w:pPr>
      <w:r>
        <w:rPr>
          <w:rFonts w:hint="eastAsia" w:ascii="宋体" w:hAnsi="宋体"/>
          <w:sz w:val="24"/>
          <w:szCs w:val="24"/>
          <w:lang w:val="en-US" w:eastAsia="zh-CN"/>
        </w:rPr>
        <w:t>七</w:t>
      </w:r>
      <w:r>
        <w:rPr>
          <w:rFonts w:hint="eastAsia" w:ascii="宋体" w:hAnsi="宋体"/>
          <w:sz w:val="24"/>
          <w:szCs w:val="24"/>
        </w:rPr>
        <w:t>、考核办法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181"/>
        <w:gridCol w:w="1396"/>
        <w:gridCol w:w="1199"/>
        <w:gridCol w:w="1154"/>
        <w:gridCol w:w="208"/>
        <w:gridCol w:w="1708"/>
      </w:tblGrid>
      <w:tr w14:paraId="56BB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96" w:type="dxa"/>
            <w:noWrap w:val="0"/>
            <w:vAlign w:val="center"/>
          </w:tcPr>
          <w:p w14:paraId="006540CC">
            <w:pPr>
              <w:spacing w:line="240" w:lineRule="auto"/>
              <w:ind w:firstLine="0" w:firstLineChars="0"/>
              <w:jc w:val="center"/>
              <w:rPr>
                <w:rFonts w:ascii="Calibri" w:hAnsi="Calibri"/>
                <w:b/>
                <w:bCs/>
                <w:sz w:val="22"/>
                <w:szCs w:val="24"/>
              </w:rPr>
            </w:pPr>
            <w:r>
              <w:rPr>
                <w:rFonts w:hint="eastAsia" w:ascii="Calibri" w:hAnsi="Calibri"/>
                <w:b/>
                <w:bCs/>
                <w:sz w:val="22"/>
                <w:szCs w:val="24"/>
              </w:rPr>
              <w:t>序号</w:t>
            </w:r>
          </w:p>
        </w:tc>
        <w:tc>
          <w:tcPr>
            <w:tcW w:w="5734" w:type="dxa"/>
            <w:gridSpan w:val="4"/>
            <w:noWrap w:val="0"/>
            <w:vAlign w:val="center"/>
          </w:tcPr>
          <w:p w14:paraId="359EE5A3">
            <w:pPr>
              <w:spacing w:line="240" w:lineRule="auto"/>
              <w:ind w:firstLine="0" w:firstLineChars="0"/>
              <w:jc w:val="center"/>
              <w:rPr>
                <w:rFonts w:ascii="Calibri" w:hAnsi="Calibri"/>
                <w:b/>
                <w:bCs/>
                <w:sz w:val="22"/>
                <w:szCs w:val="24"/>
              </w:rPr>
            </w:pPr>
            <w:r>
              <w:rPr>
                <w:rFonts w:hint="eastAsia" w:ascii="Calibri" w:hAnsi="Calibri"/>
                <w:b/>
                <w:bCs/>
                <w:sz w:val="22"/>
                <w:szCs w:val="24"/>
              </w:rPr>
              <w:t>考核内容</w:t>
            </w:r>
          </w:p>
        </w:tc>
        <w:tc>
          <w:tcPr>
            <w:tcW w:w="2224" w:type="dxa"/>
            <w:gridSpan w:val="2"/>
            <w:noWrap w:val="0"/>
            <w:vAlign w:val="center"/>
          </w:tcPr>
          <w:p w14:paraId="5C28884A">
            <w:pPr>
              <w:spacing w:line="240" w:lineRule="auto"/>
              <w:ind w:firstLine="0" w:firstLineChars="0"/>
              <w:jc w:val="center"/>
              <w:rPr>
                <w:rFonts w:ascii="Calibri" w:hAnsi="Calibri"/>
                <w:b/>
                <w:bCs/>
                <w:sz w:val="22"/>
                <w:szCs w:val="24"/>
              </w:rPr>
            </w:pPr>
            <w:r>
              <w:rPr>
                <w:rFonts w:hint="eastAsia" w:ascii="Calibri" w:hAnsi="Calibri"/>
                <w:b/>
                <w:bCs/>
                <w:sz w:val="22"/>
                <w:szCs w:val="24"/>
              </w:rPr>
              <w:t>评价</w:t>
            </w:r>
          </w:p>
        </w:tc>
      </w:tr>
      <w:tr w14:paraId="12B5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5ABBD1D7">
            <w:pPr>
              <w:spacing w:line="240" w:lineRule="auto"/>
              <w:ind w:firstLine="0" w:firstLineChars="0"/>
              <w:jc w:val="center"/>
              <w:rPr>
                <w:szCs w:val="24"/>
              </w:rPr>
            </w:pPr>
            <w:r>
              <w:rPr>
                <w:szCs w:val="24"/>
              </w:rPr>
              <w:t>1</w:t>
            </w:r>
          </w:p>
        </w:tc>
        <w:tc>
          <w:tcPr>
            <w:tcW w:w="5734" w:type="dxa"/>
            <w:gridSpan w:val="4"/>
            <w:noWrap w:val="0"/>
            <w:vAlign w:val="center"/>
          </w:tcPr>
          <w:p w14:paraId="7A4C5710">
            <w:pPr>
              <w:spacing w:line="240" w:lineRule="auto"/>
              <w:ind w:firstLine="0" w:firstLineChars="0"/>
              <w:rPr>
                <w:rFonts w:ascii="Calibri" w:hAnsi="Calibri"/>
                <w:szCs w:val="24"/>
              </w:rPr>
            </w:pPr>
            <w:r>
              <w:rPr>
                <w:rFonts w:hint="eastAsia"/>
              </w:rPr>
              <w:t>中标单位是否按国家规范、政府要求认真提供有效的确保系统完善及维修保养到位的服务保障</w:t>
            </w:r>
          </w:p>
        </w:tc>
        <w:tc>
          <w:tcPr>
            <w:tcW w:w="2224" w:type="dxa"/>
            <w:gridSpan w:val="2"/>
            <w:noWrap w:val="0"/>
            <w:vAlign w:val="center"/>
          </w:tcPr>
          <w:p w14:paraId="09199BE4">
            <w:pPr>
              <w:spacing w:line="240" w:lineRule="auto"/>
              <w:ind w:firstLine="0" w:firstLineChars="0"/>
              <w:rPr>
                <w:rFonts w:ascii="Calibri" w:hAnsi="Calibri"/>
                <w:szCs w:val="24"/>
              </w:rPr>
            </w:pPr>
          </w:p>
        </w:tc>
      </w:tr>
      <w:tr w14:paraId="4A63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577D45B5">
            <w:pPr>
              <w:spacing w:line="240" w:lineRule="auto"/>
              <w:ind w:firstLine="0" w:firstLineChars="0"/>
              <w:jc w:val="center"/>
              <w:rPr>
                <w:szCs w:val="24"/>
              </w:rPr>
            </w:pPr>
            <w:r>
              <w:rPr>
                <w:rFonts w:hint="eastAsia"/>
                <w:szCs w:val="24"/>
              </w:rPr>
              <w:t>2</w:t>
            </w:r>
          </w:p>
        </w:tc>
        <w:tc>
          <w:tcPr>
            <w:tcW w:w="5734" w:type="dxa"/>
            <w:gridSpan w:val="4"/>
            <w:noWrap w:val="0"/>
            <w:vAlign w:val="center"/>
          </w:tcPr>
          <w:p w14:paraId="6BD340E0">
            <w:pPr>
              <w:spacing w:line="240" w:lineRule="auto"/>
              <w:ind w:firstLine="0" w:firstLineChars="0"/>
              <w:rPr>
                <w:rFonts w:ascii="Calibri" w:hAnsi="Calibri"/>
                <w:szCs w:val="24"/>
              </w:rPr>
            </w:pPr>
            <w:r>
              <w:rPr>
                <w:rFonts w:hint="eastAsia"/>
              </w:rPr>
              <w:t>中标单位提供的备品备件产品是否全新正品的品牌产品</w:t>
            </w:r>
          </w:p>
        </w:tc>
        <w:tc>
          <w:tcPr>
            <w:tcW w:w="2224" w:type="dxa"/>
            <w:gridSpan w:val="2"/>
            <w:noWrap w:val="0"/>
            <w:vAlign w:val="center"/>
          </w:tcPr>
          <w:p w14:paraId="2FD41E40">
            <w:pPr>
              <w:spacing w:line="240" w:lineRule="auto"/>
              <w:ind w:firstLine="0" w:firstLineChars="0"/>
              <w:rPr>
                <w:rFonts w:ascii="Calibri" w:hAnsi="Calibri"/>
                <w:szCs w:val="24"/>
              </w:rPr>
            </w:pPr>
          </w:p>
        </w:tc>
      </w:tr>
      <w:tr w14:paraId="444B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482758C3">
            <w:pPr>
              <w:spacing w:line="240" w:lineRule="auto"/>
              <w:ind w:firstLine="0" w:firstLineChars="0"/>
              <w:jc w:val="center"/>
              <w:rPr>
                <w:szCs w:val="24"/>
              </w:rPr>
            </w:pPr>
            <w:r>
              <w:rPr>
                <w:rFonts w:hint="eastAsia"/>
                <w:szCs w:val="24"/>
              </w:rPr>
              <w:t>3</w:t>
            </w:r>
          </w:p>
        </w:tc>
        <w:tc>
          <w:tcPr>
            <w:tcW w:w="5734" w:type="dxa"/>
            <w:gridSpan w:val="4"/>
            <w:noWrap w:val="0"/>
            <w:vAlign w:val="center"/>
          </w:tcPr>
          <w:p w14:paraId="2EC48382">
            <w:pPr>
              <w:spacing w:line="240" w:lineRule="auto"/>
              <w:ind w:firstLine="0" w:firstLineChars="0"/>
              <w:rPr>
                <w:rFonts w:ascii="Calibri" w:hAnsi="Calibri"/>
                <w:szCs w:val="24"/>
              </w:rPr>
            </w:pPr>
            <w:r>
              <w:rPr>
                <w:rFonts w:hint="eastAsia"/>
              </w:rPr>
              <w:t>中标单位提供重要关键的零配件是否与原系统产品一致</w:t>
            </w:r>
          </w:p>
        </w:tc>
        <w:tc>
          <w:tcPr>
            <w:tcW w:w="2224" w:type="dxa"/>
            <w:gridSpan w:val="2"/>
            <w:noWrap w:val="0"/>
            <w:vAlign w:val="center"/>
          </w:tcPr>
          <w:p w14:paraId="3DF00D00">
            <w:pPr>
              <w:spacing w:line="240" w:lineRule="auto"/>
              <w:ind w:firstLine="0" w:firstLineChars="0"/>
              <w:rPr>
                <w:rFonts w:ascii="Calibri" w:hAnsi="Calibri"/>
                <w:szCs w:val="24"/>
              </w:rPr>
            </w:pPr>
          </w:p>
        </w:tc>
      </w:tr>
      <w:tr w14:paraId="790C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56DDE480">
            <w:pPr>
              <w:spacing w:line="240" w:lineRule="auto"/>
              <w:ind w:firstLine="0" w:firstLineChars="0"/>
              <w:jc w:val="center"/>
              <w:rPr>
                <w:szCs w:val="24"/>
              </w:rPr>
            </w:pPr>
            <w:r>
              <w:rPr>
                <w:rFonts w:hint="eastAsia"/>
                <w:szCs w:val="24"/>
              </w:rPr>
              <w:t>4</w:t>
            </w:r>
          </w:p>
        </w:tc>
        <w:tc>
          <w:tcPr>
            <w:tcW w:w="5734" w:type="dxa"/>
            <w:gridSpan w:val="4"/>
            <w:noWrap w:val="0"/>
            <w:vAlign w:val="center"/>
          </w:tcPr>
          <w:p w14:paraId="752968CB">
            <w:pPr>
              <w:spacing w:line="240" w:lineRule="auto"/>
              <w:ind w:firstLine="0" w:firstLineChars="0"/>
              <w:rPr>
                <w:rFonts w:ascii="Calibri" w:hAnsi="Calibri"/>
                <w:szCs w:val="24"/>
              </w:rPr>
            </w:pPr>
            <w:r>
              <w:rPr>
                <w:rFonts w:hint="eastAsia"/>
              </w:rPr>
              <w:t>中标单位应积极、主动的开展相关维保工作，并对发现的设备设施隐患、故障等及时进行维护维修</w:t>
            </w:r>
          </w:p>
        </w:tc>
        <w:tc>
          <w:tcPr>
            <w:tcW w:w="2224" w:type="dxa"/>
            <w:gridSpan w:val="2"/>
            <w:noWrap w:val="0"/>
            <w:vAlign w:val="center"/>
          </w:tcPr>
          <w:p w14:paraId="46C52E73">
            <w:pPr>
              <w:spacing w:line="240" w:lineRule="auto"/>
              <w:ind w:firstLine="0" w:firstLineChars="0"/>
              <w:rPr>
                <w:rFonts w:ascii="Calibri" w:hAnsi="Calibri"/>
                <w:szCs w:val="24"/>
              </w:rPr>
            </w:pPr>
          </w:p>
        </w:tc>
      </w:tr>
      <w:tr w14:paraId="1351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6F12A2E6">
            <w:pPr>
              <w:spacing w:line="240" w:lineRule="auto"/>
              <w:ind w:firstLine="0" w:firstLineChars="0"/>
              <w:jc w:val="center"/>
              <w:rPr>
                <w:szCs w:val="24"/>
              </w:rPr>
            </w:pPr>
            <w:r>
              <w:rPr>
                <w:szCs w:val="24"/>
              </w:rPr>
              <w:t>5</w:t>
            </w:r>
          </w:p>
        </w:tc>
        <w:tc>
          <w:tcPr>
            <w:tcW w:w="5734" w:type="dxa"/>
            <w:gridSpan w:val="4"/>
            <w:noWrap w:val="0"/>
            <w:vAlign w:val="center"/>
          </w:tcPr>
          <w:p w14:paraId="46C68EFE">
            <w:pPr>
              <w:spacing w:line="240" w:lineRule="auto"/>
              <w:ind w:firstLine="0" w:firstLineChars="0"/>
              <w:rPr>
                <w:rFonts w:ascii="Calibri" w:hAnsi="Calibri"/>
                <w:szCs w:val="24"/>
              </w:rPr>
            </w:pPr>
            <w:r>
              <w:rPr>
                <w:rFonts w:hint="eastAsia"/>
              </w:rPr>
              <w:t>对于招标人发起的相关整改、维护测试、联动测试检查，是否按要求，积极予以配合</w:t>
            </w:r>
          </w:p>
        </w:tc>
        <w:tc>
          <w:tcPr>
            <w:tcW w:w="2224" w:type="dxa"/>
            <w:gridSpan w:val="2"/>
            <w:noWrap w:val="0"/>
            <w:vAlign w:val="center"/>
          </w:tcPr>
          <w:p w14:paraId="7537A6F0">
            <w:pPr>
              <w:spacing w:line="240" w:lineRule="auto"/>
              <w:ind w:firstLine="0" w:firstLineChars="0"/>
              <w:rPr>
                <w:rFonts w:ascii="Calibri" w:hAnsi="Calibri"/>
                <w:szCs w:val="24"/>
              </w:rPr>
            </w:pPr>
          </w:p>
        </w:tc>
      </w:tr>
      <w:tr w14:paraId="019A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3FBFAD65">
            <w:pPr>
              <w:spacing w:line="240" w:lineRule="auto"/>
              <w:ind w:firstLine="0" w:firstLineChars="0"/>
              <w:jc w:val="center"/>
              <w:rPr>
                <w:szCs w:val="24"/>
              </w:rPr>
            </w:pPr>
            <w:r>
              <w:rPr>
                <w:szCs w:val="24"/>
              </w:rPr>
              <w:t>6</w:t>
            </w:r>
          </w:p>
        </w:tc>
        <w:tc>
          <w:tcPr>
            <w:tcW w:w="5734" w:type="dxa"/>
            <w:gridSpan w:val="4"/>
            <w:noWrap w:val="0"/>
            <w:vAlign w:val="center"/>
          </w:tcPr>
          <w:p w14:paraId="679F79D4">
            <w:pPr>
              <w:spacing w:line="240" w:lineRule="auto"/>
              <w:ind w:firstLine="0" w:firstLineChars="0"/>
              <w:rPr>
                <w:rFonts w:ascii="Calibri" w:hAnsi="Calibri"/>
                <w:szCs w:val="24"/>
              </w:rPr>
            </w:pPr>
            <w:r>
              <w:rPr>
                <w:rFonts w:hint="eastAsia"/>
              </w:rPr>
              <w:t>一般故障是否立即排除，较复杂的但对消防安全影响不大的故障是否在24小时内修复</w:t>
            </w:r>
          </w:p>
        </w:tc>
        <w:tc>
          <w:tcPr>
            <w:tcW w:w="2224" w:type="dxa"/>
            <w:gridSpan w:val="2"/>
            <w:noWrap w:val="0"/>
            <w:vAlign w:val="center"/>
          </w:tcPr>
          <w:p w14:paraId="143E9A1E">
            <w:pPr>
              <w:spacing w:line="240" w:lineRule="auto"/>
              <w:ind w:firstLine="0" w:firstLineChars="0"/>
              <w:rPr>
                <w:rFonts w:ascii="Calibri" w:hAnsi="Calibri"/>
                <w:szCs w:val="24"/>
              </w:rPr>
            </w:pPr>
          </w:p>
        </w:tc>
      </w:tr>
      <w:tr w14:paraId="5A71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754C3039">
            <w:pPr>
              <w:spacing w:line="240" w:lineRule="auto"/>
              <w:ind w:firstLine="0" w:firstLineChars="0"/>
              <w:jc w:val="center"/>
              <w:rPr>
                <w:szCs w:val="24"/>
              </w:rPr>
            </w:pPr>
            <w:r>
              <w:rPr>
                <w:rFonts w:hint="eastAsia"/>
                <w:szCs w:val="24"/>
              </w:rPr>
              <w:t>7</w:t>
            </w:r>
          </w:p>
        </w:tc>
        <w:tc>
          <w:tcPr>
            <w:tcW w:w="5734" w:type="dxa"/>
            <w:gridSpan w:val="4"/>
            <w:noWrap w:val="0"/>
            <w:vAlign w:val="center"/>
          </w:tcPr>
          <w:p w14:paraId="5EC65F12">
            <w:pPr>
              <w:spacing w:line="240" w:lineRule="auto"/>
              <w:ind w:firstLine="0" w:firstLineChars="0"/>
              <w:rPr>
                <w:rFonts w:ascii="Calibri" w:hAnsi="Calibri"/>
                <w:szCs w:val="24"/>
              </w:rPr>
            </w:pPr>
            <w:r>
              <w:rPr>
                <w:rFonts w:hint="eastAsia"/>
              </w:rPr>
              <w:t>对于非维保人员工作时间段内发生的系统设备故障，项目负责人是否自接到报修电话2小时内应安排维修人员到场处理</w:t>
            </w:r>
          </w:p>
        </w:tc>
        <w:tc>
          <w:tcPr>
            <w:tcW w:w="2224" w:type="dxa"/>
            <w:gridSpan w:val="2"/>
            <w:noWrap w:val="0"/>
            <w:vAlign w:val="center"/>
          </w:tcPr>
          <w:p w14:paraId="64399A19">
            <w:pPr>
              <w:spacing w:line="240" w:lineRule="auto"/>
              <w:ind w:firstLine="0" w:firstLineChars="0"/>
              <w:rPr>
                <w:rFonts w:ascii="Calibri" w:hAnsi="Calibri"/>
                <w:szCs w:val="24"/>
              </w:rPr>
            </w:pPr>
          </w:p>
        </w:tc>
      </w:tr>
      <w:tr w14:paraId="3604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96" w:type="dxa"/>
            <w:noWrap w:val="0"/>
            <w:vAlign w:val="center"/>
          </w:tcPr>
          <w:p w14:paraId="2D1D8548">
            <w:pPr>
              <w:spacing w:line="240" w:lineRule="auto"/>
              <w:ind w:firstLine="0" w:firstLineChars="0"/>
              <w:jc w:val="center"/>
              <w:rPr>
                <w:szCs w:val="24"/>
              </w:rPr>
            </w:pPr>
            <w:r>
              <w:rPr>
                <w:rFonts w:hint="eastAsia"/>
                <w:szCs w:val="24"/>
              </w:rPr>
              <w:t>8</w:t>
            </w:r>
          </w:p>
        </w:tc>
        <w:tc>
          <w:tcPr>
            <w:tcW w:w="5734" w:type="dxa"/>
            <w:gridSpan w:val="4"/>
            <w:noWrap w:val="0"/>
            <w:vAlign w:val="center"/>
          </w:tcPr>
          <w:p w14:paraId="6C0B5448">
            <w:pPr>
              <w:spacing w:line="240" w:lineRule="auto"/>
              <w:ind w:firstLine="0" w:firstLineChars="0"/>
              <w:rPr>
                <w:rFonts w:ascii="Calibri" w:hAnsi="Calibri"/>
                <w:szCs w:val="24"/>
              </w:rPr>
            </w:pPr>
            <w:r>
              <w:rPr>
                <w:rFonts w:hint="eastAsia"/>
              </w:rPr>
              <w:t>中标单位维保消防维保人员是否按照国家及当地消防、安监部门要求持证上岗，每月是否对维保消防维保人员进行安全生产培训教育、定期更新安全防护工具</w:t>
            </w:r>
          </w:p>
        </w:tc>
        <w:tc>
          <w:tcPr>
            <w:tcW w:w="2224" w:type="dxa"/>
            <w:gridSpan w:val="2"/>
            <w:noWrap w:val="0"/>
            <w:vAlign w:val="center"/>
          </w:tcPr>
          <w:p w14:paraId="0B5BF8BA">
            <w:pPr>
              <w:spacing w:line="240" w:lineRule="auto"/>
              <w:ind w:firstLine="0" w:firstLineChars="0"/>
              <w:rPr>
                <w:rFonts w:ascii="Calibri" w:hAnsi="Calibri"/>
                <w:szCs w:val="24"/>
              </w:rPr>
            </w:pPr>
          </w:p>
        </w:tc>
      </w:tr>
      <w:tr w14:paraId="76B0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266EB44C">
            <w:pPr>
              <w:spacing w:line="240" w:lineRule="auto"/>
              <w:ind w:firstLine="0" w:firstLineChars="0"/>
              <w:jc w:val="center"/>
              <w:rPr>
                <w:szCs w:val="24"/>
              </w:rPr>
            </w:pPr>
            <w:r>
              <w:rPr>
                <w:szCs w:val="24"/>
              </w:rPr>
              <w:t>9</w:t>
            </w:r>
          </w:p>
        </w:tc>
        <w:tc>
          <w:tcPr>
            <w:tcW w:w="5734" w:type="dxa"/>
            <w:gridSpan w:val="4"/>
            <w:noWrap w:val="0"/>
            <w:vAlign w:val="center"/>
          </w:tcPr>
          <w:p w14:paraId="0A141D1C">
            <w:pPr>
              <w:spacing w:line="240" w:lineRule="auto"/>
              <w:ind w:firstLine="0" w:firstLineChars="0"/>
              <w:rPr>
                <w:rFonts w:ascii="Calibri" w:hAnsi="Calibri"/>
                <w:szCs w:val="24"/>
              </w:rPr>
            </w:pPr>
            <w:r>
              <w:rPr>
                <w:rFonts w:hint="eastAsia"/>
              </w:rPr>
              <w:t>中标单位是否配合物业工程服务部进行二次装修区域内的消防设备设施的查验，确保相关设备设施功能完善，并维护相关设备的持续、可靠运行。</w:t>
            </w:r>
          </w:p>
        </w:tc>
        <w:tc>
          <w:tcPr>
            <w:tcW w:w="2224" w:type="dxa"/>
            <w:gridSpan w:val="2"/>
            <w:noWrap w:val="0"/>
            <w:vAlign w:val="center"/>
          </w:tcPr>
          <w:p w14:paraId="0CB5568E">
            <w:pPr>
              <w:spacing w:line="240" w:lineRule="auto"/>
              <w:ind w:firstLine="0" w:firstLineChars="0"/>
              <w:rPr>
                <w:rFonts w:ascii="Calibri" w:hAnsi="Calibri"/>
                <w:szCs w:val="24"/>
              </w:rPr>
            </w:pPr>
          </w:p>
        </w:tc>
      </w:tr>
      <w:tr w14:paraId="5670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1896" w:type="dxa"/>
            <w:noWrap w:val="0"/>
            <w:vAlign w:val="center"/>
          </w:tcPr>
          <w:p w14:paraId="3A79C0AE">
            <w:pPr>
              <w:spacing w:line="240" w:lineRule="auto"/>
              <w:ind w:firstLine="0" w:firstLineChars="0"/>
              <w:jc w:val="center"/>
              <w:rPr>
                <w:szCs w:val="24"/>
              </w:rPr>
            </w:pPr>
            <w:r>
              <w:rPr>
                <w:rFonts w:hint="eastAsia"/>
                <w:szCs w:val="24"/>
              </w:rPr>
              <w:t>1</w:t>
            </w:r>
            <w:r>
              <w:rPr>
                <w:szCs w:val="24"/>
              </w:rPr>
              <w:t>0</w:t>
            </w:r>
          </w:p>
        </w:tc>
        <w:tc>
          <w:tcPr>
            <w:tcW w:w="5734" w:type="dxa"/>
            <w:gridSpan w:val="4"/>
            <w:noWrap w:val="0"/>
            <w:vAlign w:val="center"/>
          </w:tcPr>
          <w:p w14:paraId="06E2D4E2">
            <w:pPr>
              <w:spacing w:line="240" w:lineRule="auto"/>
              <w:ind w:firstLine="0" w:firstLineChars="0"/>
              <w:rPr>
                <w:rFonts w:hint="eastAsia" w:ascii="Calibri" w:hAnsi="Calibri"/>
                <w:szCs w:val="24"/>
              </w:rPr>
            </w:pPr>
            <w:r>
              <w:rPr>
                <w:rFonts w:hint="eastAsia" w:ascii="Calibri" w:hAnsi="Calibri"/>
                <w:szCs w:val="24"/>
              </w:rPr>
              <w:t>整体评价</w:t>
            </w:r>
          </w:p>
        </w:tc>
        <w:tc>
          <w:tcPr>
            <w:tcW w:w="2224" w:type="dxa"/>
            <w:gridSpan w:val="2"/>
            <w:noWrap w:val="0"/>
            <w:vAlign w:val="center"/>
          </w:tcPr>
          <w:p w14:paraId="5C96758C">
            <w:pPr>
              <w:spacing w:line="240" w:lineRule="auto"/>
              <w:ind w:firstLine="0" w:firstLineChars="0"/>
              <w:rPr>
                <w:rFonts w:ascii="Calibri" w:hAnsi="Calibri"/>
                <w:szCs w:val="24"/>
              </w:rPr>
            </w:pPr>
          </w:p>
        </w:tc>
      </w:tr>
      <w:tr w14:paraId="4DDF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96" w:type="dxa"/>
            <w:noWrap w:val="0"/>
            <w:vAlign w:val="center"/>
          </w:tcPr>
          <w:p w14:paraId="7779F570">
            <w:pPr>
              <w:spacing w:line="240" w:lineRule="auto"/>
              <w:ind w:firstLine="0" w:firstLineChars="0"/>
              <w:jc w:val="center"/>
              <w:rPr>
                <w:rFonts w:ascii="Calibri" w:hAnsi="Calibri"/>
                <w:szCs w:val="24"/>
              </w:rPr>
            </w:pPr>
            <w:r>
              <w:rPr>
                <w:rFonts w:hint="eastAsia" w:ascii="Calibri" w:hAnsi="Calibri"/>
                <w:szCs w:val="24"/>
              </w:rPr>
              <w:t>考核项目名称</w:t>
            </w:r>
          </w:p>
        </w:tc>
        <w:tc>
          <w:tcPr>
            <w:tcW w:w="7958" w:type="dxa"/>
            <w:gridSpan w:val="6"/>
            <w:noWrap w:val="0"/>
            <w:vAlign w:val="center"/>
          </w:tcPr>
          <w:p w14:paraId="4EDBB2C9">
            <w:pPr>
              <w:spacing w:line="240" w:lineRule="auto"/>
              <w:ind w:firstLine="0" w:firstLineChars="0"/>
              <w:rPr>
                <w:rFonts w:ascii="Calibri" w:hAnsi="Calibri"/>
                <w:szCs w:val="24"/>
              </w:rPr>
            </w:pPr>
          </w:p>
        </w:tc>
      </w:tr>
      <w:tr w14:paraId="1D93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96" w:type="dxa"/>
            <w:noWrap w:val="0"/>
            <w:vAlign w:val="center"/>
          </w:tcPr>
          <w:p w14:paraId="1E543633">
            <w:pPr>
              <w:spacing w:line="240" w:lineRule="auto"/>
              <w:ind w:firstLine="0" w:firstLineChars="0"/>
              <w:jc w:val="center"/>
              <w:rPr>
                <w:rFonts w:ascii="Calibri" w:hAnsi="Calibri"/>
                <w:szCs w:val="24"/>
              </w:rPr>
            </w:pPr>
            <w:r>
              <w:rPr>
                <w:rFonts w:hint="eastAsia" w:ascii="Calibri" w:hAnsi="Calibri"/>
                <w:szCs w:val="24"/>
              </w:rPr>
              <w:t>考核日期</w:t>
            </w:r>
          </w:p>
        </w:tc>
        <w:tc>
          <w:tcPr>
            <w:tcW w:w="7958" w:type="dxa"/>
            <w:gridSpan w:val="6"/>
            <w:noWrap w:val="0"/>
            <w:vAlign w:val="center"/>
          </w:tcPr>
          <w:p w14:paraId="3FDCDECC">
            <w:pPr>
              <w:spacing w:line="240" w:lineRule="auto"/>
              <w:ind w:firstLine="0" w:firstLineChars="0"/>
              <w:rPr>
                <w:rFonts w:ascii="Calibri" w:hAnsi="Calibri"/>
                <w:szCs w:val="24"/>
              </w:rPr>
            </w:pPr>
          </w:p>
        </w:tc>
      </w:tr>
      <w:tr w14:paraId="0952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1A7F8600">
            <w:pPr>
              <w:spacing w:line="240" w:lineRule="auto"/>
              <w:ind w:firstLine="0" w:firstLineChars="0"/>
              <w:jc w:val="center"/>
              <w:rPr>
                <w:rFonts w:ascii="Calibri" w:hAnsi="Calibri"/>
                <w:szCs w:val="24"/>
              </w:rPr>
            </w:pPr>
            <w:r>
              <w:rPr>
                <w:rFonts w:hint="eastAsia" w:ascii="Calibri" w:hAnsi="Calibri"/>
                <w:szCs w:val="24"/>
              </w:rPr>
              <w:t>服务单位项目对接人签字</w:t>
            </w:r>
          </w:p>
        </w:tc>
        <w:tc>
          <w:tcPr>
            <w:tcW w:w="1434" w:type="dxa"/>
            <w:noWrap w:val="0"/>
            <w:vAlign w:val="center"/>
          </w:tcPr>
          <w:p w14:paraId="535ABFC0">
            <w:pPr>
              <w:spacing w:line="240" w:lineRule="auto"/>
              <w:ind w:firstLine="0" w:firstLineChars="0"/>
              <w:rPr>
                <w:rFonts w:ascii="Calibri" w:hAnsi="Calibri"/>
                <w:szCs w:val="24"/>
              </w:rPr>
            </w:pPr>
          </w:p>
        </w:tc>
        <w:tc>
          <w:tcPr>
            <w:tcW w:w="1556" w:type="dxa"/>
            <w:noWrap w:val="0"/>
            <w:vAlign w:val="center"/>
          </w:tcPr>
          <w:p w14:paraId="26D2C183">
            <w:pPr>
              <w:spacing w:line="240" w:lineRule="auto"/>
              <w:ind w:firstLine="0" w:firstLineChars="0"/>
              <w:jc w:val="center"/>
              <w:rPr>
                <w:rFonts w:ascii="Calibri" w:hAnsi="Calibri"/>
                <w:szCs w:val="24"/>
              </w:rPr>
            </w:pPr>
            <w:r>
              <w:rPr>
                <w:rFonts w:hint="eastAsia" w:ascii="Calibri" w:hAnsi="Calibri"/>
                <w:szCs w:val="24"/>
              </w:rPr>
              <w:t>项目工程主管签字</w:t>
            </w:r>
          </w:p>
        </w:tc>
        <w:tc>
          <w:tcPr>
            <w:tcW w:w="1459" w:type="dxa"/>
            <w:noWrap w:val="0"/>
            <w:vAlign w:val="center"/>
          </w:tcPr>
          <w:p w14:paraId="06A38BF4">
            <w:pPr>
              <w:spacing w:line="240" w:lineRule="auto"/>
              <w:ind w:firstLine="0" w:firstLineChars="0"/>
              <w:rPr>
                <w:rFonts w:ascii="Calibri" w:hAnsi="Calibri"/>
                <w:szCs w:val="24"/>
              </w:rPr>
            </w:pPr>
          </w:p>
        </w:tc>
        <w:tc>
          <w:tcPr>
            <w:tcW w:w="1508" w:type="dxa"/>
            <w:gridSpan w:val="2"/>
            <w:noWrap w:val="0"/>
            <w:vAlign w:val="center"/>
          </w:tcPr>
          <w:p w14:paraId="76D5ADE2">
            <w:pPr>
              <w:spacing w:line="240" w:lineRule="auto"/>
              <w:ind w:firstLine="0" w:firstLineChars="0"/>
              <w:jc w:val="center"/>
              <w:rPr>
                <w:rFonts w:ascii="Calibri" w:hAnsi="Calibri"/>
                <w:szCs w:val="24"/>
              </w:rPr>
            </w:pPr>
            <w:r>
              <w:rPr>
                <w:rFonts w:hint="eastAsia" w:ascii="Calibri" w:hAnsi="Calibri"/>
                <w:szCs w:val="24"/>
              </w:rPr>
              <w:t>项目负责人</w:t>
            </w:r>
          </w:p>
          <w:p w14:paraId="48C34943">
            <w:pPr>
              <w:spacing w:line="240" w:lineRule="auto"/>
              <w:ind w:firstLine="0" w:firstLineChars="0"/>
              <w:jc w:val="center"/>
              <w:rPr>
                <w:rFonts w:ascii="Calibri" w:hAnsi="Calibri"/>
                <w:szCs w:val="24"/>
              </w:rPr>
            </w:pPr>
            <w:r>
              <w:rPr>
                <w:rFonts w:hint="eastAsia" w:ascii="Calibri" w:hAnsi="Calibri"/>
                <w:szCs w:val="24"/>
              </w:rPr>
              <w:t>签字</w:t>
            </w:r>
          </w:p>
        </w:tc>
        <w:tc>
          <w:tcPr>
            <w:tcW w:w="2001" w:type="dxa"/>
            <w:noWrap w:val="0"/>
            <w:vAlign w:val="center"/>
          </w:tcPr>
          <w:p w14:paraId="07D09503">
            <w:pPr>
              <w:spacing w:line="240" w:lineRule="auto"/>
              <w:ind w:firstLine="0" w:firstLineChars="0"/>
              <w:rPr>
                <w:rFonts w:ascii="Calibri" w:hAnsi="Calibri"/>
                <w:szCs w:val="24"/>
              </w:rPr>
            </w:pPr>
          </w:p>
        </w:tc>
      </w:tr>
      <w:tr w14:paraId="3E17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7"/>
            <w:noWrap w:val="0"/>
            <w:vAlign w:val="center"/>
          </w:tcPr>
          <w:p w14:paraId="4D452E5C">
            <w:pPr>
              <w:spacing w:line="240" w:lineRule="auto"/>
              <w:ind w:firstLine="0" w:firstLineChars="0"/>
              <w:rPr>
                <w:rFonts w:ascii="Calibri" w:hAnsi="Calibri"/>
                <w:szCs w:val="24"/>
              </w:rPr>
            </w:pPr>
            <w:r>
              <w:rPr>
                <w:rFonts w:hint="eastAsia" w:ascii="Calibri" w:hAnsi="Calibri"/>
                <w:szCs w:val="24"/>
              </w:rPr>
              <w:t>备注：</w:t>
            </w:r>
          </w:p>
          <w:p w14:paraId="797FFA71">
            <w:pPr>
              <w:spacing w:line="240" w:lineRule="auto"/>
              <w:ind w:firstLine="0" w:firstLineChars="0"/>
              <w:rPr>
                <w:rFonts w:ascii="Calibri" w:hAnsi="Calibri"/>
                <w:szCs w:val="24"/>
              </w:rPr>
            </w:pPr>
            <w:r>
              <w:rPr>
                <w:rFonts w:ascii="Calibri" w:hAnsi="Calibri"/>
                <w:szCs w:val="24"/>
              </w:rPr>
              <w:t>1</w:t>
            </w:r>
            <w:r>
              <w:rPr>
                <w:rFonts w:hint="eastAsia" w:ascii="Calibri" w:hAnsi="Calibri"/>
                <w:szCs w:val="24"/>
              </w:rPr>
              <w:t>．评价指标为不合格、合格、良好、优秀，每三个月要进行一次考核，整体综合评价结果作为续签合同及支付服务费支付的依据。</w:t>
            </w:r>
          </w:p>
          <w:p w14:paraId="69EF8CE3">
            <w:pPr>
              <w:spacing w:line="240" w:lineRule="auto"/>
              <w:ind w:firstLine="0" w:firstLineChars="0"/>
              <w:rPr>
                <w:rFonts w:ascii="Calibri" w:hAnsi="Calibri"/>
                <w:szCs w:val="24"/>
              </w:rPr>
            </w:pPr>
            <w:r>
              <w:rPr>
                <w:rFonts w:hint="eastAsia" w:ascii="Calibri" w:hAnsi="Calibri"/>
                <w:szCs w:val="24"/>
              </w:rPr>
              <w:t>2．其中整体评价为优秀的，当期服务费用全额支付，整体服务评价为良好的，扣除当期服务费的</w:t>
            </w:r>
            <w:r>
              <w:rPr>
                <w:rFonts w:ascii="Calibri" w:hAnsi="Calibri"/>
                <w:szCs w:val="24"/>
              </w:rPr>
              <w:t>2%</w:t>
            </w:r>
            <w:r>
              <w:rPr>
                <w:rFonts w:hint="eastAsia" w:ascii="Calibri" w:hAnsi="Calibri"/>
                <w:szCs w:val="24"/>
              </w:rPr>
              <w:t>，整体服务评价为合格的，扣除当期服务费的</w:t>
            </w:r>
            <w:r>
              <w:rPr>
                <w:rFonts w:ascii="Calibri" w:hAnsi="Calibri"/>
                <w:szCs w:val="24"/>
              </w:rPr>
              <w:t>5%</w:t>
            </w:r>
            <w:r>
              <w:rPr>
                <w:rFonts w:hint="eastAsia" w:ascii="Calibri" w:hAnsi="Calibri"/>
                <w:szCs w:val="24"/>
              </w:rPr>
              <w:t>，整体服务评价为不合格的，扣除当期服务费的</w:t>
            </w:r>
            <w:r>
              <w:rPr>
                <w:rFonts w:ascii="Calibri" w:hAnsi="Calibri"/>
                <w:szCs w:val="24"/>
              </w:rPr>
              <w:t>10%</w:t>
            </w:r>
            <w:r>
              <w:rPr>
                <w:rFonts w:hint="eastAsia" w:ascii="Calibri" w:hAnsi="Calibri"/>
                <w:szCs w:val="24"/>
              </w:rPr>
              <w:t>。</w:t>
            </w:r>
          </w:p>
          <w:p w14:paraId="1F991177">
            <w:pPr>
              <w:spacing w:line="240" w:lineRule="auto"/>
              <w:ind w:firstLine="0" w:firstLineChars="0"/>
              <w:rPr>
                <w:rFonts w:ascii="Calibri" w:hAnsi="Calibri"/>
                <w:szCs w:val="24"/>
              </w:rPr>
            </w:pPr>
            <w:r>
              <w:rPr>
                <w:rFonts w:hint="eastAsia" w:ascii="Calibri" w:hAnsi="Calibri"/>
                <w:szCs w:val="24"/>
              </w:rPr>
              <w:t>3．服务年度内出现2次考核结果为合格及以下的情况，招标人有权解除合同。</w:t>
            </w:r>
          </w:p>
        </w:tc>
      </w:tr>
    </w:tbl>
    <w:p w14:paraId="4C4559C9">
      <w:pPr>
        <w:kinsoku w:val="0"/>
        <w:overflowPunct w:val="0"/>
        <w:autoSpaceDE w:val="0"/>
        <w:autoSpaceDN w:val="0"/>
        <w:adjustRightInd w:val="0"/>
        <w:snapToGrid w:val="0"/>
        <w:spacing w:line="276" w:lineRule="auto"/>
        <w:ind w:right="-92" w:rightChars="-44" w:firstLine="560"/>
        <w:rPr>
          <w:rFonts w:hint="default" w:ascii="宋体" w:hAnsi="宋体" w:eastAsia="宋体" w:cs="宋体"/>
          <w:bCs/>
          <w:sz w:val="24"/>
          <w:szCs w:val="24"/>
          <w:lang w:val="en-US" w:eastAsia="zh-CN"/>
        </w:rPr>
      </w:pPr>
    </w:p>
    <w:p w14:paraId="751A84BF">
      <w:r>
        <w:br w:type="page"/>
      </w:r>
    </w:p>
    <w:p w14:paraId="1AA961E9">
      <w:pPr>
        <w:kinsoku w:val="0"/>
        <w:overflowPunct w:val="0"/>
        <w:autoSpaceDE w:val="0"/>
        <w:autoSpaceDN w:val="0"/>
        <w:adjustRightInd w:val="0"/>
        <w:snapToGrid w:val="0"/>
        <w:spacing w:line="276" w:lineRule="auto"/>
        <w:ind w:right="-218" w:rightChars="-104" w:firstLine="560"/>
        <w:jc w:val="center"/>
        <w:rPr>
          <w:rFonts w:hint="eastAsia" w:ascii="宋体" w:hAnsi="宋体" w:eastAsia="宋体" w:cs="Times New Roman"/>
          <w:b/>
          <w:kern w:val="2"/>
          <w:sz w:val="32"/>
          <w:lang w:val="en-US" w:eastAsia="zh-CN" w:bidi="ar-SA"/>
        </w:rPr>
      </w:pPr>
      <w:bookmarkStart w:id="10" w:name="_Toc6015"/>
      <w:r>
        <w:rPr>
          <w:rFonts w:hint="eastAsia" w:ascii="宋体" w:hAnsi="宋体" w:eastAsia="宋体" w:cs="Times New Roman"/>
          <w:b/>
          <w:kern w:val="2"/>
          <w:sz w:val="32"/>
          <w:lang w:val="en-US" w:eastAsia="zh-CN" w:bidi="ar-SA"/>
        </w:rPr>
        <w:t>第</w:t>
      </w:r>
      <w:bookmarkStart w:id="11" w:name="_Hlt240110027"/>
      <w:bookmarkEnd w:id="11"/>
      <w:r>
        <w:rPr>
          <w:rFonts w:hint="eastAsia" w:ascii="宋体" w:hAnsi="宋体" w:eastAsia="宋体" w:cs="Times New Roman"/>
          <w:b/>
          <w:kern w:val="2"/>
          <w:sz w:val="32"/>
          <w:lang w:val="en-US" w:eastAsia="zh-CN" w:bidi="ar-SA"/>
        </w:rPr>
        <w:t>四章 评标办法</w:t>
      </w:r>
      <w:bookmarkEnd w:id="10"/>
    </w:p>
    <w:p w14:paraId="72EE5D5A">
      <w:pPr>
        <w:tabs>
          <w:tab w:val="left" w:pos="360"/>
          <w:tab w:val="left" w:pos="540"/>
          <w:tab w:val="left" w:pos="3600"/>
          <w:tab w:val="left" w:pos="3780"/>
          <w:tab w:val="left" w:pos="8460"/>
          <w:tab w:val="left" w:pos="9180"/>
        </w:tabs>
        <w:adjustRightInd w:val="0"/>
        <w:snapToGrid w:val="0"/>
        <w:spacing w:line="360" w:lineRule="auto"/>
        <w:ind w:right="-218" w:rightChars="-104" w:firstLine="361" w:firstLineChars="150"/>
        <w:jc w:val="center"/>
        <w:rPr>
          <w:rFonts w:hint="eastAsia" w:ascii="宋体" w:hAnsi="宋体"/>
          <w:b/>
          <w:color w:val="000000"/>
          <w:sz w:val="24"/>
        </w:rPr>
      </w:pPr>
    </w:p>
    <w:p w14:paraId="223207AE">
      <w:pPr>
        <w:tabs>
          <w:tab w:val="left" w:pos="360"/>
          <w:tab w:val="left" w:pos="540"/>
          <w:tab w:val="left" w:pos="3600"/>
          <w:tab w:val="left" w:pos="3780"/>
          <w:tab w:val="left" w:pos="8460"/>
          <w:tab w:val="left" w:pos="9180"/>
        </w:tabs>
        <w:adjustRightInd w:val="0"/>
        <w:snapToGrid w:val="0"/>
        <w:spacing w:line="360" w:lineRule="auto"/>
        <w:ind w:right="-21" w:rightChars="-10" w:firstLine="361" w:firstLineChars="150"/>
        <w:jc w:val="center"/>
        <w:rPr>
          <w:rFonts w:hint="eastAsia" w:ascii="宋体" w:hAnsi="宋体"/>
          <w:b/>
          <w:color w:val="000000"/>
          <w:sz w:val="24"/>
        </w:rPr>
      </w:pPr>
      <w:r>
        <w:rPr>
          <w:rFonts w:hint="eastAsia" w:ascii="宋体" w:hAnsi="宋体"/>
          <w:b/>
          <w:color w:val="000000"/>
          <w:sz w:val="24"/>
        </w:rPr>
        <w:t>第一章    总  则</w:t>
      </w:r>
    </w:p>
    <w:p w14:paraId="69F3AFA9">
      <w:pPr>
        <w:adjustRightInd w:val="0"/>
        <w:snapToGrid w:val="0"/>
        <w:spacing w:line="360" w:lineRule="auto"/>
        <w:ind w:right="-10" w:firstLine="482" w:firstLineChars="200"/>
        <w:rPr>
          <w:rFonts w:hint="eastAsia" w:ascii="宋体" w:hAnsi="宋体"/>
          <w:color w:val="000000"/>
          <w:sz w:val="24"/>
        </w:rPr>
      </w:pPr>
      <w:r>
        <w:rPr>
          <w:rFonts w:hint="eastAsia" w:ascii="宋体" w:hAnsi="宋体"/>
          <w:b/>
          <w:bCs/>
          <w:color w:val="000000"/>
          <w:sz w:val="24"/>
        </w:rPr>
        <w:t xml:space="preserve">第一条 </w:t>
      </w:r>
      <w:r>
        <w:rPr>
          <w:rFonts w:hint="eastAsia" w:ascii="宋体" w:hAnsi="宋体"/>
          <w:color w:val="000000"/>
          <w:sz w:val="24"/>
        </w:rPr>
        <w:t>为了做好“</w:t>
      </w:r>
      <w:r>
        <w:rPr>
          <w:rFonts w:hint="eastAsia" w:ascii="宋体" w:hAnsi="宋体"/>
          <w:b/>
          <w:color w:val="000000"/>
          <w:sz w:val="24"/>
          <w:szCs w:val="18"/>
          <w:u w:val="single"/>
          <w:lang w:val="en-US" w:eastAsia="zh-CN"/>
        </w:rPr>
        <w:t xml:space="preserve">合柴1972文创园消防维保服务 </w:t>
      </w:r>
      <w:r>
        <w:rPr>
          <w:rFonts w:hint="eastAsia" w:ascii="宋体" w:hAnsi="宋体"/>
          <w:color w:val="000000"/>
          <w:sz w:val="24"/>
          <w:szCs w:val="18"/>
        </w:rPr>
        <w:t>”</w:t>
      </w:r>
      <w:r>
        <w:rPr>
          <w:rFonts w:hint="eastAsia" w:ascii="宋体" w:hAnsi="宋体"/>
          <w:color w:val="000000"/>
          <w:sz w:val="24"/>
        </w:rPr>
        <w:t>项目的招标评标工作，保证项目评审工作的正常有序进行，依据《中华人民共和国政府采购法》、《中华人民共和国招标投标法》及其它相关法律法规，本着公开、公平、公正的原则，制定评标办法。</w:t>
      </w:r>
    </w:p>
    <w:p w14:paraId="0B93A283">
      <w:pPr>
        <w:adjustRightInd w:val="0"/>
        <w:snapToGrid w:val="0"/>
        <w:spacing w:line="360" w:lineRule="auto"/>
        <w:ind w:right="-10" w:firstLine="482" w:firstLineChars="200"/>
        <w:rPr>
          <w:rFonts w:hint="eastAsia" w:ascii="宋体" w:hAnsi="宋体"/>
          <w:color w:val="000000"/>
          <w:sz w:val="24"/>
        </w:rPr>
      </w:pPr>
      <w:r>
        <w:rPr>
          <w:rFonts w:hint="eastAsia" w:ascii="宋体" w:hAnsi="宋体"/>
          <w:b/>
          <w:bCs/>
          <w:color w:val="000000"/>
          <w:sz w:val="24"/>
        </w:rPr>
        <w:t xml:space="preserve">第二条 </w:t>
      </w:r>
      <w:r>
        <w:rPr>
          <w:rFonts w:hint="eastAsia" w:ascii="宋体" w:hAnsi="宋体"/>
          <w:color w:val="000000"/>
          <w:sz w:val="24"/>
        </w:rPr>
        <w:t>本次项目评标采用</w:t>
      </w:r>
      <w:r>
        <w:rPr>
          <w:rFonts w:hint="eastAsia" w:ascii="宋体" w:hAnsi="宋体"/>
          <w:b/>
          <w:color w:val="000000"/>
          <w:sz w:val="24"/>
        </w:rPr>
        <w:t>综合评分法</w:t>
      </w:r>
      <w:r>
        <w:rPr>
          <w:rFonts w:hint="eastAsia" w:ascii="宋体" w:hAnsi="宋体"/>
          <w:color w:val="000000"/>
          <w:sz w:val="24"/>
        </w:rPr>
        <w:t>作为对投标人标书的比较方法</w:t>
      </w:r>
      <w:r>
        <w:rPr>
          <w:rFonts w:hint="eastAsia" w:ascii="宋体" w:hAnsi="宋体" w:cs="宋体-18030"/>
          <w:color w:val="000000"/>
          <w:sz w:val="24"/>
        </w:rPr>
        <w:t>。</w:t>
      </w:r>
    </w:p>
    <w:p w14:paraId="069CDCBB">
      <w:pPr>
        <w:adjustRightInd w:val="0"/>
        <w:snapToGrid w:val="0"/>
        <w:spacing w:line="360" w:lineRule="auto"/>
        <w:ind w:left="-61" w:leftChars="-29" w:right="-10" w:firstLine="602" w:firstLineChars="250"/>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lang w:eastAsia="zh-CN"/>
        </w:rPr>
        <w:t>招标人</w:t>
      </w:r>
      <w:r>
        <w:rPr>
          <w:rFonts w:hint="eastAsia" w:ascii="宋体" w:hAnsi="宋体"/>
          <w:color w:val="000000"/>
          <w:sz w:val="24"/>
        </w:rPr>
        <w:t>将</w:t>
      </w:r>
      <w:r>
        <w:rPr>
          <w:rFonts w:hint="eastAsia" w:ascii="宋体" w:hAnsi="宋体"/>
          <w:bCs/>
          <w:color w:val="000000"/>
          <w:sz w:val="24"/>
        </w:rPr>
        <w:t>组织</w:t>
      </w:r>
      <w:r>
        <w:rPr>
          <w:rFonts w:hint="eastAsia" w:ascii="宋体" w:hAnsi="宋体"/>
          <w:color w:val="000000"/>
          <w:sz w:val="24"/>
        </w:rPr>
        <w:t>不少于</w:t>
      </w:r>
      <w:r>
        <w:rPr>
          <w:rFonts w:hint="eastAsia" w:ascii="宋体" w:hAnsi="宋体"/>
          <w:b/>
          <w:color w:val="000000"/>
          <w:sz w:val="24"/>
          <w:u w:val="single"/>
          <w:lang w:val="en-US" w:eastAsia="zh-CN"/>
        </w:rPr>
        <w:t>3</w:t>
      </w:r>
      <w:r>
        <w:rPr>
          <w:rFonts w:hint="eastAsia" w:ascii="宋体" w:hAnsi="宋体"/>
          <w:color w:val="000000"/>
          <w:sz w:val="24"/>
        </w:rPr>
        <w:t>人组成的评标委员会（以下简称评委会），负责本项目的评标工作。</w:t>
      </w:r>
      <w:r>
        <w:rPr>
          <w:rFonts w:hint="eastAsia" w:ascii="宋体" w:hAnsi="宋体"/>
          <w:color w:val="000000"/>
          <w:sz w:val="24"/>
          <w:lang w:eastAsia="zh-CN"/>
        </w:rPr>
        <w:t>招标人</w:t>
      </w:r>
      <w:r>
        <w:rPr>
          <w:rFonts w:hint="eastAsia" w:ascii="宋体" w:hAnsi="宋体"/>
          <w:color w:val="000000"/>
          <w:sz w:val="24"/>
        </w:rPr>
        <w:t>内部监督小组，负责评标过程中的记录、联络及评委会交办的其他工作。</w:t>
      </w:r>
    </w:p>
    <w:p w14:paraId="7024D2FE">
      <w:pPr>
        <w:adjustRightInd w:val="0"/>
        <w:snapToGrid w:val="0"/>
        <w:spacing w:line="360" w:lineRule="auto"/>
        <w:ind w:right="-10" w:firstLine="482" w:firstLineChars="200"/>
        <w:rPr>
          <w:rFonts w:hint="eastAsia" w:ascii="宋体" w:hAnsi="宋体"/>
          <w:color w:val="000000"/>
          <w:sz w:val="24"/>
        </w:rPr>
      </w:pPr>
      <w:r>
        <w:rPr>
          <w:rFonts w:hint="eastAsia" w:ascii="宋体" w:hAnsi="宋体"/>
          <w:b/>
          <w:color w:val="000000"/>
          <w:sz w:val="24"/>
        </w:rPr>
        <w:t xml:space="preserve">第四条 </w:t>
      </w:r>
      <w:r>
        <w:rPr>
          <w:rFonts w:hint="eastAsia" w:ascii="宋体" w:hAnsi="宋体"/>
          <w:color w:val="000000"/>
          <w:sz w:val="24"/>
        </w:rPr>
        <w:t>评委会按照“客观公正，实事求是”的原则，评价参加本次招标的投标人所提供的服务对招标文件的符合性及响应性。</w:t>
      </w:r>
    </w:p>
    <w:p w14:paraId="269F2D2D">
      <w:pPr>
        <w:adjustRightInd w:val="0"/>
        <w:snapToGrid w:val="0"/>
        <w:spacing w:line="360" w:lineRule="auto"/>
        <w:ind w:right="-10"/>
        <w:jc w:val="center"/>
        <w:rPr>
          <w:rFonts w:hint="eastAsia" w:ascii="宋体" w:hAnsi="宋体"/>
          <w:color w:val="000000"/>
          <w:sz w:val="24"/>
        </w:rPr>
      </w:pPr>
      <w:r>
        <w:rPr>
          <w:rFonts w:hint="eastAsia" w:ascii="宋体" w:hAnsi="宋体"/>
          <w:b/>
          <w:color w:val="000000"/>
          <w:sz w:val="24"/>
        </w:rPr>
        <w:t>第二章  评标程序及评审细则</w:t>
      </w:r>
    </w:p>
    <w:p w14:paraId="4FA09931">
      <w:pPr>
        <w:adjustRightInd w:val="0"/>
        <w:snapToGrid w:val="0"/>
        <w:spacing w:line="360" w:lineRule="auto"/>
        <w:ind w:right="-10" w:firstLine="480"/>
        <w:rPr>
          <w:rFonts w:hint="eastAsia"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评标工作于开标后进行。评委会应认真研究招标文件，至少应了解和熟悉以下内容：</w:t>
      </w:r>
    </w:p>
    <w:p w14:paraId="1D0AE084">
      <w:pPr>
        <w:spacing w:line="360" w:lineRule="auto"/>
        <w:ind w:left="480" w:right="-10"/>
        <w:rPr>
          <w:rFonts w:hint="eastAsia" w:ascii="宋体" w:hAnsi="宋体"/>
          <w:color w:val="000000"/>
          <w:sz w:val="24"/>
        </w:rPr>
      </w:pPr>
      <w:r>
        <w:rPr>
          <w:rFonts w:hint="eastAsia" w:ascii="宋体" w:hAnsi="宋体"/>
          <w:color w:val="000000"/>
          <w:sz w:val="24"/>
        </w:rPr>
        <w:t>（一）招标的目标；</w:t>
      </w:r>
    </w:p>
    <w:p w14:paraId="1F9E1821">
      <w:pPr>
        <w:spacing w:line="360" w:lineRule="auto"/>
        <w:ind w:left="480" w:right="-10"/>
        <w:rPr>
          <w:rFonts w:hint="eastAsia" w:ascii="宋体" w:hAnsi="宋体"/>
          <w:color w:val="000000"/>
          <w:sz w:val="24"/>
        </w:rPr>
      </w:pPr>
      <w:r>
        <w:rPr>
          <w:rFonts w:hint="eastAsia" w:ascii="宋体" w:hAnsi="宋体"/>
          <w:color w:val="000000"/>
          <w:sz w:val="24"/>
        </w:rPr>
        <w:t>（二）招标项目的范围和性质；</w:t>
      </w:r>
    </w:p>
    <w:p w14:paraId="74E28AA0">
      <w:pPr>
        <w:spacing w:line="360" w:lineRule="auto"/>
        <w:ind w:left="480" w:right="-10"/>
        <w:rPr>
          <w:rFonts w:hint="eastAsia" w:ascii="宋体" w:hAnsi="宋体"/>
          <w:color w:val="000000"/>
          <w:sz w:val="24"/>
        </w:rPr>
      </w:pPr>
      <w:r>
        <w:rPr>
          <w:rFonts w:hint="eastAsia" w:ascii="宋体" w:hAnsi="宋体"/>
          <w:color w:val="000000"/>
          <w:sz w:val="24"/>
        </w:rPr>
        <w:t>（三）招标文件中规定的主要服务要求、标准和商务条款；</w:t>
      </w:r>
    </w:p>
    <w:p w14:paraId="69276C81">
      <w:pPr>
        <w:spacing w:line="360" w:lineRule="auto"/>
        <w:ind w:left="480" w:right="-10"/>
        <w:rPr>
          <w:rFonts w:hint="eastAsia" w:ascii="宋体" w:hAnsi="宋体"/>
          <w:color w:val="000000"/>
          <w:sz w:val="24"/>
        </w:rPr>
      </w:pPr>
      <w:r>
        <w:rPr>
          <w:rFonts w:hint="eastAsia" w:ascii="宋体" w:hAnsi="宋体"/>
          <w:color w:val="000000"/>
          <w:sz w:val="24"/>
        </w:rPr>
        <w:t>（四）招标文件规定的评标标准、评标方法和在评标过程中考虑的相关因素。</w:t>
      </w:r>
    </w:p>
    <w:p w14:paraId="15950B83">
      <w:pPr>
        <w:adjustRightInd w:val="0"/>
        <w:snapToGrid w:val="0"/>
        <w:spacing w:line="360" w:lineRule="auto"/>
        <w:ind w:right="-10" w:firstLine="482" w:firstLineChars="200"/>
        <w:rPr>
          <w:rFonts w:hint="eastAsia"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14:paraId="4689BE04">
      <w:pPr>
        <w:spacing w:line="360" w:lineRule="auto"/>
        <w:ind w:left="480" w:right="-10"/>
        <w:rPr>
          <w:rFonts w:hint="eastAsia" w:ascii="宋体" w:hAnsi="宋体"/>
          <w:color w:val="000000"/>
          <w:sz w:val="24"/>
        </w:rPr>
      </w:pPr>
      <w:r>
        <w:rPr>
          <w:rFonts w:hint="eastAsia" w:ascii="宋体" w:hAnsi="宋体"/>
          <w:color w:val="000000"/>
          <w:sz w:val="24"/>
        </w:rPr>
        <w:t>（一）满足招标文件的实质性要求；</w:t>
      </w:r>
    </w:p>
    <w:p w14:paraId="5ABF3CC4">
      <w:pPr>
        <w:spacing w:line="360" w:lineRule="auto"/>
        <w:ind w:left="480" w:right="-10"/>
        <w:rPr>
          <w:rFonts w:hint="eastAsia" w:ascii="宋体" w:hAnsi="宋体"/>
          <w:color w:val="000000"/>
          <w:sz w:val="24"/>
        </w:rPr>
      </w:pPr>
      <w:r>
        <w:rPr>
          <w:rFonts w:hint="eastAsia" w:ascii="宋体" w:hAnsi="宋体"/>
          <w:color w:val="000000"/>
          <w:sz w:val="24"/>
        </w:rPr>
        <w:t>（二）无重大偏离、保留或招标人不能接受的附加条件；</w:t>
      </w:r>
    </w:p>
    <w:p w14:paraId="5C9D222B">
      <w:pPr>
        <w:spacing w:line="360" w:lineRule="auto"/>
        <w:ind w:left="480" w:right="-10"/>
        <w:rPr>
          <w:rFonts w:hint="eastAsia" w:ascii="宋体" w:hAnsi="宋体"/>
          <w:color w:val="000000"/>
          <w:sz w:val="24"/>
        </w:rPr>
      </w:pPr>
      <w:r>
        <w:rPr>
          <w:rFonts w:hint="eastAsia" w:ascii="宋体" w:hAnsi="宋体"/>
          <w:color w:val="000000"/>
          <w:sz w:val="24"/>
        </w:rPr>
        <w:t>（三）通过投标初审；</w:t>
      </w:r>
    </w:p>
    <w:p w14:paraId="6B95B788">
      <w:pPr>
        <w:adjustRightInd w:val="0"/>
        <w:snapToGrid w:val="0"/>
        <w:spacing w:line="360" w:lineRule="auto"/>
        <w:ind w:right="-10" w:firstLine="480" w:firstLineChars="200"/>
        <w:rPr>
          <w:rFonts w:hint="eastAsia" w:ascii="宋体" w:hAnsi="宋体"/>
          <w:color w:val="000000"/>
          <w:sz w:val="24"/>
        </w:rPr>
      </w:pPr>
      <w:r>
        <w:rPr>
          <w:rFonts w:hint="eastAsia" w:ascii="宋体" w:hAnsi="宋体"/>
          <w:color w:val="000000"/>
          <w:sz w:val="24"/>
        </w:rPr>
        <w:t>（四）报价不低于投标成本；</w:t>
      </w:r>
    </w:p>
    <w:p w14:paraId="788B3B5A">
      <w:pPr>
        <w:adjustRightInd w:val="0"/>
        <w:snapToGrid w:val="0"/>
        <w:spacing w:line="360" w:lineRule="auto"/>
        <w:ind w:right="-10" w:firstLine="480" w:firstLineChars="200"/>
        <w:rPr>
          <w:rFonts w:hint="eastAsia" w:ascii="宋体" w:hAnsi="宋体"/>
          <w:color w:val="000000"/>
          <w:sz w:val="24"/>
        </w:rPr>
      </w:pPr>
      <w:r>
        <w:rPr>
          <w:rFonts w:hint="eastAsia" w:ascii="宋体" w:hAnsi="宋体"/>
          <w:color w:val="000000"/>
          <w:sz w:val="24"/>
        </w:rPr>
        <w:t>（五）评委会依据招标文件认定的其他原则。</w:t>
      </w:r>
    </w:p>
    <w:p w14:paraId="3A4745CC">
      <w:pPr>
        <w:adjustRightInd w:val="0"/>
        <w:snapToGrid w:val="0"/>
        <w:spacing w:line="360" w:lineRule="auto"/>
        <w:ind w:right="-10" w:firstLine="482" w:firstLineChars="200"/>
        <w:rPr>
          <w:rFonts w:hint="eastAsia" w:ascii="宋体" w:hAnsi="宋体"/>
          <w:color w:val="000000"/>
          <w:sz w:val="24"/>
        </w:rPr>
      </w:pPr>
      <w:r>
        <w:rPr>
          <w:rFonts w:hint="eastAsia" w:ascii="宋体" w:hAnsi="宋体"/>
          <w:b/>
          <w:color w:val="000000"/>
          <w:sz w:val="24"/>
        </w:rPr>
        <w:t xml:space="preserve">第七条 </w:t>
      </w:r>
      <w:r>
        <w:rPr>
          <w:rFonts w:hint="eastAsia" w:ascii="宋体" w:hAnsi="宋体" w:cs="宋体-18030"/>
          <w:color w:val="000000"/>
          <w:sz w:val="24"/>
        </w:rPr>
        <w:t>评委会遵循公开、公平、公正和科学诚信的原则，对所有投标文件均采用相同程序和标准，进行评定。</w:t>
      </w:r>
    </w:p>
    <w:p w14:paraId="2DD3A3CD">
      <w:pPr>
        <w:ind w:left="523" w:leftChars="249"/>
        <w:rPr>
          <w:rFonts w:hint="eastAsia" w:ascii="宋体" w:hAnsi="宋体" w:cs="宋体-18030"/>
          <w:color w:val="000000"/>
          <w:sz w:val="24"/>
        </w:rPr>
      </w:pPr>
      <w:r>
        <w:rPr>
          <w:rFonts w:hint="eastAsia" w:ascii="宋体" w:hAnsi="宋体"/>
          <w:b/>
          <w:color w:val="000000"/>
          <w:sz w:val="24"/>
        </w:rPr>
        <w:t>第八条</w:t>
      </w:r>
      <w:r>
        <w:rPr>
          <w:rFonts w:hint="eastAsia" w:ascii="宋体" w:hAnsi="宋体" w:cs="宋体-18030"/>
          <w:color w:val="000000"/>
          <w:sz w:val="24"/>
        </w:rPr>
        <w:t xml:space="preserve"> 评审程序</w:t>
      </w:r>
    </w:p>
    <w:p w14:paraId="34564BB1">
      <w:pPr>
        <w:spacing w:line="360" w:lineRule="auto"/>
        <w:ind w:right="-10" w:firstLine="480" w:firstLineChars="200"/>
        <w:rPr>
          <w:rFonts w:hint="eastAsia" w:ascii="宋体" w:hAnsi="宋体"/>
          <w:color w:val="000000"/>
          <w:sz w:val="24"/>
        </w:rPr>
      </w:pPr>
      <w:r>
        <w:rPr>
          <w:rFonts w:hint="eastAsia" w:ascii="宋体" w:hAnsi="宋体"/>
          <w:color w:val="000000"/>
          <w:sz w:val="24"/>
        </w:rPr>
        <w:t>1本项目采用综合评分法进行评审，在最大限度地满足招标文件实质性要求前提下，按照招标文件中规定的各项因素进行综合评审。综合评分法的主要因素是：方案设计、技术标、商务标以及相应的比重。满分为100分。</w:t>
      </w:r>
    </w:p>
    <w:p w14:paraId="3C1F9F11">
      <w:pPr>
        <w:spacing w:line="360" w:lineRule="auto"/>
        <w:ind w:right="-10" w:firstLine="480" w:firstLineChars="200"/>
        <w:rPr>
          <w:rFonts w:hint="eastAsia" w:ascii="宋体" w:hAnsi="宋体"/>
          <w:color w:val="000000"/>
          <w:sz w:val="24"/>
        </w:rPr>
      </w:pPr>
      <w:r>
        <w:rPr>
          <w:rFonts w:hint="eastAsia" w:ascii="宋体" w:hAnsi="宋体"/>
          <w:color w:val="000000"/>
          <w:sz w:val="24"/>
        </w:rPr>
        <w:t>2评委会首先对投标文件进行初审，投标文件应实质上响应招标文件的要求，应与招标文件所有条款、条件和规定相符，无显著差异或保留。对内容不全，影响正常评标的投标文件由评标委员会初审后按无效标书处理。初审指标表如下（投标人初审指标有一项不合格即作废标处理）：</w:t>
      </w:r>
    </w:p>
    <w:p w14:paraId="021B4B21">
      <w:pPr>
        <w:snapToGrid w:val="0"/>
        <w:spacing w:line="560" w:lineRule="exact"/>
        <w:rPr>
          <w:rFonts w:hint="eastAsia"/>
          <w:b/>
          <w:color w:val="0000FF"/>
          <w:sz w:val="28"/>
          <w:szCs w:val="28"/>
        </w:rPr>
      </w:pPr>
      <w:r>
        <w:rPr>
          <w:rFonts w:hint="eastAsia"/>
          <w:b/>
          <w:sz w:val="28"/>
          <w:szCs w:val="28"/>
        </w:rPr>
        <w:t>一、初审指标</w:t>
      </w:r>
    </w:p>
    <w:tbl>
      <w:tblPr>
        <w:tblStyle w:val="1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3008"/>
        <w:gridCol w:w="819"/>
        <w:gridCol w:w="2717"/>
      </w:tblGrid>
      <w:tr w14:paraId="4C8C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161" w:type="dxa"/>
            <w:gridSpan w:val="5"/>
            <w:noWrap w:val="0"/>
            <w:vAlign w:val="center"/>
          </w:tcPr>
          <w:p w14:paraId="77C1E80D">
            <w:pPr>
              <w:pStyle w:val="22"/>
              <w:pBdr>
                <w:bottom w:val="none" w:color="auto" w:sz="0" w:space="0"/>
              </w:pBdr>
              <w:tabs>
                <w:tab w:val="clear" w:pos="4153"/>
                <w:tab w:val="clear" w:pos="8306"/>
              </w:tabs>
              <w:snapToGrid w:val="0"/>
              <w:spacing w:line="360" w:lineRule="auto"/>
              <w:ind w:right="-10"/>
              <w:textAlignment w:val="auto"/>
              <w:rPr>
                <w:rFonts w:hint="eastAsia" w:ascii="宋体" w:hAnsi="宋体"/>
                <w:kern w:val="2"/>
                <w:szCs w:val="24"/>
              </w:rPr>
            </w:pPr>
            <w:r>
              <w:rPr>
                <w:rFonts w:hint="eastAsia" w:ascii="宋体" w:hAnsi="宋体"/>
                <w:b/>
              </w:rPr>
              <w:t>初审表（废标指标一览表）</w:t>
            </w:r>
          </w:p>
        </w:tc>
      </w:tr>
      <w:tr w14:paraId="7DC3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tcBorders>
              <w:bottom w:val="single" w:color="auto" w:sz="4" w:space="0"/>
            </w:tcBorders>
            <w:noWrap w:val="0"/>
            <w:vAlign w:val="center"/>
          </w:tcPr>
          <w:p w14:paraId="48DD26F1">
            <w:pPr>
              <w:adjustRightInd w:val="0"/>
              <w:snapToGrid w:val="0"/>
              <w:spacing w:line="360" w:lineRule="auto"/>
              <w:ind w:right="-10"/>
              <w:jc w:val="center"/>
              <w:rPr>
                <w:rFonts w:hint="eastAsia" w:ascii="宋体" w:hAnsi="宋体"/>
                <w:sz w:val="24"/>
              </w:rPr>
            </w:pPr>
            <w:r>
              <w:rPr>
                <w:rFonts w:hint="eastAsia" w:ascii="宋体" w:hAnsi="宋体"/>
                <w:sz w:val="24"/>
              </w:rPr>
              <w:t>序号</w:t>
            </w:r>
          </w:p>
        </w:tc>
        <w:tc>
          <w:tcPr>
            <w:tcW w:w="1897" w:type="dxa"/>
            <w:tcBorders>
              <w:bottom w:val="single" w:color="auto" w:sz="4" w:space="0"/>
            </w:tcBorders>
            <w:noWrap w:val="0"/>
            <w:vAlign w:val="center"/>
          </w:tcPr>
          <w:p w14:paraId="483440E9">
            <w:pPr>
              <w:pStyle w:val="22"/>
              <w:pBdr>
                <w:bottom w:val="none" w:color="auto" w:sz="0" w:space="0"/>
              </w:pBdr>
              <w:tabs>
                <w:tab w:val="clear" w:pos="4153"/>
                <w:tab w:val="clear" w:pos="8306"/>
              </w:tabs>
              <w:snapToGrid w:val="0"/>
              <w:spacing w:line="420" w:lineRule="exact"/>
              <w:ind w:right="-11"/>
              <w:textAlignment w:val="auto"/>
              <w:rPr>
                <w:rFonts w:hint="eastAsia" w:ascii="宋体" w:hAnsi="宋体"/>
                <w:kern w:val="2"/>
                <w:szCs w:val="24"/>
              </w:rPr>
            </w:pPr>
            <w:r>
              <w:rPr>
                <w:rFonts w:hint="eastAsia" w:ascii="宋体" w:hAnsi="宋体"/>
                <w:kern w:val="2"/>
                <w:szCs w:val="24"/>
              </w:rPr>
              <w:t>指标名称</w:t>
            </w:r>
          </w:p>
        </w:tc>
        <w:tc>
          <w:tcPr>
            <w:tcW w:w="3008" w:type="dxa"/>
            <w:tcBorders>
              <w:bottom w:val="single" w:color="auto" w:sz="4" w:space="0"/>
            </w:tcBorders>
            <w:noWrap w:val="0"/>
            <w:vAlign w:val="center"/>
          </w:tcPr>
          <w:p w14:paraId="3A56BA69">
            <w:pPr>
              <w:adjustRightInd w:val="0"/>
              <w:snapToGrid w:val="0"/>
              <w:spacing w:line="420" w:lineRule="exact"/>
              <w:ind w:right="-11"/>
              <w:jc w:val="center"/>
              <w:rPr>
                <w:rFonts w:hint="eastAsia" w:ascii="宋体" w:hAnsi="宋体"/>
                <w:sz w:val="24"/>
              </w:rPr>
            </w:pPr>
            <w:r>
              <w:rPr>
                <w:rFonts w:hint="eastAsia" w:ascii="宋体" w:hAnsi="宋体"/>
                <w:sz w:val="24"/>
              </w:rPr>
              <w:t>指标要求</w:t>
            </w:r>
          </w:p>
        </w:tc>
        <w:tc>
          <w:tcPr>
            <w:tcW w:w="819" w:type="dxa"/>
            <w:tcBorders>
              <w:bottom w:val="single" w:color="auto" w:sz="4" w:space="0"/>
            </w:tcBorders>
            <w:noWrap w:val="0"/>
            <w:vAlign w:val="center"/>
          </w:tcPr>
          <w:p w14:paraId="23E64B5A">
            <w:pPr>
              <w:adjustRightInd w:val="0"/>
              <w:snapToGrid w:val="0"/>
              <w:spacing w:line="420" w:lineRule="exact"/>
              <w:ind w:right="-11"/>
              <w:jc w:val="center"/>
              <w:rPr>
                <w:rFonts w:hint="eastAsia" w:ascii="宋体" w:hAnsi="宋体"/>
                <w:sz w:val="24"/>
              </w:rPr>
            </w:pPr>
            <w:r>
              <w:rPr>
                <w:rFonts w:hint="eastAsia" w:ascii="宋体" w:hAnsi="宋体"/>
                <w:sz w:val="24"/>
              </w:rPr>
              <w:t>是否通过</w:t>
            </w:r>
          </w:p>
        </w:tc>
        <w:tc>
          <w:tcPr>
            <w:tcW w:w="2717" w:type="dxa"/>
            <w:tcBorders>
              <w:bottom w:val="single" w:color="auto" w:sz="4" w:space="0"/>
            </w:tcBorders>
            <w:noWrap w:val="0"/>
            <w:vAlign w:val="center"/>
          </w:tcPr>
          <w:p w14:paraId="6D0DEBF8">
            <w:pPr>
              <w:adjustRightInd w:val="0"/>
              <w:snapToGrid w:val="0"/>
              <w:spacing w:line="420" w:lineRule="exact"/>
              <w:ind w:right="-11"/>
              <w:jc w:val="center"/>
              <w:rPr>
                <w:rFonts w:hint="eastAsia" w:ascii="宋体" w:hAnsi="宋体"/>
                <w:sz w:val="24"/>
              </w:rPr>
            </w:pPr>
            <w:r>
              <w:rPr>
                <w:rFonts w:hint="eastAsia" w:ascii="宋体" w:hAnsi="宋体"/>
                <w:sz w:val="24"/>
              </w:rPr>
              <w:t>投标文件格式及提交资料要求</w:t>
            </w:r>
          </w:p>
        </w:tc>
      </w:tr>
      <w:tr w14:paraId="3EAD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tcBorders>
              <w:bottom w:val="single" w:color="auto" w:sz="4" w:space="0"/>
            </w:tcBorders>
            <w:noWrap w:val="0"/>
            <w:vAlign w:val="center"/>
          </w:tcPr>
          <w:p w14:paraId="7004F50A">
            <w:pPr>
              <w:adjustRightInd w:val="0"/>
              <w:snapToGrid w:val="0"/>
              <w:spacing w:line="360" w:lineRule="auto"/>
              <w:ind w:right="-10"/>
              <w:jc w:val="center"/>
              <w:rPr>
                <w:rFonts w:ascii="宋体" w:hAnsi="宋体"/>
                <w:sz w:val="24"/>
                <w:szCs w:val="24"/>
              </w:rPr>
            </w:pPr>
            <w:r>
              <w:rPr>
                <w:rFonts w:hint="eastAsia" w:ascii="宋体" w:hAnsi="宋体"/>
                <w:sz w:val="24"/>
                <w:szCs w:val="24"/>
              </w:rPr>
              <w:t>1</w:t>
            </w:r>
          </w:p>
        </w:tc>
        <w:tc>
          <w:tcPr>
            <w:tcW w:w="1897" w:type="dxa"/>
            <w:tcBorders>
              <w:bottom w:val="single" w:color="auto" w:sz="4" w:space="0"/>
            </w:tcBorders>
            <w:noWrap w:val="0"/>
            <w:vAlign w:val="center"/>
          </w:tcPr>
          <w:p w14:paraId="2B4CB2C7">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3008" w:type="dxa"/>
            <w:tcBorders>
              <w:bottom w:val="single" w:color="auto" w:sz="4" w:space="0"/>
            </w:tcBorders>
            <w:noWrap w:val="0"/>
            <w:vAlign w:val="center"/>
          </w:tcPr>
          <w:p w14:paraId="43AC1F9B">
            <w:pPr>
              <w:spacing w:line="420" w:lineRule="exact"/>
              <w:ind w:right="-11"/>
              <w:jc w:val="center"/>
              <w:rPr>
                <w:rFonts w:ascii="宋体" w:hAnsi="宋体"/>
                <w:sz w:val="24"/>
                <w:szCs w:val="24"/>
              </w:rPr>
            </w:pPr>
            <w:r>
              <w:rPr>
                <w:rFonts w:hint="eastAsia" w:ascii="宋体" w:hAnsi="宋体"/>
                <w:sz w:val="24"/>
                <w:szCs w:val="24"/>
              </w:rPr>
              <w:t>合法有效</w:t>
            </w:r>
          </w:p>
        </w:tc>
        <w:tc>
          <w:tcPr>
            <w:tcW w:w="819" w:type="dxa"/>
            <w:tcBorders>
              <w:bottom w:val="single" w:color="auto" w:sz="4" w:space="0"/>
            </w:tcBorders>
            <w:noWrap w:val="0"/>
            <w:vAlign w:val="center"/>
          </w:tcPr>
          <w:p w14:paraId="110B8223">
            <w:pPr>
              <w:adjustRightInd w:val="0"/>
              <w:snapToGrid w:val="0"/>
              <w:spacing w:line="420" w:lineRule="exact"/>
              <w:ind w:right="-11"/>
              <w:jc w:val="center"/>
              <w:rPr>
                <w:rFonts w:hint="eastAsia" w:ascii="宋体" w:hAnsi="宋体"/>
                <w:sz w:val="24"/>
                <w:szCs w:val="24"/>
              </w:rPr>
            </w:pPr>
          </w:p>
        </w:tc>
        <w:tc>
          <w:tcPr>
            <w:tcW w:w="2717" w:type="dxa"/>
            <w:tcBorders>
              <w:bottom w:val="single" w:color="auto" w:sz="4" w:space="0"/>
            </w:tcBorders>
            <w:noWrap w:val="0"/>
            <w:vAlign w:val="center"/>
          </w:tcPr>
          <w:p w14:paraId="7EF9F57F">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r>
              <w:rPr>
                <w:rFonts w:hint="eastAsia" w:ascii="宋体" w:hAnsi="宋体"/>
                <w:bCs/>
                <w:sz w:val="24"/>
                <w:szCs w:val="24"/>
              </w:rPr>
              <w:t>联合体投标的，联合体各方均须提供。</w:t>
            </w:r>
          </w:p>
        </w:tc>
      </w:tr>
      <w:tr w14:paraId="1D01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20" w:type="dxa"/>
            <w:noWrap w:val="0"/>
            <w:vAlign w:val="center"/>
          </w:tcPr>
          <w:p w14:paraId="4B1FC1E4">
            <w:pPr>
              <w:adjustRightInd w:val="0"/>
              <w:snapToGrid w:val="0"/>
              <w:spacing w:line="360" w:lineRule="auto"/>
              <w:ind w:right="-10"/>
              <w:jc w:val="center"/>
              <w:rPr>
                <w:rFonts w:hint="eastAsia" w:ascii="宋体" w:hAnsi="宋体"/>
                <w:sz w:val="24"/>
              </w:rPr>
            </w:pPr>
            <w:r>
              <w:rPr>
                <w:rFonts w:hint="eastAsia" w:ascii="宋体" w:hAnsi="宋体"/>
                <w:sz w:val="24"/>
              </w:rPr>
              <w:t>2</w:t>
            </w:r>
          </w:p>
        </w:tc>
        <w:tc>
          <w:tcPr>
            <w:tcW w:w="1897" w:type="dxa"/>
            <w:noWrap w:val="0"/>
            <w:vAlign w:val="center"/>
          </w:tcPr>
          <w:p w14:paraId="44EFA656">
            <w:pPr>
              <w:spacing w:line="420" w:lineRule="exact"/>
              <w:ind w:right="-11"/>
              <w:jc w:val="center"/>
              <w:rPr>
                <w:rFonts w:hint="eastAsia" w:ascii="宋体" w:hAnsi="宋体"/>
                <w:sz w:val="24"/>
                <w:szCs w:val="28"/>
              </w:rPr>
            </w:pPr>
            <w:r>
              <w:rPr>
                <w:rFonts w:hint="eastAsia" w:ascii="宋体" w:hAnsi="宋体"/>
                <w:sz w:val="24"/>
                <w:szCs w:val="28"/>
              </w:rPr>
              <w:t>投标函</w:t>
            </w:r>
          </w:p>
        </w:tc>
        <w:tc>
          <w:tcPr>
            <w:tcW w:w="3008" w:type="dxa"/>
            <w:noWrap w:val="0"/>
            <w:vAlign w:val="center"/>
          </w:tcPr>
          <w:p w14:paraId="11D4DCFA">
            <w:pPr>
              <w:spacing w:line="420" w:lineRule="exact"/>
              <w:ind w:right="-11"/>
              <w:jc w:val="center"/>
              <w:rPr>
                <w:rFonts w:hint="eastAsia" w:ascii="宋体" w:hAnsi="宋体"/>
                <w:sz w:val="24"/>
                <w:szCs w:val="28"/>
              </w:rPr>
            </w:pPr>
            <w:r>
              <w:rPr>
                <w:rFonts w:hint="eastAsia" w:ascii="宋体" w:hAnsi="宋体"/>
                <w:sz w:val="24"/>
                <w:szCs w:val="28"/>
              </w:rPr>
              <w:t>符合招标文件要求</w:t>
            </w:r>
          </w:p>
        </w:tc>
        <w:tc>
          <w:tcPr>
            <w:tcW w:w="819" w:type="dxa"/>
            <w:noWrap w:val="0"/>
            <w:vAlign w:val="center"/>
          </w:tcPr>
          <w:p w14:paraId="4AAFA019">
            <w:pPr>
              <w:adjustRightInd w:val="0"/>
              <w:snapToGrid w:val="0"/>
              <w:spacing w:line="420" w:lineRule="exact"/>
              <w:ind w:right="-11"/>
              <w:jc w:val="center"/>
              <w:rPr>
                <w:rFonts w:hint="eastAsia" w:ascii="宋体" w:hAnsi="宋体"/>
                <w:sz w:val="24"/>
              </w:rPr>
            </w:pPr>
          </w:p>
        </w:tc>
        <w:tc>
          <w:tcPr>
            <w:tcW w:w="2717" w:type="dxa"/>
            <w:noWrap w:val="0"/>
            <w:vAlign w:val="center"/>
          </w:tcPr>
          <w:p w14:paraId="373BE8C1">
            <w:pPr>
              <w:adjustRightInd w:val="0"/>
              <w:snapToGrid w:val="0"/>
              <w:spacing w:line="420" w:lineRule="exact"/>
              <w:ind w:right="-11"/>
              <w:jc w:val="center"/>
              <w:rPr>
                <w:rFonts w:hint="eastAsia" w:ascii="宋体" w:hAnsi="宋体"/>
                <w:sz w:val="24"/>
              </w:rPr>
            </w:pPr>
          </w:p>
        </w:tc>
      </w:tr>
      <w:tr w14:paraId="679C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FA4C4C5">
            <w:pPr>
              <w:adjustRightInd w:val="0"/>
              <w:snapToGrid w:val="0"/>
              <w:spacing w:line="360" w:lineRule="auto"/>
              <w:ind w:right="-10"/>
              <w:jc w:val="center"/>
              <w:rPr>
                <w:rFonts w:hint="eastAsia" w:ascii="宋体" w:hAnsi="宋体"/>
                <w:sz w:val="24"/>
              </w:rPr>
            </w:pPr>
            <w:r>
              <w:rPr>
                <w:rFonts w:hint="eastAsia" w:ascii="宋体" w:hAnsi="宋体"/>
                <w:sz w:val="24"/>
              </w:rPr>
              <w:t>3</w:t>
            </w:r>
          </w:p>
        </w:tc>
        <w:tc>
          <w:tcPr>
            <w:tcW w:w="1897" w:type="dxa"/>
            <w:noWrap w:val="0"/>
            <w:vAlign w:val="center"/>
          </w:tcPr>
          <w:p w14:paraId="043B4CD6">
            <w:pPr>
              <w:spacing w:line="420" w:lineRule="exact"/>
              <w:ind w:right="-11"/>
              <w:jc w:val="center"/>
              <w:rPr>
                <w:rFonts w:hint="eastAsia" w:ascii="宋体" w:hAnsi="宋体"/>
                <w:sz w:val="24"/>
                <w:szCs w:val="28"/>
              </w:rPr>
            </w:pPr>
            <w:r>
              <w:rPr>
                <w:rFonts w:hint="eastAsia" w:ascii="宋体" w:hAnsi="宋体"/>
                <w:sz w:val="24"/>
                <w:szCs w:val="28"/>
              </w:rPr>
              <w:t>投标授权书</w:t>
            </w:r>
          </w:p>
        </w:tc>
        <w:tc>
          <w:tcPr>
            <w:tcW w:w="3008" w:type="dxa"/>
            <w:noWrap w:val="0"/>
            <w:vAlign w:val="center"/>
          </w:tcPr>
          <w:p w14:paraId="7E75F0FA">
            <w:pPr>
              <w:spacing w:line="420" w:lineRule="exact"/>
              <w:ind w:right="-11"/>
              <w:jc w:val="center"/>
              <w:rPr>
                <w:rFonts w:hint="eastAsia" w:ascii="宋体" w:hAnsi="宋体"/>
                <w:sz w:val="24"/>
                <w:szCs w:val="28"/>
              </w:rPr>
            </w:pPr>
            <w:r>
              <w:rPr>
                <w:rFonts w:hint="eastAsia" w:ascii="宋体" w:hAnsi="宋体"/>
                <w:sz w:val="24"/>
                <w:szCs w:val="28"/>
              </w:rPr>
              <w:t>符合招标文件要求</w:t>
            </w:r>
          </w:p>
        </w:tc>
        <w:tc>
          <w:tcPr>
            <w:tcW w:w="819" w:type="dxa"/>
            <w:noWrap w:val="0"/>
            <w:vAlign w:val="center"/>
          </w:tcPr>
          <w:p w14:paraId="51214864">
            <w:pPr>
              <w:adjustRightInd w:val="0"/>
              <w:snapToGrid w:val="0"/>
              <w:spacing w:line="420" w:lineRule="exact"/>
              <w:ind w:right="-11"/>
              <w:jc w:val="center"/>
              <w:rPr>
                <w:rFonts w:hint="eastAsia" w:ascii="宋体" w:hAnsi="宋体"/>
                <w:sz w:val="24"/>
              </w:rPr>
            </w:pPr>
          </w:p>
        </w:tc>
        <w:tc>
          <w:tcPr>
            <w:tcW w:w="2717" w:type="dxa"/>
            <w:noWrap w:val="0"/>
            <w:vAlign w:val="center"/>
          </w:tcPr>
          <w:p w14:paraId="725AE02F">
            <w:pPr>
              <w:adjustRightInd w:val="0"/>
              <w:snapToGrid w:val="0"/>
              <w:spacing w:line="420" w:lineRule="exact"/>
              <w:ind w:right="-11"/>
              <w:jc w:val="center"/>
              <w:rPr>
                <w:rFonts w:hint="eastAsia" w:ascii="宋体" w:hAnsi="宋体"/>
                <w:sz w:val="24"/>
              </w:rPr>
            </w:pPr>
            <w:r>
              <w:rPr>
                <w:rFonts w:hint="eastAsia" w:ascii="宋体" w:hAnsi="宋体"/>
                <w:sz w:val="24"/>
                <w:highlight w:val="yellow"/>
              </w:rPr>
              <w:t>详见第</w:t>
            </w:r>
            <w:r>
              <w:rPr>
                <w:rFonts w:hint="eastAsia" w:ascii="宋体" w:hAnsi="宋体"/>
                <w:sz w:val="24"/>
                <w:highlight w:val="yellow"/>
                <w:lang w:eastAsia="zh-CN"/>
              </w:rPr>
              <w:t>八</w:t>
            </w:r>
            <w:r>
              <w:rPr>
                <w:rFonts w:hint="eastAsia" w:ascii="宋体" w:hAnsi="宋体"/>
                <w:sz w:val="24"/>
                <w:highlight w:val="yellow"/>
              </w:rPr>
              <w:t>章投标文件格式“投标授权书”</w:t>
            </w:r>
          </w:p>
        </w:tc>
      </w:tr>
      <w:tr w14:paraId="137B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672A0FDB">
            <w:pPr>
              <w:adjustRightInd w:val="0"/>
              <w:snapToGrid w:val="0"/>
              <w:spacing w:line="360" w:lineRule="auto"/>
              <w:ind w:right="-10"/>
              <w:jc w:val="center"/>
              <w:rPr>
                <w:rFonts w:hint="eastAsia" w:ascii="宋体" w:hAnsi="宋体"/>
                <w:sz w:val="24"/>
              </w:rPr>
            </w:pPr>
            <w:r>
              <w:rPr>
                <w:rFonts w:hint="eastAsia" w:ascii="宋体" w:hAnsi="宋体"/>
                <w:sz w:val="24"/>
              </w:rPr>
              <w:t>5</w:t>
            </w:r>
          </w:p>
        </w:tc>
        <w:tc>
          <w:tcPr>
            <w:tcW w:w="1897" w:type="dxa"/>
            <w:noWrap w:val="0"/>
            <w:vAlign w:val="center"/>
          </w:tcPr>
          <w:p w14:paraId="212D5040">
            <w:pPr>
              <w:spacing w:line="420" w:lineRule="exact"/>
              <w:ind w:right="-11"/>
              <w:jc w:val="center"/>
              <w:rPr>
                <w:rFonts w:hint="eastAsia" w:ascii="宋体" w:hAnsi="宋体"/>
                <w:sz w:val="24"/>
                <w:szCs w:val="28"/>
              </w:rPr>
            </w:pPr>
            <w:r>
              <w:rPr>
                <w:rFonts w:hint="eastAsia" w:ascii="宋体" w:hAnsi="宋体"/>
                <w:sz w:val="24"/>
                <w:szCs w:val="28"/>
              </w:rPr>
              <w:t>投标保证金</w:t>
            </w:r>
          </w:p>
        </w:tc>
        <w:tc>
          <w:tcPr>
            <w:tcW w:w="3008" w:type="dxa"/>
            <w:noWrap w:val="0"/>
            <w:vAlign w:val="center"/>
          </w:tcPr>
          <w:p w14:paraId="6CF4C7A3">
            <w:pPr>
              <w:spacing w:line="420" w:lineRule="exact"/>
              <w:ind w:right="-11"/>
              <w:jc w:val="center"/>
              <w:rPr>
                <w:rFonts w:hint="eastAsia" w:ascii="宋体" w:hAnsi="宋体"/>
                <w:sz w:val="24"/>
                <w:szCs w:val="28"/>
              </w:rPr>
            </w:pPr>
            <w:r>
              <w:rPr>
                <w:rFonts w:hint="eastAsia" w:ascii="宋体" w:hAnsi="宋体"/>
                <w:sz w:val="24"/>
                <w:szCs w:val="28"/>
              </w:rPr>
              <w:t>符合招标文件要求</w:t>
            </w:r>
          </w:p>
        </w:tc>
        <w:tc>
          <w:tcPr>
            <w:tcW w:w="819" w:type="dxa"/>
            <w:noWrap w:val="0"/>
            <w:vAlign w:val="center"/>
          </w:tcPr>
          <w:p w14:paraId="47A456E1">
            <w:pPr>
              <w:adjustRightInd w:val="0"/>
              <w:snapToGrid w:val="0"/>
              <w:spacing w:line="420" w:lineRule="exact"/>
              <w:ind w:right="-11"/>
              <w:jc w:val="center"/>
              <w:rPr>
                <w:rFonts w:hint="eastAsia" w:ascii="宋体" w:hAnsi="宋体"/>
                <w:sz w:val="24"/>
              </w:rPr>
            </w:pPr>
          </w:p>
        </w:tc>
        <w:tc>
          <w:tcPr>
            <w:tcW w:w="2717" w:type="dxa"/>
            <w:noWrap w:val="0"/>
            <w:vAlign w:val="center"/>
          </w:tcPr>
          <w:p w14:paraId="19D26ACF">
            <w:pPr>
              <w:adjustRightInd w:val="0"/>
              <w:snapToGrid w:val="0"/>
              <w:spacing w:line="420" w:lineRule="exact"/>
              <w:ind w:right="-11"/>
              <w:jc w:val="center"/>
              <w:rPr>
                <w:rFonts w:hint="eastAsia" w:ascii="宋体" w:hAnsi="宋体"/>
                <w:sz w:val="24"/>
              </w:rPr>
            </w:pPr>
            <w:r>
              <w:rPr>
                <w:rFonts w:hint="eastAsia" w:ascii="宋体" w:hAnsi="宋体"/>
                <w:sz w:val="24"/>
                <w:highlight w:val="yellow"/>
              </w:rPr>
              <w:t>第</w:t>
            </w:r>
            <w:r>
              <w:rPr>
                <w:rFonts w:hint="eastAsia" w:ascii="宋体" w:hAnsi="宋体"/>
                <w:sz w:val="24"/>
                <w:highlight w:val="yellow"/>
                <w:lang w:val="en-US" w:eastAsia="zh-CN"/>
              </w:rPr>
              <w:t>二</w:t>
            </w:r>
            <w:r>
              <w:rPr>
                <w:rFonts w:hint="eastAsia" w:ascii="宋体" w:hAnsi="宋体"/>
                <w:sz w:val="24"/>
                <w:highlight w:val="yellow"/>
              </w:rPr>
              <w:t>章投标人须知1</w:t>
            </w:r>
            <w:r>
              <w:rPr>
                <w:rFonts w:hint="eastAsia" w:ascii="宋体" w:hAnsi="宋体"/>
                <w:sz w:val="24"/>
                <w:highlight w:val="yellow"/>
                <w:lang w:val="en-US" w:eastAsia="zh-CN"/>
              </w:rPr>
              <w:t>3</w:t>
            </w:r>
            <w:r>
              <w:rPr>
                <w:rFonts w:hint="eastAsia" w:ascii="宋体" w:hAnsi="宋体"/>
                <w:sz w:val="24"/>
                <w:highlight w:val="yellow"/>
              </w:rPr>
              <w:t>条</w:t>
            </w:r>
          </w:p>
        </w:tc>
      </w:tr>
      <w:tr w14:paraId="168D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0A1364C">
            <w:pPr>
              <w:adjustRightInd w:val="0"/>
              <w:snapToGrid w:val="0"/>
              <w:spacing w:line="360" w:lineRule="auto"/>
              <w:ind w:right="-10"/>
              <w:jc w:val="center"/>
              <w:rPr>
                <w:rFonts w:hint="eastAsia" w:ascii="宋体" w:hAnsi="宋体"/>
                <w:sz w:val="24"/>
              </w:rPr>
            </w:pPr>
            <w:r>
              <w:rPr>
                <w:rFonts w:hint="eastAsia" w:ascii="宋体" w:hAnsi="宋体"/>
                <w:sz w:val="24"/>
              </w:rPr>
              <w:t>6</w:t>
            </w:r>
          </w:p>
        </w:tc>
        <w:tc>
          <w:tcPr>
            <w:tcW w:w="1897" w:type="dxa"/>
            <w:noWrap w:val="0"/>
            <w:vAlign w:val="center"/>
          </w:tcPr>
          <w:p w14:paraId="76E48BCE">
            <w:pPr>
              <w:spacing w:after="50" w:line="360" w:lineRule="auto"/>
              <w:ind w:right="-10"/>
              <w:jc w:val="center"/>
              <w:rPr>
                <w:rFonts w:ascii="宋体" w:hAnsi="宋体"/>
                <w:sz w:val="24"/>
                <w:szCs w:val="28"/>
              </w:rPr>
            </w:pPr>
            <w:r>
              <w:rPr>
                <w:rFonts w:hint="eastAsia" w:ascii="宋体" w:hAnsi="宋体"/>
                <w:sz w:val="24"/>
                <w:szCs w:val="28"/>
              </w:rPr>
              <w:t>开标一览表</w:t>
            </w:r>
          </w:p>
        </w:tc>
        <w:tc>
          <w:tcPr>
            <w:tcW w:w="3008" w:type="dxa"/>
            <w:noWrap w:val="0"/>
            <w:vAlign w:val="center"/>
          </w:tcPr>
          <w:p w14:paraId="2074A0E4">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19" w:type="dxa"/>
            <w:noWrap w:val="0"/>
            <w:vAlign w:val="center"/>
          </w:tcPr>
          <w:p w14:paraId="495EA8AA">
            <w:pPr>
              <w:adjustRightInd w:val="0"/>
              <w:snapToGrid w:val="0"/>
              <w:spacing w:line="420" w:lineRule="exact"/>
              <w:ind w:right="-11"/>
              <w:jc w:val="center"/>
              <w:rPr>
                <w:rFonts w:hint="eastAsia" w:ascii="宋体" w:hAnsi="宋体"/>
                <w:sz w:val="24"/>
              </w:rPr>
            </w:pPr>
          </w:p>
        </w:tc>
        <w:tc>
          <w:tcPr>
            <w:tcW w:w="2717" w:type="dxa"/>
            <w:noWrap w:val="0"/>
            <w:vAlign w:val="center"/>
          </w:tcPr>
          <w:p w14:paraId="3E79BAE9">
            <w:pPr>
              <w:adjustRightInd w:val="0"/>
              <w:snapToGrid w:val="0"/>
              <w:spacing w:line="420" w:lineRule="exact"/>
              <w:ind w:right="-11"/>
              <w:jc w:val="center"/>
              <w:rPr>
                <w:rFonts w:hint="eastAsia" w:ascii="宋体" w:hAnsi="宋体"/>
                <w:sz w:val="24"/>
              </w:rPr>
            </w:pPr>
          </w:p>
        </w:tc>
      </w:tr>
      <w:tr w14:paraId="17D0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413F3C44">
            <w:pPr>
              <w:adjustRightInd w:val="0"/>
              <w:snapToGrid w:val="0"/>
              <w:spacing w:line="360" w:lineRule="auto"/>
              <w:ind w:right="-10"/>
              <w:jc w:val="center"/>
              <w:rPr>
                <w:rFonts w:hint="eastAsia" w:ascii="宋体" w:hAnsi="宋体"/>
                <w:sz w:val="24"/>
              </w:rPr>
            </w:pPr>
            <w:r>
              <w:rPr>
                <w:rFonts w:hint="eastAsia" w:ascii="宋体" w:hAnsi="宋体"/>
                <w:sz w:val="24"/>
              </w:rPr>
              <w:t>7</w:t>
            </w:r>
          </w:p>
        </w:tc>
        <w:tc>
          <w:tcPr>
            <w:tcW w:w="1897" w:type="dxa"/>
            <w:noWrap w:val="0"/>
            <w:vAlign w:val="center"/>
          </w:tcPr>
          <w:p w14:paraId="490CD23C">
            <w:pPr>
              <w:spacing w:after="50" w:line="360" w:lineRule="auto"/>
              <w:ind w:right="-10"/>
              <w:jc w:val="center"/>
              <w:rPr>
                <w:rFonts w:ascii="宋体" w:hAnsi="宋体"/>
                <w:sz w:val="24"/>
                <w:szCs w:val="28"/>
              </w:rPr>
            </w:pPr>
            <w:r>
              <w:rPr>
                <w:rFonts w:hint="eastAsia" w:ascii="宋体" w:hAnsi="宋体"/>
                <w:sz w:val="24"/>
                <w:szCs w:val="24"/>
              </w:rPr>
              <w:t>投标人信用承诺</w:t>
            </w:r>
          </w:p>
        </w:tc>
        <w:tc>
          <w:tcPr>
            <w:tcW w:w="3008" w:type="dxa"/>
            <w:noWrap w:val="0"/>
            <w:vAlign w:val="center"/>
          </w:tcPr>
          <w:p w14:paraId="1474418B">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19" w:type="dxa"/>
            <w:noWrap w:val="0"/>
            <w:vAlign w:val="center"/>
          </w:tcPr>
          <w:p w14:paraId="09EEACA0">
            <w:pPr>
              <w:adjustRightInd w:val="0"/>
              <w:snapToGrid w:val="0"/>
              <w:spacing w:line="360" w:lineRule="auto"/>
              <w:ind w:right="-10"/>
              <w:jc w:val="center"/>
              <w:rPr>
                <w:rFonts w:ascii="宋体" w:hAnsi="宋体"/>
                <w:sz w:val="24"/>
              </w:rPr>
            </w:pPr>
          </w:p>
        </w:tc>
        <w:tc>
          <w:tcPr>
            <w:tcW w:w="2717" w:type="dxa"/>
            <w:noWrap w:val="0"/>
            <w:vAlign w:val="center"/>
          </w:tcPr>
          <w:p w14:paraId="6E088B9F">
            <w:pPr>
              <w:adjustRightInd w:val="0"/>
              <w:snapToGrid w:val="0"/>
              <w:spacing w:line="360" w:lineRule="auto"/>
              <w:ind w:right="-10"/>
              <w:jc w:val="center"/>
              <w:rPr>
                <w:rFonts w:ascii="宋体" w:hAnsi="宋体"/>
                <w:sz w:val="24"/>
              </w:rPr>
            </w:pPr>
            <w:r>
              <w:rPr>
                <w:rFonts w:hint="eastAsia" w:ascii="宋体" w:hAnsi="宋体"/>
                <w:sz w:val="24"/>
                <w:szCs w:val="24"/>
                <w:highlight w:val="yellow"/>
              </w:rPr>
              <w:t>详见第</w:t>
            </w:r>
            <w:r>
              <w:rPr>
                <w:rFonts w:hint="eastAsia" w:ascii="宋体" w:hAnsi="宋体"/>
                <w:sz w:val="24"/>
                <w:szCs w:val="24"/>
                <w:highlight w:val="yellow"/>
                <w:lang w:eastAsia="zh-CN"/>
              </w:rPr>
              <w:t>八</w:t>
            </w:r>
            <w:r>
              <w:rPr>
                <w:rFonts w:hint="eastAsia" w:ascii="宋体" w:hAnsi="宋体"/>
                <w:sz w:val="24"/>
                <w:szCs w:val="24"/>
                <w:highlight w:val="yellow"/>
              </w:rPr>
              <w:t>章投标文件格式</w:t>
            </w:r>
            <w:r>
              <w:rPr>
                <w:rFonts w:hint="eastAsia" w:ascii="宋体" w:hAnsi="宋体"/>
                <w:sz w:val="24"/>
                <w:highlight w:val="yellow"/>
              </w:rPr>
              <w:t>“</w:t>
            </w:r>
            <w:r>
              <w:rPr>
                <w:rFonts w:hint="eastAsia" w:ascii="宋体" w:hAnsi="宋体"/>
                <w:sz w:val="24"/>
                <w:szCs w:val="24"/>
                <w:highlight w:val="yellow"/>
              </w:rPr>
              <w:t>投标人信用承诺</w:t>
            </w:r>
            <w:r>
              <w:rPr>
                <w:rFonts w:hint="eastAsia" w:ascii="宋体" w:hAnsi="宋体"/>
                <w:sz w:val="24"/>
                <w:highlight w:val="yellow"/>
              </w:rPr>
              <w:t>”，</w:t>
            </w:r>
            <w:r>
              <w:rPr>
                <w:rFonts w:hint="eastAsia" w:ascii="宋体" w:hAnsi="宋体"/>
                <w:bCs/>
                <w:sz w:val="24"/>
                <w:szCs w:val="24"/>
                <w:highlight w:val="yellow"/>
              </w:rPr>
              <w:t>联合体投标的，联合体各方均须承诺。</w:t>
            </w:r>
          </w:p>
        </w:tc>
      </w:tr>
      <w:tr w14:paraId="26CD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AB243B3">
            <w:pPr>
              <w:adjustRightInd w:val="0"/>
              <w:snapToGrid w:val="0"/>
              <w:spacing w:line="360" w:lineRule="auto"/>
              <w:ind w:right="-10"/>
              <w:jc w:val="center"/>
              <w:rPr>
                <w:rFonts w:hint="eastAsia" w:ascii="宋体" w:hAnsi="宋体"/>
                <w:sz w:val="24"/>
              </w:rPr>
            </w:pPr>
            <w:r>
              <w:rPr>
                <w:rFonts w:hint="eastAsia" w:ascii="宋体" w:hAnsi="宋体"/>
                <w:sz w:val="24"/>
              </w:rPr>
              <w:t>8</w:t>
            </w:r>
          </w:p>
        </w:tc>
        <w:tc>
          <w:tcPr>
            <w:tcW w:w="1897" w:type="dxa"/>
            <w:noWrap w:val="0"/>
            <w:vAlign w:val="center"/>
          </w:tcPr>
          <w:p w14:paraId="60F42D97">
            <w:pPr>
              <w:spacing w:line="420" w:lineRule="exact"/>
              <w:ind w:right="-11"/>
              <w:jc w:val="center"/>
              <w:rPr>
                <w:rFonts w:ascii="宋体" w:hAnsi="宋体"/>
                <w:sz w:val="24"/>
                <w:szCs w:val="24"/>
              </w:rPr>
            </w:pPr>
            <w:r>
              <w:rPr>
                <w:rFonts w:hint="eastAsia" w:ascii="宋体" w:hAnsi="宋体"/>
                <w:sz w:val="24"/>
                <w:szCs w:val="24"/>
              </w:rPr>
              <w:t>投标人资质</w:t>
            </w:r>
          </w:p>
        </w:tc>
        <w:tc>
          <w:tcPr>
            <w:tcW w:w="3008" w:type="dxa"/>
            <w:noWrap w:val="0"/>
            <w:vAlign w:val="center"/>
          </w:tcPr>
          <w:p w14:paraId="0B1C12F6">
            <w:pPr>
              <w:spacing w:line="420" w:lineRule="exact"/>
              <w:ind w:right="-11"/>
              <w:jc w:val="center"/>
              <w:rPr>
                <w:rFonts w:ascii="宋体" w:hAnsi="宋体"/>
                <w:sz w:val="24"/>
                <w:szCs w:val="24"/>
              </w:rPr>
            </w:pPr>
            <w:r>
              <w:rPr>
                <w:rFonts w:hint="eastAsia" w:ascii="宋体" w:hAnsi="宋体"/>
                <w:sz w:val="24"/>
                <w:szCs w:val="24"/>
              </w:rPr>
              <w:t>符合招标公告要求</w:t>
            </w:r>
          </w:p>
        </w:tc>
        <w:tc>
          <w:tcPr>
            <w:tcW w:w="819" w:type="dxa"/>
            <w:noWrap w:val="0"/>
            <w:vAlign w:val="center"/>
          </w:tcPr>
          <w:p w14:paraId="149F9997">
            <w:pPr>
              <w:adjustRightInd w:val="0"/>
              <w:snapToGrid w:val="0"/>
              <w:spacing w:line="420" w:lineRule="exact"/>
              <w:ind w:right="-11"/>
              <w:jc w:val="center"/>
              <w:rPr>
                <w:rFonts w:ascii="宋体" w:hAnsi="宋体"/>
                <w:sz w:val="24"/>
                <w:szCs w:val="24"/>
              </w:rPr>
            </w:pPr>
          </w:p>
        </w:tc>
        <w:tc>
          <w:tcPr>
            <w:tcW w:w="2717" w:type="dxa"/>
            <w:noWrap w:val="0"/>
            <w:vAlign w:val="center"/>
          </w:tcPr>
          <w:p w14:paraId="35E4585D">
            <w:pPr>
              <w:adjustRightInd w:val="0"/>
              <w:snapToGrid w:val="0"/>
              <w:spacing w:line="360" w:lineRule="auto"/>
              <w:ind w:right="-10"/>
              <w:jc w:val="center"/>
              <w:rPr>
                <w:rFonts w:ascii="宋体" w:hAnsi="宋体"/>
                <w:sz w:val="24"/>
                <w:szCs w:val="24"/>
              </w:rPr>
            </w:pPr>
            <w:r>
              <w:rPr>
                <w:rFonts w:hint="eastAsia" w:ascii="宋体" w:hAnsi="宋体"/>
                <w:sz w:val="24"/>
                <w:szCs w:val="24"/>
              </w:rPr>
              <w:t>提供资质证书扫描件</w:t>
            </w:r>
          </w:p>
        </w:tc>
      </w:tr>
      <w:tr w14:paraId="02BA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40EB106">
            <w:pPr>
              <w:adjustRightInd w:val="0"/>
              <w:snapToGrid w:val="0"/>
              <w:spacing w:line="360" w:lineRule="auto"/>
              <w:ind w:right="-10"/>
              <w:jc w:val="center"/>
              <w:rPr>
                <w:rFonts w:hint="eastAsia" w:ascii="宋体" w:hAnsi="宋体"/>
                <w:sz w:val="24"/>
              </w:rPr>
            </w:pPr>
            <w:r>
              <w:rPr>
                <w:rFonts w:hint="eastAsia" w:ascii="宋体" w:hAnsi="宋体"/>
                <w:sz w:val="24"/>
              </w:rPr>
              <w:t>9</w:t>
            </w:r>
          </w:p>
        </w:tc>
        <w:tc>
          <w:tcPr>
            <w:tcW w:w="1897" w:type="dxa"/>
            <w:noWrap w:val="0"/>
            <w:vAlign w:val="center"/>
          </w:tcPr>
          <w:p w14:paraId="158F4B6D">
            <w:pPr>
              <w:spacing w:line="420" w:lineRule="exact"/>
              <w:ind w:right="-11"/>
              <w:jc w:val="center"/>
              <w:rPr>
                <w:rFonts w:ascii="宋体" w:hAnsi="宋体"/>
                <w:sz w:val="24"/>
                <w:szCs w:val="24"/>
              </w:rPr>
            </w:pPr>
            <w:r>
              <w:rPr>
                <w:rFonts w:hint="eastAsia" w:ascii="宋体" w:hAnsi="宋体"/>
                <w:sz w:val="24"/>
                <w:szCs w:val="24"/>
              </w:rPr>
              <w:t>业绩</w:t>
            </w:r>
          </w:p>
        </w:tc>
        <w:tc>
          <w:tcPr>
            <w:tcW w:w="3008" w:type="dxa"/>
            <w:noWrap w:val="0"/>
            <w:vAlign w:val="center"/>
          </w:tcPr>
          <w:p w14:paraId="21C67110">
            <w:pPr>
              <w:spacing w:line="420" w:lineRule="exact"/>
              <w:ind w:right="-11"/>
              <w:jc w:val="center"/>
              <w:rPr>
                <w:rFonts w:ascii="宋体" w:hAnsi="宋体"/>
                <w:sz w:val="24"/>
                <w:szCs w:val="24"/>
              </w:rPr>
            </w:pPr>
            <w:r>
              <w:rPr>
                <w:rFonts w:hint="eastAsia" w:ascii="宋体" w:hAnsi="宋体"/>
                <w:sz w:val="24"/>
                <w:szCs w:val="24"/>
              </w:rPr>
              <w:t>符合招标公告要求</w:t>
            </w:r>
          </w:p>
        </w:tc>
        <w:tc>
          <w:tcPr>
            <w:tcW w:w="819" w:type="dxa"/>
            <w:noWrap w:val="0"/>
            <w:vAlign w:val="center"/>
          </w:tcPr>
          <w:p w14:paraId="0173567A">
            <w:pPr>
              <w:adjustRightInd w:val="0"/>
              <w:snapToGrid w:val="0"/>
              <w:spacing w:line="420" w:lineRule="exact"/>
              <w:ind w:right="-11"/>
              <w:jc w:val="center"/>
              <w:rPr>
                <w:rFonts w:ascii="宋体" w:hAnsi="宋体"/>
                <w:sz w:val="24"/>
                <w:szCs w:val="24"/>
              </w:rPr>
            </w:pPr>
          </w:p>
        </w:tc>
        <w:tc>
          <w:tcPr>
            <w:tcW w:w="2717" w:type="dxa"/>
            <w:noWrap w:val="0"/>
            <w:vAlign w:val="center"/>
          </w:tcPr>
          <w:p w14:paraId="13E4091E">
            <w:pPr>
              <w:adjustRightInd w:val="0"/>
              <w:snapToGrid w:val="0"/>
              <w:spacing w:line="360" w:lineRule="auto"/>
              <w:ind w:right="-10"/>
              <w:jc w:val="center"/>
              <w:rPr>
                <w:rFonts w:ascii="宋体" w:hAnsi="宋体"/>
                <w:sz w:val="24"/>
                <w:szCs w:val="24"/>
              </w:rPr>
            </w:pPr>
            <w:r>
              <w:rPr>
                <w:rFonts w:hint="eastAsia" w:ascii="宋体" w:hAnsi="宋体"/>
                <w:sz w:val="24"/>
                <w:szCs w:val="24"/>
              </w:rPr>
              <w:t>详见投标人须知前附表</w:t>
            </w:r>
          </w:p>
        </w:tc>
      </w:tr>
      <w:tr w14:paraId="608F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60FFABF0">
            <w:pPr>
              <w:adjustRightInd w:val="0"/>
              <w:snapToGrid w:val="0"/>
              <w:spacing w:line="360" w:lineRule="auto"/>
              <w:ind w:right="-10"/>
              <w:jc w:val="center"/>
              <w:rPr>
                <w:rFonts w:hint="eastAsia" w:ascii="宋体" w:hAnsi="宋体"/>
                <w:sz w:val="24"/>
              </w:rPr>
            </w:pPr>
            <w:r>
              <w:rPr>
                <w:rFonts w:hint="eastAsia" w:ascii="宋体" w:hAnsi="宋体"/>
                <w:sz w:val="24"/>
              </w:rPr>
              <w:t>10</w:t>
            </w:r>
          </w:p>
        </w:tc>
        <w:tc>
          <w:tcPr>
            <w:tcW w:w="1897" w:type="dxa"/>
            <w:noWrap w:val="0"/>
            <w:vAlign w:val="center"/>
          </w:tcPr>
          <w:p w14:paraId="15CFDA88">
            <w:pPr>
              <w:spacing w:line="420" w:lineRule="exact"/>
              <w:ind w:right="-11"/>
              <w:jc w:val="center"/>
              <w:rPr>
                <w:rFonts w:ascii="宋体" w:hAnsi="宋体"/>
                <w:sz w:val="24"/>
                <w:szCs w:val="24"/>
              </w:rPr>
            </w:pPr>
            <w:r>
              <w:rPr>
                <w:rFonts w:hint="eastAsia" w:ascii="宋体" w:hAnsi="宋体"/>
                <w:sz w:val="24"/>
                <w:szCs w:val="24"/>
              </w:rPr>
              <w:t>拟任项目负责人</w:t>
            </w:r>
          </w:p>
        </w:tc>
        <w:tc>
          <w:tcPr>
            <w:tcW w:w="3008" w:type="dxa"/>
            <w:noWrap w:val="0"/>
            <w:vAlign w:val="center"/>
          </w:tcPr>
          <w:p w14:paraId="095380FF">
            <w:pPr>
              <w:spacing w:line="420" w:lineRule="exact"/>
              <w:ind w:right="-11"/>
              <w:jc w:val="center"/>
              <w:rPr>
                <w:rFonts w:ascii="宋体" w:hAnsi="宋体"/>
                <w:sz w:val="24"/>
                <w:szCs w:val="24"/>
              </w:rPr>
            </w:pPr>
            <w:r>
              <w:rPr>
                <w:rFonts w:hint="eastAsia" w:ascii="宋体" w:hAnsi="宋体"/>
                <w:sz w:val="24"/>
                <w:szCs w:val="24"/>
              </w:rPr>
              <w:t>符合招标文件要求</w:t>
            </w:r>
          </w:p>
        </w:tc>
        <w:tc>
          <w:tcPr>
            <w:tcW w:w="819" w:type="dxa"/>
            <w:noWrap w:val="0"/>
            <w:vAlign w:val="center"/>
          </w:tcPr>
          <w:p w14:paraId="469AB80F">
            <w:pPr>
              <w:adjustRightInd w:val="0"/>
              <w:snapToGrid w:val="0"/>
              <w:spacing w:line="420" w:lineRule="exact"/>
              <w:ind w:right="-11"/>
              <w:jc w:val="center"/>
              <w:rPr>
                <w:rFonts w:ascii="宋体" w:hAnsi="宋体"/>
                <w:sz w:val="24"/>
                <w:szCs w:val="24"/>
              </w:rPr>
            </w:pPr>
          </w:p>
        </w:tc>
        <w:tc>
          <w:tcPr>
            <w:tcW w:w="2717" w:type="dxa"/>
            <w:noWrap w:val="0"/>
            <w:vAlign w:val="center"/>
          </w:tcPr>
          <w:p w14:paraId="7ECE79AA">
            <w:pPr>
              <w:adjustRightInd w:val="0"/>
              <w:snapToGrid w:val="0"/>
              <w:spacing w:line="360" w:lineRule="auto"/>
              <w:ind w:right="-10"/>
              <w:jc w:val="center"/>
              <w:rPr>
                <w:rFonts w:ascii="宋体" w:hAnsi="宋体"/>
                <w:sz w:val="24"/>
                <w:szCs w:val="24"/>
              </w:rPr>
            </w:pPr>
            <w:r>
              <w:rPr>
                <w:rFonts w:hint="eastAsia" w:ascii="宋体" w:hAnsi="宋体"/>
                <w:sz w:val="24"/>
                <w:szCs w:val="24"/>
              </w:rPr>
              <w:t>提供拟任项目负责人相关证书和社保材料扫描件，详见招标需求。</w:t>
            </w:r>
          </w:p>
        </w:tc>
      </w:tr>
      <w:tr w14:paraId="531A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84DA22F">
            <w:pPr>
              <w:adjustRightInd w:val="0"/>
              <w:snapToGrid w:val="0"/>
              <w:spacing w:line="360" w:lineRule="auto"/>
              <w:ind w:right="-10"/>
              <w:jc w:val="center"/>
              <w:rPr>
                <w:rFonts w:hint="eastAsia" w:ascii="宋体" w:hAnsi="宋体"/>
                <w:sz w:val="24"/>
              </w:rPr>
            </w:pPr>
            <w:r>
              <w:rPr>
                <w:rFonts w:hint="eastAsia" w:ascii="宋体" w:hAnsi="宋体"/>
                <w:sz w:val="24"/>
              </w:rPr>
              <w:t>11</w:t>
            </w:r>
          </w:p>
        </w:tc>
        <w:tc>
          <w:tcPr>
            <w:tcW w:w="1897" w:type="dxa"/>
            <w:noWrap w:val="0"/>
            <w:vAlign w:val="center"/>
          </w:tcPr>
          <w:p w14:paraId="44610332">
            <w:pPr>
              <w:spacing w:line="420" w:lineRule="exact"/>
              <w:ind w:right="-11"/>
              <w:jc w:val="center"/>
              <w:rPr>
                <w:rFonts w:ascii="宋体" w:hAnsi="宋体"/>
                <w:sz w:val="24"/>
                <w:szCs w:val="24"/>
              </w:rPr>
            </w:pPr>
            <w:r>
              <w:rPr>
                <w:rFonts w:hint="eastAsia" w:ascii="宋体" w:hAnsi="宋体"/>
                <w:sz w:val="24"/>
                <w:szCs w:val="24"/>
              </w:rPr>
              <w:t>联合体协议</w:t>
            </w:r>
          </w:p>
        </w:tc>
        <w:tc>
          <w:tcPr>
            <w:tcW w:w="3008" w:type="dxa"/>
            <w:noWrap w:val="0"/>
            <w:vAlign w:val="center"/>
          </w:tcPr>
          <w:p w14:paraId="116891CF">
            <w:pPr>
              <w:spacing w:line="420" w:lineRule="exact"/>
              <w:ind w:right="-11"/>
              <w:jc w:val="center"/>
              <w:rPr>
                <w:rFonts w:ascii="宋体" w:hAnsi="宋体"/>
                <w:sz w:val="24"/>
                <w:szCs w:val="24"/>
              </w:rPr>
            </w:pPr>
            <w:r>
              <w:rPr>
                <w:rFonts w:hint="eastAsia" w:ascii="宋体" w:hAnsi="宋体"/>
                <w:sz w:val="24"/>
                <w:szCs w:val="24"/>
              </w:rPr>
              <w:t>符合招标文件要求</w:t>
            </w:r>
          </w:p>
        </w:tc>
        <w:tc>
          <w:tcPr>
            <w:tcW w:w="819" w:type="dxa"/>
            <w:noWrap w:val="0"/>
            <w:vAlign w:val="center"/>
          </w:tcPr>
          <w:p w14:paraId="0D973829">
            <w:pPr>
              <w:adjustRightInd w:val="0"/>
              <w:snapToGrid w:val="0"/>
              <w:spacing w:line="420" w:lineRule="exact"/>
              <w:ind w:right="-11"/>
              <w:jc w:val="center"/>
              <w:rPr>
                <w:rFonts w:ascii="宋体" w:hAnsi="宋体"/>
                <w:sz w:val="24"/>
                <w:szCs w:val="24"/>
              </w:rPr>
            </w:pPr>
          </w:p>
        </w:tc>
        <w:tc>
          <w:tcPr>
            <w:tcW w:w="2717" w:type="dxa"/>
            <w:noWrap w:val="0"/>
            <w:vAlign w:val="center"/>
          </w:tcPr>
          <w:p w14:paraId="0B43AE21">
            <w:pPr>
              <w:adjustRightInd w:val="0"/>
              <w:snapToGrid w:val="0"/>
              <w:spacing w:line="360" w:lineRule="auto"/>
              <w:ind w:right="-10"/>
              <w:jc w:val="center"/>
              <w:rPr>
                <w:rFonts w:ascii="宋体" w:hAnsi="宋体"/>
                <w:sz w:val="24"/>
                <w:szCs w:val="24"/>
              </w:rPr>
            </w:pPr>
            <w:r>
              <w:rPr>
                <w:rFonts w:hint="eastAsia" w:ascii="宋体" w:hAnsi="宋体"/>
                <w:sz w:val="24"/>
                <w:szCs w:val="24"/>
              </w:rPr>
              <w:t>联合体投标的须提供；未组成联合体投标的，无需提供</w:t>
            </w:r>
          </w:p>
        </w:tc>
      </w:tr>
      <w:tr w14:paraId="5629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34FBE36">
            <w:pPr>
              <w:adjustRightInd w:val="0"/>
              <w:snapToGrid w:val="0"/>
              <w:spacing w:line="360" w:lineRule="auto"/>
              <w:ind w:right="-10"/>
              <w:jc w:val="center"/>
              <w:rPr>
                <w:rFonts w:hint="eastAsia" w:ascii="宋体" w:hAnsi="宋体"/>
                <w:sz w:val="24"/>
              </w:rPr>
            </w:pPr>
            <w:r>
              <w:rPr>
                <w:rFonts w:hint="eastAsia" w:ascii="宋体" w:hAnsi="宋体"/>
                <w:sz w:val="24"/>
              </w:rPr>
              <w:t>12</w:t>
            </w:r>
          </w:p>
        </w:tc>
        <w:tc>
          <w:tcPr>
            <w:tcW w:w="1897" w:type="dxa"/>
            <w:noWrap w:val="0"/>
            <w:vAlign w:val="center"/>
          </w:tcPr>
          <w:p w14:paraId="575BF338">
            <w:pPr>
              <w:spacing w:line="420" w:lineRule="exact"/>
              <w:ind w:right="-11"/>
              <w:jc w:val="center"/>
              <w:rPr>
                <w:rFonts w:hint="eastAsia" w:ascii="宋体" w:hAnsi="宋体"/>
                <w:sz w:val="24"/>
                <w:szCs w:val="28"/>
              </w:rPr>
            </w:pPr>
            <w:r>
              <w:rPr>
                <w:rFonts w:hint="eastAsia" w:ascii="宋体" w:hAnsi="宋体"/>
                <w:sz w:val="24"/>
                <w:szCs w:val="28"/>
              </w:rPr>
              <w:t>标书响应情况</w:t>
            </w:r>
          </w:p>
        </w:tc>
        <w:tc>
          <w:tcPr>
            <w:tcW w:w="3008" w:type="dxa"/>
            <w:noWrap w:val="0"/>
            <w:vAlign w:val="center"/>
          </w:tcPr>
          <w:p w14:paraId="249E0D5F">
            <w:pPr>
              <w:spacing w:line="420" w:lineRule="exact"/>
              <w:ind w:right="-11"/>
              <w:jc w:val="center"/>
              <w:rPr>
                <w:rFonts w:hint="eastAsia" w:ascii="宋体" w:hAnsi="宋体"/>
                <w:sz w:val="24"/>
                <w:szCs w:val="28"/>
              </w:rPr>
            </w:pPr>
            <w:r>
              <w:rPr>
                <w:rFonts w:hint="eastAsia" w:ascii="宋体" w:hAnsi="宋体"/>
                <w:sz w:val="24"/>
                <w:szCs w:val="28"/>
              </w:rPr>
              <w:t>付款响应、服务期限响应</w:t>
            </w:r>
          </w:p>
        </w:tc>
        <w:tc>
          <w:tcPr>
            <w:tcW w:w="819" w:type="dxa"/>
            <w:noWrap w:val="0"/>
            <w:vAlign w:val="center"/>
          </w:tcPr>
          <w:p w14:paraId="14BCC660">
            <w:pPr>
              <w:adjustRightInd w:val="0"/>
              <w:snapToGrid w:val="0"/>
              <w:spacing w:line="420" w:lineRule="exact"/>
              <w:ind w:right="-11"/>
              <w:jc w:val="center"/>
              <w:rPr>
                <w:rFonts w:hint="eastAsia" w:ascii="宋体" w:hAnsi="宋体"/>
                <w:sz w:val="24"/>
              </w:rPr>
            </w:pPr>
          </w:p>
        </w:tc>
        <w:tc>
          <w:tcPr>
            <w:tcW w:w="2717" w:type="dxa"/>
            <w:noWrap w:val="0"/>
            <w:vAlign w:val="center"/>
          </w:tcPr>
          <w:p w14:paraId="11F0701E">
            <w:pPr>
              <w:adjustRightInd w:val="0"/>
              <w:snapToGrid w:val="0"/>
              <w:spacing w:line="420" w:lineRule="exact"/>
              <w:ind w:right="-11"/>
              <w:jc w:val="center"/>
              <w:rPr>
                <w:rFonts w:hint="eastAsia" w:ascii="宋体" w:hAnsi="宋体"/>
                <w:sz w:val="24"/>
              </w:rPr>
            </w:pPr>
          </w:p>
        </w:tc>
      </w:tr>
      <w:tr w14:paraId="635B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65EBF833">
            <w:pPr>
              <w:adjustRightInd w:val="0"/>
              <w:snapToGrid w:val="0"/>
              <w:spacing w:line="360" w:lineRule="auto"/>
              <w:ind w:right="-10"/>
              <w:jc w:val="center"/>
              <w:rPr>
                <w:rFonts w:hint="eastAsia" w:ascii="宋体" w:hAnsi="宋体"/>
                <w:sz w:val="24"/>
              </w:rPr>
            </w:pPr>
            <w:r>
              <w:rPr>
                <w:rFonts w:hint="eastAsia" w:ascii="宋体" w:hAnsi="宋体"/>
                <w:sz w:val="24"/>
              </w:rPr>
              <w:t>13</w:t>
            </w:r>
          </w:p>
        </w:tc>
        <w:tc>
          <w:tcPr>
            <w:tcW w:w="1897" w:type="dxa"/>
            <w:noWrap w:val="0"/>
            <w:vAlign w:val="center"/>
          </w:tcPr>
          <w:p w14:paraId="15393A71">
            <w:pPr>
              <w:spacing w:line="420" w:lineRule="exact"/>
              <w:ind w:right="-11"/>
              <w:jc w:val="center"/>
              <w:rPr>
                <w:rFonts w:hint="eastAsia" w:ascii="宋体" w:hAnsi="宋体"/>
                <w:sz w:val="24"/>
              </w:rPr>
            </w:pPr>
            <w:r>
              <w:rPr>
                <w:rFonts w:hint="eastAsia" w:ascii="宋体" w:hAnsi="宋体"/>
                <w:sz w:val="24"/>
              </w:rPr>
              <w:t>标书规范性</w:t>
            </w:r>
          </w:p>
        </w:tc>
        <w:tc>
          <w:tcPr>
            <w:tcW w:w="3008" w:type="dxa"/>
            <w:noWrap w:val="0"/>
            <w:vAlign w:val="center"/>
          </w:tcPr>
          <w:p w14:paraId="30DED8A0">
            <w:pPr>
              <w:pStyle w:val="22"/>
              <w:pBdr>
                <w:bottom w:val="none" w:color="auto" w:sz="0" w:space="0"/>
              </w:pBdr>
              <w:tabs>
                <w:tab w:val="clear" w:pos="4153"/>
                <w:tab w:val="clear" w:pos="8306"/>
              </w:tabs>
              <w:adjustRightInd/>
              <w:spacing w:line="420" w:lineRule="exact"/>
              <w:ind w:right="-11"/>
              <w:jc w:val="both"/>
              <w:textAlignment w:val="auto"/>
              <w:rPr>
                <w:rFonts w:hint="eastAsia" w:ascii="宋体" w:hAnsi="宋体"/>
                <w:kern w:val="2"/>
              </w:rPr>
            </w:pPr>
            <w:r>
              <w:rPr>
                <w:rFonts w:hint="eastAsia" w:ascii="宋体" w:hAnsi="宋体"/>
              </w:rPr>
              <w:t>无严重的编排混乱、内容不全或字迹模糊辨认不清、前后矛盾情况，对评标无实质性影响的</w:t>
            </w:r>
          </w:p>
        </w:tc>
        <w:tc>
          <w:tcPr>
            <w:tcW w:w="819" w:type="dxa"/>
            <w:noWrap w:val="0"/>
            <w:vAlign w:val="center"/>
          </w:tcPr>
          <w:p w14:paraId="6AA2BB97">
            <w:pPr>
              <w:adjustRightInd w:val="0"/>
              <w:snapToGrid w:val="0"/>
              <w:spacing w:line="420" w:lineRule="exact"/>
              <w:ind w:right="-11"/>
              <w:jc w:val="center"/>
              <w:rPr>
                <w:rFonts w:hint="eastAsia" w:ascii="宋体" w:hAnsi="宋体"/>
                <w:sz w:val="24"/>
              </w:rPr>
            </w:pPr>
          </w:p>
        </w:tc>
        <w:tc>
          <w:tcPr>
            <w:tcW w:w="2717" w:type="dxa"/>
            <w:noWrap w:val="0"/>
            <w:vAlign w:val="center"/>
          </w:tcPr>
          <w:p w14:paraId="2FE929A8">
            <w:pPr>
              <w:adjustRightInd w:val="0"/>
              <w:snapToGrid w:val="0"/>
              <w:spacing w:line="420" w:lineRule="exact"/>
              <w:ind w:right="-11"/>
              <w:jc w:val="center"/>
              <w:rPr>
                <w:rFonts w:hint="eastAsia" w:ascii="宋体" w:hAnsi="宋体"/>
                <w:sz w:val="24"/>
              </w:rPr>
            </w:pPr>
          </w:p>
        </w:tc>
      </w:tr>
      <w:tr w14:paraId="6E31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BD12C2E">
            <w:pPr>
              <w:adjustRightInd w:val="0"/>
              <w:snapToGrid w:val="0"/>
              <w:spacing w:line="360" w:lineRule="auto"/>
              <w:ind w:right="-10"/>
              <w:jc w:val="center"/>
              <w:rPr>
                <w:rFonts w:hint="eastAsia" w:ascii="宋体" w:hAnsi="宋体"/>
                <w:sz w:val="24"/>
              </w:rPr>
            </w:pPr>
            <w:r>
              <w:rPr>
                <w:rFonts w:hint="eastAsia" w:ascii="宋体" w:hAnsi="宋体"/>
                <w:sz w:val="24"/>
              </w:rPr>
              <w:t>14</w:t>
            </w:r>
          </w:p>
        </w:tc>
        <w:tc>
          <w:tcPr>
            <w:tcW w:w="1897" w:type="dxa"/>
            <w:noWrap w:val="0"/>
            <w:vAlign w:val="center"/>
          </w:tcPr>
          <w:p w14:paraId="16225075">
            <w:pPr>
              <w:spacing w:line="420" w:lineRule="exact"/>
              <w:ind w:right="-11"/>
              <w:jc w:val="center"/>
              <w:rPr>
                <w:rFonts w:hint="eastAsia" w:ascii="宋体" w:hAnsi="宋体"/>
                <w:sz w:val="24"/>
                <w:szCs w:val="28"/>
              </w:rPr>
            </w:pPr>
            <w:r>
              <w:rPr>
                <w:rFonts w:hint="eastAsia" w:ascii="宋体" w:hAnsi="宋体"/>
                <w:sz w:val="24"/>
                <w:szCs w:val="28"/>
              </w:rPr>
              <w:t>其他要求</w:t>
            </w:r>
          </w:p>
        </w:tc>
        <w:tc>
          <w:tcPr>
            <w:tcW w:w="3008" w:type="dxa"/>
            <w:noWrap w:val="0"/>
            <w:vAlign w:val="center"/>
          </w:tcPr>
          <w:p w14:paraId="606376BB">
            <w:pPr>
              <w:spacing w:line="420" w:lineRule="exact"/>
              <w:ind w:right="-11"/>
              <w:jc w:val="center"/>
              <w:rPr>
                <w:rFonts w:hint="eastAsia" w:ascii="宋体" w:hAnsi="宋体"/>
                <w:sz w:val="24"/>
                <w:szCs w:val="28"/>
              </w:rPr>
            </w:pPr>
            <w:r>
              <w:rPr>
                <w:rFonts w:hint="eastAsia" w:ascii="宋体" w:hAnsi="宋体"/>
                <w:sz w:val="24"/>
                <w:szCs w:val="28"/>
              </w:rPr>
              <w:t>上述指标中未列出，但国家相关法律法规或招标文件有明确规定的</w:t>
            </w:r>
          </w:p>
        </w:tc>
        <w:tc>
          <w:tcPr>
            <w:tcW w:w="819" w:type="dxa"/>
            <w:noWrap w:val="0"/>
            <w:vAlign w:val="center"/>
          </w:tcPr>
          <w:p w14:paraId="4648B313">
            <w:pPr>
              <w:adjustRightInd w:val="0"/>
              <w:snapToGrid w:val="0"/>
              <w:spacing w:line="420" w:lineRule="exact"/>
              <w:ind w:right="-11"/>
              <w:jc w:val="center"/>
              <w:rPr>
                <w:rFonts w:hint="eastAsia" w:ascii="宋体" w:hAnsi="宋体"/>
                <w:sz w:val="24"/>
              </w:rPr>
            </w:pPr>
          </w:p>
        </w:tc>
        <w:tc>
          <w:tcPr>
            <w:tcW w:w="2717" w:type="dxa"/>
            <w:noWrap w:val="0"/>
            <w:vAlign w:val="center"/>
          </w:tcPr>
          <w:p w14:paraId="248B583D">
            <w:pPr>
              <w:adjustRightInd w:val="0"/>
              <w:snapToGrid w:val="0"/>
              <w:spacing w:line="420" w:lineRule="exact"/>
              <w:ind w:right="-11"/>
              <w:jc w:val="center"/>
              <w:rPr>
                <w:rFonts w:hint="eastAsia" w:ascii="宋体" w:hAnsi="宋体"/>
                <w:sz w:val="24"/>
              </w:rPr>
            </w:pPr>
          </w:p>
        </w:tc>
      </w:tr>
      <w:tr w14:paraId="4215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1" w:type="dxa"/>
            <w:gridSpan w:val="5"/>
            <w:noWrap w:val="0"/>
            <w:vAlign w:val="center"/>
          </w:tcPr>
          <w:p w14:paraId="71E0E5B4">
            <w:pPr>
              <w:adjustRightInd w:val="0"/>
              <w:snapToGrid w:val="0"/>
              <w:spacing w:line="360" w:lineRule="auto"/>
              <w:ind w:right="-10"/>
              <w:jc w:val="left"/>
              <w:rPr>
                <w:rFonts w:hint="eastAsia" w:ascii="宋体" w:hAnsi="宋体"/>
                <w:sz w:val="24"/>
              </w:rPr>
            </w:pPr>
            <w:r>
              <w:rPr>
                <w:rFonts w:hint="eastAsia" w:ascii="宋体" w:hAnsi="宋体"/>
                <w:sz w:val="24"/>
              </w:rPr>
              <w:t>初审指标通过标准：投标人必须通过上述全部指标。</w:t>
            </w:r>
          </w:p>
          <w:p w14:paraId="315A6806">
            <w:pPr>
              <w:adjustRightInd w:val="0"/>
              <w:snapToGrid w:val="0"/>
              <w:spacing w:line="420" w:lineRule="exact"/>
              <w:ind w:right="-11"/>
              <w:jc w:val="left"/>
              <w:rPr>
                <w:rFonts w:hint="eastAsia" w:ascii="宋体" w:hAnsi="宋体"/>
                <w:sz w:val="24"/>
              </w:rPr>
            </w:pPr>
            <w:r>
              <w:rPr>
                <w:rFonts w:hint="eastAsia" w:ascii="宋体" w:hAnsi="宋体"/>
                <w:sz w:val="24"/>
              </w:rPr>
              <w:t>评标委员会根据表中所列各项指标对投标人是否为有效标进行评审，未列入上表中的指标不得作为废标依据。</w:t>
            </w:r>
          </w:p>
        </w:tc>
      </w:tr>
    </w:tbl>
    <w:p w14:paraId="4DAE329F">
      <w:pPr>
        <w:spacing w:line="360" w:lineRule="auto"/>
        <w:ind w:firstLine="480" w:firstLineChars="200"/>
        <w:rPr>
          <w:rFonts w:hint="eastAsia" w:ascii="宋体" w:hAnsi="宋体"/>
          <w:color w:val="000000"/>
          <w:sz w:val="24"/>
          <w:szCs w:val="24"/>
          <w:lang w:eastAsia="zh-CN"/>
        </w:rPr>
      </w:pPr>
    </w:p>
    <w:p w14:paraId="48054E7E">
      <w:pPr>
        <w:spacing w:line="360" w:lineRule="auto"/>
        <w:ind w:firstLine="482" w:firstLineChars="200"/>
        <w:jc w:val="left"/>
        <w:rPr>
          <w:rFonts w:hint="eastAsia" w:ascii="宋体" w:hAnsi="宋体" w:eastAsia="宋体"/>
          <w:b/>
          <w:bCs/>
          <w:color w:val="000000"/>
          <w:sz w:val="24"/>
          <w:szCs w:val="24"/>
          <w:lang w:eastAsia="zh-CN"/>
        </w:rPr>
      </w:pPr>
      <w:r>
        <w:rPr>
          <w:rFonts w:hint="eastAsia" w:ascii="宋体" w:hAnsi="宋体"/>
          <w:b/>
          <w:bCs/>
          <w:color w:val="000000"/>
          <w:sz w:val="24"/>
          <w:szCs w:val="24"/>
          <w:lang w:eastAsia="zh-CN"/>
        </w:rPr>
        <w:t>二、技术标详细评审</w:t>
      </w:r>
    </w:p>
    <w:p w14:paraId="544BB52B">
      <w:pPr>
        <w:adjustRightInd w:val="0"/>
        <w:snapToGrid w:val="0"/>
        <w:spacing w:line="360" w:lineRule="auto"/>
        <w:ind w:right="-10" w:firstLine="420" w:firstLineChars="175"/>
        <w:rPr>
          <w:rFonts w:hint="eastAsia" w:ascii="宋体" w:hAnsi="宋体"/>
          <w:bCs/>
          <w:sz w:val="24"/>
        </w:rPr>
      </w:pPr>
      <w:r>
        <w:rPr>
          <w:rFonts w:hint="eastAsia" w:ascii="宋体" w:hAnsi="宋体"/>
          <w:bCs/>
          <w:sz w:val="24"/>
        </w:rPr>
        <w:t>评标委员会将对所有通过初审的投标文件进行技术部分详细评审，技术部分详细评审包括设计方案评分和资信部分评分，具体如下：</w:t>
      </w:r>
    </w:p>
    <w:p w14:paraId="24B5C277">
      <w:pPr>
        <w:adjustRightInd w:val="0"/>
        <w:snapToGrid w:val="0"/>
        <w:spacing w:line="360" w:lineRule="auto"/>
        <w:ind w:right="-10" w:firstLine="422" w:firstLineChars="175"/>
        <w:rPr>
          <w:rFonts w:hint="eastAsia" w:ascii="宋体" w:hAnsi="宋体"/>
          <w:b/>
          <w:sz w:val="24"/>
        </w:rPr>
      </w:pPr>
      <w:r>
        <w:rPr>
          <w:rFonts w:hint="eastAsia" w:ascii="宋体" w:hAnsi="宋体"/>
          <w:b/>
          <w:bCs/>
          <w:sz w:val="24"/>
          <w:lang w:val="en-US" w:eastAsia="zh-CN"/>
        </w:rPr>
        <w:t>1.</w:t>
      </w:r>
      <w:r>
        <w:rPr>
          <w:rFonts w:hint="eastAsia" w:ascii="宋体" w:hAnsi="宋体"/>
          <w:b/>
          <w:sz w:val="24"/>
        </w:rPr>
        <w:t>设计方案评分</w:t>
      </w:r>
    </w:p>
    <w:p w14:paraId="377A9C1E">
      <w:pPr>
        <w:adjustRightInd w:val="0"/>
        <w:snapToGrid w:val="0"/>
        <w:spacing w:line="360" w:lineRule="auto"/>
        <w:ind w:right="-10" w:firstLine="480" w:firstLineChars="200"/>
        <w:rPr>
          <w:rFonts w:hint="eastAsia" w:ascii="宋体" w:hAnsi="宋体"/>
          <w:sz w:val="24"/>
        </w:rPr>
      </w:pPr>
      <w:r>
        <w:rPr>
          <w:rFonts w:ascii="宋体" w:hAnsi="宋体"/>
          <w:sz w:val="24"/>
        </w:rPr>
        <w:t>1.1</w:t>
      </w:r>
      <w:r>
        <w:rPr>
          <w:rFonts w:hint="eastAsia" w:ascii="宋体" w:hAnsi="宋体"/>
          <w:sz w:val="24"/>
        </w:rPr>
        <w:t>根据</w:t>
      </w:r>
      <w:r>
        <w:rPr>
          <w:rFonts w:hint="eastAsia" w:ascii="宋体" w:hAnsi="宋体"/>
          <w:sz w:val="24"/>
          <w:lang w:eastAsia="zh-CN"/>
        </w:rPr>
        <w:t>服务</w:t>
      </w:r>
      <w:r>
        <w:rPr>
          <w:rFonts w:hint="eastAsia" w:ascii="宋体" w:hAnsi="宋体"/>
          <w:sz w:val="24"/>
        </w:rPr>
        <w:t>方案的评分细则，评委应对进入详细评审的所有设计方案进行评分，并分别填写打分表。</w:t>
      </w:r>
    </w:p>
    <w:p w14:paraId="513731AD">
      <w:pPr>
        <w:adjustRightInd w:val="0"/>
        <w:snapToGrid w:val="0"/>
        <w:spacing w:line="360" w:lineRule="auto"/>
        <w:ind w:right="-10" w:firstLine="480" w:firstLineChars="200"/>
        <w:rPr>
          <w:rFonts w:hint="eastAsia" w:ascii="宋体" w:hAnsi="宋体"/>
          <w:sz w:val="24"/>
        </w:rPr>
      </w:pPr>
      <w:r>
        <w:rPr>
          <w:rFonts w:hint="eastAsia" w:ascii="宋体" w:hAnsi="宋体"/>
          <w:sz w:val="24"/>
        </w:rPr>
        <w:t>对某投标人的设计方案每一个分值项，逐项去掉各位评委中的1个最高分和1个最低分，求剩余专家评分之平均，得到该投标人该分值项的得分。</w:t>
      </w:r>
    </w:p>
    <w:p w14:paraId="28A3489C">
      <w:pPr>
        <w:adjustRightInd w:val="0"/>
        <w:snapToGrid w:val="0"/>
        <w:spacing w:line="360" w:lineRule="auto"/>
        <w:ind w:right="-10" w:firstLine="480" w:firstLineChars="200"/>
        <w:rPr>
          <w:rFonts w:ascii="宋体" w:hAnsi="宋体"/>
          <w:sz w:val="24"/>
        </w:rPr>
      </w:pPr>
      <w:r>
        <w:rPr>
          <w:rFonts w:hint="eastAsia" w:ascii="宋体" w:hAnsi="宋体"/>
          <w:sz w:val="24"/>
        </w:rPr>
        <w:t>将投标人每个</w:t>
      </w:r>
      <w:r>
        <w:rPr>
          <w:rFonts w:hint="eastAsia" w:ascii="宋体" w:hAnsi="宋体"/>
          <w:sz w:val="24"/>
          <w:lang w:eastAsia="zh-CN"/>
        </w:rPr>
        <w:t>服务</w:t>
      </w:r>
      <w:r>
        <w:rPr>
          <w:rFonts w:hint="eastAsia" w:ascii="宋体" w:hAnsi="宋体"/>
          <w:sz w:val="24"/>
        </w:rPr>
        <w:t>方案的分值项得分进行汇总，得到该投标人的</w:t>
      </w:r>
      <w:r>
        <w:rPr>
          <w:rFonts w:hint="eastAsia" w:ascii="宋体" w:hAnsi="宋体"/>
          <w:sz w:val="24"/>
          <w:lang w:eastAsia="zh-CN"/>
        </w:rPr>
        <w:t>服务</w:t>
      </w:r>
      <w:r>
        <w:rPr>
          <w:rFonts w:hint="eastAsia" w:ascii="宋体" w:hAnsi="宋体"/>
          <w:sz w:val="24"/>
        </w:rPr>
        <w:t>方案得分。</w:t>
      </w:r>
    </w:p>
    <w:p w14:paraId="3F4F2E0B">
      <w:pPr>
        <w:adjustRightInd w:val="0"/>
        <w:snapToGrid w:val="0"/>
        <w:spacing w:line="360" w:lineRule="auto"/>
        <w:ind w:right="-10" w:firstLine="480" w:firstLineChars="200"/>
        <w:rPr>
          <w:rFonts w:ascii="宋体" w:hAnsi="宋体"/>
          <w:bCs/>
          <w:sz w:val="24"/>
          <w:szCs w:val="24"/>
        </w:rPr>
      </w:pPr>
      <w:r>
        <w:rPr>
          <w:rFonts w:hint="eastAsia" w:ascii="宋体" w:hAnsi="宋体"/>
          <w:bCs/>
          <w:sz w:val="24"/>
          <w:szCs w:val="24"/>
        </w:rPr>
        <w:t>投标人的各项得分均保留小数点后两位（小数点后第三位四舍五入）。</w:t>
      </w:r>
    </w:p>
    <w:p w14:paraId="624CF96B">
      <w:pPr>
        <w:adjustRightInd w:val="0"/>
        <w:snapToGrid w:val="0"/>
        <w:spacing w:line="360" w:lineRule="auto"/>
        <w:ind w:right="-10" w:firstLine="480" w:firstLineChars="200"/>
        <w:rPr>
          <w:rFonts w:ascii="宋体" w:hAnsi="宋体"/>
          <w:sz w:val="24"/>
        </w:rPr>
      </w:pPr>
      <w:r>
        <w:rPr>
          <w:rFonts w:ascii="宋体" w:hAnsi="宋体"/>
          <w:sz w:val="24"/>
        </w:rPr>
        <w:t>1.2</w:t>
      </w:r>
      <w:r>
        <w:rPr>
          <w:rFonts w:hint="eastAsia" w:ascii="宋体" w:hAnsi="宋体"/>
          <w:sz w:val="24"/>
          <w:lang w:eastAsia="zh-CN"/>
        </w:rPr>
        <w:t>服务</w:t>
      </w:r>
      <w:r>
        <w:rPr>
          <w:rFonts w:hint="eastAsia" w:ascii="宋体" w:hAnsi="宋体"/>
          <w:sz w:val="24"/>
        </w:rPr>
        <w:t>方案详细评审指标如下：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93"/>
        <w:gridCol w:w="7329"/>
        <w:gridCol w:w="729"/>
      </w:tblGrid>
      <w:tr w14:paraId="4A97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623" w:type="dxa"/>
            <w:gridSpan w:val="4"/>
            <w:noWrap w:val="0"/>
            <w:vAlign w:val="center"/>
          </w:tcPr>
          <w:p w14:paraId="03010DD5">
            <w:pPr>
              <w:adjustRightInd w:val="0"/>
              <w:snapToGrid w:val="0"/>
              <w:spacing w:line="0" w:lineRule="atLeast"/>
              <w:jc w:val="center"/>
              <w:rPr>
                <w:rFonts w:ascii="宋体" w:hAnsi="宋体"/>
                <w:b/>
                <w:sz w:val="24"/>
                <w:szCs w:val="24"/>
              </w:rPr>
            </w:pPr>
            <w:r>
              <w:rPr>
                <w:rFonts w:hint="eastAsia" w:ascii="宋体" w:hAnsi="宋体"/>
                <w:b/>
                <w:sz w:val="24"/>
                <w:szCs w:val="24"/>
              </w:rPr>
              <w:t>方案详细评审表</w:t>
            </w:r>
          </w:p>
        </w:tc>
      </w:tr>
      <w:tr w14:paraId="4472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2" w:type="dxa"/>
            <w:noWrap w:val="0"/>
            <w:vAlign w:val="center"/>
          </w:tcPr>
          <w:p w14:paraId="7993167D">
            <w:pPr>
              <w:adjustRightInd w:val="0"/>
              <w:snapToGrid w:val="0"/>
              <w:spacing w:line="0" w:lineRule="atLeast"/>
              <w:jc w:val="center"/>
              <w:rPr>
                <w:rFonts w:ascii="宋体" w:hAnsi="宋体"/>
                <w:b/>
                <w:sz w:val="24"/>
                <w:szCs w:val="24"/>
              </w:rPr>
            </w:pPr>
            <w:r>
              <w:rPr>
                <w:rFonts w:hint="eastAsia" w:ascii="宋体" w:hAnsi="宋体"/>
                <w:b/>
                <w:sz w:val="24"/>
                <w:szCs w:val="24"/>
              </w:rPr>
              <w:t>序号</w:t>
            </w:r>
          </w:p>
        </w:tc>
        <w:tc>
          <w:tcPr>
            <w:tcW w:w="993" w:type="dxa"/>
            <w:noWrap w:val="0"/>
            <w:vAlign w:val="center"/>
          </w:tcPr>
          <w:p w14:paraId="15CD0C6A">
            <w:pPr>
              <w:adjustRightInd w:val="0"/>
              <w:snapToGrid w:val="0"/>
              <w:spacing w:line="0" w:lineRule="atLeast"/>
              <w:jc w:val="center"/>
              <w:rPr>
                <w:rFonts w:hint="eastAsia" w:ascii="宋体" w:hAnsi="宋体"/>
                <w:b/>
                <w:sz w:val="24"/>
                <w:szCs w:val="24"/>
              </w:rPr>
            </w:pPr>
            <w:r>
              <w:rPr>
                <w:rFonts w:hint="eastAsia" w:ascii="宋体" w:hAnsi="宋体"/>
                <w:b/>
                <w:sz w:val="24"/>
                <w:szCs w:val="24"/>
              </w:rPr>
              <w:t>指标</w:t>
            </w:r>
          </w:p>
        </w:tc>
        <w:tc>
          <w:tcPr>
            <w:tcW w:w="7329" w:type="dxa"/>
            <w:noWrap w:val="0"/>
            <w:vAlign w:val="center"/>
          </w:tcPr>
          <w:p w14:paraId="0D07C4C0">
            <w:pPr>
              <w:adjustRightInd w:val="0"/>
              <w:snapToGrid w:val="0"/>
              <w:spacing w:line="0" w:lineRule="atLeast"/>
              <w:ind w:firstLine="482" w:firstLineChars="200"/>
              <w:jc w:val="center"/>
              <w:rPr>
                <w:rFonts w:ascii="宋体" w:hAnsi="宋体"/>
                <w:b/>
                <w:sz w:val="24"/>
                <w:szCs w:val="24"/>
              </w:rPr>
            </w:pPr>
            <w:r>
              <w:rPr>
                <w:rFonts w:hint="eastAsia" w:ascii="宋体" w:hAnsi="宋体"/>
                <w:b/>
                <w:sz w:val="24"/>
                <w:szCs w:val="24"/>
              </w:rPr>
              <w:t>指标描述</w:t>
            </w:r>
          </w:p>
        </w:tc>
        <w:tc>
          <w:tcPr>
            <w:tcW w:w="729" w:type="dxa"/>
            <w:noWrap w:val="0"/>
            <w:vAlign w:val="center"/>
          </w:tcPr>
          <w:p w14:paraId="5ED5A7FA">
            <w:pPr>
              <w:adjustRightInd w:val="0"/>
              <w:snapToGrid w:val="0"/>
              <w:spacing w:line="0" w:lineRule="atLeast"/>
              <w:jc w:val="center"/>
              <w:rPr>
                <w:rFonts w:ascii="宋体" w:hAnsi="宋体"/>
                <w:b/>
                <w:sz w:val="24"/>
                <w:szCs w:val="24"/>
              </w:rPr>
            </w:pPr>
            <w:r>
              <w:rPr>
                <w:rFonts w:hint="eastAsia" w:ascii="宋体" w:hAnsi="宋体"/>
                <w:b/>
                <w:sz w:val="24"/>
                <w:szCs w:val="24"/>
              </w:rPr>
              <w:t>分值范围</w:t>
            </w:r>
          </w:p>
        </w:tc>
      </w:tr>
      <w:tr w14:paraId="2B22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572" w:type="dxa"/>
            <w:noWrap w:val="0"/>
            <w:vAlign w:val="center"/>
          </w:tcPr>
          <w:p w14:paraId="6A82CFBC">
            <w:pPr>
              <w:spacing w:line="0" w:lineRule="atLeast"/>
              <w:jc w:val="center"/>
              <w:rPr>
                <w:rFonts w:hint="eastAsia" w:ascii="宋体" w:hAnsi="宋体" w:eastAsia="宋体"/>
                <w:sz w:val="24"/>
                <w:lang w:val="en-US" w:eastAsia="zh-CN"/>
              </w:rPr>
            </w:pPr>
            <w:r>
              <w:rPr>
                <w:rFonts w:hint="eastAsia" w:ascii="宋体" w:hAnsi="宋体"/>
                <w:sz w:val="24"/>
                <w:lang w:val="en-US" w:eastAsia="zh-CN"/>
              </w:rPr>
              <w:t>1</w:t>
            </w:r>
          </w:p>
        </w:tc>
        <w:tc>
          <w:tcPr>
            <w:tcW w:w="993" w:type="dxa"/>
            <w:noWrap w:val="0"/>
            <w:vAlign w:val="center"/>
          </w:tcPr>
          <w:p w14:paraId="320EB4FF">
            <w:pPr>
              <w:adjustRightInd w:val="0"/>
              <w:snapToGrid w:val="0"/>
              <w:spacing w:line="360" w:lineRule="auto"/>
              <w:ind w:right="-10"/>
              <w:jc w:val="center"/>
              <w:rPr>
                <w:rFonts w:hint="default" w:ascii="宋体" w:hAnsi="宋体"/>
                <w:sz w:val="24"/>
                <w:lang w:val="en-US" w:eastAsia="zh-CN"/>
              </w:rPr>
            </w:pPr>
            <w:r>
              <w:rPr>
                <w:rFonts w:hint="eastAsia" w:ascii="宋体" w:hAnsi="宋体"/>
                <w:sz w:val="24"/>
                <w:lang w:val="en-US" w:eastAsia="zh-CN"/>
              </w:rPr>
              <w:t>法人资质</w:t>
            </w:r>
          </w:p>
        </w:tc>
        <w:tc>
          <w:tcPr>
            <w:tcW w:w="7329" w:type="dxa"/>
            <w:noWrap w:val="0"/>
            <w:vAlign w:val="center"/>
          </w:tcPr>
          <w:p w14:paraId="106B0004">
            <w:pPr>
              <w:adjustRightInd w:val="0"/>
              <w:snapToGrid w:val="0"/>
              <w:spacing w:line="360" w:lineRule="auto"/>
              <w:ind w:right="-10"/>
              <w:rPr>
                <w:rFonts w:hint="default" w:ascii="宋体" w:hAnsi="宋体"/>
                <w:sz w:val="24"/>
                <w:lang w:val="en-US" w:eastAsia="zh-CN"/>
              </w:rPr>
            </w:pPr>
            <w:r>
              <w:rPr>
                <w:rFonts w:hint="eastAsia" w:ascii="宋体" w:hAnsi="宋体"/>
                <w:sz w:val="24"/>
                <w:szCs w:val="24"/>
                <w:lang w:val="en-US" w:eastAsia="zh-CN"/>
              </w:rPr>
              <w:t>1.</w:t>
            </w:r>
            <w:r>
              <w:rPr>
                <w:rFonts w:hint="eastAsia" w:ascii="宋体" w:hAnsi="宋体"/>
                <w:color w:val="FF0000"/>
                <w:sz w:val="24"/>
                <w:szCs w:val="24"/>
                <w:lang w:val="en-US" w:eastAsia="zh-CN"/>
              </w:rPr>
              <w:t>具有在社会消防技术服务信息系统上注册的</w:t>
            </w:r>
            <w:r>
              <w:rPr>
                <w:rFonts w:hint="eastAsia" w:ascii="宋体" w:hAnsi="宋体" w:eastAsia="宋体" w:cs="Times New Roman"/>
                <w:color w:val="FF0000"/>
                <w:sz w:val="24"/>
                <w:szCs w:val="24"/>
                <w:lang w:val="en-US" w:eastAsia="zh-CN"/>
              </w:rPr>
              <w:t>消防设施维护保养检测/消防安全评估资质的法人单位及住建部门下发的消防设施专业承包贰级及以上资质的10分，本项满分10分。</w:t>
            </w:r>
          </w:p>
        </w:tc>
        <w:tc>
          <w:tcPr>
            <w:tcW w:w="729" w:type="dxa"/>
            <w:noWrap w:val="0"/>
            <w:vAlign w:val="center"/>
          </w:tcPr>
          <w:p w14:paraId="3663B72C">
            <w:pPr>
              <w:spacing w:line="360" w:lineRule="auto"/>
              <w:jc w:val="center"/>
              <w:rPr>
                <w:rFonts w:hint="default" w:ascii="宋体" w:hAnsi="宋体"/>
                <w:sz w:val="24"/>
                <w:lang w:val="en-US" w:eastAsia="zh-CN"/>
              </w:rPr>
            </w:pPr>
            <w:r>
              <w:rPr>
                <w:rFonts w:hint="eastAsia" w:ascii="宋体" w:hAnsi="宋体"/>
                <w:color w:val="FF0000"/>
                <w:sz w:val="24"/>
                <w:lang w:val="en-US" w:eastAsia="zh-CN"/>
              </w:rPr>
              <w:t>0-10分</w:t>
            </w:r>
          </w:p>
        </w:tc>
      </w:tr>
      <w:tr w14:paraId="56FF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572" w:type="dxa"/>
            <w:noWrap w:val="0"/>
            <w:vAlign w:val="center"/>
          </w:tcPr>
          <w:p w14:paraId="1E5DA6AF">
            <w:pPr>
              <w:spacing w:line="0" w:lineRule="atLeast"/>
              <w:jc w:val="center"/>
              <w:rPr>
                <w:rFonts w:hint="default" w:ascii="宋体" w:hAnsi="宋体"/>
                <w:color w:val="FF0000"/>
                <w:sz w:val="24"/>
                <w:lang w:val="en-US" w:eastAsia="zh-CN"/>
              </w:rPr>
            </w:pPr>
            <w:r>
              <w:rPr>
                <w:rFonts w:hint="eastAsia" w:ascii="宋体" w:hAnsi="宋体"/>
                <w:color w:val="FF0000"/>
                <w:sz w:val="24"/>
                <w:lang w:val="en-US" w:eastAsia="zh-CN"/>
              </w:rPr>
              <w:t>2</w:t>
            </w:r>
          </w:p>
        </w:tc>
        <w:tc>
          <w:tcPr>
            <w:tcW w:w="993" w:type="dxa"/>
            <w:noWrap w:val="0"/>
            <w:vAlign w:val="center"/>
          </w:tcPr>
          <w:p w14:paraId="7F6B671B">
            <w:pPr>
              <w:adjustRightInd w:val="0"/>
              <w:snapToGrid w:val="0"/>
              <w:spacing w:line="360" w:lineRule="auto"/>
              <w:ind w:right="-10"/>
              <w:jc w:val="center"/>
              <w:rPr>
                <w:rFonts w:hint="default" w:ascii="宋体" w:hAnsi="宋体"/>
                <w:color w:val="FF0000"/>
                <w:sz w:val="24"/>
                <w:lang w:val="en-US" w:eastAsia="zh-CN"/>
              </w:rPr>
            </w:pPr>
            <w:r>
              <w:rPr>
                <w:rFonts w:hint="eastAsia" w:ascii="宋体" w:hAnsi="宋体"/>
                <w:color w:val="FF0000"/>
                <w:sz w:val="24"/>
                <w:lang w:val="en-US" w:eastAsia="zh-CN"/>
              </w:rPr>
              <w:t>项目经理资质</w:t>
            </w:r>
          </w:p>
        </w:tc>
        <w:tc>
          <w:tcPr>
            <w:tcW w:w="7329" w:type="dxa"/>
            <w:noWrap w:val="0"/>
            <w:vAlign w:val="center"/>
          </w:tcPr>
          <w:p w14:paraId="38A76328">
            <w:pPr>
              <w:adjustRightInd w:val="0"/>
              <w:snapToGrid w:val="0"/>
              <w:spacing w:line="360" w:lineRule="auto"/>
              <w:ind w:right="-10"/>
              <w:rPr>
                <w:rFonts w:hint="default" w:ascii="宋体" w:hAnsi="宋体" w:eastAsia="宋体" w:cs="Times New Roman"/>
                <w:color w:val="FF0000"/>
                <w:sz w:val="24"/>
                <w:szCs w:val="24"/>
                <w:lang w:val="en-US" w:eastAsia="zh-CN"/>
              </w:rPr>
            </w:pPr>
            <w:r>
              <w:rPr>
                <w:rFonts w:hint="eastAsia" w:ascii="宋体" w:hAnsi="宋体" w:eastAsia="宋体" w:cs="Times New Roman"/>
                <w:color w:val="FF0000"/>
                <w:sz w:val="24"/>
                <w:szCs w:val="24"/>
                <w:lang w:val="en-US" w:eastAsia="zh-CN"/>
              </w:rPr>
              <w:t>1.本项目项目经理具有注册</w:t>
            </w:r>
            <w:r>
              <w:rPr>
                <w:rFonts w:hint="eastAsia" w:ascii="宋体" w:hAnsi="宋体" w:cs="Times New Roman"/>
                <w:color w:val="FF0000"/>
                <w:sz w:val="24"/>
                <w:szCs w:val="24"/>
                <w:lang w:val="en-US" w:eastAsia="zh-CN"/>
              </w:rPr>
              <w:t>一级</w:t>
            </w:r>
            <w:r>
              <w:rPr>
                <w:rFonts w:hint="eastAsia" w:ascii="宋体" w:hAnsi="宋体" w:eastAsia="宋体" w:cs="Times New Roman"/>
                <w:color w:val="FF0000"/>
                <w:sz w:val="24"/>
                <w:szCs w:val="24"/>
                <w:lang w:val="en-US" w:eastAsia="zh-CN"/>
              </w:rPr>
              <w:t>消防工程师资质</w:t>
            </w:r>
            <w:r>
              <w:rPr>
                <w:rFonts w:hint="eastAsia" w:ascii="宋体" w:hAnsi="宋体" w:cs="Times New Roman"/>
                <w:color w:val="FF0000"/>
                <w:sz w:val="24"/>
                <w:szCs w:val="24"/>
                <w:lang w:val="en-US" w:eastAsia="zh-CN"/>
              </w:rPr>
              <w:t>证书</w:t>
            </w:r>
            <w:r>
              <w:rPr>
                <w:rFonts w:hint="eastAsia" w:ascii="宋体" w:hAnsi="宋体" w:eastAsia="宋体" w:cs="Times New Roman"/>
                <w:color w:val="FF0000"/>
                <w:sz w:val="24"/>
                <w:szCs w:val="24"/>
                <w:lang w:val="en-US" w:eastAsia="zh-CN"/>
              </w:rPr>
              <w:t>得5分。</w:t>
            </w:r>
          </w:p>
          <w:p w14:paraId="23331A41">
            <w:pPr>
              <w:adjustRightInd w:val="0"/>
              <w:snapToGrid w:val="0"/>
              <w:spacing w:line="360" w:lineRule="auto"/>
              <w:ind w:right="-10"/>
              <w:rPr>
                <w:rFonts w:hint="default" w:ascii="宋体" w:hAnsi="宋体"/>
                <w:color w:val="FF0000"/>
                <w:sz w:val="24"/>
                <w:lang w:val="en-US" w:eastAsia="zh-CN"/>
              </w:rPr>
            </w:pPr>
            <w:r>
              <w:rPr>
                <w:rFonts w:hint="eastAsia" w:ascii="宋体" w:hAnsi="宋体" w:eastAsia="宋体" w:cs="Times New Roman"/>
                <w:color w:val="FF0000"/>
                <w:sz w:val="24"/>
                <w:szCs w:val="24"/>
                <w:lang w:val="en-US" w:eastAsia="zh-CN"/>
              </w:rPr>
              <w:t>2.本项目项目经理具有注册消防工程师资质及二级建造师（机电专业）及以上资质得10分，本项满分10分。</w:t>
            </w:r>
          </w:p>
        </w:tc>
        <w:tc>
          <w:tcPr>
            <w:tcW w:w="729" w:type="dxa"/>
            <w:noWrap w:val="0"/>
            <w:vAlign w:val="center"/>
          </w:tcPr>
          <w:p w14:paraId="34C4C94F">
            <w:pPr>
              <w:spacing w:line="360" w:lineRule="auto"/>
              <w:jc w:val="center"/>
              <w:rPr>
                <w:rFonts w:hint="default" w:ascii="宋体" w:hAnsi="宋体"/>
                <w:color w:val="FF0000"/>
                <w:sz w:val="24"/>
                <w:lang w:val="en-US" w:eastAsia="zh-CN"/>
              </w:rPr>
            </w:pPr>
            <w:r>
              <w:rPr>
                <w:rFonts w:hint="eastAsia" w:ascii="宋体" w:hAnsi="宋体"/>
                <w:color w:val="FF0000"/>
                <w:sz w:val="24"/>
                <w:lang w:val="en-US" w:eastAsia="zh-CN"/>
              </w:rPr>
              <w:t>0-10分</w:t>
            </w:r>
          </w:p>
        </w:tc>
      </w:tr>
      <w:tr w14:paraId="7E1E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572" w:type="dxa"/>
            <w:noWrap w:val="0"/>
            <w:vAlign w:val="center"/>
          </w:tcPr>
          <w:p w14:paraId="1021AA2D">
            <w:pPr>
              <w:spacing w:line="0" w:lineRule="atLeast"/>
              <w:jc w:val="center"/>
              <w:rPr>
                <w:rFonts w:hint="eastAsia" w:ascii="宋体" w:hAnsi="宋体" w:eastAsia="宋体"/>
                <w:b/>
                <w:sz w:val="24"/>
                <w:lang w:eastAsia="zh-CN"/>
              </w:rPr>
            </w:pPr>
            <w:r>
              <w:rPr>
                <w:rFonts w:hint="eastAsia" w:ascii="宋体" w:hAnsi="宋体"/>
                <w:sz w:val="24"/>
                <w:lang w:val="en-US" w:eastAsia="zh-CN"/>
              </w:rPr>
              <w:t>3</w:t>
            </w:r>
          </w:p>
        </w:tc>
        <w:tc>
          <w:tcPr>
            <w:tcW w:w="993" w:type="dxa"/>
            <w:noWrap w:val="0"/>
            <w:vAlign w:val="center"/>
          </w:tcPr>
          <w:p w14:paraId="43708C13">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eastAsia="zh-CN"/>
              </w:rPr>
              <w:t>业绩</w:t>
            </w:r>
          </w:p>
        </w:tc>
        <w:tc>
          <w:tcPr>
            <w:tcW w:w="7329" w:type="dxa"/>
            <w:noWrap w:val="0"/>
            <w:vAlign w:val="center"/>
          </w:tcPr>
          <w:p w14:paraId="7A8595E7">
            <w:pPr>
              <w:adjustRightInd w:val="0"/>
              <w:snapToGrid w:val="0"/>
              <w:spacing w:line="360" w:lineRule="auto"/>
              <w:ind w:right="-10"/>
              <w:rPr>
                <w:rFonts w:hint="default" w:ascii="宋体" w:hAnsi="宋体" w:eastAsia="宋体"/>
                <w:sz w:val="24"/>
                <w:lang w:val="en-US" w:eastAsia="zh-CN"/>
              </w:rPr>
            </w:pPr>
            <w:r>
              <w:rPr>
                <w:rFonts w:hint="eastAsia" w:ascii="宋体" w:hAnsi="宋体"/>
                <w:sz w:val="24"/>
                <w:lang w:val="en-US" w:eastAsia="zh-CN"/>
              </w:rPr>
              <w:t>自2020年1月1日以来（以合同签订日期为准），</w:t>
            </w:r>
            <w:r>
              <w:rPr>
                <w:rFonts w:hint="eastAsia" w:ascii="宋体" w:hAnsi="宋体"/>
                <w:sz w:val="24"/>
                <w:szCs w:val="24"/>
              </w:rPr>
              <w:t>投标人</w:t>
            </w:r>
            <w:r>
              <w:rPr>
                <w:rFonts w:hint="eastAsia" w:ascii="宋体" w:hAnsi="宋体"/>
                <w:sz w:val="24"/>
                <w:szCs w:val="24"/>
                <w:lang w:eastAsia="zh-CN"/>
              </w:rPr>
              <w:t>提供</w:t>
            </w:r>
            <w:r>
              <w:rPr>
                <w:rFonts w:hint="eastAsia" w:ascii="宋体" w:hAnsi="宋体"/>
                <w:sz w:val="24"/>
                <w:szCs w:val="24"/>
              </w:rPr>
              <w:t>在中华人民共和国境内（不含港澳台地区）单个合同金额不少于</w:t>
            </w:r>
            <w:r>
              <w:rPr>
                <w:rFonts w:hint="eastAsia" w:ascii="宋体" w:hAnsi="宋体"/>
                <w:sz w:val="24"/>
                <w:szCs w:val="24"/>
                <w:lang w:val="en-US" w:eastAsia="zh-CN"/>
              </w:rPr>
              <w:t>10</w:t>
            </w:r>
            <w:r>
              <w:rPr>
                <w:rFonts w:hint="eastAsia" w:ascii="宋体" w:hAnsi="宋体"/>
                <w:sz w:val="24"/>
                <w:szCs w:val="24"/>
              </w:rPr>
              <w:t>万元的</w:t>
            </w:r>
            <w:r>
              <w:rPr>
                <w:rFonts w:hint="eastAsia" w:ascii="宋体" w:hAnsi="宋体"/>
                <w:color w:val="000000"/>
                <w:kern w:val="0"/>
                <w:sz w:val="24"/>
                <w:lang w:val="zh-CN"/>
              </w:rPr>
              <w:t>消防维保业绩，每提供</w:t>
            </w:r>
            <w:r>
              <w:rPr>
                <w:rFonts w:hint="eastAsia" w:ascii="宋体" w:hAnsi="宋体"/>
                <w:color w:val="000000"/>
                <w:kern w:val="0"/>
                <w:sz w:val="24"/>
                <w:lang w:val="en-US" w:eastAsia="zh-CN"/>
              </w:rPr>
              <w:t>1个得3分，本项满分12分。</w:t>
            </w:r>
          </w:p>
        </w:tc>
        <w:tc>
          <w:tcPr>
            <w:tcW w:w="729" w:type="dxa"/>
            <w:noWrap w:val="0"/>
            <w:vAlign w:val="center"/>
          </w:tcPr>
          <w:p w14:paraId="0C205E82">
            <w:pPr>
              <w:spacing w:line="360" w:lineRule="auto"/>
              <w:jc w:val="center"/>
              <w:rPr>
                <w:rFonts w:hint="default" w:ascii="宋体" w:hAnsi="宋体" w:eastAsia="宋体"/>
                <w:sz w:val="24"/>
                <w:lang w:val="en-US" w:eastAsia="zh-CN"/>
              </w:rPr>
            </w:pPr>
            <w:r>
              <w:rPr>
                <w:rFonts w:hint="eastAsia" w:ascii="宋体" w:hAnsi="宋体"/>
                <w:sz w:val="24"/>
                <w:lang w:val="en-US" w:eastAsia="zh-CN"/>
              </w:rPr>
              <w:t>0-12分</w:t>
            </w:r>
          </w:p>
        </w:tc>
      </w:tr>
      <w:tr w14:paraId="239C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572" w:type="dxa"/>
            <w:noWrap w:val="0"/>
            <w:vAlign w:val="center"/>
          </w:tcPr>
          <w:p w14:paraId="3BBBFF66">
            <w:pPr>
              <w:spacing w:line="0" w:lineRule="atLeast"/>
              <w:jc w:val="center"/>
              <w:rPr>
                <w:rFonts w:hint="eastAsia" w:ascii="宋体" w:hAnsi="宋体" w:eastAsia="宋体"/>
                <w:sz w:val="24"/>
                <w:lang w:eastAsia="zh-CN"/>
              </w:rPr>
            </w:pPr>
            <w:r>
              <w:rPr>
                <w:rFonts w:hint="eastAsia" w:ascii="宋体" w:hAnsi="宋体"/>
                <w:sz w:val="24"/>
                <w:lang w:val="en-US" w:eastAsia="zh-CN"/>
              </w:rPr>
              <w:t>4</w:t>
            </w:r>
          </w:p>
        </w:tc>
        <w:tc>
          <w:tcPr>
            <w:tcW w:w="993" w:type="dxa"/>
            <w:noWrap w:val="0"/>
            <w:vAlign w:val="center"/>
          </w:tcPr>
          <w:p w14:paraId="718056F9">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eastAsia="zh-CN"/>
              </w:rPr>
              <w:t>现场配备人员</w:t>
            </w:r>
          </w:p>
        </w:tc>
        <w:tc>
          <w:tcPr>
            <w:tcW w:w="7329" w:type="dxa"/>
            <w:noWrap w:val="0"/>
            <w:vAlign w:val="center"/>
          </w:tcPr>
          <w:p w14:paraId="46906D3B">
            <w:pPr>
              <w:adjustRightInd w:val="0"/>
              <w:snapToGrid w:val="0"/>
              <w:spacing w:line="360" w:lineRule="auto"/>
              <w:ind w:right="-10"/>
              <w:rPr>
                <w:rFonts w:hint="eastAsia" w:ascii="宋体" w:hAnsi="宋体" w:eastAsia="宋体"/>
                <w:sz w:val="24"/>
                <w:lang w:eastAsia="zh-CN"/>
              </w:rPr>
            </w:pPr>
            <w:r>
              <w:rPr>
                <w:rFonts w:hint="eastAsia" w:ascii="宋体" w:hAnsi="宋体"/>
                <w:sz w:val="24"/>
                <w:lang w:eastAsia="zh-CN"/>
              </w:rPr>
              <w:t>承诺提供四个具备中级消防员资质的现场操作员的得</w:t>
            </w:r>
            <w:r>
              <w:rPr>
                <w:rFonts w:hint="eastAsia" w:ascii="宋体" w:hAnsi="宋体"/>
                <w:sz w:val="24"/>
                <w:lang w:val="en-US" w:eastAsia="zh-CN"/>
              </w:rPr>
              <w:t>6</w:t>
            </w:r>
            <w:r>
              <w:rPr>
                <w:rFonts w:hint="eastAsia" w:ascii="宋体" w:hAnsi="宋体"/>
                <w:sz w:val="24"/>
                <w:lang w:eastAsia="zh-CN"/>
              </w:rPr>
              <w:t>分，提供五个具备中级消防员资质的现场操作员的得</w:t>
            </w:r>
            <w:r>
              <w:rPr>
                <w:rFonts w:hint="eastAsia" w:ascii="宋体" w:hAnsi="宋体"/>
                <w:sz w:val="24"/>
                <w:lang w:val="en-US" w:eastAsia="zh-CN"/>
              </w:rPr>
              <w:t>8</w:t>
            </w:r>
            <w:r>
              <w:rPr>
                <w:rFonts w:hint="eastAsia" w:ascii="宋体" w:hAnsi="宋体"/>
                <w:sz w:val="24"/>
                <w:lang w:eastAsia="zh-CN"/>
              </w:rPr>
              <w:t>分，提供六个及以上具备中级消防员资质的现场操作员的得</w:t>
            </w:r>
            <w:r>
              <w:rPr>
                <w:rFonts w:hint="eastAsia" w:ascii="宋体" w:hAnsi="宋体"/>
                <w:sz w:val="24"/>
                <w:lang w:val="en-US" w:eastAsia="zh-CN"/>
              </w:rPr>
              <w:t>10</w:t>
            </w:r>
            <w:r>
              <w:rPr>
                <w:rFonts w:hint="eastAsia" w:ascii="宋体" w:hAnsi="宋体"/>
                <w:sz w:val="24"/>
                <w:lang w:eastAsia="zh-CN"/>
              </w:rPr>
              <w:t>分，需</w:t>
            </w:r>
            <w:r>
              <w:rPr>
                <w:rFonts w:hint="eastAsia" w:ascii="宋体" w:hAnsi="宋体"/>
                <w:sz w:val="24"/>
                <w:lang w:val="en-US" w:eastAsia="zh-CN"/>
              </w:rPr>
              <w:t>提供2023年6月至今社保证明，且社会消防技术服务信息系统可查。</w:t>
            </w:r>
          </w:p>
        </w:tc>
        <w:tc>
          <w:tcPr>
            <w:tcW w:w="729" w:type="dxa"/>
            <w:noWrap w:val="0"/>
            <w:vAlign w:val="center"/>
          </w:tcPr>
          <w:p w14:paraId="6CE990AA">
            <w:pPr>
              <w:spacing w:line="360" w:lineRule="auto"/>
              <w:jc w:val="center"/>
              <w:rPr>
                <w:rFonts w:hint="default" w:ascii="宋体" w:hAnsi="宋体" w:eastAsia="宋体"/>
                <w:sz w:val="24"/>
                <w:lang w:val="en-US" w:eastAsia="zh-CN"/>
              </w:rPr>
            </w:pPr>
            <w:r>
              <w:rPr>
                <w:rFonts w:hint="eastAsia" w:ascii="宋体" w:hAnsi="宋体"/>
                <w:sz w:val="24"/>
                <w:lang w:val="en-US" w:eastAsia="zh-CN"/>
              </w:rPr>
              <w:t>0-10分</w:t>
            </w:r>
          </w:p>
        </w:tc>
      </w:tr>
      <w:tr w14:paraId="180F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572" w:type="dxa"/>
            <w:noWrap w:val="0"/>
            <w:vAlign w:val="center"/>
          </w:tcPr>
          <w:p w14:paraId="23BF6CD5">
            <w:pPr>
              <w:spacing w:line="0" w:lineRule="atLeast"/>
              <w:jc w:val="center"/>
              <w:rPr>
                <w:rFonts w:hint="eastAsia" w:ascii="宋体" w:hAnsi="宋体" w:eastAsia="宋体"/>
                <w:b/>
                <w:sz w:val="24"/>
                <w:lang w:val="en-US" w:eastAsia="zh-CN"/>
              </w:rPr>
            </w:pPr>
            <w:r>
              <w:rPr>
                <w:rFonts w:hint="eastAsia" w:ascii="宋体" w:hAnsi="宋体"/>
                <w:b/>
                <w:sz w:val="24"/>
                <w:lang w:val="en-US" w:eastAsia="zh-CN"/>
              </w:rPr>
              <w:t>5</w:t>
            </w:r>
          </w:p>
        </w:tc>
        <w:tc>
          <w:tcPr>
            <w:tcW w:w="993" w:type="dxa"/>
            <w:noWrap w:val="0"/>
            <w:vAlign w:val="center"/>
          </w:tcPr>
          <w:p w14:paraId="5A670C8C">
            <w:pPr>
              <w:spacing w:line="360" w:lineRule="auto"/>
              <w:jc w:val="center"/>
              <w:rPr>
                <w:rFonts w:hint="eastAsia" w:ascii="宋体" w:hAnsi="宋体" w:eastAsia="宋体"/>
                <w:sz w:val="24"/>
                <w:lang w:eastAsia="zh-CN"/>
              </w:rPr>
            </w:pPr>
            <w:r>
              <w:rPr>
                <w:rFonts w:hint="eastAsia" w:ascii="宋体" w:hAnsi="宋体"/>
                <w:sz w:val="24"/>
                <w:lang w:eastAsia="zh-CN"/>
              </w:rPr>
              <w:t>维护保养技术方案</w:t>
            </w:r>
          </w:p>
        </w:tc>
        <w:tc>
          <w:tcPr>
            <w:tcW w:w="7329" w:type="dxa"/>
            <w:noWrap w:val="0"/>
            <w:vAlign w:val="center"/>
          </w:tcPr>
          <w:p w14:paraId="1AEDE8AC">
            <w:pPr>
              <w:spacing w:line="360" w:lineRule="auto"/>
              <w:rPr>
                <w:rFonts w:hint="default" w:ascii="宋体" w:hAnsi="宋体" w:eastAsia="宋体"/>
                <w:b/>
                <w:sz w:val="24"/>
                <w:lang w:val="en-US" w:eastAsia="zh-CN"/>
              </w:rPr>
            </w:pPr>
            <w:r>
              <w:rPr>
                <w:rFonts w:hint="eastAsia" w:ascii="宋体" w:hAnsi="宋体"/>
                <w:b/>
                <w:sz w:val="24"/>
                <w:lang w:eastAsia="zh-CN"/>
              </w:rPr>
              <w:t>评标委员会依据实际现场情况对维保方案进行评审，优秀的得</w:t>
            </w:r>
            <w:r>
              <w:rPr>
                <w:rFonts w:hint="eastAsia" w:ascii="宋体" w:hAnsi="宋体"/>
                <w:b/>
                <w:sz w:val="24"/>
                <w:lang w:val="en-US" w:eastAsia="zh-CN"/>
              </w:rPr>
              <w:t>15≤F≤20分，一般的得8≤F&lt;15分，较差的得0≤F&lt;8分。</w:t>
            </w:r>
          </w:p>
        </w:tc>
        <w:tc>
          <w:tcPr>
            <w:tcW w:w="729" w:type="dxa"/>
            <w:noWrap w:val="0"/>
            <w:vAlign w:val="center"/>
          </w:tcPr>
          <w:p w14:paraId="457F0E62">
            <w:pPr>
              <w:spacing w:line="360" w:lineRule="auto"/>
              <w:jc w:val="center"/>
              <w:rPr>
                <w:rFonts w:hint="default" w:ascii="宋体" w:hAnsi="宋体" w:eastAsia="宋体"/>
                <w:sz w:val="24"/>
                <w:lang w:val="en-US" w:eastAsia="zh-CN"/>
              </w:rPr>
            </w:pPr>
            <w:r>
              <w:rPr>
                <w:rFonts w:hint="eastAsia" w:ascii="宋体" w:hAnsi="宋体"/>
                <w:sz w:val="24"/>
                <w:lang w:val="en-US" w:eastAsia="zh-CN"/>
              </w:rPr>
              <w:t>0-20分</w:t>
            </w:r>
          </w:p>
        </w:tc>
      </w:tr>
      <w:tr w14:paraId="000D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572" w:type="dxa"/>
            <w:noWrap w:val="0"/>
            <w:vAlign w:val="center"/>
          </w:tcPr>
          <w:p w14:paraId="118ED650">
            <w:pPr>
              <w:spacing w:line="0" w:lineRule="atLeast"/>
              <w:jc w:val="center"/>
              <w:rPr>
                <w:rFonts w:hint="default" w:ascii="宋体" w:hAnsi="宋体" w:eastAsia="宋体"/>
                <w:sz w:val="24"/>
                <w:lang w:val="en-US" w:eastAsia="zh-CN"/>
              </w:rPr>
            </w:pPr>
            <w:r>
              <w:rPr>
                <w:rFonts w:hint="eastAsia" w:ascii="宋体" w:hAnsi="宋体"/>
                <w:sz w:val="24"/>
                <w:lang w:val="en-US" w:eastAsia="zh-CN"/>
              </w:rPr>
              <w:t>6</w:t>
            </w:r>
          </w:p>
        </w:tc>
        <w:tc>
          <w:tcPr>
            <w:tcW w:w="993" w:type="dxa"/>
            <w:noWrap w:val="0"/>
            <w:vAlign w:val="center"/>
          </w:tcPr>
          <w:p w14:paraId="499E3CD8">
            <w:pPr>
              <w:spacing w:line="264" w:lineRule="auto"/>
              <w:jc w:val="center"/>
              <w:rPr>
                <w:rFonts w:hint="eastAsia" w:ascii="宋体" w:hAnsi="宋体" w:eastAsia="宋体"/>
                <w:sz w:val="24"/>
                <w:lang w:eastAsia="zh-CN"/>
              </w:rPr>
            </w:pPr>
            <w:r>
              <w:rPr>
                <w:rFonts w:hint="eastAsia" w:ascii="宋体" w:hAnsi="宋体"/>
                <w:sz w:val="24"/>
                <w:lang w:eastAsia="zh-CN"/>
              </w:rPr>
              <w:t>设施设备</w:t>
            </w:r>
          </w:p>
        </w:tc>
        <w:tc>
          <w:tcPr>
            <w:tcW w:w="7329" w:type="dxa"/>
            <w:noWrap w:val="0"/>
            <w:vAlign w:val="center"/>
          </w:tcPr>
          <w:p w14:paraId="176FDD9E">
            <w:pPr>
              <w:pStyle w:val="14"/>
              <w:rPr>
                <w:rFonts w:hint="eastAsia" w:ascii="宋体" w:hAnsi="宋体" w:eastAsia="宋体"/>
                <w:sz w:val="24"/>
                <w:lang w:eastAsia="zh-CN"/>
              </w:rPr>
            </w:pPr>
            <w:r>
              <w:rPr>
                <w:rFonts w:hint="eastAsia" w:ascii="宋体" w:hAnsi="宋体"/>
                <w:sz w:val="24"/>
                <w:lang w:eastAsia="zh-CN"/>
              </w:rPr>
              <w:t>评标委员会依据投标人提供的消防维保设施设备情况打分，</w:t>
            </w:r>
            <w:r>
              <w:rPr>
                <w:rFonts w:hint="eastAsia" w:ascii="宋体" w:hAnsi="宋体"/>
                <w:b/>
                <w:sz w:val="24"/>
                <w:lang w:eastAsia="zh-CN"/>
              </w:rPr>
              <w:t>优秀的得</w:t>
            </w:r>
            <w:r>
              <w:rPr>
                <w:rFonts w:hint="eastAsia" w:ascii="宋体" w:hAnsi="宋体"/>
                <w:b/>
                <w:sz w:val="24"/>
                <w:lang w:val="en-US" w:eastAsia="zh-CN"/>
              </w:rPr>
              <w:t>8≤F≤10分，一般的得6≤F&lt;8分，较差的得0≤F&lt;6分。</w:t>
            </w:r>
          </w:p>
        </w:tc>
        <w:tc>
          <w:tcPr>
            <w:tcW w:w="729" w:type="dxa"/>
            <w:noWrap w:val="0"/>
            <w:vAlign w:val="center"/>
          </w:tcPr>
          <w:p w14:paraId="7220537A">
            <w:pPr>
              <w:spacing w:line="360" w:lineRule="auto"/>
              <w:jc w:val="center"/>
              <w:rPr>
                <w:rFonts w:hint="default" w:ascii="宋体" w:hAnsi="宋体" w:eastAsia="宋体"/>
                <w:sz w:val="24"/>
                <w:lang w:val="en-US" w:eastAsia="zh-CN"/>
              </w:rPr>
            </w:pPr>
            <w:r>
              <w:rPr>
                <w:rFonts w:hint="eastAsia" w:ascii="宋体" w:hAnsi="宋体" w:eastAsia="宋体"/>
                <w:sz w:val="24"/>
                <w:lang w:val="en-US" w:eastAsia="zh-CN"/>
              </w:rPr>
              <w:t>0-</w:t>
            </w:r>
            <w:r>
              <w:rPr>
                <w:rFonts w:hint="eastAsia" w:ascii="宋体" w:hAnsi="宋体"/>
                <w:sz w:val="24"/>
                <w:lang w:val="en-US" w:eastAsia="zh-CN"/>
              </w:rPr>
              <w:t>10</w:t>
            </w:r>
            <w:r>
              <w:rPr>
                <w:rFonts w:hint="eastAsia" w:ascii="宋体" w:hAnsi="宋体" w:eastAsia="宋体"/>
                <w:sz w:val="24"/>
                <w:lang w:val="en-US" w:eastAsia="zh-CN"/>
              </w:rPr>
              <w:t>分</w:t>
            </w:r>
          </w:p>
        </w:tc>
      </w:tr>
      <w:tr w14:paraId="0E06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572" w:type="dxa"/>
            <w:noWrap w:val="0"/>
            <w:vAlign w:val="center"/>
          </w:tcPr>
          <w:p w14:paraId="1492DCC7">
            <w:pPr>
              <w:spacing w:line="0" w:lineRule="atLeast"/>
              <w:jc w:val="center"/>
              <w:rPr>
                <w:rFonts w:hint="eastAsia" w:ascii="宋体" w:hAnsi="宋体" w:eastAsia="宋体"/>
                <w:sz w:val="24"/>
                <w:lang w:val="en-US" w:eastAsia="zh-CN"/>
              </w:rPr>
            </w:pPr>
            <w:r>
              <w:rPr>
                <w:rFonts w:hint="eastAsia" w:ascii="宋体" w:hAnsi="宋体"/>
                <w:sz w:val="24"/>
                <w:lang w:val="en-US" w:eastAsia="zh-CN"/>
              </w:rPr>
              <w:t>7</w:t>
            </w:r>
          </w:p>
        </w:tc>
        <w:tc>
          <w:tcPr>
            <w:tcW w:w="993" w:type="dxa"/>
            <w:noWrap w:val="0"/>
            <w:vAlign w:val="center"/>
          </w:tcPr>
          <w:p w14:paraId="5DD84DDA">
            <w:pPr>
              <w:spacing w:line="0" w:lineRule="atLeast"/>
              <w:jc w:val="center"/>
              <w:rPr>
                <w:rFonts w:hint="eastAsia" w:ascii="宋体" w:hAnsi="宋体" w:eastAsia="宋体"/>
                <w:sz w:val="24"/>
                <w:lang w:eastAsia="zh-CN"/>
              </w:rPr>
            </w:pPr>
            <w:r>
              <w:rPr>
                <w:rFonts w:hint="eastAsia" w:ascii="宋体" w:hAnsi="宋体"/>
                <w:sz w:val="24"/>
                <w:lang w:eastAsia="zh-CN"/>
              </w:rPr>
              <w:t>服务质量保证措施</w:t>
            </w:r>
          </w:p>
        </w:tc>
        <w:tc>
          <w:tcPr>
            <w:tcW w:w="7329" w:type="dxa"/>
            <w:noWrap w:val="0"/>
            <w:vAlign w:val="center"/>
          </w:tcPr>
          <w:p w14:paraId="7463486B">
            <w:pPr>
              <w:spacing w:line="0" w:lineRule="atLeast"/>
              <w:rPr>
                <w:rFonts w:hint="eastAsia" w:ascii="宋体" w:hAnsi="宋体" w:eastAsia="宋体"/>
                <w:sz w:val="24"/>
                <w:lang w:eastAsia="zh-CN"/>
              </w:rPr>
            </w:pPr>
            <w:r>
              <w:rPr>
                <w:rFonts w:hint="eastAsia" w:ascii="宋体" w:hAnsi="宋体"/>
                <w:sz w:val="24"/>
                <w:lang w:eastAsia="zh-CN"/>
              </w:rPr>
              <w:t>结合本项目团队，评标委员会依据投标人提供的服务质量保证措施自行评分，</w:t>
            </w:r>
            <w:r>
              <w:rPr>
                <w:rFonts w:hint="eastAsia" w:ascii="宋体" w:hAnsi="宋体"/>
                <w:b/>
                <w:sz w:val="24"/>
                <w:lang w:eastAsia="zh-CN"/>
              </w:rPr>
              <w:t>优秀的得</w:t>
            </w:r>
            <w:r>
              <w:rPr>
                <w:rFonts w:hint="eastAsia" w:ascii="宋体" w:hAnsi="宋体"/>
                <w:b/>
                <w:sz w:val="24"/>
                <w:lang w:val="en-US" w:eastAsia="zh-CN"/>
              </w:rPr>
              <w:t>6≤F≤8分，一般的得4≤F&lt;6分，较差的得0≤F&lt;4分。</w:t>
            </w:r>
          </w:p>
        </w:tc>
        <w:tc>
          <w:tcPr>
            <w:tcW w:w="729" w:type="dxa"/>
            <w:noWrap w:val="0"/>
            <w:vAlign w:val="center"/>
          </w:tcPr>
          <w:p w14:paraId="7F0B5A71">
            <w:pPr>
              <w:spacing w:line="0" w:lineRule="atLeast"/>
              <w:jc w:val="center"/>
              <w:rPr>
                <w:rFonts w:hint="default" w:ascii="宋体" w:hAnsi="宋体" w:eastAsia="宋体"/>
                <w:sz w:val="24"/>
                <w:lang w:val="en-US" w:eastAsia="zh-CN"/>
              </w:rPr>
            </w:pPr>
            <w:r>
              <w:rPr>
                <w:rFonts w:hint="eastAsia" w:ascii="宋体" w:hAnsi="宋体"/>
                <w:sz w:val="24"/>
                <w:lang w:val="en-US" w:eastAsia="zh-CN"/>
              </w:rPr>
              <w:t>0-8分</w:t>
            </w:r>
          </w:p>
        </w:tc>
      </w:tr>
      <w:tr w14:paraId="4DD2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572" w:type="dxa"/>
            <w:noWrap w:val="0"/>
            <w:vAlign w:val="center"/>
          </w:tcPr>
          <w:p w14:paraId="680629D3">
            <w:pPr>
              <w:spacing w:line="0" w:lineRule="atLeast"/>
              <w:jc w:val="center"/>
              <w:rPr>
                <w:rFonts w:hint="eastAsia" w:ascii="宋体" w:hAnsi="宋体"/>
                <w:sz w:val="24"/>
              </w:rPr>
            </w:pPr>
          </w:p>
        </w:tc>
        <w:tc>
          <w:tcPr>
            <w:tcW w:w="993" w:type="dxa"/>
            <w:noWrap w:val="0"/>
            <w:vAlign w:val="center"/>
          </w:tcPr>
          <w:p w14:paraId="63CD671B">
            <w:pPr>
              <w:spacing w:line="0" w:lineRule="atLeast"/>
              <w:rPr>
                <w:rFonts w:ascii="宋体" w:hAnsi="宋体"/>
                <w:sz w:val="24"/>
              </w:rPr>
            </w:pPr>
            <w:r>
              <w:rPr>
                <w:rFonts w:hint="eastAsia" w:ascii="宋体" w:hAnsi="宋体"/>
                <w:sz w:val="24"/>
              </w:rPr>
              <w:t>合计</w:t>
            </w:r>
          </w:p>
        </w:tc>
        <w:tc>
          <w:tcPr>
            <w:tcW w:w="7329" w:type="dxa"/>
            <w:noWrap w:val="0"/>
            <w:vAlign w:val="center"/>
          </w:tcPr>
          <w:p w14:paraId="470EEC9C">
            <w:pPr>
              <w:spacing w:line="0" w:lineRule="atLeast"/>
              <w:rPr>
                <w:rFonts w:ascii="宋体" w:hAnsi="宋体"/>
                <w:sz w:val="24"/>
              </w:rPr>
            </w:pPr>
          </w:p>
        </w:tc>
        <w:tc>
          <w:tcPr>
            <w:tcW w:w="729" w:type="dxa"/>
            <w:noWrap w:val="0"/>
            <w:vAlign w:val="center"/>
          </w:tcPr>
          <w:p w14:paraId="3D73C53C">
            <w:pPr>
              <w:spacing w:line="0" w:lineRule="atLeast"/>
              <w:jc w:val="center"/>
              <w:rPr>
                <w:rFonts w:hint="eastAsia" w:ascii="宋体" w:hAnsi="宋体"/>
                <w:sz w:val="24"/>
              </w:rPr>
            </w:pPr>
            <w:r>
              <w:rPr>
                <w:rFonts w:hint="eastAsia" w:ascii="宋体" w:hAnsi="宋体"/>
                <w:sz w:val="24"/>
              </w:rPr>
              <w:t>0-</w:t>
            </w:r>
            <w:r>
              <w:rPr>
                <w:rFonts w:hint="eastAsia" w:ascii="宋体" w:hAnsi="宋体"/>
                <w:sz w:val="24"/>
                <w:lang w:val="en-US" w:eastAsia="zh-CN"/>
              </w:rPr>
              <w:t>80</w:t>
            </w:r>
            <w:r>
              <w:rPr>
                <w:rFonts w:hint="eastAsia" w:ascii="宋体" w:hAnsi="宋体"/>
                <w:sz w:val="24"/>
              </w:rPr>
              <w:t>分</w:t>
            </w:r>
          </w:p>
        </w:tc>
      </w:tr>
    </w:tbl>
    <w:p w14:paraId="122FF9BD">
      <w:pPr>
        <w:spacing w:line="360" w:lineRule="auto"/>
        <w:ind w:firstLine="482" w:firstLineChars="200"/>
        <w:rPr>
          <w:rFonts w:hint="eastAsia" w:ascii="宋体" w:hAnsi="宋体"/>
          <w:b/>
          <w:sz w:val="24"/>
          <w:szCs w:val="28"/>
          <w:lang w:val="en-US" w:eastAsia="zh-CN"/>
        </w:rPr>
      </w:pPr>
    </w:p>
    <w:p w14:paraId="4E6D1195">
      <w:pPr>
        <w:numPr>
          <w:ilvl w:val="0"/>
          <w:numId w:val="0"/>
        </w:numPr>
        <w:spacing w:line="360" w:lineRule="auto"/>
        <w:rPr>
          <w:rFonts w:hint="eastAsia" w:ascii="宋体" w:hAnsi="宋体"/>
          <w:b/>
          <w:sz w:val="24"/>
          <w:szCs w:val="28"/>
          <w:lang w:val="en-US" w:eastAsia="zh-CN"/>
        </w:rPr>
      </w:pPr>
      <w:r>
        <w:rPr>
          <w:rFonts w:hint="eastAsia" w:ascii="宋体" w:hAnsi="宋体"/>
          <w:b/>
          <w:sz w:val="24"/>
          <w:szCs w:val="28"/>
          <w:lang w:val="en-US" w:eastAsia="zh-CN"/>
        </w:rPr>
        <w:t>2.商务部分得分计算</w:t>
      </w:r>
    </w:p>
    <w:tbl>
      <w:tblPr>
        <w:tblStyle w:val="18"/>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953"/>
        <w:gridCol w:w="8024"/>
      </w:tblGrid>
      <w:tr w14:paraId="349D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769" w:type="dxa"/>
            <w:noWrap w:val="0"/>
            <w:vAlign w:val="center"/>
          </w:tcPr>
          <w:p w14:paraId="274E82DD">
            <w:pPr>
              <w:spacing w:line="0" w:lineRule="atLeast"/>
              <w:jc w:val="center"/>
              <w:rPr>
                <w:rFonts w:hint="eastAsia" w:ascii="宋体" w:hAnsi="宋体" w:eastAsia="宋体"/>
                <w:sz w:val="24"/>
                <w:lang w:eastAsia="zh-CN"/>
              </w:rPr>
            </w:pPr>
            <w:r>
              <w:rPr>
                <w:rFonts w:hint="eastAsia" w:ascii="宋体" w:hAnsi="宋体"/>
                <w:sz w:val="24"/>
                <w:lang w:eastAsia="zh-CN"/>
              </w:rPr>
              <w:t>商务部分</w:t>
            </w:r>
          </w:p>
        </w:tc>
        <w:tc>
          <w:tcPr>
            <w:tcW w:w="953" w:type="dxa"/>
            <w:noWrap w:val="0"/>
            <w:vAlign w:val="center"/>
          </w:tcPr>
          <w:p w14:paraId="5B24429C">
            <w:pPr>
              <w:spacing w:line="360" w:lineRule="auto"/>
              <w:rPr>
                <w:rFonts w:hint="eastAsia" w:ascii="宋体" w:hAnsi="宋体" w:eastAsia="宋体" w:cs="宋体"/>
                <w:sz w:val="24"/>
                <w:lang w:eastAsia="zh-CN"/>
              </w:rPr>
            </w:pPr>
            <w:r>
              <w:rPr>
                <w:rFonts w:hint="eastAsia" w:ascii="宋体" w:hAnsi="宋体" w:eastAsia="宋体" w:cs="宋体"/>
                <w:kern w:val="0"/>
                <w:sz w:val="24"/>
                <w:szCs w:val="24"/>
                <w:lang w:val="zh-CN" w:eastAsia="zh-CN"/>
              </w:rPr>
              <w:t>最终投标报价</w:t>
            </w:r>
          </w:p>
        </w:tc>
        <w:tc>
          <w:tcPr>
            <w:tcW w:w="8024" w:type="dxa"/>
            <w:noWrap w:val="0"/>
            <w:vAlign w:val="center"/>
          </w:tcPr>
          <w:p w14:paraId="63EED893">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价格分统一采用低价优先法，即满足磋商文件要求且价格最低的最后报价为评标基准价，其价格分为满分</w:t>
            </w:r>
            <w:r>
              <w:rPr>
                <w:rFonts w:hint="eastAsia" w:ascii="宋体" w:hAnsi="宋体" w:cs="宋体"/>
                <w:kern w:val="0"/>
                <w:sz w:val="24"/>
                <w:szCs w:val="24"/>
                <w:lang w:val="en-US" w:eastAsia="zh-CN"/>
              </w:rPr>
              <w:t>20</w:t>
            </w:r>
            <w:r>
              <w:rPr>
                <w:rFonts w:hint="eastAsia" w:ascii="宋体" w:hAnsi="宋体" w:eastAsia="宋体" w:cs="宋体"/>
                <w:kern w:val="0"/>
                <w:sz w:val="24"/>
                <w:szCs w:val="24"/>
                <w:lang w:val="zh-CN"/>
              </w:rPr>
              <w:t>分。其他投标人的价格分统一按照下列公式计算:</w:t>
            </w:r>
          </w:p>
          <w:p w14:paraId="12CFF7A0">
            <w:pPr>
              <w:spacing w:line="360" w:lineRule="auto"/>
              <w:jc w:val="center"/>
              <w:rPr>
                <w:rFonts w:hint="eastAsia" w:ascii="宋体" w:hAnsi="宋体"/>
                <w:sz w:val="24"/>
              </w:rPr>
            </w:pPr>
            <w:r>
              <w:rPr>
                <w:rFonts w:hint="eastAsia" w:ascii="宋体" w:hAnsi="宋体" w:eastAsia="宋体" w:cs="宋体"/>
                <w:kern w:val="0"/>
                <w:sz w:val="24"/>
                <w:szCs w:val="24"/>
                <w:lang w:val="zh-CN"/>
              </w:rPr>
              <w:t>最后报价得分=(评标基准价/最后报价)</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20</w:t>
            </w:r>
            <w:r>
              <w:rPr>
                <w:rFonts w:hint="eastAsia" w:ascii="宋体" w:hAnsi="宋体" w:eastAsia="宋体" w:cs="宋体"/>
                <w:kern w:val="0"/>
                <w:sz w:val="24"/>
                <w:szCs w:val="24"/>
                <w:lang w:val="zh-CN"/>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100</w:t>
            </w:r>
          </w:p>
        </w:tc>
      </w:tr>
    </w:tbl>
    <w:p w14:paraId="2AE7E6FE">
      <w:pPr>
        <w:numPr>
          <w:ilvl w:val="0"/>
          <w:numId w:val="0"/>
        </w:numPr>
        <w:spacing w:line="360" w:lineRule="auto"/>
        <w:rPr>
          <w:rFonts w:hint="default" w:ascii="宋体" w:hAnsi="宋体"/>
          <w:b/>
          <w:sz w:val="24"/>
          <w:szCs w:val="28"/>
          <w:lang w:val="en-US" w:eastAsia="zh-CN"/>
        </w:rPr>
      </w:pPr>
    </w:p>
    <w:p w14:paraId="0327DA46">
      <w:pPr>
        <w:spacing w:line="360" w:lineRule="auto"/>
        <w:ind w:firstLine="482" w:firstLineChars="200"/>
        <w:rPr>
          <w:rFonts w:hint="eastAsia" w:ascii="宋体" w:hAnsi="宋体"/>
          <w:sz w:val="24"/>
        </w:rPr>
      </w:pPr>
      <w:r>
        <w:rPr>
          <w:rFonts w:hint="eastAsia" w:ascii="宋体" w:hAnsi="宋体"/>
          <w:b/>
          <w:sz w:val="24"/>
          <w:szCs w:val="28"/>
          <w:lang w:val="en-US" w:eastAsia="zh-CN"/>
        </w:rPr>
        <w:t>3.</w:t>
      </w:r>
      <w:r>
        <w:rPr>
          <w:rFonts w:hint="eastAsia" w:ascii="宋体" w:hAnsi="宋体"/>
          <w:b/>
          <w:sz w:val="24"/>
          <w:szCs w:val="24"/>
        </w:rPr>
        <w:t>确定中标候选人</w:t>
      </w:r>
    </w:p>
    <w:p w14:paraId="3FCEF270">
      <w:pPr>
        <w:adjustRightInd w:val="0"/>
        <w:snapToGrid w:val="0"/>
        <w:spacing w:line="360" w:lineRule="auto"/>
        <w:ind w:right="-10" w:firstLine="420" w:firstLineChars="175"/>
        <w:rPr>
          <w:rFonts w:hint="eastAsia" w:ascii="宋体" w:hAnsi="宋体"/>
          <w:bCs/>
          <w:sz w:val="24"/>
        </w:rPr>
      </w:pPr>
      <w:r>
        <w:rPr>
          <w:rFonts w:hint="eastAsia" w:ascii="宋体" w:hAnsi="宋体"/>
          <w:bCs/>
          <w:sz w:val="24"/>
          <w:lang w:val="en-US" w:eastAsia="zh-CN"/>
        </w:rPr>
        <w:t>3</w:t>
      </w:r>
      <w:r>
        <w:rPr>
          <w:rFonts w:ascii="宋体" w:hAnsi="宋体"/>
          <w:bCs/>
          <w:sz w:val="24"/>
        </w:rPr>
        <w:t>.1</w:t>
      </w:r>
      <w:r>
        <w:rPr>
          <w:rFonts w:hint="eastAsia" w:ascii="宋体" w:hAnsi="宋体"/>
          <w:bCs/>
          <w:sz w:val="24"/>
        </w:rPr>
        <w:t>计算最终得分</w:t>
      </w:r>
    </w:p>
    <w:p w14:paraId="09A63CF8">
      <w:pPr>
        <w:adjustRightInd w:val="0"/>
        <w:snapToGrid w:val="0"/>
        <w:spacing w:line="360" w:lineRule="auto"/>
        <w:ind w:right="-10" w:firstLine="420" w:firstLineChars="175"/>
        <w:rPr>
          <w:rFonts w:hint="eastAsia" w:ascii="宋体" w:hAnsi="宋体"/>
          <w:bCs/>
          <w:sz w:val="24"/>
        </w:rPr>
      </w:pPr>
      <w:r>
        <w:rPr>
          <w:rFonts w:hint="eastAsia" w:ascii="宋体" w:hAnsi="宋体"/>
          <w:bCs/>
          <w:sz w:val="24"/>
        </w:rPr>
        <w:t>将每个有效投标人的</w:t>
      </w:r>
      <w:r>
        <w:rPr>
          <w:rFonts w:hint="eastAsia" w:ascii="宋体" w:hAnsi="宋体"/>
          <w:bCs/>
          <w:sz w:val="24"/>
          <w:lang w:eastAsia="zh-CN"/>
        </w:rPr>
        <w:t>技术</w:t>
      </w:r>
      <w:r>
        <w:rPr>
          <w:rFonts w:hint="eastAsia" w:ascii="宋体" w:hAnsi="宋体"/>
          <w:bCs/>
          <w:sz w:val="24"/>
        </w:rPr>
        <w:t>方案得分加上</w:t>
      </w:r>
      <w:r>
        <w:rPr>
          <w:rFonts w:hint="eastAsia" w:ascii="宋体" w:hAnsi="宋体"/>
          <w:bCs/>
          <w:sz w:val="24"/>
          <w:lang w:eastAsia="zh-CN"/>
        </w:rPr>
        <w:t>商务部分得分</w:t>
      </w:r>
      <w:r>
        <w:rPr>
          <w:rFonts w:hint="eastAsia" w:ascii="宋体" w:hAnsi="宋体"/>
          <w:bCs/>
          <w:sz w:val="24"/>
        </w:rPr>
        <w:t>，得出该投标人的最终得分。</w:t>
      </w:r>
    </w:p>
    <w:p w14:paraId="0D42DF26">
      <w:pPr>
        <w:adjustRightInd w:val="0"/>
        <w:snapToGrid w:val="0"/>
        <w:spacing w:line="360" w:lineRule="auto"/>
        <w:ind w:right="-10" w:firstLine="420" w:firstLineChars="175"/>
        <w:rPr>
          <w:rFonts w:hint="eastAsia" w:ascii="宋体" w:hAnsi="宋体"/>
          <w:bCs/>
          <w:sz w:val="24"/>
        </w:rPr>
      </w:pPr>
      <w:r>
        <w:rPr>
          <w:rFonts w:hint="eastAsia" w:ascii="宋体" w:hAnsi="宋体"/>
          <w:bCs/>
          <w:sz w:val="24"/>
        </w:rPr>
        <w:t>投标人的各项得分均</w:t>
      </w:r>
      <w:bookmarkStart w:id="12" w:name="_Hlk514730679"/>
      <w:r>
        <w:rPr>
          <w:rFonts w:hint="eastAsia" w:ascii="宋体" w:hAnsi="宋体"/>
          <w:bCs/>
          <w:sz w:val="24"/>
        </w:rPr>
        <w:t>保留小数点后两位（小数点后第三位四舍五入）</w:t>
      </w:r>
      <w:bookmarkEnd w:id="12"/>
      <w:r>
        <w:rPr>
          <w:rFonts w:hint="eastAsia" w:ascii="宋体" w:hAnsi="宋体"/>
          <w:bCs/>
          <w:sz w:val="24"/>
        </w:rPr>
        <w:t>。</w:t>
      </w:r>
    </w:p>
    <w:p w14:paraId="706E2123">
      <w:pPr>
        <w:pStyle w:val="8"/>
        <w:spacing w:line="360" w:lineRule="auto"/>
        <w:ind w:right="-10" w:firstLine="482"/>
        <w:rPr>
          <w:rFonts w:hint="eastAsia" w:ascii="宋体" w:hAnsi="宋体" w:eastAsia="宋体"/>
          <w:bCs/>
          <w:sz w:val="24"/>
        </w:rPr>
      </w:pPr>
      <w:r>
        <w:rPr>
          <w:rFonts w:hint="eastAsia" w:ascii="宋体" w:hAnsi="宋体" w:eastAsia="宋体"/>
          <w:bCs/>
          <w:sz w:val="24"/>
          <w:lang w:val="en-US" w:eastAsia="zh-CN"/>
        </w:rPr>
        <w:t>3</w:t>
      </w:r>
      <w:r>
        <w:rPr>
          <w:rFonts w:ascii="宋体" w:hAnsi="宋体" w:eastAsia="宋体"/>
          <w:bCs/>
          <w:sz w:val="24"/>
        </w:rPr>
        <w:t>.2</w:t>
      </w:r>
      <w:r>
        <w:rPr>
          <w:rFonts w:hint="eastAsia" w:ascii="宋体" w:hAnsi="宋体" w:eastAsia="宋体"/>
          <w:bCs/>
          <w:sz w:val="24"/>
        </w:rPr>
        <w:t>按照有效投标人最终得分由高到低排出中标候选人。</w:t>
      </w:r>
    </w:p>
    <w:p w14:paraId="3E588119">
      <w:pPr>
        <w:pStyle w:val="8"/>
        <w:spacing w:line="360" w:lineRule="auto"/>
        <w:ind w:right="-10" w:firstLine="482"/>
        <w:rPr>
          <w:rFonts w:hint="eastAsia" w:ascii="宋体" w:hAnsi="宋体" w:eastAsia="宋体"/>
          <w:sz w:val="24"/>
        </w:rPr>
      </w:pPr>
      <w:r>
        <w:rPr>
          <w:rFonts w:hint="eastAsia" w:ascii="宋体" w:hAnsi="宋体" w:eastAsia="宋体"/>
          <w:bCs/>
          <w:sz w:val="24"/>
        </w:rPr>
        <w:t>最终</w:t>
      </w:r>
      <w:r>
        <w:rPr>
          <w:rFonts w:hint="eastAsia" w:ascii="宋体" w:hAnsi="宋体" w:eastAsia="宋体"/>
          <w:sz w:val="24"/>
        </w:rPr>
        <w:t>得分相同的，</w:t>
      </w:r>
      <w:r>
        <w:rPr>
          <w:rFonts w:hint="eastAsia" w:ascii="宋体" w:hAnsi="宋体" w:eastAsia="宋体"/>
          <w:bCs/>
          <w:sz w:val="24"/>
        </w:rPr>
        <w:t>则采取评标委员会抽签方式确定其前后次序。</w:t>
      </w:r>
    </w:p>
    <w:p w14:paraId="3FD78EB2">
      <w:pPr>
        <w:adjustRightInd w:val="0"/>
        <w:snapToGrid w:val="0"/>
        <w:spacing w:line="360" w:lineRule="auto"/>
        <w:ind w:right="-10" w:firstLine="422" w:firstLineChars="175"/>
        <w:rPr>
          <w:rFonts w:hint="eastAsia" w:ascii="宋体" w:hAnsi="宋体"/>
          <w:bCs/>
          <w:sz w:val="24"/>
        </w:rPr>
      </w:pPr>
      <w:r>
        <w:rPr>
          <w:rFonts w:hint="eastAsia" w:ascii="宋体" w:hAnsi="宋体"/>
          <w:b/>
          <w:bCs w:val="0"/>
          <w:sz w:val="24"/>
          <w:lang w:val="en-US" w:eastAsia="zh-CN"/>
        </w:rPr>
        <w:t>第九条</w:t>
      </w:r>
      <w:r>
        <w:rPr>
          <w:rFonts w:hint="eastAsia" w:ascii="宋体" w:hAnsi="宋体"/>
          <w:bCs/>
          <w:sz w:val="24"/>
          <w:lang w:val="en-US" w:eastAsia="zh-CN"/>
        </w:rPr>
        <w:t xml:space="preserve"> </w:t>
      </w:r>
      <w:r>
        <w:rPr>
          <w:rFonts w:hint="eastAsia" w:ascii="宋体" w:hAnsi="宋体"/>
          <w:bCs/>
          <w:sz w:val="24"/>
        </w:rPr>
        <w:t>各投标人的得分一经得出，并核对无误后，任何人不得更改。</w:t>
      </w:r>
    </w:p>
    <w:p w14:paraId="127603C7">
      <w:pPr>
        <w:adjustRightInd w:val="0"/>
        <w:snapToGrid w:val="0"/>
        <w:spacing w:line="360" w:lineRule="auto"/>
        <w:ind w:right="-10" w:firstLine="422" w:firstLineChars="175"/>
        <w:rPr>
          <w:rFonts w:hint="eastAsia" w:ascii="宋体" w:hAnsi="宋体"/>
          <w:bCs/>
          <w:sz w:val="24"/>
        </w:rPr>
      </w:pPr>
      <w:r>
        <w:rPr>
          <w:rFonts w:hint="eastAsia" w:ascii="宋体" w:hAnsi="宋体"/>
          <w:b/>
          <w:bCs w:val="0"/>
          <w:sz w:val="24"/>
          <w:lang w:val="en-US" w:eastAsia="zh-CN"/>
        </w:rPr>
        <w:t>第十条</w:t>
      </w:r>
      <w:r>
        <w:rPr>
          <w:rFonts w:hint="eastAsia" w:ascii="宋体" w:hAnsi="宋体"/>
          <w:bCs/>
          <w:sz w:val="24"/>
          <w:lang w:val="en-US" w:eastAsia="zh-CN"/>
        </w:rPr>
        <w:t xml:space="preserve"> </w:t>
      </w:r>
      <w:r>
        <w:rPr>
          <w:rFonts w:hint="eastAsia" w:ascii="宋体" w:hAnsi="宋体"/>
          <w:bCs/>
          <w:sz w:val="24"/>
        </w:rPr>
        <w:t>评标委员会在评标过程中发现的问题，应当及时作出处理或者向招标人提出处理建议，并作书面记录。</w:t>
      </w:r>
    </w:p>
    <w:p w14:paraId="76AD053B">
      <w:pPr>
        <w:adjustRightInd w:val="0"/>
        <w:snapToGrid w:val="0"/>
        <w:spacing w:line="360" w:lineRule="auto"/>
        <w:ind w:right="-10" w:firstLine="422" w:firstLineChars="175"/>
        <w:rPr>
          <w:rFonts w:hint="eastAsia" w:ascii="宋体" w:hAnsi="宋体"/>
          <w:bCs/>
          <w:sz w:val="24"/>
        </w:rPr>
      </w:pPr>
      <w:r>
        <w:rPr>
          <w:rFonts w:hint="eastAsia" w:ascii="宋体" w:hAnsi="宋体"/>
          <w:b/>
          <w:bCs w:val="0"/>
          <w:sz w:val="24"/>
          <w:lang w:val="en-US" w:eastAsia="zh-CN"/>
        </w:rPr>
        <w:t>第十一条</w:t>
      </w:r>
      <w:r>
        <w:rPr>
          <w:rFonts w:hint="eastAsia" w:ascii="宋体" w:hAnsi="宋体"/>
          <w:bCs/>
          <w:sz w:val="24"/>
          <w:lang w:val="en-US" w:eastAsia="zh-CN"/>
        </w:rPr>
        <w:t xml:space="preserve"> </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14:paraId="0F431F88">
      <w:pPr>
        <w:adjustRightInd w:val="0"/>
        <w:snapToGrid w:val="0"/>
        <w:spacing w:line="360" w:lineRule="auto"/>
        <w:ind w:right="-10" w:firstLine="422" w:firstLineChars="175"/>
        <w:rPr>
          <w:rFonts w:ascii="宋体" w:hAnsi="宋体"/>
          <w:bCs/>
          <w:sz w:val="24"/>
        </w:rPr>
      </w:pPr>
      <w:r>
        <w:rPr>
          <w:rFonts w:hint="eastAsia" w:ascii="宋体" w:hAnsi="宋体"/>
          <w:b/>
          <w:bCs w:val="0"/>
          <w:sz w:val="24"/>
          <w:lang w:val="en-US" w:eastAsia="zh-CN"/>
        </w:rPr>
        <w:t>第十二条</w:t>
      </w:r>
      <w:r>
        <w:rPr>
          <w:rFonts w:hint="eastAsia" w:ascii="宋体" w:hAnsi="宋体"/>
          <w:bCs/>
          <w:sz w:val="24"/>
          <w:lang w:val="en-US" w:eastAsia="zh-CN"/>
        </w:rPr>
        <w:t xml:space="preserve"> </w:t>
      </w:r>
      <w:r>
        <w:rPr>
          <w:rFonts w:hint="eastAsia" w:ascii="宋体" w:hAnsi="宋体"/>
          <w:bCs/>
          <w:sz w:val="24"/>
        </w:rPr>
        <w:t>评标委员会和评标工作人员应严格遵守国家的法律、法规和规章制度；严格按照本次招标文件进行评标；公正廉洁、不徇私情，不得损害国家利益；保护招、投标人的合法权益。</w:t>
      </w:r>
    </w:p>
    <w:p w14:paraId="410087A4">
      <w:pPr>
        <w:pStyle w:val="8"/>
        <w:spacing w:line="360" w:lineRule="auto"/>
        <w:ind w:right="-10" w:firstLine="482"/>
        <w:rPr>
          <w:rFonts w:hint="eastAsia" w:ascii="宋体" w:hAnsi="宋体" w:eastAsia="宋体"/>
          <w:bCs/>
          <w:sz w:val="24"/>
        </w:rPr>
      </w:pPr>
      <w:r>
        <w:rPr>
          <w:rFonts w:hint="eastAsia" w:ascii="宋体" w:hAnsi="宋体" w:eastAsia="宋体"/>
          <w:b/>
          <w:bCs w:val="0"/>
          <w:sz w:val="24"/>
          <w:lang w:val="en-US" w:eastAsia="zh-CN"/>
        </w:rPr>
        <w:t>第十三条</w:t>
      </w:r>
      <w:r>
        <w:rPr>
          <w:rFonts w:hint="eastAsia" w:ascii="宋体" w:hAnsi="宋体" w:eastAsia="宋体"/>
          <w:bCs/>
          <w:sz w:val="24"/>
          <w:lang w:val="en-US" w:eastAsia="zh-CN"/>
        </w:rPr>
        <w:t xml:space="preserve"> </w:t>
      </w:r>
      <w:r>
        <w:rPr>
          <w:rFonts w:hint="eastAsia" w:ascii="宋体" w:hAnsi="宋体" w:eastAsia="宋体"/>
          <w:bCs/>
          <w:sz w:val="24"/>
        </w:rPr>
        <w:t>在评标过程中，评委及其他评标工作人员必须对评标情况严格保密，任何人不得将评标情况透露给与投标人有关的单位和个人。如有违反评标纪律的情况发生，将依据《中华人民共和国招标投标法》、《中华人民共和国招标投标法实施条例》及其他有关法律法规的规定，追究有关当事人的责任。</w:t>
      </w:r>
    </w:p>
    <w:p w14:paraId="5F7426C9">
      <w:pPr>
        <w:pStyle w:val="4"/>
        <w:spacing w:before="0" w:after="0" w:line="360" w:lineRule="auto"/>
        <w:ind w:firstLine="482" w:firstLineChars="200"/>
        <w:rPr>
          <w:rFonts w:hint="eastAsia" w:hAnsi="宋体"/>
          <w:color w:val="000000"/>
          <w:sz w:val="24"/>
          <w:szCs w:val="24"/>
        </w:rPr>
      </w:pPr>
      <w:bookmarkStart w:id="13" w:name="_Toc232819544"/>
      <w:bookmarkStart w:id="14" w:name="_Toc297563647"/>
      <w:bookmarkStart w:id="15" w:name="_Toc328559330"/>
      <w:bookmarkStart w:id="16" w:name="_Toc245714167"/>
      <w:bookmarkStart w:id="17" w:name="_Toc273602349"/>
      <w:r>
        <w:rPr>
          <w:rFonts w:hint="eastAsia" w:hAnsi="宋体"/>
          <w:color w:val="000000"/>
          <w:sz w:val="24"/>
          <w:szCs w:val="24"/>
        </w:rPr>
        <w:t>第</w:t>
      </w:r>
      <w:r>
        <w:rPr>
          <w:rFonts w:hint="eastAsia" w:hAnsi="宋体"/>
          <w:color w:val="000000"/>
          <w:sz w:val="24"/>
          <w:szCs w:val="24"/>
          <w:lang w:eastAsia="zh-CN"/>
        </w:rPr>
        <w:t>五</w:t>
      </w:r>
      <w:r>
        <w:rPr>
          <w:rFonts w:hint="eastAsia" w:hAnsi="宋体"/>
          <w:color w:val="000000"/>
          <w:sz w:val="24"/>
          <w:szCs w:val="24"/>
        </w:rPr>
        <w:t>章 开标与评标</w:t>
      </w:r>
      <w:bookmarkEnd w:id="13"/>
      <w:bookmarkEnd w:id="14"/>
      <w:bookmarkEnd w:id="15"/>
      <w:bookmarkEnd w:id="16"/>
      <w:bookmarkEnd w:id="17"/>
    </w:p>
    <w:p w14:paraId="657BBEC9">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一、开标</w:t>
      </w:r>
    </w:p>
    <w:p w14:paraId="79B25A2C">
      <w:pPr>
        <w:spacing w:line="440" w:lineRule="exact"/>
        <w:ind w:firstLine="55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招标人</w:t>
      </w:r>
      <w:r>
        <w:rPr>
          <w:rFonts w:hint="eastAsia" w:ascii="宋体" w:hAnsi="宋体"/>
          <w:color w:val="000000"/>
          <w:sz w:val="24"/>
        </w:rPr>
        <w:t>将在投标</w:t>
      </w:r>
      <w:bookmarkStart w:id="18" w:name="_Hlt509649432"/>
      <w:bookmarkEnd w:id="18"/>
      <w:r>
        <w:rPr>
          <w:rFonts w:hint="eastAsia" w:ascii="宋体" w:hAnsi="宋体"/>
          <w:color w:val="000000"/>
          <w:sz w:val="24"/>
        </w:rPr>
        <w:t>人须知前附表规定的时间和地点组织公开开标。投标人授权代表应携带身份证明参加并签到。</w:t>
      </w:r>
    </w:p>
    <w:p w14:paraId="468348E9">
      <w:pPr>
        <w:spacing w:line="440" w:lineRule="exact"/>
        <w:ind w:firstLine="550"/>
        <w:rPr>
          <w:rFonts w:hint="eastAsia" w:ascii="宋体" w:hAnsi="宋体"/>
          <w:bCs/>
          <w:color w:val="000000"/>
          <w:sz w:val="24"/>
        </w:rPr>
      </w:pPr>
      <w:r>
        <w:rPr>
          <w:rFonts w:hint="eastAsia" w:ascii="宋体" w:hAnsi="宋体"/>
          <w:bCs/>
          <w:color w:val="000000"/>
          <w:sz w:val="24"/>
        </w:rPr>
        <w:t>2、开标前，</w:t>
      </w:r>
      <w:r>
        <w:rPr>
          <w:rFonts w:hint="eastAsia" w:ascii="宋体" w:hAnsi="宋体"/>
          <w:bCs/>
          <w:color w:val="000000"/>
          <w:sz w:val="24"/>
          <w:lang w:eastAsia="zh-CN"/>
        </w:rPr>
        <w:t>招标人</w:t>
      </w:r>
      <w:r>
        <w:rPr>
          <w:rFonts w:hint="eastAsia" w:ascii="宋体" w:hAnsi="宋体"/>
          <w:bCs/>
          <w:color w:val="000000"/>
          <w:sz w:val="24"/>
        </w:rPr>
        <w:t>将会同监督人员或公证人员进行验标（检查投标文件密封情况），并宣布检查结果。确认无误后开标。</w:t>
      </w:r>
    </w:p>
    <w:p w14:paraId="7E3C4469">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3、评委会先对各投标人的方案设计和技术标进行评审</w:t>
      </w:r>
      <w:r>
        <w:rPr>
          <w:rFonts w:hint="eastAsia" w:ascii="宋体" w:hAnsi="宋体"/>
          <w:color w:val="000000"/>
          <w:sz w:val="24"/>
          <w:szCs w:val="24"/>
        </w:rPr>
        <w:t>，评审结束后再进行商务标开标。</w:t>
      </w:r>
    </w:p>
    <w:p w14:paraId="09E1F069">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4、商务标开标时，</w:t>
      </w:r>
      <w:r>
        <w:rPr>
          <w:rFonts w:hint="eastAsia" w:ascii="宋体" w:hAnsi="宋体"/>
          <w:bCs/>
          <w:color w:val="000000"/>
          <w:sz w:val="24"/>
          <w:szCs w:val="24"/>
          <w:lang w:eastAsia="zh-CN"/>
        </w:rPr>
        <w:t>招标人</w:t>
      </w:r>
      <w:r>
        <w:rPr>
          <w:rFonts w:hint="eastAsia" w:ascii="宋体" w:hAnsi="宋体"/>
          <w:bCs/>
          <w:color w:val="000000"/>
          <w:sz w:val="24"/>
          <w:szCs w:val="24"/>
        </w:rPr>
        <w:t>将当众宣读投标人名称、投标价格、书面修改和撤回投标的通知，以及</w:t>
      </w:r>
      <w:r>
        <w:rPr>
          <w:rFonts w:hint="eastAsia" w:ascii="宋体" w:hAnsi="宋体"/>
          <w:bCs/>
          <w:color w:val="000000"/>
          <w:sz w:val="24"/>
          <w:szCs w:val="24"/>
          <w:lang w:eastAsia="zh-CN"/>
        </w:rPr>
        <w:t>招标人</w:t>
      </w:r>
      <w:r>
        <w:rPr>
          <w:rFonts w:hint="eastAsia" w:ascii="宋体" w:hAnsi="宋体"/>
          <w:bCs/>
          <w:color w:val="000000"/>
          <w:sz w:val="24"/>
          <w:szCs w:val="24"/>
        </w:rPr>
        <w:t>认为合适的其它详细内容。只有在开标时唱出的优惠，评标时才予以考虑。</w:t>
      </w:r>
    </w:p>
    <w:p w14:paraId="7721EEAB">
      <w:pPr>
        <w:spacing w:line="360" w:lineRule="auto"/>
        <w:ind w:firstLine="480" w:firstLineChars="200"/>
        <w:rPr>
          <w:rFonts w:hint="eastAsia" w:ascii="宋体" w:hAnsi="宋体"/>
          <w:color w:val="000000"/>
          <w:sz w:val="24"/>
          <w:szCs w:val="24"/>
        </w:rPr>
      </w:pPr>
      <w:r>
        <w:rPr>
          <w:rFonts w:hint="eastAsia" w:ascii="宋体" w:hAnsi="宋体"/>
          <w:bCs/>
          <w:color w:val="000000"/>
          <w:sz w:val="24"/>
          <w:szCs w:val="24"/>
        </w:rPr>
        <w:t>5、在评审结束前，未得到</w:t>
      </w:r>
      <w:r>
        <w:rPr>
          <w:rFonts w:hint="eastAsia" w:ascii="宋体" w:hAnsi="宋体"/>
          <w:bCs/>
          <w:color w:val="000000"/>
          <w:sz w:val="24"/>
          <w:szCs w:val="24"/>
          <w:lang w:eastAsia="zh-CN"/>
        </w:rPr>
        <w:t>招标人</w:t>
      </w:r>
      <w:r>
        <w:rPr>
          <w:rFonts w:hint="eastAsia" w:ascii="宋体" w:hAnsi="宋体"/>
          <w:bCs/>
          <w:color w:val="000000"/>
          <w:sz w:val="24"/>
          <w:szCs w:val="24"/>
        </w:rPr>
        <w:t>允许，投标人授权代表不得离开开标现场。</w:t>
      </w:r>
    </w:p>
    <w:p w14:paraId="637C0042">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二、投标文件的澄清、说明或补正</w:t>
      </w:r>
    </w:p>
    <w:p w14:paraId="1F2EEF65">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48D327C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2、投标文件中大写金额和小写金额不一致的，以大写金额为准；总价金额与按单价汇总金额不一致的，以单价金额计算结果为准；单价金额小数点有明显错位的，应以总价为准，并修改单价。</w:t>
      </w:r>
    </w:p>
    <w:p w14:paraId="3000C23E">
      <w:pPr>
        <w:spacing w:line="360" w:lineRule="auto"/>
        <w:ind w:firstLine="480" w:firstLineChars="200"/>
        <w:rPr>
          <w:rFonts w:hint="eastAsia" w:ascii="宋体" w:hAnsi="宋体"/>
          <w:bCs/>
          <w:color w:val="000000"/>
          <w:sz w:val="24"/>
          <w:szCs w:val="24"/>
        </w:rPr>
      </w:pPr>
      <w:r>
        <w:rPr>
          <w:rFonts w:hint="eastAsia" w:ascii="宋体" w:hAnsi="宋体"/>
          <w:color w:val="000000"/>
          <w:sz w:val="24"/>
          <w:szCs w:val="24"/>
        </w:rPr>
        <w:t>3、</w:t>
      </w:r>
      <w:r>
        <w:rPr>
          <w:rFonts w:hint="eastAsia" w:ascii="宋体" w:hAnsi="宋体"/>
          <w:bCs/>
          <w:color w:val="000000"/>
          <w:sz w:val="24"/>
          <w:szCs w:val="24"/>
        </w:rPr>
        <w:t>开标一览表内容与投标文件中明细表内容不一致的，以开标一览表为准。</w:t>
      </w:r>
    </w:p>
    <w:p w14:paraId="26CFE5BD">
      <w:pPr>
        <w:spacing w:line="360" w:lineRule="auto"/>
        <w:ind w:firstLine="482" w:firstLineChars="200"/>
        <w:rPr>
          <w:rFonts w:hint="eastAsia" w:ascii="宋体" w:hAnsi="宋体"/>
          <w:color w:val="000000"/>
          <w:sz w:val="24"/>
          <w:szCs w:val="24"/>
        </w:rPr>
      </w:pPr>
      <w:r>
        <w:rPr>
          <w:rFonts w:hint="eastAsia" w:ascii="宋体" w:hAnsi="宋体"/>
          <w:b/>
          <w:color w:val="000000"/>
          <w:sz w:val="24"/>
          <w:szCs w:val="24"/>
        </w:rPr>
        <w:t>三、评标</w:t>
      </w:r>
    </w:p>
    <w:p w14:paraId="6607A0C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 评委会将按照招标文件规定的评标办法对投标人进行评审。</w:t>
      </w:r>
    </w:p>
    <w:p w14:paraId="2B4AD245">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初审时，评委会将首先审查投标文件是否实质上响应招标文件的初审指标要求。实质上响应的投标应与招标文件的全部条款、条件相符，没有重大偏离或保留。所谓重大偏离或保留是指影响合同的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14:paraId="29DD8020">
      <w:pPr>
        <w:spacing w:line="360" w:lineRule="auto"/>
        <w:ind w:firstLine="480" w:firstLineChars="200"/>
        <w:rPr>
          <w:rFonts w:hint="eastAsia" w:ascii="宋体" w:hAnsi="宋体"/>
          <w:color w:val="000000"/>
          <w:sz w:val="24"/>
        </w:rPr>
      </w:pPr>
      <w:r>
        <w:rPr>
          <w:rFonts w:hint="eastAsia" w:ascii="宋体" w:hAnsi="宋体"/>
          <w:color w:val="000000"/>
          <w:sz w:val="24"/>
        </w:rPr>
        <w:t>3、如果投标文件未通过初审，投标无效。</w:t>
      </w:r>
    </w:p>
    <w:p w14:paraId="40FC0B0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4、评委会决定投标文件的响应性及符合性只根据投标文件本身的内容，而不寻求其他外部证据。</w:t>
      </w:r>
    </w:p>
    <w:p w14:paraId="2024A16A">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四、有下列情况之一者，投标文件无效</w:t>
      </w:r>
    </w:p>
    <w:p w14:paraId="4B5E5F5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bCs/>
          <w:iCs/>
          <w:color w:val="000000"/>
          <w:sz w:val="24"/>
          <w:szCs w:val="24"/>
        </w:rPr>
        <w:t>有编制技术错误的</w:t>
      </w:r>
      <w:r>
        <w:rPr>
          <w:rFonts w:hint="eastAsia" w:ascii="宋体" w:hAnsi="宋体"/>
          <w:color w:val="000000"/>
          <w:sz w:val="24"/>
          <w:szCs w:val="24"/>
        </w:rPr>
        <w:t>；</w:t>
      </w:r>
    </w:p>
    <w:p w14:paraId="1F170DC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2、设计收费高于国家现行收费标准的；</w:t>
      </w:r>
    </w:p>
    <w:p w14:paraId="0840199A">
      <w:pPr>
        <w:pStyle w:val="9"/>
        <w:spacing w:line="360" w:lineRule="auto"/>
        <w:ind w:firstLine="480" w:firstLineChars="200"/>
        <w:rPr>
          <w:rFonts w:hint="eastAsia" w:hAnsi="宋体"/>
          <w:color w:val="000000"/>
          <w:sz w:val="24"/>
          <w:szCs w:val="24"/>
        </w:rPr>
      </w:pPr>
      <w:r>
        <w:rPr>
          <w:rFonts w:hint="eastAsia" w:hAnsi="宋体"/>
          <w:color w:val="000000"/>
          <w:sz w:val="24"/>
          <w:szCs w:val="24"/>
        </w:rPr>
        <w:t>3</w:t>
      </w:r>
      <w:r>
        <w:rPr>
          <w:rFonts w:hint="eastAsia" w:hAnsi="宋体"/>
          <w:color w:val="000000"/>
          <w:sz w:val="24"/>
          <w:szCs w:val="24"/>
          <w:lang w:eastAsia="zh-CN"/>
        </w:rPr>
        <w:t>、</w:t>
      </w:r>
      <w:r>
        <w:rPr>
          <w:rFonts w:hint="eastAsia" w:hAnsi="宋体"/>
          <w:color w:val="000000"/>
          <w:sz w:val="24"/>
          <w:szCs w:val="24"/>
        </w:rPr>
        <w:t>未按照招标文件要求封装的；</w:t>
      </w:r>
    </w:p>
    <w:p w14:paraId="74677047">
      <w:pPr>
        <w:pStyle w:val="9"/>
        <w:spacing w:line="360" w:lineRule="auto"/>
        <w:ind w:firstLine="480" w:firstLineChars="200"/>
        <w:rPr>
          <w:rFonts w:hint="eastAsia" w:hAnsi="宋体"/>
          <w:b/>
          <w:color w:val="000000"/>
          <w:sz w:val="24"/>
          <w:szCs w:val="24"/>
        </w:rPr>
      </w:pPr>
      <w:r>
        <w:rPr>
          <w:rFonts w:hint="eastAsia" w:hAnsi="宋体"/>
          <w:color w:val="000000"/>
          <w:sz w:val="24"/>
          <w:szCs w:val="24"/>
        </w:rPr>
        <w:t>4</w:t>
      </w:r>
      <w:r>
        <w:rPr>
          <w:rFonts w:hint="eastAsia" w:hAnsi="宋体"/>
          <w:color w:val="000000"/>
          <w:sz w:val="24"/>
          <w:szCs w:val="24"/>
          <w:lang w:eastAsia="zh-CN"/>
        </w:rPr>
        <w:t>、</w:t>
      </w:r>
      <w:r>
        <w:rPr>
          <w:rFonts w:hint="eastAsia" w:hAnsi="宋体"/>
          <w:color w:val="000000"/>
          <w:sz w:val="24"/>
          <w:szCs w:val="24"/>
        </w:rPr>
        <w:t>不能满足招标人设计周期要求的</w:t>
      </w:r>
      <w:r>
        <w:rPr>
          <w:rFonts w:hint="eastAsia" w:hAnsi="宋体"/>
          <w:bCs/>
          <w:color w:val="000000"/>
          <w:sz w:val="24"/>
          <w:szCs w:val="24"/>
        </w:rPr>
        <w:t>；</w:t>
      </w:r>
    </w:p>
    <w:p w14:paraId="1E38F1F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lang w:eastAsia="zh-CN"/>
        </w:rPr>
        <w:t>、</w:t>
      </w:r>
      <w:r>
        <w:rPr>
          <w:rFonts w:hint="eastAsia" w:ascii="宋体" w:hAnsi="宋体"/>
          <w:color w:val="000000"/>
          <w:sz w:val="24"/>
          <w:szCs w:val="24"/>
        </w:rPr>
        <w:t>投标人所提供的证书和资料经查有弄虚作假行为的；</w:t>
      </w:r>
    </w:p>
    <w:p w14:paraId="29DDAF7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lang w:eastAsia="zh-CN"/>
        </w:rPr>
        <w:t>、</w:t>
      </w:r>
      <w:r>
        <w:rPr>
          <w:rFonts w:hint="eastAsia" w:ascii="宋体" w:hAnsi="宋体"/>
          <w:color w:val="000000"/>
          <w:sz w:val="24"/>
          <w:szCs w:val="24"/>
        </w:rPr>
        <w:t>投标单位在一份投标文件中，报有两个或多个报价，且未书面声明以哪个报价为准；</w:t>
      </w:r>
    </w:p>
    <w:p w14:paraId="470ED1E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lang w:eastAsia="zh-CN"/>
        </w:rPr>
        <w:t>、</w:t>
      </w:r>
      <w:r>
        <w:rPr>
          <w:rFonts w:hint="eastAsia" w:ascii="宋体" w:hAnsi="宋体"/>
          <w:color w:val="000000"/>
          <w:sz w:val="24"/>
          <w:szCs w:val="24"/>
        </w:rPr>
        <w:t>其他未能实质性响应招标文件的。</w:t>
      </w:r>
    </w:p>
    <w:p w14:paraId="0DE2451E">
      <w:pPr>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五、废标处理</w:t>
      </w:r>
    </w:p>
    <w:p w14:paraId="67D068F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在招标采购中，出现下列情形之一的，</w:t>
      </w:r>
      <w:r>
        <w:rPr>
          <w:rFonts w:hint="eastAsia" w:ascii="宋体" w:hAnsi="宋体"/>
          <w:color w:val="000000"/>
          <w:sz w:val="24"/>
          <w:szCs w:val="24"/>
          <w:lang w:eastAsia="zh-CN"/>
        </w:rPr>
        <w:t>招标人</w:t>
      </w:r>
      <w:r>
        <w:rPr>
          <w:rFonts w:hint="eastAsia" w:ascii="宋体" w:hAnsi="宋体"/>
          <w:color w:val="000000"/>
          <w:sz w:val="24"/>
          <w:szCs w:val="24"/>
        </w:rPr>
        <w:t>有权宣布废标：</w:t>
      </w:r>
    </w:p>
    <w:p w14:paraId="1818731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1、符合专业条件的投标人或对招标文件作实质响应的投标人不足三家的；</w:t>
      </w:r>
    </w:p>
    <w:p w14:paraId="6EE4D36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2、投标人的报价均超过</w:t>
      </w:r>
      <w:r>
        <w:rPr>
          <w:rFonts w:hint="eastAsia" w:ascii="宋体" w:hAnsi="宋体"/>
          <w:color w:val="000000"/>
          <w:sz w:val="24"/>
          <w:szCs w:val="24"/>
          <w:lang w:eastAsia="zh-CN"/>
        </w:rPr>
        <w:t>招标</w:t>
      </w:r>
      <w:r>
        <w:rPr>
          <w:rFonts w:hint="eastAsia" w:ascii="宋体" w:hAnsi="宋体"/>
          <w:color w:val="000000"/>
          <w:sz w:val="24"/>
          <w:szCs w:val="24"/>
        </w:rPr>
        <w:t>预算，招标人不能支付的；</w:t>
      </w:r>
    </w:p>
    <w:p w14:paraId="226C393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3、出现影响采购公正的违法、违规行为的；</w:t>
      </w:r>
    </w:p>
    <w:p w14:paraId="147026A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4、因重大变故，</w:t>
      </w:r>
      <w:r>
        <w:rPr>
          <w:rFonts w:hint="eastAsia" w:ascii="宋体" w:hAnsi="宋体"/>
          <w:color w:val="000000"/>
          <w:sz w:val="24"/>
          <w:szCs w:val="24"/>
          <w:lang w:eastAsia="zh-CN"/>
        </w:rPr>
        <w:t>招标</w:t>
      </w:r>
      <w:r>
        <w:rPr>
          <w:rFonts w:hint="eastAsia" w:ascii="宋体" w:hAnsi="宋体"/>
          <w:color w:val="000000"/>
          <w:sz w:val="24"/>
          <w:szCs w:val="24"/>
        </w:rPr>
        <w:t>任务取消的。</w:t>
      </w:r>
    </w:p>
    <w:p w14:paraId="59E37E37">
      <w:pPr>
        <w:spacing w:line="360" w:lineRule="auto"/>
        <w:ind w:firstLine="480" w:firstLineChars="200"/>
        <w:rPr>
          <w:rFonts w:hint="eastAsia" w:ascii="宋体" w:hAnsi="宋体"/>
          <w:color w:val="000000"/>
          <w:sz w:val="24"/>
          <w:szCs w:val="24"/>
        </w:rPr>
      </w:pPr>
    </w:p>
    <w:p w14:paraId="3A6BE36F">
      <w:pPr>
        <w:pStyle w:val="4"/>
        <w:spacing w:before="0" w:after="0" w:line="360" w:lineRule="auto"/>
        <w:ind w:firstLine="482" w:firstLineChars="200"/>
        <w:rPr>
          <w:rFonts w:hint="eastAsia" w:hAnsi="宋体"/>
          <w:color w:val="000000"/>
          <w:sz w:val="24"/>
          <w:szCs w:val="24"/>
        </w:rPr>
      </w:pPr>
      <w:bookmarkStart w:id="19" w:name="_Toc516969091"/>
      <w:bookmarkStart w:id="20" w:name="_Toc232819545"/>
      <w:bookmarkStart w:id="21" w:name="_Toc245714168"/>
      <w:bookmarkStart w:id="22" w:name="_Toc273602350"/>
      <w:bookmarkStart w:id="23" w:name="_Toc328559331"/>
      <w:bookmarkStart w:id="24" w:name="_Toc297563648"/>
      <w:r>
        <w:rPr>
          <w:rFonts w:hint="eastAsia" w:hAnsi="宋体"/>
          <w:color w:val="000000"/>
          <w:sz w:val="24"/>
          <w:szCs w:val="24"/>
        </w:rPr>
        <w:t>第</w:t>
      </w:r>
      <w:r>
        <w:rPr>
          <w:rFonts w:hint="eastAsia" w:hAnsi="宋体"/>
          <w:color w:val="000000"/>
          <w:sz w:val="24"/>
          <w:szCs w:val="24"/>
          <w:lang w:eastAsia="zh-CN"/>
        </w:rPr>
        <w:t>六</w:t>
      </w:r>
      <w:r>
        <w:rPr>
          <w:rFonts w:hint="eastAsia" w:hAnsi="宋体"/>
          <w:color w:val="000000"/>
          <w:sz w:val="24"/>
          <w:szCs w:val="24"/>
        </w:rPr>
        <w:t>章 定标与签订合同</w:t>
      </w:r>
      <w:bookmarkEnd w:id="19"/>
      <w:bookmarkEnd w:id="20"/>
      <w:bookmarkEnd w:id="21"/>
      <w:bookmarkEnd w:id="22"/>
      <w:bookmarkEnd w:id="23"/>
      <w:bookmarkEnd w:id="24"/>
    </w:p>
    <w:p w14:paraId="1EA0D458">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一、定标</w:t>
      </w:r>
    </w:p>
    <w:p w14:paraId="0202F22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1、评委会按招标文件规定的评标办法排出中标候选人。</w:t>
      </w:r>
    </w:p>
    <w:p w14:paraId="0CD501B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如评委会认为有必要，首先对第一中标候选人就投标文件所提供的内容进行资格审查。资格审查视为本项目采购活动的延续，以书面报告作为最终审查的结果。如果确定第一中标候选人无法履行合同，将按排名依次对其余中标候选人进行类似的审查。</w:t>
      </w:r>
    </w:p>
    <w:p w14:paraId="674662C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3、原则上把合同授予实质上响应招标文件要求的排名最前的中标候选人或通过上条资格审查的中标候选人。</w:t>
      </w:r>
    </w:p>
    <w:p w14:paraId="057F6D8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 最低报价并不是被授予合同的保证。</w:t>
      </w:r>
    </w:p>
    <w:p w14:paraId="52A37690">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二、中标通知书</w:t>
      </w:r>
    </w:p>
    <w:p w14:paraId="2A95596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招标人</w:t>
      </w:r>
      <w:r>
        <w:rPr>
          <w:rFonts w:hint="eastAsia" w:ascii="宋体" w:hAnsi="宋体"/>
          <w:color w:val="000000"/>
          <w:sz w:val="24"/>
          <w:szCs w:val="24"/>
        </w:rPr>
        <w:t>将以中标通知书形式通知中标人，其投标已被接受。</w:t>
      </w:r>
    </w:p>
    <w:p w14:paraId="7C8077F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招标人</w:t>
      </w:r>
      <w:r>
        <w:rPr>
          <w:rFonts w:hint="eastAsia" w:ascii="宋体" w:hAnsi="宋体"/>
          <w:color w:val="000000"/>
          <w:sz w:val="24"/>
          <w:szCs w:val="24"/>
        </w:rPr>
        <w:t>对未中标的投标人不做未中标原因的解释。</w:t>
      </w:r>
    </w:p>
    <w:p w14:paraId="145D4927">
      <w:pPr>
        <w:spacing w:line="360" w:lineRule="auto"/>
        <w:ind w:firstLine="482" w:firstLineChars="200"/>
        <w:rPr>
          <w:rFonts w:hint="eastAsia" w:ascii="宋体" w:hAnsi="宋体"/>
          <w:b/>
          <w:color w:val="000000"/>
          <w:sz w:val="24"/>
          <w:szCs w:val="24"/>
        </w:rPr>
      </w:pPr>
      <w:r>
        <w:rPr>
          <w:rFonts w:hint="eastAsia" w:ascii="宋体" w:hAnsi="宋体"/>
          <w:b/>
          <w:sz w:val="24"/>
          <w:szCs w:val="24"/>
        </w:rPr>
        <w:t>三、</w:t>
      </w:r>
      <w:r>
        <w:rPr>
          <w:rFonts w:hint="eastAsia" w:ascii="宋体" w:hAnsi="宋体"/>
          <w:b/>
          <w:color w:val="000000"/>
          <w:sz w:val="24"/>
          <w:szCs w:val="24"/>
        </w:rPr>
        <w:t>签订合同</w:t>
      </w:r>
    </w:p>
    <w:p w14:paraId="731844C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1、中标人应在中标通知书发出之日起三</w:t>
      </w:r>
      <w:r>
        <w:rPr>
          <w:rFonts w:hint="eastAsia" w:ascii="宋体" w:hAnsi="宋体"/>
          <w:color w:val="000000"/>
          <w:sz w:val="24"/>
          <w:szCs w:val="24"/>
          <w:lang w:eastAsia="zh-CN"/>
        </w:rPr>
        <w:t>十</w:t>
      </w:r>
      <w:r>
        <w:rPr>
          <w:rFonts w:hint="eastAsia" w:ascii="宋体" w:hAnsi="宋体"/>
          <w:color w:val="000000"/>
          <w:sz w:val="24"/>
          <w:szCs w:val="24"/>
        </w:rPr>
        <w:t>日内（具体时间、地点见中标通知书）与委托人签订合同。招标文件、中标人的投标文件及澄清文件等，均作为合同的附件。</w:t>
      </w:r>
    </w:p>
    <w:p w14:paraId="7A781C3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2、招标人保留以书面形式要求合同的卖方对其所投服务的地点及服务细则等作适当调整的权利。</w:t>
      </w:r>
    </w:p>
    <w:p w14:paraId="77DF6085">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四、未尽事宜</w:t>
      </w:r>
    </w:p>
    <w:p w14:paraId="1A9DD2A8">
      <w:pPr>
        <w:spacing w:line="360" w:lineRule="auto"/>
        <w:ind w:firstLine="480" w:firstLineChars="200"/>
        <w:rPr>
          <w:rFonts w:hint="eastAsia" w:ascii="宋体" w:hAnsi="宋体"/>
          <w:b/>
          <w:color w:val="000000"/>
          <w:sz w:val="24"/>
          <w:szCs w:val="24"/>
        </w:rPr>
      </w:pPr>
      <w:r>
        <w:rPr>
          <w:rFonts w:hint="eastAsia" w:ascii="宋体" w:hAnsi="宋体"/>
          <w:color w:val="000000"/>
          <w:sz w:val="24"/>
          <w:szCs w:val="24"/>
        </w:rPr>
        <w:t>按</w:t>
      </w:r>
      <w:r>
        <w:rPr>
          <w:rFonts w:hint="eastAsia" w:ascii="宋体" w:hAnsi="宋体" w:eastAsia="宋体"/>
          <w:bCs/>
          <w:sz w:val="24"/>
        </w:rPr>
        <w:t>《中华人民共和国招标投标法》</w:t>
      </w:r>
      <w:r>
        <w:rPr>
          <w:rFonts w:hint="eastAsia" w:ascii="宋体" w:hAnsi="宋体" w:eastAsia="宋体"/>
          <w:bCs/>
          <w:sz w:val="24"/>
          <w:lang w:eastAsia="zh-CN"/>
        </w:rPr>
        <w:t>、</w:t>
      </w:r>
      <w:r>
        <w:rPr>
          <w:rFonts w:hint="eastAsia" w:ascii="宋体" w:hAnsi="宋体"/>
          <w:color w:val="000000"/>
          <w:sz w:val="24"/>
          <w:szCs w:val="24"/>
        </w:rPr>
        <w:t>《中华人民共和国政府采购法》及其他有关法律法规的规定执行。</w:t>
      </w:r>
    </w:p>
    <w:p w14:paraId="78C13708">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五、解释权</w:t>
      </w:r>
    </w:p>
    <w:p w14:paraId="492E43F2">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本招标文件的解释权属于</w:t>
      </w:r>
      <w:r>
        <w:rPr>
          <w:rFonts w:hint="eastAsia" w:ascii="宋体" w:hAnsi="宋体"/>
          <w:bCs/>
          <w:color w:val="000000"/>
          <w:sz w:val="24"/>
          <w:szCs w:val="24"/>
          <w:lang w:val="en-US" w:eastAsia="zh-CN"/>
        </w:rPr>
        <w:t>合肥滨投文化创意发展有限公司</w:t>
      </w:r>
      <w:r>
        <w:rPr>
          <w:rFonts w:hint="eastAsia" w:ascii="宋体" w:hAnsi="宋体"/>
          <w:bCs/>
          <w:color w:val="000000"/>
          <w:sz w:val="24"/>
          <w:szCs w:val="24"/>
        </w:rPr>
        <w:t>。</w:t>
      </w:r>
    </w:p>
    <w:p w14:paraId="72A468DF">
      <w:pPr>
        <w:rPr>
          <w:rFonts w:hint="eastAsia" w:ascii="宋体" w:hAnsi="宋体"/>
          <w:bCs/>
          <w:color w:val="000000"/>
          <w:sz w:val="24"/>
          <w:szCs w:val="24"/>
        </w:rPr>
      </w:pPr>
      <w:r>
        <w:rPr>
          <w:rFonts w:hint="eastAsia" w:ascii="宋体" w:hAnsi="宋体"/>
          <w:bCs/>
          <w:color w:val="000000"/>
          <w:sz w:val="24"/>
          <w:szCs w:val="24"/>
        </w:rPr>
        <w:br w:type="page"/>
      </w:r>
    </w:p>
    <w:p w14:paraId="0F219018">
      <w:pPr>
        <w:spacing w:line="360" w:lineRule="auto"/>
        <w:jc w:val="center"/>
        <w:outlineLvl w:val="1"/>
        <w:rPr>
          <w:rFonts w:asciiTheme="minorEastAsia" w:hAnsiTheme="minorEastAsia" w:eastAsiaTheme="minorEastAsia"/>
          <w:b/>
          <w:sz w:val="28"/>
        </w:rPr>
      </w:pPr>
      <w:bookmarkStart w:id="25" w:name="_Toc47026336"/>
      <w:r>
        <w:rPr>
          <w:rFonts w:hint="eastAsia" w:asciiTheme="minorEastAsia" w:hAnsiTheme="minorEastAsia" w:eastAsiaTheme="minorEastAsia"/>
          <w:b/>
          <w:sz w:val="28"/>
        </w:rPr>
        <w:t>第五章  合同模板</w:t>
      </w:r>
      <w:bookmarkEnd w:id="25"/>
    </w:p>
    <w:p w14:paraId="6F6D0C38">
      <w:pPr>
        <w:spacing w:line="480" w:lineRule="auto"/>
        <w:jc w:val="center"/>
        <w:rPr>
          <w:rFonts w:ascii="宋体" w:hAnsi="宋体" w:eastAsia="宋体"/>
          <w:b/>
          <w:sz w:val="24"/>
        </w:rPr>
      </w:pPr>
    </w:p>
    <w:p w14:paraId="15451163">
      <w:pPr>
        <w:spacing w:line="480" w:lineRule="auto"/>
        <w:jc w:val="center"/>
        <w:rPr>
          <w:rFonts w:ascii="宋体" w:hAnsi="宋体" w:eastAsia="宋体"/>
          <w:b/>
          <w:sz w:val="24"/>
        </w:rPr>
      </w:pPr>
    </w:p>
    <w:p w14:paraId="6202DBD7">
      <w:pPr>
        <w:spacing w:line="480" w:lineRule="auto"/>
        <w:jc w:val="center"/>
        <w:rPr>
          <w:rFonts w:ascii="宋体" w:hAnsi="宋体" w:eastAsia="宋体"/>
          <w:b/>
          <w:sz w:val="24"/>
        </w:rPr>
      </w:pPr>
    </w:p>
    <w:p w14:paraId="1F937BA1">
      <w:pPr>
        <w:spacing w:line="480" w:lineRule="auto"/>
        <w:jc w:val="center"/>
        <w:rPr>
          <w:rFonts w:ascii="宋体" w:hAnsi="宋体" w:eastAsia="宋体"/>
          <w:b/>
          <w:sz w:val="32"/>
          <w:szCs w:val="32"/>
        </w:rPr>
      </w:pPr>
      <w:r>
        <w:rPr>
          <w:rFonts w:ascii="宋体" w:hAnsi="宋体" w:eastAsia="宋体"/>
          <w:b/>
          <w:sz w:val="32"/>
          <w:szCs w:val="32"/>
        </w:rPr>
        <w:t>合同</w:t>
      </w:r>
      <w:r>
        <w:rPr>
          <w:rFonts w:hint="eastAsia" w:ascii="宋体" w:hAnsi="宋体" w:eastAsia="宋体"/>
          <w:b/>
          <w:sz w:val="32"/>
          <w:szCs w:val="32"/>
        </w:rPr>
        <w:t>参考范本</w:t>
      </w:r>
    </w:p>
    <w:p w14:paraId="1FA66164">
      <w:pPr>
        <w:spacing w:line="480" w:lineRule="auto"/>
        <w:jc w:val="center"/>
        <w:rPr>
          <w:rFonts w:ascii="宋体" w:hAnsi="宋体" w:eastAsia="宋体"/>
          <w:b/>
          <w:sz w:val="32"/>
          <w:szCs w:val="32"/>
        </w:rPr>
      </w:pPr>
      <w:r>
        <w:rPr>
          <w:rFonts w:hint="eastAsia" w:ascii="宋体" w:hAnsi="宋体" w:eastAsia="宋体"/>
          <w:b/>
          <w:sz w:val="32"/>
          <w:szCs w:val="32"/>
        </w:rPr>
        <w:t>（服务类）</w:t>
      </w:r>
    </w:p>
    <w:p w14:paraId="51F7F17F">
      <w:pPr>
        <w:spacing w:line="480" w:lineRule="auto"/>
        <w:jc w:val="center"/>
        <w:rPr>
          <w:rFonts w:ascii="宋体" w:hAnsi="宋体" w:eastAsia="宋体"/>
          <w:b/>
          <w:sz w:val="24"/>
        </w:rPr>
      </w:pPr>
    </w:p>
    <w:p w14:paraId="395CEB27">
      <w:pPr>
        <w:spacing w:line="480" w:lineRule="auto"/>
        <w:jc w:val="center"/>
        <w:rPr>
          <w:rFonts w:ascii="宋体" w:hAnsi="宋体" w:eastAsia="宋体"/>
          <w:b/>
          <w:sz w:val="24"/>
        </w:rPr>
      </w:pPr>
    </w:p>
    <w:p w14:paraId="27EF9AB5">
      <w:pPr>
        <w:spacing w:line="480" w:lineRule="auto"/>
        <w:jc w:val="center"/>
        <w:rPr>
          <w:rFonts w:ascii="宋体" w:hAnsi="宋体" w:eastAsia="宋体"/>
          <w:b/>
          <w:sz w:val="24"/>
        </w:rPr>
      </w:pPr>
    </w:p>
    <w:p w14:paraId="2C3A5DFE">
      <w:pPr>
        <w:spacing w:line="360" w:lineRule="auto"/>
        <w:jc w:val="center"/>
        <w:outlineLvl w:val="2"/>
        <w:rPr>
          <w:rFonts w:ascii="宋体" w:hAnsi="宋体" w:eastAsia="宋体"/>
          <w:b/>
          <w:sz w:val="24"/>
        </w:rPr>
      </w:pPr>
      <w:r>
        <w:rPr>
          <w:rFonts w:hint="eastAsia" w:ascii="宋体" w:hAnsi="宋体" w:eastAsia="宋体"/>
          <w:b/>
          <w:sz w:val="24"/>
        </w:rPr>
        <w:t>第一部分 合同书</w:t>
      </w:r>
    </w:p>
    <w:p w14:paraId="4F2F429E">
      <w:pPr>
        <w:spacing w:line="480" w:lineRule="auto"/>
        <w:jc w:val="center"/>
        <w:rPr>
          <w:rFonts w:ascii="宋体" w:hAnsi="宋体" w:eastAsia="宋体"/>
          <w:b/>
          <w:sz w:val="24"/>
        </w:rPr>
      </w:pPr>
    </w:p>
    <w:p w14:paraId="18B047D6">
      <w:pPr>
        <w:spacing w:line="480" w:lineRule="auto"/>
        <w:jc w:val="center"/>
        <w:rPr>
          <w:rFonts w:ascii="宋体" w:hAnsi="宋体" w:eastAsia="宋体"/>
          <w:b/>
          <w:sz w:val="24"/>
        </w:rPr>
      </w:pPr>
    </w:p>
    <w:p w14:paraId="6FDEB0E2">
      <w:pPr>
        <w:spacing w:line="480" w:lineRule="auto"/>
        <w:jc w:val="center"/>
        <w:rPr>
          <w:rFonts w:ascii="宋体" w:hAnsi="宋体" w:eastAsia="宋体"/>
          <w:b/>
          <w:sz w:val="24"/>
        </w:rPr>
      </w:pPr>
    </w:p>
    <w:p w14:paraId="680F619A">
      <w:pPr>
        <w:spacing w:before="120" w:line="480" w:lineRule="auto"/>
        <w:ind w:left="960"/>
        <w:rPr>
          <w:rFonts w:ascii="宋体" w:hAnsi="宋体" w:eastAsia="宋体"/>
          <w:sz w:val="24"/>
          <w:u w:val="single"/>
        </w:rPr>
      </w:pPr>
      <w:r>
        <w:rPr>
          <w:rFonts w:hint="eastAsia" w:ascii="宋体" w:hAnsi="宋体" w:eastAsia="宋体"/>
          <w:sz w:val="24"/>
        </w:rPr>
        <w:t>项目名称：</w:t>
      </w:r>
      <w:r>
        <w:rPr>
          <w:rFonts w:hint="eastAsia" w:ascii="宋体" w:hAnsi="宋体"/>
          <w:sz w:val="24"/>
          <w:u w:val="single"/>
          <w:lang w:val="en-US" w:eastAsia="zh-CN"/>
        </w:rPr>
        <w:t>合柴1972文创园</w:t>
      </w:r>
      <w:r>
        <w:rPr>
          <w:rFonts w:hint="eastAsia" w:ascii="宋体" w:hAnsi="宋体" w:eastAsia="宋体"/>
          <w:sz w:val="24"/>
          <w:u w:val="single"/>
        </w:rPr>
        <w:t xml:space="preserve">维保服务 </w:t>
      </w:r>
      <w:r>
        <w:rPr>
          <w:rFonts w:hint="eastAsia" w:asciiTheme="minorEastAsia" w:hAnsiTheme="minorEastAsia" w:eastAsiaTheme="minorEastAsia"/>
          <w:i/>
          <w:iCs/>
          <w:sz w:val="24"/>
        </w:rPr>
        <w:t>（分标段项目须填写完整的标段号及标段名称）</w:t>
      </w:r>
    </w:p>
    <w:p w14:paraId="3D8112F1">
      <w:pPr>
        <w:spacing w:before="120" w:line="480" w:lineRule="auto"/>
        <w:ind w:left="960"/>
        <w:rPr>
          <w:rFonts w:ascii="宋体" w:hAnsi="宋体" w:eastAsia="宋体"/>
          <w:sz w:val="24"/>
          <w:u w:val="single"/>
        </w:rPr>
      </w:pPr>
      <w:r>
        <w:rPr>
          <w:rFonts w:hint="eastAsia" w:ascii="宋体" w:hAnsi="宋体" w:eastAsia="宋体"/>
          <w:sz w:val="24"/>
        </w:rPr>
        <w:t>甲方（招标人）：</w:t>
      </w:r>
      <w:r>
        <w:rPr>
          <w:rFonts w:hint="eastAsia" w:ascii="宋体" w:hAnsi="宋体" w:eastAsia="宋体"/>
          <w:sz w:val="24"/>
          <w:u w:val="single"/>
        </w:rPr>
        <w:t xml:space="preserve">                              </w:t>
      </w:r>
    </w:p>
    <w:p w14:paraId="300B4159">
      <w:pPr>
        <w:spacing w:before="120" w:line="480" w:lineRule="auto"/>
        <w:ind w:left="960"/>
        <w:rPr>
          <w:rFonts w:ascii="宋体" w:hAnsi="宋体" w:eastAsia="宋体"/>
          <w:sz w:val="24"/>
          <w:u w:val="single"/>
        </w:rPr>
      </w:pPr>
      <w:r>
        <w:rPr>
          <w:rFonts w:hint="eastAsia" w:ascii="宋体" w:hAnsi="宋体" w:eastAsia="宋体"/>
          <w:sz w:val="24"/>
        </w:rPr>
        <w:t>乙方（中标人）：</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C376E89">
      <w:pPr>
        <w:spacing w:before="120" w:line="48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2F115FB1">
      <w:pPr>
        <w:spacing w:before="120" w:line="480" w:lineRule="auto"/>
        <w:ind w:firstLine="960" w:firstLineChars="400"/>
        <w:rPr>
          <w:rFonts w:ascii="宋体" w:hAnsi="宋体" w:eastAsia="宋体"/>
          <w:sz w:val="24"/>
          <w:u w:val="single"/>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2116AF22">
      <w:pPr>
        <w:autoSpaceDE w:val="0"/>
        <w:autoSpaceDN w:val="0"/>
        <w:adjustRightInd w:val="0"/>
        <w:spacing w:line="600" w:lineRule="exact"/>
        <w:ind w:firstLine="640"/>
        <w:jc w:val="center"/>
        <w:rPr>
          <w:rFonts w:ascii="宋体" w:hAnsi="宋体" w:eastAsia="宋体"/>
          <w:sz w:val="24"/>
        </w:rPr>
        <w:sectPr>
          <w:footerReference r:id="rId3" w:type="default"/>
          <w:pgSz w:w="11907" w:h="16840"/>
          <w:pgMar w:top="1474" w:right="1814" w:bottom="1474" w:left="1814" w:header="851" w:footer="992" w:gutter="0"/>
          <w:pgNumType w:start="1"/>
          <w:cols w:space="720" w:num="1"/>
          <w:docGrid w:linePitch="462" w:charSpace="0"/>
        </w:sectPr>
      </w:pPr>
    </w:p>
    <w:p w14:paraId="796F8945">
      <w:pPr>
        <w:spacing w:line="360" w:lineRule="auto"/>
        <w:ind w:firstLine="435"/>
        <w:rPr>
          <w:rFonts w:ascii="宋体" w:hAnsi="宋体" w:eastAsia="宋体"/>
          <w:sz w:val="24"/>
        </w:rPr>
      </w:pPr>
      <w:r>
        <w:rPr>
          <w:rFonts w:hint="eastAsia" w:ascii="宋体" w:hAnsi="宋体"/>
          <w:sz w:val="24"/>
          <w:u w:val="single"/>
          <w:lang w:val="en-US" w:eastAsia="zh-CN"/>
        </w:rPr>
        <w:t>合肥滨投文化创意发展有限公司</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w:t>
      </w:r>
      <w:r>
        <w:rPr>
          <w:rFonts w:hint="eastAsia" w:ascii="宋体" w:hAnsi="宋体" w:eastAsia="宋体"/>
          <w:sz w:val="24"/>
          <w:lang w:val="en-US" w:eastAsia="zh-CN"/>
        </w:rPr>
        <w:t>简易</w:t>
      </w:r>
      <w:r>
        <w:rPr>
          <w:rFonts w:hint="eastAsia" w:ascii="宋体" w:hAnsi="宋体"/>
          <w:sz w:val="24"/>
          <w:lang w:val="en-US" w:eastAsia="zh-CN"/>
        </w:rPr>
        <w:t>综合评分招标</w:t>
      </w:r>
      <w:r>
        <w:rPr>
          <w:rFonts w:hint="eastAsia" w:ascii="宋体" w:hAnsi="宋体" w:eastAsia="宋体"/>
          <w:sz w:val="24"/>
        </w:rPr>
        <w:t>活动，经评定，</w:t>
      </w:r>
      <w:r>
        <w:rPr>
          <w:rFonts w:hint="eastAsia" w:ascii="宋体" w:hAnsi="宋体" w:eastAsia="宋体"/>
          <w:i/>
          <w:iCs/>
          <w:sz w:val="24"/>
          <w:u w:val="single"/>
        </w:rPr>
        <w:t>（中标人名称）</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）为本项目中标人，现按照磋商文件确定的事项签订本合同。</w:t>
      </w:r>
    </w:p>
    <w:p w14:paraId="687C30AA">
      <w:pPr>
        <w:spacing w:line="360" w:lineRule="auto"/>
        <w:ind w:firstLine="435"/>
        <w:rPr>
          <w:rFonts w:asciiTheme="minorEastAsia" w:hAnsiTheme="minorEastAsia" w:eastAsiaTheme="minorEastAsia"/>
          <w:sz w:val="24"/>
          <w:lang w:val="zh-CN"/>
        </w:rPr>
      </w:pPr>
      <w:bookmarkStart w:id="26" w:name="_Toc3029"/>
      <w:bookmarkStart w:id="27" w:name="_Toc24059"/>
      <w:bookmarkStart w:id="28" w:name="_Toc2232"/>
      <w:r>
        <w:rPr>
          <w:rFonts w:hint="eastAsia" w:asciiTheme="minorEastAsia" w:hAnsiTheme="minorEastAsia" w:eastAsiaTheme="minorEastAsia"/>
          <w:sz w:val="24"/>
        </w:rPr>
        <w:t>根据《中华人民共和国民法典》、《中华人民共和国招标投标法》等相关法律法规之规定，按照平等、自愿、公平和诚实信用的原则，经甲方和乙方协商一致，约定以下合同条款，以兹共同遵守、全面履行。</w:t>
      </w:r>
    </w:p>
    <w:p w14:paraId="14F353F6">
      <w:pPr>
        <w:spacing w:line="360" w:lineRule="auto"/>
        <w:ind w:firstLine="437"/>
        <w:outlineLvl w:val="3"/>
        <w:rPr>
          <w:rFonts w:ascii="宋体" w:hAnsi="宋体" w:eastAsia="宋体"/>
          <w:b/>
          <w:bCs/>
          <w:sz w:val="24"/>
          <w:lang w:val="zh-CN"/>
        </w:rPr>
      </w:pPr>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26"/>
      <w:bookmarkEnd w:id="27"/>
      <w:bookmarkEnd w:id="28"/>
    </w:p>
    <w:p w14:paraId="7A34CC07">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2A513112">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21ABB552">
      <w:pPr>
        <w:spacing w:line="360" w:lineRule="auto"/>
        <w:ind w:firstLine="435"/>
        <w:rPr>
          <w:rFonts w:ascii="宋体" w:hAnsi="宋体" w:eastAsia="宋体"/>
          <w:sz w:val="24"/>
          <w:lang w:val="zh-CN"/>
        </w:rPr>
      </w:pPr>
      <w:r>
        <w:rPr>
          <w:rFonts w:hint="eastAsia" w:ascii="宋体" w:hAnsi="宋体" w:eastAsia="宋体"/>
          <w:sz w:val="24"/>
          <w:lang w:val="zh-CN"/>
        </w:rPr>
        <w:t>1.1.2中标通知书；</w:t>
      </w:r>
    </w:p>
    <w:p w14:paraId="4C032A5F">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37E45687">
      <w:pPr>
        <w:spacing w:line="360" w:lineRule="auto"/>
        <w:ind w:firstLine="435"/>
        <w:rPr>
          <w:rFonts w:ascii="宋体" w:hAnsi="宋体" w:eastAsia="宋体"/>
          <w:sz w:val="24"/>
          <w:lang w:val="zh-CN"/>
        </w:rPr>
      </w:pPr>
      <w:r>
        <w:rPr>
          <w:rFonts w:hint="eastAsia" w:ascii="宋体" w:hAnsi="宋体" w:eastAsia="宋体"/>
          <w:sz w:val="24"/>
          <w:lang w:val="zh-CN"/>
        </w:rPr>
        <w:t>1.1.4磋商文件（含澄清或者修改文件）；</w:t>
      </w:r>
    </w:p>
    <w:p w14:paraId="129400E7">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3BD33B41">
      <w:pPr>
        <w:spacing w:line="360" w:lineRule="auto"/>
        <w:ind w:firstLine="437"/>
        <w:outlineLvl w:val="3"/>
        <w:rPr>
          <w:rFonts w:ascii="宋体" w:hAnsi="宋体" w:eastAsia="宋体"/>
          <w:b/>
          <w:bCs/>
          <w:sz w:val="24"/>
          <w:lang w:val="zh-CN"/>
        </w:rPr>
      </w:pPr>
      <w:bookmarkStart w:id="29" w:name="_Toc2918"/>
      <w:bookmarkStart w:id="30" w:name="_Toc22185"/>
      <w:bookmarkStart w:id="31" w:name="_Toc6311"/>
      <w:bookmarkStart w:id="32" w:name="_Toc6773"/>
      <w:bookmarkStart w:id="33" w:name="_Toc18585"/>
      <w:r>
        <w:rPr>
          <w:rFonts w:hint="eastAsia" w:ascii="宋体" w:hAnsi="宋体" w:eastAsia="宋体"/>
          <w:b/>
          <w:bCs/>
          <w:sz w:val="24"/>
          <w:lang w:val="zh-CN"/>
        </w:rPr>
        <w:t xml:space="preserve">1.2 </w:t>
      </w:r>
      <w:bookmarkEnd w:id="29"/>
      <w:bookmarkEnd w:id="30"/>
      <w:bookmarkEnd w:id="31"/>
      <w:bookmarkEnd w:id="32"/>
      <w:bookmarkEnd w:id="33"/>
      <w:r>
        <w:rPr>
          <w:rFonts w:hint="eastAsia" w:ascii="宋体" w:hAnsi="宋体" w:eastAsia="宋体"/>
          <w:b/>
          <w:bCs/>
          <w:sz w:val="24"/>
          <w:lang w:val="zh-CN"/>
        </w:rPr>
        <w:t>服务</w:t>
      </w:r>
    </w:p>
    <w:p w14:paraId="730B3070">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3A0D8F47">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490975D7">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0DC9DF52">
      <w:pPr>
        <w:spacing w:line="360" w:lineRule="auto"/>
        <w:ind w:firstLine="437"/>
        <w:outlineLvl w:val="3"/>
        <w:rPr>
          <w:rFonts w:ascii="宋体" w:hAnsi="宋体" w:eastAsia="宋体"/>
          <w:b/>
          <w:bCs/>
          <w:sz w:val="24"/>
          <w:lang w:val="zh-CN"/>
        </w:rPr>
      </w:pPr>
      <w:bookmarkStart w:id="34" w:name="_Toc21631"/>
      <w:bookmarkStart w:id="35" w:name="_Toc23292"/>
      <w:bookmarkStart w:id="36" w:name="_Toc2155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34"/>
      <w:bookmarkEnd w:id="35"/>
      <w:bookmarkEnd w:id="36"/>
    </w:p>
    <w:p w14:paraId="5E0A2DBB">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0656FCAE">
      <w:pPr>
        <w:spacing w:line="360" w:lineRule="auto"/>
        <w:ind w:firstLine="435"/>
        <w:rPr>
          <w:rFonts w:ascii="宋体" w:hAnsi="宋体" w:eastAsia="宋体"/>
          <w:sz w:val="24"/>
          <w:u w:val="single"/>
        </w:rPr>
      </w:pPr>
      <w:r>
        <w:rPr>
          <w:rFonts w:ascii="宋体" w:hAnsi="宋体" w:eastAsia="宋体"/>
          <w:sz w:val="24"/>
        </w:rPr>
        <w:t>分项价格：</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14:paraId="5732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42B03B14">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386EEB19">
            <w:pPr>
              <w:pStyle w:val="31"/>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330439FB">
            <w:pPr>
              <w:pStyle w:val="31"/>
              <w:jc w:val="center"/>
              <w:rPr>
                <w:rFonts w:ascii="宋体" w:hAnsi="宋体" w:eastAsia="宋体"/>
                <w:sz w:val="24"/>
                <w:szCs w:val="24"/>
              </w:rPr>
            </w:pPr>
            <w:r>
              <w:rPr>
                <w:rFonts w:ascii="宋体" w:hAnsi="宋体" w:eastAsia="宋体"/>
                <w:sz w:val="24"/>
                <w:szCs w:val="24"/>
              </w:rPr>
              <w:t>分项价格</w:t>
            </w:r>
          </w:p>
        </w:tc>
      </w:tr>
      <w:tr w14:paraId="2F9F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0B4E89D">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6DEC211B">
            <w:pPr>
              <w:pStyle w:val="31"/>
              <w:ind w:firstLine="200"/>
              <w:jc w:val="center"/>
              <w:rPr>
                <w:rFonts w:ascii="宋体" w:hAnsi="宋体" w:eastAsia="宋体"/>
                <w:sz w:val="24"/>
                <w:szCs w:val="24"/>
              </w:rPr>
            </w:pPr>
          </w:p>
        </w:tc>
        <w:tc>
          <w:tcPr>
            <w:tcW w:w="1899" w:type="pct"/>
            <w:gridSpan w:val="2"/>
            <w:vAlign w:val="center"/>
          </w:tcPr>
          <w:p w14:paraId="42F74973">
            <w:pPr>
              <w:pStyle w:val="31"/>
              <w:ind w:firstLine="200"/>
              <w:jc w:val="center"/>
              <w:rPr>
                <w:rFonts w:ascii="宋体" w:hAnsi="宋体" w:eastAsia="宋体"/>
                <w:sz w:val="24"/>
                <w:szCs w:val="24"/>
              </w:rPr>
            </w:pPr>
          </w:p>
        </w:tc>
      </w:tr>
      <w:tr w14:paraId="395E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A22FACA">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71F1C386">
            <w:pPr>
              <w:pStyle w:val="31"/>
              <w:ind w:firstLine="200"/>
              <w:jc w:val="center"/>
              <w:rPr>
                <w:rFonts w:ascii="宋体" w:hAnsi="宋体" w:eastAsia="宋体"/>
                <w:sz w:val="24"/>
                <w:szCs w:val="24"/>
              </w:rPr>
            </w:pPr>
          </w:p>
        </w:tc>
        <w:tc>
          <w:tcPr>
            <w:tcW w:w="1899" w:type="pct"/>
            <w:gridSpan w:val="2"/>
            <w:vAlign w:val="center"/>
          </w:tcPr>
          <w:p w14:paraId="7752F5C2">
            <w:pPr>
              <w:pStyle w:val="31"/>
              <w:ind w:firstLine="200"/>
              <w:jc w:val="center"/>
              <w:rPr>
                <w:rFonts w:ascii="宋体" w:hAnsi="宋体" w:eastAsia="宋体"/>
                <w:sz w:val="24"/>
                <w:szCs w:val="24"/>
              </w:rPr>
            </w:pPr>
          </w:p>
        </w:tc>
      </w:tr>
      <w:tr w14:paraId="09E2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B2CE954">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56382104">
            <w:pPr>
              <w:pStyle w:val="31"/>
              <w:ind w:firstLine="200"/>
              <w:jc w:val="center"/>
              <w:rPr>
                <w:rFonts w:ascii="宋体" w:hAnsi="宋体" w:eastAsia="宋体"/>
                <w:sz w:val="24"/>
                <w:szCs w:val="24"/>
              </w:rPr>
            </w:pPr>
          </w:p>
        </w:tc>
        <w:tc>
          <w:tcPr>
            <w:tcW w:w="1899" w:type="pct"/>
            <w:gridSpan w:val="2"/>
            <w:vAlign w:val="center"/>
          </w:tcPr>
          <w:p w14:paraId="1B754EFF">
            <w:pPr>
              <w:pStyle w:val="31"/>
              <w:ind w:firstLine="200"/>
              <w:jc w:val="center"/>
              <w:rPr>
                <w:rFonts w:ascii="宋体" w:hAnsi="宋体" w:eastAsia="宋体"/>
                <w:sz w:val="24"/>
                <w:szCs w:val="24"/>
              </w:rPr>
            </w:pPr>
          </w:p>
        </w:tc>
      </w:tr>
      <w:tr w14:paraId="7166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2A8BF14F">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14:paraId="195DE213">
            <w:pPr>
              <w:pStyle w:val="31"/>
              <w:ind w:firstLine="200"/>
              <w:jc w:val="center"/>
              <w:rPr>
                <w:rFonts w:ascii="宋体" w:hAnsi="宋体" w:eastAsia="宋体"/>
                <w:sz w:val="24"/>
                <w:szCs w:val="24"/>
              </w:rPr>
            </w:pPr>
          </w:p>
        </w:tc>
        <w:tc>
          <w:tcPr>
            <w:tcW w:w="1899" w:type="pct"/>
            <w:gridSpan w:val="2"/>
            <w:vAlign w:val="center"/>
          </w:tcPr>
          <w:p w14:paraId="27134D34">
            <w:pPr>
              <w:pStyle w:val="31"/>
              <w:ind w:firstLine="200"/>
              <w:jc w:val="center"/>
              <w:rPr>
                <w:rFonts w:ascii="宋体" w:hAnsi="宋体" w:eastAsia="宋体"/>
                <w:sz w:val="24"/>
                <w:szCs w:val="24"/>
              </w:rPr>
            </w:pPr>
          </w:p>
        </w:tc>
      </w:tr>
      <w:tr w14:paraId="6B2C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12AB5653">
            <w:pPr>
              <w:pStyle w:val="31"/>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3E57E2FD">
            <w:pPr>
              <w:pStyle w:val="31"/>
              <w:ind w:firstLine="200"/>
              <w:jc w:val="center"/>
              <w:rPr>
                <w:rFonts w:ascii="宋体" w:hAnsi="宋体" w:eastAsia="宋体"/>
                <w:sz w:val="24"/>
                <w:szCs w:val="24"/>
              </w:rPr>
            </w:pPr>
          </w:p>
        </w:tc>
      </w:tr>
    </w:tbl>
    <w:p w14:paraId="4FEB595B">
      <w:pPr>
        <w:spacing w:line="360" w:lineRule="auto"/>
        <w:ind w:firstLine="437"/>
        <w:outlineLvl w:val="3"/>
        <w:rPr>
          <w:rFonts w:ascii="宋体" w:hAnsi="宋体" w:eastAsia="宋体"/>
          <w:b/>
          <w:bCs/>
          <w:sz w:val="24"/>
          <w:lang w:val="zh-CN"/>
        </w:rPr>
      </w:pPr>
      <w:bookmarkStart w:id="37" w:name="_Toc1814"/>
      <w:bookmarkStart w:id="38" w:name="_Toc10340"/>
      <w:bookmarkStart w:id="39" w:name="_Toc22618"/>
      <w:r>
        <w:rPr>
          <w:rFonts w:hint="eastAsia" w:ascii="宋体" w:hAnsi="宋体" w:eastAsia="宋体"/>
          <w:b/>
          <w:bCs/>
          <w:sz w:val="24"/>
          <w:lang w:val="zh-CN"/>
        </w:rPr>
        <w:t>1.</w:t>
      </w:r>
      <w:r>
        <w:rPr>
          <w:rFonts w:ascii="宋体" w:hAnsi="宋体" w:eastAsia="宋体"/>
          <w:b/>
          <w:bCs/>
          <w:sz w:val="24"/>
          <w:lang w:val="zh-CN"/>
        </w:rPr>
        <w:t>4 付款方式和发票开具方式</w:t>
      </w:r>
      <w:bookmarkEnd w:id="37"/>
      <w:bookmarkEnd w:id="38"/>
      <w:bookmarkEnd w:id="39"/>
    </w:p>
    <w:p w14:paraId="1970F785">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14:paraId="0AA5E0C7">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3A8937A2">
      <w:pPr>
        <w:spacing w:line="360" w:lineRule="auto"/>
        <w:ind w:firstLine="437"/>
        <w:outlineLvl w:val="3"/>
        <w:rPr>
          <w:rFonts w:ascii="宋体" w:hAnsi="宋体" w:eastAsia="宋体"/>
          <w:b/>
          <w:bCs/>
          <w:sz w:val="24"/>
          <w:lang w:val="zh-CN"/>
        </w:rPr>
      </w:pPr>
      <w:bookmarkStart w:id="40" w:name="_Toc19304"/>
      <w:bookmarkStart w:id="41" w:name="_Toc2846"/>
      <w:bookmarkStart w:id="42" w:name="_Toc32071"/>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40"/>
      <w:bookmarkEnd w:id="41"/>
      <w:bookmarkEnd w:id="42"/>
    </w:p>
    <w:p w14:paraId="602CA5FB">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71C9E7FA">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71A0C3DA">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79124740">
      <w:pPr>
        <w:spacing w:line="360" w:lineRule="auto"/>
        <w:ind w:firstLine="437"/>
        <w:outlineLvl w:val="3"/>
        <w:rPr>
          <w:rFonts w:ascii="宋体" w:hAnsi="宋体" w:eastAsia="宋体"/>
          <w:b/>
          <w:bCs/>
          <w:sz w:val="24"/>
          <w:lang w:val="zh-CN"/>
        </w:rPr>
      </w:pPr>
      <w:bookmarkStart w:id="43" w:name="_Toc19554"/>
      <w:bookmarkStart w:id="44" w:name="_Toc21423"/>
      <w:bookmarkStart w:id="45" w:name="_Toc27250"/>
      <w:r>
        <w:rPr>
          <w:rFonts w:hint="eastAsia" w:ascii="宋体" w:hAnsi="宋体" w:eastAsia="宋体"/>
          <w:b/>
          <w:bCs/>
          <w:sz w:val="24"/>
          <w:lang w:val="zh-CN"/>
        </w:rPr>
        <w:t>1.6 违约责任</w:t>
      </w:r>
      <w:bookmarkEnd w:id="43"/>
      <w:bookmarkEnd w:id="44"/>
      <w:bookmarkEnd w:id="45"/>
    </w:p>
    <w:p w14:paraId="0BFF679B">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6F9234FE">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51D24064">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E47AA5">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F8100E3">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4E4D2F8">
      <w:pPr>
        <w:spacing w:line="360" w:lineRule="auto"/>
        <w:ind w:firstLine="435"/>
        <w:rPr>
          <w:rFonts w:ascii="宋体" w:hAnsi="宋体" w:eastAsia="宋体"/>
          <w:sz w:val="24"/>
        </w:rPr>
      </w:pPr>
      <w:r>
        <w:rPr>
          <w:rFonts w:hint="eastAsia" w:ascii="宋体" w:hAnsi="宋体" w:eastAsia="宋体"/>
          <w:sz w:val="24"/>
        </w:rPr>
        <w:t>1.6.6如果出现招标投标监督管理部门在处理投诉事项期间，书面通知甲方暂停招标活动的情形，或者询问或异议事项可能影响中标结果的，导致甲方中止履行合同的情形，均不视为甲方违约。</w:t>
      </w:r>
    </w:p>
    <w:p w14:paraId="0D74114F">
      <w:pPr>
        <w:spacing w:line="360" w:lineRule="auto"/>
        <w:ind w:firstLine="437"/>
        <w:outlineLvl w:val="3"/>
        <w:rPr>
          <w:rFonts w:ascii="宋体" w:hAnsi="宋体" w:eastAsia="宋体"/>
          <w:b/>
          <w:bCs/>
          <w:sz w:val="24"/>
          <w:lang w:val="zh-CN"/>
        </w:rPr>
      </w:pPr>
      <w:bookmarkStart w:id="46" w:name="_Toc28375"/>
      <w:bookmarkStart w:id="47" w:name="_Toc15583"/>
      <w:bookmarkStart w:id="48" w:name="_Toc16021"/>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46"/>
      <w:bookmarkEnd w:id="47"/>
      <w:bookmarkEnd w:id="48"/>
    </w:p>
    <w:p w14:paraId="7C85C23D">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14:paraId="153B3C42">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14:paraId="50BABB4F">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03157085">
      <w:pPr>
        <w:spacing w:line="360" w:lineRule="auto"/>
        <w:ind w:firstLine="437"/>
        <w:outlineLvl w:val="3"/>
        <w:rPr>
          <w:rFonts w:ascii="宋体" w:hAnsi="宋体" w:eastAsia="宋体"/>
          <w:b/>
          <w:bCs/>
          <w:sz w:val="24"/>
          <w:lang w:val="zh-CN"/>
        </w:rPr>
      </w:pPr>
      <w:bookmarkStart w:id="49" w:name="_Toc7245"/>
      <w:bookmarkStart w:id="50" w:name="_Toc15322"/>
      <w:bookmarkStart w:id="51" w:name="_Toc11173"/>
      <w:r>
        <w:rPr>
          <w:rFonts w:hint="eastAsia" w:ascii="宋体" w:hAnsi="宋体" w:eastAsia="宋体"/>
          <w:b/>
          <w:bCs/>
          <w:sz w:val="24"/>
          <w:lang w:val="zh-CN"/>
        </w:rPr>
        <w:t>1.8</w:t>
      </w:r>
      <w:r>
        <w:rPr>
          <w:rFonts w:ascii="宋体" w:hAnsi="宋体" w:eastAsia="宋体"/>
          <w:b/>
          <w:bCs/>
          <w:sz w:val="24"/>
          <w:lang w:val="zh-CN"/>
        </w:rPr>
        <w:t xml:space="preserve"> 合同生效</w:t>
      </w:r>
      <w:bookmarkEnd w:id="49"/>
      <w:bookmarkEnd w:id="50"/>
      <w:bookmarkEnd w:id="51"/>
    </w:p>
    <w:p w14:paraId="4B2F1A17">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612DCD68">
      <w:pPr>
        <w:autoSpaceDE w:val="0"/>
        <w:autoSpaceDN w:val="0"/>
        <w:adjustRightInd w:val="0"/>
        <w:spacing w:line="560" w:lineRule="exact"/>
        <w:rPr>
          <w:rFonts w:ascii="宋体" w:hAnsi="宋体" w:eastAsia="宋体"/>
          <w:sz w:val="24"/>
          <w:lang w:val="zh-CN"/>
        </w:rPr>
      </w:pPr>
    </w:p>
    <w:p w14:paraId="76F9EC11">
      <w:pPr>
        <w:autoSpaceDE w:val="0"/>
        <w:autoSpaceDN w:val="0"/>
        <w:adjustRightInd w:val="0"/>
        <w:spacing w:line="560" w:lineRule="exact"/>
        <w:rPr>
          <w:rFonts w:ascii="宋体" w:hAnsi="宋体" w:eastAsia="宋体"/>
          <w:sz w:val="24"/>
          <w:lang w:val="zh-CN"/>
        </w:rPr>
      </w:pPr>
    </w:p>
    <w:p w14:paraId="0F216F23">
      <w:pPr>
        <w:autoSpaceDE w:val="0"/>
        <w:autoSpaceDN w:val="0"/>
        <w:adjustRightInd w:val="0"/>
        <w:spacing w:line="560" w:lineRule="exact"/>
        <w:rPr>
          <w:rFonts w:ascii="宋体" w:hAnsi="宋体" w:eastAsia="宋体"/>
          <w:sz w:val="24"/>
          <w:lang w:val="zh-CN"/>
        </w:rPr>
      </w:pPr>
    </w:p>
    <w:p w14:paraId="151C51A9">
      <w:pPr>
        <w:autoSpaceDE w:val="0"/>
        <w:autoSpaceDN w:val="0"/>
        <w:adjustRightInd w:val="0"/>
        <w:spacing w:line="560" w:lineRule="exact"/>
        <w:rPr>
          <w:rFonts w:ascii="宋体" w:hAnsi="宋体" w:eastAsia="宋体"/>
          <w:bCs/>
          <w:sz w:val="24"/>
          <w:lang w:val="zh-CN"/>
        </w:rPr>
      </w:pPr>
      <w:r>
        <w:rPr>
          <w:rFonts w:hint="eastAsia" w:ascii="宋体" w:hAnsi="宋体" w:eastAsia="宋体"/>
          <w:bCs/>
          <w:sz w:val="24"/>
          <w:lang w:val="zh-CN"/>
        </w:rPr>
        <w:t xml:space="preserve">甲 </w:t>
      </w:r>
      <w:r>
        <w:rPr>
          <w:rFonts w:ascii="宋体" w:hAnsi="宋体" w:eastAsia="宋体"/>
          <w:bCs/>
          <w:sz w:val="24"/>
          <w:lang w:val="zh-CN"/>
        </w:rPr>
        <w:t xml:space="preserve">   </w:t>
      </w:r>
      <w:r>
        <w:rPr>
          <w:rFonts w:hint="eastAsia" w:ascii="宋体" w:hAnsi="宋体" w:eastAsia="宋体"/>
          <w:bCs/>
          <w:sz w:val="24"/>
          <w:lang w:val="zh-CN"/>
        </w:rPr>
        <w:t>方：</w:t>
      </w:r>
      <w:r>
        <w:rPr>
          <w:rFonts w:hint="eastAsia" w:ascii="宋体" w:hAnsi="宋体" w:eastAsia="宋体"/>
          <w:bCs/>
          <w:sz w:val="24"/>
          <w:u w:val="single"/>
          <w:lang w:val="zh-CN"/>
        </w:rPr>
        <w:t xml:space="preserve">    （单位盖章）     </w:t>
      </w:r>
      <w:r>
        <w:rPr>
          <w:rFonts w:hint="eastAsia" w:ascii="宋体" w:hAnsi="宋体" w:eastAsia="宋体"/>
          <w:bCs/>
          <w:sz w:val="24"/>
          <w:lang w:val="zh-CN"/>
        </w:rPr>
        <w:t xml:space="preserve">          乙方：</w:t>
      </w:r>
      <w:r>
        <w:rPr>
          <w:rFonts w:hint="eastAsia" w:ascii="宋体" w:hAnsi="宋体" w:eastAsia="宋体"/>
          <w:bCs/>
          <w:sz w:val="24"/>
          <w:u w:val="single"/>
          <w:lang w:val="zh-CN"/>
        </w:rPr>
        <w:t xml:space="preserve">    （单位盖章）     </w:t>
      </w:r>
    </w:p>
    <w:p w14:paraId="6607F6D8">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 xml:space="preserve">法定代表人                             </w:t>
      </w:r>
      <w:r>
        <w:rPr>
          <w:rFonts w:ascii="宋体" w:hAnsi="宋体" w:eastAsia="宋体"/>
          <w:sz w:val="24"/>
          <w:lang w:val="zh-CN"/>
        </w:rPr>
        <w:t xml:space="preserve">  </w:t>
      </w:r>
      <w:r>
        <w:rPr>
          <w:rFonts w:hint="eastAsia" w:ascii="宋体" w:hAnsi="宋体" w:eastAsia="宋体"/>
          <w:sz w:val="24"/>
          <w:lang w:val="zh-CN"/>
        </w:rPr>
        <w:t>法定代表人</w:t>
      </w:r>
    </w:p>
    <w:p w14:paraId="1DB85F94">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或授权代表（签字）：                      或授权代表（签字）：</w:t>
      </w:r>
    </w:p>
    <w:p w14:paraId="5B732C5D">
      <w:pPr>
        <w:widowControl/>
        <w:spacing w:line="560" w:lineRule="exact"/>
        <w:jc w:val="left"/>
        <w:rPr>
          <w:rFonts w:ascii="宋体" w:hAnsi="宋体" w:eastAsia="宋体"/>
          <w:bCs/>
          <w:sz w:val="24"/>
        </w:rPr>
      </w:pPr>
      <w:bookmarkStart w:id="52" w:name="_Toc331685783"/>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               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w:t>
      </w:r>
    </w:p>
    <w:p w14:paraId="51748F8F">
      <w:pPr>
        <w:widowControl/>
        <w:jc w:val="left"/>
        <w:rPr>
          <w:rFonts w:ascii="宋体" w:hAnsi="宋体" w:eastAsia="宋体"/>
          <w:b/>
          <w:sz w:val="24"/>
        </w:rPr>
      </w:pPr>
      <w:r>
        <w:rPr>
          <w:rFonts w:ascii="宋体" w:hAnsi="宋体" w:eastAsia="宋体"/>
          <w:b/>
          <w:sz w:val="24"/>
        </w:rPr>
        <w:br w:type="page"/>
      </w:r>
    </w:p>
    <w:p w14:paraId="6743DC2B">
      <w:pPr>
        <w:spacing w:line="360" w:lineRule="auto"/>
        <w:jc w:val="center"/>
        <w:outlineLvl w:val="2"/>
        <w:rPr>
          <w:rFonts w:ascii="宋体" w:hAnsi="宋体" w:eastAsia="宋体"/>
          <w:b/>
          <w:sz w:val="24"/>
        </w:rPr>
      </w:pPr>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52"/>
    </w:p>
    <w:p w14:paraId="0E0435B1">
      <w:pPr>
        <w:spacing w:line="360" w:lineRule="auto"/>
        <w:ind w:firstLine="437"/>
        <w:outlineLvl w:val="3"/>
        <w:rPr>
          <w:rFonts w:ascii="宋体" w:hAnsi="宋体" w:eastAsia="宋体"/>
          <w:b/>
          <w:bCs/>
          <w:sz w:val="24"/>
          <w:lang w:val="zh-CN"/>
        </w:rPr>
      </w:pPr>
      <w:bookmarkStart w:id="53" w:name="_Ref467379195"/>
      <w:bookmarkStart w:id="54" w:name="_Ref467379101"/>
      <w:bookmarkStart w:id="55" w:name="_Toc279701240"/>
      <w:bookmarkStart w:id="56" w:name="_Toc259093669"/>
      <w:bookmarkStart w:id="57" w:name="_Toc28763"/>
      <w:bookmarkStart w:id="58" w:name="_Ref467379225"/>
      <w:bookmarkStart w:id="59" w:name="_Ref467378463"/>
      <w:bookmarkStart w:id="60" w:name="_Ref467379214"/>
      <w:bookmarkStart w:id="61" w:name="_Ref467379109"/>
      <w:bookmarkStart w:id="62" w:name="_Toc487900349"/>
      <w:bookmarkStart w:id="63" w:name="_Toc19614"/>
      <w:bookmarkStart w:id="64" w:name="_Toc16917"/>
      <w:bookmarkStart w:id="65" w:name="_Ref467378499"/>
      <w:bookmarkStart w:id="66" w:name="_Ref467379205"/>
      <w:bookmarkStart w:id="67" w:name="_Ref467378404"/>
      <w:bookmarkStart w:id="68" w:name="_Ref467379094"/>
      <w:r>
        <w:rPr>
          <w:rFonts w:hint="eastAsia" w:ascii="宋体" w:hAnsi="宋体" w:eastAsia="宋体"/>
          <w:b/>
          <w:bCs/>
          <w:sz w:val="24"/>
          <w:lang w:val="zh-CN"/>
        </w:rPr>
        <w:t>2.1</w:t>
      </w:r>
      <w:r>
        <w:rPr>
          <w:rFonts w:ascii="宋体" w:hAnsi="宋体" w:eastAsia="宋体"/>
          <w:b/>
          <w:bCs/>
          <w:sz w:val="24"/>
          <w:lang w:val="zh-CN"/>
        </w:rPr>
        <w:t xml:space="preserve"> 定义</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A596E5F">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772BFD9C">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“合同”系指招标人和中标人签订的载明双方当事人所达成的协议，并包括所有的附件、附录和构成合同的其他文件。</w:t>
      </w:r>
    </w:p>
    <w:p w14:paraId="58264CA0">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1.2“合同价”系指根据合同约定，中标人在完全履行合同义务后</w:t>
      </w:r>
      <w:r>
        <w:rPr>
          <w:rFonts w:hint="eastAsia" w:ascii="宋体" w:hAnsi="宋体" w:eastAsia="宋体"/>
          <w:sz w:val="24"/>
        </w:rPr>
        <w:t>，</w:t>
      </w:r>
      <w:r>
        <w:rPr>
          <w:rFonts w:ascii="宋体" w:hAnsi="宋体" w:eastAsia="宋体"/>
          <w:sz w:val="24"/>
        </w:rPr>
        <w:t>招标人应支付给中标人的价格。</w:t>
      </w:r>
    </w:p>
    <w:p w14:paraId="46714EA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中标人</w:t>
      </w:r>
      <w:r>
        <w:rPr>
          <w:rFonts w:ascii="宋体" w:hAnsi="宋体" w:eastAsia="宋体"/>
          <w:sz w:val="24"/>
        </w:rPr>
        <w:t>根据合同约定应向招标人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除货物和工程以外的其他招标对象，包括招标人自身需要的服务和向社会公众提供的公共服务。</w:t>
      </w:r>
    </w:p>
    <w:p w14:paraId="05869870">
      <w:pPr>
        <w:spacing w:line="360" w:lineRule="auto"/>
        <w:ind w:firstLine="435"/>
        <w:rPr>
          <w:rFonts w:ascii="宋体" w:hAnsi="宋体" w:eastAsia="宋体"/>
          <w:sz w:val="24"/>
        </w:rPr>
      </w:pPr>
      <w:bookmarkStart w:id="69"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中标人</w:t>
      </w:r>
      <w:r>
        <w:rPr>
          <w:rFonts w:ascii="宋体" w:hAnsi="宋体" w:eastAsia="宋体"/>
          <w:sz w:val="24"/>
        </w:rPr>
        <w:t>签署合同的招标人</w:t>
      </w:r>
      <w:bookmarkEnd w:id="69"/>
      <w:r>
        <w:rPr>
          <w:rFonts w:hint="eastAsia" w:ascii="宋体" w:hAnsi="宋体" w:eastAsia="宋体"/>
          <w:sz w:val="24"/>
        </w:rPr>
        <w:t>；招标人委托招标代理机构代表其与乙方签订合同的，招标人的授权委托书作为合同附件。</w:t>
      </w:r>
    </w:p>
    <w:p w14:paraId="1681C6BD">
      <w:pPr>
        <w:spacing w:line="360" w:lineRule="auto"/>
        <w:ind w:firstLine="435"/>
        <w:rPr>
          <w:rFonts w:ascii="宋体" w:hAnsi="宋体" w:eastAsia="宋体"/>
          <w:sz w:val="24"/>
        </w:rPr>
      </w:pPr>
      <w:bookmarkStart w:id="70"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的中标人</w:t>
      </w:r>
      <w:bookmarkEnd w:id="70"/>
      <w:r>
        <w:rPr>
          <w:rFonts w:hint="eastAsia" w:ascii="宋体" w:hAnsi="宋体" w:eastAsia="宋体"/>
          <w:sz w:val="24"/>
        </w:rPr>
        <w:t>；两个以上的自然人、法人或者其他组织组成一个联合体，以一个投标人的身份共同参加招标代理的，联合体各方均应为乙方或者与乙方相同地位的合同当事人，并就合同约定的事项对甲方承担连带责任。</w:t>
      </w:r>
    </w:p>
    <w:p w14:paraId="085183F3">
      <w:pPr>
        <w:spacing w:line="360" w:lineRule="auto"/>
        <w:ind w:firstLine="435"/>
        <w:rPr>
          <w:rFonts w:ascii="宋体" w:hAnsi="宋体" w:eastAsia="宋体"/>
          <w:sz w:val="24"/>
        </w:rPr>
      </w:pPr>
      <w:bookmarkStart w:id="71"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71"/>
    </w:p>
    <w:p w14:paraId="75F5409D">
      <w:pPr>
        <w:spacing w:line="360" w:lineRule="auto"/>
        <w:ind w:firstLine="437"/>
        <w:outlineLvl w:val="3"/>
        <w:rPr>
          <w:rFonts w:ascii="宋体" w:hAnsi="宋体" w:eastAsia="宋体"/>
          <w:b/>
          <w:bCs/>
          <w:sz w:val="24"/>
          <w:lang w:val="zh-CN"/>
        </w:rPr>
      </w:pPr>
      <w:bookmarkStart w:id="72" w:name="_Toc279701241"/>
      <w:bookmarkStart w:id="73" w:name="_Toc259093670"/>
      <w:bookmarkStart w:id="74" w:name="_Toc27635"/>
      <w:bookmarkStart w:id="75" w:name="_Toc487900350"/>
      <w:bookmarkStart w:id="76" w:name="_Toc32504"/>
      <w:bookmarkStart w:id="77" w:name="_Toc13336"/>
      <w:r>
        <w:rPr>
          <w:rFonts w:hint="eastAsia" w:ascii="宋体" w:hAnsi="宋体" w:eastAsia="宋体"/>
          <w:b/>
          <w:bCs/>
          <w:sz w:val="24"/>
          <w:lang w:val="zh-CN"/>
        </w:rPr>
        <w:t>2.</w:t>
      </w:r>
      <w:r>
        <w:rPr>
          <w:rFonts w:ascii="宋体" w:hAnsi="宋体" w:eastAsia="宋体"/>
          <w:b/>
          <w:bCs/>
          <w:sz w:val="24"/>
          <w:lang w:val="zh-CN"/>
        </w:rPr>
        <w:t>2 技术规范</w:t>
      </w:r>
      <w:bookmarkEnd w:id="72"/>
      <w:bookmarkEnd w:id="73"/>
      <w:bookmarkEnd w:id="74"/>
      <w:bookmarkEnd w:id="75"/>
      <w:bookmarkEnd w:id="76"/>
      <w:bookmarkEnd w:id="77"/>
    </w:p>
    <w:p w14:paraId="2DCDF562">
      <w:pPr>
        <w:spacing w:line="360" w:lineRule="auto"/>
        <w:ind w:firstLine="435"/>
        <w:rPr>
          <w:rFonts w:ascii="宋体" w:hAnsi="宋体" w:eastAsia="宋体"/>
          <w:sz w:val="24"/>
        </w:rPr>
      </w:pPr>
      <w:r>
        <w:rPr>
          <w:rFonts w:ascii="宋体" w:hAnsi="宋体" w:eastAsia="宋体"/>
          <w:sz w:val="24"/>
        </w:rPr>
        <w:t>货物所应遵守的技术规范应与</w:t>
      </w:r>
      <w:r>
        <w:rPr>
          <w:rFonts w:hint="eastAsia" w:ascii="宋体" w:hAnsi="宋体" w:eastAsia="宋体"/>
          <w:sz w:val="24"/>
        </w:rPr>
        <w:t>采购</w:t>
      </w:r>
      <w:r>
        <w:rPr>
          <w:rFonts w:ascii="宋体" w:hAnsi="宋体" w:eastAsia="宋体"/>
          <w:sz w:val="24"/>
        </w:rPr>
        <w:t>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采购</w:t>
      </w:r>
      <w:r>
        <w:rPr>
          <w:rFonts w:ascii="宋体" w:hAnsi="宋体" w:eastAsia="宋体"/>
          <w:sz w:val="24"/>
        </w:rPr>
        <w:t>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65B3B37E">
      <w:pPr>
        <w:spacing w:line="360" w:lineRule="auto"/>
        <w:ind w:firstLine="437"/>
        <w:outlineLvl w:val="3"/>
        <w:rPr>
          <w:rFonts w:ascii="宋体" w:hAnsi="宋体" w:eastAsia="宋体"/>
          <w:b/>
          <w:bCs/>
          <w:sz w:val="24"/>
          <w:lang w:val="zh-CN"/>
        </w:rPr>
      </w:pPr>
      <w:bookmarkStart w:id="78" w:name="_Toc279701242"/>
      <w:bookmarkStart w:id="79" w:name="_Toc27853"/>
      <w:bookmarkStart w:id="80" w:name="_Toc259093671"/>
      <w:bookmarkStart w:id="81" w:name="_Toc31634"/>
      <w:bookmarkStart w:id="82" w:name="_Toc9829"/>
      <w:bookmarkStart w:id="83" w:name="_Toc487900351"/>
      <w:r>
        <w:rPr>
          <w:rFonts w:hint="eastAsia" w:ascii="宋体" w:hAnsi="宋体" w:eastAsia="宋体"/>
          <w:b/>
          <w:bCs/>
          <w:sz w:val="24"/>
          <w:lang w:val="zh-CN"/>
        </w:rPr>
        <w:t>2.</w:t>
      </w:r>
      <w:r>
        <w:rPr>
          <w:rFonts w:ascii="宋体" w:hAnsi="宋体" w:eastAsia="宋体"/>
          <w:b/>
          <w:bCs/>
          <w:sz w:val="24"/>
          <w:lang w:val="zh-CN"/>
        </w:rPr>
        <w:t>3 知识产权</w:t>
      </w:r>
      <w:bookmarkEnd w:id="78"/>
      <w:bookmarkEnd w:id="79"/>
      <w:bookmarkEnd w:id="80"/>
      <w:bookmarkEnd w:id="81"/>
      <w:bookmarkEnd w:id="82"/>
      <w:bookmarkEnd w:id="83"/>
    </w:p>
    <w:p w14:paraId="056D0BB6">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2BF68B9D">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55E620DF">
      <w:pPr>
        <w:spacing w:line="360" w:lineRule="auto"/>
        <w:ind w:firstLine="437"/>
        <w:outlineLvl w:val="3"/>
        <w:rPr>
          <w:rFonts w:ascii="宋体" w:hAnsi="宋体" w:eastAsia="宋体"/>
          <w:b/>
          <w:bCs/>
          <w:sz w:val="24"/>
          <w:lang w:val="zh-CN"/>
        </w:rPr>
      </w:pPr>
      <w:bookmarkStart w:id="84" w:name="_Ref467378591"/>
      <w:bookmarkStart w:id="85" w:name="_Ref467378541"/>
      <w:bookmarkStart w:id="86" w:name="_Toc279701245"/>
      <w:bookmarkStart w:id="87" w:name="_Ref467379542"/>
      <w:bookmarkStart w:id="88" w:name="_Ref467379536"/>
      <w:bookmarkStart w:id="89" w:name="_Ref467379527"/>
      <w:bookmarkStart w:id="90" w:name="_Toc487900354"/>
      <w:bookmarkStart w:id="91" w:name="_Toc259093674"/>
      <w:bookmarkStart w:id="92" w:name="_Toc30272"/>
      <w:bookmarkStart w:id="93" w:name="_Toc19074"/>
      <w:bookmarkStart w:id="94" w:name="_Toc26182"/>
      <w:r>
        <w:rPr>
          <w:rFonts w:hint="eastAsia" w:ascii="宋体" w:hAnsi="宋体" w:eastAsia="宋体"/>
          <w:b/>
          <w:bCs/>
          <w:sz w:val="24"/>
          <w:lang w:val="zh-CN"/>
        </w:rPr>
        <w:t>2.</w:t>
      </w:r>
      <w:bookmarkEnd w:id="84"/>
      <w:bookmarkEnd w:id="85"/>
      <w:bookmarkEnd w:id="86"/>
      <w:bookmarkEnd w:id="87"/>
      <w:bookmarkEnd w:id="88"/>
      <w:bookmarkEnd w:id="89"/>
      <w:bookmarkEnd w:id="90"/>
      <w:bookmarkEnd w:id="91"/>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92"/>
      <w:bookmarkEnd w:id="93"/>
      <w:bookmarkEnd w:id="94"/>
    </w:p>
    <w:p w14:paraId="33447CE1">
      <w:pPr>
        <w:spacing w:line="360" w:lineRule="auto"/>
        <w:ind w:firstLine="435"/>
        <w:rPr>
          <w:rFonts w:ascii="宋体" w:hAnsi="宋体" w:eastAsia="宋体"/>
          <w:sz w:val="24"/>
        </w:rPr>
      </w:pPr>
      <w:bookmarkStart w:id="95" w:name="_Toc186431854"/>
      <w:bookmarkStart w:id="96" w:name="_Toc259093676"/>
      <w:bookmarkStart w:id="97" w:name="_Ref467379793"/>
      <w:bookmarkStart w:id="98" w:name="_Ref467379807"/>
      <w:bookmarkStart w:id="99" w:name="_Toc487900357"/>
      <w:bookmarkStart w:id="100" w:name="_Toc279701247"/>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14:paraId="5E58740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95"/>
      <w:bookmarkStart w:id="101" w:name="_Toc186431855"/>
      <w:r>
        <w:rPr>
          <w:rFonts w:hint="eastAsia" w:ascii="宋体" w:hAnsi="宋体" w:eastAsia="宋体"/>
          <w:sz w:val="24"/>
        </w:rPr>
        <w:t>。</w:t>
      </w:r>
    </w:p>
    <w:bookmarkEnd w:id="101"/>
    <w:p w14:paraId="02CF61B9">
      <w:pPr>
        <w:spacing w:line="360" w:lineRule="auto"/>
        <w:ind w:firstLine="437"/>
        <w:outlineLvl w:val="3"/>
        <w:rPr>
          <w:rFonts w:ascii="宋体" w:hAnsi="宋体" w:eastAsia="宋体"/>
          <w:b/>
          <w:bCs/>
          <w:sz w:val="24"/>
          <w:lang w:val="zh-CN"/>
        </w:rPr>
      </w:pPr>
      <w:bookmarkStart w:id="102" w:name="_Toc28451"/>
      <w:bookmarkStart w:id="103" w:name="_Toc7836"/>
      <w:bookmarkStart w:id="104" w:name="_Toc19219"/>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96"/>
      <w:bookmarkEnd w:id="97"/>
      <w:bookmarkEnd w:id="98"/>
      <w:bookmarkEnd w:id="99"/>
      <w:bookmarkEnd w:id="100"/>
      <w:bookmarkEnd w:id="102"/>
      <w:bookmarkEnd w:id="103"/>
      <w:bookmarkEnd w:id="104"/>
    </w:p>
    <w:p w14:paraId="73DB9EFF">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68CD3467">
      <w:pPr>
        <w:spacing w:line="360" w:lineRule="auto"/>
        <w:ind w:firstLine="437"/>
        <w:outlineLvl w:val="3"/>
        <w:rPr>
          <w:rFonts w:ascii="宋体" w:hAnsi="宋体" w:eastAsia="宋体"/>
          <w:b/>
          <w:bCs/>
          <w:sz w:val="24"/>
          <w:lang w:val="zh-CN"/>
        </w:rPr>
      </w:pPr>
      <w:bookmarkStart w:id="105" w:name="_Toc487900358"/>
      <w:bookmarkStart w:id="106" w:name="_Ref467379852"/>
      <w:bookmarkStart w:id="107" w:name="_Toc259093677"/>
      <w:bookmarkStart w:id="108" w:name="_Ref467379923"/>
      <w:bookmarkStart w:id="109" w:name="_Ref467379863"/>
      <w:bookmarkStart w:id="110" w:name="_Toc279701248"/>
      <w:bookmarkStart w:id="111" w:name="_Toc16110"/>
      <w:bookmarkStart w:id="112" w:name="_Toc3225"/>
      <w:bookmarkStart w:id="113" w:name="_Toc774"/>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105"/>
      <w:bookmarkEnd w:id="106"/>
      <w:bookmarkEnd w:id="107"/>
      <w:bookmarkEnd w:id="108"/>
      <w:bookmarkEnd w:id="109"/>
      <w:bookmarkEnd w:id="110"/>
      <w:r>
        <w:rPr>
          <w:rFonts w:ascii="宋体" w:hAnsi="宋体" w:eastAsia="宋体"/>
          <w:b/>
          <w:bCs/>
          <w:sz w:val="24"/>
          <w:lang w:val="zh-CN"/>
        </w:rPr>
        <w:t>和保密义务</w:t>
      </w:r>
      <w:bookmarkEnd w:id="111"/>
      <w:bookmarkEnd w:id="112"/>
      <w:bookmarkEnd w:id="113"/>
    </w:p>
    <w:p w14:paraId="40DE2A4D">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14:paraId="3EC860D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14:paraId="3E37DABD">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6E1DEA24">
      <w:pPr>
        <w:spacing w:line="360" w:lineRule="auto"/>
        <w:ind w:firstLine="437"/>
        <w:outlineLvl w:val="3"/>
        <w:rPr>
          <w:rFonts w:ascii="宋体" w:hAnsi="宋体" w:eastAsia="宋体"/>
          <w:b/>
          <w:bCs/>
          <w:sz w:val="24"/>
          <w:lang w:val="zh-CN"/>
        </w:rPr>
      </w:pPr>
      <w:bookmarkStart w:id="114" w:name="_Toc7860"/>
      <w:r>
        <w:rPr>
          <w:rFonts w:ascii="宋体" w:hAnsi="宋体" w:eastAsia="宋体"/>
          <w:b/>
          <w:bCs/>
          <w:sz w:val="24"/>
          <w:lang w:val="zh-CN"/>
        </w:rPr>
        <w:t>2.7 质量保证</w:t>
      </w:r>
      <w:bookmarkEnd w:id="114"/>
    </w:p>
    <w:p w14:paraId="76F47D8E">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14:paraId="42E3DE7E">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14:paraId="3392F32E">
      <w:pPr>
        <w:spacing w:line="360" w:lineRule="auto"/>
        <w:ind w:firstLine="437"/>
        <w:outlineLvl w:val="3"/>
        <w:rPr>
          <w:rFonts w:ascii="宋体" w:hAnsi="宋体" w:eastAsia="宋体"/>
          <w:b/>
          <w:sz w:val="24"/>
        </w:rPr>
      </w:pPr>
      <w:bookmarkStart w:id="115" w:name="_Toc22267"/>
      <w:r>
        <w:rPr>
          <w:rFonts w:hint="eastAsia" w:ascii="宋体" w:hAnsi="宋体" w:eastAsia="宋体"/>
          <w:b/>
          <w:sz w:val="24"/>
        </w:rPr>
        <w:t>2.8 延迟履行</w:t>
      </w:r>
      <w:bookmarkEnd w:id="115"/>
    </w:p>
    <w:p w14:paraId="2F265B80">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44E5E4B9">
      <w:pPr>
        <w:spacing w:line="360" w:lineRule="auto"/>
        <w:ind w:firstLine="437"/>
        <w:outlineLvl w:val="3"/>
        <w:rPr>
          <w:rFonts w:ascii="宋体" w:hAnsi="宋体" w:eastAsia="宋体"/>
          <w:b/>
          <w:bCs/>
          <w:sz w:val="24"/>
          <w:lang w:val="zh-CN"/>
        </w:rPr>
      </w:pPr>
      <w:bookmarkStart w:id="116" w:name="_Toc7502"/>
      <w:bookmarkStart w:id="117" w:name="_Toc487900364"/>
      <w:bookmarkStart w:id="118" w:name="_Toc279701254"/>
      <w:bookmarkStart w:id="119" w:name="_Toc259093683"/>
      <w:bookmarkStart w:id="120" w:name="_Ref467378121"/>
      <w:r>
        <w:rPr>
          <w:rFonts w:ascii="宋体" w:hAnsi="宋体" w:eastAsia="宋体"/>
          <w:b/>
          <w:bCs/>
          <w:sz w:val="24"/>
          <w:lang w:val="zh-CN"/>
        </w:rPr>
        <w:t>2.9 合同变更</w:t>
      </w:r>
      <w:bookmarkEnd w:id="116"/>
    </w:p>
    <w:p w14:paraId="2CD2D6F4">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14:paraId="6315D4B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21" w:name="_Toc259093688"/>
      <w:bookmarkStart w:id="122" w:name="_Toc487900369"/>
      <w:bookmarkStart w:id="123" w:name="_Toc279701259"/>
    </w:p>
    <w:p w14:paraId="348CDFDB">
      <w:pPr>
        <w:spacing w:line="360" w:lineRule="auto"/>
        <w:ind w:firstLine="437"/>
        <w:outlineLvl w:val="3"/>
        <w:rPr>
          <w:rFonts w:ascii="宋体" w:hAnsi="宋体" w:eastAsia="宋体"/>
          <w:b/>
          <w:bCs/>
          <w:sz w:val="24"/>
          <w:lang w:val="zh-CN"/>
        </w:rPr>
      </w:pPr>
      <w:bookmarkStart w:id="124" w:name="_Toc15237"/>
      <w:bookmarkStart w:id="125" w:name="_Toc22955"/>
      <w:bookmarkStart w:id="126" w:name="_Toc10366"/>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21"/>
      <w:bookmarkEnd w:id="122"/>
      <w:bookmarkEnd w:id="123"/>
      <w:r>
        <w:rPr>
          <w:rFonts w:ascii="宋体" w:hAnsi="宋体" w:eastAsia="宋体"/>
          <w:b/>
          <w:bCs/>
          <w:sz w:val="24"/>
          <w:lang w:val="zh-CN"/>
        </w:rPr>
        <w:t>和分包</w:t>
      </w:r>
      <w:bookmarkEnd w:id="124"/>
      <w:bookmarkEnd w:id="125"/>
      <w:bookmarkEnd w:id="126"/>
    </w:p>
    <w:p w14:paraId="2B3E26B7">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与分包投标人就分包项目向甲方承担连带责任。</w:t>
      </w:r>
    </w:p>
    <w:p w14:paraId="4E6408F7">
      <w:pPr>
        <w:spacing w:line="360" w:lineRule="auto"/>
        <w:ind w:firstLine="437"/>
        <w:outlineLvl w:val="3"/>
        <w:rPr>
          <w:rFonts w:ascii="宋体" w:hAnsi="宋体" w:eastAsia="宋体"/>
          <w:b/>
          <w:bCs/>
          <w:sz w:val="24"/>
          <w:lang w:val="zh-CN"/>
        </w:rPr>
      </w:pPr>
      <w:bookmarkStart w:id="127" w:name="_Toc16508"/>
      <w:bookmarkStart w:id="128" w:name="_Toc13566"/>
      <w:bookmarkStart w:id="129" w:name="_Toc14066"/>
      <w:r>
        <w:rPr>
          <w:rFonts w:hint="eastAsia" w:ascii="宋体" w:hAnsi="宋体" w:eastAsia="宋体"/>
          <w:b/>
          <w:bCs/>
          <w:sz w:val="24"/>
          <w:lang w:val="zh-CN"/>
        </w:rPr>
        <w:t>2.1</w:t>
      </w:r>
      <w:r>
        <w:rPr>
          <w:rFonts w:ascii="宋体" w:hAnsi="宋体" w:eastAsia="宋体"/>
          <w:b/>
          <w:bCs/>
          <w:sz w:val="24"/>
          <w:lang w:val="zh-CN"/>
        </w:rPr>
        <w:t>1 不可抗力</w:t>
      </w:r>
      <w:bookmarkEnd w:id="127"/>
      <w:bookmarkEnd w:id="128"/>
      <w:bookmarkEnd w:id="129"/>
    </w:p>
    <w:p w14:paraId="279E5199">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70CC189E">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14:paraId="778A1B0E">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51B24865">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72F9F24B">
      <w:pPr>
        <w:spacing w:line="360" w:lineRule="auto"/>
        <w:ind w:firstLine="437"/>
        <w:outlineLvl w:val="3"/>
        <w:rPr>
          <w:rFonts w:ascii="宋体" w:hAnsi="宋体" w:eastAsia="宋体"/>
          <w:b/>
          <w:bCs/>
          <w:sz w:val="24"/>
          <w:lang w:val="zh-CN"/>
        </w:rPr>
      </w:pPr>
      <w:bookmarkStart w:id="130" w:name="_Toc487900365"/>
      <w:bookmarkStart w:id="131" w:name="_Toc259093684"/>
      <w:bookmarkStart w:id="132" w:name="_Toc30676"/>
      <w:bookmarkStart w:id="133" w:name="_Toc6969"/>
      <w:bookmarkStart w:id="134" w:name="_Toc689"/>
      <w:bookmarkStart w:id="135" w:name="_Toc279701255"/>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30"/>
      <w:bookmarkEnd w:id="131"/>
      <w:bookmarkEnd w:id="132"/>
      <w:bookmarkEnd w:id="133"/>
      <w:bookmarkEnd w:id="134"/>
      <w:bookmarkEnd w:id="135"/>
    </w:p>
    <w:p w14:paraId="6D007071">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0CDB4289">
      <w:pPr>
        <w:spacing w:line="360" w:lineRule="auto"/>
        <w:ind w:firstLine="437"/>
        <w:outlineLvl w:val="3"/>
        <w:rPr>
          <w:rFonts w:ascii="宋体" w:hAnsi="宋体" w:eastAsia="宋体"/>
          <w:b/>
          <w:bCs/>
          <w:sz w:val="24"/>
          <w:lang w:val="zh-CN"/>
        </w:rPr>
      </w:pPr>
      <w:bookmarkStart w:id="136" w:name="_Toc16959"/>
      <w:bookmarkStart w:id="137" w:name="_Toc8298"/>
      <w:bookmarkStart w:id="138" w:name="_Toc487900368"/>
      <w:bookmarkStart w:id="139" w:name="_Toc259093687"/>
      <w:bookmarkStart w:id="140" w:name="_Toc279701258"/>
      <w:bookmarkStart w:id="141" w:name="_Toc7102"/>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36"/>
      <w:bookmarkEnd w:id="137"/>
      <w:bookmarkEnd w:id="138"/>
      <w:bookmarkEnd w:id="139"/>
      <w:bookmarkEnd w:id="140"/>
      <w:bookmarkEnd w:id="141"/>
    </w:p>
    <w:p w14:paraId="37E4D3B4">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3122216E">
      <w:pPr>
        <w:spacing w:line="360" w:lineRule="auto"/>
        <w:ind w:firstLine="437"/>
        <w:outlineLvl w:val="3"/>
        <w:rPr>
          <w:rFonts w:ascii="宋体" w:hAnsi="宋体" w:eastAsia="宋体"/>
          <w:b/>
          <w:sz w:val="24"/>
        </w:rPr>
      </w:pPr>
      <w:bookmarkStart w:id="142" w:name="_Toc6134"/>
      <w:bookmarkStart w:id="143" w:name="_Toc29333"/>
      <w:bookmarkStart w:id="144" w:name="_Toc15387"/>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42"/>
      <w:bookmarkEnd w:id="143"/>
      <w:bookmarkEnd w:id="144"/>
    </w:p>
    <w:p w14:paraId="5C50F2D3">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14:paraId="6D6F7D45">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14:paraId="3CD7FA15">
      <w:pPr>
        <w:spacing w:line="360" w:lineRule="auto"/>
        <w:ind w:firstLine="437"/>
        <w:outlineLvl w:val="3"/>
        <w:rPr>
          <w:rFonts w:ascii="宋体" w:hAnsi="宋体" w:eastAsia="宋体"/>
          <w:b/>
          <w:bCs/>
          <w:sz w:val="24"/>
          <w:lang w:val="zh-CN"/>
        </w:rPr>
      </w:pPr>
      <w:bookmarkStart w:id="145" w:name="_Toc1125"/>
      <w:bookmarkStart w:id="146" w:name="_Toc6596"/>
      <w:bookmarkStart w:id="147" w:name="_Toc14563"/>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45"/>
      <w:bookmarkEnd w:id="146"/>
      <w:bookmarkEnd w:id="147"/>
    </w:p>
    <w:p w14:paraId="4C5EA7DE">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2F6F96A1">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4777CBA">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17"/>
    <w:bookmarkEnd w:id="118"/>
    <w:bookmarkEnd w:id="119"/>
    <w:bookmarkEnd w:id="120"/>
    <w:p w14:paraId="0BD532EB">
      <w:pPr>
        <w:spacing w:line="360" w:lineRule="auto"/>
        <w:ind w:firstLine="437"/>
        <w:outlineLvl w:val="3"/>
        <w:rPr>
          <w:rFonts w:ascii="宋体" w:hAnsi="宋体" w:eastAsia="宋体"/>
          <w:b/>
          <w:bCs/>
          <w:sz w:val="24"/>
        </w:rPr>
      </w:pPr>
      <w:bookmarkStart w:id="148" w:name="_Toc10330"/>
      <w:bookmarkStart w:id="149" w:name="_Toc487900373"/>
      <w:bookmarkStart w:id="150" w:name="_Toc259093692"/>
      <w:bookmarkStart w:id="151" w:name="_Toc12773"/>
      <w:bookmarkStart w:id="152" w:name="_Toc18567"/>
      <w:bookmarkStart w:id="153" w:name="_Toc279701263"/>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48"/>
      <w:bookmarkEnd w:id="149"/>
      <w:bookmarkEnd w:id="150"/>
      <w:bookmarkEnd w:id="151"/>
      <w:bookmarkEnd w:id="152"/>
      <w:bookmarkEnd w:id="153"/>
    </w:p>
    <w:p w14:paraId="02F4BCCA">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276A3252">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14:paraId="0764F3E3">
      <w:pPr>
        <w:spacing w:line="360" w:lineRule="auto"/>
        <w:ind w:firstLine="437"/>
        <w:outlineLvl w:val="3"/>
        <w:rPr>
          <w:rFonts w:ascii="宋体" w:hAnsi="宋体" w:eastAsia="宋体"/>
          <w:b/>
          <w:sz w:val="24"/>
        </w:rPr>
      </w:pPr>
      <w:bookmarkStart w:id="154" w:name="_Toc259093693"/>
      <w:bookmarkStart w:id="155" w:name="_Toc16673"/>
      <w:bookmarkStart w:id="156" w:name="_Toc3148"/>
      <w:bookmarkStart w:id="157" w:name="_Toc279701264"/>
      <w:bookmarkStart w:id="158" w:name="_Toc12004"/>
      <w:bookmarkStart w:id="159"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54"/>
      <w:bookmarkEnd w:id="155"/>
      <w:bookmarkEnd w:id="156"/>
      <w:bookmarkEnd w:id="157"/>
      <w:bookmarkEnd w:id="158"/>
    </w:p>
    <w:p w14:paraId="0C078DE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.1磋商文件要求乙方提交履约保证金的，乙方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，以支票、汇票、本票或者金融机构、担保机构出具的保函等非现金形式，提交不超过合同价10%的履约保证金；</w:t>
      </w:r>
    </w:p>
    <w:p w14:paraId="4C74218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17.2履约保证金在</w:t>
      </w:r>
      <w:r>
        <w:rPr>
          <w:rFonts w:ascii="宋体" w:hAnsi="宋体" w:eastAsia="宋体"/>
          <w:b/>
          <w:i/>
          <w:sz w:val="24"/>
          <w:u w:val="single"/>
        </w:rPr>
        <w:t>合同专用条款</w:t>
      </w:r>
      <w:r>
        <w:rPr>
          <w:rFonts w:ascii="宋体" w:hAnsi="宋体" w:eastAsia="宋体"/>
          <w:sz w:val="24"/>
        </w:rPr>
        <w:t>约定期间内不予退还或者应完全有效</w:t>
      </w:r>
      <w:r>
        <w:rPr>
          <w:rFonts w:hint="eastAsia" w:ascii="宋体" w:hAnsi="宋体" w:eastAsia="宋体"/>
          <w:sz w:val="24"/>
        </w:rPr>
        <w:t>，前述约定期间届满</w:t>
      </w:r>
      <w:r>
        <w:rPr>
          <w:rFonts w:ascii="宋体" w:hAnsi="宋体" w:eastAsia="宋体"/>
          <w:sz w:val="24"/>
        </w:rPr>
        <w:t>之日起</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rPr>
        <w:t>；</w:t>
      </w:r>
    </w:p>
    <w:p w14:paraId="0E044E0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59"/>
    <w:p w14:paraId="3CB3B97E">
      <w:pPr>
        <w:spacing w:line="360" w:lineRule="auto"/>
        <w:ind w:firstLine="437"/>
        <w:outlineLvl w:val="3"/>
        <w:rPr>
          <w:rFonts w:ascii="宋体" w:hAnsi="宋体" w:eastAsia="宋体"/>
          <w:b/>
          <w:sz w:val="24"/>
        </w:rPr>
      </w:pPr>
      <w:bookmarkStart w:id="160" w:name="_Toc14001"/>
      <w:bookmarkStart w:id="161" w:name="_Toc19890"/>
      <w:bookmarkStart w:id="162" w:name="_Toc6885"/>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60"/>
      <w:bookmarkEnd w:id="161"/>
      <w:bookmarkEnd w:id="162"/>
    </w:p>
    <w:p w14:paraId="1F432C10">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790A3CBF">
      <w:pPr>
        <w:spacing w:line="360" w:lineRule="auto"/>
        <w:jc w:val="center"/>
        <w:outlineLvl w:val="2"/>
        <w:rPr>
          <w:rFonts w:ascii="宋体" w:hAnsi="宋体" w:eastAsia="宋体"/>
          <w:b/>
          <w:sz w:val="24"/>
        </w:rPr>
      </w:pPr>
      <w:r>
        <w:rPr>
          <w:rFonts w:ascii="宋体" w:hAnsi="宋体" w:eastAsia="宋体"/>
          <w:sz w:val="24"/>
        </w:rPr>
        <w:br w:type="page"/>
      </w:r>
      <w:bookmarkStart w:id="163"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63"/>
    </w:p>
    <w:p w14:paraId="3924AE2C">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18"/>
        <w:tblW w:w="630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5"/>
        <w:gridCol w:w="9934"/>
      </w:tblGrid>
      <w:tr w14:paraId="1CABF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291" w:type="pct"/>
            <w:tcBorders>
              <w:left w:val="single" w:color="auto" w:sz="4" w:space="0"/>
            </w:tcBorders>
            <w:vAlign w:val="center"/>
          </w:tcPr>
          <w:p w14:paraId="49CD033C">
            <w:pPr>
              <w:jc w:val="center"/>
              <w:rPr>
                <w:rFonts w:ascii="宋体" w:hAnsi="宋体" w:eastAsia="宋体"/>
                <w:b/>
                <w:sz w:val="24"/>
              </w:rPr>
            </w:pPr>
            <w:r>
              <w:rPr>
                <w:rFonts w:ascii="宋体" w:hAnsi="宋体" w:eastAsia="宋体"/>
                <w:b/>
                <w:sz w:val="24"/>
              </w:rPr>
              <w:t>条款号</w:t>
            </w:r>
          </w:p>
        </w:tc>
        <w:tc>
          <w:tcPr>
            <w:tcW w:w="4708" w:type="pct"/>
            <w:vAlign w:val="center"/>
          </w:tcPr>
          <w:p w14:paraId="1993793D">
            <w:pPr>
              <w:jc w:val="center"/>
              <w:rPr>
                <w:rFonts w:ascii="宋体" w:hAnsi="宋体" w:eastAsia="宋体"/>
                <w:b/>
                <w:sz w:val="24"/>
              </w:rPr>
            </w:pPr>
            <w:r>
              <w:rPr>
                <w:rFonts w:ascii="宋体" w:hAnsi="宋体" w:eastAsia="宋体"/>
                <w:b/>
                <w:sz w:val="24"/>
              </w:rPr>
              <w:t>约定内容</w:t>
            </w:r>
          </w:p>
        </w:tc>
      </w:tr>
      <w:tr w14:paraId="0F9AB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291" w:type="pct"/>
            <w:tcBorders>
              <w:left w:val="single" w:color="auto" w:sz="4" w:space="0"/>
            </w:tcBorders>
            <w:vAlign w:val="center"/>
          </w:tcPr>
          <w:p w14:paraId="6E6C1D44">
            <w:pPr>
              <w:spacing w:line="276" w:lineRule="auto"/>
              <w:rPr>
                <w:rFonts w:ascii="宋体" w:hAnsi="宋体" w:eastAsia="宋体"/>
                <w:sz w:val="24"/>
              </w:rPr>
            </w:pPr>
            <w:r>
              <w:rPr>
                <w:rFonts w:hint="eastAsia" w:ascii="宋体" w:hAnsi="宋体"/>
                <w:sz w:val="24"/>
              </w:rPr>
              <w:t>2.3</w:t>
            </w:r>
            <w:r>
              <w:rPr>
                <w:rFonts w:hint="eastAsia" w:ascii="宋体" w:hAnsi="宋体"/>
                <w:sz w:val="24"/>
                <w:lang w:val="en-US" w:eastAsia="zh-CN"/>
              </w:rPr>
              <w:t>.2</w:t>
            </w:r>
          </w:p>
        </w:tc>
        <w:tc>
          <w:tcPr>
            <w:tcW w:w="4708" w:type="pct"/>
            <w:vAlign w:val="center"/>
          </w:tcPr>
          <w:p w14:paraId="579DF848">
            <w:pPr>
              <w:spacing w:line="276" w:lineRule="auto"/>
              <w:rPr>
                <w:rFonts w:ascii="宋体" w:hAnsi="宋体" w:eastAsia="宋体"/>
                <w:sz w:val="24"/>
              </w:rPr>
            </w:pPr>
            <w:r>
              <w:rPr>
                <w:rFonts w:hint="eastAsia" w:ascii="宋体" w:hAnsi="宋体"/>
                <w:sz w:val="24"/>
                <w:lang w:val="en-US" w:eastAsia="zh-CN"/>
              </w:rPr>
              <w:t>/</w:t>
            </w:r>
            <w:r>
              <w:rPr>
                <w:rFonts w:hint="eastAsia" w:ascii="宋体" w:hAnsi="宋体"/>
                <w:sz w:val="24"/>
              </w:rPr>
              <w:t>。</w:t>
            </w:r>
          </w:p>
        </w:tc>
      </w:tr>
      <w:tr w14:paraId="7E235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291" w:type="pct"/>
            <w:tcBorders>
              <w:left w:val="single" w:color="auto" w:sz="4" w:space="0"/>
            </w:tcBorders>
            <w:vAlign w:val="center"/>
          </w:tcPr>
          <w:p w14:paraId="442C1E25">
            <w:pPr>
              <w:spacing w:line="276" w:lineRule="auto"/>
              <w:rPr>
                <w:rFonts w:ascii="宋体" w:hAnsi="宋体" w:eastAsia="宋体"/>
                <w:sz w:val="24"/>
              </w:rPr>
            </w:pPr>
            <w:r>
              <w:rPr>
                <w:rFonts w:hint="eastAsia" w:ascii="宋体" w:hAnsi="宋体"/>
                <w:sz w:val="24"/>
              </w:rPr>
              <w:t>2.</w:t>
            </w:r>
            <w:r>
              <w:rPr>
                <w:rFonts w:hint="eastAsia" w:ascii="宋体" w:hAnsi="宋体"/>
                <w:sz w:val="24"/>
                <w:lang w:val="en-US" w:eastAsia="zh-CN"/>
              </w:rPr>
              <w:t>5</w:t>
            </w:r>
          </w:p>
        </w:tc>
        <w:tc>
          <w:tcPr>
            <w:tcW w:w="4708" w:type="pct"/>
            <w:vAlign w:val="center"/>
          </w:tcPr>
          <w:p w14:paraId="64AF6F05">
            <w:pPr>
              <w:spacing w:line="276" w:lineRule="auto"/>
              <w:rPr>
                <w:rFonts w:hint="eastAsia" w:ascii="宋体" w:hAnsi="宋体"/>
                <w:sz w:val="24"/>
                <w:lang w:val="en-US" w:eastAsia="zh-CN"/>
              </w:rPr>
            </w:pPr>
            <w:r>
              <w:rPr>
                <w:rFonts w:hint="eastAsia" w:ascii="宋体" w:hAnsi="宋体"/>
                <w:sz w:val="24"/>
              </w:rPr>
              <w:t>结算方式和付款条件：</w:t>
            </w:r>
            <w:r>
              <w:rPr>
                <w:rFonts w:hint="eastAsia" w:ascii="宋体" w:hAnsi="宋体"/>
                <w:sz w:val="24"/>
                <w:lang w:val="en-US" w:eastAsia="zh-CN"/>
              </w:rPr>
              <w:t>付款方式：维保费用按每三个月据实结算一次，甲方在得到专用发票和当期考核评价表后一个月内支付给乙方；维保过程中更换设备材料的费用，原则上按每三个月支付或费用累计超过一万元时，乙方须提供专用发票等材料，经甲方确认后，一个月内支付给乙方。</w:t>
            </w:r>
          </w:p>
          <w:p w14:paraId="5A2129A8">
            <w:pPr>
              <w:spacing w:line="276" w:lineRule="auto"/>
              <w:rPr>
                <w:rFonts w:ascii="宋体" w:hAnsi="宋体" w:eastAsia="宋体"/>
                <w:sz w:val="24"/>
              </w:rPr>
            </w:pPr>
            <w:r>
              <w:rPr>
                <w:rFonts w:hint="eastAsia" w:ascii="宋体" w:hAnsi="宋体"/>
                <w:sz w:val="24"/>
                <w:lang w:val="en-US" w:eastAsia="zh-CN"/>
              </w:rPr>
              <w:t>2．开票要求：在付款前乙方须按照一般计税方法提供增值税专用发票（税率6%），如未按约定开具增值税专用发票或实际开具的增值税专用发票税率低于合同中约定税率的，乙方应向甲方支付无法抵扣部分的税款金额。</w:t>
            </w:r>
          </w:p>
        </w:tc>
      </w:tr>
      <w:tr w14:paraId="14F42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291" w:type="pct"/>
            <w:tcBorders>
              <w:left w:val="single" w:color="auto" w:sz="4" w:space="0"/>
            </w:tcBorders>
            <w:vAlign w:val="center"/>
          </w:tcPr>
          <w:p w14:paraId="0E15823E">
            <w:pPr>
              <w:spacing w:line="276" w:lineRule="auto"/>
              <w:rPr>
                <w:rFonts w:ascii="宋体" w:hAnsi="宋体" w:eastAsia="宋体"/>
                <w:sz w:val="24"/>
              </w:rPr>
            </w:pPr>
            <w:r>
              <w:rPr>
                <w:rFonts w:hint="eastAsia" w:ascii="宋体" w:hAnsi="宋体"/>
                <w:sz w:val="24"/>
                <w:lang w:val="en-US" w:eastAsia="zh-CN"/>
              </w:rPr>
              <w:t>2.11.3</w:t>
            </w:r>
          </w:p>
        </w:tc>
        <w:tc>
          <w:tcPr>
            <w:tcW w:w="4708" w:type="pct"/>
            <w:vAlign w:val="center"/>
          </w:tcPr>
          <w:p w14:paraId="25714743">
            <w:pPr>
              <w:spacing w:line="276" w:lineRule="auto"/>
              <w:rPr>
                <w:rFonts w:ascii="宋体" w:hAnsi="宋体" w:eastAsia="宋体"/>
                <w:sz w:val="24"/>
              </w:rPr>
            </w:pPr>
            <w:r>
              <w:rPr>
                <w:rFonts w:hint="eastAsia" w:ascii="宋体" w:hAnsi="宋体" w:eastAsia="宋体"/>
                <w:color w:val="auto"/>
                <w:sz w:val="24"/>
              </w:rPr>
              <w:t>因</w:t>
            </w:r>
            <w:r>
              <w:rPr>
                <w:rFonts w:ascii="宋体" w:hAnsi="宋体" w:eastAsia="宋体"/>
                <w:color w:val="auto"/>
                <w:sz w:val="24"/>
              </w:rPr>
              <w:t>不可抗力致使合同有变更必要的，双方当事人应在</w:t>
            </w:r>
            <w:r>
              <w:rPr>
                <w:rFonts w:hint="eastAsia" w:ascii="宋体" w:hAnsi="宋体" w:eastAsia="宋体"/>
                <w:b/>
                <w:i w:val="0"/>
                <w:iCs/>
                <w:color w:val="auto"/>
                <w:sz w:val="24"/>
                <w:u w:val="single"/>
                <w:lang w:val="en-US" w:eastAsia="zh-CN"/>
              </w:rPr>
              <w:t>15日</w:t>
            </w:r>
            <w:r>
              <w:rPr>
                <w:rFonts w:ascii="宋体" w:hAnsi="宋体" w:eastAsia="宋体"/>
                <w:color w:val="auto"/>
                <w:sz w:val="24"/>
              </w:rPr>
              <w:t>内以书面形式变更合同</w:t>
            </w:r>
          </w:p>
        </w:tc>
      </w:tr>
      <w:tr w14:paraId="6516D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291" w:type="pct"/>
            <w:tcBorders>
              <w:left w:val="single" w:color="auto" w:sz="4" w:space="0"/>
            </w:tcBorders>
            <w:vAlign w:val="center"/>
          </w:tcPr>
          <w:p w14:paraId="5CA46E82">
            <w:pPr>
              <w:spacing w:line="276" w:lineRule="auto"/>
              <w:rPr>
                <w:rFonts w:ascii="宋体" w:hAnsi="宋体" w:eastAsia="宋体"/>
                <w:sz w:val="24"/>
              </w:rPr>
            </w:pPr>
            <w:r>
              <w:rPr>
                <w:rFonts w:hint="eastAsia" w:ascii="宋体" w:hAnsi="宋体"/>
                <w:sz w:val="24"/>
                <w:lang w:val="en-US" w:eastAsia="zh-CN"/>
              </w:rPr>
              <w:t>2.11.4</w:t>
            </w:r>
          </w:p>
        </w:tc>
        <w:tc>
          <w:tcPr>
            <w:tcW w:w="4708" w:type="pct"/>
            <w:vAlign w:val="center"/>
          </w:tcPr>
          <w:p w14:paraId="148CA9BE">
            <w:pPr>
              <w:spacing w:line="276" w:lineRule="auto"/>
              <w:rPr>
                <w:rFonts w:ascii="宋体" w:hAnsi="宋体" w:eastAsia="宋体"/>
                <w:sz w:val="24"/>
              </w:rPr>
            </w:pPr>
            <w:r>
              <w:rPr>
                <w:rFonts w:ascii="宋体" w:hAnsi="宋体" w:eastAsia="宋体"/>
                <w:color w:val="auto"/>
                <w:sz w:val="24"/>
              </w:rPr>
              <w:t>受</w:t>
            </w:r>
            <w:r>
              <w:rPr>
                <w:rFonts w:hint="eastAsia" w:ascii="宋体" w:hAnsi="宋体" w:eastAsia="宋体"/>
                <w:color w:val="auto"/>
                <w:sz w:val="24"/>
              </w:rPr>
              <w:t>不可抗力</w:t>
            </w:r>
            <w:r>
              <w:rPr>
                <w:rFonts w:ascii="宋体" w:hAnsi="宋体" w:eastAsia="宋体"/>
                <w:color w:val="auto"/>
                <w:sz w:val="24"/>
              </w:rPr>
              <w:t>影响的一方在不可抗力发生后</w:t>
            </w:r>
            <w:r>
              <w:rPr>
                <w:rFonts w:hint="eastAsia" w:ascii="宋体" w:hAnsi="宋体" w:eastAsia="宋体"/>
                <w:color w:val="auto"/>
                <w:sz w:val="24"/>
              </w:rPr>
              <w:t>，</w:t>
            </w:r>
            <w:r>
              <w:rPr>
                <w:rFonts w:ascii="宋体" w:hAnsi="宋体" w:eastAsia="宋体"/>
                <w:color w:val="auto"/>
                <w:sz w:val="24"/>
              </w:rPr>
              <w:t>应在</w:t>
            </w:r>
            <w:r>
              <w:rPr>
                <w:rFonts w:hint="eastAsia" w:ascii="宋体" w:hAnsi="宋体" w:eastAsia="宋体"/>
                <w:b/>
                <w:i w:val="0"/>
                <w:iCs/>
                <w:color w:val="auto"/>
                <w:sz w:val="24"/>
                <w:u w:val="single"/>
                <w:lang w:val="en-US" w:eastAsia="zh-CN"/>
              </w:rPr>
              <w:t>7日</w:t>
            </w:r>
            <w:r>
              <w:rPr>
                <w:rFonts w:ascii="宋体" w:hAnsi="宋体" w:eastAsia="宋体"/>
                <w:color w:val="auto"/>
                <w:sz w:val="24"/>
              </w:rPr>
              <w:t>内以书面形式通知</w:t>
            </w:r>
            <w:r>
              <w:rPr>
                <w:rFonts w:hint="eastAsia" w:ascii="宋体" w:hAnsi="宋体" w:eastAsia="宋体"/>
                <w:color w:val="auto"/>
                <w:sz w:val="24"/>
              </w:rPr>
              <w:t>对</w:t>
            </w:r>
            <w:r>
              <w:rPr>
                <w:rFonts w:ascii="宋体" w:hAnsi="宋体" w:eastAsia="宋体"/>
                <w:color w:val="auto"/>
                <w:sz w:val="24"/>
              </w:rPr>
              <w:t>方当事人，并在</w:t>
            </w:r>
            <w:r>
              <w:rPr>
                <w:rFonts w:hint="eastAsia" w:ascii="宋体" w:hAnsi="宋体" w:eastAsia="宋体"/>
                <w:b/>
                <w:i w:val="0"/>
                <w:iCs/>
                <w:color w:val="auto"/>
                <w:sz w:val="24"/>
                <w:u w:val="single"/>
                <w:lang w:val="en-US" w:eastAsia="zh-CN"/>
              </w:rPr>
              <w:t>7日</w:t>
            </w:r>
            <w:r>
              <w:rPr>
                <w:rFonts w:ascii="宋体" w:hAnsi="宋体" w:eastAsia="宋体"/>
                <w:i w:val="0"/>
                <w:iCs/>
                <w:color w:val="auto"/>
                <w:sz w:val="24"/>
              </w:rPr>
              <w:t>内</w:t>
            </w:r>
            <w:r>
              <w:rPr>
                <w:rFonts w:ascii="宋体" w:hAnsi="宋体" w:eastAsia="宋体"/>
                <w:color w:val="auto"/>
                <w:sz w:val="24"/>
              </w:rPr>
              <w:t>，将有关部门出具的证明文件送达</w:t>
            </w:r>
            <w:r>
              <w:rPr>
                <w:rFonts w:hint="eastAsia" w:ascii="宋体" w:hAnsi="宋体" w:eastAsia="宋体"/>
                <w:color w:val="auto"/>
                <w:sz w:val="24"/>
              </w:rPr>
              <w:t>对方当事人</w:t>
            </w:r>
          </w:p>
        </w:tc>
      </w:tr>
      <w:tr w14:paraId="34962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291" w:type="pct"/>
            <w:tcBorders>
              <w:left w:val="single" w:color="auto" w:sz="4" w:space="0"/>
            </w:tcBorders>
            <w:vAlign w:val="center"/>
          </w:tcPr>
          <w:p w14:paraId="442BBE37">
            <w:pPr>
              <w:spacing w:line="276" w:lineRule="auto"/>
              <w:rPr>
                <w:rFonts w:ascii="宋体" w:hAnsi="宋体" w:eastAsia="宋体"/>
                <w:sz w:val="24"/>
              </w:rPr>
            </w:pPr>
            <w:r>
              <w:rPr>
                <w:rFonts w:hint="eastAsia" w:ascii="宋体" w:hAnsi="宋体"/>
                <w:sz w:val="24"/>
                <w:lang w:val="en-US" w:eastAsia="zh-CN"/>
              </w:rPr>
              <w:t>2.15.1</w:t>
            </w:r>
          </w:p>
        </w:tc>
        <w:tc>
          <w:tcPr>
            <w:tcW w:w="4708" w:type="pct"/>
            <w:vAlign w:val="center"/>
          </w:tcPr>
          <w:p w14:paraId="71FCE113">
            <w:pPr>
              <w:spacing w:line="276" w:lineRule="auto"/>
              <w:rPr>
                <w:rFonts w:ascii="宋体" w:hAnsi="宋体" w:eastAsia="宋体"/>
                <w:sz w:val="24"/>
                <w:u w:val="single"/>
              </w:rPr>
            </w:pPr>
            <w:r>
              <w:rPr>
                <w:rFonts w:hint="eastAsia" w:ascii="宋体" w:hAnsi="宋体" w:eastAsia="宋体"/>
                <w:i w:val="0"/>
                <w:iCs w:val="0"/>
                <w:color w:val="auto"/>
                <w:sz w:val="24"/>
              </w:rPr>
              <w:t>乙方按照</w:t>
            </w:r>
            <w:r>
              <w:rPr>
                <w:rFonts w:hint="eastAsia" w:ascii="宋体" w:hAnsi="宋体" w:eastAsia="宋体"/>
                <w:b/>
                <w:i w:val="0"/>
                <w:iCs w:val="0"/>
                <w:color w:val="auto"/>
                <w:sz w:val="24"/>
                <w:u w:val="single"/>
                <w:lang w:val="en-US" w:eastAsia="zh-CN"/>
              </w:rPr>
              <w:t>招标文件考核办法</w:t>
            </w:r>
            <w:r>
              <w:rPr>
                <w:rFonts w:ascii="宋体" w:hAnsi="宋体" w:eastAsia="宋体"/>
                <w:i w:val="0"/>
                <w:iCs w:val="0"/>
                <w:color w:val="auto"/>
                <w:sz w:val="24"/>
              </w:rPr>
              <w:t>的约定</w:t>
            </w:r>
            <w:r>
              <w:rPr>
                <w:rFonts w:hint="eastAsia" w:ascii="宋体" w:hAnsi="宋体" w:eastAsia="宋体"/>
                <w:i w:val="0"/>
                <w:iCs w:val="0"/>
                <w:color w:val="auto"/>
                <w:sz w:val="24"/>
              </w:rPr>
              <w:t>，</w:t>
            </w:r>
            <w:r>
              <w:rPr>
                <w:rFonts w:ascii="宋体" w:hAnsi="宋体" w:eastAsia="宋体"/>
                <w:i w:val="0"/>
                <w:iCs w:val="0"/>
                <w:color w:val="auto"/>
                <w:sz w:val="24"/>
              </w:rPr>
              <w:t>定期提交服务报告</w:t>
            </w:r>
            <w:r>
              <w:rPr>
                <w:rFonts w:hint="eastAsia" w:ascii="宋体" w:hAnsi="宋体" w:eastAsia="宋体"/>
                <w:i w:val="0"/>
                <w:iCs w:val="0"/>
                <w:color w:val="auto"/>
                <w:sz w:val="24"/>
              </w:rPr>
              <w:t>，甲方按照</w:t>
            </w:r>
            <w:r>
              <w:rPr>
                <w:rFonts w:hint="eastAsia" w:ascii="宋体" w:hAnsi="宋体" w:eastAsia="宋体"/>
                <w:b/>
                <w:i w:val="0"/>
                <w:iCs w:val="0"/>
                <w:color w:val="auto"/>
                <w:sz w:val="24"/>
                <w:u w:val="single"/>
              </w:rPr>
              <w:t>招标文件考核办法</w:t>
            </w:r>
            <w:r>
              <w:rPr>
                <w:rFonts w:ascii="宋体" w:hAnsi="宋体" w:eastAsia="宋体"/>
                <w:i w:val="0"/>
                <w:iCs w:val="0"/>
                <w:color w:val="auto"/>
                <w:sz w:val="24"/>
              </w:rPr>
              <w:t>的约定进行定期验收</w:t>
            </w:r>
          </w:p>
        </w:tc>
      </w:tr>
      <w:tr w14:paraId="3E03A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291" w:type="pct"/>
            <w:tcBorders>
              <w:left w:val="single" w:color="auto" w:sz="4" w:space="0"/>
            </w:tcBorders>
            <w:vAlign w:val="center"/>
          </w:tcPr>
          <w:p w14:paraId="62473AD0">
            <w:pPr>
              <w:spacing w:line="276" w:lineRule="auto"/>
              <w:rPr>
                <w:rFonts w:ascii="宋体" w:hAnsi="宋体" w:eastAsia="宋体"/>
                <w:sz w:val="24"/>
              </w:rPr>
            </w:pPr>
            <w:r>
              <w:rPr>
                <w:rFonts w:hint="eastAsia" w:ascii="宋体" w:hAnsi="宋体"/>
                <w:sz w:val="24"/>
                <w:lang w:val="en-US" w:eastAsia="zh-CN"/>
              </w:rPr>
              <w:t>2.15.3</w:t>
            </w:r>
          </w:p>
        </w:tc>
        <w:tc>
          <w:tcPr>
            <w:tcW w:w="4708" w:type="pct"/>
            <w:vAlign w:val="center"/>
          </w:tcPr>
          <w:p w14:paraId="43CA738C">
            <w:pPr>
              <w:spacing w:line="276" w:lineRule="auto"/>
              <w:rPr>
                <w:rFonts w:ascii="宋体" w:hAnsi="宋体" w:eastAsia="宋体"/>
                <w:sz w:val="24"/>
              </w:rPr>
            </w:pPr>
            <w:r>
              <w:rPr>
                <w:rFonts w:hint="eastAsia" w:ascii="宋体" w:hAnsi="宋体" w:eastAsia="宋体"/>
                <w:i w:val="0"/>
                <w:iCs w:val="0"/>
                <w:color w:val="auto"/>
                <w:sz w:val="24"/>
              </w:rPr>
              <w:t>检验和验收标准、程序等具体内容以及前述验收书的效力详见</w:t>
            </w:r>
            <w:r>
              <w:rPr>
                <w:rFonts w:hint="eastAsia" w:ascii="宋体" w:hAnsi="宋体" w:eastAsia="宋体"/>
                <w:b/>
                <w:i w:val="0"/>
                <w:iCs w:val="0"/>
                <w:color w:val="auto"/>
                <w:sz w:val="24"/>
                <w:u w:val="single"/>
                <w:lang w:val="en-US" w:eastAsia="zh-CN"/>
              </w:rPr>
              <w:t>招标文件考核办法</w:t>
            </w:r>
          </w:p>
        </w:tc>
      </w:tr>
      <w:tr w14:paraId="69FC8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291" w:type="pct"/>
            <w:tcBorders>
              <w:left w:val="single" w:color="auto" w:sz="4" w:space="0"/>
            </w:tcBorders>
            <w:vAlign w:val="center"/>
          </w:tcPr>
          <w:p w14:paraId="377E3512">
            <w:pPr>
              <w:spacing w:line="276" w:lineRule="auto"/>
              <w:rPr>
                <w:rFonts w:ascii="宋体" w:hAnsi="宋体" w:eastAsia="宋体"/>
                <w:sz w:val="24"/>
              </w:rPr>
            </w:pPr>
            <w:r>
              <w:rPr>
                <w:rFonts w:hint="eastAsia" w:ascii="宋体" w:hAnsi="宋体"/>
                <w:sz w:val="24"/>
                <w:lang w:val="en-US" w:eastAsia="zh-CN"/>
              </w:rPr>
              <w:t>2.17.1</w:t>
            </w:r>
          </w:p>
        </w:tc>
        <w:tc>
          <w:tcPr>
            <w:tcW w:w="4708" w:type="pct"/>
            <w:vAlign w:val="center"/>
          </w:tcPr>
          <w:p w14:paraId="309AFED4">
            <w:pPr>
              <w:spacing w:line="276" w:lineRule="auto"/>
              <w:rPr>
                <w:rFonts w:ascii="宋体" w:hAnsi="宋体" w:eastAsia="宋体"/>
                <w:sz w:val="24"/>
                <w:u w:val="single"/>
              </w:rPr>
            </w:pPr>
            <w:r>
              <w:rPr>
                <w:rFonts w:hint="eastAsia" w:ascii="宋体" w:hAnsi="宋体" w:eastAsia="宋体"/>
                <w:color w:val="auto"/>
                <w:sz w:val="24"/>
              </w:rPr>
              <w:t>磋商文件要求乙方提交履约保证金的，乙方</w:t>
            </w:r>
            <w:r>
              <w:rPr>
                <w:rFonts w:ascii="宋体" w:hAnsi="宋体" w:eastAsia="宋体"/>
                <w:color w:val="auto"/>
                <w:sz w:val="24"/>
              </w:rPr>
              <w:t>应按</w:t>
            </w:r>
            <w:r>
              <w:rPr>
                <w:rFonts w:hint="eastAsia" w:ascii="宋体" w:hAnsi="宋体" w:eastAsia="宋体"/>
                <w:b/>
                <w:i w:val="0"/>
                <w:iCs/>
                <w:color w:val="auto"/>
                <w:sz w:val="24"/>
                <w:u w:val="single"/>
                <w:lang w:val="en-US" w:eastAsia="zh-CN"/>
              </w:rPr>
              <w:t>合同价款的5%</w:t>
            </w:r>
            <w:r>
              <w:rPr>
                <w:rFonts w:ascii="宋体" w:hAnsi="宋体" w:eastAsia="宋体"/>
                <w:color w:val="auto"/>
                <w:sz w:val="24"/>
              </w:rPr>
              <w:t>约定的方式</w:t>
            </w:r>
            <w:r>
              <w:rPr>
                <w:rFonts w:hint="eastAsia" w:ascii="宋体" w:hAnsi="宋体" w:eastAsia="宋体"/>
                <w:color w:val="auto"/>
                <w:sz w:val="24"/>
              </w:rPr>
              <w:t>，以支票、汇票、本票或者金融机构、担保机构出具的保函等非现金形式；</w:t>
            </w:r>
          </w:p>
        </w:tc>
      </w:tr>
      <w:tr w14:paraId="7F930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291" w:type="pct"/>
            <w:tcBorders>
              <w:left w:val="single" w:color="auto" w:sz="4" w:space="0"/>
            </w:tcBorders>
            <w:vAlign w:val="center"/>
          </w:tcPr>
          <w:p w14:paraId="5964EAAD">
            <w:pPr>
              <w:spacing w:line="276" w:lineRule="auto"/>
              <w:rPr>
                <w:rFonts w:ascii="宋体" w:hAnsi="宋体" w:eastAsia="宋体"/>
                <w:sz w:val="24"/>
              </w:rPr>
            </w:pPr>
            <w:r>
              <w:rPr>
                <w:rFonts w:hint="eastAsia" w:ascii="宋体" w:hAnsi="宋体"/>
                <w:sz w:val="24"/>
                <w:lang w:val="en-US" w:eastAsia="zh-CN"/>
              </w:rPr>
              <w:t>2.17.2</w:t>
            </w:r>
          </w:p>
        </w:tc>
        <w:tc>
          <w:tcPr>
            <w:tcW w:w="4708" w:type="pct"/>
            <w:vAlign w:val="center"/>
          </w:tcPr>
          <w:p w14:paraId="1D0235CE">
            <w:pPr>
              <w:spacing w:line="276" w:lineRule="auto"/>
              <w:rPr>
                <w:rFonts w:ascii="宋体" w:hAnsi="宋体" w:eastAsia="宋体"/>
                <w:sz w:val="24"/>
              </w:rPr>
            </w:pPr>
            <w:r>
              <w:rPr>
                <w:rFonts w:ascii="宋体" w:hAnsi="宋体" w:eastAsia="宋体"/>
                <w:color w:val="auto"/>
                <w:sz w:val="24"/>
              </w:rPr>
              <w:t>履约保证金在</w:t>
            </w:r>
            <w:r>
              <w:rPr>
                <w:rFonts w:ascii="宋体" w:hAnsi="宋体" w:eastAsia="宋体"/>
                <w:b/>
                <w:i w:val="0"/>
                <w:iCs/>
                <w:color w:val="auto"/>
                <w:sz w:val="24"/>
                <w:u w:val="single"/>
              </w:rPr>
              <w:t>合同</w:t>
            </w:r>
            <w:r>
              <w:rPr>
                <w:rFonts w:ascii="宋体" w:hAnsi="宋体" w:eastAsia="宋体"/>
                <w:color w:val="auto"/>
                <w:sz w:val="24"/>
              </w:rPr>
              <w:t>约定期间内不予退还或者应完全有效</w:t>
            </w:r>
            <w:r>
              <w:rPr>
                <w:rFonts w:hint="eastAsia" w:ascii="宋体" w:hAnsi="宋体" w:eastAsia="宋体"/>
                <w:color w:val="auto"/>
                <w:sz w:val="24"/>
              </w:rPr>
              <w:t>，前述约定期间届满</w:t>
            </w:r>
            <w:r>
              <w:rPr>
                <w:rFonts w:ascii="宋体" w:hAnsi="宋体" w:eastAsia="宋体"/>
                <w:color w:val="auto"/>
                <w:sz w:val="24"/>
              </w:rPr>
              <w:t>之日起</w:t>
            </w:r>
            <w:r>
              <w:rPr>
                <w:rFonts w:hint="eastAsia" w:ascii="宋体" w:hAnsi="宋体" w:eastAsia="宋体"/>
                <w:color w:val="auto"/>
                <w:sz w:val="24"/>
                <w:lang w:val="en-US" w:eastAsia="zh-CN"/>
              </w:rPr>
              <w:t>30</w:t>
            </w:r>
            <w:r>
              <w:rPr>
                <w:rFonts w:hint="eastAsia" w:ascii="宋体" w:hAnsi="宋体" w:eastAsia="宋体"/>
                <w:color w:val="auto"/>
                <w:sz w:val="24"/>
              </w:rPr>
              <w:t>个</w:t>
            </w:r>
            <w:r>
              <w:rPr>
                <w:rFonts w:ascii="宋体" w:hAnsi="宋体" w:eastAsia="宋体"/>
                <w:color w:val="auto"/>
                <w:sz w:val="24"/>
              </w:rPr>
              <w:t>工作日内，甲方应将履约保证金</w:t>
            </w:r>
            <w:r>
              <w:rPr>
                <w:rFonts w:hint="eastAsia" w:ascii="宋体" w:hAnsi="宋体" w:eastAsia="宋体"/>
                <w:color w:val="auto"/>
                <w:sz w:val="24"/>
                <w:lang w:eastAsia="zh-CN"/>
              </w:rPr>
              <w:t>（</w:t>
            </w:r>
            <w:r>
              <w:rPr>
                <w:rFonts w:hint="eastAsia" w:ascii="宋体" w:hAnsi="宋体" w:eastAsia="宋体"/>
                <w:color w:val="auto"/>
                <w:sz w:val="24"/>
                <w:lang w:val="en-US" w:eastAsia="zh-CN"/>
              </w:rPr>
              <w:t>无息</w:t>
            </w:r>
            <w:r>
              <w:rPr>
                <w:rFonts w:hint="eastAsia" w:ascii="宋体" w:hAnsi="宋体" w:eastAsia="宋体"/>
                <w:color w:val="auto"/>
                <w:sz w:val="24"/>
                <w:lang w:eastAsia="zh-CN"/>
              </w:rPr>
              <w:t>）</w:t>
            </w:r>
            <w:r>
              <w:rPr>
                <w:rFonts w:ascii="宋体" w:hAnsi="宋体" w:eastAsia="宋体"/>
                <w:color w:val="auto"/>
                <w:sz w:val="24"/>
              </w:rPr>
              <w:t>退还乙方</w:t>
            </w:r>
            <w:r>
              <w:rPr>
                <w:rFonts w:hint="eastAsia" w:ascii="宋体" w:hAnsi="宋体" w:eastAsia="宋体"/>
                <w:color w:val="auto"/>
                <w:sz w:val="24"/>
                <w:lang w:eastAsia="zh-CN"/>
              </w:rPr>
              <w:t>。</w:t>
            </w:r>
          </w:p>
        </w:tc>
      </w:tr>
      <w:tr w14:paraId="4F0B3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291" w:type="pct"/>
            <w:tcBorders>
              <w:left w:val="single" w:color="auto" w:sz="4" w:space="0"/>
            </w:tcBorders>
            <w:vAlign w:val="center"/>
          </w:tcPr>
          <w:p w14:paraId="42E871D1">
            <w:pPr>
              <w:spacing w:line="276" w:lineRule="auto"/>
              <w:rPr>
                <w:rFonts w:ascii="宋体" w:hAnsi="宋体" w:eastAsia="宋体"/>
                <w:sz w:val="24"/>
              </w:rPr>
            </w:pPr>
            <w:r>
              <w:rPr>
                <w:rFonts w:hint="eastAsia" w:ascii="宋体" w:hAnsi="宋体"/>
                <w:sz w:val="24"/>
                <w:lang w:val="en-US" w:eastAsia="zh-CN"/>
              </w:rPr>
              <w:t>2.18</w:t>
            </w:r>
          </w:p>
        </w:tc>
        <w:tc>
          <w:tcPr>
            <w:tcW w:w="4708" w:type="pct"/>
            <w:vAlign w:val="center"/>
          </w:tcPr>
          <w:p w14:paraId="1D7DD249">
            <w:pPr>
              <w:spacing w:line="276" w:lineRule="auto"/>
              <w:rPr>
                <w:rFonts w:ascii="宋体" w:hAnsi="宋体" w:eastAsia="宋体"/>
                <w:sz w:val="24"/>
              </w:rPr>
            </w:pPr>
            <w:r>
              <w:rPr>
                <w:rFonts w:hint="eastAsia" w:ascii="宋体" w:hAnsi="宋体" w:eastAsia="宋体"/>
                <w:color w:val="auto"/>
                <w:sz w:val="24"/>
              </w:rPr>
              <w:t>合同一式壹拾贰份，</w:t>
            </w:r>
            <w:r>
              <w:rPr>
                <w:rFonts w:hint="eastAsia" w:ascii="宋体" w:hAnsi="宋体" w:eastAsia="宋体"/>
                <w:color w:val="auto"/>
                <w:sz w:val="24"/>
                <w:lang w:val="en-US" w:eastAsia="zh-CN"/>
              </w:rPr>
              <w:t>甲方7份，乙方5份，</w:t>
            </w:r>
            <w:r>
              <w:rPr>
                <w:rFonts w:ascii="宋体" w:hAnsi="宋体" w:eastAsia="宋体"/>
                <w:color w:val="auto"/>
                <w:sz w:val="24"/>
              </w:rPr>
              <w:t>每份均具有同等法律效力</w:t>
            </w:r>
            <w:r>
              <w:rPr>
                <w:rFonts w:hint="eastAsia" w:ascii="宋体" w:hAnsi="宋体" w:eastAsia="宋体"/>
                <w:color w:val="auto"/>
                <w:sz w:val="24"/>
                <w:lang w:eastAsia="zh-CN"/>
              </w:rPr>
              <w:t>。</w:t>
            </w:r>
          </w:p>
        </w:tc>
      </w:tr>
      <w:tr w14:paraId="30CBD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291" w:type="pct"/>
            <w:tcBorders>
              <w:left w:val="single" w:color="auto" w:sz="4" w:space="0"/>
            </w:tcBorders>
            <w:vAlign w:val="center"/>
          </w:tcPr>
          <w:p w14:paraId="034EDE78">
            <w:pPr>
              <w:spacing w:line="276" w:lineRule="auto"/>
              <w:rPr>
                <w:rFonts w:ascii="宋体" w:hAnsi="宋体" w:eastAsia="宋体"/>
                <w:sz w:val="24"/>
              </w:rPr>
            </w:pPr>
            <w:r>
              <w:rPr>
                <w:rFonts w:hint="eastAsia" w:ascii="宋体" w:hAnsi="宋体"/>
                <w:b/>
                <w:bCs/>
                <w:sz w:val="24"/>
                <w:lang w:val="en-US" w:eastAsia="zh-CN"/>
              </w:rPr>
              <w:t>合同补充</w:t>
            </w:r>
          </w:p>
        </w:tc>
        <w:tc>
          <w:tcPr>
            <w:tcW w:w="4708" w:type="pct"/>
            <w:vAlign w:val="center"/>
          </w:tcPr>
          <w:p w14:paraId="34DBB5E5">
            <w:pPr>
              <w:pStyle w:val="2"/>
              <w:spacing w:before="0" w:after="0" w:line="360" w:lineRule="auto"/>
              <w:ind w:left="561" w:hanging="561" w:firstLineChars="0"/>
              <w:rPr>
                <w:rFonts w:ascii="宋体" w:hAnsi="宋体"/>
                <w:sz w:val="24"/>
                <w:szCs w:val="24"/>
              </w:rPr>
            </w:pPr>
            <w:r>
              <w:rPr>
                <w:rFonts w:hint="eastAsia" w:ascii="宋体" w:hAnsi="宋体" w:eastAsia="宋体" w:cs="宋体"/>
                <w:bCs/>
                <w:sz w:val="24"/>
                <w:szCs w:val="24"/>
                <w:lang w:val="en-US" w:eastAsia="zh-CN"/>
              </w:rPr>
              <w:t>一</w:t>
            </w:r>
            <w:r>
              <w:rPr>
                <w:rFonts w:hint="eastAsia" w:ascii="宋体" w:hAnsi="宋体" w:eastAsia="宋体" w:cs="宋体"/>
                <w:bCs/>
                <w:sz w:val="24"/>
                <w:szCs w:val="24"/>
                <w:lang w:eastAsia="zh-CN"/>
              </w:rPr>
              <w:t>、</w:t>
            </w:r>
            <w:r>
              <w:rPr>
                <w:rFonts w:hint="eastAsia" w:ascii="宋体" w:hAnsi="宋体"/>
                <w:sz w:val="24"/>
                <w:szCs w:val="24"/>
              </w:rPr>
              <w:t>工程服务要求及考核标准</w:t>
            </w:r>
          </w:p>
          <w:p w14:paraId="3395B83F">
            <w:pPr>
              <w:spacing w:line="360" w:lineRule="auto"/>
              <w:ind w:firstLine="660" w:firstLineChars="275"/>
              <w:rPr>
                <w:rFonts w:hint="eastAsia" w:ascii="宋体" w:hAnsi="宋体" w:cs="宋体"/>
                <w:sz w:val="24"/>
                <w:szCs w:val="24"/>
              </w:rPr>
            </w:pPr>
            <w:r>
              <w:rPr>
                <w:rFonts w:hint="eastAsia" w:ascii="宋体" w:hAnsi="宋体" w:cs="宋体"/>
                <w:sz w:val="24"/>
                <w:szCs w:val="24"/>
              </w:rPr>
              <w:t>1．项目招标一般要求</w:t>
            </w:r>
          </w:p>
          <w:p w14:paraId="1E7C4714">
            <w:pPr>
              <w:spacing w:line="360" w:lineRule="auto"/>
              <w:ind w:firstLine="660" w:firstLineChars="275"/>
              <w:rPr>
                <w:rFonts w:ascii="宋体" w:hAnsi="宋体" w:cs="宋体"/>
                <w:sz w:val="24"/>
                <w:szCs w:val="24"/>
              </w:rPr>
            </w:pPr>
            <w:r>
              <w:rPr>
                <w:rFonts w:hint="eastAsia" w:ascii="宋体" w:hAnsi="宋体" w:cs="宋体"/>
                <w:sz w:val="24"/>
                <w:szCs w:val="24"/>
              </w:rPr>
              <w:t>（1）</w:t>
            </w:r>
            <w:r>
              <w:rPr>
                <w:rFonts w:ascii="宋体" w:hAnsi="宋体" w:cs="宋体"/>
                <w:sz w:val="24"/>
                <w:szCs w:val="24"/>
              </w:rPr>
              <w:t>投标人务必按国家规范、政府要求认真提供有效的确保系统完善及维修保养到位的服务保障</w:t>
            </w:r>
            <w:r>
              <w:rPr>
                <w:rFonts w:hint="eastAsia" w:ascii="宋体" w:hAnsi="宋体" w:cs="宋体"/>
                <w:sz w:val="24"/>
                <w:szCs w:val="24"/>
              </w:rPr>
              <w:t>；</w:t>
            </w:r>
          </w:p>
          <w:p w14:paraId="68F0B44A">
            <w:pPr>
              <w:spacing w:line="360" w:lineRule="auto"/>
              <w:ind w:firstLine="660" w:firstLineChars="275"/>
              <w:rPr>
                <w:rFonts w:ascii="宋体" w:hAnsi="宋体" w:cs="宋体"/>
                <w:sz w:val="24"/>
                <w:szCs w:val="24"/>
              </w:rPr>
            </w:pPr>
            <w:r>
              <w:rPr>
                <w:rFonts w:hint="eastAsia" w:ascii="宋体" w:hAnsi="宋体" w:cs="宋体"/>
                <w:sz w:val="24"/>
                <w:szCs w:val="24"/>
              </w:rPr>
              <w:t>（2）</w:t>
            </w:r>
            <w:r>
              <w:rPr>
                <w:rFonts w:ascii="宋体" w:hAnsi="宋体" w:cs="宋体"/>
                <w:sz w:val="24"/>
                <w:szCs w:val="24"/>
              </w:rPr>
              <w:t>提供的备品备件产品必须是全新正品</w:t>
            </w:r>
            <w:r>
              <w:rPr>
                <w:rFonts w:hint="eastAsia" w:ascii="宋体" w:hAnsi="宋体" w:cs="宋体"/>
                <w:sz w:val="24"/>
                <w:szCs w:val="24"/>
              </w:rPr>
              <w:t>的品牌产品；</w:t>
            </w:r>
          </w:p>
          <w:p w14:paraId="091E8537">
            <w:pPr>
              <w:spacing w:line="360" w:lineRule="auto"/>
              <w:ind w:firstLine="660" w:firstLineChars="275"/>
              <w:rPr>
                <w:rFonts w:ascii="宋体" w:hAnsi="宋体" w:cs="宋体"/>
                <w:sz w:val="24"/>
                <w:szCs w:val="24"/>
              </w:rPr>
            </w:pPr>
            <w:r>
              <w:rPr>
                <w:rFonts w:hint="eastAsia" w:ascii="宋体" w:hAnsi="宋体" w:cs="宋体"/>
                <w:sz w:val="24"/>
                <w:szCs w:val="24"/>
              </w:rPr>
              <w:t>（3）</w:t>
            </w:r>
            <w:r>
              <w:rPr>
                <w:rFonts w:ascii="宋体" w:hAnsi="宋体" w:cs="宋体"/>
                <w:sz w:val="24"/>
                <w:szCs w:val="24"/>
              </w:rPr>
              <w:t>涉及重要关键的零配件，必须与原系统产品一致，不允许更换不同品牌或型号的产品。</w:t>
            </w:r>
          </w:p>
          <w:p w14:paraId="3FF61865">
            <w:pPr>
              <w:spacing w:line="360" w:lineRule="auto"/>
              <w:ind w:firstLine="660" w:firstLineChars="275"/>
              <w:rPr>
                <w:rFonts w:hint="eastAsia" w:ascii="宋体" w:hAnsi="宋体" w:cs="宋体"/>
                <w:sz w:val="24"/>
                <w:szCs w:val="24"/>
              </w:rPr>
            </w:pPr>
            <w:r>
              <w:rPr>
                <w:rFonts w:hint="eastAsia" w:ascii="宋体" w:hAnsi="宋体" w:cs="宋体"/>
                <w:sz w:val="24"/>
                <w:szCs w:val="24"/>
              </w:rPr>
              <w:t>（4）投标人须在投标文件中附《常用维修配件清单报价表》（格式自拟），表中内容要包含配件名称、规格型号、品牌产地、含税报价等。</w:t>
            </w:r>
          </w:p>
          <w:p w14:paraId="0F2E7A67">
            <w:pPr>
              <w:spacing w:line="360" w:lineRule="auto"/>
              <w:ind w:firstLine="660" w:firstLineChars="275"/>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．现场管理要求及考核标准</w:t>
            </w:r>
          </w:p>
          <w:p w14:paraId="62CCDB96">
            <w:pPr>
              <w:spacing w:line="360" w:lineRule="auto"/>
              <w:ind w:firstLine="660" w:firstLineChars="275"/>
              <w:rPr>
                <w:rFonts w:ascii="宋体" w:hAnsi="宋体" w:cs="宋体"/>
                <w:sz w:val="24"/>
                <w:szCs w:val="24"/>
              </w:rPr>
            </w:pPr>
            <w:r>
              <w:rPr>
                <w:rFonts w:hint="eastAsia" w:ascii="宋体" w:hAnsi="宋体" w:cs="宋体"/>
                <w:sz w:val="24"/>
                <w:szCs w:val="24"/>
              </w:rPr>
              <w:t>（1）</w:t>
            </w:r>
            <w:r>
              <w:rPr>
                <w:rFonts w:ascii="宋体" w:hAnsi="宋体" w:cs="宋体"/>
                <w:sz w:val="24"/>
                <w:szCs w:val="24"/>
              </w:rPr>
              <w:t>乙方人员主要负责甲方的应急报修、</w:t>
            </w:r>
            <w:r>
              <w:rPr>
                <w:rFonts w:hint="eastAsia" w:ascii="宋体" w:hAnsi="宋体" w:cs="宋体"/>
                <w:sz w:val="24"/>
                <w:szCs w:val="24"/>
              </w:rPr>
              <w:t>维保</w:t>
            </w:r>
            <w:r>
              <w:rPr>
                <w:rFonts w:ascii="宋体" w:hAnsi="宋体" w:cs="宋体"/>
                <w:sz w:val="24"/>
                <w:szCs w:val="24"/>
              </w:rPr>
              <w:t>人员管理、维保工作的开展与对接工作等；需指定</w:t>
            </w:r>
            <w:r>
              <w:rPr>
                <w:rFonts w:hint="eastAsia" w:ascii="宋体" w:hAnsi="宋体" w:cs="宋体"/>
                <w:sz w:val="24"/>
                <w:szCs w:val="24"/>
              </w:rPr>
              <w:t>维保</w:t>
            </w:r>
            <w:r>
              <w:rPr>
                <w:rFonts w:ascii="宋体" w:hAnsi="宋体" w:cs="宋体"/>
                <w:sz w:val="24"/>
                <w:szCs w:val="24"/>
              </w:rPr>
              <w:t>人员</w:t>
            </w:r>
            <w:r>
              <w:rPr>
                <w:rFonts w:hint="eastAsia" w:ascii="宋体" w:hAnsi="宋体" w:cs="宋体"/>
                <w:sz w:val="24"/>
                <w:szCs w:val="24"/>
              </w:rPr>
              <w:t>2-3</w:t>
            </w:r>
            <w:r>
              <w:rPr>
                <w:rFonts w:ascii="宋体" w:hAnsi="宋体" w:cs="宋体"/>
                <w:sz w:val="24"/>
                <w:szCs w:val="24"/>
              </w:rPr>
              <w:t>人，辅助项目负责人进行</w:t>
            </w:r>
            <w:r>
              <w:rPr>
                <w:rFonts w:hint="eastAsia" w:ascii="宋体" w:hAnsi="宋体" w:cs="宋体"/>
                <w:sz w:val="24"/>
                <w:szCs w:val="24"/>
              </w:rPr>
              <w:t>维保</w:t>
            </w:r>
            <w:r>
              <w:rPr>
                <w:rFonts w:ascii="宋体" w:hAnsi="宋体" w:cs="宋体"/>
                <w:sz w:val="24"/>
                <w:szCs w:val="24"/>
              </w:rPr>
              <w:t xml:space="preserve">人员日常管理和工作安排对接。实行维修与维保相结合，及时处理消防设施的故障，并如实填写相关记录。 </w:t>
            </w:r>
          </w:p>
          <w:p w14:paraId="587A45B0">
            <w:pPr>
              <w:spacing w:line="360" w:lineRule="auto"/>
              <w:ind w:firstLine="660" w:firstLineChars="275"/>
              <w:rPr>
                <w:rFonts w:ascii="宋体" w:hAnsi="宋体" w:cs="宋体"/>
                <w:sz w:val="24"/>
                <w:szCs w:val="24"/>
              </w:rPr>
            </w:pPr>
            <w:r>
              <w:rPr>
                <w:rFonts w:hint="eastAsia" w:ascii="宋体" w:hAnsi="宋体" w:cs="宋体"/>
                <w:sz w:val="24"/>
                <w:szCs w:val="24"/>
              </w:rPr>
              <w:t>（2）</w:t>
            </w:r>
            <w:r>
              <w:rPr>
                <w:rFonts w:ascii="宋体" w:hAnsi="宋体" w:cs="宋体"/>
                <w:sz w:val="24"/>
                <w:szCs w:val="24"/>
              </w:rPr>
              <w:t>投标单位应自行办理有关工作人员的人身、财产保险，保险时间应根据服务时间的延长而顺延，并自行办理相关的各种手续和索赔。否则，对有关风险及后果自负其责。</w:t>
            </w:r>
          </w:p>
          <w:p w14:paraId="1A5E74CA">
            <w:pPr>
              <w:spacing w:line="360" w:lineRule="auto"/>
              <w:ind w:firstLine="660" w:firstLineChars="275"/>
              <w:rPr>
                <w:rFonts w:ascii="宋体" w:hAnsi="宋体" w:cs="宋体"/>
                <w:sz w:val="24"/>
                <w:szCs w:val="24"/>
              </w:rPr>
            </w:pPr>
            <w:r>
              <w:rPr>
                <w:rFonts w:hint="eastAsia" w:ascii="宋体" w:hAnsi="宋体" w:cs="宋体"/>
                <w:sz w:val="24"/>
                <w:szCs w:val="24"/>
              </w:rPr>
              <w:t>（3）</w:t>
            </w:r>
            <w:r>
              <w:rPr>
                <w:rFonts w:ascii="宋体" w:hAnsi="宋体" w:cs="宋体"/>
                <w:sz w:val="24"/>
                <w:szCs w:val="24"/>
              </w:rPr>
              <w:t>中标单位应积极、主动的开展相关维保工作，并对发现的设备设施隐患、故障等及时进行维护维修。对于招标人发起的相关整改、维护测试、联动测试检查，应按要求，积极予以配合。</w:t>
            </w:r>
          </w:p>
          <w:p w14:paraId="68FCB735">
            <w:pPr>
              <w:spacing w:line="360" w:lineRule="auto"/>
              <w:ind w:firstLine="660" w:firstLineChars="275"/>
              <w:rPr>
                <w:rFonts w:ascii="宋体" w:hAnsi="宋体" w:cs="宋体"/>
                <w:sz w:val="24"/>
                <w:szCs w:val="24"/>
              </w:rPr>
            </w:pPr>
            <w:r>
              <w:rPr>
                <w:rFonts w:hint="eastAsia" w:ascii="宋体" w:hAnsi="宋体" w:cs="宋体"/>
                <w:sz w:val="24"/>
                <w:szCs w:val="24"/>
              </w:rPr>
              <w:t>（4）</w:t>
            </w:r>
            <w:r>
              <w:rPr>
                <w:rFonts w:ascii="宋体" w:hAnsi="宋体" w:cs="宋体"/>
                <w:sz w:val="24"/>
                <w:szCs w:val="24"/>
              </w:rPr>
              <w:t>各业主、租户区域内的二次装修，乙方应配合验收，协助取得消防管理部门的验收通过文件；中标单位应配合物业工程服务部进行二次装修区域内的消防设备设施的查验，确保相关设备设施功能完善，并维护相关设备的持续、可靠运行。</w:t>
            </w:r>
          </w:p>
          <w:p w14:paraId="550CEEAA">
            <w:pPr>
              <w:spacing w:line="360" w:lineRule="auto"/>
              <w:ind w:firstLine="660" w:firstLineChars="275"/>
              <w:rPr>
                <w:rFonts w:ascii="宋体" w:hAnsi="宋体" w:cs="宋体"/>
                <w:sz w:val="24"/>
                <w:szCs w:val="24"/>
              </w:rPr>
            </w:pPr>
            <w:r>
              <w:rPr>
                <w:rFonts w:hint="eastAsia" w:ascii="宋体" w:hAnsi="宋体" w:cs="宋体"/>
                <w:sz w:val="24"/>
                <w:szCs w:val="24"/>
              </w:rPr>
              <w:t>（5）</w:t>
            </w:r>
            <w:r>
              <w:rPr>
                <w:rFonts w:ascii="宋体" w:hAnsi="宋体" w:cs="宋体"/>
                <w:sz w:val="24"/>
                <w:szCs w:val="24"/>
              </w:rPr>
              <w:t>一般故障须立即排除，较复杂的但对消防安全影响不大的故障可在24小时内修复。特殊情况应及时书面向物业工程服务部提出申请，并征得物业工程服务部同意。遇有重大设备故障、需更换单价在400元以上设备或配件的，应在故障部位或部件确认2小时内将维修方案报物业工程服务部，维修方案确认24小时内或根据维修方案协商约定时间内予以修复。对于非</w:t>
            </w:r>
            <w:r>
              <w:rPr>
                <w:rFonts w:hint="eastAsia" w:ascii="宋体" w:hAnsi="宋体" w:cs="宋体"/>
                <w:sz w:val="24"/>
                <w:szCs w:val="24"/>
              </w:rPr>
              <w:t>维保</w:t>
            </w:r>
            <w:r>
              <w:rPr>
                <w:rFonts w:ascii="宋体" w:hAnsi="宋体" w:cs="宋体"/>
                <w:sz w:val="24"/>
                <w:szCs w:val="24"/>
              </w:rPr>
              <w:t>人员工作时间段内发生的系统设备故障，项目负责人自接到报修电话 2 小时内应安排维修人员到场处理。</w:t>
            </w:r>
          </w:p>
          <w:p w14:paraId="2D8F43CB">
            <w:pPr>
              <w:spacing w:line="360" w:lineRule="auto"/>
              <w:ind w:firstLine="660" w:firstLineChars="275"/>
              <w:rPr>
                <w:rFonts w:hint="eastAsia" w:ascii="宋体" w:hAnsi="宋体" w:cs="宋体"/>
                <w:sz w:val="24"/>
                <w:szCs w:val="24"/>
              </w:rPr>
            </w:pPr>
            <w:r>
              <w:rPr>
                <w:rFonts w:hint="eastAsia" w:ascii="宋体" w:hAnsi="宋体" w:cs="宋体"/>
                <w:sz w:val="24"/>
                <w:szCs w:val="24"/>
              </w:rPr>
              <w:t>（6）</w:t>
            </w:r>
            <w:r>
              <w:rPr>
                <w:rFonts w:ascii="宋体" w:hAnsi="宋体" w:cs="宋体"/>
                <w:sz w:val="24"/>
                <w:szCs w:val="24"/>
              </w:rPr>
              <w:t>中标单位</w:t>
            </w:r>
            <w:r>
              <w:rPr>
                <w:rFonts w:hint="eastAsia" w:ascii="宋体" w:hAnsi="宋体" w:cs="宋体"/>
                <w:sz w:val="24"/>
                <w:szCs w:val="24"/>
              </w:rPr>
              <w:t>维保</w:t>
            </w:r>
            <w:r>
              <w:rPr>
                <w:rFonts w:ascii="宋体" w:hAnsi="宋体" w:cs="宋体"/>
                <w:sz w:val="24"/>
                <w:szCs w:val="24"/>
              </w:rPr>
              <w:t>消防维保人员需按照国家及当地消防、安监部门要求持证上岗，每月对</w:t>
            </w:r>
            <w:r>
              <w:rPr>
                <w:rFonts w:hint="eastAsia" w:ascii="宋体" w:hAnsi="宋体" w:cs="宋体"/>
                <w:sz w:val="24"/>
                <w:szCs w:val="24"/>
              </w:rPr>
              <w:t>维保</w:t>
            </w:r>
            <w:r>
              <w:rPr>
                <w:rFonts w:ascii="宋体" w:hAnsi="宋体" w:cs="宋体"/>
                <w:sz w:val="24"/>
                <w:szCs w:val="24"/>
              </w:rPr>
              <w:t>消防维保人员进行安全生产培训教育，定期更新安全防护工具。</w:t>
            </w:r>
          </w:p>
          <w:p w14:paraId="4B56073A">
            <w:pPr>
              <w:spacing w:line="360" w:lineRule="auto"/>
              <w:ind w:firstLine="660" w:firstLineChars="275"/>
              <w:rPr>
                <w:rFonts w:ascii="宋体" w:hAnsi="宋体" w:cs="宋体"/>
                <w:sz w:val="24"/>
                <w:szCs w:val="24"/>
              </w:rPr>
            </w:pPr>
            <w:r>
              <w:rPr>
                <w:rFonts w:hint="eastAsia" w:ascii="宋体" w:hAnsi="宋体" w:cs="宋体"/>
                <w:sz w:val="24"/>
                <w:szCs w:val="24"/>
              </w:rPr>
              <w:t>（7）</w:t>
            </w:r>
            <w:r>
              <w:rPr>
                <w:rFonts w:ascii="宋体" w:hAnsi="宋体" w:cs="宋体"/>
                <w:sz w:val="24"/>
                <w:szCs w:val="24"/>
              </w:rPr>
              <w:t>甲方及甲方的上级公司、地方消防或其他行政管理部门进行各类检查，所发现的消防隐患、设备故障、损坏等属于维保责任内的事项，都视做维保责任不到位，列入维保考核项。</w:t>
            </w:r>
          </w:p>
          <w:p w14:paraId="0AD9FAE6">
            <w:pPr>
              <w:spacing w:line="360" w:lineRule="auto"/>
              <w:ind w:firstLine="660" w:firstLineChars="275"/>
              <w:rPr>
                <w:rFonts w:ascii="宋体" w:hAnsi="宋体" w:cs="宋体"/>
                <w:sz w:val="24"/>
                <w:szCs w:val="24"/>
              </w:rPr>
            </w:pPr>
            <w:r>
              <w:rPr>
                <w:rFonts w:hint="eastAsia" w:ascii="宋体" w:hAnsi="宋体" w:cs="宋体"/>
                <w:sz w:val="24"/>
                <w:szCs w:val="24"/>
              </w:rPr>
              <w:t>（8）</w:t>
            </w:r>
            <w:r>
              <w:rPr>
                <w:rFonts w:ascii="宋体" w:hAnsi="宋体" w:cs="宋体"/>
                <w:sz w:val="24"/>
                <w:szCs w:val="24"/>
              </w:rPr>
              <w:t>由于中标单位的原因致使系统、设备故障未能及时修复，而造成其他设备损坏、影响租户、大厦业主正常营运或装修后消防支队消防验收等不良影响的，视作中标单位违约行为，除在月度考核中按相关要求进行扣分处理外，同时视情节轻重、不良影响程度，分别处以500元、1000元、2000元违约处罚。</w:t>
            </w:r>
          </w:p>
          <w:p w14:paraId="173F292A">
            <w:pPr>
              <w:spacing w:line="360" w:lineRule="auto"/>
              <w:ind w:firstLine="660" w:firstLineChars="275"/>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有以下情形（包括但不限于）的，处以500元违约处罚： </w:t>
            </w:r>
          </w:p>
          <w:p w14:paraId="55413E7F">
            <w:pPr>
              <w:spacing w:line="360" w:lineRule="auto"/>
              <w:ind w:firstLine="660" w:firstLineChars="275"/>
              <w:rPr>
                <w:rFonts w:ascii="宋体" w:hAnsi="宋体" w:cs="宋体"/>
                <w:sz w:val="24"/>
                <w:szCs w:val="24"/>
              </w:rPr>
            </w:pPr>
            <w:r>
              <w:rPr>
                <w:rFonts w:hint="eastAsia" w:ascii="宋体" w:hAnsi="宋体" w:cs="宋体"/>
                <w:sz w:val="24"/>
                <w:szCs w:val="24"/>
              </w:rPr>
              <w:t>①</w:t>
            </w:r>
            <w:r>
              <w:rPr>
                <w:rFonts w:ascii="宋体" w:hAnsi="宋体" w:cs="宋体"/>
                <w:sz w:val="24"/>
                <w:szCs w:val="24"/>
              </w:rPr>
              <w:t>因维保责任而导致营业时间营业区域停电、营业时间内营业区域防火卷帘门下降等事件的；</w:t>
            </w:r>
          </w:p>
          <w:p w14:paraId="7A4A7351">
            <w:pPr>
              <w:spacing w:line="360" w:lineRule="auto"/>
              <w:ind w:firstLine="660" w:firstLineChars="275"/>
              <w:rPr>
                <w:rFonts w:ascii="宋体" w:hAnsi="宋体" w:cs="宋体"/>
                <w:sz w:val="24"/>
                <w:szCs w:val="24"/>
              </w:rPr>
            </w:pPr>
            <w:r>
              <w:rPr>
                <w:rFonts w:hint="eastAsia" w:ascii="宋体" w:hAnsi="宋体" w:cs="宋体"/>
                <w:sz w:val="24"/>
                <w:szCs w:val="24"/>
              </w:rPr>
              <w:t>②</w:t>
            </w:r>
            <w:r>
              <w:rPr>
                <w:rFonts w:ascii="宋体" w:hAnsi="宋体" w:cs="宋体"/>
                <w:sz w:val="24"/>
                <w:szCs w:val="24"/>
              </w:rPr>
              <w:t>因维保责任导致的设备损坏未能及时修复而影响店铺正常营业的，除应承担店铺、招标单位的损失外，首次出现的处以500元违约处罚；</w:t>
            </w:r>
          </w:p>
          <w:p w14:paraId="77A377F2">
            <w:pPr>
              <w:spacing w:line="360" w:lineRule="auto"/>
              <w:ind w:firstLine="660" w:firstLineChars="275"/>
              <w:rPr>
                <w:rFonts w:ascii="宋体" w:hAnsi="宋体" w:cs="宋体"/>
                <w:sz w:val="24"/>
                <w:szCs w:val="24"/>
              </w:rPr>
            </w:pPr>
            <w:r>
              <w:rPr>
                <w:rFonts w:hint="eastAsia" w:ascii="宋体" w:hAnsi="宋体" w:cs="宋体"/>
                <w:sz w:val="24"/>
                <w:szCs w:val="24"/>
              </w:rPr>
              <w:t>2）</w:t>
            </w:r>
            <w:r>
              <w:rPr>
                <w:rFonts w:ascii="宋体" w:hAnsi="宋体" w:cs="宋体"/>
                <w:sz w:val="24"/>
                <w:szCs w:val="24"/>
              </w:rPr>
              <w:t>有以下情形（包括但不限于）的，处以1000元违约处罚：</w:t>
            </w:r>
          </w:p>
          <w:p w14:paraId="046B66C0">
            <w:pPr>
              <w:spacing w:line="360" w:lineRule="auto"/>
              <w:ind w:firstLine="660" w:firstLineChars="275"/>
              <w:rPr>
                <w:rFonts w:ascii="宋体" w:hAnsi="宋体" w:cs="宋体"/>
                <w:sz w:val="24"/>
                <w:szCs w:val="24"/>
              </w:rPr>
            </w:pPr>
            <w:r>
              <w:rPr>
                <w:rFonts w:hint="eastAsia" w:ascii="宋体" w:hAnsi="宋体" w:cs="宋体"/>
                <w:sz w:val="24"/>
                <w:szCs w:val="24"/>
              </w:rPr>
              <w:t>①</w:t>
            </w:r>
            <w:r>
              <w:rPr>
                <w:rFonts w:ascii="宋体" w:hAnsi="宋体" w:cs="宋体"/>
                <w:sz w:val="24"/>
                <w:szCs w:val="24"/>
              </w:rPr>
              <w:t>因维保责任而导致营业时间营业区域停电、营业时间内营业区域防火卷帘门下降等事件的，在首次后三个月内出现第二次的；</w:t>
            </w:r>
          </w:p>
          <w:p w14:paraId="75F308B5">
            <w:pPr>
              <w:spacing w:line="360" w:lineRule="auto"/>
              <w:ind w:firstLine="660" w:firstLineChars="275"/>
              <w:rPr>
                <w:rFonts w:ascii="宋体" w:hAnsi="宋体" w:cs="宋体"/>
                <w:sz w:val="24"/>
                <w:szCs w:val="24"/>
              </w:rPr>
            </w:pPr>
            <w:r>
              <w:rPr>
                <w:rFonts w:hint="eastAsia" w:ascii="宋体" w:hAnsi="宋体" w:cs="宋体"/>
                <w:sz w:val="24"/>
                <w:szCs w:val="24"/>
              </w:rPr>
              <w:t>②</w:t>
            </w:r>
            <w:r>
              <w:rPr>
                <w:rFonts w:ascii="宋体" w:hAnsi="宋体" w:cs="宋体"/>
                <w:sz w:val="24"/>
                <w:szCs w:val="24"/>
              </w:rPr>
              <w:t>因维保责任导致的设备损坏未能及时修复而影响店铺正常营业的，除应承担店铺、招标单位的损失外，在首次发生的3个月内再次出现的；</w:t>
            </w:r>
          </w:p>
          <w:p w14:paraId="3376098C">
            <w:pPr>
              <w:spacing w:line="360" w:lineRule="auto"/>
              <w:ind w:firstLine="660" w:firstLineChars="275"/>
              <w:rPr>
                <w:rFonts w:ascii="宋体" w:hAnsi="宋体" w:cs="宋体"/>
                <w:sz w:val="24"/>
                <w:szCs w:val="24"/>
              </w:rPr>
            </w:pPr>
            <w:r>
              <w:rPr>
                <w:rFonts w:hint="eastAsia" w:ascii="宋体" w:hAnsi="宋体" w:cs="宋体"/>
                <w:sz w:val="24"/>
                <w:szCs w:val="24"/>
              </w:rPr>
              <w:t>③</w:t>
            </w:r>
            <w:r>
              <w:rPr>
                <w:rFonts w:ascii="宋体" w:hAnsi="宋体" w:cs="宋体"/>
                <w:sz w:val="24"/>
                <w:szCs w:val="24"/>
              </w:rPr>
              <w:t>因维保责任导致的设备损坏未能及时修复而导致店铺二次装修后的消防支队验收无法进行或延期的；</w:t>
            </w:r>
          </w:p>
          <w:p w14:paraId="69D65285">
            <w:pPr>
              <w:spacing w:line="360" w:lineRule="auto"/>
              <w:ind w:firstLine="660" w:firstLineChars="275"/>
              <w:rPr>
                <w:rFonts w:ascii="宋体" w:hAnsi="宋体" w:cs="宋体"/>
                <w:sz w:val="24"/>
                <w:szCs w:val="24"/>
              </w:rPr>
            </w:pPr>
            <w:r>
              <w:rPr>
                <w:rFonts w:hint="eastAsia" w:ascii="宋体" w:hAnsi="宋体" w:cs="宋体"/>
                <w:sz w:val="24"/>
                <w:szCs w:val="24"/>
              </w:rPr>
              <w:t>3）</w:t>
            </w:r>
            <w:r>
              <w:rPr>
                <w:rFonts w:ascii="宋体" w:hAnsi="宋体" w:cs="宋体"/>
                <w:sz w:val="24"/>
                <w:szCs w:val="24"/>
              </w:rPr>
              <w:t>以下情形（包括但不限于）的，处以 2000 元违约处罚：</w:t>
            </w:r>
          </w:p>
          <w:p w14:paraId="32BB2C8F">
            <w:pPr>
              <w:spacing w:line="360" w:lineRule="auto"/>
              <w:ind w:firstLine="660" w:firstLineChars="275"/>
              <w:rPr>
                <w:rFonts w:ascii="宋体" w:hAnsi="宋体" w:cs="宋体"/>
                <w:sz w:val="24"/>
                <w:szCs w:val="24"/>
              </w:rPr>
            </w:pPr>
            <w:r>
              <w:rPr>
                <w:rFonts w:hint="eastAsia" w:ascii="宋体" w:hAnsi="宋体" w:cs="宋体"/>
                <w:sz w:val="24"/>
                <w:szCs w:val="24"/>
              </w:rPr>
              <w:t>①</w:t>
            </w:r>
            <w:r>
              <w:rPr>
                <w:rFonts w:ascii="宋体" w:hAnsi="宋体" w:cs="宋体"/>
                <w:sz w:val="24"/>
                <w:szCs w:val="24"/>
              </w:rPr>
              <w:t>因维保责任而导致营业时间营业区域停电、营业时间内营业区域防火卷帘门下降等事件的，在首次后一个月内出现第二次的或维保期内出现 3 次及以上的，</w:t>
            </w:r>
          </w:p>
          <w:p w14:paraId="7FB1C83A">
            <w:pPr>
              <w:spacing w:line="360" w:lineRule="auto"/>
              <w:ind w:firstLine="660" w:firstLineChars="275"/>
              <w:rPr>
                <w:rFonts w:ascii="宋体" w:hAnsi="宋体" w:cs="宋体"/>
                <w:sz w:val="24"/>
                <w:szCs w:val="24"/>
              </w:rPr>
            </w:pPr>
            <w:r>
              <w:rPr>
                <w:rFonts w:hint="eastAsia" w:ascii="宋体" w:hAnsi="宋体" w:cs="宋体"/>
                <w:sz w:val="24"/>
                <w:szCs w:val="24"/>
              </w:rPr>
              <w:t>②</w:t>
            </w:r>
            <w:r>
              <w:rPr>
                <w:rFonts w:ascii="宋体" w:hAnsi="宋体" w:cs="宋体"/>
                <w:sz w:val="24"/>
                <w:szCs w:val="24"/>
              </w:rPr>
              <w:t xml:space="preserve">因维保责任导致的设备损坏未能及时修复而影响店铺正常营业的，除应承担店铺、招标单位的损失外，在首次发生的 1 个月内再次出现的或维保期内出现 3 次及以上的； </w:t>
            </w:r>
          </w:p>
          <w:p w14:paraId="4986E25C">
            <w:pPr>
              <w:spacing w:line="360" w:lineRule="auto"/>
              <w:ind w:firstLine="660" w:firstLineChars="275"/>
              <w:rPr>
                <w:rFonts w:ascii="宋体" w:hAnsi="宋体" w:cs="宋体"/>
                <w:sz w:val="24"/>
                <w:szCs w:val="24"/>
              </w:rPr>
            </w:pPr>
            <w:r>
              <w:rPr>
                <w:rFonts w:hint="eastAsia" w:ascii="宋体" w:hAnsi="宋体" w:cs="宋体"/>
                <w:sz w:val="24"/>
                <w:szCs w:val="24"/>
              </w:rPr>
              <w:t>③</w:t>
            </w:r>
            <w:r>
              <w:rPr>
                <w:rFonts w:ascii="宋体" w:hAnsi="宋体" w:cs="宋体"/>
                <w:sz w:val="24"/>
                <w:szCs w:val="24"/>
              </w:rPr>
              <w:t>因维保责任导致的设备损坏未能及时修复而导致店铺二次装修后的消防支队验收无法进行或延期的，在维保期内出现 2 次及以上的。</w:t>
            </w:r>
          </w:p>
          <w:p w14:paraId="6AC9041F">
            <w:pPr>
              <w:spacing w:line="360" w:lineRule="auto"/>
              <w:ind w:firstLine="660" w:firstLineChars="275"/>
              <w:rPr>
                <w:rFonts w:ascii="宋体" w:hAnsi="宋体" w:cs="宋体"/>
                <w:sz w:val="24"/>
                <w:szCs w:val="24"/>
              </w:rPr>
            </w:pPr>
            <w:r>
              <w:rPr>
                <w:rFonts w:hint="eastAsia" w:ascii="宋体" w:hAnsi="宋体" w:cs="宋体"/>
                <w:sz w:val="24"/>
                <w:szCs w:val="24"/>
              </w:rPr>
              <w:t>（9）</w:t>
            </w:r>
            <w:r>
              <w:rPr>
                <w:rFonts w:ascii="宋体" w:hAnsi="宋体" w:cs="宋体"/>
                <w:sz w:val="24"/>
                <w:szCs w:val="24"/>
              </w:rPr>
              <w:t xml:space="preserve">由于中标单位维保人员未遵守安全管理规定、安全操作规范或不服从工程服务部现场管理人员的安全管理的，除在月度考核中按相关要求进行扣分处理外，同时视情节轻重，分别处以警告或 1000 元、2000 元违约处罚。 </w:t>
            </w:r>
          </w:p>
          <w:p w14:paraId="0E0CA359">
            <w:pPr>
              <w:spacing w:line="360" w:lineRule="auto"/>
              <w:ind w:firstLine="660" w:firstLineChars="275"/>
              <w:rPr>
                <w:rFonts w:ascii="宋体" w:hAnsi="宋体" w:cs="宋体"/>
                <w:sz w:val="24"/>
                <w:szCs w:val="24"/>
              </w:rPr>
            </w:pPr>
            <w:r>
              <w:rPr>
                <w:rFonts w:hint="eastAsia" w:ascii="宋体" w:hAnsi="宋体" w:cs="宋体"/>
                <w:sz w:val="24"/>
                <w:szCs w:val="24"/>
              </w:rPr>
              <w:t>1）</w:t>
            </w:r>
            <w:r>
              <w:rPr>
                <w:rFonts w:ascii="宋体" w:hAnsi="宋体" w:cs="宋体"/>
                <w:sz w:val="24"/>
                <w:szCs w:val="24"/>
              </w:rPr>
              <w:t>有以下（包括但不限于）不安全行为的，处以警告处罚：登高作业未使用符合要求的登高梯具、登高作业人员未戴安全帽、未合理使用安全带的、在停车场或车道区域作业时未摆放作业提醒标识、作业人员未穿戴反光衣的；</w:t>
            </w:r>
          </w:p>
          <w:p w14:paraId="76F6C793">
            <w:pPr>
              <w:spacing w:line="360" w:lineRule="auto"/>
              <w:ind w:firstLine="660" w:firstLineChars="275"/>
              <w:rPr>
                <w:rFonts w:ascii="宋体" w:hAnsi="宋体" w:cs="宋体"/>
                <w:sz w:val="24"/>
                <w:szCs w:val="24"/>
              </w:rPr>
            </w:pPr>
            <w:r>
              <w:rPr>
                <w:rFonts w:hint="eastAsia" w:ascii="宋体" w:hAnsi="宋体" w:cs="宋体"/>
                <w:sz w:val="24"/>
                <w:szCs w:val="24"/>
              </w:rPr>
              <w:t>2）</w:t>
            </w:r>
            <w:r>
              <w:rPr>
                <w:rFonts w:ascii="宋体" w:hAnsi="宋体" w:cs="宋体"/>
                <w:sz w:val="24"/>
                <w:szCs w:val="24"/>
              </w:rPr>
              <w:t>有以下（包括但不限于）不安全行为的，处以1000元处罚：</w:t>
            </w:r>
          </w:p>
          <w:p w14:paraId="4CC21002">
            <w:pPr>
              <w:spacing w:line="360" w:lineRule="auto"/>
              <w:ind w:firstLine="660" w:firstLineChars="275"/>
              <w:rPr>
                <w:rFonts w:ascii="宋体" w:hAnsi="宋体" w:cs="宋体"/>
                <w:sz w:val="24"/>
                <w:szCs w:val="24"/>
              </w:rPr>
            </w:pPr>
            <w:r>
              <w:rPr>
                <w:rFonts w:hint="eastAsia" w:ascii="宋体" w:hAnsi="宋体" w:cs="宋体"/>
                <w:sz w:val="24"/>
                <w:szCs w:val="24"/>
              </w:rPr>
              <w:t>①</w:t>
            </w:r>
            <w:r>
              <w:rPr>
                <w:rFonts w:ascii="宋体" w:hAnsi="宋体" w:cs="宋体"/>
                <w:sz w:val="24"/>
                <w:szCs w:val="24"/>
              </w:rPr>
              <w:t>因不安全行为而在 1 个月内被警告三次的，第三次既处以1000元处罚；</w:t>
            </w:r>
          </w:p>
          <w:p w14:paraId="2F933C2C">
            <w:pPr>
              <w:spacing w:line="360" w:lineRule="auto"/>
              <w:ind w:firstLine="660" w:firstLineChars="275"/>
              <w:rPr>
                <w:rFonts w:hint="eastAsia" w:ascii="宋体" w:hAnsi="宋体" w:cs="宋体"/>
                <w:sz w:val="24"/>
                <w:szCs w:val="24"/>
              </w:rPr>
            </w:pPr>
            <w:r>
              <w:rPr>
                <w:rFonts w:hint="eastAsia" w:ascii="宋体" w:hAnsi="宋体" w:cs="宋体"/>
                <w:sz w:val="24"/>
                <w:szCs w:val="24"/>
              </w:rPr>
              <w:t>②</w:t>
            </w:r>
            <w:r>
              <w:rPr>
                <w:rFonts w:ascii="宋体" w:hAnsi="宋体" w:cs="宋体"/>
                <w:sz w:val="24"/>
                <w:szCs w:val="24"/>
              </w:rPr>
              <w:t>出现不安全行为，且不服从工程服务部现场管理人员要求立即改正的，首次处以1000元处罚；</w:t>
            </w:r>
          </w:p>
          <w:p w14:paraId="5569423D">
            <w:pPr>
              <w:spacing w:line="360" w:lineRule="auto"/>
              <w:ind w:firstLine="660" w:firstLineChars="275"/>
              <w:rPr>
                <w:rFonts w:ascii="宋体" w:hAnsi="宋体" w:cs="宋体"/>
                <w:sz w:val="24"/>
                <w:szCs w:val="24"/>
              </w:rPr>
            </w:pPr>
            <w:r>
              <w:rPr>
                <w:rFonts w:hint="eastAsia" w:ascii="宋体" w:hAnsi="宋体" w:cs="宋体"/>
                <w:sz w:val="24"/>
                <w:szCs w:val="24"/>
              </w:rPr>
              <w:t>3）</w:t>
            </w:r>
            <w:r>
              <w:rPr>
                <w:rFonts w:ascii="宋体" w:hAnsi="宋体" w:cs="宋体"/>
                <w:sz w:val="24"/>
                <w:szCs w:val="24"/>
              </w:rPr>
              <w:t>有以下（包括但不限于）不安全行为的，处以 2000 元处罚：</w:t>
            </w:r>
          </w:p>
          <w:p w14:paraId="47CF809A">
            <w:pPr>
              <w:spacing w:line="360" w:lineRule="auto"/>
              <w:ind w:firstLine="660" w:firstLineChars="275"/>
              <w:rPr>
                <w:rFonts w:ascii="宋体" w:hAnsi="宋体" w:cs="宋体"/>
                <w:sz w:val="24"/>
                <w:szCs w:val="24"/>
              </w:rPr>
            </w:pPr>
            <w:r>
              <w:rPr>
                <w:rFonts w:hint="eastAsia" w:ascii="宋体" w:hAnsi="宋体" w:cs="宋体"/>
                <w:sz w:val="24"/>
                <w:szCs w:val="24"/>
              </w:rPr>
              <w:t>①</w:t>
            </w:r>
            <w:r>
              <w:rPr>
                <w:rFonts w:ascii="宋体" w:hAnsi="宋体" w:cs="宋体"/>
                <w:sz w:val="24"/>
                <w:szCs w:val="24"/>
              </w:rPr>
              <w:t>因不安全行为而在维保期内被警告四次及以上的，第四次起既处以2000 元处罚；</w:t>
            </w:r>
          </w:p>
          <w:p w14:paraId="64F68C6C">
            <w:pPr>
              <w:spacing w:line="360" w:lineRule="auto"/>
              <w:ind w:firstLine="660" w:firstLineChars="275"/>
              <w:rPr>
                <w:rFonts w:ascii="宋体" w:hAnsi="宋体" w:cs="宋体"/>
                <w:sz w:val="24"/>
                <w:szCs w:val="24"/>
              </w:rPr>
            </w:pPr>
            <w:r>
              <w:rPr>
                <w:rFonts w:hint="eastAsia" w:ascii="宋体" w:hAnsi="宋体" w:cs="宋体"/>
                <w:sz w:val="24"/>
                <w:szCs w:val="24"/>
              </w:rPr>
              <w:t>②</w:t>
            </w:r>
            <w:r>
              <w:rPr>
                <w:rFonts w:ascii="宋体" w:hAnsi="宋体" w:cs="宋体"/>
                <w:sz w:val="24"/>
                <w:szCs w:val="24"/>
              </w:rPr>
              <w:t>出现不安全行为，且不服从工程服务部现场管理人员要求立即改正的，维保期内出现 2 次及以上的，每次处以2000元处罚；</w:t>
            </w:r>
          </w:p>
          <w:p w14:paraId="068991A0">
            <w:pPr>
              <w:spacing w:line="360" w:lineRule="auto"/>
              <w:ind w:firstLine="660" w:firstLineChars="275"/>
              <w:rPr>
                <w:rFonts w:hint="eastAsia" w:ascii="宋体" w:hAnsi="宋体" w:cs="宋体"/>
                <w:sz w:val="24"/>
                <w:szCs w:val="24"/>
              </w:rPr>
            </w:pPr>
            <w:r>
              <w:rPr>
                <w:rFonts w:hint="eastAsia" w:ascii="宋体" w:hAnsi="宋体" w:cs="宋体"/>
                <w:sz w:val="24"/>
                <w:szCs w:val="24"/>
              </w:rPr>
              <w:t>③</w:t>
            </w:r>
            <w:r>
              <w:rPr>
                <w:rFonts w:ascii="宋体" w:hAnsi="宋体" w:cs="宋体"/>
                <w:sz w:val="24"/>
                <w:szCs w:val="24"/>
              </w:rPr>
              <w:t>因不安全行为，而出现跌落等人身伤害事件的，每次处以2000元处罚。</w:t>
            </w:r>
          </w:p>
          <w:p w14:paraId="57090866">
            <w:pPr>
              <w:pStyle w:val="2"/>
              <w:spacing w:before="0" w:after="0" w:line="360" w:lineRule="auto"/>
              <w:ind w:left="561" w:hanging="561" w:firstLineChars="0"/>
              <w:rPr>
                <w:rFonts w:ascii="宋体" w:hAnsi="宋体"/>
                <w:sz w:val="24"/>
                <w:szCs w:val="24"/>
              </w:rPr>
            </w:pPr>
            <w:r>
              <w:rPr>
                <w:rFonts w:hint="eastAsia" w:ascii="宋体" w:hAnsi="宋体"/>
                <w:sz w:val="24"/>
                <w:szCs w:val="24"/>
                <w:lang w:val="en-US" w:eastAsia="zh-CN"/>
              </w:rPr>
              <w:t>二</w:t>
            </w:r>
            <w:r>
              <w:rPr>
                <w:rFonts w:hint="eastAsia" w:ascii="宋体" w:hAnsi="宋体"/>
                <w:sz w:val="24"/>
                <w:szCs w:val="24"/>
              </w:rPr>
              <w:t>、消防维保范围</w:t>
            </w:r>
          </w:p>
          <w:p w14:paraId="0F47D01D">
            <w:pPr>
              <w:spacing w:line="360" w:lineRule="auto"/>
              <w:ind w:firstLine="660" w:firstLineChars="275"/>
              <w:rPr>
                <w:rFonts w:ascii="宋体" w:hAnsi="宋体" w:cs="宋体"/>
                <w:sz w:val="24"/>
                <w:szCs w:val="24"/>
              </w:rPr>
            </w:pPr>
            <w:r>
              <w:rPr>
                <w:rFonts w:ascii="宋体" w:hAnsi="宋体" w:cs="宋体"/>
                <w:sz w:val="24"/>
                <w:szCs w:val="24"/>
              </w:rPr>
              <w:t>火灾自动报警系统、温、烟感智能模块、CRT系统、消防风机、风阀、防火卷帘系统（包括异形卷帘）、防火门监控、气体灭火系统、紧急广播及背景音乐系统、智能疏散、消防水泵、湿式报警阀、管道阀门、水炮系统以及所有消防控制柜及消防模块箱等维保相关内容</w:t>
            </w:r>
            <w:r>
              <w:rPr>
                <w:rFonts w:hint="eastAsia" w:ascii="宋体" w:hAnsi="宋体" w:cs="宋体"/>
                <w:sz w:val="24"/>
                <w:szCs w:val="24"/>
              </w:rPr>
              <w:t>。</w:t>
            </w:r>
          </w:p>
          <w:p w14:paraId="200C808A">
            <w:pPr>
              <w:spacing w:line="360" w:lineRule="auto"/>
              <w:ind w:firstLine="660" w:firstLineChars="275"/>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消控主机：清灰保养保养、配件维修更换、联动程序梳理；</w:t>
            </w:r>
          </w:p>
          <w:p w14:paraId="10135421">
            <w:pPr>
              <w:spacing w:line="360" w:lineRule="auto"/>
              <w:ind w:firstLine="660" w:firstLineChars="275"/>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防火隔断：控制柜、电机、导轨、帘布、手动控制器保养，配件维修更换；</w:t>
            </w:r>
          </w:p>
          <w:p w14:paraId="1CFD4321">
            <w:pPr>
              <w:spacing w:line="360" w:lineRule="auto"/>
              <w:ind w:firstLine="660" w:firstLineChars="275"/>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模块点位：包括温感、烟感、手报、各种模块清灰保养，故障更换以及线路排查；</w:t>
            </w:r>
          </w:p>
          <w:p w14:paraId="6B22A51C">
            <w:pPr>
              <w:spacing w:line="360" w:lineRule="auto"/>
              <w:ind w:firstLine="660" w:firstLineChars="275"/>
              <w:rPr>
                <w:rFonts w:ascii="宋体" w:hAnsi="宋体" w:cs="宋体"/>
                <w:sz w:val="24"/>
                <w:szCs w:val="24"/>
              </w:rPr>
            </w:pPr>
            <w:r>
              <w:rPr>
                <w:rFonts w:hint="eastAsia" w:ascii="宋体" w:hAnsi="宋体" w:cs="宋体"/>
                <w:sz w:val="24"/>
                <w:szCs w:val="24"/>
              </w:rPr>
              <w:t>4．</w:t>
            </w:r>
            <w:r>
              <w:rPr>
                <w:rFonts w:ascii="宋体" w:hAnsi="宋体" w:cs="宋体"/>
                <w:sz w:val="24"/>
                <w:szCs w:val="24"/>
              </w:rPr>
              <w:t>消防水炮：水炮主机、监控、矩阵、硬盘现场设备、手动操作盘等设备保养，配件维修更换；</w:t>
            </w:r>
          </w:p>
          <w:p w14:paraId="29C8BB05">
            <w:pPr>
              <w:spacing w:line="360" w:lineRule="auto"/>
              <w:ind w:firstLine="660" w:firstLineChars="275"/>
              <w:rPr>
                <w:rFonts w:ascii="宋体" w:hAnsi="宋体" w:cs="宋体"/>
                <w:sz w:val="24"/>
                <w:szCs w:val="24"/>
              </w:rPr>
            </w:pPr>
            <w:r>
              <w:rPr>
                <w:rFonts w:hint="eastAsia" w:ascii="宋体" w:hAnsi="宋体" w:cs="宋体"/>
                <w:sz w:val="24"/>
                <w:szCs w:val="24"/>
              </w:rPr>
              <w:t>5．</w:t>
            </w:r>
            <w:r>
              <w:rPr>
                <w:rFonts w:ascii="宋体" w:hAnsi="宋体" w:cs="宋体"/>
                <w:sz w:val="24"/>
                <w:szCs w:val="24"/>
              </w:rPr>
              <w:t>气体灭火：现场操作主机、气瓶、及附属警铃、声光报警等设备保养，配件维修更换</w:t>
            </w:r>
          </w:p>
          <w:p w14:paraId="5D8227D8">
            <w:pPr>
              <w:spacing w:line="360" w:lineRule="auto"/>
              <w:ind w:firstLine="660" w:firstLineChars="275"/>
              <w:rPr>
                <w:rFonts w:hint="eastAsia" w:ascii="宋体" w:hAnsi="宋体" w:cs="宋体"/>
                <w:sz w:val="24"/>
                <w:szCs w:val="24"/>
              </w:rPr>
            </w:pPr>
            <w:r>
              <w:rPr>
                <w:rFonts w:hint="eastAsia" w:ascii="宋体" w:hAnsi="宋体" w:cs="宋体"/>
                <w:sz w:val="24"/>
                <w:szCs w:val="24"/>
              </w:rPr>
              <w:t>6．</w:t>
            </w:r>
            <w:r>
              <w:rPr>
                <w:rFonts w:ascii="宋体" w:hAnsi="宋体" w:cs="宋体"/>
                <w:sz w:val="24"/>
                <w:szCs w:val="24"/>
              </w:rPr>
              <w:t xml:space="preserve">消防电话：电话机柜，现场电话分机测试、维修、更换； </w:t>
            </w:r>
          </w:p>
          <w:p w14:paraId="1C968A58">
            <w:pPr>
              <w:spacing w:line="360" w:lineRule="auto"/>
              <w:ind w:firstLine="660" w:firstLineChars="275"/>
              <w:rPr>
                <w:rFonts w:hint="eastAsia" w:ascii="宋体" w:hAnsi="宋体" w:cs="宋体"/>
                <w:sz w:val="24"/>
                <w:szCs w:val="24"/>
              </w:rPr>
            </w:pPr>
            <w:r>
              <w:rPr>
                <w:rFonts w:hint="eastAsia" w:ascii="宋体" w:hAnsi="宋体" w:cs="宋体"/>
                <w:sz w:val="24"/>
                <w:szCs w:val="24"/>
              </w:rPr>
              <w:t>7．</w:t>
            </w:r>
            <w:r>
              <w:rPr>
                <w:rFonts w:ascii="宋体" w:hAnsi="宋体" w:cs="宋体"/>
                <w:sz w:val="24"/>
                <w:szCs w:val="24"/>
              </w:rPr>
              <w:t>报警系统：燃气探头智能模块清洗保养，事故风机连锁控制设备等保养。</w:t>
            </w:r>
          </w:p>
          <w:p w14:paraId="4A416FC2">
            <w:pPr>
              <w:spacing w:line="360" w:lineRule="auto"/>
              <w:ind w:firstLine="660" w:firstLineChars="275"/>
              <w:rPr>
                <w:rFonts w:ascii="宋体" w:hAnsi="宋体" w:cs="宋体"/>
                <w:sz w:val="24"/>
                <w:szCs w:val="24"/>
              </w:rPr>
            </w:pPr>
            <w:r>
              <w:rPr>
                <w:rFonts w:ascii="宋体" w:hAnsi="宋体" w:cs="宋体"/>
                <w:sz w:val="24"/>
                <w:szCs w:val="24"/>
              </w:rPr>
              <w:t>8</w:t>
            </w:r>
            <w:r>
              <w:rPr>
                <w:rFonts w:hint="eastAsia" w:ascii="宋体" w:hAnsi="宋体" w:cs="宋体"/>
                <w:sz w:val="24"/>
                <w:szCs w:val="24"/>
              </w:rPr>
              <w:t>．</w:t>
            </w:r>
            <w:r>
              <w:rPr>
                <w:rFonts w:ascii="宋体" w:hAnsi="宋体" w:cs="宋体"/>
                <w:sz w:val="24"/>
                <w:szCs w:val="24"/>
              </w:rPr>
              <w:t xml:space="preserve">CRT：机保养，图纸更新、完善； </w:t>
            </w:r>
          </w:p>
          <w:p w14:paraId="6BF2D458">
            <w:pPr>
              <w:spacing w:line="360" w:lineRule="auto"/>
              <w:ind w:firstLine="660" w:firstLineChars="275"/>
              <w:rPr>
                <w:rFonts w:ascii="宋体" w:hAnsi="宋体" w:cs="宋体"/>
                <w:sz w:val="24"/>
                <w:szCs w:val="24"/>
              </w:rPr>
            </w:pPr>
            <w:r>
              <w:rPr>
                <w:rFonts w:hint="eastAsia" w:ascii="宋体" w:hAnsi="宋体" w:cs="宋体"/>
                <w:sz w:val="24"/>
                <w:szCs w:val="24"/>
              </w:rPr>
              <w:t>9．</w:t>
            </w:r>
            <w:r>
              <w:rPr>
                <w:rFonts w:ascii="宋体" w:hAnsi="宋体" w:cs="宋体"/>
                <w:sz w:val="24"/>
                <w:szCs w:val="24"/>
              </w:rPr>
              <w:t>背景音乐：背景音乐主机、功放、监听、现场广播等设备清洁除尘，设备维修更换；</w:t>
            </w:r>
          </w:p>
          <w:p w14:paraId="68BFC9B8">
            <w:pPr>
              <w:spacing w:line="360" w:lineRule="auto"/>
              <w:ind w:firstLine="660" w:firstLineChars="275"/>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w:t>
            </w:r>
            <w:r>
              <w:rPr>
                <w:rFonts w:ascii="宋体" w:hAnsi="宋体" w:cs="宋体"/>
                <w:sz w:val="24"/>
                <w:szCs w:val="24"/>
              </w:rPr>
              <w:t>消防风机：对风机本体保养，控制柜线路检查，对多线控制、总线控制、风阀、执行机构等设备的维修更换及线路排查；</w:t>
            </w:r>
          </w:p>
          <w:p w14:paraId="2B47A109">
            <w:pPr>
              <w:spacing w:line="360" w:lineRule="auto"/>
              <w:ind w:firstLine="660" w:firstLineChars="275"/>
              <w:rPr>
                <w:rFonts w:ascii="宋体" w:hAnsi="宋体" w:cs="宋体"/>
                <w:sz w:val="24"/>
                <w:szCs w:val="24"/>
              </w:rPr>
            </w:pP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消防泵房：对水泵本体保养，控制柜线路检查，对属消防电方面的多线控制、总线控制、水流指示器、压力开关、信号蝶阀、等设备的维修更换及线路排查；</w:t>
            </w:r>
          </w:p>
          <w:p w14:paraId="307AEF98">
            <w:pPr>
              <w:pStyle w:val="2"/>
              <w:spacing w:before="0" w:after="0" w:line="360" w:lineRule="auto"/>
              <w:ind w:left="561" w:hanging="561" w:firstLineChars="0"/>
              <w:rPr>
                <w:rFonts w:ascii="宋体" w:hAnsi="宋体"/>
                <w:sz w:val="24"/>
                <w:szCs w:val="24"/>
              </w:rPr>
            </w:pPr>
            <w:r>
              <w:rPr>
                <w:rFonts w:hint="eastAsia" w:ascii="宋体" w:hAnsi="宋体"/>
                <w:sz w:val="24"/>
                <w:szCs w:val="24"/>
                <w:lang w:val="en-US" w:eastAsia="zh-CN"/>
              </w:rPr>
              <w:t>三</w:t>
            </w:r>
            <w:r>
              <w:rPr>
                <w:rFonts w:hint="eastAsia" w:ascii="宋体" w:hAnsi="宋体"/>
                <w:sz w:val="24"/>
                <w:szCs w:val="24"/>
              </w:rPr>
              <w:t>、消防系统维保内容及标准</w:t>
            </w:r>
          </w:p>
          <w:p w14:paraId="1746D8EB">
            <w:pPr>
              <w:spacing w:line="360" w:lineRule="auto"/>
              <w:ind w:firstLine="660" w:firstLineChars="275"/>
              <w:rPr>
                <w:rFonts w:ascii="宋体" w:hAnsi="宋体" w:cs="宋体"/>
                <w:sz w:val="24"/>
                <w:szCs w:val="24"/>
              </w:rPr>
            </w:pPr>
            <w:r>
              <w:rPr>
                <w:rFonts w:hint="eastAsia" w:ascii="宋体" w:hAnsi="宋体" w:cs="宋体"/>
                <w:sz w:val="24"/>
                <w:szCs w:val="24"/>
              </w:rPr>
              <w:t>1．火灾自动报警系统</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096"/>
              <w:gridCol w:w="2516"/>
            </w:tblGrid>
            <w:tr w14:paraId="096C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42" w:type="dxa"/>
                  <w:noWrap w:val="0"/>
                  <w:vAlign w:val="center"/>
                </w:tcPr>
                <w:p w14:paraId="677C6588">
                  <w:pPr>
                    <w:kinsoku w:val="0"/>
                    <w:overflowPunct w:val="0"/>
                    <w:autoSpaceDE w:val="0"/>
                    <w:autoSpaceDN w:val="0"/>
                    <w:adjustRightInd w:val="0"/>
                    <w:snapToGrid w:val="0"/>
                    <w:spacing w:line="0" w:lineRule="atLeast"/>
                    <w:ind w:firstLine="0" w:firstLineChars="0"/>
                    <w:jc w:val="center"/>
                    <w:rPr>
                      <w:rFonts w:hint="eastAsia" w:ascii="宋体" w:hAnsi="宋体" w:cs="宋体"/>
                      <w:b/>
                      <w:sz w:val="22"/>
                    </w:rPr>
                  </w:pPr>
                  <w:r>
                    <w:rPr>
                      <w:rFonts w:ascii="宋体" w:hAnsi="宋体" w:cs="宋体"/>
                      <w:b/>
                      <w:sz w:val="22"/>
                    </w:rPr>
                    <w:t>项目</w:t>
                  </w:r>
                </w:p>
              </w:tc>
              <w:tc>
                <w:tcPr>
                  <w:tcW w:w="6096" w:type="dxa"/>
                  <w:noWrap w:val="0"/>
                  <w:vAlign w:val="center"/>
                </w:tcPr>
                <w:p w14:paraId="5EC2DF36">
                  <w:pPr>
                    <w:kinsoku w:val="0"/>
                    <w:overflowPunct w:val="0"/>
                    <w:autoSpaceDE w:val="0"/>
                    <w:autoSpaceDN w:val="0"/>
                    <w:adjustRightInd w:val="0"/>
                    <w:snapToGrid w:val="0"/>
                    <w:spacing w:line="0" w:lineRule="atLeast"/>
                    <w:ind w:firstLine="0" w:firstLineChars="0"/>
                    <w:jc w:val="center"/>
                    <w:rPr>
                      <w:rFonts w:hint="eastAsia" w:ascii="宋体" w:hAnsi="宋体" w:cs="宋体"/>
                      <w:b/>
                      <w:sz w:val="22"/>
                    </w:rPr>
                  </w:pPr>
                  <w:r>
                    <w:rPr>
                      <w:rFonts w:ascii="宋体" w:hAnsi="宋体" w:cs="宋体"/>
                      <w:b/>
                      <w:sz w:val="22"/>
                    </w:rPr>
                    <w:t>维修保养检查内容及频次</w:t>
                  </w:r>
                </w:p>
              </w:tc>
              <w:tc>
                <w:tcPr>
                  <w:tcW w:w="2516" w:type="dxa"/>
                  <w:noWrap w:val="0"/>
                  <w:vAlign w:val="center"/>
                </w:tcPr>
                <w:p w14:paraId="1CBC02BF">
                  <w:pPr>
                    <w:kinsoku w:val="0"/>
                    <w:overflowPunct w:val="0"/>
                    <w:autoSpaceDE w:val="0"/>
                    <w:autoSpaceDN w:val="0"/>
                    <w:adjustRightInd w:val="0"/>
                    <w:snapToGrid w:val="0"/>
                    <w:spacing w:line="0" w:lineRule="atLeast"/>
                    <w:ind w:firstLine="0" w:firstLineChars="0"/>
                    <w:jc w:val="center"/>
                    <w:rPr>
                      <w:rFonts w:hint="eastAsia" w:ascii="宋体" w:hAnsi="宋体" w:cs="宋体"/>
                      <w:b/>
                      <w:sz w:val="22"/>
                    </w:rPr>
                  </w:pPr>
                  <w:r>
                    <w:rPr>
                      <w:rFonts w:ascii="宋体" w:hAnsi="宋体" w:cs="宋体"/>
                      <w:b/>
                      <w:sz w:val="22"/>
                    </w:rPr>
                    <w:t>标准</w:t>
                  </w:r>
                </w:p>
              </w:tc>
            </w:tr>
            <w:tr w14:paraId="548B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F23B835">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火灾报警控制器</w:t>
                  </w:r>
                </w:p>
              </w:tc>
              <w:tc>
                <w:tcPr>
                  <w:tcW w:w="6096" w:type="dxa"/>
                  <w:noWrap w:val="0"/>
                  <w:vAlign w:val="center"/>
                </w:tcPr>
                <w:p w14:paraId="60668A1C">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对火灾报警控制器做外观检查，清除积尘和异物，紧固接线；检查控制器运行有无过 热、异常噪音的现象；检测火灾报警功能、消音复位功能、故障报警功能、火灾优先功能、显示与记录打印功能、自检功能、隔离（屏蔽）功能，对程序进行备份并有检查保养记录</w:t>
                  </w:r>
                  <w:r>
                    <w:rPr>
                      <w:rFonts w:hint="eastAsia" w:ascii="宋体" w:hAnsi="宋体" w:cs="宋体"/>
                      <w:bCs/>
                      <w:sz w:val="22"/>
                    </w:rPr>
                    <w:t>，</w:t>
                  </w:r>
                  <w:r>
                    <w:rPr>
                      <w:rFonts w:ascii="宋体" w:hAnsi="宋体" w:cs="宋体"/>
                      <w:bCs/>
                      <w:sz w:val="22"/>
                    </w:rPr>
                    <w:t>每月1次</w:t>
                  </w:r>
                  <w:r>
                    <w:rPr>
                      <w:rFonts w:hint="eastAsia" w:ascii="宋体" w:hAnsi="宋体" w:cs="宋体"/>
                      <w:bCs/>
                      <w:sz w:val="22"/>
                    </w:rPr>
                    <w:t>。</w:t>
                  </w:r>
                </w:p>
              </w:tc>
              <w:tc>
                <w:tcPr>
                  <w:tcW w:w="2516" w:type="dxa"/>
                  <w:noWrap w:val="0"/>
                  <w:vAlign w:val="center"/>
                </w:tcPr>
                <w:p w14:paraId="7B6F9F3C">
                  <w:pPr>
                    <w:kinsoku w:val="0"/>
                    <w:overflowPunct w:val="0"/>
                    <w:autoSpaceDE w:val="0"/>
                    <w:autoSpaceDN w:val="0"/>
                    <w:adjustRightInd w:val="0"/>
                    <w:snapToGrid w:val="0"/>
                    <w:spacing w:line="0" w:lineRule="atLeast"/>
                    <w:ind w:firstLine="0" w:firstLineChars="0"/>
                    <w:rPr>
                      <w:rFonts w:hint="eastAsia" w:ascii="宋体" w:hAnsi="宋体" w:cs="宋体"/>
                      <w:bCs/>
                      <w:sz w:val="22"/>
                    </w:rPr>
                  </w:pPr>
                  <w:r>
                    <w:rPr>
                      <w:rFonts w:ascii="宋体" w:hAnsi="宋体" w:cs="宋体"/>
                      <w:bCs/>
                      <w:sz w:val="22"/>
                    </w:rPr>
                    <w:t>系统运行正常无故障，接线牢固、各功能键控制灵活，控制箱内清洁、无积尘，标识清晰。</w:t>
                  </w:r>
                </w:p>
              </w:tc>
            </w:tr>
            <w:tr w14:paraId="73C7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39850D70">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图文中心工作站</w:t>
                  </w:r>
                </w:p>
              </w:tc>
              <w:tc>
                <w:tcPr>
                  <w:tcW w:w="6096" w:type="dxa"/>
                  <w:noWrap w:val="0"/>
                  <w:vAlign w:val="center"/>
                </w:tcPr>
                <w:p w14:paraId="3DFAE298">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对系统自检，清洁除尘、打印运行报告，查看工作站操作系统运行情况</w:t>
                  </w:r>
                  <w:r>
                    <w:rPr>
                      <w:rFonts w:hint="eastAsia" w:ascii="宋体" w:hAnsi="宋体" w:cs="宋体"/>
                      <w:bCs/>
                      <w:sz w:val="22"/>
                    </w:rPr>
                    <w:t>，</w:t>
                  </w:r>
                  <w:r>
                    <w:rPr>
                      <w:rFonts w:ascii="宋体" w:hAnsi="宋体" w:cs="宋体"/>
                      <w:bCs/>
                      <w:sz w:val="22"/>
                    </w:rPr>
                    <w:t>每月1次</w:t>
                  </w:r>
                  <w:r>
                    <w:rPr>
                      <w:rFonts w:hint="eastAsia" w:ascii="宋体" w:hAnsi="宋体" w:cs="宋体"/>
                      <w:bCs/>
                      <w:sz w:val="22"/>
                    </w:rPr>
                    <w:t>。</w:t>
                  </w:r>
                </w:p>
              </w:tc>
              <w:tc>
                <w:tcPr>
                  <w:tcW w:w="2516" w:type="dxa"/>
                  <w:noWrap w:val="0"/>
                  <w:vAlign w:val="center"/>
                </w:tcPr>
                <w:p w14:paraId="48A8F183">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工作站报警主机通讯正常，工作站无故障，正确显示每一个消防设备所在位置。</w:t>
                  </w:r>
                </w:p>
              </w:tc>
            </w:tr>
            <w:tr w14:paraId="304D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7587623">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智能模块箱</w:t>
                  </w:r>
                </w:p>
              </w:tc>
              <w:tc>
                <w:tcPr>
                  <w:tcW w:w="6096" w:type="dxa"/>
                  <w:noWrap w:val="0"/>
                  <w:vAlign w:val="center"/>
                </w:tcPr>
                <w:p w14:paraId="38638E6C">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对模块箱做外观检查，清除积尘和异物、紧固；检查模块端子接线有无异常</w:t>
                  </w:r>
                  <w:r>
                    <w:rPr>
                      <w:rFonts w:hint="eastAsia" w:ascii="宋体" w:hAnsi="宋体" w:cs="宋体"/>
                      <w:bCs/>
                      <w:sz w:val="22"/>
                    </w:rPr>
                    <w:t>，</w:t>
                  </w:r>
                  <w:r>
                    <w:rPr>
                      <w:rFonts w:ascii="宋体" w:hAnsi="宋体" w:cs="宋体"/>
                      <w:bCs/>
                      <w:sz w:val="22"/>
                    </w:rPr>
                    <w:t>每季度 1 次</w:t>
                  </w:r>
                  <w:r>
                    <w:rPr>
                      <w:rFonts w:hint="eastAsia" w:ascii="宋体" w:hAnsi="宋体" w:cs="宋体"/>
                      <w:bCs/>
                      <w:sz w:val="22"/>
                    </w:rPr>
                    <w:t>。</w:t>
                  </w:r>
                </w:p>
              </w:tc>
              <w:tc>
                <w:tcPr>
                  <w:tcW w:w="2516" w:type="dxa"/>
                  <w:noWrap w:val="0"/>
                  <w:vAlign w:val="center"/>
                </w:tcPr>
                <w:p w14:paraId="4CFCB55F">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智能模块工作正常，接线牢固、整洁、无故障、无积尘，标识清晰。</w:t>
                  </w:r>
                </w:p>
              </w:tc>
            </w:tr>
            <w:tr w14:paraId="0A03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46164568">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烟/温感</w:t>
                  </w:r>
                </w:p>
              </w:tc>
              <w:tc>
                <w:tcPr>
                  <w:tcW w:w="6096" w:type="dxa"/>
                  <w:noWrap w:val="0"/>
                  <w:vAlign w:val="center"/>
                </w:tcPr>
                <w:p w14:paraId="3CE6CC10">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对烟/温感做外观检查，清洗或清除积尘和异物；对烟/温感报警设备做检测</w:t>
                  </w:r>
                  <w:r>
                    <w:rPr>
                      <w:rFonts w:hint="eastAsia" w:ascii="宋体" w:hAnsi="宋体" w:cs="宋体"/>
                      <w:bCs/>
                      <w:sz w:val="22"/>
                    </w:rPr>
                    <w:t>，</w:t>
                  </w:r>
                  <w:r>
                    <w:rPr>
                      <w:rFonts w:ascii="宋体" w:hAnsi="宋体" w:cs="宋体"/>
                      <w:bCs/>
                      <w:sz w:val="22"/>
                    </w:rPr>
                    <w:t>每月测试，</w:t>
                  </w:r>
                  <w:r>
                    <w:rPr>
                      <w:rFonts w:hint="eastAsia" w:ascii="宋体" w:hAnsi="宋体" w:cs="宋体"/>
                      <w:bCs/>
                      <w:sz w:val="22"/>
                    </w:rPr>
                    <w:t>年度</w:t>
                  </w:r>
                  <w:r>
                    <w:rPr>
                      <w:rFonts w:ascii="宋体" w:hAnsi="宋体" w:cs="宋体"/>
                      <w:bCs/>
                      <w:sz w:val="22"/>
                    </w:rPr>
                    <w:t>全覆盖。</w:t>
                  </w:r>
                </w:p>
              </w:tc>
              <w:tc>
                <w:tcPr>
                  <w:tcW w:w="2516" w:type="dxa"/>
                  <w:noWrap w:val="0"/>
                  <w:vAlign w:val="center"/>
                </w:tcPr>
                <w:p w14:paraId="2AF5CF99">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探测器工作正常，接线牢固、无故障。</w:t>
                  </w:r>
                </w:p>
              </w:tc>
            </w:tr>
            <w:tr w14:paraId="5074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3D3A4536">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消防电话</w:t>
                  </w:r>
                </w:p>
              </w:tc>
              <w:tc>
                <w:tcPr>
                  <w:tcW w:w="6096" w:type="dxa"/>
                  <w:noWrap w:val="0"/>
                  <w:vAlign w:val="center"/>
                </w:tcPr>
                <w:p w14:paraId="4CB24690">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检查现场消防电话与电话主机通话是否正 常，清洁、紧固接线，对地电阻测试</w:t>
                  </w:r>
                  <w:r>
                    <w:rPr>
                      <w:rFonts w:hint="eastAsia" w:ascii="宋体" w:hAnsi="宋体" w:cs="宋体"/>
                      <w:bCs/>
                      <w:sz w:val="22"/>
                    </w:rPr>
                    <w:t>，</w:t>
                  </w:r>
                  <w:r>
                    <w:rPr>
                      <w:rFonts w:ascii="宋体" w:hAnsi="宋体" w:cs="宋体"/>
                      <w:bCs/>
                      <w:sz w:val="22"/>
                    </w:rPr>
                    <w:t>每</w:t>
                  </w:r>
                  <w:r>
                    <w:rPr>
                      <w:rFonts w:hint="eastAsia" w:ascii="宋体" w:hAnsi="宋体" w:cs="宋体"/>
                      <w:bCs/>
                      <w:sz w:val="22"/>
                    </w:rPr>
                    <w:t>月</w:t>
                  </w:r>
                  <w:r>
                    <w:rPr>
                      <w:rFonts w:ascii="宋体" w:hAnsi="宋体" w:cs="宋体"/>
                      <w:bCs/>
                      <w:sz w:val="22"/>
                    </w:rPr>
                    <w:t xml:space="preserve"> 1 次 </w:t>
                  </w:r>
                  <w:r>
                    <w:rPr>
                      <w:rFonts w:hint="eastAsia" w:ascii="宋体" w:hAnsi="宋体" w:cs="宋体"/>
                      <w:bCs/>
                      <w:sz w:val="22"/>
                    </w:rPr>
                    <w:t>。</w:t>
                  </w:r>
                </w:p>
              </w:tc>
              <w:tc>
                <w:tcPr>
                  <w:tcW w:w="2516" w:type="dxa"/>
                  <w:noWrap w:val="0"/>
                  <w:vAlign w:val="center"/>
                </w:tcPr>
                <w:p w14:paraId="034A0D03">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接线牢固、通话声音清晰无杂音。</w:t>
                  </w:r>
                </w:p>
              </w:tc>
            </w:tr>
            <w:tr w14:paraId="1F4D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7AE75B43">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手动报警按钮</w:t>
                  </w:r>
                </w:p>
              </w:tc>
              <w:tc>
                <w:tcPr>
                  <w:tcW w:w="6096" w:type="dxa"/>
                  <w:noWrap w:val="0"/>
                  <w:vAlign w:val="center"/>
                </w:tcPr>
                <w:p w14:paraId="462B54EB">
                  <w:pPr>
                    <w:pStyle w:val="25"/>
                    <w:spacing w:line="0" w:lineRule="atLeast"/>
                    <w:ind w:left="124"/>
                    <w:rPr>
                      <w:bCs/>
                      <w:kern w:val="2"/>
                      <w:lang w:val="en-US" w:bidi="ar-SA"/>
                    </w:rPr>
                  </w:pPr>
                  <w:r>
                    <w:rPr>
                      <w:bCs/>
                      <w:kern w:val="2"/>
                      <w:lang w:val="en-US" w:bidi="ar-SA"/>
                    </w:rPr>
                    <w:t>对手动报警按钮做外观检查，清除积尘和异</w:t>
                  </w:r>
                </w:p>
                <w:p w14:paraId="41029B43">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物，紧固接线，对地电阻测试和回路电阻测试，报警功能测试</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2516" w:type="dxa"/>
                  <w:noWrap w:val="0"/>
                  <w:vAlign w:val="center"/>
                </w:tcPr>
                <w:p w14:paraId="676AA0B1">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手动报警按钮工作正常，接线牢固、无故障。</w:t>
                  </w:r>
                </w:p>
              </w:tc>
            </w:tr>
            <w:tr w14:paraId="756E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6033574">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警铃</w:t>
                  </w:r>
                </w:p>
              </w:tc>
              <w:tc>
                <w:tcPr>
                  <w:tcW w:w="6096" w:type="dxa"/>
                  <w:noWrap w:val="0"/>
                  <w:vAlign w:val="center"/>
                </w:tcPr>
                <w:p w14:paraId="3B7AE692">
                  <w:pPr>
                    <w:kinsoku w:val="0"/>
                    <w:overflowPunct w:val="0"/>
                    <w:autoSpaceDE w:val="0"/>
                    <w:autoSpaceDN w:val="0"/>
                    <w:adjustRightInd w:val="0"/>
                    <w:snapToGrid w:val="0"/>
                    <w:spacing w:line="0" w:lineRule="atLeast"/>
                    <w:ind w:firstLine="0" w:firstLineChars="0"/>
                    <w:jc w:val="left"/>
                    <w:rPr>
                      <w:rFonts w:hint="eastAsia" w:ascii="宋体" w:hAnsi="宋体" w:cs="宋体"/>
                      <w:bCs/>
                      <w:sz w:val="22"/>
                    </w:rPr>
                  </w:pPr>
                  <w:r>
                    <w:rPr>
                      <w:rFonts w:ascii="宋体" w:hAnsi="宋体" w:cs="宋体"/>
                      <w:bCs/>
                      <w:sz w:val="22"/>
                    </w:rPr>
                    <w:t>对警铃做外观检查，清除积尘和异物，紧固接线；对警铃进行测试，警铃响声是否正常</w:t>
                  </w:r>
                  <w:r>
                    <w:rPr>
                      <w:rFonts w:hint="eastAsia" w:ascii="宋体" w:hAnsi="宋体" w:cs="宋体"/>
                      <w:bCs/>
                      <w:sz w:val="22"/>
                    </w:rPr>
                    <w:t>，</w:t>
                  </w:r>
                  <w:r>
                    <w:rPr>
                      <w:rFonts w:ascii="宋体" w:hAnsi="宋体" w:cs="宋体"/>
                      <w:bCs/>
                      <w:sz w:val="22"/>
                    </w:rPr>
                    <w:t>每月 1 次</w:t>
                  </w:r>
                  <w:r>
                    <w:rPr>
                      <w:rFonts w:hint="eastAsia" w:ascii="宋体" w:hAnsi="宋体" w:cs="宋体"/>
                      <w:bCs/>
                      <w:sz w:val="22"/>
                    </w:rPr>
                    <w:t>。</w:t>
                  </w:r>
                </w:p>
              </w:tc>
              <w:tc>
                <w:tcPr>
                  <w:tcW w:w="2516" w:type="dxa"/>
                  <w:noWrap w:val="0"/>
                  <w:vAlign w:val="center"/>
                </w:tcPr>
                <w:p w14:paraId="510177E9">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警铃工作正常，接线牢固、无故障。</w:t>
                  </w:r>
                </w:p>
              </w:tc>
            </w:tr>
            <w:tr w14:paraId="422B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7580C39">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主机供电</w:t>
                  </w:r>
                </w:p>
              </w:tc>
              <w:tc>
                <w:tcPr>
                  <w:tcW w:w="6096" w:type="dxa"/>
                  <w:noWrap w:val="0"/>
                  <w:vAlign w:val="center"/>
                </w:tcPr>
                <w:p w14:paraId="2E504655">
                  <w:pPr>
                    <w:kinsoku w:val="0"/>
                    <w:overflowPunct w:val="0"/>
                    <w:autoSpaceDE w:val="0"/>
                    <w:autoSpaceDN w:val="0"/>
                    <w:adjustRightInd w:val="0"/>
                    <w:snapToGrid w:val="0"/>
                    <w:spacing w:line="0" w:lineRule="atLeast"/>
                    <w:ind w:firstLine="0" w:firstLineChars="0"/>
                    <w:jc w:val="left"/>
                    <w:rPr>
                      <w:rFonts w:ascii="宋体" w:hAnsi="宋体" w:cs="宋体"/>
                      <w:bCs/>
                      <w:sz w:val="22"/>
                    </w:rPr>
                  </w:pPr>
                  <w:r>
                    <w:rPr>
                      <w:rFonts w:ascii="宋体" w:hAnsi="宋体" w:cs="宋体"/>
                      <w:bCs/>
                      <w:sz w:val="22"/>
                    </w:rPr>
                    <w:t>检查电源盘、电池性能，检查主备电源切换功能、接线端子连接牢固情况，检查供电部分电压及电池供电是否正常</w:t>
                  </w:r>
                  <w:r>
                    <w:rPr>
                      <w:rFonts w:hint="eastAsia" w:ascii="宋体" w:hAnsi="宋体" w:cs="宋体"/>
                      <w:bCs/>
                      <w:sz w:val="22"/>
                    </w:rPr>
                    <w:t>，</w:t>
                  </w:r>
                  <w:r>
                    <w:rPr>
                      <w:rFonts w:ascii="宋体" w:hAnsi="宋体" w:cs="宋体"/>
                      <w:bCs/>
                      <w:sz w:val="22"/>
                    </w:rPr>
                    <w:t>每月 1 次</w:t>
                  </w:r>
                </w:p>
              </w:tc>
              <w:tc>
                <w:tcPr>
                  <w:tcW w:w="2516" w:type="dxa"/>
                  <w:noWrap w:val="0"/>
                  <w:vAlign w:val="center"/>
                </w:tcPr>
                <w:p w14:paraId="4186C872">
                  <w:pPr>
                    <w:kinsoku w:val="0"/>
                    <w:overflowPunct w:val="0"/>
                    <w:autoSpaceDE w:val="0"/>
                    <w:autoSpaceDN w:val="0"/>
                    <w:adjustRightInd w:val="0"/>
                    <w:snapToGrid w:val="0"/>
                    <w:spacing w:line="0" w:lineRule="atLeast"/>
                    <w:ind w:firstLine="0" w:firstLineChars="0"/>
                    <w:rPr>
                      <w:rFonts w:ascii="宋体" w:hAnsi="宋体" w:cs="宋体"/>
                      <w:bCs/>
                      <w:sz w:val="22"/>
                    </w:rPr>
                  </w:pPr>
                  <w:r>
                    <w:rPr>
                      <w:rFonts w:ascii="宋体" w:hAnsi="宋体" w:cs="宋体"/>
                      <w:bCs/>
                      <w:sz w:val="22"/>
                    </w:rPr>
                    <w:t>接线牢固、供电正常可靠。</w:t>
                  </w:r>
                </w:p>
              </w:tc>
            </w:tr>
            <w:tr w14:paraId="31EE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4E255D46">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记录</w:t>
                  </w:r>
                </w:p>
              </w:tc>
              <w:tc>
                <w:tcPr>
                  <w:tcW w:w="6096" w:type="dxa"/>
                  <w:noWrap w:val="0"/>
                  <w:vAlign w:val="center"/>
                </w:tcPr>
                <w:p w14:paraId="2EDC4969">
                  <w:pPr>
                    <w:kinsoku w:val="0"/>
                    <w:overflowPunct w:val="0"/>
                    <w:autoSpaceDE w:val="0"/>
                    <w:autoSpaceDN w:val="0"/>
                    <w:adjustRightInd w:val="0"/>
                    <w:snapToGrid w:val="0"/>
                    <w:spacing w:line="0" w:lineRule="atLeast"/>
                    <w:ind w:firstLine="0" w:firstLineChars="0"/>
                    <w:jc w:val="left"/>
                    <w:rPr>
                      <w:rFonts w:ascii="宋体" w:hAnsi="宋体" w:cs="宋体"/>
                      <w:bCs/>
                      <w:sz w:val="22"/>
                    </w:rPr>
                  </w:pPr>
                  <w:r>
                    <w:rPr>
                      <w:rFonts w:ascii="宋体" w:hAnsi="宋体" w:cs="宋体"/>
                      <w:bCs/>
                      <w:sz w:val="22"/>
                    </w:rPr>
                    <w:t>对火灾自动报警系统维修保养记录。</w:t>
                  </w:r>
                </w:p>
              </w:tc>
              <w:tc>
                <w:tcPr>
                  <w:tcW w:w="2516" w:type="dxa"/>
                  <w:noWrap w:val="0"/>
                  <w:vAlign w:val="center"/>
                </w:tcPr>
                <w:p w14:paraId="7878C504">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记录及时、完整。</w:t>
                  </w:r>
                </w:p>
              </w:tc>
            </w:tr>
          </w:tbl>
          <w:p w14:paraId="08FC0E24">
            <w:pPr>
              <w:kinsoku w:val="0"/>
              <w:overflowPunct w:val="0"/>
              <w:autoSpaceDE w:val="0"/>
              <w:autoSpaceDN w:val="0"/>
              <w:adjustRightInd w:val="0"/>
              <w:snapToGrid w:val="0"/>
              <w:spacing w:line="276" w:lineRule="auto"/>
              <w:ind w:firstLine="560"/>
              <w:rPr>
                <w:rFonts w:hint="eastAsia" w:ascii="宋体" w:hAnsi="宋体" w:cs="宋体"/>
                <w:bCs/>
                <w:sz w:val="28"/>
                <w:szCs w:val="28"/>
              </w:rPr>
            </w:pPr>
          </w:p>
          <w:p w14:paraId="0F8F1A70">
            <w:pPr>
              <w:spacing w:line="360" w:lineRule="auto"/>
              <w:ind w:firstLine="660" w:firstLineChars="275"/>
              <w:rPr>
                <w:rFonts w:ascii="宋体" w:hAnsi="宋体" w:cs="宋体"/>
                <w:sz w:val="24"/>
                <w:szCs w:val="24"/>
              </w:rPr>
            </w:pPr>
            <w:r>
              <w:rPr>
                <w:rFonts w:hint="eastAsia" w:ascii="宋体" w:hAnsi="宋体" w:cs="宋体"/>
                <w:sz w:val="24"/>
                <w:szCs w:val="24"/>
              </w:rPr>
              <w:t>2．联动控制系统及主要设备要求</w:t>
            </w:r>
          </w:p>
          <w:tbl>
            <w:tblPr>
              <w:tblStyle w:val="18"/>
              <w:tblW w:w="988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16"/>
              <w:gridCol w:w="3031"/>
            </w:tblGrid>
            <w:tr w14:paraId="1F21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right"/>
              </w:trPr>
              <w:tc>
                <w:tcPr>
                  <w:tcW w:w="1242" w:type="dxa"/>
                  <w:noWrap w:val="0"/>
                  <w:vAlign w:val="center"/>
                </w:tcPr>
                <w:p w14:paraId="47DFF11F">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
                      <w:sz w:val="22"/>
                    </w:rPr>
                    <w:t>项目</w:t>
                  </w:r>
                </w:p>
              </w:tc>
              <w:tc>
                <w:tcPr>
                  <w:tcW w:w="5616" w:type="dxa"/>
                  <w:noWrap w:val="0"/>
                  <w:vAlign w:val="center"/>
                </w:tcPr>
                <w:p w14:paraId="717DBD8C">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
                      <w:sz w:val="22"/>
                    </w:rPr>
                    <w:t>维修保养检查内容及频次</w:t>
                  </w:r>
                </w:p>
              </w:tc>
              <w:tc>
                <w:tcPr>
                  <w:tcW w:w="3031" w:type="dxa"/>
                  <w:noWrap w:val="0"/>
                  <w:vAlign w:val="center"/>
                </w:tcPr>
                <w:p w14:paraId="0D2D1C8E">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
                      <w:sz w:val="22"/>
                    </w:rPr>
                    <w:t>标准</w:t>
                  </w:r>
                </w:p>
              </w:tc>
            </w:tr>
            <w:tr w14:paraId="27F4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42" w:type="dxa"/>
                  <w:noWrap w:val="0"/>
                  <w:vAlign w:val="center"/>
                </w:tcPr>
                <w:p w14:paraId="1DE7459D">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联动程序</w:t>
                  </w:r>
                </w:p>
              </w:tc>
              <w:tc>
                <w:tcPr>
                  <w:tcW w:w="5616" w:type="dxa"/>
                  <w:noWrap w:val="0"/>
                  <w:vAlign w:val="center"/>
                </w:tcPr>
                <w:p w14:paraId="038B979E">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在探测器报警后，检查测试火警联动设备是否按正确指令打开</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3031" w:type="dxa"/>
                  <w:noWrap w:val="0"/>
                  <w:vAlign w:val="center"/>
                </w:tcPr>
                <w:p w14:paraId="2948A718">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在收到探测器报警信号 后，程序能正确联动相关设备，并能正常显示联动关系。</w:t>
                  </w:r>
                </w:p>
              </w:tc>
            </w:tr>
            <w:tr w14:paraId="24BF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42" w:type="dxa"/>
                  <w:noWrap w:val="0"/>
                  <w:vAlign w:val="center"/>
                </w:tcPr>
                <w:p w14:paraId="02DE89B2">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联动型火灾报警控制器</w:t>
                  </w:r>
                </w:p>
              </w:tc>
              <w:tc>
                <w:tcPr>
                  <w:tcW w:w="5616" w:type="dxa"/>
                  <w:noWrap w:val="0"/>
                  <w:vAlign w:val="center"/>
                </w:tcPr>
                <w:p w14:paraId="0B255AEC">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对联动型火灾报警控制器清洁除尘、紧固所有接线端，更换生锈螺丝，对所联动设备进行点动启动测试。联动 24V 电源检测，线路回路电阻和对地电阻测试</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3031" w:type="dxa"/>
                  <w:noWrap w:val="0"/>
                  <w:vAlign w:val="center"/>
                </w:tcPr>
                <w:p w14:paraId="49389ADB">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联动型火灾报警控制器运行正常，连线</w:t>
                  </w:r>
                  <w:r>
                    <w:rPr>
                      <w:rFonts w:hint="eastAsia" w:ascii="宋体" w:hAnsi="宋体" w:cs="宋体"/>
                      <w:bCs/>
                      <w:sz w:val="22"/>
                    </w:rPr>
                    <w:t>牢</w:t>
                  </w:r>
                  <w:r>
                    <w:rPr>
                      <w:rFonts w:ascii="宋体" w:hAnsi="宋体" w:cs="宋体"/>
                      <w:bCs/>
                      <w:sz w:val="22"/>
                    </w:rPr>
                    <w:t>固、应答正 确，如：能直接启动风机、迫降卷帘与电梯等。</w:t>
                  </w:r>
                </w:p>
              </w:tc>
            </w:tr>
            <w:tr w14:paraId="4B09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42" w:type="dxa"/>
                  <w:noWrap w:val="0"/>
                  <w:vAlign w:val="center"/>
                </w:tcPr>
                <w:p w14:paraId="6320A64F">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联动启动喷淋水泵</w:t>
                  </w:r>
                </w:p>
              </w:tc>
              <w:tc>
                <w:tcPr>
                  <w:tcW w:w="5616" w:type="dxa"/>
                  <w:noWrap w:val="0"/>
                  <w:vAlign w:val="center"/>
                </w:tcPr>
                <w:p w14:paraId="4E8494EB">
                  <w:pPr>
                    <w:pStyle w:val="25"/>
                    <w:spacing w:before="1" w:line="0" w:lineRule="atLeast"/>
                    <w:ind w:left="124"/>
                    <w:jc w:val="center"/>
                    <w:rPr>
                      <w:rFonts w:hint="eastAsia"/>
                      <w:bCs/>
                      <w:kern w:val="2"/>
                      <w:lang w:val="en-US" w:bidi="ar-SA"/>
                    </w:rPr>
                  </w:pPr>
                  <w:r>
                    <w:rPr>
                      <w:bCs/>
                      <w:kern w:val="2"/>
                      <w:lang w:val="en-US" w:bidi="ar-SA"/>
                    </w:rPr>
                    <w:t>检查喷淋水泵与消防的联动功能（注意水泵</w:t>
                  </w:r>
                  <w:r>
                    <w:rPr>
                      <w:bCs/>
                    </w:rPr>
                    <w:t>房留 1 人观察水压，点动即可）每</w:t>
                  </w:r>
                  <w:r>
                    <w:rPr>
                      <w:rFonts w:hint="eastAsia"/>
                      <w:bCs/>
                      <w:lang w:val="en-US"/>
                    </w:rPr>
                    <w:t>季度</w:t>
                  </w:r>
                  <w:r>
                    <w:rPr>
                      <w:bCs/>
                    </w:rPr>
                    <w:t xml:space="preserve"> 1 次</w:t>
                  </w:r>
                  <w:r>
                    <w:rPr>
                      <w:rFonts w:hint="eastAsia"/>
                      <w:bCs/>
                    </w:rPr>
                    <w:t>。</w:t>
                  </w:r>
                </w:p>
              </w:tc>
              <w:tc>
                <w:tcPr>
                  <w:tcW w:w="3031" w:type="dxa"/>
                  <w:noWrap w:val="0"/>
                  <w:vAlign w:val="center"/>
                </w:tcPr>
                <w:p w14:paraId="13D94675">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功能正常、运行可靠。</w:t>
                  </w:r>
                </w:p>
              </w:tc>
            </w:tr>
            <w:tr w14:paraId="4DAB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42" w:type="dxa"/>
                  <w:noWrap w:val="0"/>
                  <w:vAlign w:val="center"/>
                </w:tcPr>
                <w:p w14:paraId="2429084C">
                  <w:pPr>
                    <w:kinsoku w:val="0"/>
                    <w:overflowPunct w:val="0"/>
                    <w:autoSpaceDE w:val="0"/>
                    <w:autoSpaceDN w:val="0"/>
                    <w:adjustRightInd w:val="0"/>
                    <w:snapToGrid w:val="0"/>
                    <w:spacing w:line="276" w:lineRule="auto"/>
                    <w:ind w:firstLine="0" w:firstLineChars="0"/>
                    <w:jc w:val="center"/>
                    <w:rPr>
                      <w:rFonts w:hint="eastAsia" w:ascii="宋体" w:hAnsi="宋体" w:cs="宋体"/>
                      <w:bCs/>
                      <w:sz w:val="28"/>
                      <w:szCs w:val="28"/>
                    </w:rPr>
                  </w:pPr>
                  <w:r>
                    <w:t>联动启动送、排风机</w:t>
                  </w:r>
                </w:p>
              </w:tc>
              <w:tc>
                <w:tcPr>
                  <w:tcW w:w="5616" w:type="dxa"/>
                  <w:noWrap w:val="0"/>
                  <w:vAlign w:val="center"/>
                </w:tcPr>
                <w:p w14:paraId="3519FDE9">
                  <w:pPr>
                    <w:kinsoku w:val="0"/>
                    <w:overflowPunct w:val="0"/>
                    <w:autoSpaceDE w:val="0"/>
                    <w:autoSpaceDN w:val="0"/>
                    <w:adjustRightInd w:val="0"/>
                    <w:snapToGrid w:val="0"/>
                    <w:spacing w:line="276" w:lineRule="auto"/>
                    <w:ind w:firstLine="0" w:firstLineChars="0"/>
                    <w:jc w:val="center"/>
                    <w:rPr>
                      <w:rFonts w:hint="eastAsia" w:ascii="宋体" w:hAnsi="宋体" w:cs="宋体"/>
                      <w:bCs/>
                      <w:sz w:val="28"/>
                      <w:szCs w:val="28"/>
                    </w:rPr>
                  </w:pPr>
                  <w:r>
                    <w:t>检查送风机、排风机与消防系统的联动功能</w:t>
                  </w:r>
                  <w:r>
                    <w:rPr>
                      <w:rFonts w:hint="eastAsia"/>
                    </w:rPr>
                    <w:t>，</w:t>
                  </w:r>
                  <w:r>
                    <w:t>每</w:t>
                  </w:r>
                  <w:r>
                    <w:rPr>
                      <w:rFonts w:hint="eastAsia"/>
                    </w:rPr>
                    <w:t>季度</w:t>
                  </w:r>
                  <w:r>
                    <w:t xml:space="preserve"> 1 次</w:t>
                  </w:r>
                  <w:r>
                    <w:rPr>
                      <w:rFonts w:hint="eastAsia"/>
                    </w:rPr>
                    <w:t>。</w:t>
                  </w:r>
                </w:p>
              </w:tc>
              <w:tc>
                <w:tcPr>
                  <w:tcW w:w="3031" w:type="dxa"/>
                  <w:noWrap w:val="0"/>
                  <w:vAlign w:val="center"/>
                </w:tcPr>
                <w:p w14:paraId="5B4C9973">
                  <w:pPr>
                    <w:kinsoku w:val="0"/>
                    <w:overflowPunct w:val="0"/>
                    <w:autoSpaceDE w:val="0"/>
                    <w:autoSpaceDN w:val="0"/>
                    <w:adjustRightInd w:val="0"/>
                    <w:snapToGrid w:val="0"/>
                    <w:spacing w:line="276" w:lineRule="auto"/>
                    <w:ind w:firstLine="0" w:firstLineChars="0"/>
                    <w:jc w:val="center"/>
                    <w:rPr>
                      <w:rFonts w:hint="eastAsia" w:ascii="宋体" w:hAnsi="宋体" w:cs="宋体"/>
                      <w:bCs/>
                      <w:sz w:val="28"/>
                      <w:szCs w:val="28"/>
                    </w:rPr>
                  </w:pPr>
                  <w:r>
                    <w:t>功能正常、运行可靠。</w:t>
                  </w:r>
                </w:p>
              </w:tc>
            </w:tr>
            <w:tr w14:paraId="3C13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42" w:type="dxa"/>
                  <w:noWrap w:val="0"/>
                  <w:vAlign w:val="center"/>
                </w:tcPr>
                <w:p w14:paraId="326EF745">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联动气体灭火系统</w:t>
                  </w:r>
                </w:p>
              </w:tc>
              <w:tc>
                <w:tcPr>
                  <w:tcW w:w="5616" w:type="dxa"/>
                  <w:noWrap w:val="0"/>
                  <w:vAlign w:val="center"/>
                </w:tcPr>
                <w:p w14:paraId="428BDE2F">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检查气体灭火系统与消防系统的联动功能、信号反馈功能</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3031" w:type="dxa"/>
                  <w:noWrap w:val="0"/>
                  <w:vAlign w:val="center"/>
                </w:tcPr>
                <w:p w14:paraId="330A6AC9">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功能正常、运行可靠。</w:t>
                  </w:r>
                </w:p>
              </w:tc>
            </w:tr>
            <w:tr w14:paraId="5E18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42" w:type="dxa"/>
                  <w:noWrap w:val="0"/>
                  <w:vAlign w:val="center"/>
                </w:tcPr>
                <w:p w14:paraId="5FC0FB8A">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联动防火卷帘</w:t>
                  </w:r>
                </w:p>
              </w:tc>
              <w:tc>
                <w:tcPr>
                  <w:tcW w:w="5616" w:type="dxa"/>
                  <w:noWrap w:val="0"/>
                  <w:vAlign w:val="center"/>
                </w:tcPr>
                <w:p w14:paraId="01C9D2FC">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检查防火卷帘与消防系统的联动功能</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3031" w:type="dxa"/>
                  <w:noWrap w:val="0"/>
                  <w:vAlign w:val="center"/>
                </w:tcPr>
                <w:p w14:paraId="0B6A9E70">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功能正常，运行可靠。</w:t>
                  </w:r>
                </w:p>
              </w:tc>
            </w:tr>
            <w:tr w14:paraId="23AB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42" w:type="dxa"/>
                  <w:noWrap w:val="0"/>
                  <w:vAlign w:val="center"/>
                </w:tcPr>
                <w:p w14:paraId="27E8A5C1">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联动警铃和紧急广播 </w:t>
                  </w:r>
                </w:p>
              </w:tc>
              <w:tc>
                <w:tcPr>
                  <w:tcW w:w="5616" w:type="dxa"/>
                  <w:noWrap w:val="0"/>
                  <w:vAlign w:val="center"/>
                </w:tcPr>
                <w:p w14:paraId="14E7EF77">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检查火警情况下联动警铃和紧急广播功能</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p w14:paraId="5E75C944">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 </w:t>
                  </w:r>
                </w:p>
              </w:tc>
              <w:tc>
                <w:tcPr>
                  <w:tcW w:w="3031" w:type="dxa"/>
                  <w:noWrap w:val="0"/>
                  <w:vAlign w:val="center"/>
                </w:tcPr>
                <w:p w14:paraId="1F464971">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功能正常，运行可靠。 </w:t>
                  </w:r>
                </w:p>
              </w:tc>
            </w:tr>
            <w:tr w14:paraId="6210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42" w:type="dxa"/>
                  <w:noWrap w:val="0"/>
                  <w:vAlign w:val="center"/>
                </w:tcPr>
                <w:p w14:paraId="36070DF6">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联动模块箱 </w:t>
                  </w:r>
                </w:p>
              </w:tc>
              <w:tc>
                <w:tcPr>
                  <w:tcW w:w="5616" w:type="dxa"/>
                  <w:noWrap w:val="0"/>
                  <w:vAlign w:val="center"/>
                </w:tcPr>
                <w:p w14:paraId="599E54C2">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对联动模块箱清洁除尘、继电器保养，紧固所有接线端，更换生锈螺丝，对模块所控设备进行校验标签</w:t>
                  </w:r>
                  <w:r>
                    <w:rPr>
                      <w:rFonts w:hint="eastAsia" w:ascii="宋体" w:hAnsi="宋体" w:cs="宋体"/>
                      <w:bCs/>
                      <w:sz w:val="22"/>
                    </w:rPr>
                    <w:t>，</w:t>
                  </w:r>
                  <w:r>
                    <w:rPr>
                      <w:rFonts w:ascii="宋体" w:hAnsi="宋体" w:cs="宋体"/>
                      <w:bCs/>
                      <w:sz w:val="22"/>
                    </w:rPr>
                    <w:t xml:space="preserve">每季度 1 次 </w:t>
                  </w:r>
                  <w:r>
                    <w:rPr>
                      <w:rFonts w:hint="eastAsia" w:ascii="宋体" w:hAnsi="宋体" w:cs="宋体"/>
                      <w:bCs/>
                      <w:sz w:val="22"/>
                    </w:rPr>
                    <w:t>。’</w:t>
                  </w:r>
                </w:p>
              </w:tc>
              <w:tc>
                <w:tcPr>
                  <w:tcW w:w="3031" w:type="dxa"/>
                  <w:noWrap w:val="0"/>
                  <w:vAlign w:val="center"/>
                </w:tcPr>
                <w:p w14:paraId="2B486CD8">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收到主机联动信号后，联动模块能正确启动相关设备，并能正常显示联动关</w:t>
                  </w:r>
                </w:p>
                <w:p w14:paraId="2ACA713F">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系。 </w:t>
                  </w:r>
                </w:p>
              </w:tc>
            </w:tr>
            <w:tr w14:paraId="42D8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42" w:type="dxa"/>
                  <w:noWrap w:val="0"/>
                  <w:vAlign w:val="center"/>
                </w:tcPr>
                <w:p w14:paraId="53B807EA">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记录 </w:t>
                  </w:r>
                </w:p>
              </w:tc>
              <w:tc>
                <w:tcPr>
                  <w:tcW w:w="5616" w:type="dxa"/>
                  <w:noWrap w:val="0"/>
                  <w:vAlign w:val="center"/>
                </w:tcPr>
                <w:p w14:paraId="55C40E4F">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对联动控制系统有维修保养记录、联动测试有完整的记录 </w:t>
                  </w:r>
                </w:p>
              </w:tc>
              <w:tc>
                <w:tcPr>
                  <w:tcW w:w="3031" w:type="dxa"/>
                  <w:noWrap w:val="0"/>
                  <w:vAlign w:val="center"/>
                </w:tcPr>
                <w:p w14:paraId="748A1730">
                  <w:pPr>
                    <w:kinsoku w:val="0"/>
                    <w:overflowPunct w:val="0"/>
                    <w:autoSpaceDE w:val="0"/>
                    <w:autoSpaceDN w:val="0"/>
                    <w:adjustRightInd w:val="0"/>
                    <w:snapToGrid w:val="0"/>
                    <w:spacing w:line="0" w:lineRule="atLeast"/>
                    <w:ind w:firstLine="0" w:firstLineChars="0"/>
                    <w:jc w:val="center"/>
                    <w:rPr>
                      <w:rFonts w:hint="eastAsia" w:ascii="宋体" w:hAnsi="宋体" w:cs="宋体"/>
                      <w:bCs/>
                      <w:sz w:val="22"/>
                    </w:rPr>
                  </w:pPr>
                  <w:r>
                    <w:rPr>
                      <w:rFonts w:ascii="宋体" w:hAnsi="宋体" w:cs="宋体"/>
                      <w:bCs/>
                      <w:sz w:val="22"/>
                    </w:rPr>
                    <w:t xml:space="preserve">记录及时、完整。 </w:t>
                  </w:r>
                </w:p>
              </w:tc>
            </w:tr>
          </w:tbl>
          <w:p w14:paraId="4AD44B2E">
            <w:pPr>
              <w:kinsoku w:val="0"/>
              <w:overflowPunct w:val="0"/>
              <w:autoSpaceDE w:val="0"/>
              <w:autoSpaceDN w:val="0"/>
              <w:adjustRightInd w:val="0"/>
              <w:snapToGrid w:val="0"/>
              <w:spacing w:line="276" w:lineRule="auto"/>
              <w:ind w:firstLine="560"/>
              <w:rPr>
                <w:rFonts w:ascii="宋体" w:hAnsi="宋体" w:cs="宋体"/>
                <w:bCs/>
                <w:sz w:val="28"/>
                <w:szCs w:val="28"/>
              </w:rPr>
            </w:pPr>
          </w:p>
          <w:p w14:paraId="220E2973">
            <w:pPr>
              <w:spacing w:line="360" w:lineRule="auto"/>
              <w:ind w:firstLine="660" w:firstLineChars="275"/>
              <w:rPr>
                <w:rFonts w:ascii="宋体" w:hAnsi="宋体" w:cs="宋体"/>
                <w:sz w:val="24"/>
                <w:szCs w:val="24"/>
              </w:rPr>
            </w:pPr>
            <w:r>
              <w:rPr>
                <w:rFonts w:ascii="宋体" w:hAnsi="宋体" w:cs="宋体"/>
                <w:sz w:val="24"/>
                <w:szCs w:val="24"/>
              </w:rPr>
              <w:t>3</w:t>
            </w:r>
            <w:r>
              <w:rPr>
                <w:rFonts w:hint="eastAsia" w:ascii="宋体" w:hAnsi="宋体" w:cs="宋体"/>
                <w:sz w:val="24"/>
                <w:szCs w:val="24"/>
              </w:rPr>
              <w:t>．消防水系统（自动喷淋及消火栓系统）</w:t>
            </w:r>
          </w:p>
          <w:tbl>
            <w:tblPr>
              <w:tblStyle w:val="18"/>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4675"/>
              <w:gridCol w:w="2908"/>
            </w:tblGrid>
            <w:tr w14:paraId="733B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86" w:type="dxa"/>
                  <w:noWrap w:val="0"/>
                  <w:vAlign w:val="center"/>
                </w:tcPr>
                <w:p w14:paraId="6F821062">
                  <w:pPr>
                    <w:kinsoku w:val="0"/>
                    <w:overflowPunct w:val="0"/>
                    <w:autoSpaceDE w:val="0"/>
                    <w:autoSpaceDN w:val="0"/>
                    <w:adjustRightInd w:val="0"/>
                    <w:snapToGrid w:val="0"/>
                    <w:spacing w:line="0" w:lineRule="atLeast"/>
                    <w:ind w:firstLine="0" w:firstLineChars="0"/>
                    <w:jc w:val="center"/>
                    <w:rPr>
                      <w:rFonts w:ascii="宋体" w:hAnsi="宋体" w:cs="宋体"/>
                      <w:b/>
                      <w:sz w:val="22"/>
                    </w:rPr>
                  </w:pPr>
                  <w:r>
                    <w:rPr>
                      <w:rFonts w:ascii="宋体" w:hAnsi="宋体" w:cs="宋体"/>
                      <w:b/>
                      <w:sz w:val="22"/>
                    </w:rPr>
                    <w:t>项目</w:t>
                  </w:r>
                </w:p>
              </w:tc>
              <w:tc>
                <w:tcPr>
                  <w:tcW w:w="4675" w:type="dxa"/>
                  <w:noWrap w:val="0"/>
                  <w:vAlign w:val="center"/>
                </w:tcPr>
                <w:p w14:paraId="390B6329">
                  <w:pPr>
                    <w:kinsoku w:val="0"/>
                    <w:overflowPunct w:val="0"/>
                    <w:autoSpaceDE w:val="0"/>
                    <w:autoSpaceDN w:val="0"/>
                    <w:adjustRightInd w:val="0"/>
                    <w:snapToGrid w:val="0"/>
                    <w:spacing w:line="0" w:lineRule="atLeast"/>
                    <w:ind w:firstLine="0" w:firstLineChars="0"/>
                    <w:jc w:val="center"/>
                    <w:rPr>
                      <w:rFonts w:ascii="宋体" w:hAnsi="宋体" w:cs="宋体"/>
                      <w:b/>
                      <w:sz w:val="22"/>
                    </w:rPr>
                  </w:pPr>
                  <w:r>
                    <w:rPr>
                      <w:rFonts w:ascii="宋体" w:hAnsi="宋体" w:cs="宋体"/>
                      <w:b/>
                      <w:sz w:val="22"/>
                    </w:rPr>
                    <w:t>维修保养检查内容及频次</w:t>
                  </w:r>
                </w:p>
              </w:tc>
              <w:tc>
                <w:tcPr>
                  <w:tcW w:w="2908" w:type="dxa"/>
                  <w:noWrap w:val="0"/>
                  <w:vAlign w:val="center"/>
                </w:tcPr>
                <w:p w14:paraId="36639700">
                  <w:pPr>
                    <w:kinsoku w:val="0"/>
                    <w:overflowPunct w:val="0"/>
                    <w:autoSpaceDE w:val="0"/>
                    <w:autoSpaceDN w:val="0"/>
                    <w:adjustRightInd w:val="0"/>
                    <w:snapToGrid w:val="0"/>
                    <w:spacing w:line="0" w:lineRule="atLeast"/>
                    <w:ind w:firstLine="0" w:firstLineChars="0"/>
                    <w:jc w:val="center"/>
                    <w:rPr>
                      <w:rFonts w:ascii="宋体" w:hAnsi="宋体" w:cs="宋体"/>
                      <w:b/>
                      <w:sz w:val="22"/>
                    </w:rPr>
                  </w:pPr>
                  <w:r>
                    <w:rPr>
                      <w:rFonts w:ascii="宋体" w:hAnsi="宋体" w:cs="宋体"/>
                      <w:b/>
                      <w:sz w:val="22"/>
                    </w:rPr>
                    <w:t xml:space="preserve">标准 </w:t>
                  </w:r>
                </w:p>
              </w:tc>
            </w:tr>
            <w:tr w14:paraId="2B74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02E77891">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湿式报警阀及组件</w:t>
                  </w:r>
                </w:p>
              </w:tc>
              <w:tc>
                <w:tcPr>
                  <w:tcW w:w="4675" w:type="dxa"/>
                  <w:noWrap w:val="0"/>
                  <w:vAlign w:val="center"/>
                </w:tcPr>
                <w:p w14:paraId="39B6CC3D">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报警阀外表，有否锈蚀；检查报警阀有否损坏；检查报警阀连接管及主水管有否损坏；检查所有阀门是否挂有“常开”或“常闭”标识牌；检查报警阀排水操作；检查报警阀水力警铃有否漏水、声响是否正常；检查阀组信号阀是否损坏、关阀操作是否有反馈信号；检查报警阀压力开关是否有反馈信</w:t>
                  </w:r>
                </w:p>
                <w:p w14:paraId="67B55231">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号，是否联动喷淋泵启泵</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 次</w:t>
                  </w:r>
                  <w:r>
                    <w:rPr>
                      <w:rFonts w:hint="eastAsia" w:ascii="宋体" w:hAnsi="宋体" w:cs="宋体"/>
                      <w:bCs/>
                      <w:sz w:val="22"/>
                    </w:rPr>
                    <w:t>。</w:t>
                  </w:r>
                </w:p>
              </w:tc>
              <w:tc>
                <w:tcPr>
                  <w:tcW w:w="2908" w:type="dxa"/>
                  <w:noWrap w:val="0"/>
                  <w:vAlign w:val="center"/>
                </w:tcPr>
                <w:p w14:paraId="3268C634">
                  <w:pPr>
                    <w:kinsoku w:val="0"/>
                    <w:overflowPunct w:val="0"/>
                    <w:autoSpaceDE w:val="0"/>
                    <w:autoSpaceDN w:val="0"/>
                    <w:adjustRightInd w:val="0"/>
                    <w:snapToGrid w:val="0"/>
                    <w:spacing w:line="0" w:lineRule="atLeast"/>
                    <w:ind w:firstLine="0" w:firstLineChars="0"/>
                    <w:rPr>
                      <w:rFonts w:ascii="宋体" w:hAnsi="宋体" w:cs="宋体"/>
                      <w:bCs/>
                      <w:sz w:val="22"/>
                    </w:rPr>
                  </w:pPr>
                  <w:r>
                    <w:rPr>
                      <w:rFonts w:ascii="宋体" w:hAnsi="宋体" w:cs="宋体"/>
                      <w:bCs/>
                      <w:sz w:val="22"/>
                    </w:rPr>
                    <w:t>外表清洁、无锈蚀，动作灵敏、运行正常，压力表显示正常、水压正常。</w:t>
                  </w:r>
                </w:p>
              </w:tc>
            </w:tr>
            <w:tr w14:paraId="21B2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125EFF63">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水流指示器</w:t>
                  </w:r>
                </w:p>
              </w:tc>
              <w:tc>
                <w:tcPr>
                  <w:tcW w:w="4675" w:type="dxa"/>
                  <w:noWrap w:val="0"/>
                  <w:vAlign w:val="center"/>
                </w:tcPr>
                <w:p w14:paraId="23296CDB">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检查水流指示器有否损坏；检查内部接点及功能是否正常；检测水流指示器在末端试水放水操作时有否反馈信号。每</w:t>
                  </w:r>
                  <w:r>
                    <w:rPr>
                      <w:rFonts w:hint="eastAsia" w:ascii="宋体" w:hAnsi="宋体" w:cs="宋体"/>
                      <w:bCs/>
                      <w:sz w:val="22"/>
                    </w:rPr>
                    <w:t>季度</w:t>
                  </w:r>
                  <w:r>
                    <w:rPr>
                      <w:rFonts w:ascii="宋体" w:hAnsi="宋体" w:cs="宋体"/>
                      <w:bCs/>
                      <w:sz w:val="22"/>
                    </w:rPr>
                    <w:t>1次</w:t>
                  </w:r>
                </w:p>
              </w:tc>
              <w:tc>
                <w:tcPr>
                  <w:tcW w:w="2908" w:type="dxa"/>
                  <w:noWrap w:val="0"/>
                  <w:vAlign w:val="center"/>
                </w:tcPr>
                <w:p w14:paraId="6D74EA8C">
                  <w:pPr>
                    <w:kinsoku w:val="0"/>
                    <w:overflowPunct w:val="0"/>
                    <w:autoSpaceDE w:val="0"/>
                    <w:autoSpaceDN w:val="0"/>
                    <w:adjustRightInd w:val="0"/>
                    <w:snapToGrid w:val="0"/>
                    <w:spacing w:line="0" w:lineRule="atLeast"/>
                    <w:ind w:firstLine="0" w:firstLineChars="0"/>
                    <w:rPr>
                      <w:rFonts w:ascii="宋体" w:hAnsi="宋体" w:cs="宋体"/>
                      <w:bCs/>
                      <w:sz w:val="22"/>
                    </w:rPr>
                  </w:pPr>
                  <w:r>
                    <w:rPr>
                      <w:rFonts w:ascii="宋体" w:hAnsi="宋体" w:cs="宋体"/>
                      <w:bCs/>
                      <w:sz w:val="22"/>
                    </w:rPr>
                    <w:t>功能正常、运行可靠。</w:t>
                  </w:r>
                </w:p>
              </w:tc>
            </w:tr>
            <w:tr w14:paraId="646D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65E124A0">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信号蝶阀</w:t>
                  </w:r>
                </w:p>
              </w:tc>
              <w:tc>
                <w:tcPr>
                  <w:tcW w:w="4675" w:type="dxa"/>
                  <w:noWrap w:val="0"/>
                  <w:vAlign w:val="center"/>
                </w:tcPr>
                <w:p w14:paraId="1052E958">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检查信号蝶阀有否损坏；检查内部接点及功能是否正常；检测信号蝶阀在管网阀门关闭操作时有否反馈信号</w:t>
                  </w:r>
                  <w:r>
                    <w:rPr>
                      <w:rFonts w:hint="eastAsia" w:ascii="宋体" w:hAnsi="宋体" w:cs="宋体"/>
                      <w:bCs/>
                      <w:sz w:val="22"/>
                    </w:rPr>
                    <w:t>，</w:t>
                  </w:r>
                  <w:r>
                    <w:rPr>
                      <w:rFonts w:ascii="宋体" w:hAnsi="宋体" w:cs="宋体"/>
                      <w:bCs/>
                      <w:sz w:val="22"/>
                    </w:rPr>
                    <w:t>每</w:t>
                  </w:r>
                  <w:r>
                    <w:rPr>
                      <w:rFonts w:hint="eastAsia" w:ascii="宋体" w:hAnsi="宋体" w:cs="宋体"/>
                      <w:bCs/>
                      <w:sz w:val="22"/>
                    </w:rPr>
                    <w:t>季度</w:t>
                  </w:r>
                  <w:r>
                    <w:rPr>
                      <w:rFonts w:ascii="宋体" w:hAnsi="宋体" w:cs="宋体"/>
                      <w:bCs/>
                      <w:sz w:val="22"/>
                    </w:rPr>
                    <w:t xml:space="preserve"> 1次</w:t>
                  </w:r>
                  <w:r>
                    <w:rPr>
                      <w:rFonts w:hint="eastAsia" w:ascii="宋体" w:hAnsi="宋体" w:cs="宋体"/>
                      <w:bCs/>
                      <w:sz w:val="22"/>
                    </w:rPr>
                    <w:t>。</w:t>
                  </w:r>
                </w:p>
              </w:tc>
              <w:tc>
                <w:tcPr>
                  <w:tcW w:w="2908" w:type="dxa"/>
                  <w:noWrap w:val="0"/>
                  <w:vAlign w:val="center"/>
                </w:tcPr>
                <w:p w14:paraId="56FAED28">
                  <w:pPr>
                    <w:kinsoku w:val="0"/>
                    <w:overflowPunct w:val="0"/>
                    <w:autoSpaceDE w:val="0"/>
                    <w:autoSpaceDN w:val="0"/>
                    <w:adjustRightInd w:val="0"/>
                    <w:snapToGrid w:val="0"/>
                    <w:spacing w:line="0" w:lineRule="atLeast"/>
                    <w:ind w:firstLine="0" w:firstLineChars="0"/>
                    <w:rPr>
                      <w:rFonts w:ascii="宋体" w:hAnsi="宋体" w:cs="宋体"/>
                      <w:bCs/>
                      <w:sz w:val="22"/>
                    </w:rPr>
                  </w:pPr>
                  <w:r>
                    <w:rPr>
                      <w:rFonts w:ascii="宋体" w:hAnsi="宋体" w:cs="宋体"/>
                      <w:bCs/>
                      <w:sz w:val="22"/>
                    </w:rPr>
                    <w:t>功能正常、运行可靠。</w:t>
                  </w:r>
                </w:p>
              </w:tc>
            </w:tr>
            <w:tr w14:paraId="4AA5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42BC3AB6">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压力表</w:t>
                  </w:r>
                </w:p>
              </w:tc>
              <w:tc>
                <w:tcPr>
                  <w:tcW w:w="4675" w:type="dxa"/>
                  <w:noWrap w:val="0"/>
                  <w:vAlign w:val="center"/>
                </w:tcPr>
                <w:p w14:paraId="3CE7BBBE">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检查各压力表外观, 压力显示是否正常。管网压力是否在正常范围内</w:t>
                  </w:r>
                  <w:r>
                    <w:rPr>
                      <w:rFonts w:hint="eastAsia" w:ascii="宋体" w:hAnsi="宋体" w:cs="宋体"/>
                      <w:bCs/>
                      <w:sz w:val="22"/>
                    </w:rPr>
                    <w:t>，</w:t>
                  </w:r>
                  <w:r>
                    <w:rPr>
                      <w:rFonts w:ascii="宋体" w:hAnsi="宋体" w:cs="宋体"/>
                      <w:bCs/>
                      <w:sz w:val="22"/>
                    </w:rPr>
                    <w:t>每季度 1 次</w:t>
                  </w:r>
                  <w:r>
                    <w:rPr>
                      <w:rFonts w:hint="eastAsia" w:ascii="宋体" w:hAnsi="宋体" w:cs="宋体"/>
                      <w:bCs/>
                      <w:sz w:val="22"/>
                    </w:rPr>
                    <w:t>。</w:t>
                  </w:r>
                  <w:r>
                    <w:rPr>
                      <w:rFonts w:ascii="宋体" w:hAnsi="宋体" w:cs="宋体"/>
                      <w:bCs/>
                      <w:sz w:val="22"/>
                    </w:rPr>
                    <w:t xml:space="preserve"> </w:t>
                  </w:r>
                </w:p>
              </w:tc>
              <w:tc>
                <w:tcPr>
                  <w:tcW w:w="2908" w:type="dxa"/>
                  <w:noWrap w:val="0"/>
                  <w:vAlign w:val="center"/>
                </w:tcPr>
                <w:p w14:paraId="31DF5B6A">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外表清洁、显示正常、清晰，螺丝无松动。 </w:t>
                  </w:r>
                </w:p>
              </w:tc>
            </w:tr>
            <w:tr w14:paraId="666B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065261A2">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控制阀</w:t>
                  </w:r>
                </w:p>
              </w:tc>
              <w:tc>
                <w:tcPr>
                  <w:tcW w:w="4675" w:type="dxa"/>
                  <w:noWrap w:val="0"/>
                  <w:vAlign w:val="center"/>
                </w:tcPr>
                <w:p w14:paraId="3DFF78B0">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检查各控制是否阀门灵活,关闭密封每季度1 次 </w:t>
                  </w:r>
                  <w:r>
                    <w:rPr>
                      <w:rFonts w:hint="eastAsia" w:ascii="宋体" w:hAnsi="宋体" w:cs="宋体"/>
                      <w:bCs/>
                      <w:sz w:val="22"/>
                    </w:rPr>
                    <w:t>。</w:t>
                  </w:r>
                </w:p>
              </w:tc>
              <w:tc>
                <w:tcPr>
                  <w:tcW w:w="2908" w:type="dxa"/>
                  <w:noWrap w:val="0"/>
                  <w:vAlign w:val="center"/>
                </w:tcPr>
                <w:p w14:paraId="187CD7F3">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阀门灵活,关闭密封,明杆闸阀的阀杆应加油。 </w:t>
                  </w:r>
                </w:p>
              </w:tc>
            </w:tr>
            <w:tr w14:paraId="50C2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72D703B2">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消防水泵、控制箱及组件 </w:t>
                  </w:r>
                </w:p>
              </w:tc>
              <w:tc>
                <w:tcPr>
                  <w:tcW w:w="4675" w:type="dxa"/>
                  <w:noWrap w:val="0"/>
                  <w:vAlign w:val="center"/>
                </w:tcPr>
                <w:p w14:paraId="74E9C2DE">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测试水泵控制箱的输入/输出信号显示及联动控制；检查水泵之入水管/出水管(包括闸阀、止回阀、隔沙器、伸缩接头及其他配件)有否损坏；清洁水泵及控制柜。水泵盘动试验。检查接地线有无松动、锈蚀。检查水泵轴承润滑是否正常、运行有无噪声，风扇运转是否正常、有无擦边现象，清理电机表面灰尘</w:t>
                  </w:r>
                  <w:r>
                    <w:rPr>
                      <w:rFonts w:hint="eastAsia" w:ascii="宋体" w:hAnsi="宋体" w:cs="宋体"/>
                      <w:bCs/>
                      <w:sz w:val="22"/>
                    </w:rPr>
                    <w:t>，</w:t>
                  </w:r>
                  <w:r>
                    <w:rPr>
                      <w:rFonts w:ascii="宋体" w:hAnsi="宋体" w:cs="宋体"/>
                      <w:bCs/>
                      <w:sz w:val="22"/>
                    </w:rPr>
                    <w:t xml:space="preserve">每月 1 次 </w:t>
                  </w:r>
                  <w:r>
                    <w:rPr>
                      <w:rFonts w:hint="eastAsia" w:ascii="宋体" w:hAnsi="宋体" w:cs="宋体"/>
                      <w:bCs/>
                      <w:sz w:val="22"/>
                    </w:rPr>
                    <w:t>。</w:t>
                  </w:r>
                </w:p>
              </w:tc>
              <w:tc>
                <w:tcPr>
                  <w:tcW w:w="2908" w:type="dxa"/>
                  <w:noWrap w:val="0"/>
                  <w:vAlign w:val="center"/>
                </w:tcPr>
                <w:p w14:paraId="6E85E2B9">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功能正常，接线牢固，控制箱整洁、美观、水泵转动灵活，运行无异响、系统运行可靠，电动机试运行 30 分钟，温升应在正常范围内，水泵轴封无渗  漏。水泵主轴应灵活。控</w:t>
                  </w:r>
                </w:p>
                <w:p w14:paraId="62D48DF9">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制信号准确,无错误信号。 </w:t>
                  </w:r>
                </w:p>
              </w:tc>
            </w:tr>
            <w:tr w14:paraId="758C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5F0E5044">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电机及电源线绝缘性能。 </w:t>
                  </w:r>
                </w:p>
              </w:tc>
              <w:tc>
                <w:tcPr>
                  <w:tcW w:w="4675" w:type="dxa"/>
                  <w:noWrap w:val="0"/>
                  <w:vAlign w:val="center"/>
                </w:tcPr>
                <w:p w14:paraId="6A144B54">
                  <w:pPr>
                    <w:kinsoku w:val="0"/>
                    <w:overflowPunct w:val="0"/>
                    <w:autoSpaceDE w:val="0"/>
                    <w:autoSpaceDN w:val="0"/>
                    <w:adjustRightInd w:val="0"/>
                    <w:snapToGrid w:val="0"/>
                    <w:spacing w:line="0" w:lineRule="atLeast"/>
                    <w:ind w:firstLine="0" w:firstLineChars="0"/>
                    <w:rPr>
                      <w:rFonts w:ascii="宋体" w:hAnsi="宋体" w:cs="宋体"/>
                      <w:bCs/>
                      <w:sz w:val="22"/>
                    </w:rPr>
                  </w:pPr>
                  <w:r>
                    <w:rPr>
                      <w:rFonts w:ascii="宋体" w:hAnsi="宋体" w:cs="宋体"/>
                      <w:bCs/>
                      <w:sz w:val="22"/>
                    </w:rPr>
                    <w:t>检验电机及电源线绝缘性能</w:t>
                  </w:r>
                  <w:r>
                    <w:rPr>
                      <w:rFonts w:hint="eastAsia" w:ascii="宋体" w:hAnsi="宋体" w:cs="宋体"/>
                      <w:bCs/>
                      <w:sz w:val="22"/>
                    </w:rPr>
                    <w:t>，</w:t>
                  </w:r>
                  <w:r>
                    <w:rPr>
                      <w:rFonts w:ascii="宋体" w:hAnsi="宋体" w:cs="宋体"/>
                      <w:bCs/>
                      <w:sz w:val="22"/>
                    </w:rPr>
                    <w:t xml:space="preserve">每季度 1 次。 </w:t>
                  </w:r>
                </w:p>
              </w:tc>
              <w:tc>
                <w:tcPr>
                  <w:tcW w:w="2908" w:type="dxa"/>
                  <w:noWrap w:val="0"/>
                  <w:vAlign w:val="center"/>
                </w:tcPr>
                <w:p w14:paraId="79A77C68">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电机及线路绝缘值不可小于 2 兆欧 </w:t>
                  </w:r>
                </w:p>
              </w:tc>
            </w:tr>
            <w:tr w14:paraId="7EC2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1BEFA42A">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水泵控制箱内主供电线路 </w:t>
                  </w:r>
                </w:p>
              </w:tc>
              <w:tc>
                <w:tcPr>
                  <w:tcW w:w="4675" w:type="dxa"/>
                  <w:noWrap w:val="0"/>
                  <w:vAlign w:val="center"/>
                </w:tcPr>
                <w:p w14:paraId="1A58BB6A">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检查水泵控制箱内主供电线路、切换装置</w:t>
                  </w:r>
                  <w:r>
                    <w:rPr>
                      <w:rFonts w:hint="eastAsia" w:ascii="宋体" w:hAnsi="宋体" w:cs="宋体"/>
                      <w:bCs/>
                      <w:sz w:val="22"/>
                    </w:rPr>
                    <w:t>，</w:t>
                  </w:r>
                  <w:r>
                    <w:rPr>
                      <w:rFonts w:ascii="宋体" w:hAnsi="宋体" w:cs="宋体"/>
                      <w:bCs/>
                      <w:sz w:val="22"/>
                    </w:rPr>
                    <w:t>每月 1 次。</w:t>
                  </w:r>
                </w:p>
              </w:tc>
              <w:tc>
                <w:tcPr>
                  <w:tcW w:w="2908" w:type="dxa"/>
                  <w:noWrap w:val="0"/>
                  <w:vAlign w:val="center"/>
                </w:tcPr>
                <w:p w14:paraId="2CD9C397">
                  <w:pPr>
                    <w:pStyle w:val="25"/>
                    <w:spacing w:line="0" w:lineRule="atLeast"/>
                    <w:ind w:left="123" w:right="220"/>
                    <w:jc w:val="center"/>
                    <w:rPr>
                      <w:bCs/>
                      <w:kern w:val="2"/>
                      <w:lang w:val="en-US" w:bidi="ar-SA"/>
                    </w:rPr>
                  </w:pPr>
                  <w:r>
                    <w:rPr>
                      <w:bCs/>
                      <w:kern w:val="2"/>
                      <w:lang w:val="en-US" w:bidi="ar-SA"/>
                    </w:rPr>
                    <w:t>接线头压接良好、色标清晰、绝缘良好无烧焦现</w:t>
                  </w:r>
                </w:p>
                <w:p w14:paraId="6555CCA5">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象；主备电切换正常 </w:t>
                  </w:r>
                </w:p>
              </w:tc>
            </w:tr>
            <w:tr w14:paraId="3FB2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1E12FABE">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消火栓测试 </w:t>
                  </w:r>
                </w:p>
              </w:tc>
              <w:tc>
                <w:tcPr>
                  <w:tcW w:w="4675" w:type="dxa"/>
                  <w:noWrap w:val="0"/>
                  <w:vAlign w:val="center"/>
                </w:tcPr>
                <w:p w14:paraId="33C02FC3">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对区域最不利点消火栓进行放水试验，检查管网压力</w:t>
                  </w:r>
                  <w:r>
                    <w:rPr>
                      <w:rFonts w:hint="eastAsia" w:ascii="宋体" w:hAnsi="宋体" w:cs="宋体"/>
                      <w:bCs/>
                      <w:sz w:val="22"/>
                    </w:rPr>
                    <w:t>，</w:t>
                  </w:r>
                  <w:r>
                    <w:rPr>
                      <w:rFonts w:ascii="宋体" w:hAnsi="宋体" w:cs="宋体"/>
                      <w:bCs/>
                      <w:sz w:val="22"/>
                    </w:rPr>
                    <w:t xml:space="preserve"> 每月 1 次 </w:t>
                  </w:r>
                  <w:r>
                    <w:rPr>
                      <w:rFonts w:hint="eastAsia" w:ascii="宋体" w:hAnsi="宋体" w:cs="宋体"/>
                      <w:bCs/>
                      <w:sz w:val="22"/>
                    </w:rPr>
                    <w:t>。</w:t>
                  </w:r>
                </w:p>
              </w:tc>
              <w:tc>
                <w:tcPr>
                  <w:tcW w:w="2908" w:type="dxa"/>
                  <w:noWrap w:val="0"/>
                  <w:vAlign w:val="center"/>
                </w:tcPr>
                <w:p w14:paraId="06D28E02">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确保管网压力正常。 </w:t>
                  </w:r>
                </w:p>
              </w:tc>
            </w:tr>
            <w:tr w14:paraId="032E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7EAB909C">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消火栓按钮启泵功能测试 </w:t>
                  </w:r>
                </w:p>
              </w:tc>
              <w:tc>
                <w:tcPr>
                  <w:tcW w:w="4675" w:type="dxa"/>
                  <w:noWrap w:val="0"/>
                  <w:vAlign w:val="center"/>
                </w:tcPr>
                <w:p w14:paraId="3FCFB8A5">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检查所有消火栓按钮启泵功能</w:t>
                  </w:r>
                  <w:r>
                    <w:rPr>
                      <w:rFonts w:hint="eastAsia" w:ascii="宋体" w:hAnsi="宋体" w:cs="宋体"/>
                      <w:bCs/>
                      <w:sz w:val="22"/>
                    </w:rPr>
                    <w:t>，</w:t>
                  </w:r>
                  <w:r>
                    <w:rPr>
                      <w:rFonts w:ascii="宋体" w:hAnsi="宋体" w:cs="宋体"/>
                      <w:bCs/>
                      <w:sz w:val="22"/>
                    </w:rPr>
                    <w:t>每</w:t>
                  </w:r>
                  <w:r>
                    <w:rPr>
                      <w:rFonts w:hint="eastAsia" w:ascii="宋体" w:hAnsi="宋体" w:cs="宋体"/>
                      <w:bCs/>
                      <w:sz w:val="22"/>
                    </w:rPr>
                    <w:t>半年</w:t>
                  </w:r>
                  <w:r>
                    <w:rPr>
                      <w:rFonts w:ascii="宋体" w:hAnsi="宋体" w:cs="宋体"/>
                      <w:bCs/>
                      <w:sz w:val="22"/>
                    </w:rPr>
                    <w:t xml:space="preserve"> 1 次 </w:t>
                  </w:r>
                </w:p>
              </w:tc>
              <w:tc>
                <w:tcPr>
                  <w:tcW w:w="2908" w:type="dxa"/>
                  <w:noWrap w:val="0"/>
                  <w:vAlign w:val="center"/>
                </w:tcPr>
                <w:p w14:paraId="130CA26A">
                  <w:pPr>
                    <w:kinsoku w:val="0"/>
                    <w:overflowPunct w:val="0"/>
                    <w:autoSpaceDE w:val="0"/>
                    <w:autoSpaceDN w:val="0"/>
                    <w:adjustRightInd w:val="0"/>
                    <w:snapToGrid w:val="0"/>
                    <w:spacing w:line="0" w:lineRule="atLeast"/>
                    <w:ind w:firstLine="0" w:firstLineChars="0"/>
                    <w:jc w:val="center"/>
                    <w:rPr>
                      <w:rFonts w:ascii="宋体" w:hAnsi="宋体" w:cs="宋体"/>
                      <w:bCs/>
                      <w:sz w:val="22"/>
                    </w:rPr>
                  </w:pPr>
                  <w:r>
                    <w:rPr>
                      <w:rFonts w:ascii="宋体" w:hAnsi="宋体" w:cs="宋体"/>
                      <w:bCs/>
                      <w:sz w:val="22"/>
                    </w:rPr>
                    <w:t xml:space="preserve">功能正常、运行可靠。 </w:t>
                  </w:r>
                </w:p>
              </w:tc>
            </w:tr>
            <w:tr w14:paraId="4615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641B4386">
                  <w:pPr>
                    <w:kinsoku w:val="0"/>
                    <w:overflowPunct w:val="0"/>
                    <w:autoSpaceDE w:val="0"/>
                    <w:autoSpaceDN w:val="0"/>
                    <w:adjustRightInd w:val="0"/>
                    <w:snapToGrid w:val="0"/>
                    <w:spacing w:line="276" w:lineRule="auto"/>
                    <w:ind w:firstLine="0" w:firstLineChars="0"/>
                    <w:rPr>
                      <w:rFonts w:hint="eastAsia" w:ascii="宋体" w:hAnsi="宋体" w:cs="宋体"/>
                      <w:bCs/>
                      <w:sz w:val="28"/>
                      <w:szCs w:val="28"/>
                    </w:rPr>
                  </w:pPr>
                  <w:r>
                    <w:rPr>
                      <w:spacing w:val="-3"/>
                    </w:rPr>
                    <w:t>水泵点动试验</w:t>
                  </w:r>
                  <w:r>
                    <w:t xml:space="preserve"> </w:t>
                  </w:r>
                </w:p>
              </w:tc>
              <w:tc>
                <w:tcPr>
                  <w:tcW w:w="4675" w:type="dxa"/>
                  <w:noWrap w:val="0"/>
                  <w:vAlign w:val="center"/>
                </w:tcPr>
                <w:p w14:paraId="755B0EBE">
                  <w:pPr>
                    <w:kinsoku w:val="0"/>
                    <w:overflowPunct w:val="0"/>
                    <w:autoSpaceDE w:val="0"/>
                    <w:autoSpaceDN w:val="0"/>
                    <w:adjustRightInd w:val="0"/>
                    <w:snapToGrid w:val="0"/>
                    <w:spacing w:line="276" w:lineRule="auto"/>
                    <w:ind w:firstLine="0" w:firstLineChars="0"/>
                    <w:rPr>
                      <w:rFonts w:ascii="宋体" w:hAnsi="宋体" w:cs="宋体"/>
                      <w:bCs/>
                      <w:sz w:val="28"/>
                      <w:szCs w:val="28"/>
                    </w:rPr>
                  </w:pPr>
                  <w:r>
                    <w:t>进行水泵点动试验</w:t>
                  </w:r>
                  <w:r>
                    <w:rPr>
                      <w:rFonts w:hint="eastAsia"/>
                    </w:rPr>
                    <w:t>，</w:t>
                  </w:r>
                  <w:r>
                    <w:t xml:space="preserve">每月 1 次。 </w:t>
                  </w:r>
                </w:p>
              </w:tc>
              <w:tc>
                <w:tcPr>
                  <w:tcW w:w="2908" w:type="dxa"/>
                  <w:noWrap w:val="0"/>
                  <w:vAlign w:val="center"/>
                </w:tcPr>
                <w:p w14:paraId="1E9C4DB7">
                  <w:pPr>
                    <w:pStyle w:val="25"/>
                    <w:spacing w:before="1"/>
                    <w:ind w:left="123"/>
                    <w:rPr>
                      <w:sz w:val="21"/>
                    </w:rPr>
                  </w:pPr>
                  <w:r>
                    <w:rPr>
                      <w:sz w:val="21"/>
                    </w:rPr>
                    <w:t>应无异常噪音,电机温升应</w:t>
                  </w:r>
                </w:p>
                <w:p w14:paraId="2C225850">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在正常范围内。 </w:t>
                  </w:r>
                </w:p>
              </w:tc>
            </w:tr>
            <w:tr w14:paraId="25B1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590C4A35">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接地电阻 </w:t>
                  </w:r>
                </w:p>
              </w:tc>
              <w:tc>
                <w:tcPr>
                  <w:tcW w:w="4675" w:type="dxa"/>
                  <w:noWrap w:val="0"/>
                  <w:vAlign w:val="center"/>
                </w:tcPr>
                <w:p w14:paraId="29CBB1A3">
                  <w:pPr>
                    <w:kinsoku w:val="0"/>
                    <w:overflowPunct w:val="0"/>
                    <w:autoSpaceDE w:val="0"/>
                    <w:autoSpaceDN w:val="0"/>
                    <w:adjustRightInd w:val="0"/>
                    <w:snapToGrid w:val="0"/>
                    <w:spacing w:line="276" w:lineRule="auto"/>
                    <w:ind w:firstLine="0" w:firstLineChars="0"/>
                    <w:rPr>
                      <w:rFonts w:ascii="宋体" w:hAnsi="宋体" w:cs="宋体"/>
                      <w:bCs/>
                      <w:sz w:val="28"/>
                      <w:szCs w:val="28"/>
                    </w:rPr>
                  </w:pPr>
                  <w:r>
                    <w:t>检测接地电阻</w:t>
                  </w:r>
                  <w:r>
                    <w:rPr>
                      <w:rFonts w:hint="eastAsia"/>
                    </w:rPr>
                    <w:t>，</w:t>
                  </w:r>
                  <w:r>
                    <w:t xml:space="preserve">每季度 1 次。 </w:t>
                  </w:r>
                </w:p>
              </w:tc>
              <w:tc>
                <w:tcPr>
                  <w:tcW w:w="2908" w:type="dxa"/>
                  <w:noWrap w:val="0"/>
                  <w:vAlign w:val="center"/>
                </w:tcPr>
                <w:p w14:paraId="26E38E68">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阻值不可大于 4 欧。 </w:t>
                  </w:r>
                </w:p>
              </w:tc>
            </w:tr>
            <w:tr w14:paraId="6B4A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42D53F76">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测量电机三相电流 </w:t>
                  </w:r>
                </w:p>
              </w:tc>
              <w:tc>
                <w:tcPr>
                  <w:tcW w:w="4675" w:type="dxa"/>
                  <w:noWrap w:val="0"/>
                  <w:vAlign w:val="center"/>
                </w:tcPr>
                <w:p w14:paraId="32D857A4">
                  <w:pPr>
                    <w:kinsoku w:val="0"/>
                    <w:overflowPunct w:val="0"/>
                    <w:autoSpaceDE w:val="0"/>
                    <w:autoSpaceDN w:val="0"/>
                    <w:adjustRightInd w:val="0"/>
                    <w:snapToGrid w:val="0"/>
                    <w:spacing w:line="276" w:lineRule="auto"/>
                    <w:ind w:firstLine="0" w:firstLineChars="0"/>
                    <w:rPr>
                      <w:rFonts w:ascii="宋体" w:hAnsi="宋体" w:cs="宋体"/>
                      <w:bCs/>
                      <w:sz w:val="28"/>
                      <w:szCs w:val="28"/>
                    </w:rPr>
                  </w:pPr>
                  <w:r>
                    <w:t>测量电机三相电流</w:t>
                  </w:r>
                  <w:r>
                    <w:rPr>
                      <w:rFonts w:hint="eastAsia"/>
                    </w:rPr>
                    <w:t>，</w:t>
                  </w:r>
                  <w:r>
                    <w:t xml:space="preserve">每季度 1 次。 </w:t>
                  </w:r>
                </w:p>
              </w:tc>
              <w:tc>
                <w:tcPr>
                  <w:tcW w:w="2908" w:type="dxa"/>
                  <w:noWrap w:val="0"/>
                  <w:vAlign w:val="center"/>
                </w:tcPr>
                <w:p w14:paraId="68CBC7E4">
                  <w:pPr>
                    <w:kinsoku w:val="0"/>
                    <w:overflowPunct w:val="0"/>
                    <w:autoSpaceDE w:val="0"/>
                    <w:autoSpaceDN w:val="0"/>
                    <w:adjustRightInd w:val="0"/>
                    <w:snapToGrid w:val="0"/>
                    <w:spacing w:line="276" w:lineRule="auto"/>
                    <w:ind w:firstLine="0" w:firstLineChars="0"/>
                    <w:rPr>
                      <w:rFonts w:ascii="宋体" w:hAnsi="宋体" w:cs="宋体"/>
                      <w:bCs/>
                      <w:sz w:val="28"/>
                      <w:szCs w:val="28"/>
                    </w:rPr>
                  </w:pPr>
                  <w:r>
                    <w:rPr>
                      <w:spacing w:val="-3"/>
                    </w:rPr>
                    <w:t xml:space="preserve">三相电流平衡，数值稳 </w:t>
                  </w:r>
                  <w:r>
                    <w:rPr>
                      <w:spacing w:val="-5"/>
                    </w:rPr>
                    <w:t>定，无摆动，运行无异常</w:t>
                  </w:r>
                  <w:r>
                    <w:rPr>
                      <w:spacing w:val="-1"/>
                    </w:rPr>
                    <w:t>噪声。</w:t>
                  </w:r>
                  <w:r>
                    <w:t xml:space="preserve"> </w:t>
                  </w:r>
                </w:p>
              </w:tc>
            </w:tr>
            <w:tr w14:paraId="0F69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1694863C">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水泵软接头 </w:t>
                  </w:r>
                </w:p>
              </w:tc>
              <w:tc>
                <w:tcPr>
                  <w:tcW w:w="4675" w:type="dxa"/>
                  <w:noWrap w:val="0"/>
                  <w:vAlign w:val="center"/>
                </w:tcPr>
                <w:p w14:paraId="257DD02A">
                  <w:pPr>
                    <w:kinsoku w:val="0"/>
                    <w:overflowPunct w:val="0"/>
                    <w:autoSpaceDE w:val="0"/>
                    <w:autoSpaceDN w:val="0"/>
                    <w:adjustRightInd w:val="0"/>
                    <w:snapToGrid w:val="0"/>
                    <w:spacing w:line="276" w:lineRule="auto"/>
                    <w:ind w:firstLine="0" w:firstLineChars="0"/>
                    <w:rPr>
                      <w:rFonts w:ascii="宋体" w:hAnsi="宋体" w:cs="宋体"/>
                      <w:bCs/>
                      <w:sz w:val="28"/>
                      <w:szCs w:val="28"/>
                    </w:rPr>
                  </w:pPr>
                  <w:r>
                    <w:t>检查水泵软接头外观，螺丝</w:t>
                  </w:r>
                  <w:r>
                    <w:rPr>
                      <w:rFonts w:hint="eastAsia"/>
                    </w:rPr>
                    <w:t>，</w:t>
                  </w:r>
                  <w:r>
                    <w:t>每</w:t>
                  </w:r>
                  <w:r>
                    <w:rPr>
                      <w:rFonts w:hint="eastAsia"/>
                    </w:rPr>
                    <w:t>月</w:t>
                  </w:r>
                  <w:r>
                    <w:t xml:space="preserve"> 1 次。 </w:t>
                  </w:r>
                </w:p>
              </w:tc>
              <w:tc>
                <w:tcPr>
                  <w:tcW w:w="2908" w:type="dxa"/>
                  <w:noWrap w:val="0"/>
                  <w:vAlign w:val="center"/>
                </w:tcPr>
                <w:p w14:paraId="365AC132">
                  <w:pPr>
                    <w:pStyle w:val="25"/>
                    <w:spacing w:before="1"/>
                    <w:ind w:left="123"/>
                    <w:rPr>
                      <w:sz w:val="21"/>
                    </w:rPr>
                  </w:pPr>
                  <w:r>
                    <w:rPr>
                      <w:sz w:val="21"/>
                    </w:rPr>
                    <w:t>应无破损，螺丝应紧固、</w:t>
                  </w:r>
                </w:p>
                <w:p w14:paraId="693C986B">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无松动现象。 </w:t>
                  </w:r>
                </w:p>
              </w:tc>
            </w:tr>
            <w:tr w14:paraId="3A95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57606FA3">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泄压阀 </w:t>
                  </w:r>
                </w:p>
              </w:tc>
              <w:tc>
                <w:tcPr>
                  <w:tcW w:w="4675" w:type="dxa"/>
                  <w:noWrap w:val="0"/>
                  <w:vAlign w:val="center"/>
                </w:tcPr>
                <w:p w14:paraId="68FD55FC">
                  <w:pPr>
                    <w:kinsoku w:val="0"/>
                    <w:overflowPunct w:val="0"/>
                    <w:autoSpaceDE w:val="0"/>
                    <w:autoSpaceDN w:val="0"/>
                    <w:adjustRightInd w:val="0"/>
                    <w:snapToGrid w:val="0"/>
                    <w:spacing w:line="276" w:lineRule="auto"/>
                    <w:ind w:firstLine="0" w:firstLineChars="0"/>
                    <w:rPr>
                      <w:rFonts w:ascii="宋体" w:hAnsi="宋体" w:cs="宋体"/>
                      <w:bCs/>
                      <w:sz w:val="28"/>
                      <w:szCs w:val="28"/>
                    </w:rPr>
                  </w:pPr>
                  <w:r>
                    <w:t>泄压阀排水试验</w:t>
                  </w:r>
                  <w:r>
                    <w:rPr>
                      <w:rFonts w:hint="eastAsia"/>
                    </w:rPr>
                    <w:t>，</w:t>
                  </w:r>
                  <w:r>
                    <w:t xml:space="preserve">每季度 1 次。 </w:t>
                  </w:r>
                </w:p>
              </w:tc>
              <w:tc>
                <w:tcPr>
                  <w:tcW w:w="2908" w:type="dxa"/>
                  <w:noWrap w:val="0"/>
                  <w:vAlign w:val="center"/>
                </w:tcPr>
                <w:p w14:paraId="40D876CF">
                  <w:pPr>
                    <w:pStyle w:val="25"/>
                    <w:spacing w:before="1"/>
                    <w:ind w:left="123"/>
                    <w:rPr>
                      <w:sz w:val="21"/>
                    </w:rPr>
                  </w:pPr>
                  <w:r>
                    <w:rPr>
                      <w:sz w:val="21"/>
                    </w:rPr>
                    <w:t>超设定压力 0.5MPa 泄压,</w:t>
                  </w:r>
                </w:p>
                <w:p w14:paraId="41D88587">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到设定压力时可以停止泄压。 </w:t>
                  </w:r>
                </w:p>
              </w:tc>
            </w:tr>
            <w:tr w14:paraId="1821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753378F5">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消防水池 </w:t>
                  </w:r>
                </w:p>
              </w:tc>
              <w:tc>
                <w:tcPr>
                  <w:tcW w:w="4675" w:type="dxa"/>
                  <w:noWrap w:val="0"/>
                  <w:vAlign w:val="center"/>
                </w:tcPr>
                <w:p w14:paraId="2244B801">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检查供水及水量是否正常。每月 1 次。 </w:t>
                  </w:r>
                </w:p>
              </w:tc>
              <w:tc>
                <w:tcPr>
                  <w:tcW w:w="2908" w:type="dxa"/>
                  <w:noWrap w:val="0"/>
                  <w:vAlign w:val="center"/>
                </w:tcPr>
                <w:p w14:paraId="1853B2DF">
                  <w:pPr>
                    <w:pStyle w:val="25"/>
                    <w:spacing w:before="1"/>
                    <w:ind w:left="123"/>
                    <w:rPr>
                      <w:sz w:val="21"/>
                    </w:rPr>
                  </w:pPr>
                  <w:r>
                    <w:rPr>
                      <w:sz w:val="21"/>
                    </w:rPr>
                    <w:t>消防水池液位计信号工作</w:t>
                  </w:r>
                </w:p>
                <w:p w14:paraId="5C07959B">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正常，无故障， </w:t>
                  </w:r>
                </w:p>
              </w:tc>
            </w:tr>
            <w:tr w14:paraId="38FD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3DFDA1EE">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记录 </w:t>
                  </w:r>
                </w:p>
              </w:tc>
              <w:tc>
                <w:tcPr>
                  <w:tcW w:w="4675" w:type="dxa"/>
                  <w:noWrap w:val="0"/>
                  <w:vAlign w:val="center"/>
                </w:tcPr>
                <w:p w14:paraId="2628FED9">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对消防水系统有维修保养记录。 </w:t>
                  </w:r>
                </w:p>
              </w:tc>
              <w:tc>
                <w:tcPr>
                  <w:tcW w:w="2908" w:type="dxa"/>
                  <w:noWrap w:val="0"/>
                  <w:vAlign w:val="center"/>
                </w:tcPr>
                <w:p w14:paraId="2D2884C5">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记录及时、完整。 </w:t>
                  </w:r>
                </w:p>
              </w:tc>
            </w:tr>
            <w:tr w14:paraId="2CC1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0FCB16E9">
                  <w:pPr>
                    <w:kinsoku w:val="0"/>
                    <w:overflowPunct w:val="0"/>
                    <w:autoSpaceDE w:val="0"/>
                    <w:autoSpaceDN w:val="0"/>
                    <w:adjustRightInd w:val="0"/>
                    <w:snapToGrid w:val="0"/>
                    <w:spacing w:line="276" w:lineRule="auto"/>
                    <w:ind w:firstLine="0" w:firstLineChars="0"/>
                    <w:rPr>
                      <w:rFonts w:ascii="宋体" w:hAnsi="宋体" w:cs="宋体"/>
                      <w:bCs/>
                      <w:sz w:val="28"/>
                      <w:szCs w:val="28"/>
                    </w:rPr>
                  </w:pPr>
                  <w:r>
                    <w:rPr>
                      <w:spacing w:val="-3"/>
                    </w:rPr>
                    <w:t>水泵点动试验</w:t>
                  </w:r>
                  <w:r>
                    <w:t xml:space="preserve"> </w:t>
                  </w:r>
                </w:p>
              </w:tc>
              <w:tc>
                <w:tcPr>
                  <w:tcW w:w="4675" w:type="dxa"/>
                  <w:noWrap w:val="0"/>
                  <w:vAlign w:val="center"/>
                </w:tcPr>
                <w:p w14:paraId="6DA17C0E">
                  <w:pPr>
                    <w:kinsoku w:val="0"/>
                    <w:overflowPunct w:val="0"/>
                    <w:autoSpaceDE w:val="0"/>
                    <w:autoSpaceDN w:val="0"/>
                    <w:adjustRightInd w:val="0"/>
                    <w:snapToGrid w:val="0"/>
                    <w:spacing w:line="276" w:lineRule="auto"/>
                    <w:ind w:firstLine="0" w:firstLineChars="0"/>
                    <w:rPr>
                      <w:rFonts w:ascii="宋体" w:hAnsi="宋体" w:cs="宋体"/>
                      <w:bCs/>
                      <w:sz w:val="28"/>
                      <w:szCs w:val="28"/>
                    </w:rPr>
                  </w:pPr>
                  <w:r>
                    <w:t>进行水泵点动试验</w:t>
                  </w:r>
                  <w:r>
                    <w:rPr>
                      <w:rFonts w:hint="eastAsia"/>
                    </w:rPr>
                    <w:t>，</w:t>
                  </w:r>
                  <w:r>
                    <w:t xml:space="preserve">每月 1 次。 </w:t>
                  </w:r>
                </w:p>
              </w:tc>
              <w:tc>
                <w:tcPr>
                  <w:tcW w:w="2908" w:type="dxa"/>
                  <w:noWrap w:val="0"/>
                  <w:vAlign w:val="center"/>
                </w:tcPr>
                <w:p w14:paraId="2AC1AB3B">
                  <w:pPr>
                    <w:pStyle w:val="25"/>
                    <w:spacing w:before="1"/>
                    <w:ind w:left="123"/>
                    <w:rPr>
                      <w:sz w:val="21"/>
                    </w:rPr>
                  </w:pPr>
                  <w:r>
                    <w:rPr>
                      <w:sz w:val="21"/>
                    </w:rPr>
                    <w:t>应无异常噪音,电机温升应</w:t>
                  </w:r>
                </w:p>
                <w:p w14:paraId="776B4F53">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在正常范围内。 </w:t>
                  </w:r>
                </w:p>
              </w:tc>
            </w:tr>
            <w:tr w14:paraId="2F92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00C0407D">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接地电阻 </w:t>
                  </w:r>
                </w:p>
              </w:tc>
              <w:tc>
                <w:tcPr>
                  <w:tcW w:w="4675" w:type="dxa"/>
                  <w:noWrap w:val="0"/>
                  <w:vAlign w:val="center"/>
                </w:tcPr>
                <w:p w14:paraId="5B543ADB">
                  <w:pPr>
                    <w:kinsoku w:val="0"/>
                    <w:overflowPunct w:val="0"/>
                    <w:autoSpaceDE w:val="0"/>
                    <w:autoSpaceDN w:val="0"/>
                    <w:adjustRightInd w:val="0"/>
                    <w:snapToGrid w:val="0"/>
                    <w:spacing w:line="276" w:lineRule="auto"/>
                    <w:ind w:firstLine="0" w:firstLineChars="0"/>
                    <w:rPr>
                      <w:rFonts w:ascii="宋体" w:hAnsi="宋体" w:cs="宋体"/>
                      <w:bCs/>
                      <w:sz w:val="28"/>
                      <w:szCs w:val="28"/>
                    </w:rPr>
                  </w:pPr>
                  <w:r>
                    <w:t>检测接地电阻</w:t>
                  </w:r>
                  <w:r>
                    <w:rPr>
                      <w:rFonts w:hint="eastAsia"/>
                    </w:rPr>
                    <w:t>，</w:t>
                  </w:r>
                  <w:r>
                    <w:t xml:space="preserve">每季度 1 次。 </w:t>
                  </w:r>
                </w:p>
              </w:tc>
              <w:tc>
                <w:tcPr>
                  <w:tcW w:w="2908" w:type="dxa"/>
                  <w:noWrap w:val="0"/>
                  <w:vAlign w:val="center"/>
                </w:tcPr>
                <w:p w14:paraId="065DA151">
                  <w:pPr>
                    <w:kinsoku w:val="0"/>
                    <w:overflowPunct w:val="0"/>
                    <w:autoSpaceDE w:val="0"/>
                    <w:autoSpaceDN w:val="0"/>
                    <w:adjustRightInd w:val="0"/>
                    <w:snapToGrid w:val="0"/>
                    <w:spacing w:line="276" w:lineRule="auto"/>
                    <w:ind w:firstLine="0" w:firstLineChars="0"/>
                    <w:rPr>
                      <w:rFonts w:ascii="宋体" w:hAnsi="宋体" w:cs="宋体"/>
                      <w:bCs/>
                      <w:sz w:val="28"/>
                      <w:szCs w:val="28"/>
                    </w:rPr>
                  </w:pPr>
                  <w:r>
                    <w:t xml:space="preserve">阻值不可大于 4 欧。 </w:t>
                  </w:r>
                </w:p>
              </w:tc>
            </w:tr>
            <w:tr w14:paraId="2A3C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3955784D">
                  <w:pPr>
                    <w:kinsoku w:val="0"/>
                    <w:overflowPunct w:val="0"/>
                    <w:autoSpaceDE w:val="0"/>
                    <w:autoSpaceDN w:val="0"/>
                    <w:adjustRightInd w:val="0"/>
                    <w:snapToGrid w:val="0"/>
                    <w:spacing w:line="276" w:lineRule="auto"/>
                    <w:ind w:firstLine="0" w:firstLineChars="0"/>
                  </w:pPr>
                  <w:r>
                    <w:t xml:space="preserve">测量电机三相电流 </w:t>
                  </w:r>
                </w:p>
              </w:tc>
              <w:tc>
                <w:tcPr>
                  <w:tcW w:w="4675" w:type="dxa"/>
                  <w:noWrap w:val="0"/>
                  <w:vAlign w:val="center"/>
                </w:tcPr>
                <w:p w14:paraId="5C70D2D8">
                  <w:pPr>
                    <w:pStyle w:val="25"/>
                    <w:spacing w:before="5"/>
                    <w:rPr>
                      <w:rFonts w:ascii="Times New Roman" w:hAnsi="Times New Roman" w:cs="Times New Roman"/>
                      <w:kern w:val="2"/>
                      <w:sz w:val="21"/>
                      <w:lang w:val="en-US" w:bidi="ar-SA"/>
                    </w:rPr>
                  </w:pPr>
                </w:p>
                <w:p w14:paraId="6E9BB0F0">
                  <w:pPr>
                    <w:kinsoku w:val="0"/>
                    <w:overflowPunct w:val="0"/>
                    <w:autoSpaceDE w:val="0"/>
                    <w:autoSpaceDN w:val="0"/>
                    <w:adjustRightInd w:val="0"/>
                    <w:snapToGrid w:val="0"/>
                    <w:spacing w:line="276" w:lineRule="auto"/>
                    <w:ind w:firstLine="0" w:firstLineChars="0"/>
                  </w:pPr>
                  <w:r>
                    <w:t>测量电机三相电流</w:t>
                  </w:r>
                  <w:r>
                    <w:rPr>
                      <w:rFonts w:hint="eastAsia"/>
                    </w:rPr>
                    <w:t>，</w:t>
                  </w:r>
                  <w:r>
                    <w:t xml:space="preserve">每季度 1 次。 </w:t>
                  </w:r>
                </w:p>
              </w:tc>
              <w:tc>
                <w:tcPr>
                  <w:tcW w:w="2908" w:type="dxa"/>
                  <w:noWrap w:val="0"/>
                  <w:vAlign w:val="center"/>
                </w:tcPr>
                <w:p w14:paraId="224C18F7">
                  <w:pPr>
                    <w:kinsoku w:val="0"/>
                    <w:overflowPunct w:val="0"/>
                    <w:autoSpaceDE w:val="0"/>
                    <w:autoSpaceDN w:val="0"/>
                    <w:adjustRightInd w:val="0"/>
                    <w:snapToGrid w:val="0"/>
                    <w:spacing w:line="276" w:lineRule="auto"/>
                    <w:ind w:firstLine="0" w:firstLineChars="0"/>
                  </w:pPr>
                  <w:r>
                    <w:t xml:space="preserve">三相电流平衡，数值稳 定，无摆动，运行无异常噪声。 </w:t>
                  </w:r>
                </w:p>
              </w:tc>
            </w:tr>
            <w:tr w14:paraId="06C5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35D5F1BD">
                  <w:pPr>
                    <w:kinsoku w:val="0"/>
                    <w:overflowPunct w:val="0"/>
                    <w:autoSpaceDE w:val="0"/>
                    <w:autoSpaceDN w:val="0"/>
                    <w:adjustRightInd w:val="0"/>
                    <w:snapToGrid w:val="0"/>
                    <w:spacing w:line="276" w:lineRule="auto"/>
                    <w:ind w:firstLine="0" w:firstLineChars="0"/>
                  </w:pPr>
                  <w:r>
                    <w:t xml:space="preserve">水泵软接头 </w:t>
                  </w:r>
                </w:p>
              </w:tc>
              <w:tc>
                <w:tcPr>
                  <w:tcW w:w="4675" w:type="dxa"/>
                  <w:noWrap w:val="0"/>
                  <w:vAlign w:val="center"/>
                </w:tcPr>
                <w:p w14:paraId="1A73A7DB">
                  <w:pPr>
                    <w:kinsoku w:val="0"/>
                    <w:overflowPunct w:val="0"/>
                    <w:autoSpaceDE w:val="0"/>
                    <w:autoSpaceDN w:val="0"/>
                    <w:adjustRightInd w:val="0"/>
                    <w:snapToGrid w:val="0"/>
                    <w:spacing w:line="276" w:lineRule="auto"/>
                    <w:ind w:firstLine="0" w:firstLineChars="0"/>
                  </w:pPr>
                  <w:r>
                    <w:t>检查水泵软接头外观，螺丝</w:t>
                  </w:r>
                  <w:r>
                    <w:rPr>
                      <w:rFonts w:hint="eastAsia"/>
                    </w:rPr>
                    <w:t>，</w:t>
                  </w:r>
                  <w:r>
                    <w:t>每</w:t>
                  </w:r>
                  <w:r>
                    <w:rPr>
                      <w:rFonts w:hint="eastAsia"/>
                    </w:rPr>
                    <w:t>月</w:t>
                  </w:r>
                  <w:r>
                    <w:t xml:space="preserve"> 1 次。 </w:t>
                  </w:r>
                </w:p>
              </w:tc>
              <w:tc>
                <w:tcPr>
                  <w:tcW w:w="2908" w:type="dxa"/>
                  <w:noWrap w:val="0"/>
                  <w:vAlign w:val="center"/>
                </w:tcPr>
                <w:p w14:paraId="6E295896">
                  <w:pPr>
                    <w:pStyle w:val="25"/>
                    <w:spacing w:before="1"/>
                    <w:rPr>
                      <w:rFonts w:ascii="Times New Roman" w:hAnsi="Times New Roman" w:cs="Times New Roman"/>
                      <w:kern w:val="2"/>
                      <w:sz w:val="21"/>
                      <w:lang w:val="en-US" w:bidi="ar-SA"/>
                    </w:rPr>
                  </w:pPr>
                  <w:r>
                    <w:rPr>
                      <w:rFonts w:ascii="Times New Roman" w:hAnsi="Times New Roman" w:cs="Times New Roman"/>
                      <w:kern w:val="2"/>
                      <w:sz w:val="21"/>
                      <w:lang w:val="en-US" w:bidi="ar-SA"/>
                    </w:rPr>
                    <w:t>应无破损，螺丝应紧固、</w:t>
                  </w:r>
                </w:p>
                <w:p w14:paraId="5301D348">
                  <w:pPr>
                    <w:kinsoku w:val="0"/>
                    <w:overflowPunct w:val="0"/>
                    <w:autoSpaceDE w:val="0"/>
                    <w:autoSpaceDN w:val="0"/>
                    <w:adjustRightInd w:val="0"/>
                    <w:snapToGrid w:val="0"/>
                    <w:spacing w:line="276" w:lineRule="auto"/>
                    <w:ind w:firstLine="0" w:firstLineChars="0"/>
                  </w:pPr>
                  <w:r>
                    <w:t xml:space="preserve">无松动现象。 </w:t>
                  </w:r>
                </w:p>
              </w:tc>
            </w:tr>
            <w:tr w14:paraId="2168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4AC51B38">
                  <w:pPr>
                    <w:kinsoku w:val="0"/>
                    <w:overflowPunct w:val="0"/>
                    <w:autoSpaceDE w:val="0"/>
                    <w:autoSpaceDN w:val="0"/>
                    <w:adjustRightInd w:val="0"/>
                    <w:snapToGrid w:val="0"/>
                    <w:spacing w:line="276" w:lineRule="auto"/>
                    <w:ind w:firstLine="0" w:firstLineChars="0"/>
                  </w:pPr>
                  <w:r>
                    <w:t xml:space="preserve">泄压阀 </w:t>
                  </w:r>
                </w:p>
              </w:tc>
              <w:tc>
                <w:tcPr>
                  <w:tcW w:w="4675" w:type="dxa"/>
                  <w:noWrap w:val="0"/>
                  <w:vAlign w:val="center"/>
                </w:tcPr>
                <w:p w14:paraId="544C6F1E">
                  <w:pPr>
                    <w:kinsoku w:val="0"/>
                    <w:overflowPunct w:val="0"/>
                    <w:autoSpaceDE w:val="0"/>
                    <w:autoSpaceDN w:val="0"/>
                    <w:adjustRightInd w:val="0"/>
                    <w:snapToGrid w:val="0"/>
                    <w:spacing w:line="276" w:lineRule="auto"/>
                    <w:ind w:firstLine="0" w:firstLineChars="0"/>
                  </w:pPr>
                  <w:r>
                    <w:t>泄压阀排水试验</w:t>
                  </w:r>
                  <w:r>
                    <w:rPr>
                      <w:rFonts w:hint="eastAsia"/>
                    </w:rPr>
                    <w:t>，</w:t>
                  </w:r>
                  <w:r>
                    <w:t>每季度 1 次。</w:t>
                  </w:r>
                </w:p>
              </w:tc>
              <w:tc>
                <w:tcPr>
                  <w:tcW w:w="2908" w:type="dxa"/>
                  <w:noWrap w:val="0"/>
                  <w:vAlign w:val="center"/>
                </w:tcPr>
                <w:p w14:paraId="6ECAFE32">
                  <w:pPr>
                    <w:kinsoku w:val="0"/>
                    <w:overflowPunct w:val="0"/>
                    <w:autoSpaceDE w:val="0"/>
                    <w:autoSpaceDN w:val="0"/>
                    <w:adjustRightInd w:val="0"/>
                    <w:snapToGrid w:val="0"/>
                    <w:spacing w:line="276" w:lineRule="auto"/>
                    <w:ind w:firstLine="0" w:firstLineChars="0"/>
                  </w:pPr>
                  <w:r>
                    <w:t>超设定压力 0.5MPa 泄压,</w:t>
                  </w:r>
                </w:p>
                <w:p w14:paraId="2822BDB4">
                  <w:pPr>
                    <w:kinsoku w:val="0"/>
                    <w:overflowPunct w:val="0"/>
                    <w:autoSpaceDE w:val="0"/>
                    <w:autoSpaceDN w:val="0"/>
                    <w:adjustRightInd w:val="0"/>
                    <w:snapToGrid w:val="0"/>
                    <w:spacing w:line="276" w:lineRule="auto"/>
                    <w:ind w:firstLine="0" w:firstLineChars="0"/>
                  </w:pPr>
                  <w:r>
                    <w:t xml:space="preserve">到设定压力时可以停止泄压。 </w:t>
                  </w:r>
                </w:p>
              </w:tc>
            </w:tr>
            <w:tr w14:paraId="3133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2EE43E20">
                  <w:pPr>
                    <w:kinsoku w:val="0"/>
                    <w:overflowPunct w:val="0"/>
                    <w:autoSpaceDE w:val="0"/>
                    <w:autoSpaceDN w:val="0"/>
                    <w:adjustRightInd w:val="0"/>
                    <w:snapToGrid w:val="0"/>
                    <w:spacing w:line="276" w:lineRule="auto"/>
                    <w:ind w:firstLine="0" w:firstLineChars="0"/>
                  </w:pPr>
                  <w:r>
                    <w:t>消防水池</w:t>
                  </w:r>
                </w:p>
              </w:tc>
              <w:tc>
                <w:tcPr>
                  <w:tcW w:w="4675" w:type="dxa"/>
                  <w:noWrap w:val="0"/>
                  <w:vAlign w:val="center"/>
                </w:tcPr>
                <w:p w14:paraId="1661632F">
                  <w:pPr>
                    <w:kinsoku w:val="0"/>
                    <w:overflowPunct w:val="0"/>
                    <w:autoSpaceDE w:val="0"/>
                    <w:autoSpaceDN w:val="0"/>
                    <w:adjustRightInd w:val="0"/>
                    <w:snapToGrid w:val="0"/>
                    <w:spacing w:line="276" w:lineRule="auto"/>
                    <w:ind w:firstLine="0" w:firstLineChars="0"/>
                  </w:pPr>
                  <w:r>
                    <w:t xml:space="preserve">检查供水及水量是否正常。每月 1 次。 </w:t>
                  </w:r>
                </w:p>
              </w:tc>
              <w:tc>
                <w:tcPr>
                  <w:tcW w:w="2908" w:type="dxa"/>
                  <w:noWrap w:val="0"/>
                  <w:vAlign w:val="center"/>
                </w:tcPr>
                <w:p w14:paraId="73A35E63">
                  <w:pPr>
                    <w:pStyle w:val="25"/>
                    <w:spacing w:before="1"/>
                    <w:rPr>
                      <w:rFonts w:ascii="Times New Roman" w:hAnsi="Times New Roman" w:cs="Times New Roman"/>
                      <w:kern w:val="2"/>
                      <w:sz w:val="21"/>
                      <w:lang w:val="en-US" w:bidi="ar-SA"/>
                    </w:rPr>
                  </w:pPr>
                  <w:r>
                    <w:rPr>
                      <w:rFonts w:ascii="Times New Roman" w:hAnsi="Times New Roman" w:cs="Times New Roman"/>
                      <w:kern w:val="2"/>
                      <w:sz w:val="21"/>
                      <w:lang w:val="en-US" w:bidi="ar-SA"/>
                    </w:rPr>
                    <w:t>消防水池液位计信号工作</w:t>
                  </w:r>
                </w:p>
                <w:p w14:paraId="4D5A7315">
                  <w:pPr>
                    <w:kinsoku w:val="0"/>
                    <w:overflowPunct w:val="0"/>
                    <w:autoSpaceDE w:val="0"/>
                    <w:autoSpaceDN w:val="0"/>
                    <w:adjustRightInd w:val="0"/>
                    <w:snapToGrid w:val="0"/>
                    <w:spacing w:line="276" w:lineRule="auto"/>
                    <w:ind w:firstLine="0" w:firstLineChars="0"/>
                  </w:pPr>
                  <w:r>
                    <w:t xml:space="preserve">正常，无故障， </w:t>
                  </w:r>
                </w:p>
              </w:tc>
            </w:tr>
            <w:tr w14:paraId="7D2D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val="0"/>
                  <w:vAlign w:val="center"/>
                </w:tcPr>
                <w:p w14:paraId="2622B916">
                  <w:pPr>
                    <w:kinsoku w:val="0"/>
                    <w:overflowPunct w:val="0"/>
                    <w:autoSpaceDE w:val="0"/>
                    <w:autoSpaceDN w:val="0"/>
                    <w:adjustRightInd w:val="0"/>
                    <w:snapToGrid w:val="0"/>
                    <w:spacing w:line="276" w:lineRule="auto"/>
                    <w:ind w:firstLine="0" w:firstLineChars="0"/>
                  </w:pPr>
                  <w:r>
                    <w:t>记录</w:t>
                  </w:r>
                </w:p>
              </w:tc>
              <w:tc>
                <w:tcPr>
                  <w:tcW w:w="4675" w:type="dxa"/>
                  <w:noWrap w:val="0"/>
                  <w:vAlign w:val="center"/>
                </w:tcPr>
                <w:p w14:paraId="7588AD96">
                  <w:pPr>
                    <w:kinsoku w:val="0"/>
                    <w:overflowPunct w:val="0"/>
                    <w:autoSpaceDE w:val="0"/>
                    <w:autoSpaceDN w:val="0"/>
                    <w:adjustRightInd w:val="0"/>
                    <w:snapToGrid w:val="0"/>
                    <w:spacing w:line="276" w:lineRule="auto"/>
                    <w:ind w:firstLine="0" w:firstLineChars="0"/>
                  </w:pPr>
                  <w:r>
                    <w:t xml:space="preserve">对消防水系统有维修保养记录。 </w:t>
                  </w:r>
                </w:p>
              </w:tc>
              <w:tc>
                <w:tcPr>
                  <w:tcW w:w="2908" w:type="dxa"/>
                  <w:noWrap w:val="0"/>
                  <w:vAlign w:val="center"/>
                </w:tcPr>
                <w:p w14:paraId="663FB7C7">
                  <w:pPr>
                    <w:kinsoku w:val="0"/>
                    <w:overflowPunct w:val="0"/>
                    <w:autoSpaceDE w:val="0"/>
                    <w:autoSpaceDN w:val="0"/>
                    <w:adjustRightInd w:val="0"/>
                    <w:snapToGrid w:val="0"/>
                    <w:spacing w:line="276" w:lineRule="auto"/>
                    <w:ind w:firstLine="0" w:firstLineChars="0"/>
                  </w:pPr>
                  <w:r>
                    <w:t xml:space="preserve">记录及时、完整。 </w:t>
                  </w:r>
                </w:p>
              </w:tc>
            </w:tr>
          </w:tbl>
          <w:p w14:paraId="37007559">
            <w:pPr>
              <w:kinsoku w:val="0"/>
              <w:overflowPunct w:val="0"/>
              <w:autoSpaceDE w:val="0"/>
              <w:autoSpaceDN w:val="0"/>
              <w:adjustRightInd w:val="0"/>
              <w:snapToGrid w:val="0"/>
              <w:spacing w:line="276" w:lineRule="auto"/>
              <w:ind w:firstLine="560"/>
              <w:rPr>
                <w:rFonts w:ascii="宋体" w:hAnsi="宋体" w:cs="宋体"/>
                <w:bCs/>
                <w:sz w:val="28"/>
                <w:szCs w:val="28"/>
              </w:rPr>
            </w:pPr>
          </w:p>
          <w:p w14:paraId="335E4E47">
            <w:pPr>
              <w:spacing w:line="360" w:lineRule="auto"/>
              <w:ind w:firstLine="660" w:firstLineChars="275"/>
              <w:rPr>
                <w:rFonts w:ascii="宋体" w:hAnsi="宋体" w:cs="宋体"/>
                <w:sz w:val="24"/>
                <w:szCs w:val="24"/>
              </w:rPr>
            </w:pPr>
            <w:r>
              <w:rPr>
                <w:rFonts w:hint="eastAsia" w:ascii="宋体" w:hAnsi="宋体" w:cs="宋体"/>
                <w:sz w:val="24"/>
                <w:szCs w:val="24"/>
              </w:rPr>
              <w:t>4．防排烟系统</w:t>
            </w:r>
          </w:p>
          <w:tbl>
            <w:tblPr>
              <w:tblStyle w:val="18"/>
              <w:tblW w:w="96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1"/>
              <w:gridCol w:w="3603"/>
              <w:gridCol w:w="4413"/>
            </w:tblGrid>
            <w:tr w14:paraId="67789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62" w:type="pct"/>
                  <w:noWrap w:val="0"/>
                  <w:vAlign w:val="center"/>
                </w:tcPr>
                <w:p w14:paraId="4E5143FB">
                  <w:pPr>
                    <w:pStyle w:val="25"/>
                    <w:spacing w:before="3" w:line="250" w:lineRule="exact"/>
                    <w:jc w:val="center"/>
                    <w:rPr>
                      <w:b/>
                      <w:bCs/>
                      <w:sz w:val="21"/>
                    </w:rPr>
                  </w:pPr>
                  <w:r>
                    <w:rPr>
                      <w:b/>
                      <w:bCs/>
                      <w:sz w:val="21"/>
                    </w:rPr>
                    <w:t>项目</w:t>
                  </w:r>
                </w:p>
              </w:tc>
              <w:tc>
                <w:tcPr>
                  <w:tcW w:w="1859" w:type="pct"/>
                  <w:noWrap w:val="0"/>
                  <w:vAlign w:val="center"/>
                </w:tcPr>
                <w:p w14:paraId="5434490B">
                  <w:pPr>
                    <w:pStyle w:val="25"/>
                    <w:spacing w:before="3" w:line="250" w:lineRule="exact"/>
                    <w:jc w:val="center"/>
                    <w:rPr>
                      <w:b/>
                      <w:bCs/>
                      <w:sz w:val="21"/>
                    </w:rPr>
                  </w:pPr>
                  <w:r>
                    <w:rPr>
                      <w:b/>
                      <w:bCs/>
                      <w:sz w:val="21"/>
                    </w:rPr>
                    <w:t>维修保养检查内容及频次</w:t>
                  </w:r>
                </w:p>
              </w:tc>
              <w:tc>
                <w:tcPr>
                  <w:tcW w:w="2277" w:type="pct"/>
                  <w:noWrap w:val="0"/>
                  <w:vAlign w:val="center"/>
                </w:tcPr>
                <w:p w14:paraId="4207D05C">
                  <w:pPr>
                    <w:pStyle w:val="25"/>
                    <w:spacing w:before="3" w:line="250" w:lineRule="exact"/>
                    <w:ind w:left="114" w:firstLine="420"/>
                    <w:jc w:val="center"/>
                    <w:rPr>
                      <w:b/>
                      <w:bCs/>
                      <w:sz w:val="21"/>
                    </w:rPr>
                  </w:pPr>
                  <w:r>
                    <w:rPr>
                      <w:b/>
                      <w:bCs/>
                      <w:sz w:val="21"/>
                    </w:rPr>
                    <w:t>标准</w:t>
                  </w:r>
                </w:p>
              </w:tc>
            </w:tr>
            <w:tr w14:paraId="13D36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862" w:type="pct"/>
                  <w:noWrap w:val="0"/>
                  <w:vAlign w:val="center"/>
                </w:tcPr>
                <w:p w14:paraId="190863A5">
                  <w:pPr>
                    <w:pStyle w:val="25"/>
                    <w:spacing w:line="321" w:lineRule="auto"/>
                    <w:ind w:left="105" w:leftChars="50" w:right="105" w:rightChars="50"/>
                    <w:jc w:val="center"/>
                    <w:rPr>
                      <w:sz w:val="21"/>
                    </w:rPr>
                  </w:pPr>
                  <w:r>
                    <w:rPr>
                      <w:sz w:val="21"/>
                    </w:rPr>
                    <w:t>送风机、排烟机</w:t>
                  </w:r>
                </w:p>
              </w:tc>
              <w:tc>
                <w:tcPr>
                  <w:tcW w:w="1859" w:type="pct"/>
                  <w:noWrap w:val="0"/>
                  <w:vAlign w:val="center"/>
                </w:tcPr>
                <w:p w14:paraId="23A0EC16">
                  <w:pPr>
                    <w:pStyle w:val="25"/>
                    <w:spacing w:line="242" w:lineRule="auto"/>
                    <w:ind w:left="105" w:leftChars="50" w:right="105" w:rightChars="50"/>
                    <w:rPr>
                      <w:sz w:val="21"/>
                    </w:rPr>
                  </w:pPr>
                  <w:r>
                    <w:rPr>
                      <w:spacing w:val="-3"/>
                      <w:sz w:val="21"/>
                    </w:rPr>
                    <w:t xml:space="preserve">检查风机外观，添加润滑油；检查控制功 </w:t>
                  </w:r>
                  <w:r>
                    <w:rPr>
                      <w:spacing w:val="-4"/>
                      <w:sz w:val="21"/>
                    </w:rPr>
                    <w:t>能：自动启动、远程启动、现场启动功能； 风机电流检测；信号反馈；检查接地线有无</w:t>
                  </w:r>
                  <w:r>
                    <w:rPr>
                      <w:spacing w:val="-3"/>
                      <w:sz w:val="21"/>
                    </w:rPr>
                    <w:t xml:space="preserve">松动、锈蚀；检查传动皮带；送排风机叶 </w:t>
                  </w:r>
                  <w:r>
                    <w:rPr>
                      <w:spacing w:val="-12"/>
                      <w:sz w:val="21"/>
                    </w:rPr>
                    <w:t xml:space="preserve">轮；每季度 </w:t>
                  </w:r>
                  <w:r>
                    <w:rPr>
                      <w:sz w:val="21"/>
                    </w:rPr>
                    <w:t>1</w:t>
                  </w:r>
                  <w:r>
                    <w:rPr>
                      <w:spacing w:val="-20"/>
                      <w:sz w:val="21"/>
                    </w:rPr>
                    <w:t xml:space="preserve"> 次。</w:t>
                  </w:r>
                  <w:r>
                    <w:rPr>
                      <w:sz w:val="21"/>
                    </w:rPr>
                    <w:t xml:space="preserve"> </w:t>
                  </w:r>
                </w:p>
              </w:tc>
              <w:tc>
                <w:tcPr>
                  <w:tcW w:w="2277" w:type="pct"/>
                  <w:noWrap w:val="0"/>
                  <w:vAlign w:val="center"/>
                </w:tcPr>
                <w:p w14:paraId="3AC5BFD6">
                  <w:pPr>
                    <w:pStyle w:val="25"/>
                    <w:spacing w:before="3" w:line="242" w:lineRule="auto"/>
                    <w:ind w:left="105" w:leftChars="50" w:right="105" w:rightChars="50"/>
                    <w:rPr>
                      <w:sz w:val="21"/>
                    </w:rPr>
                  </w:pPr>
                  <w:r>
                    <w:rPr>
                      <w:spacing w:val="-3"/>
                      <w:sz w:val="21"/>
                    </w:rPr>
                    <w:t>轴承润滑正常、运行应无噪声，风扇运转应正常、无擦边现现象，电动机试</w:t>
                  </w:r>
                  <w:r>
                    <w:rPr>
                      <w:spacing w:val="-19"/>
                      <w:sz w:val="21"/>
                    </w:rPr>
                    <w:t xml:space="preserve">运行 </w:t>
                  </w:r>
                  <w:r>
                    <w:rPr>
                      <w:sz w:val="21"/>
                    </w:rPr>
                    <w:t>30</w:t>
                  </w:r>
                  <w:r>
                    <w:rPr>
                      <w:spacing w:val="-11"/>
                      <w:sz w:val="21"/>
                    </w:rPr>
                    <w:t xml:space="preserve"> 分钟，温升应在正</w:t>
                  </w:r>
                  <w:r>
                    <w:rPr>
                      <w:spacing w:val="-3"/>
                      <w:sz w:val="21"/>
                    </w:rPr>
                    <w:t>常范围内，清理电机表面灰尘。工作正常，无故障；皮带松紧度合适，无打滑现象，对磨损严重已不符合使用的应及时更换；风机叶轮应无擦边，</w:t>
                  </w:r>
                  <w:r>
                    <w:rPr>
                      <w:sz w:val="21"/>
                    </w:rPr>
                    <w:t xml:space="preserve">无噪音，无灰垢现象。 </w:t>
                  </w:r>
                </w:p>
              </w:tc>
            </w:tr>
            <w:tr w14:paraId="567AB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862" w:type="pct"/>
                  <w:noWrap w:val="0"/>
                  <w:vAlign w:val="center"/>
                </w:tcPr>
                <w:p w14:paraId="0A3E38F4">
                  <w:pPr>
                    <w:pStyle w:val="25"/>
                    <w:spacing w:before="143" w:line="321" w:lineRule="auto"/>
                    <w:ind w:left="105" w:leftChars="50" w:right="105" w:rightChars="50"/>
                    <w:jc w:val="center"/>
                    <w:rPr>
                      <w:sz w:val="21"/>
                    </w:rPr>
                  </w:pPr>
                  <w:r>
                    <w:rPr>
                      <w:sz w:val="21"/>
                    </w:rPr>
                    <w:t>多线盘手动控制柜</w:t>
                  </w:r>
                </w:p>
              </w:tc>
              <w:tc>
                <w:tcPr>
                  <w:tcW w:w="1859" w:type="pct"/>
                  <w:noWrap w:val="0"/>
                  <w:vAlign w:val="center"/>
                </w:tcPr>
                <w:p w14:paraId="1DE1863F">
                  <w:pPr>
                    <w:pStyle w:val="25"/>
                    <w:spacing w:before="1" w:line="242" w:lineRule="auto"/>
                    <w:ind w:left="105" w:leftChars="50" w:right="105" w:rightChars="50"/>
                    <w:jc w:val="both"/>
                    <w:rPr>
                      <w:sz w:val="21"/>
                    </w:rPr>
                  </w:pPr>
                  <w:r>
                    <w:rPr>
                      <w:sz w:val="21"/>
                    </w:rPr>
                    <w:t>对多线盘手动控制柜清洁除尘、紧固所有接线端，更换生锈螺丝，对多柜所控设备进行手动启动测试。</w:t>
                  </w:r>
                </w:p>
                <w:p w14:paraId="76808CA7">
                  <w:pPr>
                    <w:pStyle w:val="25"/>
                    <w:ind w:left="105" w:leftChars="50" w:right="105" w:rightChars="50"/>
                    <w:jc w:val="both"/>
                    <w:rPr>
                      <w:sz w:val="21"/>
                    </w:rPr>
                  </w:pPr>
                  <w:r>
                    <w:rPr>
                      <w:sz w:val="21"/>
                    </w:rPr>
                    <w:t>24V 电源检测，线路回路电阻和对地电阻测试</w:t>
                  </w:r>
                  <w:r>
                    <w:rPr>
                      <w:rFonts w:hint="eastAsia"/>
                      <w:sz w:val="21"/>
                    </w:rPr>
                    <w:t>，</w:t>
                  </w:r>
                  <w:r>
                    <w:rPr>
                      <w:sz w:val="21"/>
                    </w:rPr>
                    <w:t xml:space="preserve">每月 1 次 </w:t>
                  </w:r>
                  <w:r>
                    <w:rPr>
                      <w:rFonts w:hint="eastAsia"/>
                      <w:sz w:val="21"/>
                    </w:rPr>
                    <w:t>。</w:t>
                  </w:r>
                </w:p>
              </w:tc>
              <w:tc>
                <w:tcPr>
                  <w:tcW w:w="2277" w:type="pct"/>
                  <w:noWrap w:val="0"/>
                  <w:vAlign w:val="center"/>
                </w:tcPr>
                <w:p w14:paraId="266A6746">
                  <w:pPr>
                    <w:pStyle w:val="25"/>
                    <w:spacing w:before="137" w:line="242" w:lineRule="auto"/>
                    <w:ind w:left="105" w:leftChars="50" w:right="105" w:rightChars="50"/>
                    <w:rPr>
                      <w:sz w:val="21"/>
                    </w:rPr>
                  </w:pPr>
                  <w:r>
                    <w:rPr>
                      <w:spacing w:val="-5"/>
                      <w:sz w:val="21"/>
                    </w:rPr>
                    <w:t>多线盘手动控制柜运行正</w:t>
                  </w:r>
                  <w:r>
                    <w:rPr>
                      <w:spacing w:val="-3"/>
                      <w:sz w:val="21"/>
                    </w:rPr>
                    <w:t>常，连线牢固、应答正</w:t>
                  </w:r>
                  <w:r>
                    <w:rPr>
                      <w:spacing w:val="-5"/>
                      <w:sz w:val="21"/>
                    </w:rPr>
                    <w:t>确，能直接启动风机、水</w:t>
                  </w:r>
                  <w:r>
                    <w:rPr>
                      <w:spacing w:val="-1"/>
                      <w:sz w:val="21"/>
                    </w:rPr>
                    <w:t>泵等。</w:t>
                  </w:r>
                  <w:r>
                    <w:rPr>
                      <w:sz w:val="21"/>
                    </w:rPr>
                    <w:t xml:space="preserve"> </w:t>
                  </w:r>
                </w:p>
              </w:tc>
            </w:tr>
            <w:tr w14:paraId="3D5DD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6" w:hRule="atLeast"/>
              </w:trPr>
              <w:tc>
                <w:tcPr>
                  <w:tcW w:w="862" w:type="pct"/>
                  <w:noWrap w:val="0"/>
                  <w:vAlign w:val="center"/>
                </w:tcPr>
                <w:p w14:paraId="35ABE7EF">
                  <w:pPr>
                    <w:pStyle w:val="25"/>
                    <w:spacing w:line="321" w:lineRule="auto"/>
                    <w:ind w:left="105" w:leftChars="50" w:right="105" w:rightChars="50"/>
                    <w:jc w:val="center"/>
                    <w:rPr>
                      <w:sz w:val="21"/>
                    </w:rPr>
                  </w:pPr>
                  <w:r>
                    <w:rPr>
                      <w:spacing w:val="-1"/>
                      <w:sz w:val="21"/>
                    </w:rPr>
                    <w:t xml:space="preserve">风机电流检  </w:t>
                  </w:r>
                  <w:r>
                    <w:rPr>
                      <w:spacing w:val="-3"/>
                      <w:sz w:val="21"/>
                    </w:rPr>
                    <w:t>测；电机及电源线绝缘性能</w:t>
                  </w:r>
                </w:p>
              </w:tc>
              <w:tc>
                <w:tcPr>
                  <w:tcW w:w="1859" w:type="pct"/>
                  <w:noWrap w:val="0"/>
                  <w:vAlign w:val="center"/>
                </w:tcPr>
                <w:p w14:paraId="11437ECE">
                  <w:pPr>
                    <w:pStyle w:val="25"/>
                    <w:spacing w:before="1" w:line="242" w:lineRule="auto"/>
                    <w:ind w:left="105" w:leftChars="50" w:right="105" w:rightChars="50"/>
                    <w:rPr>
                      <w:sz w:val="21"/>
                    </w:rPr>
                  </w:pPr>
                  <w:r>
                    <w:rPr>
                      <w:sz w:val="21"/>
                    </w:rPr>
                    <w:t>风机电流检测。检验电机及电源线绝缘性能</w:t>
                  </w:r>
                  <w:r>
                    <w:rPr>
                      <w:rFonts w:hint="eastAsia"/>
                      <w:sz w:val="21"/>
                    </w:rPr>
                    <w:t>，</w:t>
                  </w:r>
                  <w:r>
                    <w:rPr>
                      <w:sz w:val="21"/>
                    </w:rPr>
                    <w:t xml:space="preserve">每季度 1 次。 </w:t>
                  </w:r>
                </w:p>
              </w:tc>
              <w:tc>
                <w:tcPr>
                  <w:tcW w:w="2277" w:type="pct"/>
                  <w:noWrap w:val="0"/>
                  <w:vAlign w:val="center"/>
                </w:tcPr>
                <w:p w14:paraId="7D3BF96E">
                  <w:pPr>
                    <w:pStyle w:val="25"/>
                    <w:spacing w:before="3" w:line="242" w:lineRule="auto"/>
                    <w:ind w:left="105" w:leftChars="50" w:right="105" w:rightChars="50"/>
                    <w:rPr>
                      <w:sz w:val="21"/>
                    </w:rPr>
                  </w:pPr>
                  <w:r>
                    <w:rPr>
                      <w:spacing w:val="-3"/>
                      <w:sz w:val="21"/>
                    </w:rPr>
                    <w:t xml:space="preserve">三相电流平衡，数值稳 </w:t>
                  </w:r>
                  <w:r>
                    <w:rPr>
                      <w:spacing w:val="-5"/>
                      <w:sz w:val="21"/>
                    </w:rPr>
                    <w:t>定，无摆动，运行无异常噪声；电机绝缘值不可小</w:t>
                  </w:r>
                  <w:r>
                    <w:rPr>
                      <w:spacing w:val="-24"/>
                      <w:sz w:val="21"/>
                    </w:rPr>
                    <w:t xml:space="preserve">于 </w:t>
                  </w:r>
                  <w:r>
                    <w:rPr>
                      <w:sz w:val="21"/>
                    </w:rPr>
                    <w:t>0.5</w:t>
                  </w:r>
                  <w:r>
                    <w:rPr>
                      <w:spacing w:val="-9"/>
                      <w:sz w:val="21"/>
                    </w:rPr>
                    <w:t xml:space="preserve"> 兆欧，电动机二次</w:t>
                  </w:r>
                  <w:r>
                    <w:rPr>
                      <w:sz w:val="21"/>
                    </w:rPr>
                    <w:t xml:space="preserve">回路绝缘电阻不应小于1兆欧。 </w:t>
                  </w:r>
                </w:p>
              </w:tc>
            </w:tr>
            <w:tr w14:paraId="58A94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862" w:type="pct"/>
                  <w:noWrap w:val="0"/>
                  <w:vAlign w:val="center"/>
                </w:tcPr>
                <w:p w14:paraId="187B205A">
                  <w:pPr>
                    <w:pStyle w:val="25"/>
                    <w:spacing w:before="54" w:line="360" w:lineRule="atLeast"/>
                    <w:ind w:left="105" w:leftChars="50" w:right="105" w:rightChars="50"/>
                    <w:jc w:val="center"/>
                    <w:rPr>
                      <w:sz w:val="21"/>
                    </w:rPr>
                  </w:pPr>
                  <w:r>
                    <w:rPr>
                      <w:sz w:val="21"/>
                    </w:rPr>
                    <w:t>电机及风机轴承</w:t>
                  </w:r>
                </w:p>
              </w:tc>
              <w:tc>
                <w:tcPr>
                  <w:tcW w:w="1859" w:type="pct"/>
                  <w:noWrap w:val="0"/>
                  <w:vAlign w:val="center"/>
                </w:tcPr>
                <w:p w14:paraId="5D8EF8C3">
                  <w:pPr>
                    <w:pStyle w:val="25"/>
                    <w:spacing w:before="20" w:line="242" w:lineRule="auto"/>
                    <w:ind w:left="105" w:leftChars="50" w:right="105" w:rightChars="50"/>
                    <w:rPr>
                      <w:sz w:val="21"/>
                    </w:rPr>
                  </w:pPr>
                  <w:r>
                    <w:rPr>
                      <w:sz w:val="21"/>
                    </w:rPr>
                    <w:t>检查电动机轴承、电动机散热风扇，轴承固定螺丝有无松动，给轴承添加相应标准润滑脂，各紧固螺丝加油防锈</w:t>
                  </w:r>
                  <w:r>
                    <w:rPr>
                      <w:rFonts w:hint="eastAsia"/>
                      <w:sz w:val="21"/>
                    </w:rPr>
                    <w:t>，</w:t>
                  </w:r>
                  <w:r>
                    <w:rPr>
                      <w:sz w:val="21"/>
                    </w:rPr>
                    <w:t xml:space="preserve">每季度 1 次。 </w:t>
                  </w:r>
                </w:p>
              </w:tc>
              <w:tc>
                <w:tcPr>
                  <w:tcW w:w="2277" w:type="pct"/>
                  <w:noWrap w:val="0"/>
                  <w:vAlign w:val="center"/>
                </w:tcPr>
                <w:p w14:paraId="5FC76636">
                  <w:pPr>
                    <w:pStyle w:val="25"/>
                    <w:spacing w:before="154" w:line="244" w:lineRule="auto"/>
                    <w:ind w:left="105" w:leftChars="50" w:right="105" w:rightChars="50"/>
                    <w:rPr>
                      <w:sz w:val="21"/>
                    </w:rPr>
                  </w:pPr>
                  <w:r>
                    <w:rPr>
                      <w:sz w:val="21"/>
                    </w:rPr>
                    <w:t xml:space="preserve">轴承应无异常噪音，轴承固定螺丝应无松动。 </w:t>
                  </w:r>
                </w:p>
              </w:tc>
            </w:tr>
            <w:tr w14:paraId="453CA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862" w:type="pct"/>
                  <w:noWrap w:val="0"/>
                  <w:vAlign w:val="center"/>
                </w:tcPr>
                <w:p w14:paraId="4D3BBB1C">
                  <w:pPr>
                    <w:pStyle w:val="25"/>
                    <w:spacing w:before="4" w:line="360" w:lineRule="exact"/>
                    <w:ind w:left="105" w:leftChars="50" w:right="105" w:rightChars="50"/>
                    <w:jc w:val="center"/>
                    <w:rPr>
                      <w:sz w:val="21"/>
                    </w:rPr>
                  </w:pPr>
                  <w:r>
                    <w:rPr>
                      <w:sz w:val="21"/>
                    </w:rPr>
                    <w:t>送排风机进出风管电动阀或手动阀</w:t>
                  </w:r>
                </w:p>
              </w:tc>
              <w:tc>
                <w:tcPr>
                  <w:tcW w:w="1859" w:type="pct"/>
                  <w:noWrap w:val="0"/>
                  <w:vAlign w:val="center"/>
                </w:tcPr>
                <w:p w14:paraId="080CA555">
                  <w:pPr>
                    <w:pStyle w:val="25"/>
                    <w:spacing w:before="137" w:line="242" w:lineRule="auto"/>
                    <w:ind w:left="105" w:leftChars="50" w:right="105" w:rightChars="50"/>
                    <w:jc w:val="both"/>
                    <w:rPr>
                      <w:sz w:val="21"/>
                    </w:rPr>
                  </w:pPr>
                  <w:r>
                    <w:rPr>
                      <w:sz w:val="21"/>
                    </w:rPr>
                    <w:t>检查电动风阀控制电路，自动启动、远程启动、现场启动、手动复位功能，风阀机构清洁，加油润滑</w:t>
                  </w:r>
                  <w:r>
                    <w:rPr>
                      <w:rFonts w:hint="eastAsia"/>
                      <w:sz w:val="21"/>
                    </w:rPr>
                    <w:t>，</w:t>
                  </w:r>
                  <w:r>
                    <w:rPr>
                      <w:sz w:val="21"/>
                    </w:rPr>
                    <w:t xml:space="preserve">每季度 1 次。 </w:t>
                  </w:r>
                </w:p>
              </w:tc>
              <w:tc>
                <w:tcPr>
                  <w:tcW w:w="2277" w:type="pct"/>
                  <w:noWrap w:val="0"/>
                  <w:vAlign w:val="center"/>
                </w:tcPr>
                <w:p w14:paraId="46302ABD">
                  <w:pPr>
                    <w:pStyle w:val="25"/>
                    <w:spacing w:before="1" w:line="242" w:lineRule="auto"/>
                    <w:ind w:left="105" w:leftChars="50" w:right="105" w:rightChars="50"/>
                    <w:jc w:val="both"/>
                    <w:rPr>
                      <w:sz w:val="21"/>
                    </w:rPr>
                  </w:pPr>
                  <w:r>
                    <w:rPr>
                      <w:sz w:val="21"/>
                    </w:rPr>
                    <w:t xml:space="preserve">开与关应灵活可靠，无阻滞现象；传动机构运转正常、转动部位添加润滑脂；工作正常，无故障。 </w:t>
                  </w:r>
                </w:p>
              </w:tc>
            </w:tr>
            <w:tr w14:paraId="59C86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62" w:type="pct"/>
                  <w:noWrap w:val="0"/>
                  <w:vAlign w:val="center"/>
                </w:tcPr>
                <w:p w14:paraId="434E764A">
                  <w:pPr>
                    <w:pStyle w:val="25"/>
                    <w:spacing w:before="77" w:line="321" w:lineRule="auto"/>
                    <w:ind w:left="105" w:leftChars="50" w:right="105" w:rightChars="50"/>
                    <w:jc w:val="center"/>
                    <w:rPr>
                      <w:sz w:val="21"/>
                    </w:rPr>
                  </w:pPr>
                  <w:r>
                    <w:rPr>
                      <w:sz w:val="21"/>
                    </w:rPr>
                    <w:t>送、排风管防火阀、手动复位开关，风管</w:t>
                  </w:r>
                </w:p>
                <w:p w14:paraId="07D4F163">
                  <w:pPr>
                    <w:pStyle w:val="25"/>
                    <w:spacing w:line="261" w:lineRule="exact"/>
                    <w:ind w:left="105" w:leftChars="50" w:right="105" w:rightChars="50"/>
                    <w:jc w:val="center"/>
                    <w:rPr>
                      <w:sz w:val="21"/>
                    </w:rPr>
                  </w:pPr>
                  <w:r>
                    <w:rPr>
                      <w:sz w:val="21"/>
                    </w:rPr>
                    <w:t>风口百叶</w:t>
                  </w:r>
                </w:p>
              </w:tc>
              <w:tc>
                <w:tcPr>
                  <w:tcW w:w="1859" w:type="pct"/>
                  <w:noWrap w:val="0"/>
                  <w:vAlign w:val="center"/>
                </w:tcPr>
                <w:p w14:paraId="3FC23397">
                  <w:pPr>
                    <w:pStyle w:val="25"/>
                    <w:spacing w:line="242" w:lineRule="auto"/>
                    <w:ind w:left="105" w:leftChars="50" w:right="105" w:rightChars="50"/>
                    <w:rPr>
                      <w:sz w:val="21"/>
                    </w:rPr>
                  </w:pPr>
                  <w:r>
                    <w:rPr>
                      <w:sz w:val="21"/>
                    </w:rPr>
                    <w:t>检查各送排风管排烟阀、送风阀手动复位开关，风管风口百叶等</w:t>
                  </w:r>
                  <w:r>
                    <w:rPr>
                      <w:rFonts w:hint="eastAsia"/>
                      <w:sz w:val="21"/>
                    </w:rPr>
                    <w:t>，</w:t>
                  </w:r>
                  <w:r>
                    <w:rPr>
                      <w:sz w:val="21"/>
                    </w:rPr>
                    <w:t>每季度 1 次。</w:t>
                  </w:r>
                </w:p>
              </w:tc>
              <w:tc>
                <w:tcPr>
                  <w:tcW w:w="2277" w:type="pct"/>
                  <w:noWrap w:val="0"/>
                  <w:vAlign w:val="center"/>
                </w:tcPr>
                <w:p w14:paraId="5897042C">
                  <w:pPr>
                    <w:pStyle w:val="25"/>
                    <w:spacing w:before="41" w:line="242" w:lineRule="auto"/>
                    <w:ind w:left="105" w:leftChars="50" w:right="105" w:rightChars="50"/>
                    <w:jc w:val="both"/>
                    <w:rPr>
                      <w:sz w:val="21"/>
                    </w:rPr>
                  </w:pPr>
                  <w:r>
                    <w:rPr>
                      <w:sz w:val="21"/>
                    </w:rPr>
                    <w:t xml:space="preserve">风阀开关位置正确（状态应处于正常状态），动作灵活、可靠，转动部位添加润滑油；风口百叶无缺片或损坏。 </w:t>
                  </w:r>
                </w:p>
              </w:tc>
            </w:tr>
            <w:tr w14:paraId="2A7AF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862" w:type="pct"/>
                  <w:noWrap w:val="0"/>
                  <w:vAlign w:val="center"/>
                </w:tcPr>
                <w:p w14:paraId="28A0DD33">
                  <w:pPr>
                    <w:pStyle w:val="25"/>
                    <w:spacing w:before="2" w:line="360" w:lineRule="exact"/>
                    <w:ind w:left="105" w:leftChars="50" w:right="105" w:rightChars="50"/>
                    <w:jc w:val="center"/>
                    <w:rPr>
                      <w:sz w:val="21"/>
                    </w:rPr>
                  </w:pPr>
                  <w:r>
                    <w:rPr>
                      <w:spacing w:val="-2"/>
                      <w:sz w:val="21"/>
                    </w:rPr>
                    <w:t>风机的支承机</w:t>
                  </w:r>
                  <w:r>
                    <w:rPr>
                      <w:spacing w:val="-3"/>
                      <w:sz w:val="21"/>
                    </w:rPr>
                    <w:t>座、防震弹簧</w:t>
                  </w:r>
                </w:p>
              </w:tc>
              <w:tc>
                <w:tcPr>
                  <w:tcW w:w="1859" w:type="pct"/>
                  <w:noWrap w:val="0"/>
                  <w:vAlign w:val="center"/>
                </w:tcPr>
                <w:p w14:paraId="2618409D">
                  <w:pPr>
                    <w:pStyle w:val="25"/>
                    <w:spacing w:before="89" w:line="244" w:lineRule="auto"/>
                    <w:ind w:left="105" w:leftChars="50" w:right="105" w:rightChars="50"/>
                    <w:rPr>
                      <w:sz w:val="21"/>
                    </w:rPr>
                  </w:pPr>
                  <w:r>
                    <w:rPr>
                      <w:sz w:val="21"/>
                    </w:rPr>
                    <w:t>检查风机的支承机座、防震弹簧</w:t>
                  </w:r>
                  <w:r>
                    <w:rPr>
                      <w:rFonts w:hint="eastAsia"/>
                      <w:sz w:val="21"/>
                    </w:rPr>
                    <w:t>，</w:t>
                  </w:r>
                  <w:r>
                    <w:rPr>
                      <w:sz w:val="21"/>
                    </w:rPr>
                    <w:t>每季度1次。</w:t>
                  </w:r>
                </w:p>
              </w:tc>
              <w:tc>
                <w:tcPr>
                  <w:tcW w:w="2277" w:type="pct"/>
                  <w:noWrap w:val="0"/>
                  <w:vAlign w:val="center"/>
                </w:tcPr>
                <w:p w14:paraId="68CC1983">
                  <w:pPr>
                    <w:pStyle w:val="25"/>
                    <w:ind w:left="105" w:leftChars="50" w:right="105" w:rightChars="50"/>
                    <w:rPr>
                      <w:sz w:val="21"/>
                    </w:rPr>
                  </w:pPr>
                  <w:r>
                    <w:rPr>
                      <w:sz w:val="21"/>
                    </w:rPr>
                    <w:t xml:space="preserve">无锈蚀现象，功能良好。 </w:t>
                  </w:r>
                </w:p>
              </w:tc>
            </w:tr>
            <w:tr w14:paraId="58B59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62" w:type="pct"/>
                  <w:noWrap w:val="0"/>
                  <w:vAlign w:val="center"/>
                </w:tcPr>
                <w:p w14:paraId="7F5CE579">
                  <w:pPr>
                    <w:pStyle w:val="25"/>
                    <w:spacing w:before="168"/>
                    <w:ind w:left="105" w:leftChars="50" w:right="105" w:rightChars="50"/>
                    <w:jc w:val="center"/>
                    <w:rPr>
                      <w:sz w:val="21"/>
                    </w:rPr>
                  </w:pPr>
                  <w:r>
                    <w:rPr>
                      <w:sz w:val="21"/>
                    </w:rPr>
                    <w:t>风管软接头</w:t>
                  </w:r>
                </w:p>
              </w:tc>
              <w:tc>
                <w:tcPr>
                  <w:tcW w:w="1859" w:type="pct"/>
                  <w:noWrap w:val="0"/>
                  <w:vAlign w:val="center"/>
                </w:tcPr>
                <w:p w14:paraId="6559E3E0">
                  <w:pPr>
                    <w:pStyle w:val="25"/>
                    <w:spacing w:before="137"/>
                    <w:ind w:left="105" w:leftChars="50" w:right="105" w:rightChars="50"/>
                    <w:rPr>
                      <w:sz w:val="21"/>
                    </w:rPr>
                  </w:pPr>
                  <w:r>
                    <w:rPr>
                      <w:sz w:val="21"/>
                    </w:rPr>
                    <w:t>检查风管软接头</w:t>
                  </w:r>
                  <w:r>
                    <w:rPr>
                      <w:rFonts w:hint="eastAsia"/>
                      <w:sz w:val="21"/>
                    </w:rPr>
                    <w:t>，</w:t>
                  </w:r>
                  <w:r>
                    <w:rPr>
                      <w:sz w:val="21"/>
                    </w:rPr>
                    <w:t>每季度1次。</w:t>
                  </w:r>
                </w:p>
              </w:tc>
              <w:tc>
                <w:tcPr>
                  <w:tcW w:w="2277" w:type="pct"/>
                  <w:noWrap w:val="0"/>
                  <w:vAlign w:val="center"/>
                </w:tcPr>
                <w:p w14:paraId="1D1343FA">
                  <w:pPr>
                    <w:pStyle w:val="25"/>
                    <w:ind w:left="105" w:leftChars="50" w:right="105" w:rightChars="50"/>
                    <w:rPr>
                      <w:sz w:val="21"/>
                    </w:rPr>
                  </w:pPr>
                  <w:r>
                    <w:rPr>
                      <w:sz w:val="21"/>
                    </w:rPr>
                    <w:t xml:space="preserve">应无破损，螺丝应紧固、无松动现象。 </w:t>
                  </w:r>
                </w:p>
              </w:tc>
            </w:tr>
            <w:tr w14:paraId="2205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862" w:type="pct"/>
                  <w:noWrap w:val="0"/>
                  <w:vAlign w:val="center"/>
                </w:tcPr>
                <w:p w14:paraId="31CC07E5">
                  <w:pPr>
                    <w:pStyle w:val="25"/>
                    <w:spacing w:before="77" w:line="321" w:lineRule="auto"/>
                    <w:ind w:left="105" w:leftChars="50" w:right="105" w:rightChars="50"/>
                    <w:jc w:val="center"/>
                    <w:rPr>
                      <w:sz w:val="21"/>
                    </w:rPr>
                  </w:pPr>
                  <w:r>
                    <w:rPr>
                      <w:sz w:val="21"/>
                    </w:rPr>
                    <w:t>风管各接合面间的垫片和填</w:t>
                  </w:r>
                </w:p>
                <w:p w14:paraId="3A8623F6">
                  <w:pPr>
                    <w:pStyle w:val="25"/>
                    <w:spacing w:line="263" w:lineRule="exact"/>
                    <w:ind w:left="105" w:leftChars="50" w:right="105" w:rightChars="50"/>
                    <w:jc w:val="center"/>
                    <w:rPr>
                      <w:sz w:val="21"/>
                    </w:rPr>
                  </w:pPr>
                  <w:r>
                    <w:rPr>
                      <w:sz w:val="21"/>
                    </w:rPr>
                    <w:t>料。</w:t>
                  </w:r>
                </w:p>
              </w:tc>
              <w:tc>
                <w:tcPr>
                  <w:tcW w:w="1859" w:type="pct"/>
                  <w:noWrap w:val="0"/>
                  <w:vAlign w:val="center"/>
                </w:tcPr>
                <w:p w14:paraId="35C75617">
                  <w:pPr>
                    <w:pStyle w:val="25"/>
                    <w:ind w:left="105" w:leftChars="50" w:right="105" w:rightChars="50"/>
                    <w:rPr>
                      <w:sz w:val="21"/>
                    </w:rPr>
                  </w:pPr>
                  <w:r>
                    <w:rPr>
                      <w:sz w:val="21"/>
                    </w:rPr>
                    <w:t>检查风管各接合面间的垫片和填料</w:t>
                  </w:r>
                  <w:r>
                    <w:rPr>
                      <w:rFonts w:hint="eastAsia"/>
                      <w:sz w:val="21"/>
                    </w:rPr>
                    <w:t>，</w:t>
                  </w:r>
                  <w:r>
                    <w:rPr>
                      <w:sz w:val="21"/>
                    </w:rPr>
                    <w:t xml:space="preserve">每季度1 次。 </w:t>
                  </w:r>
                </w:p>
              </w:tc>
              <w:tc>
                <w:tcPr>
                  <w:tcW w:w="2277" w:type="pct"/>
                  <w:noWrap w:val="0"/>
                  <w:vAlign w:val="center"/>
                </w:tcPr>
                <w:p w14:paraId="43C986A8">
                  <w:pPr>
                    <w:pStyle w:val="25"/>
                    <w:spacing w:before="133" w:line="242" w:lineRule="auto"/>
                    <w:ind w:left="105" w:leftChars="50" w:right="105" w:rightChars="50"/>
                    <w:jc w:val="both"/>
                    <w:rPr>
                      <w:sz w:val="21"/>
                    </w:rPr>
                  </w:pPr>
                  <w:r>
                    <w:rPr>
                      <w:sz w:val="21"/>
                    </w:rPr>
                    <w:t xml:space="preserve">风管与风管、风机进出口连接接合面应牢固无漏风现象。 </w:t>
                  </w:r>
                </w:p>
              </w:tc>
            </w:tr>
          </w:tbl>
          <w:p w14:paraId="31C18219">
            <w:pPr>
              <w:kinsoku w:val="0"/>
              <w:overflowPunct w:val="0"/>
              <w:autoSpaceDE w:val="0"/>
              <w:autoSpaceDN w:val="0"/>
              <w:adjustRightInd w:val="0"/>
              <w:snapToGrid w:val="0"/>
              <w:spacing w:line="276" w:lineRule="auto"/>
              <w:ind w:firstLine="560"/>
              <w:rPr>
                <w:rFonts w:ascii="宋体" w:hAnsi="宋体" w:cs="宋体"/>
                <w:bCs/>
                <w:sz w:val="28"/>
                <w:szCs w:val="28"/>
              </w:rPr>
            </w:pPr>
          </w:p>
          <w:p w14:paraId="26E8CF39">
            <w:pPr>
              <w:spacing w:line="360" w:lineRule="auto"/>
              <w:ind w:firstLine="660" w:firstLineChars="275"/>
              <w:rPr>
                <w:rFonts w:ascii="宋体" w:hAnsi="宋体" w:cs="宋体"/>
                <w:sz w:val="24"/>
                <w:szCs w:val="24"/>
              </w:rPr>
            </w:pPr>
            <w:r>
              <w:rPr>
                <w:rFonts w:hint="eastAsia" w:ascii="宋体" w:hAnsi="宋体" w:cs="宋体"/>
                <w:sz w:val="24"/>
                <w:szCs w:val="24"/>
              </w:rPr>
              <w:t>（5）防火卷帘系统</w:t>
            </w:r>
          </w:p>
          <w:tbl>
            <w:tblPr>
              <w:tblStyle w:val="18"/>
              <w:tblW w:w="5143" w:type="pct"/>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5555"/>
              <w:gridCol w:w="3289"/>
            </w:tblGrid>
            <w:tr w14:paraId="0BC34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43" w:type="pct"/>
                  <w:noWrap w:val="0"/>
                  <w:vAlign w:val="top"/>
                </w:tcPr>
                <w:p w14:paraId="1090EBF9">
                  <w:pPr>
                    <w:pStyle w:val="25"/>
                    <w:spacing w:before="3" w:line="250" w:lineRule="exact"/>
                    <w:jc w:val="center"/>
                    <w:rPr>
                      <w:b/>
                      <w:bCs/>
                      <w:sz w:val="21"/>
                    </w:rPr>
                  </w:pPr>
                  <w:r>
                    <w:rPr>
                      <w:b/>
                      <w:bCs/>
                      <w:sz w:val="21"/>
                    </w:rPr>
                    <w:t>项目</w:t>
                  </w:r>
                </w:p>
              </w:tc>
              <w:tc>
                <w:tcPr>
                  <w:tcW w:w="2736" w:type="pct"/>
                  <w:noWrap w:val="0"/>
                  <w:vAlign w:val="top"/>
                </w:tcPr>
                <w:p w14:paraId="33E6E5D9">
                  <w:pPr>
                    <w:pStyle w:val="25"/>
                    <w:spacing w:before="3" w:line="250" w:lineRule="exact"/>
                    <w:ind w:left="1039" w:firstLine="420"/>
                    <w:jc w:val="center"/>
                    <w:rPr>
                      <w:b/>
                      <w:bCs/>
                      <w:sz w:val="21"/>
                    </w:rPr>
                  </w:pPr>
                  <w:r>
                    <w:rPr>
                      <w:b/>
                      <w:bCs/>
                      <w:sz w:val="21"/>
                    </w:rPr>
                    <w:t>维修保养检查内容及频次</w:t>
                  </w:r>
                </w:p>
              </w:tc>
              <w:tc>
                <w:tcPr>
                  <w:tcW w:w="1621" w:type="pct"/>
                  <w:noWrap w:val="0"/>
                  <w:vAlign w:val="top"/>
                </w:tcPr>
                <w:p w14:paraId="7499A804">
                  <w:pPr>
                    <w:pStyle w:val="25"/>
                    <w:spacing w:before="3" w:line="250" w:lineRule="exact"/>
                    <w:jc w:val="center"/>
                    <w:rPr>
                      <w:b/>
                      <w:bCs/>
                      <w:sz w:val="21"/>
                    </w:rPr>
                  </w:pPr>
                  <w:r>
                    <w:rPr>
                      <w:b/>
                      <w:bCs/>
                      <w:sz w:val="21"/>
                    </w:rPr>
                    <w:t>标准</w:t>
                  </w:r>
                </w:p>
              </w:tc>
            </w:tr>
            <w:tr w14:paraId="20101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43" w:type="pct"/>
                  <w:noWrap w:val="0"/>
                  <w:vAlign w:val="center"/>
                </w:tcPr>
                <w:p w14:paraId="2F5D558B">
                  <w:pPr>
                    <w:pStyle w:val="25"/>
                    <w:spacing w:before="137"/>
                    <w:ind w:left="105" w:leftChars="50" w:right="105" w:rightChars="50"/>
                    <w:jc w:val="center"/>
                    <w:rPr>
                      <w:sz w:val="21"/>
                    </w:rPr>
                  </w:pPr>
                  <w:r>
                    <w:rPr>
                      <w:spacing w:val="-3"/>
                      <w:sz w:val="21"/>
                    </w:rPr>
                    <w:t>防火卷帘外观</w:t>
                  </w:r>
                </w:p>
              </w:tc>
              <w:tc>
                <w:tcPr>
                  <w:tcW w:w="2736" w:type="pct"/>
                  <w:noWrap w:val="0"/>
                  <w:vAlign w:val="center"/>
                </w:tcPr>
                <w:p w14:paraId="1F3695AC">
                  <w:pPr>
                    <w:pStyle w:val="25"/>
                    <w:spacing w:before="1"/>
                    <w:ind w:left="105" w:leftChars="50" w:right="105" w:rightChars="50"/>
                    <w:jc w:val="center"/>
                    <w:rPr>
                      <w:sz w:val="21"/>
                    </w:rPr>
                  </w:pPr>
                  <w:r>
                    <w:rPr>
                      <w:sz w:val="21"/>
                    </w:rPr>
                    <w:t>防火卷帘外观检查， 是否收到位，不影响租户;每</w:t>
                  </w:r>
                  <w:r>
                    <w:rPr>
                      <w:rFonts w:hint="eastAsia"/>
                      <w:sz w:val="21"/>
                      <w:lang w:val="en-US"/>
                    </w:rPr>
                    <w:t>季度</w:t>
                  </w:r>
                  <w:r>
                    <w:rPr>
                      <w:sz w:val="21"/>
                    </w:rPr>
                    <w:t>一次</w:t>
                  </w:r>
                </w:p>
              </w:tc>
              <w:tc>
                <w:tcPr>
                  <w:tcW w:w="1621" w:type="pct"/>
                  <w:noWrap w:val="0"/>
                  <w:vAlign w:val="center"/>
                </w:tcPr>
                <w:p w14:paraId="51A39AA5">
                  <w:pPr>
                    <w:pStyle w:val="25"/>
                    <w:spacing w:before="137"/>
                    <w:ind w:left="105" w:leftChars="50" w:right="105" w:rightChars="50" w:firstLine="420"/>
                    <w:jc w:val="center"/>
                    <w:rPr>
                      <w:sz w:val="21"/>
                    </w:rPr>
                  </w:pPr>
                  <w:r>
                    <w:rPr>
                      <w:sz w:val="21"/>
                    </w:rPr>
                    <w:t>收卷到位，落地平整。</w:t>
                  </w:r>
                </w:p>
              </w:tc>
            </w:tr>
            <w:tr w14:paraId="62F79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643" w:type="pct"/>
                  <w:noWrap w:val="0"/>
                  <w:vAlign w:val="center"/>
                </w:tcPr>
                <w:p w14:paraId="3A07FCE8">
                  <w:pPr>
                    <w:pStyle w:val="25"/>
                    <w:spacing w:before="155" w:line="242" w:lineRule="auto"/>
                    <w:ind w:left="105" w:leftChars="50" w:right="105" w:rightChars="50"/>
                    <w:jc w:val="center"/>
                    <w:rPr>
                      <w:sz w:val="21"/>
                    </w:rPr>
                  </w:pPr>
                  <w:r>
                    <w:rPr>
                      <w:sz w:val="21"/>
                    </w:rPr>
                    <w:t>防火卷帘控制箱</w:t>
                  </w:r>
                </w:p>
              </w:tc>
              <w:tc>
                <w:tcPr>
                  <w:tcW w:w="2736" w:type="pct"/>
                  <w:noWrap w:val="0"/>
                  <w:vAlign w:val="center"/>
                </w:tcPr>
                <w:p w14:paraId="0A7D0736">
                  <w:pPr>
                    <w:pStyle w:val="25"/>
                    <w:spacing w:before="3" w:line="242" w:lineRule="auto"/>
                    <w:ind w:left="105" w:leftChars="50" w:right="105" w:rightChars="50"/>
                    <w:jc w:val="center"/>
                    <w:rPr>
                      <w:sz w:val="21"/>
                    </w:rPr>
                  </w:pPr>
                  <w:r>
                    <w:rPr>
                      <w:sz w:val="21"/>
                    </w:rPr>
                    <w:t>检查紧固线路、自动控制功能、手动控制功能、火灾报警功能、声光报警器报警功能、信号反馈功能、延时功能、手动急停优先功能、故障报警功能，检查箱内备用电池功能和状态，每</w:t>
                  </w:r>
                  <w:r>
                    <w:rPr>
                      <w:rFonts w:hint="eastAsia"/>
                      <w:sz w:val="21"/>
                      <w:lang w:val="en-US"/>
                    </w:rPr>
                    <w:t>季度</w:t>
                  </w:r>
                  <w:r>
                    <w:rPr>
                      <w:sz w:val="21"/>
                    </w:rPr>
                    <w:t>一次</w:t>
                  </w:r>
                </w:p>
              </w:tc>
              <w:tc>
                <w:tcPr>
                  <w:tcW w:w="1621" w:type="pct"/>
                  <w:noWrap w:val="0"/>
                  <w:vAlign w:val="center"/>
                </w:tcPr>
                <w:p w14:paraId="2B3743C7">
                  <w:pPr>
                    <w:pStyle w:val="25"/>
                    <w:spacing w:before="155" w:line="242" w:lineRule="auto"/>
                    <w:ind w:left="105" w:leftChars="50" w:right="105" w:rightChars="50"/>
                    <w:jc w:val="center"/>
                    <w:rPr>
                      <w:sz w:val="21"/>
                    </w:rPr>
                  </w:pPr>
                  <w:r>
                    <w:rPr>
                      <w:sz w:val="21"/>
                    </w:rPr>
                    <w:t>接线牢固，箱内无灰尘， 工作正常，无故障。</w:t>
                  </w:r>
                </w:p>
              </w:tc>
            </w:tr>
            <w:tr w14:paraId="44F8E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43" w:type="pct"/>
                  <w:noWrap w:val="0"/>
                  <w:vAlign w:val="center"/>
                </w:tcPr>
                <w:p w14:paraId="0443058C">
                  <w:pPr>
                    <w:pStyle w:val="25"/>
                    <w:spacing w:line="242" w:lineRule="auto"/>
                    <w:ind w:left="105" w:leftChars="50" w:right="105" w:rightChars="50"/>
                    <w:jc w:val="center"/>
                    <w:rPr>
                      <w:sz w:val="21"/>
                    </w:rPr>
                  </w:pPr>
                  <w:r>
                    <w:rPr>
                      <w:sz w:val="21"/>
                    </w:rPr>
                    <w:t>防火卷帘控制盒</w:t>
                  </w:r>
                </w:p>
              </w:tc>
              <w:tc>
                <w:tcPr>
                  <w:tcW w:w="2736" w:type="pct"/>
                  <w:noWrap w:val="0"/>
                  <w:vAlign w:val="center"/>
                </w:tcPr>
                <w:p w14:paraId="700C79AE">
                  <w:pPr>
                    <w:pStyle w:val="25"/>
                    <w:spacing w:before="153"/>
                    <w:ind w:left="105" w:leftChars="50" w:right="105" w:rightChars="50"/>
                    <w:jc w:val="center"/>
                    <w:rPr>
                      <w:sz w:val="21"/>
                    </w:rPr>
                  </w:pPr>
                  <w:r>
                    <w:rPr>
                      <w:sz w:val="21"/>
                    </w:rPr>
                    <w:t>检查紧固线路、测试按键功能。每</w:t>
                  </w:r>
                  <w:r>
                    <w:rPr>
                      <w:rFonts w:hint="eastAsia"/>
                      <w:sz w:val="21"/>
                      <w:lang w:val="en-US"/>
                    </w:rPr>
                    <w:t>季度</w:t>
                  </w:r>
                  <w:r>
                    <w:rPr>
                      <w:sz w:val="21"/>
                    </w:rPr>
                    <w:t>一次</w:t>
                  </w:r>
                </w:p>
              </w:tc>
              <w:tc>
                <w:tcPr>
                  <w:tcW w:w="1621" w:type="pct"/>
                  <w:noWrap w:val="0"/>
                  <w:vAlign w:val="center"/>
                </w:tcPr>
                <w:p w14:paraId="6685F7CD">
                  <w:pPr>
                    <w:pStyle w:val="25"/>
                    <w:spacing w:before="1" w:line="242" w:lineRule="auto"/>
                    <w:ind w:left="105" w:leftChars="50" w:right="105" w:rightChars="50"/>
                    <w:jc w:val="center"/>
                    <w:rPr>
                      <w:sz w:val="21"/>
                    </w:rPr>
                  </w:pPr>
                  <w:r>
                    <w:rPr>
                      <w:sz w:val="21"/>
                    </w:rPr>
                    <w:t>盒体外观干净完整、无变形，接线牢固，盒内清洁无积尘，各按键灵活、功能正常。</w:t>
                  </w:r>
                </w:p>
              </w:tc>
            </w:tr>
            <w:tr w14:paraId="3E8EA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643" w:type="pct"/>
                  <w:noWrap w:val="0"/>
                  <w:vAlign w:val="center"/>
                </w:tcPr>
                <w:p w14:paraId="5209FD8D">
                  <w:pPr>
                    <w:pStyle w:val="25"/>
                    <w:spacing w:line="242" w:lineRule="auto"/>
                    <w:ind w:left="105" w:leftChars="50" w:right="105" w:rightChars="50"/>
                    <w:jc w:val="center"/>
                    <w:rPr>
                      <w:sz w:val="21"/>
                    </w:rPr>
                  </w:pPr>
                  <w:r>
                    <w:rPr>
                      <w:sz w:val="21"/>
                    </w:rPr>
                    <w:t>帘布，帘片，门楣、电机、轨道等</w:t>
                  </w:r>
                </w:p>
              </w:tc>
              <w:tc>
                <w:tcPr>
                  <w:tcW w:w="2736" w:type="pct"/>
                  <w:noWrap w:val="0"/>
                  <w:vAlign w:val="center"/>
                </w:tcPr>
                <w:p w14:paraId="2DDE48FF">
                  <w:pPr>
                    <w:pStyle w:val="25"/>
                    <w:spacing w:before="1" w:line="242" w:lineRule="auto"/>
                    <w:ind w:left="105" w:leftChars="50" w:right="105" w:rightChars="50"/>
                    <w:jc w:val="center"/>
                    <w:rPr>
                      <w:sz w:val="21"/>
                    </w:rPr>
                  </w:pPr>
                  <w:r>
                    <w:rPr>
                      <w:sz w:val="21"/>
                    </w:rPr>
                    <w:t>检查帘布是否有破损、帘片是否挤压变形， 是否有卡阻及刮门楣现象，检查轨道是否变形、轨道沿线有无障碍物阻挡门帘的前进； 检查钢丝绳是否完好，卷筒滑轮工作是否灵活；机械部件检查状态，对机械活动件添加润滑油，就地和远程联动测试；每</w:t>
                  </w:r>
                  <w:r>
                    <w:rPr>
                      <w:rFonts w:hint="eastAsia"/>
                      <w:sz w:val="21"/>
                      <w:lang w:val="en-US"/>
                    </w:rPr>
                    <w:t>季度</w:t>
                  </w:r>
                  <w:r>
                    <w:rPr>
                      <w:sz w:val="21"/>
                    </w:rPr>
                    <w:t>一次。</w:t>
                  </w:r>
                </w:p>
              </w:tc>
              <w:tc>
                <w:tcPr>
                  <w:tcW w:w="1621" w:type="pct"/>
                  <w:noWrap w:val="0"/>
                  <w:vAlign w:val="center"/>
                </w:tcPr>
                <w:p w14:paraId="14135CE3">
                  <w:pPr>
                    <w:pStyle w:val="25"/>
                    <w:spacing w:line="242" w:lineRule="auto"/>
                    <w:ind w:left="105" w:leftChars="50" w:right="105" w:rightChars="50"/>
                    <w:jc w:val="center"/>
                    <w:rPr>
                      <w:sz w:val="21"/>
                    </w:rPr>
                  </w:pPr>
                  <w:r>
                    <w:rPr>
                      <w:spacing w:val="-3"/>
                      <w:sz w:val="21"/>
                    </w:rPr>
                    <w:t>帘片、帘布完好，手动和联动测试卷帘门运行顺  畅，无卡阻现象；钢丝绳完整无断丝，滑轮无锈  蚀，机械部件灵活、可靠</w:t>
                  </w:r>
                </w:p>
              </w:tc>
            </w:tr>
            <w:tr w14:paraId="11AB4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43" w:type="pct"/>
                  <w:noWrap w:val="0"/>
                  <w:vAlign w:val="center"/>
                </w:tcPr>
                <w:p w14:paraId="555C551D">
                  <w:pPr>
                    <w:pStyle w:val="25"/>
                    <w:spacing w:before="1" w:line="252" w:lineRule="exact"/>
                    <w:ind w:left="105" w:leftChars="50" w:right="105" w:rightChars="50" w:firstLine="420"/>
                    <w:jc w:val="center"/>
                    <w:rPr>
                      <w:sz w:val="21"/>
                    </w:rPr>
                  </w:pPr>
                  <w:r>
                    <w:rPr>
                      <w:sz w:val="21"/>
                    </w:rPr>
                    <w:t>记录</w:t>
                  </w:r>
                </w:p>
              </w:tc>
              <w:tc>
                <w:tcPr>
                  <w:tcW w:w="2736" w:type="pct"/>
                  <w:noWrap w:val="0"/>
                  <w:vAlign w:val="center"/>
                </w:tcPr>
                <w:p w14:paraId="5CC047F0">
                  <w:pPr>
                    <w:pStyle w:val="25"/>
                    <w:spacing w:before="1" w:line="252" w:lineRule="exact"/>
                    <w:ind w:left="105" w:leftChars="50" w:right="105" w:rightChars="50" w:firstLine="420"/>
                    <w:jc w:val="center"/>
                    <w:rPr>
                      <w:sz w:val="21"/>
                    </w:rPr>
                  </w:pPr>
                  <w:r>
                    <w:rPr>
                      <w:sz w:val="21"/>
                    </w:rPr>
                    <w:t>对防火卷帘门系统维修保养有记录。</w:t>
                  </w:r>
                </w:p>
              </w:tc>
              <w:tc>
                <w:tcPr>
                  <w:tcW w:w="1621" w:type="pct"/>
                  <w:noWrap w:val="0"/>
                  <w:vAlign w:val="center"/>
                </w:tcPr>
                <w:p w14:paraId="73B98634">
                  <w:pPr>
                    <w:pStyle w:val="25"/>
                    <w:spacing w:before="1" w:line="252" w:lineRule="exact"/>
                    <w:ind w:left="105" w:leftChars="50" w:right="105" w:rightChars="50" w:firstLine="420"/>
                    <w:jc w:val="center"/>
                    <w:rPr>
                      <w:sz w:val="21"/>
                    </w:rPr>
                  </w:pPr>
                  <w:r>
                    <w:rPr>
                      <w:sz w:val="21"/>
                    </w:rPr>
                    <w:t>记录及时、完整。</w:t>
                  </w:r>
                </w:p>
              </w:tc>
            </w:tr>
          </w:tbl>
          <w:p w14:paraId="6E041740">
            <w:pPr>
              <w:kinsoku w:val="0"/>
              <w:overflowPunct w:val="0"/>
              <w:autoSpaceDE w:val="0"/>
              <w:autoSpaceDN w:val="0"/>
              <w:adjustRightInd w:val="0"/>
              <w:snapToGrid w:val="0"/>
              <w:spacing w:line="276" w:lineRule="auto"/>
              <w:ind w:firstLine="560"/>
              <w:rPr>
                <w:rFonts w:ascii="宋体" w:hAnsi="宋体" w:cs="宋体"/>
                <w:bCs/>
                <w:sz w:val="28"/>
                <w:szCs w:val="28"/>
              </w:rPr>
            </w:pPr>
          </w:p>
          <w:p w14:paraId="60625185">
            <w:pPr>
              <w:spacing w:line="360" w:lineRule="auto"/>
              <w:ind w:firstLine="660" w:firstLineChars="275"/>
              <w:rPr>
                <w:rFonts w:ascii="宋体" w:hAnsi="宋体" w:cs="宋体"/>
                <w:sz w:val="24"/>
                <w:szCs w:val="24"/>
              </w:rPr>
            </w:pPr>
            <w:r>
              <w:rPr>
                <w:rFonts w:hint="eastAsia" w:ascii="宋体" w:hAnsi="宋体" w:cs="宋体"/>
                <w:sz w:val="24"/>
                <w:szCs w:val="24"/>
              </w:rPr>
              <w:t>（6）气体灭火系统</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5817"/>
              <w:gridCol w:w="2604"/>
            </w:tblGrid>
            <w:tr w14:paraId="7880A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3" w:type="pct"/>
                  <w:noWrap w:val="0"/>
                  <w:vAlign w:val="center"/>
                </w:tcPr>
                <w:p w14:paraId="4EA63FBB">
                  <w:pPr>
                    <w:pStyle w:val="25"/>
                    <w:spacing w:line="252" w:lineRule="exact"/>
                    <w:jc w:val="center"/>
                    <w:rPr>
                      <w:b/>
                      <w:bCs/>
                      <w:sz w:val="21"/>
                    </w:rPr>
                  </w:pPr>
                  <w:r>
                    <w:rPr>
                      <w:b/>
                      <w:bCs/>
                      <w:sz w:val="21"/>
                    </w:rPr>
                    <w:t>项目</w:t>
                  </w:r>
                </w:p>
              </w:tc>
              <w:tc>
                <w:tcPr>
                  <w:tcW w:w="2948" w:type="pct"/>
                  <w:noWrap w:val="0"/>
                  <w:vAlign w:val="center"/>
                </w:tcPr>
                <w:p w14:paraId="0E6B13D6">
                  <w:pPr>
                    <w:pStyle w:val="25"/>
                    <w:spacing w:line="252" w:lineRule="exact"/>
                    <w:ind w:right="921" w:firstLine="420"/>
                    <w:jc w:val="center"/>
                    <w:rPr>
                      <w:b/>
                      <w:bCs/>
                      <w:sz w:val="21"/>
                    </w:rPr>
                  </w:pPr>
                  <w:r>
                    <w:rPr>
                      <w:b/>
                      <w:bCs/>
                      <w:sz w:val="21"/>
                    </w:rPr>
                    <w:t>维修保养检查内容及频次</w:t>
                  </w:r>
                </w:p>
              </w:tc>
              <w:tc>
                <w:tcPr>
                  <w:tcW w:w="1319" w:type="pct"/>
                  <w:noWrap w:val="0"/>
                  <w:vAlign w:val="center"/>
                </w:tcPr>
                <w:p w14:paraId="25F61D1B">
                  <w:pPr>
                    <w:pStyle w:val="25"/>
                    <w:spacing w:line="252" w:lineRule="exact"/>
                    <w:ind w:left="111" w:firstLine="420"/>
                    <w:jc w:val="center"/>
                    <w:rPr>
                      <w:b/>
                      <w:bCs/>
                      <w:sz w:val="21"/>
                    </w:rPr>
                  </w:pPr>
                  <w:r>
                    <w:rPr>
                      <w:b/>
                      <w:bCs/>
                      <w:sz w:val="21"/>
                    </w:rPr>
                    <w:t>标准</w:t>
                  </w:r>
                </w:p>
              </w:tc>
            </w:tr>
            <w:tr w14:paraId="10607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733" w:type="pct"/>
                  <w:noWrap w:val="0"/>
                  <w:vAlign w:val="center"/>
                </w:tcPr>
                <w:p w14:paraId="017D01F7">
                  <w:pPr>
                    <w:pStyle w:val="25"/>
                    <w:spacing w:before="137"/>
                    <w:ind w:left="4"/>
                    <w:jc w:val="center"/>
                    <w:rPr>
                      <w:sz w:val="21"/>
                    </w:rPr>
                  </w:pPr>
                  <w:r>
                    <w:rPr>
                      <w:sz w:val="21"/>
                    </w:rPr>
                    <w:t>现场探测器</w:t>
                  </w:r>
                </w:p>
              </w:tc>
              <w:tc>
                <w:tcPr>
                  <w:tcW w:w="2948" w:type="pct"/>
                  <w:noWrap w:val="0"/>
                  <w:vAlign w:val="center"/>
                </w:tcPr>
                <w:p w14:paraId="4E140097">
                  <w:pPr>
                    <w:pStyle w:val="25"/>
                    <w:spacing w:before="1"/>
                    <w:jc w:val="center"/>
                    <w:rPr>
                      <w:sz w:val="21"/>
                    </w:rPr>
                  </w:pPr>
                  <w:r>
                    <w:rPr>
                      <w:sz w:val="21"/>
                    </w:rPr>
                    <w:t>检查报警系统是否灵敏，外观是否完好，是否处于工作状态</w:t>
                  </w:r>
                  <w:r>
                    <w:rPr>
                      <w:rFonts w:hint="eastAsia"/>
                      <w:sz w:val="21"/>
                    </w:rPr>
                    <w:t>，</w:t>
                  </w:r>
                  <w:r>
                    <w:rPr>
                      <w:sz w:val="21"/>
                    </w:rPr>
                    <w:t>每季度一次。</w:t>
                  </w:r>
                </w:p>
              </w:tc>
              <w:tc>
                <w:tcPr>
                  <w:tcW w:w="1319" w:type="pct"/>
                  <w:noWrap w:val="0"/>
                  <w:vAlign w:val="center"/>
                </w:tcPr>
                <w:p w14:paraId="7D72CEF4">
                  <w:pPr>
                    <w:pStyle w:val="25"/>
                    <w:spacing w:before="1"/>
                    <w:ind w:left="122"/>
                    <w:jc w:val="center"/>
                    <w:rPr>
                      <w:sz w:val="21"/>
                    </w:rPr>
                  </w:pPr>
                  <w:r>
                    <w:rPr>
                      <w:sz w:val="21"/>
                    </w:rPr>
                    <w:t>气体灭火系统工作正常，</w:t>
                  </w:r>
                </w:p>
                <w:p w14:paraId="11D40549">
                  <w:pPr>
                    <w:pStyle w:val="25"/>
                    <w:spacing w:before="4" w:line="250" w:lineRule="exact"/>
                    <w:jc w:val="center"/>
                    <w:rPr>
                      <w:sz w:val="21"/>
                    </w:rPr>
                  </w:pPr>
                  <w:r>
                    <w:rPr>
                      <w:sz w:val="21"/>
                    </w:rPr>
                    <w:t>无故障。</w:t>
                  </w:r>
                </w:p>
              </w:tc>
            </w:tr>
            <w:tr w14:paraId="0AB14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733" w:type="pct"/>
                  <w:noWrap w:val="0"/>
                  <w:vAlign w:val="center"/>
                </w:tcPr>
                <w:p w14:paraId="0954D608">
                  <w:pPr>
                    <w:pStyle w:val="25"/>
                    <w:spacing w:before="1"/>
                    <w:ind w:left="4"/>
                    <w:jc w:val="center"/>
                    <w:rPr>
                      <w:sz w:val="21"/>
                    </w:rPr>
                  </w:pPr>
                  <w:r>
                    <w:rPr>
                      <w:sz w:val="21"/>
                    </w:rPr>
                    <w:t>声光报警器、</w:t>
                  </w:r>
                </w:p>
                <w:p w14:paraId="2572BF4B">
                  <w:pPr>
                    <w:pStyle w:val="25"/>
                    <w:spacing w:before="3" w:line="270" w:lineRule="atLeast"/>
                    <w:ind w:right="88"/>
                    <w:jc w:val="center"/>
                    <w:rPr>
                      <w:sz w:val="21"/>
                    </w:rPr>
                  </w:pPr>
                  <w:r>
                    <w:rPr>
                      <w:sz w:val="21"/>
                    </w:rPr>
                    <w:t>警铃、放气指示灯</w:t>
                  </w:r>
                </w:p>
              </w:tc>
              <w:tc>
                <w:tcPr>
                  <w:tcW w:w="2948" w:type="pct"/>
                  <w:noWrap w:val="0"/>
                  <w:vAlign w:val="center"/>
                </w:tcPr>
                <w:p w14:paraId="65877323">
                  <w:pPr>
                    <w:pStyle w:val="25"/>
                    <w:spacing w:before="1"/>
                    <w:jc w:val="center"/>
                    <w:rPr>
                      <w:sz w:val="21"/>
                    </w:rPr>
                  </w:pPr>
                  <w:r>
                    <w:rPr>
                      <w:sz w:val="21"/>
                    </w:rPr>
                    <w:t>检查声光报警器、警铃、放气指示灯外观是否清洁、完好，测试功能是否正常</w:t>
                  </w:r>
                  <w:r>
                    <w:rPr>
                      <w:rFonts w:hint="eastAsia"/>
                      <w:sz w:val="21"/>
                    </w:rPr>
                    <w:t>，</w:t>
                  </w:r>
                  <w:r>
                    <w:rPr>
                      <w:sz w:val="21"/>
                    </w:rPr>
                    <w:t>每季度一次。</w:t>
                  </w:r>
                </w:p>
              </w:tc>
              <w:tc>
                <w:tcPr>
                  <w:tcW w:w="1319" w:type="pct"/>
                  <w:noWrap w:val="0"/>
                  <w:vAlign w:val="center"/>
                </w:tcPr>
                <w:p w14:paraId="63A6DE8C">
                  <w:pPr>
                    <w:pStyle w:val="25"/>
                    <w:spacing w:before="137" w:line="242" w:lineRule="auto"/>
                    <w:ind w:left="122" w:right="242"/>
                    <w:jc w:val="center"/>
                    <w:rPr>
                      <w:sz w:val="21"/>
                    </w:rPr>
                  </w:pPr>
                  <w:r>
                    <w:rPr>
                      <w:sz w:val="21"/>
                    </w:rPr>
                    <w:t>气体灭火系统工作正常，无故障。</w:t>
                  </w:r>
                </w:p>
              </w:tc>
            </w:tr>
            <w:tr w14:paraId="125FF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733" w:type="pct"/>
                  <w:noWrap w:val="0"/>
                  <w:vAlign w:val="center"/>
                </w:tcPr>
                <w:p w14:paraId="64FAE9ED">
                  <w:pPr>
                    <w:pStyle w:val="25"/>
                    <w:jc w:val="center"/>
                    <w:rPr>
                      <w:sz w:val="21"/>
                    </w:rPr>
                  </w:pPr>
                  <w:r>
                    <w:rPr>
                      <w:sz w:val="21"/>
                    </w:rPr>
                    <w:t>喷嘴</w:t>
                  </w:r>
                </w:p>
              </w:tc>
              <w:tc>
                <w:tcPr>
                  <w:tcW w:w="2948" w:type="pct"/>
                  <w:noWrap w:val="0"/>
                  <w:vAlign w:val="center"/>
                </w:tcPr>
                <w:p w14:paraId="33DEF7BA">
                  <w:pPr>
                    <w:pStyle w:val="25"/>
                    <w:spacing w:before="1" w:line="242" w:lineRule="auto"/>
                    <w:ind w:left="124" w:right="259"/>
                    <w:jc w:val="center"/>
                    <w:rPr>
                      <w:sz w:val="21"/>
                    </w:rPr>
                  </w:pPr>
                  <w:r>
                    <w:rPr>
                      <w:spacing w:val="-3"/>
                      <w:sz w:val="21"/>
                    </w:rPr>
                    <w:t xml:space="preserve">检查喷嘴有无变形、损伤、锈蚀、脱落松 </w:t>
                  </w:r>
                  <w:r>
                    <w:rPr>
                      <w:spacing w:val="-4"/>
                      <w:sz w:val="21"/>
                    </w:rPr>
                    <w:t>动，检查开孔是否畅通，有无灰尘粘结</w:t>
                  </w:r>
                  <w:r>
                    <w:rPr>
                      <w:rFonts w:hint="eastAsia"/>
                      <w:spacing w:val="-4"/>
                      <w:sz w:val="21"/>
                    </w:rPr>
                    <w:t>，</w:t>
                  </w:r>
                  <w:r>
                    <w:rPr>
                      <w:spacing w:val="-4"/>
                      <w:sz w:val="21"/>
                    </w:rPr>
                    <w:t>每</w:t>
                  </w:r>
                  <w:r>
                    <w:rPr>
                      <w:sz w:val="21"/>
                    </w:rPr>
                    <w:t>季度一次。</w:t>
                  </w:r>
                </w:p>
              </w:tc>
              <w:tc>
                <w:tcPr>
                  <w:tcW w:w="1319" w:type="pct"/>
                  <w:noWrap w:val="0"/>
                  <w:vAlign w:val="center"/>
                </w:tcPr>
                <w:p w14:paraId="4294E0FE">
                  <w:pPr>
                    <w:pStyle w:val="25"/>
                    <w:spacing w:before="137" w:line="242" w:lineRule="auto"/>
                    <w:ind w:left="122" w:right="242"/>
                    <w:jc w:val="center"/>
                    <w:rPr>
                      <w:sz w:val="21"/>
                    </w:rPr>
                  </w:pPr>
                  <w:r>
                    <w:rPr>
                      <w:sz w:val="21"/>
                    </w:rPr>
                    <w:t>气体灭火系统工作正常，无故障。</w:t>
                  </w:r>
                </w:p>
              </w:tc>
            </w:tr>
            <w:tr w14:paraId="19C4F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733" w:type="pct"/>
                  <w:noWrap w:val="0"/>
                  <w:vAlign w:val="center"/>
                </w:tcPr>
                <w:p w14:paraId="7CEDFE7A">
                  <w:pPr>
                    <w:pStyle w:val="25"/>
                    <w:spacing w:before="137" w:line="244" w:lineRule="auto"/>
                    <w:ind w:right="88"/>
                    <w:jc w:val="center"/>
                    <w:rPr>
                      <w:sz w:val="21"/>
                    </w:rPr>
                  </w:pPr>
                  <w:r>
                    <w:rPr>
                      <w:sz w:val="21"/>
                    </w:rPr>
                    <w:t>灭火剂储存容器</w:t>
                  </w:r>
                </w:p>
              </w:tc>
              <w:tc>
                <w:tcPr>
                  <w:tcW w:w="2948" w:type="pct"/>
                  <w:noWrap w:val="0"/>
                  <w:vAlign w:val="center"/>
                </w:tcPr>
                <w:p w14:paraId="06B41268">
                  <w:pPr>
                    <w:pStyle w:val="25"/>
                    <w:spacing w:before="3" w:line="242" w:lineRule="auto"/>
                    <w:ind w:left="124" w:right="259"/>
                    <w:jc w:val="center"/>
                    <w:rPr>
                      <w:sz w:val="21"/>
                    </w:rPr>
                  </w:pPr>
                  <w:r>
                    <w:rPr>
                      <w:sz w:val="21"/>
                    </w:rPr>
                    <w:t>检查外观有无腐蚀和脱落现象，容器是否符合数量，压力是否符合设计要求</w:t>
                  </w:r>
                  <w:r>
                    <w:rPr>
                      <w:rFonts w:hint="eastAsia"/>
                      <w:sz w:val="21"/>
                    </w:rPr>
                    <w:t>，</w:t>
                  </w:r>
                  <w:r>
                    <w:rPr>
                      <w:sz w:val="21"/>
                    </w:rPr>
                    <w:t>每季度一次。</w:t>
                  </w:r>
                </w:p>
              </w:tc>
              <w:tc>
                <w:tcPr>
                  <w:tcW w:w="1319" w:type="pct"/>
                  <w:noWrap w:val="0"/>
                  <w:vAlign w:val="center"/>
                </w:tcPr>
                <w:p w14:paraId="436486ED">
                  <w:pPr>
                    <w:pStyle w:val="25"/>
                    <w:spacing w:before="137" w:line="244" w:lineRule="auto"/>
                    <w:ind w:left="122" w:right="242"/>
                    <w:jc w:val="center"/>
                    <w:rPr>
                      <w:sz w:val="21"/>
                    </w:rPr>
                  </w:pPr>
                  <w:r>
                    <w:rPr>
                      <w:sz w:val="21"/>
                    </w:rPr>
                    <w:t>气体灭火系统工作正常，无故障。</w:t>
                  </w:r>
                </w:p>
              </w:tc>
            </w:tr>
            <w:tr w14:paraId="7DCAD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733" w:type="pct"/>
                  <w:noWrap w:val="0"/>
                  <w:vAlign w:val="center"/>
                </w:tcPr>
                <w:p w14:paraId="4282146E">
                  <w:pPr>
                    <w:pStyle w:val="25"/>
                    <w:spacing w:line="242" w:lineRule="auto"/>
                    <w:ind w:right="-15"/>
                    <w:jc w:val="center"/>
                    <w:rPr>
                      <w:sz w:val="21"/>
                    </w:rPr>
                  </w:pPr>
                  <w:r>
                    <w:rPr>
                      <w:spacing w:val="-1"/>
                      <w:sz w:val="21"/>
                    </w:rPr>
                    <w:t xml:space="preserve">容器阀、管  </w:t>
                  </w:r>
                  <w:r>
                    <w:rPr>
                      <w:spacing w:val="-3"/>
                      <w:sz w:val="21"/>
                    </w:rPr>
                    <w:t>道、管道组件</w:t>
                  </w:r>
                </w:p>
              </w:tc>
              <w:tc>
                <w:tcPr>
                  <w:tcW w:w="2948" w:type="pct"/>
                  <w:noWrap w:val="0"/>
                  <w:vAlign w:val="center"/>
                </w:tcPr>
                <w:p w14:paraId="5CDB603A">
                  <w:pPr>
                    <w:pStyle w:val="25"/>
                    <w:spacing w:before="1" w:line="242" w:lineRule="auto"/>
                    <w:ind w:left="124" w:right="259"/>
                    <w:jc w:val="center"/>
                    <w:rPr>
                      <w:sz w:val="21"/>
                    </w:rPr>
                  </w:pPr>
                  <w:r>
                    <w:rPr>
                      <w:spacing w:val="-4"/>
                      <w:sz w:val="21"/>
                    </w:rPr>
                    <w:t>检查容器阀有无松动变形、损伤，集流管有无变形、腐蚀、损伤，设备吊、支架固定、各螺纹连接部分有无松动，检查驱动装置压</w:t>
                  </w:r>
                  <w:r>
                    <w:rPr>
                      <w:spacing w:val="-6"/>
                      <w:sz w:val="21"/>
                    </w:rPr>
                    <w:t xml:space="preserve">力不少于设计存储压力 </w:t>
                  </w:r>
                  <w:r>
                    <w:rPr>
                      <w:sz w:val="21"/>
                    </w:rPr>
                    <w:t>90</w:t>
                  </w:r>
                  <w:r>
                    <w:rPr>
                      <w:spacing w:val="-3"/>
                      <w:sz w:val="21"/>
                    </w:rPr>
                    <w:t>%</w:t>
                  </w:r>
                  <w:r>
                    <w:rPr>
                      <w:rFonts w:hint="eastAsia"/>
                      <w:spacing w:val="-3"/>
                      <w:sz w:val="21"/>
                    </w:rPr>
                    <w:t>，</w:t>
                  </w:r>
                  <w:r>
                    <w:rPr>
                      <w:spacing w:val="-3"/>
                      <w:sz w:val="21"/>
                    </w:rPr>
                    <w:t>每季度一次。</w:t>
                  </w:r>
                </w:p>
              </w:tc>
              <w:tc>
                <w:tcPr>
                  <w:tcW w:w="1319" w:type="pct"/>
                  <w:noWrap w:val="0"/>
                  <w:vAlign w:val="center"/>
                </w:tcPr>
                <w:p w14:paraId="436AAFBF">
                  <w:pPr>
                    <w:pStyle w:val="25"/>
                    <w:spacing w:line="242" w:lineRule="auto"/>
                    <w:ind w:right="242"/>
                    <w:jc w:val="center"/>
                    <w:rPr>
                      <w:sz w:val="21"/>
                    </w:rPr>
                  </w:pPr>
                  <w:r>
                    <w:rPr>
                      <w:sz w:val="21"/>
                    </w:rPr>
                    <w:t>气体灭火系统工作正常， 无故障。</w:t>
                  </w:r>
                </w:p>
              </w:tc>
            </w:tr>
            <w:tr w14:paraId="79BD0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733" w:type="pct"/>
                  <w:noWrap w:val="0"/>
                  <w:vAlign w:val="center"/>
                </w:tcPr>
                <w:p w14:paraId="7684732F">
                  <w:pPr>
                    <w:pStyle w:val="25"/>
                    <w:spacing w:line="242" w:lineRule="auto"/>
                    <w:ind w:right="88"/>
                    <w:jc w:val="center"/>
                    <w:rPr>
                      <w:sz w:val="21"/>
                    </w:rPr>
                  </w:pPr>
                  <w:r>
                    <w:rPr>
                      <w:sz w:val="21"/>
                    </w:rPr>
                    <w:t>气体灭火控制器、控制盒</w:t>
                  </w:r>
                </w:p>
              </w:tc>
              <w:tc>
                <w:tcPr>
                  <w:tcW w:w="2948" w:type="pct"/>
                  <w:noWrap w:val="0"/>
                  <w:vAlign w:val="center"/>
                </w:tcPr>
                <w:p w14:paraId="4B99D75C">
                  <w:pPr>
                    <w:pStyle w:val="25"/>
                    <w:spacing w:before="1" w:line="242" w:lineRule="auto"/>
                    <w:ind w:left="124" w:right="259"/>
                    <w:jc w:val="center"/>
                    <w:rPr>
                      <w:sz w:val="21"/>
                    </w:rPr>
                  </w:pPr>
                  <w:r>
                    <w:rPr>
                      <w:spacing w:val="-3"/>
                      <w:sz w:val="21"/>
                    </w:rPr>
                    <w:t xml:space="preserve">检查电气接线是否完整，端子有无松动损 </w:t>
                  </w:r>
                  <w:r>
                    <w:rPr>
                      <w:spacing w:val="-4"/>
                      <w:sz w:val="21"/>
                    </w:rPr>
                    <w:t>伤；主机运行状态、主备电源、各按键功能检查；模拟试验时各信号、指示灯应正常</w:t>
                  </w:r>
                  <w:r>
                    <w:rPr>
                      <w:rFonts w:hint="eastAsia"/>
                      <w:spacing w:val="-4"/>
                      <w:sz w:val="21"/>
                    </w:rPr>
                    <w:t>，</w:t>
                  </w:r>
                  <w:r>
                    <w:rPr>
                      <w:sz w:val="21"/>
                    </w:rPr>
                    <w:t>每季度一次。</w:t>
                  </w:r>
                </w:p>
              </w:tc>
              <w:tc>
                <w:tcPr>
                  <w:tcW w:w="1319" w:type="pct"/>
                  <w:noWrap w:val="0"/>
                  <w:vAlign w:val="center"/>
                </w:tcPr>
                <w:p w14:paraId="39D37B01">
                  <w:pPr>
                    <w:pStyle w:val="25"/>
                    <w:spacing w:line="242" w:lineRule="auto"/>
                    <w:ind w:right="242"/>
                    <w:jc w:val="center"/>
                    <w:rPr>
                      <w:sz w:val="21"/>
                    </w:rPr>
                  </w:pPr>
                  <w:r>
                    <w:rPr>
                      <w:sz w:val="21"/>
                    </w:rPr>
                    <w:t>气体灭火系统工作正常， 无故障。</w:t>
                  </w:r>
                </w:p>
              </w:tc>
            </w:tr>
            <w:tr w14:paraId="6F1A6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733" w:type="pct"/>
                  <w:noWrap w:val="0"/>
                  <w:vAlign w:val="center"/>
                </w:tcPr>
                <w:p w14:paraId="14D69772">
                  <w:pPr>
                    <w:pStyle w:val="25"/>
                    <w:ind w:right="-15"/>
                    <w:jc w:val="center"/>
                    <w:rPr>
                      <w:sz w:val="21"/>
                    </w:rPr>
                  </w:pPr>
                  <w:r>
                    <w:rPr>
                      <w:spacing w:val="-3"/>
                      <w:sz w:val="21"/>
                    </w:rPr>
                    <w:t>联动功能测试</w:t>
                  </w:r>
                </w:p>
              </w:tc>
              <w:tc>
                <w:tcPr>
                  <w:tcW w:w="2948" w:type="pct"/>
                  <w:noWrap w:val="0"/>
                  <w:vAlign w:val="center"/>
                </w:tcPr>
                <w:p w14:paraId="62109541">
                  <w:pPr>
                    <w:pStyle w:val="25"/>
                    <w:spacing w:before="137" w:line="244" w:lineRule="auto"/>
                    <w:ind w:right="259"/>
                    <w:jc w:val="center"/>
                    <w:rPr>
                      <w:sz w:val="21"/>
                    </w:rPr>
                  </w:pPr>
                  <w:r>
                    <w:rPr>
                      <w:sz w:val="21"/>
                    </w:rPr>
                    <w:t>检查气体保护区域气体灭火主机的消防联动功能</w:t>
                  </w:r>
                  <w:r>
                    <w:rPr>
                      <w:rFonts w:hint="eastAsia"/>
                      <w:sz w:val="21"/>
                    </w:rPr>
                    <w:t>，</w:t>
                  </w:r>
                  <w:r>
                    <w:rPr>
                      <w:sz w:val="21"/>
                    </w:rPr>
                    <w:t>每季度一次。</w:t>
                  </w:r>
                </w:p>
              </w:tc>
              <w:tc>
                <w:tcPr>
                  <w:tcW w:w="1319" w:type="pct"/>
                  <w:noWrap w:val="0"/>
                  <w:vAlign w:val="center"/>
                </w:tcPr>
                <w:p w14:paraId="456BA497">
                  <w:pPr>
                    <w:pStyle w:val="25"/>
                    <w:spacing w:before="3" w:line="242" w:lineRule="auto"/>
                    <w:ind w:left="122" w:right="242"/>
                    <w:jc w:val="center"/>
                    <w:rPr>
                      <w:sz w:val="21"/>
                    </w:rPr>
                  </w:pPr>
                  <w:r>
                    <w:rPr>
                      <w:sz w:val="21"/>
                    </w:rPr>
                    <w:t>气体灭火系统工作正常，无故障；各联动设备联动功能正常。</w:t>
                  </w:r>
                </w:p>
              </w:tc>
            </w:tr>
            <w:tr w14:paraId="52434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3" w:type="pct"/>
                  <w:noWrap w:val="0"/>
                  <w:vAlign w:val="center"/>
                </w:tcPr>
                <w:p w14:paraId="3C359C1E">
                  <w:pPr>
                    <w:pStyle w:val="25"/>
                    <w:spacing w:before="1" w:line="252" w:lineRule="exact"/>
                    <w:jc w:val="center"/>
                    <w:rPr>
                      <w:sz w:val="21"/>
                    </w:rPr>
                  </w:pPr>
                  <w:r>
                    <w:rPr>
                      <w:sz w:val="21"/>
                    </w:rPr>
                    <w:t>记录</w:t>
                  </w:r>
                </w:p>
              </w:tc>
              <w:tc>
                <w:tcPr>
                  <w:tcW w:w="2948" w:type="pct"/>
                  <w:noWrap w:val="0"/>
                  <w:vAlign w:val="center"/>
                </w:tcPr>
                <w:p w14:paraId="6EE71A19">
                  <w:pPr>
                    <w:pStyle w:val="25"/>
                    <w:spacing w:before="1" w:line="252" w:lineRule="exact"/>
                    <w:ind w:right="995" w:firstLine="420"/>
                    <w:jc w:val="center"/>
                    <w:rPr>
                      <w:sz w:val="21"/>
                    </w:rPr>
                  </w:pPr>
                  <w:r>
                    <w:rPr>
                      <w:sz w:val="21"/>
                    </w:rPr>
                    <w:t>对气体灭火系统维修保养有记录。</w:t>
                  </w:r>
                </w:p>
              </w:tc>
              <w:tc>
                <w:tcPr>
                  <w:tcW w:w="1319" w:type="pct"/>
                  <w:noWrap w:val="0"/>
                  <w:vAlign w:val="center"/>
                </w:tcPr>
                <w:p w14:paraId="4C16C9EB">
                  <w:pPr>
                    <w:pStyle w:val="25"/>
                    <w:spacing w:before="1" w:line="252" w:lineRule="exact"/>
                    <w:ind w:left="122" w:firstLine="420"/>
                    <w:jc w:val="center"/>
                    <w:rPr>
                      <w:sz w:val="21"/>
                    </w:rPr>
                  </w:pPr>
                  <w:r>
                    <w:rPr>
                      <w:sz w:val="21"/>
                    </w:rPr>
                    <w:t>记录及时、完整。</w:t>
                  </w:r>
                </w:p>
              </w:tc>
            </w:tr>
          </w:tbl>
          <w:p w14:paraId="6521DFBC">
            <w:pPr>
              <w:kinsoku w:val="0"/>
              <w:overflowPunct w:val="0"/>
              <w:autoSpaceDE w:val="0"/>
              <w:autoSpaceDN w:val="0"/>
              <w:adjustRightInd w:val="0"/>
              <w:snapToGrid w:val="0"/>
              <w:spacing w:line="276" w:lineRule="auto"/>
              <w:ind w:firstLine="0" w:firstLineChars="0"/>
              <w:rPr>
                <w:rFonts w:hint="eastAsia" w:ascii="宋体" w:hAnsi="宋体" w:cs="宋体"/>
                <w:bCs/>
                <w:sz w:val="28"/>
                <w:szCs w:val="28"/>
              </w:rPr>
            </w:pPr>
          </w:p>
          <w:p w14:paraId="2D3DAE14">
            <w:pPr>
              <w:spacing w:line="360" w:lineRule="auto"/>
              <w:ind w:firstLine="660" w:firstLineChars="275"/>
              <w:rPr>
                <w:rFonts w:ascii="宋体" w:hAnsi="宋体" w:cs="宋体"/>
                <w:sz w:val="24"/>
                <w:szCs w:val="24"/>
              </w:rPr>
            </w:pPr>
            <w:r>
              <w:rPr>
                <w:rFonts w:hint="eastAsia" w:ascii="宋体" w:hAnsi="宋体" w:cs="宋体"/>
                <w:sz w:val="24"/>
                <w:szCs w:val="24"/>
              </w:rPr>
              <w:t>（7）消防广播（背景音乐）系统</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222"/>
              <w:gridCol w:w="5598"/>
              <w:gridCol w:w="3048"/>
            </w:tblGrid>
            <w:tr w14:paraId="3A7CC59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620" w:type="pct"/>
                  <w:noWrap w:val="0"/>
                  <w:vAlign w:val="center"/>
                </w:tcPr>
                <w:p w14:paraId="3AF3B59D">
                  <w:pPr>
                    <w:pStyle w:val="25"/>
                    <w:spacing w:line="242" w:lineRule="auto"/>
                    <w:ind w:right="88"/>
                    <w:jc w:val="center"/>
                    <w:rPr>
                      <w:b/>
                      <w:bCs/>
                      <w:sz w:val="21"/>
                    </w:rPr>
                  </w:pPr>
                  <w:r>
                    <w:rPr>
                      <w:b/>
                      <w:bCs/>
                      <w:sz w:val="21"/>
                    </w:rPr>
                    <w:t xml:space="preserve">项目 </w:t>
                  </w:r>
                </w:p>
              </w:tc>
              <w:tc>
                <w:tcPr>
                  <w:tcW w:w="2836" w:type="pct"/>
                  <w:noWrap w:val="0"/>
                  <w:vAlign w:val="center"/>
                </w:tcPr>
                <w:p w14:paraId="32E069EA">
                  <w:pPr>
                    <w:pStyle w:val="25"/>
                    <w:spacing w:line="242" w:lineRule="auto"/>
                    <w:ind w:right="88"/>
                    <w:jc w:val="center"/>
                    <w:rPr>
                      <w:b/>
                      <w:bCs/>
                      <w:sz w:val="21"/>
                    </w:rPr>
                  </w:pPr>
                  <w:r>
                    <w:rPr>
                      <w:b/>
                      <w:bCs/>
                      <w:sz w:val="21"/>
                    </w:rPr>
                    <w:t xml:space="preserve">维修保养检查内容及频次 </w:t>
                  </w:r>
                </w:p>
              </w:tc>
              <w:tc>
                <w:tcPr>
                  <w:tcW w:w="1544" w:type="pct"/>
                  <w:noWrap w:val="0"/>
                  <w:vAlign w:val="center"/>
                </w:tcPr>
                <w:p w14:paraId="38220ED2">
                  <w:pPr>
                    <w:pStyle w:val="25"/>
                    <w:spacing w:line="242" w:lineRule="auto"/>
                    <w:ind w:right="88"/>
                    <w:jc w:val="center"/>
                    <w:rPr>
                      <w:b/>
                      <w:bCs/>
                      <w:sz w:val="21"/>
                    </w:rPr>
                  </w:pPr>
                  <w:r>
                    <w:rPr>
                      <w:b/>
                      <w:bCs/>
                      <w:sz w:val="21"/>
                    </w:rPr>
                    <w:t xml:space="preserve"> 标 准 </w:t>
                  </w:r>
                </w:p>
              </w:tc>
            </w:tr>
            <w:tr w14:paraId="0926810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3" w:hRule="atLeast"/>
                <w:jc w:val="center"/>
              </w:trPr>
              <w:tc>
                <w:tcPr>
                  <w:tcW w:w="620" w:type="pct"/>
                  <w:noWrap w:val="0"/>
                  <w:vAlign w:val="center"/>
                </w:tcPr>
                <w:p w14:paraId="4BEB5121">
                  <w:pPr>
                    <w:pStyle w:val="25"/>
                    <w:spacing w:line="242" w:lineRule="auto"/>
                    <w:ind w:left="105" w:leftChars="50" w:right="105" w:rightChars="50"/>
                    <w:jc w:val="center"/>
                    <w:rPr>
                      <w:sz w:val="21"/>
                    </w:rPr>
                  </w:pPr>
                  <w:r>
                    <w:rPr>
                      <w:sz w:val="21"/>
                    </w:rPr>
                    <w:t xml:space="preserve">广播扬声器 </w:t>
                  </w:r>
                </w:p>
              </w:tc>
              <w:tc>
                <w:tcPr>
                  <w:tcW w:w="2836" w:type="pct"/>
                  <w:noWrap w:val="0"/>
                  <w:vAlign w:val="center"/>
                </w:tcPr>
                <w:p w14:paraId="57AD979B">
                  <w:pPr>
                    <w:pStyle w:val="25"/>
                    <w:spacing w:line="242" w:lineRule="auto"/>
                    <w:ind w:left="105" w:leftChars="50" w:right="105" w:rightChars="50"/>
                    <w:jc w:val="center"/>
                    <w:rPr>
                      <w:sz w:val="21"/>
                    </w:rPr>
                  </w:pPr>
                  <w:r>
                    <w:rPr>
                      <w:sz w:val="21"/>
                    </w:rPr>
                    <w:t>检查广播扬声器的声响是否正常</w:t>
                  </w:r>
                  <w:r>
                    <w:rPr>
                      <w:rFonts w:hint="eastAsia"/>
                      <w:sz w:val="21"/>
                    </w:rPr>
                    <w:t>，</w:t>
                  </w:r>
                  <w:r>
                    <w:rPr>
                      <w:sz w:val="21"/>
                    </w:rPr>
                    <w:t xml:space="preserve">每月 1 次 </w:t>
                  </w:r>
                </w:p>
              </w:tc>
              <w:tc>
                <w:tcPr>
                  <w:tcW w:w="1544" w:type="pct"/>
                  <w:noWrap w:val="0"/>
                  <w:vAlign w:val="center"/>
                </w:tcPr>
                <w:p w14:paraId="66F64247">
                  <w:pPr>
                    <w:pStyle w:val="25"/>
                    <w:spacing w:line="242" w:lineRule="auto"/>
                    <w:ind w:left="105" w:leftChars="50" w:right="105" w:rightChars="50"/>
                    <w:jc w:val="center"/>
                    <w:rPr>
                      <w:sz w:val="21"/>
                    </w:rPr>
                  </w:pPr>
                  <w:r>
                    <w:rPr>
                      <w:sz w:val="21"/>
                    </w:rPr>
                    <w:t xml:space="preserve">工作正常，无故障。 </w:t>
                  </w:r>
                </w:p>
              </w:tc>
            </w:tr>
            <w:tr w14:paraId="4A2EF6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620" w:type="pct"/>
                  <w:noWrap w:val="0"/>
                  <w:vAlign w:val="center"/>
                </w:tcPr>
                <w:p w14:paraId="5B5648DD">
                  <w:pPr>
                    <w:pStyle w:val="25"/>
                    <w:spacing w:line="242" w:lineRule="auto"/>
                    <w:ind w:left="105" w:leftChars="50" w:right="105" w:rightChars="50"/>
                    <w:jc w:val="center"/>
                    <w:rPr>
                      <w:sz w:val="21"/>
                    </w:rPr>
                  </w:pPr>
                  <w:r>
                    <w:rPr>
                      <w:sz w:val="21"/>
                    </w:rPr>
                    <w:t xml:space="preserve">广播主机设备 </w:t>
                  </w:r>
                </w:p>
              </w:tc>
              <w:tc>
                <w:tcPr>
                  <w:tcW w:w="2836" w:type="pct"/>
                  <w:noWrap w:val="0"/>
                  <w:vAlign w:val="center"/>
                </w:tcPr>
                <w:p w14:paraId="323CE515">
                  <w:pPr>
                    <w:pStyle w:val="25"/>
                    <w:spacing w:line="242" w:lineRule="auto"/>
                    <w:ind w:left="105" w:leftChars="50" w:right="105" w:rightChars="50"/>
                    <w:jc w:val="center"/>
                    <w:rPr>
                      <w:sz w:val="21"/>
                    </w:rPr>
                  </w:pPr>
                  <w:r>
                    <w:rPr>
                      <w:sz w:val="21"/>
                    </w:rPr>
                    <w:t>清洁除尘、检查主机设备、线路，紧固各接</w:t>
                  </w:r>
                </w:p>
                <w:p w14:paraId="597583B8">
                  <w:pPr>
                    <w:pStyle w:val="25"/>
                    <w:spacing w:line="242" w:lineRule="auto"/>
                    <w:ind w:left="105" w:leftChars="50" w:right="105" w:rightChars="50"/>
                    <w:jc w:val="center"/>
                    <w:rPr>
                      <w:sz w:val="21"/>
                    </w:rPr>
                  </w:pPr>
                  <w:r>
                    <w:rPr>
                      <w:sz w:val="21"/>
                    </w:rPr>
                    <w:t>线端子</w:t>
                  </w:r>
                  <w:r>
                    <w:rPr>
                      <w:rFonts w:hint="eastAsia"/>
                      <w:sz w:val="21"/>
                    </w:rPr>
                    <w:t>，</w:t>
                  </w:r>
                  <w:r>
                    <w:rPr>
                      <w:sz w:val="21"/>
                    </w:rPr>
                    <w:t xml:space="preserve">每月 1 次 </w:t>
                  </w:r>
                </w:p>
              </w:tc>
              <w:tc>
                <w:tcPr>
                  <w:tcW w:w="1544" w:type="pct"/>
                  <w:noWrap w:val="0"/>
                  <w:vAlign w:val="center"/>
                </w:tcPr>
                <w:p w14:paraId="6791F19B">
                  <w:pPr>
                    <w:pStyle w:val="25"/>
                    <w:spacing w:line="242" w:lineRule="auto"/>
                    <w:ind w:left="105" w:leftChars="50" w:right="105" w:rightChars="50"/>
                    <w:jc w:val="center"/>
                    <w:rPr>
                      <w:sz w:val="21"/>
                    </w:rPr>
                  </w:pPr>
                  <w:r>
                    <w:rPr>
                      <w:sz w:val="21"/>
                    </w:rPr>
                    <w:t xml:space="preserve">工作正常，无故障。 </w:t>
                  </w:r>
                </w:p>
              </w:tc>
            </w:tr>
            <w:tr w14:paraId="489ABE7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3" w:hRule="atLeast"/>
                <w:jc w:val="center"/>
              </w:trPr>
              <w:tc>
                <w:tcPr>
                  <w:tcW w:w="620" w:type="pct"/>
                  <w:noWrap w:val="0"/>
                  <w:vAlign w:val="center"/>
                </w:tcPr>
                <w:p w14:paraId="0EAB21D3">
                  <w:pPr>
                    <w:pStyle w:val="25"/>
                    <w:spacing w:line="242" w:lineRule="auto"/>
                    <w:ind w:left="105" w:leftChars="50" w:right="105" w:rightChars="50"/>
                    <w:jc w:val="center"/>
                    <w:rPr>
                      <w:sz w:val="21"/>
                    </w:rPr>
                  </w:pPr>
                  <w:r>
                    <w:rPr>
                      <w:sz w:val="21"/>
                    </w:rPr>
                    <w:t xml:space="preserve">广播模块 </w:t>
                  </w:r>
                </w:p>
              </w:tc>
              <w:tc>
                <w:tcPr>
                  <w:tcW w:w="2836" w:type="pct"/>
                  <w:noWrap w:val="0"/>
                  <w:vAlign w:val="center"/>
                </w:tcPr>
                <w:p w14:paraId="0024CF25">
                  <w:pPr>
                    <w:pStyle w:val="25"/>
                    <w:spacing w:line="242" w:lineRule="auto"/>
                    <w:ind w:left="105" w:leftChars="50" w:right="105" w:rightChars="50"/>
                    <w:jc w:val="center"/>
                    <w:rPr>
                      <w:sz w:val="21"/>
                    </w:rPr>
                  </w:pPr>
                  <w:r>
                    <w:rPr>
                      <w:sz w:val="21"/>
                    </w:rPr>
                    <w:t>检查功能是否正常</w:t>
                  </w:r>
                  <w:r>
                    <w:rPr>
                      <w:rFonts w:hint="eastAsia"/>
                      <w:sz w:val="21"/>
                    </w:rPr>
                    <w:t>，</w:t>
                  </w:r>
                  <w:r>
                    <w:rPr>
                      <w:sz w:val="21"/>
                    </w:rPr>
                    <w:t>每</w:t>
                  </w:r>
                  <w:r>
                    <w:rPr>
                      <w:rFonts w:hint="eastAsia"/>
                      <w:sz w:val="21"/>
                    </w:rPr>
                    <w:t>季度</w:t>
                  </w:r>
                  <w:r>
                    <w:rPr>
                      <w:sz w:val="21"/>
                    </w:rPr>
                    <w:t xml:space="preserve"> 1 次 </w:t>
                  </w:r>
                </w:p>
              </w:tc>
              <w:tc>
                <w:tcPr>
                  <w:tcW w:w="1544" w:type="pct"/>
                  <w:noWrap w:val="0"/>
                  <w:vAlign w:val="center"/>
                </w:tcPr>
                <w:p w14:paraId="18357166">
                  <w:pPr>
                    <w:pStyle w:val="25"/>
                    <w:spacing w:line="242" w:lineRule="auto"/>
                    <w:ind w:left="105" w:leftChars="50" w:right="105" w:rightChars="50"/>
                    <w:jc w:val="center"/>
                    <w:rPr>
                      <w:sz w:val="21"/>
                    </w:rPr>
                  </w:pPr>
                  <w:r>
                    <w:rPr>
                      <w:sz w:val="21"/>
                    </w:rPr>
                    <w:t xml:space="preserve">工作正常，无故障。 </w:t>
                  </w:r>
                </w:p>
              </w:tc>
            </w:tr>
            <w:tr w14:paraId="2CF88FF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620" w:type="pct"/>
                  <w:noWrap w:val="0"/>
                  <w:vAlign w:val="center"/>
                </w:tcPr>
                <w:p w14:paraId="470D73B3">
                  <w:pPr>
                    <w:pStyle w:val="25"/>
                    <w:spacing w:line="242" w:lineRule="auto"/>
                    <w:ind w:left="105" w:leftChars="50" w:right="105" w:rightChars="50"/>
                    <w:jc w:val="center"/>
                    <w:rPr>
                      <w:sz w:val="21"/>
                    </w:rPr>
                  </w:pPr>
                  <w:r>
                    <w:rPr>
                      <w:sz w:val="21"/>
                    </w:rPr>
                    <w:t>功放等设备</w:t>
                  </w:r>
                </w:p>
              </w:tc>
              <w:tc>
                <w:tcPr>
                  <w:tcW w:w="2836" w:type="pct"/>
                  <w:noWrap w:val="0"/>
                  <w:vAlign w:val="center"/>
                </w:tcPr>
                <w:p w14:paraId="48C75511">
                  <w:pPr>
                    <w:pStyle w:val="25"/>
                    <w:spacing w:line="242" w:lineRule="auto"/>
                    <w:ind w:left="105" w:leftChars="50" w:right="105" w:rightChars="50"/>
                    <w:jc w:val="center"/>
                    <w:rPr>
                      <w:sz w:val="21"/>
                    </w:rPr>
                  </w:pPr>
                  <w:r>
                    <w:rPr>
                      <w:sz w:val="21"/>
                    </w:rPr>
                    <w:t>清洁除尘、检查功放、切换器、网络终端、</w:t>
                  </w:r>
                </w:p>
                <w:p w14:paraId="71EF96C2">
                  <w:pPr>
                    <w:pStyle w:val="25"/>
                    <w:spacing w:line="242" w:lineRule="auto"/>
                    <w:ind w:left="105" w:leftChars="50" w:right="105" w:rightChars="50"/>
                    <w:jc w:val="center"/>
                    <w:rPr>
                      <w:sz w:val="21"/>
                    </w:rPr>
                  </w:pPr>
                  <w:r>
                    <w:rPr>
                      <w:sz w:val="21"/>
                    </w:rPr>
                    <w:t>线路检测器设备功能、规整线路，紧固各接线端子</w:t>
                  </w:r>
                  <w:r>
                    <w:rPr>
                      <w:rFonts w:hint="eastAsia"/>
                      <w:sz w:val="21"/>
                    </w:rPr>
                    <w:t>，</w:t>
                  </w:r>
                  <w:r>
                    <w:rPr>
                      <w:sz w:val="21"/>
                    </w:rPr>
                    <w:t xml:space="preserve">每月 1 次 </w:t>
                  </w:r>
                </w:p>
              </w:tc>
              <w:tc>
                <w:tcPr>
                  <w:tcW w:w="1544" w:type="pct"/>
                  <w:noWrap w:val="0"/>
                  <w:vAlign w:val="center"/>
                </w:tcPr>
                <w:p w14:paraId="0962E4A1">
                  <w:pPr>
                    <w:pStyle w:val="25"/>
                    <w:spacing w:line="242" w:lineRule="auto"/>
                    <w:ind w:left="105" w:leftChars="50" w:right="105" w:rightChars="50"/>
                    <w:jc w:val="center"/>
                    <w:rPr>
                      <w:sz w:val="21"/>
                    </w:rPr>
                  </w:pPr>
                  <w:r>
                    <w:rPr>
                      <w:sz w:val="21"/>
                    </w:rPr>
                    <w:t xml:space="preserve">机柜无尘垢，设备工作正常，无故障。 </w:t>
                  </w:r>
                </w:p>
              </w:tc>
            </w:tr>
            <w:tr w14:paraId="4245962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620" w:type="pct"/>
                  <w:noWrap w:val="0"/>
                  <w:vAlign w:val="center"/>
                </w:tcPr>
                <w:p w14:paraId="61F47C2F">
                  <w:pPr>
                    <w:pStyle w:val="25"/>
                    <w:spacing w:line="242" w:lineRule="auto"/>
                    <w:ind w:left="105" w:leftChars="50" w:right="105" w:rightChars="50"/>
                    <w:jc w:val="center"/>
                    <w:rPr>
                      <w:sz w:val="21"/>
                    </w:rPr>
                  </w:pPr>
                  <w:r>
                    <w:rPr>
                      <w:sz w:val="21"/>
                    </w:rPr>
                    <w:t xml:space="preserve">记录 </w:t>
                  </w:r>
                </w:p>
              </w:tc>
              <w:tc>
                <w:tcPr>
                  <w:tcW w:w="2836" w:type="pct"/>
                  <w:noWrap w:val="0"/>
                  <w:vAlign w:val="center"/>
                </w:tcPr>
                <w:p w14:paraId="7D3E886B">
                  <w:pPr>
                    <w:pStyle w:val="25"/>
                    <w:spacing w:line="242" w:lineRule="auto"/>
                    <w:ind w:left="105" w:leftChars="50" w:right="105" w:rightChars="50"/>
                    <w:jc w:val="center"/>
                    <w:rPr>
                      <w:sz w:val="21"/>
                    </w:rPr>
                  </w:pPr>
                  <w:r>
                    <w:rPr>
                      <w:sz w:val="21"/>
                    </w:rPr>
                    <w:t xml:space="preserve">对消防广播系统维修保养有记录。 </w:t>
                  </w:r>
                </w:p>
              </w:tc>
              <w:tc>
                <w:tcPr>
                  <w:tcW w:w="1544" w:type="pct"/>
                  <w:noWrap w:val="0"/>
                  <w:vAlign w:val="center"/>
                </w:tcPr>
                <w:p w14:paraId="53042A4C">
                  <w:pPr>
                    <w:pStyle w:val="25"/>
                    <w:spacing w:line="242" w:lineRule="auto"/>
                    <w:ind w:left="105" w:leftChars="50" w:right="105" w:rightChars="50"/>
                    <w:jc w:val="center"/>
                    <w:rPr>
                      <w:sz w:val="21"/>
                    </w:rPr>
                  </w:pPr>
                  <w:r>
                    <w:rPr>
                      <w:sz w:val="21"/>
                    </w:rPr>
                    <w:t xml:space="preserve">记录及时、完整。 </w:t>
                  </w:r>
                </w:p>
              </w:tc>
            </w:tr>
          </w:tbl>
          <w:p w14:paraId="5AB05CCC">
            <w:pPr>
              <w:kinsoku w:val="0"/>
              <w:overflowPunct w:val="0"/>
              <w:autoSpaceDE w:val="0"/>
              <w:autoSpaceDN w:val="0"/>
              <w:adjustRightInd w:val="0"/>
              <w:snapToGrid w:val="0"/>
              <w:spacing w:line="276" w:lineRule="auto"/>
              <w:ind w:left="105" w:leftChars="50" w:right="105" w:rightChars="50" w:firstLine="560"/>
              <w:rPr>
                <w:rFonts w:hint="eastAsia" w:ascii="宋体" w:hAnsi="宋体" w:cs="宋体"/>
                <w:bCs/>
                <w:sz w:val="28"/>
                <w:szCs w:val="28"/>
              </w:rPr>
            </w:pPr>
          </w:p>
          <w:p w14:paraId="22067387">
            <w:pPr>
              <w:spacing w:line="360" w:lineRule="auto"/>
              <w:ind w:left="105" w:leftChars="50" w:right="105" w:rightChars="50" w:firstLine="660" w:firstLineChars="275"/>
              <w:rPr>
                <w:rFonts w:ascii="宋体" w:hAnsi="宋体" w:cs="宋体"/>
                <w:sz w:val="24"/>
                <w:szCs w:val="24"/>
              </w:rPr>
            </w:pPr>
            <w:r>
              <w:rPr>
                <w:rFonts w:hint="eastAsia" w:ascii="宋体" w:hAnsi="宋体" w:cs="宋体"/>
                <w:sz w:val="24"/>
                <w:szCs w:val="24"/>
              </w:rPr>
              <w:t>（8）电气火灾报警系统</w:t>
            </w:r>
          </w:p>
          <w:tbl>
            <w:tblPr>
              <w:tblStyle w:val="18"/>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4929"/>
              <w:gridCol w:w="3096"/>
            </w:tblGrid>
            <w:tr w14:paraId="6AC83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933" w:type="pct"/>
                  <w:noWrap w:val="0"/>
                  <w:vAlign w:val="top"/>
                </w:tcPr>
                <w:p w14:paraId="1DAFDED3">
                  <w:pPr>
                    <w:pStyle w:val="25"/>
                    <w:spacing w:line="242" w:lineRule="auto"/>
                    <w:ind w:left="105" w:leftChars="50" w:right="105" w:rightChars="50"/>
                    <w:jc w:val="center"/>
                    <w:rPr>
                      <w:b/>
                      <w:bCs/>
                      <w:sz w:val="21"/>
                    </w:rPr>
                  </w:pPr>
                  <w:r>
                    <w:rPr>
                      <w:b/>
                      <w:bCs/>
                      <w:sz w:val="21"/>
                    </w:rPr>
                    <w:t xml:space="preserve">项目 </w:t>
                  </w:r>
                </w:p>
              </w:tc>
              <w:tc>
                <w:tcPr>
                  <w:tcW w:w="2498" w:type="pct"/>
                  <w:noWrap w:val="0"/>
                  <w:vAlign w:val="top"/>
                </w:tcPr>
                <w:p w14:paraId="27028A32">
                  <w:pPr>
                    <w:pStyle w:val="25"/>
                    <w:spacing w:line="242" w:lineRule="auto"/>
                    <w:ind w:left="105" w:leftChars="50" w:right="105" w:rightChars="50"/>
                    <w:jc w:val="center"/>
                    <w:rPr>
                      <w:b/>
                      <w:bCs/>
                      <w:sz w:val="21"/>
                    </w:rPr>
                  </w:pPr>
                  <w:r>
                    <w:rPr>
                      <w:b/>
                      <w:bCs/>
                      <w:sz w:val="21"/>
                    </w:rPr>
                    <w:t xml:space="preserve">  维修保养检查内容及频次 </w:t>
                  </w:r>
                </w:p>
              </w:tc>
              <w:tc>
                <w:tcPr>
                  <w:tcW w:w="1569" w:type="pct"/>
                  <w:noWrap w:val="0"/>
                  <w:vAlign w:val="top"/>
                </w:tcPr>
                <w:p w14:paraId="54DF177A">
                  <w:pPr>
                    <w:pStyle w:val="25"/>
                    <w:spacing w:line="242" w:lineRule="auto"/>
                    <w:ind w:left="105" w:leftChars="50" w:right="105" w:rightChars="50"/>
                    <w:jc w:val="center"/>
                    <w:rPr>
                      <w:b/>
                      <w:bCs/>
                      <w:sz w:val="21"/>
                    </w:rPr>
                  </w:pPr>
                  <w:r>
                    <w:rPr>
                      <w:b/>
                      <w:bCs/>
                      <w:sz w:val="21"/>
                    </w:rPr>
                    <w:t xml:space="preserve"> 标 准 </w:t>
                  </w:r>
                </w:p>
              </w:tc>
            </w:tr>
            <w:tr w14:paraId="4BE55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33" w:type="pct"/>
                  <w:noWrap w:val="0"/>
                  <w:vAlign w:val="top"/>
                </w:tcPr>
                <w:p w14:paraId="41163A07">
                  <w:pPr>
                    <w:pStyle w:val="25"/>
                    <w:spacing w:line="242" w:lineRule="auto"/>
                    <w:ind w:left="105" w:leftChars="50" w:right="105" w:rightChars="50"/>
                    <w:jc w:val="center"/>
                    <w:rPr>
                      <w:sz w:val="21"/>
                    </w:rPr>
                  </w:pPr>
                  <w:r>
                    <w:rPr>
                      <w:sz w:val="21"/>
                    </w:rPr>
                    <w:t>电气火灾报警</w:t>
                  </w:r>
                </w:p>
                <w:p w14:paraId="433488A5">
                  <w:pPr>
                    <w:pStyle w:val="25"/>
                    <w:spacing w:line="242" w:lineRule="auto"/>
                    <w:ind w:left="105" w:leftChars="50" w:right="105" w:rightChars="50"/>
                    <w:jc w:val="center"/>
                    <w:rPr>
                      <w:sz w:val="21"/>
                    </w:rPr>
                  </w:pPr>
                  <w:r>
                    <w:rPr>
                      <w:sz w:val="21"/>
                    </w:rPr>
                    <w:t xml:space="preserve">主机（及监控单元） </w:t>
                  </w:r>
                </w:p>
              </w:tc>
              <w:tc>
                <w:tcPr>
                  <w:tcW w:w="2498" w:type="pct"/>
                  <w:noWrap w:val="0"/>
                  <w:vAlign w:val="top"/>
                </w:tcPr>
                <w:p w14:paraId="6991C516">
                  <w:pPr>
                    <w:pStyle w:val="25"/>
                    <w:spacing w:line="242" w:lineRule="auto"/>
                    <w:ind w:left="105" w:leftChars="50" w:right="105" w:rightChars="50"/>
                    <w:rPr>
                      <w:sz w:val="21"/>
                    </w:rPr>
                  </w:pPr>
                  <w:r>
                    <w:rPr>
                      <w:sz w:val="21"/>
                    </w:rPr>
                    <w:t>清洁、检查报警主机（及监控单元）与各探测器连接通讯是否正常，报警功能是否正常</w:t>
                  </w:r>
                  <w:r>
                    <w:rPr>
                      <w:rFonts w:hint="eastAsia"/>
                      <w:sz w:val="21"/>
                    </w:rPr>
                    <w:t>，</w:t>
                  </w:r>
                  <w:r>
                    <w:rPr>
                      <w:sz w:val="21"/>
                    </w:rPr>
                    <w:t xml:space="preserve">每月 1 次 </w:t>
                  </w:r>
                </w:p>
              </w:tc>
              <w:tc>
                <w:tcPr>
                  <w:tcW w:w="1569" w:type="pct"/>
                  <w:noWrap w:val="0"/>
                  <w:vAlign w:val="top"/>
                </w:tcPr>
                <w:p w14:paraId="4361D674">
                  <w:pPr>
                    <w:pStyle w:val="25"/>
                    <w:spacing w:line="242" w:lineRule="auto"/>
                    <w:ind w:left="105" w:leftChars="50" w:right="105" w:rightChars="50"/>
                    <w:jc w:val="center"/>
                    <w:rPr>
                      <w:sz w:val="21"/>
                    </w:rPr>
                  </w:pPr>
                  <w:r>
                    <w:rPr>
                      <w:sz w:val="21"/>
                    </w:rPr>
                    <w:t>主机无尘垢，工作正常， 无故障。</w:t>
                  </w:r>
                </w:p>
              </w:tc>
            </w:tr>
            <w:tr w14:paraId="7EB8A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33" w:type="pct"/>
                  <w:noWrap w:val="0"/>
                  <w:vAlign w:val="top"/>
                </w:tcPr>
                <w:p w14:paraId="280E6D38">
                  <w:pPr>
                    <w:pStyle w:val="25"/>
                    <w:spacing w:line="242" w:lineRule="auto"/>
                    <w:ind w:left="105" w:leftChars="50" w:right="105" w:rightChars="50"/>
                    <w:jc w:val="center"/>
                    <w:rPr>
                      <w:sz w:val="21"/>
                    </w:rPr>
                  </w:pPr>
                  <w:r>
                    <w:rPr>
                      <w:sz w:val="21"/>
                    </w:rPr>
                    <w:t xml:space="preserve">电气火灾探测器 </w:t>
                  </w:r>
                </w:p>
              </w:tc>
              <w:tc>
                <w:tcPr>
                  <w:tcW w:w="2498" w:type="pct"/>
                  <w:noWrap w:val="0"/>
                  <w:vAlign w:val="top"/>
                </w:tcPr>
                <w:p w14:paraId="5439097C">
                  <w:pPr>
                    <w:pStyle w:val="25"/>
                    <w:spacing w:line="242" w:lineRule="auto"/>
                    <w:ind w:left="105" w:leftChars="50" w:right="105" w:rightChars="50"/>
                    <w:rPr>
                      <w:sz w:val="21"/>
                    </w:rPr>
                  </w:pPr>
                  <w:r>
                    <w:rPr>
                      <w:sz w:val="21"/>
                    </w:rPr>
                    <w:t>清洁、外观检查及通讯、报警功能检测是否正常</w:t>
                  </w:r>
                  <w:r>
                    <w:rPr>
                      <w:rFonts w:hint="eastAsia"/>
                      <w:sz w:val="21"/>
                    </w:rPr>
                    <w:t>，</w:t>
                  </w:r>
                  <w:r>
                    <w:rPr>
                      <w:sz w:val="21"/>
                    </w:rPr>
                    <w:t xml:space="preserve">每月1次 </w:t>
                  </w:r>
                </w:p>
              </w:tc>
              <w:tc>
                <w:tcPr>
                  <w:tcW w:w="1569" w:type="pct"/>
                  <w:noWrap w:val="0"/>
                  <w:vAlign w:val="top"/>
                </w:tcPr>
                <w:p w14:paraId="1527E266">
                  <w:pPr>
                    <w:pStyle w:val="25"/>
                    <w:spacing w:line="242" w:lineRule="auto"/>
                    <w:ind w:left="105" w:leftChars="50" w:right="105" w:rightChars="50"/>
                    <w:jc w:val="center"/>
                    <w:rPr>
                      <w:sz w:val="21"/>
                    </w:rPr>
                  </w:pPr>
                  <w:r>
                    <w:rPr>
                      <w:sz w:val="21"/>
                    </w:rPr>
                    <w:t>探测器无尘垢，工作正常，无故障。</w:t>
                  </w:r>
                </w:p>
              </w:tc>
            </w:tr>
            <w:tr w14:paraId="3BA30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933" w:type="pct"/>
                  <w:noWrap w:val="0"/>
                  <w:vAlign w:val="top"/>
                </w:tcPr>
                <w:p w14:paraId="62759CEB">
                  <w:pPr>
                    <w:pStyle w:val="25"/>
                    <w:spacing w:line="242" w:lineRule="auto"/>
                    <w:ind w:left="105" w:leftChars="50" w:right="105" w:rightChars="50"/>
                    <w:jc w:val="center"/>
                    <w:rPr>
                      <w:sz w:val="21"/>
                    </w:rPr>
                  </w:pPr>
                  <w:r>
                    <w:rPr>
                      <w:sz w:val="21"/>
                    </w:rPr>
                    <w:t xml:space="preserve">记录 </w:t>
                  </w:r>
                </w:p>
              </w:tc>
              <w:tc>
                <w:tcPr>
                  <w:tcW w:w="2498" w:type="pct"/>
                  <w:noWrap w:val="0"/>
                  <w:vAlign w:val="top"/>
                </w:tcPr>
                <w:p w14:paraId="46C64F37">
                  <w:pPr>
                    <w:pStyle w:val="25"/>
                    <w:spacing w:line="242" w:lineRule="auto"/>
                    <w:ind w:left="105" w:leftChars="50" w:right="105" w:rightChars="50"/>
                    <w:jc w:val="center"/>
                    <w:rPr>
                      <w:sz w:val="21"/>
                    </w:rPr>
                  </w:pPr>
                  <w:r>
                    <w:rPr>
                      <w:sz w:val="21"/>
                    </w:rPr>
                    <w:t xml:space="preserve">对电气火灾报警系统维修保养有记录。 </w:t>
                  </w:r>
                </w:p>
              </w:tc>
              <w:tc>
                <w:tcPr>
                  <w:tcW w:w="1569" w:type="pct"/>
                  <w:noWrap w:val="0"/>
                  <w:vAlign w:val="top"/>
                </w:tcPr>
                <w:p w14:paraId="60B36D6A">
                  <w:pPr>
                    <w:pStyle w:val="25"/>
                    <w:spacing w:line="242" w:lineRule="auto"/>
                    <w:ind w:left="105" w:leftChars="50" w:right="105" w:rightChars="50"/>
                    <w:jc w:val="center"/>
                    <w:rPr>
                      <w:sz w:val="21"/>
                    </w:rPr>
                  </w:pPr>
                  <w:r>
                    <w:rPr>
                      <w:sz w:val="21"/>
                    </w:rPr>
                    <w:t xml:space="preserve">记录及时、完整。 </w:t>
                  </w:r>
                </w:p>
              </w:tc>
            </w:tr>
          </w:tbl>
          <w:p w14:paraId="29294E1D">
            <w:pPr>
              <w:kinsoku w:val="0"/>
              <w:overflowPunct w:val="0"/>
              <w:autoSpaceDE w:val="0"/>
              <w:autoSpaceDN w:val="0"/>
              <w:adjustRightInd w:val="0"/>
              <w:snapToGrid w:val="0"/>
              <w:spacing w:line="276" w:lineRule="auto"/>
              <w:ind w:firstLine="560"/>
              <w:rPr>
                <w:rFonts w:ascii="宋体" w:hAnsi="宋体" w:cs="宋体"/>
                <w:bCs/>
                <w:sz w:val="28"/>
                <w:szCs w:val="28"/>
              </w:rPr>
            </w:pPr>
          </w:p>
          <w:p w14:paraId="561B9B7E">
            <w:pPr>
              <w:spacing w:line="360" w:lineRule="auto"/>
              <w:ind w:firstLine="660" w:firstLineChars="275"/>
              <w:rPr>
                <w:rFonts w:ascii="宋体" w:hAnsi="宋体" w:cs="宋体"/>
                <w:sz w:val="24"/>
                <w:szCs w:val="24"/>
              </w:rPr>
            </w:pPr>
            <w:r>
              <w:rPr>
                <w:rFonts w:hint="eastAsia" w:ascii="宋体" w:hAnsi="宋体" w:cs="宋体"/>
                <w:sz w:val="24"/>
                <w:szCs w:val="24"/>
              </w:rPr>
              <w:t>（9）</w:t>
            </w:r>
            <w:r>
              <w:rPr>
                <w:rFonts w:ascii="宋体" w:hAnsi="宋体" w:cs="宋体"/>
                <w:sz w:val="24"/>
                <w:szCs w:val="24"/>
              </w:rPr>
              <w:t>应急照明及消防疏散指示系统</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311"/>
              <w:gridCol w:w="5944"/>
              <w:gridCol w:w="2613"/>
            </w:tblGrid>
            <w:tr w14:paraId="2BF635B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664" w:type="pct"/>
                  <w:noWrap w:val="0"/>
                  <w:vAlign w:val="center"/>
                </w:tcPr>
                <w:p w14:paraId="6723F5FC">
                  <w:pPr>
                    <w:pStyle w:val="25"/>
                    <w:spacing w:line="242" w:lineRule="auto"/>
                    <w:ind w:right="88"/>
                    <w:jc w:val="center"/>
                    <w:rPr>
                      <w:b/>
                      <w:bCs/>
                      <w:sz w:val="21"/>
                    </w:rPr>
                  </w:pPr>
                  <w:r>
                    <w:rPr>
                      <w:b/>
                      <w:bCs/>
                      <w:sz w:val="21"/>
                    </w:rPr>
                    <w:t xml:space="preserve">项目 </w:t>
                  </w:r>
                </w:p>
              </w:tc>
              <w:tc>
                <w:tcPr>
                  <w:tcW w:w="3012" w:type="pct"/>
                  <w:noWrap w:val="0"/>
                  <w:vAlign w:val="center"/>
                </w:tcPr>
                <w:p w14:paraId="6C374C4D">
                  <w:pPr>
                    <w:pStyle w:val="25"/>
                    <w:spacing w:line="242" w:lineRule="auto"/>
                    <w:ind w:right="88"/>
                    <w:jc w:val="center"/>
                    <w:rPr>
                      <w:b/>
                      <w:bCs/>
                      <w:sz w:val="21"/>
                    </w:rPr>
                  </w:pPr>
                  <w:r>
                    <w:rPr>
                      <w:b/>
                      <w:bCs/>
                      <w:sz w:val="21"/>
                    </w:rPr>
                    <w:t xml:space="preserve">  维修保养检查内容及频次 </w:t>
                  </w:r>
                </w:p>
              </w:tc>
              <w:tc>
                <w:tcPr>
                  <w:tcW w:w="1324" w:type="pct"/>
                  <w:noWrap w:val="0"/>
                  <w:vAlign w:val="center"/>
                </w:tcPr>
                <w:p w14:paraId="65D3A33A">
                  <w:pPr>
                    <w:pStyle w:val="25"/>
                    <w:spacing w:line="242" w:lineRule="auto"/>
                    <w:ind w:right="88"/>
                    <w:jc w:val="center"/>
                    <w:rPr>
                      <w:b/>
                      <w:bCs/>
                      <w:sz w:val="21"/>
                    </w:rPr>
                  </w:pPr>
                  <w:r>
                    <w:rPr>
                      <w:b/>
                      <w:bCs/>
                      <w:sz w:val="21"/>
                    </w:rPr>
                    <w:t xml:space="preserve"> 标 准 </w:t>
                  </w:r>
                </w:p>
              </w:tc>
            </w:tr>
            <w:tr w14:paraId="1779FC6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664" w:type="pct"/>
                  <w:noWrap w:val="0"/>
                  <w:vAlign w:val="center"/>
                </w:tcPr>
                <w:p w14:paraId="12783BF1">
                  <w:pPr>
                    <w:pStyle w:val="25"/>
                    <w:spacing w:line="242" w:lineRule="auto"/>
                    <w:ind w:right="88"/>
                    <w:jc w:val="center"/>
                    <w:rPr>
                      <w:sz w:val="21"/>
                    </w:rPr>
                  </w:pPr>
                  <w:r>
                    <w:rPr>
                      <w:sz w:val="21"/>
                    </w:rPr>
                    <w:t xml:space="preserve">疏散指示牌 </w:t>
                  </w:r>
                </w:p>
              </w:tc>
              <w:tc>
                <w:tcPr>
                  <w:tcW w:w="3012" w:type="pct"/>
                  <w:noWrap w:val="0"/>
                  <w:vAlign w:val="center"/>
                </w:tcPr>
                <w:p w14:paraId="3864FE61">
                  <w:pPr>
                    <w:pStyle w:val="25"/>
                    <w:spacing w:line="242" w:lineRule="auto"/>
                    <w:ind w:right="88"/>
                    <w:jc w:val="center"/>
                    <w:rPr>
                      <w:sz w:val="21"/>
                    </w:rPr>
                  </w:pPr>
                  <w:r>
                    <w:rPr>
                      <w:sz w:val="21"/>
                    </w:rPr>
                    <w:t>清洁、检查标示字体完整度，方向指示正确</w:t>
                  </w:r>
                  <w:r>
                    <w:rPr>
                      <w:rFonts w:hint="eastAsia"/>
                      <w:sz w:val="21"/>
                    </w:rPr>
                    <w:t>，</w:t>
                  </w:r>
                  <w:r>
                    <w:rPr>
                      <w:sz w:val="21"/>
                    </w:rPr>
                    <w:t xml:space="preserve">每月 1 次 </w:t>
                  </w:r>
                  <w:r>
                    <w:rPr>
                      <w:rFonts w:hint="eastAsia"/>
                      <w:sz w:val="21"/>
                    </w:rPr>
                    <w:t>。</w:t>
                  </w:r>
                </w:p>
              </w:tc>
              <w:tc>
                <w:tcPr>
                  <w:tcW w:w="1324" w:type="pct"/>
                  <w:vMerge w:val="restart"/>
                  <w:noWrap w:val="0"/>
                  <w:vAlign w:val="center"/>
                </w:tcPr>
                <w:p w14:paraId="492F7512">
                  <w:pPr>
                    <w:pStyle w:val="25"/>
                    <w:spacing w:line="242" w:lineRule="auto"/>
                    <w:ind w:right="88"/>
                    <w:jc w:val="center"/>
                    <w:rPr>
                      <w:sz w:val="21"/>
                    </w:rPr>
                  </w:pPr>
                </w:p>
                <w:p w14:paraId="7F54B325">
                  <w:pPr>
                    <w:pStyle w:val="25"/>
                    <w:spacing w:line="242" w:lineRule="auto"/>
                    <w:ind w:right="88"/>
                    <w:jc w:val="center"/>
                    <w:rPr>
                      <w:sz w:val="21"/>
                    </w:rPr>
                  </w:pPr>
                  <w:r>
                    <w:rPr>
                      <w:sz w:val="21"/>
                    </w:rPr>
                    <w:t xml:space="preserve">符合相关规范，满足人员紧急疏散指示要求。 </w:t>
                  </w:r>
                </w:p>
              </w:tc>
            </w:tr>
            <w:tr w14:paraId="6AA702F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664" w:type="pct"/>
                  <w:noWrap w:val="0"/>
                  <w:vAlign w:val="center"/>
                </w:tcPr>
                <w:p w14:paraId="69AA588C">
                  <w:pPr>
                    <w:pStyle w:val="25"/>
                    <w:spacing w:line="242" w:lineRule="auto"/>
                    <w:ind w:right="88"/>
                    <w:jc w:val="center"/>
                    <w:rPr>
                      <w:sz w:val="21"/>
                    </w:rPr>
                  </w:pPr>
                  <w:r>
                    <w:rPr>
                      <w:sz w:val="21"/>
                    </w:rPr>
                    <w:t xml:space="preserve">应急照明灯 </w:t>
                  </w:r>
                </w:p>
              </w:tc>
              <w:tc>
                <w:tcPr>
                  <w:tcW w:w="3012" w:type="pct"/>
                  <w:noWrap w:val="0"/>
                  <w:vAlign w:val="center"/>
                </w:tcPr>
                <w:p w14:paraId="6012E840">
                  <w:pPr>
                    <w:pStyle w:val="25"/>
                    <w:spacing w:line="242" w:lineRule="auto"/>
                    <w:ind w:right="88"/>
                    <w:jc w:val="center"/>
                    <w:rPr>
                      <w:sz w:val="21"/>
                    </w:rPr>
                  </w:pPr>
                  <w:r>
                    <w:rPr>
                      <w:sz w:val="21"/>
                    </w:rPr>
                    <w:t>清洁、外观检查及功能检测是否正常</w:t>
                  </w:r>
                  <w:r>
                    <w:rPr>
                      <w:rFonts w:hint="eastAsia"/>
                      <w:sz w:val="21"/>
                    </w:rPr>
                    <w:t>，</w:t>
                  </w:r>
                  <w:r>
                    <w:rPr>
                      <w:sz w:val="21"/>
                    </w:rPr>
                    <w:t xml:space="preserve">每月1 次 </w:t>
                  </w:r>
                  <w:r>
                    <w:rPr>
                      <w:rFonts w:hint="eastAsia"/>
                      <w:sz w:val="21"/>
                    </w:rPr>
                    <w:t>。</w:t>
                  </w:r>
                </w:p>
              </w:tc>
              <w:tc>
                <w:tcPr>
                  <w:tcW w:w="1324" w:type="pct"/>
                  <w:vMerge w:val="continue"/>
                  <w:noWrap w:val="0"/>
                  <w:vAlign w:val="center"/>
                </w:tcPr>
                <w:p w14:paraId="5152C0CC">
                  <w:pPr>
                    <w:spacing w:line="242" w:lineRule="auto"/>
                    <w:ind w:right="88" w:firstLine="420"/>
                    <w:jc w:val="center"/>
                    <w:rPr>
                      <w:rFonts w:ascii="宋体" w:hAnsi="宋体" w:cs="宋体"/>
                      <w:kern w:val="0"/>
                      <w:lang w:val="zh-CN" w:bidi="zh-CN"/>
                    </w:rPr>
                  </w:pPr>
                </w:p>
              </w:tc>
            </w:tr>
            <w:tr w14:paraId="30B79CA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664" w:type="pct"/>
                  <w:noWrap w:val="0"/>
                  <w:vAlign w:val="center"/>
                </w:tcPr>
                <w:p w14:paraId="1B9A8056">
                  <w:pPr>
                    <w:pStyle w:val="25"/>
                    <w:spacing w:line="242" w:lineRule="auto"/>
                    <w:ind w:right="88"/>
                    <w:jc w:val="center"/>
                    <w:rPr>
                      <w:sz w:val="21"/>
                    </w:rPr>
                  </w:pPr>
                  <w:r>
                    <w:rPr>
                      <w:sz w:val="21"/>
                    </w:rPr>
                    <w:t xml:space="preserve">常开防火门 </w:t>
                  </w:r>
                </w:p>
              </w:tc>
              <w:tc>
                <w:tcPr>
                  <w:tcW w:w="3012" w:type="pct"/>
                  <w:noWrap w:val="0"/>
                  <w:vAlign w:val="center"/>
                </w:tcPr>
                <w:p w14:paraId="16671C58">
                  <w:pPr>
                    <w:pStyle w:val="25"/>
                    <w:spacing w:line="242" w:lineRule="auto"/>
                    <w:ind w:right="88"/>
                    <w:jc w:val="center"/>
                    <w:rPr>
                      <w:sz w:val="21"/>
                    </w:rPr>
                  </w:pPr>
                  <w:r>
                    <w:rPr>
                      <w:sz w:val="21"/>
                    </w:rPr>
                    <w:t>清洁、外观检查及功能检测是否正常</w:t>
                  </w:r>
                  <w:r>
                    <w:rPr>
                      <w:rFonts w:hint="eastAsia"/>
                      <w:sz w:val="21"/>
                    </w:rPr>
                    <w:t>，</w:t>
                  </w:r>
                  <w:r>
                    <w:rPr>
                      <w:sz w:val="21"/>
                    </w:rPr>
                    <w:t xml:space="preserve">每月1 次 </w:t>
                  </w:r>
                  <w:r>
                    <w:rPr>
                      <w:rFonts w:hint="eastAsia"/>
                      <w:sz w:val="21"/>
                    </w:rPr>
                    <w:t>。</w:t>
                  </w:r>
                </w:p>
              </w:tc>
              <w:tc>
                <w:tcPr>
                  <w:tcW w:w="1324" w:type="pct"/>
                  <w:vMerge w:val="restart"/>
                  <w:noWrap w:val="0"/>
                  <w:vAlign w:val="center"/>
                </w:tcPr>
                <w:p w14:paraId="77084B2E">
                  <w:pPr>
                    <w:pStyle w:val="25"/>
                    <w:spacing w:line="242" w:lineRule="auto"/>
                    <w:ind w:right="88"/>
                    <w:jc w:val="center"/>
                    <w:rPr>
                      <w:sz w:val="21"/>
                    </w:rPr>
                  </w:pPr>
                  <w:r>
                    <w:rPr>
                      <w:sz w:val="21"/>
                    </w:rPr>
                    <w:t xml:space="preserve">符合相关规范，满足人员紧急疏散指示要求。 </w:t>
                  </w:r>
                </w:p>
              </w:tc>
            </w:tr>
            <w:tr w14:paraId="2D5B3D0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664" w:type="pct"/>
                  <w:noWrap w:val="0"/>
                  <w:vAlign w:val="center"/>
                </w:tcPr>
                <w:p w14:paraId="1F6A636C">
                  <w:pPr>
                    <w:pStyle w:val="25"/>
                    <w:spacing w:line="242" w:lineRule="auto"/>
                    <w:ind w:right="88"/>
                    <w:jc w:val="center"/>
                    <w:rPr>
                      <w:sz w:val="21"/>
                    </w:rPr>
                  </w:pPr>
                  <w:r>
                    <w:rPr>
                      <w:sz w:val="21"/>
                    </w:rPr>
                    <w:t xml:space="preserve">门禁系统 </w:t>
                  </w:r>
                </w:p>
              </w:tc>
              <w:tc>
                <w:tcPr>
                  <w:tcW w:w="3012" w:type="pct"/>
                  <w:noWrap w:val="0"/>
                  <w:vAlign w:val="center"/>
                </w:tcPr>
                <w:p w14:paraId="396992D2">
                  <w:pPr>
                    <w:pStyle w:val="25"/>
                    <w:spacing w:line="242" w:lineRule="auto"/>
                    <w:ind w:right="88"/>
                    <w:jc w:val="center"/>
                    <w:rPr>
                      <w:sz w:val="21"/>
                    </w:rPr>
                  </w:pPr>
                  <w:r>
                    <w:rPr>
                      <w:sz w:val="21"/>
                    </w:rPr>
                    <w:t>清洁、功能检测是否正常</w:t>
                  </w:r>
                  <w:r>
                    <w:rPr>
                      <w:rFonts w:hint="eastAsia"/>
                      <w:sz w:val="21"/>
                    </w:rPr>
                    <w:t>，</w:t>
                  </w:r>
                  <w:r>
                    <w:rPr>
                      <w:sz w:val="21"/>
                    </w:rPr>
                    <w:t>每月 1 次</w:t>
                  </w:r>
                  <w:r>
                    <w:rPr>
                      <w:rFonts w:hint="eastAsia"/>
                      <w:sz w:val="21"/>
                    </w:rPr>
                    <w:t>。</w:t>
                  </w:r>
                  <w:r>
                    <w:rPr>
                      <w:sz w:val="21"/>
                    </w:rPr>
                    <w:t xml:space="preserve"> </w:t>
                  </w:r>
                </w:p>
              </w:tc>
              <w:tc>
                <w:tcPr>
                  <w:tcW w:w="1324" w:type="pct"/>
                  <w:vMerge w:val="continue"/>
                  <w:noWrap w:val="0"/>
                  <w:vAlign w:val="center"/>
                </w:tcPr>
                <w:p w14:paraId="3DBD3B22">
                  <w:pPr>
                    <w:spacing w:line="242" w:lineRule="auto"/>
                    <w:ind w:right="88" w:firstLine="420"/>
                    <w:jc w:val="center"/>
                    <w:rPr>
                      <w:rFonts w:ascii="宋体" w:hAnsi="宋体" w:cs="宋体"/>
                      <w:kern w:val="0"/>
                      <w:lang w:val="zh-CN" w:bidi="zh-CN"/>
                    </w:rPr>
                  </w:pPr>
                </w:p>
              </w:tc>
            </w:tr>
            <w:tr w14:paraId="2B9F90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664" w:type="pct"/>
                  <w:noWrap w:val="0"/>
                  <w:vAlign w:val="center"/>
                </w:tcPr>
                <w:p w14:paraId="383A08EB">
                  <w:pPr>
                    <w:pStyle w:val="25"/>
                    <w:spacing w:line="242" w:lineRule="auto"/>
                    <w:ind w:right="88"/>
                    <w:jc w:val="center"/>
                    <w:rPr>
                      <w:sz w:val="21"/>
                    </w:rPr>
                  </w:pPr>
                  <w:r>
                    <w:rPr>
                      <w:sz w:val="21"/>
                    </w:rPr>
                    <w:t xml:space="preserve">记录 </w:t>
                  </w:r>
                </w:p>
              </w:tc>
              <w:tc>
                <w:tcPr>
                  <w:tcW w:w="3012" w:type="pct"/>
                  <w:noWrap w:val="0"/>
                  <w:vAlign w:val="center"/>
                </w:tcPr>
                <w:p w14:paraId="1C23FA7C">
                  <w:pPr>
                    <w:pStyle w:val="25"/>
                    <w:spacing w:line="242" w:lineRule="auto"/>
                    <w:ind w:right="88"/>
                    <w:jc w:val="center"/>
                    <w:rPr>
                      <w:sz w:val="21"/>
                    </w:rPr>
                  </w:pPr>
                  <w:r>
                    <w:rPr>
                      <w:sz w:val="21"/>
                    </w:rPr>
                    <w:t xml:space="preserve">对消防疏散指示系统维修保养有记录。 </w:t>
                  </w:r>
                </w:p>
              </w:tc>
              <w:tc>
                <w:tcPr>
                  <w:tcW w:w="1324" w:type="pct"/>
                  <w:noWrap w:val="0"/>
                  <w:vAlign w:val="center"/>
                </w:tcPr>
                <w:p w14:paraId="6825706C">
                  <w:pPr>
                    <w:pStyle w:val="25"/>
                    <w:spacing w:line="242" w:lineRule="auto"/>
                    <w:ind w:right="88"/>
                    <w:jc w:val="center"/>
                    <w:rPr>
                      <w:sz w:val="21"/>
                    </w:rPr>
                  </w:pPr>
                  <w:r>
                    <w:rPr>
                      <w:sz w:val="21"/>
                    </w:rPr>
                    <w:t xml:space="preserve">记录及时、完整。 </w:t>
                  </w:r>
                </w:p>
              </w:tc>
            </w:tr>
          </w:tbl>
          <w:p w14:paraId="794F2D22">
            <w:pPr>
              <w:kinsoku w:val="0"/>
              <w:overflowPunct w:val="0"/>
              <w:autoSpaceDE w:val="0"/>
              <w:autoSpaceDN w:val="0"/>
              <w:adjustRightInd w:val="0"/>
              <w:snapToGrid w:val="0"/>
              <w:spacing w:line="276" w:lineRule="auto"/>
              <w:ind w:firstLine="408"/>
              <w:rPr>
                <w:spacing w:val="-3"/>
              </w:rPr>
            </w:pPr>
          </w:p>
          <w:p w14:paraId="5425797E">
            <w:pPr>
              <w:pStyle w:val="2"/>
              <w:spacing w:before="0" w:after="0" w:line="360" w:lineRule="auto"/>
              <w:ind w:left="561" w:hanging="561" w:firstLineChars="0"/>
              <w:rPr>
                <w:rFonts w:ascii="宋体" w:hAnsi="宋体"/>
                <w:sz w:val="24"/>
                <w:szCs w:val="24"/>
              </w:rPr>
            </w:pPr>
            <w:r>
              <w:rPr>
                <w:rFonts w:hint="eastAsia" w:ascii="宋体" w:hAnsi="宋体"/>
                <w:sz w:val="24"/>
                <w:szCs w:val="24"/>
                <w:lang w:val="en-US" w:eastAsia="zh-CN"/>
              </w:rPr>
              <w:t>四</w:t>
            </w:r>
            <w:r>
              <w:rPr>
                <w:rFonts w:hint="eastAsia" w:ascii="宋体" w:hAnsi="宋体"/>
                <w:sz w:val="24"/>
                <w:szCs w:val="24"/>
              </w:rPr>
              <w:t>、维修保养频次等说明</w:t>
            </w:r>
          </w:p>
          <w:p w14:paraId="37FEC0C5">
            <w:pPr>
              <w:spacing w:line="360" w:lineRule="auto"/>
              <w:ind w:firstLine="660" w:firstLineChars="275"/>
              <w:rPr>
                <w:rFonts w:ascii="宋体" w:hAnsi="宋体" w:cs="宋体"/>
                <w:sz w:val="24"/>
                <w:szCs w:val="24"/>
              </w:rPr>
            </w:pPr>
            <w:r>
              <w:rPr>
                <w:rFonts w:ascii="宋体" w:hAnsi="宋体" w:cs="宋体"/>
                <w:sz w:val="24"/>
                <w:szCs w:val="24"/>
              </w:rPr>
              <w:t>1</w:t>
            </w:r>
            <w:r>
              <w:rPr>
                <w:rFonts w:hint="eastAsia" w:ascii="宋体" w:hAnsi="宋体" w:cs="宋体"/>
                <w:sz w:val="24"/>
                <w:szCs w:val="24"/>
              </w:rPr>
              <w:t>．</w:t>
            </w:r>
            <w:r>
              <w:rPr>
                <w:rFonts w:ascii="宋体" w:hAnsi="宋体" w:cs="宋体"/>
                <w:sz w:val="24"/>
                <w:szCs w:val="24"/>
              </w:rPr>
              <w:t>上述确定的维修保养频度是维修保养过程所需要达到的最基本的要求，投标人可在此基础上根据实际情况提出更高的标准，投标人须根据工作量拟定合理的维护计划和确定维修保养人数。</w:t>
            </w:r>
          </w:p>
          <w:p w14:paraId="47E12988">
            <w:pPr>
              <w:spacing w:line="360" w:lineRule="auto"/>
              <w:ind w:firstLine="660" w:firstLineChars="275"/>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对消防系统的接地电阻及相关的绝缘电阻须</w:t>
            </w:r>
            <w:r>
              <w:rPr>
                <w:rFonts w:hint="eastAsia" w:ascii="宋体" w:hAnsi="宋体" w:cs="宋体"/>
                <w:sz w:val="24"/>
                <w:szCs w:val="24"/>
              </w:rPr>
              <w:t>1</w:t>
            </w:r>
            <w:r>
              <w:rPr>
                <w:rFonts w:ascii="宋体" w:hAnsi="宋体" w:cs="宋体"/>
                <w:sz w:val="24"/>
                <w:szCs w:val="24"/>
              </w:rPr>
              <w:t>年</w:t>
            </w:r>
            <w:r>
              <w:rPr>
                <w:rFonts w:hint="eastAsia" w:ascii="宋体" w:hAnsi="宋体" w:cs="宋体"/>
                <w:sz w:val="24"/>
                <w:szCs w:val="24"/>
              </w:rPr>
              <w:t>1</w:t>
            </w:r>
            <w:r>
              <w:rPr>
                <w:rFonts w:ascii="宋体" w:hAnsi="宋体" w:cs="宋体"/>
                <w:sz w:val="24"/>
                <w:szCs w:val="24"/>
              </w:rPr>
              <w:t>次检测，对发现不符合规范要求的，立刻进行整改。</w:t>
            </w:r>
          </w:p>
          <w:p w14:paraId="3F34EA58">
            <w:pPr>
              <w:spacing w:line="360" w:lineRule="auto"/>
              <w:ind w:firstLine="660" w:firstLineChars="275"/>
              <w:rPr>
                <w:rFonts w:ascii="宋体" w:hAnsi="宋体" w:cs="宋体"/>
                <w:sz w:val="24"/>
                <w:szCs w:val="24"/>
              </w:rPr>
            </w:pPr>
            <w:r>
              <w:rPr>
                <w:rFonts w:hint="eastAsia" w:ascii="宋体" w:hAnsi="宋体" w:cs="宋体"/>
                <w:sz w:val="24"/>
                <w:szCs w:val="24"/>
              </w:rPr>
              <w:t>3．</w:t>
            </w:r>
            <w:r>
              <w:rPr>
                <w:rFonts w:ascii="宋体" w:hAnsi="宋体" w:cs="宋体"/>
                <w:sz w:val="24"/>
                <w:szCs w:val="24"/>
              </w:rPr>
              <w:t>维保过程中发现的故障应按要求及时查明故障原因，属维保责任的应及时予以修复</w:t>
            </w:r>
            <w:r>
              <w:rPr>
                <w:rFonts w:hint="eastAsia" w:ascii="宋体" w:hAnsi="宋体" w:cs="宋体"/>
                <w:sz w:val="24"/>
                <w:szCs w:val="24"/>
              </w:rPr>
              <w:t>；</w:t>
            </w:r>
            <w:r>
              <w:rPr>
                <w:rFonts w:ascii="宋体" w:hAnsi="宋体" w:cs="宋体"/>
                <w:sz w:val="24"/>
                <w:szCs w:val="24"/>
              </w:rPr>
              <w:t>需与物业工程人员现场检查确认；应确保消防信号线路、反馈信号准确，故障应及时修复；非消防信号线路、继电器的故障应及时报告，提供相应维修建议、方案</w:t>
            </w:r>
            <w:r>
              <w:rPr>
                <w:rFonts w:hint="eastAsia" w:ascii="宋体" w:hAnsi="宋体" w:cs="宋体"/>
                <w:sz w:val="24"/>
                <w:szCs w:val="24"/>
              </w:rPr>
              <w:t>。</w:t>
            </w:r>
          </w:p>
          <w:p w14:paraId="6CB55C07">
            <w:pPr>
              <w:pStyle w:val="2"/>
              <w:spacing w:before="0" w:after="0" w:line="360" w:lineRule="auto"/>
              <w:ind w:left="561" w:hanging="561" w:firstLineChars="0"/>
              <w:rPr>
                <w:rFonts w:ascii="宋体" w:hAnsi="宋体"/>
                <w:sz w:val="24"/>
                <w:szCs w:val="24"/>
              </w:rPr>
            </w:pPr>
            <w:r>
              <w:rPr>
                <w:rFonts w:hint="eastAsia" w:ascii="宋体" w:hAnsi="宋体"/>
                <w:sz w:val="24"/>
                <w:szCs w:val="24"/>
                <w:lang w:val="en-US" w:eastAsia="zh-CN"/>
              </w:rPr>
              <w:t>五</w:t>
            </w:r>
            <w:r>
              <w:rPr>
                <w:rFonts w:hint="eastAsia" w:ascii="宋体" w:hAnsi="宋体"/>
                <w:sz w:val="24"/>
                <w:szCs w:val="24"/>
              </w:rPr>
              <w:t>、其他要求</w:t>
            </w:r>
          </w:p>
          <w:p w14:paraId="4D98ED46">
            <w:pPr>
              <w:spacing w:line="360" w:lineRule="auto"/>
              <w:ind w:firstLine="660" w:firstLineChars="275"/>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投标报价涵盖该项目所有发生的一切费用。投标人应充分踏勘现场。中标后不得以未到现场和不完全了解现场情况为由，提出异议和任何形式的增加合同外造价或其它要求，而由此发生的一切后果，其责任由中标人自负。</w:t>
            </w:r>
          </w:p>
          <w:p w14:paraId="50CF6405">
            <w:pPr>
              <w:spacing w:line="360" w:lineRule="auto"/>
              <w:ind w:firstLine="660" w:firstLineChars="275"/>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本项目工程管理严格按照招标人《滨湖集团安全生产管理办法》《滨湖集团工程管理检查制度》《滨湖集团建设工程合约单位违约行为违约金支付标准管理办法》《滨湖集团工程变更及签证管理办法》《滨湖集团工程结算管理办法》等相关制度执行。</w:t>
            </w:r>
          </w:p>
          <w:p w14:paraId="6FFA859B">
            <w:pPr>
              <w:spacing w:line="360" w:lineRule="auto"/>
              <w:ind w:firstLine="660" w:firstLineChars="275"/>
              <w:rPr>
                <w:rFonts w:hint="eastAsia" w:ascii="宋体" w:hAnsi="宋体" w:eastAsia="宋体"/>
                <w:sz w:val="24"/>
                <w:szCs w:val="24"/>
                <w:lang w:eastAsia="zh-CN"/>
              </w:rPr>
            </w:pPr>
            <w:r>
              <w:rPr>
                <w:rFonts w:hint="eastAsia" w:ascii="宋体" w:hAnsi="宋体" w:cs="宋体"/>
                <w:sz w:val="24"/>
                <w:szCs w:val="24"/>
              </w:rPr>
              <w:t>3．投标人在投标时，须提供2份常规易损配件清单，①单价小于1</w:t>
            </w:r>
            <w:r>
              <w:rPr>
                <w:rFonts w:ascii="宋体" w:hAnsi="宋体" w:cs="宋体"/>
                <w:sz w:val="24"/>
                <w:szCs w:val="24"/>
              </w:rPr>
              <w:t>00</w:t>
            </w:r>
            <w:r>
              <w:rPr>
                <w:rFonts w:hint="eastAsia" w:ascii="宋体" w:hAnsi="宋体" w:cs="宋体"/>
                <w:sz w:val="24"/>
                <w:szCs w:val="24"/>
              </w:rPr>
              <w:t>元的规易损配件清单②单价大于等于1</w:t>
            </w:r>
            <w:r>
              <w:rPr>
                <w:rFonts w:ascii="宋体" w:hAnsi="宋体" w:cs="宋体"/>
                <w:sz w:val="24"/>
                <w:szCs w:val="24"/>
              </w:rPr>
              <w:t>00</w:t>
            </w:r>
            <w:r>
              <w:rPr>
                <w:rFonts w:hint="eastAsia" w:ascii="宋体" w:hAnsi="宋体" w:cs="宋体"/>
                <w:sz w:val="24"/>
                <w:szCs w:val="24"/>
              </w:rPr>
              <w:t>元的常规易损配件。清单内容包括配件名称（不少于3</w:t>
            </w:r>
            <w:r>
              <w:rPr>
                <w:rFonts w:ascii="宋体" w:hAnsi="宋体" w:cs="宋体"/>
                <w:sz w:val="24"/>
                <w:szCs w:val="24"/>
              </w:rPr>
              <w:t>0</w:t>
            </w:r>
            <w:r>
              <w:rPr>
                <w:rFonts w:hint="eastAsia" w:ascii="宋体" w:hAnsi="宋体" w:cs="宋体"/>
                <w:sz w:val="24"/>
                <w:szCs w:val="24"/>
              </w:rPr>
              <w:t>项）、品牌、规格、价格。作为合同期内更换配件费用确定的依据，且消控室部分更换配件品牌须跟原主机品牌相同。若不提供，视为不响应招标文件。</w:t>
            </w:r>
            <w:r>
              <w:rPr>
                <w:rFonts w:hint="eastAsia" w:ascii="宋体" w:hAnsi="宋体" w:cs="宋体"/>
                <w:sz w:val="24"/>
                <w:szCs w:val="24"/>
              </w:rPr>
              <w:br w:type="textWrapping"/>
            </w:r>
            <w:r>
              <w:rPr>
                <w:rFonts w:hint="eastAsia" w:ascii="宋体" w:hAnsi="宋体" w:eastAsia="宋体" w:cs="Times New Roman"/>
                <w:b/>
                <w:bCs/>
                <w:kern w:val="44"/>
                <w:sz w:val="24"/>
                <w:szCs w:val="24"/>
                <w:lang w:val="en-US" w:eastAsia="zh-CN" w:bidi="ar-SA"/>
              </w:rPr>
              <w:t>六、考核办法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434"/>
              <w:gridCol w:w="1556"/>
              <w:gridCol w:w="1459"/>
              <w:gridCol w:w="1285"/>
              <w:gridCol w:w="223"/>
              <w:gridCol w:w="2036"/>
            </w:tblGrid>
            <w:tr w14:paraId="792E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96" w:type="dxa"/>
                  <w:noWrap w:val="0"/>
                  <w:vAlign w:val="center"/>
                </w:tcPr>
                <w:p w14:paraId="04CF5D66">
                  <w:pPr>
                    <w:spacing w:line="240" w:lineRule="auto"/>
                    <w:ind w:firstLine="0" w:firstLineChars="0"/>
                    <w:jc w:val="center"/>
                    <w:rPr>
                      <w:rFonts w:ascii="Calibri" w:hAnsi="Calibri"/>
                      <w:b/>
                      <w:bCs/>
                      <w:sz w:val="22"/>
                      <w:szCs w:val="24"/>
                    </w:rPr>
                  </w:pPr>
                  <w:r>
                    <w:rPr>
                      <w:rFonts w:hint="eastAsia" w:ascii="Calibri" w:hAnsi="Calibri"/>
                      <w:b/>
                      <w:bCs/>
                      <w:sz w:val="22"/>
                      <w:szCs w:val="24"/>
                    </w:rPr>
                    <w:t>序号</w:t>
                  </w:r>
                </w:p>
              </w:tc>
              <w:tc>
                <w:tcPr>
                  <w:tcW w:w="5734" w:type="dxa"/>
                  <w:gridSpan w:val="4"/>
                  <w:noWrap w:val="0"/>
                  <w:vAlign w:val="center"/>
                </w:tcPr>
                <w:p w14:paraId="75440E7A">
                  <w:pPr>
                    <w:spacing w:line="240" w:lineRule="auto"/>
                    <w:ind w:firstLine="0" w:firstLineChars="0"/>
                    <w:jc w:val="center"/>
                    <w:rPr>
                      <w:rFonts w:ascii="Calibri" w:hAnsi="Calibri"/>
                      <w:b/>
                      <w:bCs/>
                      <w:sz w:val="22"/>
                      <w:szCs w:val="24"/>
                    </w:rPr>
                  </w:pPr>
                  <w:r>
                    <w:rPr>
                      <w:rFonts w:hint="eastAsia" w:ascii="Calibri" w:hAnsi="Calibri"/>
                      <w:b/>
                      <w:bCs/>
                      <w:sz w:val="22"/>
                      <w:szCs w:val="24"/>
                    </w:rPr>
                    <w:t>考核内容</w:t>
                  </w:r>
                </w:p>
              </w:tc>
              <w:tc>
                <w:tcPr>
                  <w:tcW w:w="2224" w:type="dxa"/>
                  <w:gridSpan w:val="2"/>
                  <w:noWrap w:val="0"/>
                  <w:vAlign w:val="center"/>
                </w:tcPr>
                <w:p w14:paraId="57AEDBF4">
                  <w:pPr>
                    <w:spacing w:line="240" w:lineRule="auto"/>
                    <w:ind w:firstLine="0" w:firstLineChars="0"/>
                    <w:jc w:val="center"/>
                    <w:rPr>
                      <w:rFonts w:ascii="Calibri" w:hAnsi="Calibri"/>
                      <w:b/>
                      <w:bCs/>
                      <w:sz w:val="22"/>
                      <w:szCs w:val="24"/>
                    </w:rPr>
                  </w:pPr>
                  <w:r>
                    <w:rPr>
                      <w:rFonts w:hint="eastAsia" w:ascii="Calibri" w:hAnsi="Calibri"/>
                      <w:b/>
                      <w:bCs/>
                      <w:sz w:val="22"/>
                      <w:szCs w:val="24"/>
                    </w:rPr>
                    <w:t>评价</w:t>
                  </w:r>
                </w:p>
              </w:tc>
            </w:tr>
            <w:tr w14:paraId="16B5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586DEE2D">
                  <w:pPr>
                    <w:spacing w:line="240" w:lineRule="auto"/>
                    <w:ind w:firstLine="0" w:firstLineChars="0"/>
                    <w:jc w:val="center"/>
                    <w:rPr>
                      <w:szCs w:val="24"/>
                    </w:rPr>
                  </w:pPr>
                  <w:r>
                    <w:rPr>
                      <w:szCs w:val="24"/>
                    </w:rPr>
                    <w:t>1</w:t>
                  </w:r>
                </w:p>
              </w:tc>
              <w:tc>
                <w:tcPr>
                  <w:tcW w:w="5734" w:type="dxa"/>
                  <w:gridSpan w:val="4"/>
                  <w:noWrap w:val="0"/>
                  <w:vAlign w:val="center"/>
                </w:tcPr>
                <w:p w14:paraId="59981B88">
                  <w:pPr>
                    <w:spacing w:line="240" w:lineRule="auto"/>
                    <w:ind w:firstLine="0" w:firstLineChars="0"/>
                    <w:rPr>
                      <w:rFonts w:ascii="Calibri" w:hAnsi="Calibri"/>
                      <w:szCs w:val="24"/>
                    </w:rPr>
                  </w:pPr>
                  <w:r>
                    <w:rPr>
                      <w:rFonts w:hint="eastAsia"/>
                    </w:rPr>
                    <w:t>中标单位是否按国家规范、政府要求认真提供有效的确保系统完善及维修保养到位的服务保障</w:t>
                  </w:r>
                </w:p>
              </w:tc>
              <w:tc>
                <w:tcPr>
                  <w:tcW w:w="2224" w:type="dxa"/>
                  <w:gridSpan w:val="2"/>
                  <w:noWrap w:val="0"/>
                  <w:vAlign w:val="center"/>
                </w:tcPr>
                <w:p w14:paraId="044BD166">
                  <w:pPr>
                    <w:spacing w:line="240" w:lineRule="auto"/>
                    <w:ind w:firstLine="0" w:firstLineChars="0"/>
                    <w:rPr>
                      <w:rFonts w:ascii="Calibri" w:hAnsi="Calibri"/>
                      <w:szCs w:val="24"/>
                    </w:rPr>
                  </w:pPr>
                </w:p>
              </w:tc>
            </w:tr>
            <w:tr w14:paraId="2D76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1CB21E6E">
                  <w:pPr>
                    <w:spacing w:line="240" w:lineRule="auto"/>
                    <w:ind w:firstLine="0" w:firstLineChars="0"/>
                    <w:jc w:val="center"/>
                    <w:rPr>
                      <w:szCs w:val="24"/>
                    </w:rPr>
                  </w:pPr>
                  <w:r>
                    <w:rPr>
                      <w:rFonts w:hint="eastAsia"/>
                      <w:szCs w:val="24"/>
                    </w:rPr>
                    <w:t>2</w:t>
                  </w:r>
                </w:p>
              </w:tc>
              <w:tc>
                <w:tcPr>
                  <w:tcW w:w="5734" w:type="dxa"/>
                  <w:gridSpan w:val="4"/>
                  <w:noWrap w:val="0"/>
                  <w:vAlign w:val="center"/>
                </w:tcPr>
                <w:p w14:paraId="7750C603">
                  <w:pPr>
                    <w:spacing w:line="240" w:lineRule="auto"/>
                    <w:ind w:firstLine="0" w:firstLineChars="0"/>
                    <w:rPr>
                      <w:rFonts w:ascii="Calibri" w:hAnsi="Calibri"/>
                      <w:szCs w:val="24"/>
                    </w:rPr>
                  </w:pPr>
                  <w:r>
                    <w:rPr>
                      <w:rFonts w:hint="eastAsia"/>
                    </w:rPr>
                    <w:t>中标单位提供的备品备件产品是否全新正品的品牌产品</w:t>
                  </w:r>
                </w:p>
              </w:tc>
              <w:tc>
                <w:tcPr>
                  <w:tcW w:w="2224" w:type="dxa"/>
                  <w:gridSpan w:val="2"/>
                  <w:noWrap w:val="0"/>
                  <w:vAlign w:val="center"/>
                </w:tcPr>
                <w:p w14:paraId="1A175131">
                  <w:pPr>
                    <w:spacing w:line="240" w:lineRule="auto"/>
                    <w:ind w:firstLine="0" w:firstLineChars="0"/>
                    <w:rPr>
                      <w:rFonts w:ascii="Calibri" w:hAnsi="Calibri"/>
                      <w:szCs w:val="24"/>
                    </w:rPr>
                  </w:pPr>
                </w:p>
              </w:tc>
            </w:tr>
            <w:tr w14:paraId="5D1F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68A1E386">
                  <w:pPr>
                    <w:spacing w:line="240" w:lineRule="auto"/>
                    <w:ind w:firstLine="0" w:firstLineChars="0"/>
                    <w:jc w:val="center"/>
                    <w:rPr>
                      <w:szCs w:val="24"/>
                    </w:rPr>
                  </w:pPr>
                  <w:r>
                    <w:rPr>
                      <w:rFonts w:hint="eastAsia"/>
                      <w:szCs w:val="24"/>
                    </w:rPr>
                    <w:t>3</w:t>
                  </w:r>
                </w:p>
              </w:tc>
              <w:tc>
                <w:tcPr>
                  <w:tcW w:w="5734" w:type="dxa"/>
                  <w:gridSpan w:val="4"/>
                  <w:noWrap w:val="0"/>
                  <w:vAlign w:val="center"/>
                </w:tcPr>
                <w:p w14:paraId="03147791">
                  <w:pPr>
                    <w:spacing w:line="240" w:lineRule="auto"/>
                    <w:ind w:firstLine="0" w:firstLineChars="0"/>
                    <w:rPr>
                      <w:rFonts w:ascii="Calibri" w:hAnsi="Calibri"/>
                      <w:szCs w:val="24"/>
                    </w:rPr>
                  </w:pPr>
                  <w:r>
                    <w:rPr>
                      <w:rFonts w:hint="eastAsia"/>
                    </w:rPr>
                    <w:t>中标单位提供重要关键的零配件是否与原系统产品一致</w:t>
                  </w:r>
                </w:p>
              </w:tc>
              <w:tc>
                <w:tcPr>
                  <w:tcW w:w="2224" w:type="dxa"/>
                  <w:gridSpan w:val="2"/>
                  <w:noWrap w:val="0"/>
                  <w:vAlign w:val="center"/>
                </w:tcPr>
                <w:p w14:paraId="64F0526F">
                  <w:pPr>
                    <w:spacing w:line="240" w:lineRule="auto"/>
                    <w:ind w:firstLine="0" w:firstLineChars="0"/>
                    <w:rPr>
                      <w:rFonts w:ascii="Calibri" w:hAnsi="Calibri"/>
                      <w:szCs w:val="24"/>
                    </w:rPr>
                  </w:pPr>
                </w:p>
              </w:tc>
            </w:tr>
            <w:tr w14:paraId="039F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3849C54A">
                  <w:pPr>
                    <w:spacing w:line="240" w:lineRule="auto"/>
                    <w:ind w:firstLine="0" w:firstLineChars="0"/>
                    <w:jc w:val="center"/>
                    <w:rPr>
                      <w:szCs w:val="24"/>
                    </w:rPr>
                  </w:pPr>
                  <w:r>
                    <w:rPr>
                      <w:rFonts w:hint="eastAsia"/>
                      <w:szCs w:val="24"/>
                    </w:rPr>
                    <w:t>4</w:t>
                  </w:r>
                </w:p>
              </w:tc>
              <w:tc>
                <w:tcPr>
                  <w:tcW w:w="5734" w:type="dxa"/>
                  <w:gridSpan w:val="4"/>
                  <w:noWrap w:val="0"/>
                  <w:vAlign w:val="center"/>
                </w:tcPr>
                <w:p w14:paraId="385A76C1">
                  <w:pPr>
                    <w:spacing w:line="240" w:lineRule="auto"/>
                    <w:ind w:firstLine="0" w:firstLineChars="0"/>
                    <w:rPr>
                      <w:rFonts w:ascii="Calibri" w:hAnsi="Calibri"/>
                      <w:szCs w:val="24"/>
                    </w:rPr>
                  </w:pPr>
                  <w:r>
                    <w:rPr>
                      <w:rFonts w:hint="eastAsia"/>
                    </w:rPr>
                    <w:t>中标单位应积极、主动的开展相关维保工作，并对发现的设备设施隐患、故障等及时进行维护维修</w:t>
                  </w:r>
                </w:p>
              </w:tc>
              <w:tc>
                <w:tcPr>
                  <w:tcW w:w="2224" w:type="dxa"/>
                  <w:gridSpan w:val="2"/>
                  <w:noWrap w:val="0"/>
                  <w:vAlign w:val="center"/>
                </w:tcPr>
                <w:p w14:paraId="0C13882D">
                  <w:pPr>
                    <w:spacing w:line="240" w:lineRule="auto"/>
                    <w:ind w:firstLine="0" w:firstLineChars="0"/>
                    <w:rPr>
                      <w:rFonts w:ascii="Calibri" w:hAnsi="Calibri"/>
                      <w:szCs w:val="24"/>
                    </w:rPr>
                  </w:pPr>
                </w:p>
              </w:tc>
            </w:tr>
            <w:tr w14:paraId="6E4C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25B87160">
                  <w:pPr>
                    <w:spacing w:line="240" w:lineRule="auto"/>
                    <w:ind w:firstLine="0" w:firstLineChars="0"/>
                    <w:jc w:val="center"/>
                    <w:rPr>
                      <w:szCs w:val="24"/>
                    </w:rPr>
                  </w:pPr>
                  <w:r>
                    <w:rPr>
                      <w:szCs w:val="24"/>
                    </w:rPr>
                    <w:t>5</w:t>
                  </w:r>
                </w:p>
              </w:tc>
              <w:tc>
                <w:tcPr>
                  <w:tcW w:w="5734" w:type="dxa"/>
                  <w:gridSpan w:val="4"/>
                  <w:noWrap w:val="0"/>
                  <w:vAlign w:val="center"/>
                </w:tcPr>
                <w:p w14:paraId="6EC13063">
                  <w:pPr>
                    <w:spacing w:line="240" w:lineRule="auto"/>
                    <w:ind w:firstLine="0" w:firstLineChars="0"/>
                    <w:rPr>
                      <w:rFonts w:ascii="Calibri" w:hAnsi="Calibri"/>
                      <w:szCs w:val="24"/>
                    </w:rPr>
                  </w:pPr>
                  <w:r>
                    <w:rPr>
                      <w:rFonts w:hint="eastAsia"/>
                    </w:rPr>
                    <w:t>对于招标人发起的相关整改、维护测试、联动测试检查，是否按要求，积极予以配合</w:t>
                  </w:r>
                </w:p>
              </w:tc>
              <w:tc>
                <w:tcPr>
                  <w:tcW w:w="2224" w:type="dxa"/>
                  <w:gridSpan w:val="2"/>
                  <w:noWrap w:val="0"/>
                  <w:vAlign w:val="center"/>
                </w:tcPr>
                <w:p w14:paraId="7ED770B0">
                  <w:pPr>
                    <w:spacing w:line="240" w:lineRule="auto"/>
                    <w:ind w:firstLine="0" w:firstLineChars="0"/>
                    <w:rPr>
                      <w:rFonts w:ascii="Calibri" w:hAnsi="Calibri"/>
                      <w:szCs w:val="24"/>
                    </w:rPr>
                  </w:pPr>
                </w:p>
              </w:tc>
            </w:tr>
            <w:tr w14:paraId="1B00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0982E780">
                  <w:pPr>
                    <w:spacing w:line="240" w:lineRule="auto"/>
                    <w:ind w:firstLine="0" w:firstLineChars="0"/>
                    <w:jc w:val="center"/>
                    <w:rPr>
                      <w:szCs w:val="24"/>
                    </w:rPr>
                  </w:pPr>
                  <w:r>
                    <w:rPr>
                      <w:szCs w:val="24"/>
                    </w:rPr>
                    <w:t>6</w:t>
                  </w:r>
                </w:p>
              </w:tc>
              <w:tc>
                <w:tcPr>
                  <w:tcW w:w="5734" w:type="dxa"/>
                  <w:gridSpan w:val="4"/>
                  <w:noWrap w:val="0"/>
                  <w:vAlign w:val="center"/>
                </w:tcPr>
                <w:p w14:paraId="7E842A36">
                  <w:pPr>
                    <w:spacing w:line="240" w:lineRule="auto"/>
                    <w:ind w:firstLine="0" w:firstLineChars="0"/>
                    <w:rPr>
                      <w:rFonts w:ascii="Calibri" w:hAnsi="Calibri"/>
                      <w:szCs w:val="24"/>
                    </w:rPr>
                  </w:pPr>
                  <w:r>
                    <w:rPr>
                      <w:rFonts w:hint="eastAsia"/>
                    </w:rPr>
                    <w:t>一般故障是否立即排除，较复杂的但对消防安全影响不大的故障是否在24小时内修复</w:t>
                  </w:r>
                </w:p>
              </w:tc>
              <w:tc>
                <w:tcPr>
                  <w:tcW w:w="2224" w:type="dxa"/>
                  <w:gridSpan w:val="2"/>
                  <w:noWrap w:val="0"/>
                  <w:vAlign w:val="center"/>
                </w:tcPr>
                <w:p w14:paraId="453D177E">
                  <w:pPr>
                    <w:spacing w:line="240" w:lineRule="auto"/>
                    <w:ind w:firstLine="0" w:firstLineChars="0"/>
                    <w:rPr>
                      <w:rFonts w:ascii="Calibri" w:hAnsi="Calibri"/>
                      <w:szCs w:val="24"/>
                    </w:rPr>
                  </w:pPr>
                </w:p>
              </w:tc>
            </w:tr>
            <w:tr w14:paraId="2314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128582EA">
                  <w:pPr>
                    <w:spacing w:line="240" w:lineRule="auto"/>
                    <w:ind w:firstLine="0" w:firstLineChars="0"/>
                    <w:jc w:val="center"/>
                    <w:rPr>
                      <w:szCs w:val="24"/>
                    </w:rPr>
                  </w:pPr>
                  <w:r>
                    <w:rPr>
                      <w:rFonts w:hint="eastAsia"/>
                      <w:szCs w:val="24"/>
                    </w:rPr>
                    <w:t>7</w:t>
                  </w:r>
                </w:p>
              </w:tc>
              <w:tc>
                <w:tcPr>
                  <w:tcW w:w="5734" w:type="dxa"/>
                  <w:gridSpan w:val="4"/>
                  <w:noWrap w:val="0"/>
                  <w:vAlign w:val="center"/>
                </w:tcPr>
                <w:p w14:paraId="058C2E67">
                  <w:pPr>
                    <w:spacing w:line="240" w:lineRule="auto"/>
                    <w:ind w:firstLine="0" w:firstLineChars="0"/>
                    <w:rPr>
                      <w:rFonts w:ascii="Calibri" w:hAnsi="Calibri"/>
                      <w:szCs w:val="24"/>
                    </w:rPr>
                  </w:pPr>
                  <w:r>
                    <w:rPr>
                      <w:rFonts w:hint="eastAsia"/>
                    </w:rPr>
                    <w:t>对于非维保人员工作时间段内发生的系统设备故障，项目负责人是否自接到报修电话2小时内应安排维修人员到场处理</w:t>
                  </w:r>
                </w:p>
              </w:tc>
              <w:tc>
                <w:tcPr>
                  <w:tcW w:w="2224" w:type="dxa"/>
                  <w:gridSpan w:val="2"/>
                  <w:noWrap w:val="0"/>
                  <w:vAlign w:val="center"/>
                </w:tcPr>
                <w:p w14:paraId="7FF37F33">
                  <w:pPr>
                    <w:spacing w:line="240" w:lineRule="auto"/>
                    <w:ind w:firstLine="0" w:firstLineChars="0"/>
                    <w:rPr>
                      <w:rFonts w:ascii="Calibri" w:hAnsi="Calibri"/>
                      <w:szCs w:val="24"/>
                    </w:rPr>
                  </w:pPr>
                </w:p>
              </w:tc>
            </w:tr>
            <w:tr w14:paraId="6FB9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24A6EF22">
                  <w:pPr>
                    <w:spacing w:line="240" w:lineRule="auto"/>
                    <w:ind w:firstLine="0" w:firstLineChars="0"/>
                    <w:jc w:val="center"/>
                    <w:rPr>
                      <w:szCs w:val="24"/>
                    </w:rPr>
                  </w:pPr>
                  <w:r>
                    <w:rPr>
                      <w:rFonts w:hint="eastAsia"/>
                      <w:szCs w:val="24"/>
                    </w:rPr>
                    <w:t>8</w:t>
                  </w:r>
                </w:p>
              </w:tc>
              <w:tc>
                <w:tcPr>
                  <w:tcW w:w="5734" w:type="dxa"/>
                  <w:gridSpan w:val="4"/>
                  <w:noWrap w:val="0"/>
                  <w:vAlign w:val="center"/>
                </w:tcPr>
                <w:p w14:paraId="0DE6E2EF">
                  <w:pPr>
                    <w:spacing w:line="240" w:lineRule="auto"/>
                    <w:ind w:firstLine="0" w:firstLineChars="0"/>
                    <w:rPr>
                      <w:rFonts w:ascii="Calibri" w:hAnsi="Calibri"/>
                      <w:szCs w:val="24"/>
                    </w:rPr>
                  </w:pPr>
                  <w:r>
                    <w:rPr>
                      <w:rFonts w:hint="eastAsia"/>
                    </w:rPr>
                    <w:t>中标单位维保消防维保人员是否按照国家及当地消防、安监部门要求持证上岗，每月是否对维保消防维保人员进行安全生产培训教育、定期更新安全防护工具</w:t>
                  </w:r>
                </w:p>
              </w:tc>
              <w:tc>
                <w:tcPr>
                  <w:tcW w:w="2224" w:type="dxa"/>
                  <w:gridSpan w:val="2"/>
                  <w:noWrap w:val="0"/>
                  <w:vAlign w:val="center"/>
                </w:tcPr>
                <w:p w14:paraId="7A4B8A22">
                  <w:pPr>
                    <w:spacing w:line="240" w:lineRule="auto"/>
                    <w:ind w:firstLine="0" w:firstLineChars="0"/>
                    <w:rPr>
                      <w:rFonts w:ascii="Calibri" w:hAnsi="Calibri"/>
                      <w:szCs w:val="24"/>
                    </w:rPr>
                  </w:pPr>
                </w:p>
              </w:tc>
            </w:tr>
            <w:tr w14:paraId="5D22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7AB3EE84">
                  <w:pPr>
                    <w:spacing w:line="240" w:lineRule="auto"/>
                    <w:ind w:firstLine="0" w:firstLineChars="0"/>
                    <w:jc w:val="center"/>
                    <w:rPr>
                      <w:szCs w:val="24"/>
                    </w:rPr>
                  </w:pPr>
                  <w:r>
                    <w:rPr>
                      <w:szCs w:val="24"/>
                    </w:rPr>
                    <w:t>9</w:t>
                  </w:r>
                </w:p>
              </w:tc>
              <w:tc>
                <w:tcPr>
                  <w:tcW w:w="5734" w:type="dxa"/>
                  <w:gridSpan w:val="4"/>
                  <w:noWrap w:val="0"/>
                  <w:vAlign w:val="center"/>
                </w:tcPr>
                <w:p w14:paraId="3332AAF5">
                  <w:pPr>
                    <w:spacing w:line="240" w:lineRule="auto"/>
                    <w:ind w:firstLine="0" w:firstLineChars="0"/>
                    <w:rPr>
                      <w:rFonts w:ascii="Calibri" w:hAnsi="Calibri"/>
                      <w:szCs w:val="24"/>
                    </w:rPr>
                  </w:pPr>
                  <w:r>
                    <w:rPr>
                      <w:rFonts w:hint="eastAsia"/>
                    </w:rPr>
                    <w:t>中标单位是否配合物业工程服务部进行二次装修区域内的消防设备设施的查验，确保相关设备设施功能完善，并维护相关设备的持续、可靠运行。</w:t>
                  </w:r>
                </w:p>
              </w:tc>
              <w:tc>
                <w:tcPr>
                  <w:tcW w:w="2224" w:type="dxa"/>
                  <w:gridSpan w:val="2"/>
                  <w:noWrap w:val="0"/>
                  <w:vAlign w:val="center"/>
                </w:tcPr>
                <w:p w14:paraId="0A666F9D">
                  <w:pPr>
                    <w:spacing w:line="240" w:lineRule="auto"/>
                    <w:ind w:firstLine="0" w:firstLineChars="0"/>
                    <w:rPr>
                      <w:rFonts w:ascii="Calibri" w:hAnsi="Calibri"/>
                      <w:szCs w:val="24"/>
                    </w:rPr>
                  </w:pPr>
                </w:p>
              </w:tc>
            </w:tr>
            <w:tr w14:paraId="1F12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96" w:type="dxa"/>
                  <w:noWrap w:val="0"/>
                  <w:vAlign w:val="center"/>
                </w:tcPr>
                <w:p w14:paraId="37317D73">
                  <w:pPr>
                    <w:spacing w:line="240" w:lineRule="auto"/>
                    <w:ind w:firstLine="0" w:firstLineChars="0"/>
                    <w:jc w:val="center"/>
                    <w:rPr>
                      <w:szCs w:val="24"/>
                    </w:rPr>
                  </w:pPr>
                  <w:r>
                    <w:rPr>
                      <w:rFonts w:hint="eastAsia"/>
                      <w:szCs w:val="24"/>
                    </w:rPr>
                    <w:t>1</w:t>
                  </w:r>
                  <w:r>
                    <w:rPr>
                      <w:szCs w:val="24"/>
                    </w:rPr>
                    <w:t>0</w:t>
                  </w:r>
                </w:p>
              </w:tc>
              <w:tc>
                <w:tcPr>
                  <w:tcW w:w="5734" w:type="dxa"/>
                  <w:gridSpan w:val="4"/>
                  <w:noWrap w:val="0"/>
                  <w:vAlign w:val="center"/>
                </w:tcPr>
                <w:p w14:paraId="598440C0">
                  <w:pPr>
                    <w:spacing w:line="240" w:lineRule="auto"/>
                    <w:ind w:firstLine="0" w:firstLineChars="0"/>
                    <w:rPr>
                      <w:rFonts w:hint="eastAsia" w:ascii="Calibri" w:hAnsi="Calibri"/>
                      <w:szCs w:val="24"/>
                    </w:rPr>
                  </w:pPr>
                  <w:r>
                    <w:rPr>
                      <w:rFonts w:hint="eastAsia" w:ascii="Calibri" w:hAnsi="Calibri"/>
                      <w:szCs w:val="24"/>
                    </w:rPr>
                    <w:t>整体评价</w:t>
                  </w:r>
                </w:p>
              </w:tc>
              <w:tc>
                <w:tcPr>
                  <w:tcW w:w="2224" w:type="dxa"/>
                  <w:gridSpan w:val="2"/>
                  <w:noWrap w:val="0"/>
                  <w:vAlign w:val="center"/>
                </w:tcPr>
                <w:p w14:paraId="6687F08D">
                  <w:pPr>
                    <w:spacing w:line="240" w:lineRule="auto"/>
                    <w:ind w:firstLine="0" w:firstLineChars="0"/>
                    <w:rPr>
                      <w:rFonts w:ascii="Calibri" w:hAnsi="Calibri"/>
                      <w:szCs w:val="24"/>
                    </w:rPr>
                  </w:pPr>
                </w:p>
              </w:tc>
            </w:tr>
            <w:tr w14:paraId="73EF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96" w:type="dxa"/>
                  <w:noWrap w:val="0"/>
                  <w:vAlign w:val="center"/>
                </w:tcPr>
                <w:p w14:paraId="6F08B7B9">
                  <w:pPr>
                    <w:spacing w:line="240" w:lineRule="auto"/>
                    <w:ind w:firstLine="0" w:firstLineChars="0"/>
                    <w:jc w:val="center"/>
                    <w:rPr>
                      <w:rFonts w:ascii="Calibri" w:hAnsi="Calibri"/>
                      <w:szCs w:val="24"/>
                    </w:rPr>
                  </w:pPr>
                  <w:r>
                    <w:rPr>
                      <w:rFonts w:hint="eastAsia" w:ascii="Calibri" w:hAnsi="Calibri"/>
                      <w:szCs w:val="24"/>
                    </w:rPr>
                    <w:t>考核项目名称</w:t>
                  </w:r>
                </w:p>
              </w:tc>
              <w:tc>
                <w:tcPr>
                  <w:tcW w:w="7958" w:type="dxa"/>
                  <w:gridSpan w:val="6"/>
                  <w:noWrap w:val="0"/>
                  <w:vAlign w:val="center"/>
                </w:tcPr>
                <w:p w14:paraId="22340EC7">
                  <w:pPr>
                    <w:spacing w:line="240" w:lineRule="auto"/>
                    <w:ind w:firstLine="0" w:firstLineChars="0"/>
                    <w:rPr>
                      <w:rFonts w:ascii="Calibri" w:hAnsi="Calibri"/>
                      <w:szCs w:val="24"/>
                    </w:rPr>
                  </w:pPr>
                </w:p>
              </w:tc>
            </w:tr>
            <w:tr w14:paraId="0AC7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96" w:type="dxa"/>
                  <w:noWrap w:val="0"/>
                  <w:vAlign w:val="center"/>
                </w:tcPr>
                <w:p w14:paraId="7559F614">
                  <w:pPr>
                    <w:spacing w:line="240" w:lineRule="auto"/>
                    <w:ind w:firstLine="0" w:firstLineChars="0"/>
                    <w:jc w:val="center"/>
                    <w:rPr>
                      <w:rFonts w:ascii="Calibri" w:hAnsi="Calibri"/>
                      <w:szCs w:val="24"/>
                    </w:rPr>
                  </w:pPr>
                  <w:r>
                    <w:rPr>
                      <w:rFonts w:hint="eastAsia" w:ascii="Calibri" w:hAnsi="Calibri"/>
                      <w:szCs w:val="24"/>
                    </w:rPr>
                    <w:t>考核日期</w:t>
                  </w:r>
                </w:p>
              </w:tc>
              <w:tc>
                <w:tcPr>
                  <w:tcW w:w="7958" w:type="dxa"/>
                  <w:gridSpan w:val="6"/>
                  <w:noWrap w:val="0"/>
                  <w:vAlign w:val="center"/>
                </w:tcPr>
                <w:p w14:paraId="284FB2F8">
                  <w:pPr>
                    <w:spacing w:line="240" w:lineRule="auto"/>
                    <w:ind w:firstLine="0" w:firstLineChars="0"/>
                    <w:rPr>
                      <w:rFonts w:ascii="Calibri" w:hAnsi="Calibri"/>
                      <w:szCs w:val="24"/>
                    </w:rPr>
                  </w:pPr>
                </w:p>
              </w:tc>
            </w:tr>
            <w:tr w14:paraId="1D4A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noWrap w:val="0"/>
                  <w:vAlign w:val="center"/>
                </w:tcPr>
                <w:p w14:paraId="6BB668AA">
                  <w:pPr>
                    <w:spacing w:line="240" w:lineRule="auto"/>
                    <w:ind w:firstLine="0" w:firstLineChars="0"/>
                    <w:jc w:val="center"/>
                    <w:rPr>
                      <w:rFonts w:ascii="Calibri" w:hAnsi="Calibri"/>
                      <w:szCs w:val="24"/>
                    </w:rPr>
                  </w:pPr>
                  <w:r>
                    <w:rPr>
                      <w:rFonts w:hint="eastAsia" w:ascii="Calibri" w:hAnsi="Calibri"/>
                      <w:szCs w:val="24"/>
                    </w:rPr>
                    <w:t>服务单位项目对接人签字</w:t>
                  </w:r>
                </w:p>
              </w:tc>
              <w:tc>
                <w:tcPr>
                  <w:tcW w:w="1434" w:type="dxa"/>
                  <w:noWrap w:val="0"/>
                  <w:vAlign w:val="center"/>
                </w:tcPr>
                <w:p w14:paraId="42D446E2">
                  <w:pPr>
                    <w:spacing w:line="240" w:lineRule="auto"/>
                    <w:ind w:firstLine="0" w:firstLineChars="0"/>
                    <w:rPr>
                      <w:rFonts w:ascii="Calibri" w:hAnsi="Calibri"/>
                      <w:szCs w:val="24"/>
                    </w:rPr>
                  </w:pPr>
                </w:p>
              </w:tc>
              <w:tc>
                <w:tcPr>
                  <w:tcW w:w="1556" w:type="dxa"/>
                  <w:noWrap w:val="0"/>
                  <w:vAlign w:val="center"/>
                </w:tcPr>
                <w:p w14:paraId="613938DD">
                  <w:pPr>
                    <w:spacing w:line="240" w:lineRule="auto"/>
                    <w:ind w:firstLine="0" w:firstLineChars="0"/>
                    <w:jc w:val="center"/>
                    <w:rPr>
                      <w:rFonts w:ascii="Calibri" w:hAnsi="Calibri"/>
                      <w:szCs w:val="24"/>
                    </w:rPr>
                  </w:pPr>
                  <w:r>
                    <w:rPr>
                      <w:rFonts w:hint="eastAsia" w:ascii="Calibri" w:hAnsi="Calibri"/>
                      <w:szCs w:val="24"/>
                    </w:rPr>
                    <w:t>项目工程主管签字</w:t>
                  </w:r>
                </w:p>
              </w:tc>
              <w:tc>
                <w:tcPr>
                  <w:tcW w:w="1459" w:type="dxa"/>
                  <w:noWrap w:val="0"/>
                  <w:vAlign w:val="center"/>
                </w:tcPr>
                <w:p w14:paraId="7249BDC0">
                  <w:pPr>
                    <w:spacing w:line="240" w:lineRule="auto"/>
                    <w:ind w:firstLine="0" w:firstLineChars="0"/>
                    <w:rPr>
                      <w:rFonts w:ascii="Calibri" w:hAnsi="Calibri"/>
                      <w:szCs w:val="24"/>
                    </w:rPr>
                  </w:pPr>
                </w:p>
              </w:tc>
              <w:tc>
                <w:tcPr>
                  <w:tcW w:w="1508" w:type="dxa"/>
                  <w:gridSpan w:val="2"/>
                  <w:noWrap w:val="0"/>
                  <w:vAlign w:val="center"/>
                </w:tcPr>
                <w:p w14:paraId="06AD79CC">
                  <w:pPr>
                    <w:spacing w:line="240" w:lineRule="auto"/>
                    <w:ind w:firstLine="0" w:firstLineChars="0"/>
                    <w:jc w:val="center"/>
                    <w:rPr>
                      <w:rFonts w:ascii="Calibri" w:hAnsi="Calibri"/>
                      <w:szCs w:val="24"/>
                    </w:rPr>
                  </w:pPr>
                  <w:r>
                    <w:rPr>
                      <w:rFonts w:hint="eastAsia" w:ascii="Calibri" w:hAnsi="Calibri"/>
                      <w:szCs w:val="24"/>
                    </w:rPr>
                    <w:t>项目负责人</w:t>
                  </w:r>
                </w:p>
                <w:p w14:paraId="148E14EA">
                  <w:pPr>
                    <w:spacing w:line="240" w:lineRule="auto"/>
                    <w:ind w:firstLine="0" w:firstLineChars="0"/>
                    <w:jc w:val="center"/>
                    <w:rPr>
                      <w:rFonts w:ascii="Calibri" w:hAnsi="Calibri"/>
                      <w:szCs w:val="24"/>
                    </w:rPr>
                  </w:pPr>
                  <w:r>
                    <w:rPr>
                      <w:rFonts w:hint="eastAsia" w:ascii="Calibri" w:hAnsi="Calibri"/>
                      <w:szCs w:val="24"/>
                    </w:rPr>
                    <w:t>签字</w:t>
                  </w:r>
                </w:p>
              </w:tc>
              <w:tc>
                <w:tcPr>
                  <w:tcW w:w="2001" w:type="dxa"/>
                  <w:noWrap w:val="0"/>
                  <w:vAlign w:val="center"/>
                </w:tcPr>
                <w:p w14:paraId="12870F48">
                  <w:pPr>
                    <w:spacing w:line="240" w:lineRule="auto"/>
                    <w:ind w:firstLine="0" w:firstLineChars="0"/>
                    <w:rPr>
                      <w:rFonts w:ascii="Calibri" w:hAnsi="Calibri"/>
                      <w:szCs w:val="24"/>
                    </w:rPr>
                  </w:pPr>
                </w:p>
              </w:tc>
            </w:tr>
            <w:tr w14:paraId="6E49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9" w:type="dxa"/>
                  <w:gridSpan w:val="7"/>
                  <w:noWrap w:val="0"/>
                  <w:vAlign w:val="center"/>
                </w:tcPr>
                <w:p w14:paraId="0322081B">
                  <w:pPr>
                    <w:spacing w:line="240" w:lineRule="auto"/>
                    <w:ind w:firstLine="0" w:firstLineChars="0"/>
                    <w:rPr>
                      <w:rFonts w:ascii="Calibri" w:hAnsi="Calibri"/>
                      <w:szCs w:val="24"/>
                    </w:rPr>
                  </w:pPr>
                  <w:r>
                    <w:rPr>
                      <w:rFonts w:hint="eastAsia" w:ascii="Calibri" w:hAnsi="Calibri"/>
                      <w:szCs w:val="24"/>
                    </w:rPr>
                    <w:t>备注：</w:t>
                  </w:r>
                </w:p>
                <w:p w14:paraId="2B2D253E">
                  <w:pPr>
                    <w:spacing w:line="240" w:lineRule="auto"/>
                    <w:ind w:firstLine="0" w:firstLineChars="0"/>
                    <w:rPr>
                      <w:rFonts w:ascii="Calibri" w:hAnsi="Calibri"/>
                      <w:szCs w:val="24"/>
                    </w:rPr>
                  </w:pPr>
                  <w:r>
                    <w:rPr>
                      <w:rFonts w:ascii="Calibri" w:hAnsi="Calibri"/>
                      <w:szCs w:val="24"/>
                    </w:rPr>
                    <w:t>1</w:t>
                  </w:r>
                  <w:r>
                    <w:rPr>
                      <w:rFonts w:hint="eastAsia" w:ascii="Calibri" w:hAnsi="Calibri"/>
                      <w:szCs w:val="24"/>
                    </w:rPr>
                    <w:t>．评价指标为不合格、合格、良好、优秀，每三个月要进行一次考核，整体综合评价结果作为续签合同及支付服务费支付的依据。</w:t>
                  </w:r>
                </w:p>
                <w:p w14:paraId="045ABF84">
                  <w:pPr>
                    <w:spacing w:line="240" w:lineRule="auto"/>
                    <w:ind w:firstLine="0" w:firstLineChars="0"/>
                    <w:rPr>
                      <w:rFonts w:ascii="Calibri" w:hAnsi="Calibri"/>
                      <w:szCs w:val="24"/>
                    </w:rPr>
                  </w:pPr>
                  <w:r>
                    <w:rPr>
                      <w:rFonts w:hint="eastAsia" w:ascii="Calibri" w:hAnsi="Calibri"/>
                      <w:szCs w:val="24"/>
                    </w:rPr>
                    <w:t>2．其中整体评价为优秀的，当期服务费用全额支付，整体服务评价为良好的，扣除当期服务费的</w:t>
                  </w:r>
                  <w:r>
                    <w:rPr>
                      <w:rFonts w:ascii="Calibri" w:hAnsi="Calibri"/>
                      <w:szCs w:val="24"/>
                    </w:rPr>
                    <w:t>2%</w:t>
                  </w:r>
                  <w:r>
                    <w:rPr>
                      <w:rFonts w:hint="eastAsia" w:ascii="Calibri" w:hAnsi="Calibri"/>
                      <w:szCs w:val="24"/>
                    </w:rPr>
                    <w:t>，整体服务评价为合格的，扣除当期服务费的</w:t>
                  </w:r>
                  <w:r>
                    <w:rPr>
                      <w:rFonts w:ascii="Calibri" w:hAnsi="Calibri"/>
                      <w:szCs w:val="24"/>
                    </w:rPr>
                    <w:t>5%</w:t>
                  </w:r>
                  <w:r>
                    <w:rPr>
                      <w:rFonts w:hint="eastAsia" w:ascii="Calibri" w:hAnsi="Calibri"/>
                      <w:szCs w:val="24"/>
                    </w:rPr>
                    <w:t>，整体服务评价为不合格的，扣除当期服务费的</w:t>
                  </w:r>
                  <w:r>
                    <w:rPr>
                      <w:rFonts w:ascii="Calibri" w:hAnsi="Calibri"/>
                      <w:szCs w:val="24"/>
                    </w:rPr>
                    <w:t>10%</w:t>
                  </w:r>
                  <w:r>
                    <w:rPr>
                      <w:rFonts w:hint="eastAsia" w:ascii="Calibri" w:hAnsi="Calibri"/>
                      <w:szCs w:val="24"/>
                    </w:rPr>
                    <w:t>。</w:t>
                  </w:r>
                </w:p>
                <w:p w14:paraId="61C5ABC5">
                  <w:pPr>
                    <w:spacing w:line="240" w:lineRule="auto"/>
                    <w:ind w:firstLine="0" w:firstLineChars="0"/>
                    <w:rPr>
                      <w:rFonts w:ascii="Calibri" w:hAnsi="Calibri"/>
                      <w:szCs w:val="24"/>
                    </w:rPr>
                  </w:pPr>
                  <w:r>
                    <w:rPr>
                      <w:rFonts w:hint="eastAsia" w:ascii="Calibri" w:hAnsi="Calibri"/>
                      <w:szCs w:val="24"/>
                    </w:rPr>
                    <w:t>3．服务年度内出现2次考核结果为合格及以下的情况，招标人有权解除合同。</w:t>
                  </w:r>
                </w:p>
              </w:tc>
            </w:tr>
          </w:tbl>
          <w:p w14:paraId="2E0EA323">
            <w:pPr>
              <w:spacing w:line="276" w:lineRule="auto"/>
              <w:rPr>
                <w:rFonts w:ascii="宋体" w:hAnsi="宋体" w:eastAsia="宋体"/>
                <w:sz w:val="24"/>
              </w:rPr>
            </w:pPr>
          </w:p>
        </w:tc>
      </w:tr>
    </w:tbl>
    <w:p w14:paraId="02E81121">
      <w:pPr>
        <w:spacing w:line="360" w:lineRule="auto"/>
        <w:ind w:firstLine="480" w:firstLineChars="200"/>
        <w:rPr>
          <w:rFonts w:hint="eastAsia" w:ascii="宋体" w:hAnsi="宋体"/>
          <w:bCs/>
          <w:color w:val="000000"/>
          <w:sz w:val="24"/>
          <w:szCs w:val="24"/>
        </w:rPr>
      </w:pPr>
    </w:p>
    <w:p w14:paraId="5B109BB2">
      <w:r>
        <w:br w:type="page"/>
      </w:r>
    </w:p>
    <w:p w14:paraId="16BA72F6">
      <w:pPr>
        <w:ind w:right="-218" w:rightChars="-104"/>
        <w:rPr>
          <w:rFonts w:hint="eastAsia"/>
          <w:color w:val="000000"/>
        </w:rPr>
      </w:pPr>
    </w:p>
    <w:p w14:paraId="4A6B1FC4">
      <w:pPr>
        <w:ind w:right="-218" w:rightChars="-104"/>
        <w:jc w:val="center"/>
        <w:rPr>
          <w:rFonts w:hint="eastAsia" w:eastAsia="宋体"/>
          <w:b/>
          <w:bCs/>
          <w:color w:val="000000"/>
          <w:sz w:val="48"/>
          <w:szCs w:val="48"/>
          <w:lang w:eastAsia="zh-CN"/>
        </w:rPr>
      </w:pPr>
      <w:r>
        <w:rPr>
          <w:rFonts w:hint="eastAsia"/>
          <w:b/>
          <w:bCs/>
          <w:color w:val="000000"/>
          <w:sz w:val="48"/>
          <w:szCs w:val="48"/>
          <w:lang w:eastAsia="zh-CN"/>
        </w:rPr>
        <w:t>投标文件格式</w:t>
      </w:r>
    </w:p>
    <w:p w14:paraId="1EDE1322">
      <w:pPr>
        <w:ind w:right="-218" w:rightChars="-104"/>
        <w:rPr>
          <w:rFonts w:hint="eastAsia"/>
          <w:color w:val="000000"/>
        </w:rPr>
      </w:pPr>
    </w:p>
    <w:p w14:paraId="39180382">
      <w:pPr>
        <w:ind w:right="-218" w:rightChars="-104"/>
        <w:rPr>
          <w:rFonts w:hint="eastAsia"/>
          <w:color w:val="000000"/>
        </w:rPr>
      </w:pPr>
    </w:p>
    <w:p w14:paraId="5CCFFEE7">
      <w:pPr>
        <w:ind w:right="-218" w:rightChars="-104"/>
        <w:rPr>
          <w:rFonts w:hint="eastAsia"/>
          <w:color w:val="000000"/>
        </w:rPr>
      </w:pPr>
    </w:p>
    <w:p w14:paraId="2AC8D521">
      <w:pPr>
        <w:ind w:right="-218" w:rightChars="-104"/>
        <w:rPr>
          <w:rFonts w:hint="eastAsia"/>
          <w:color w:val="000000"/>
        </w:rPr>
      </w:pPr>
    </w:p>
    <w:p w14:paraId="57C5D158">
      <w:pPr>
        <w:ind w:right="-218" w:rightChars="-104"/>
        <w:rPr>
          <w:rFonts w:hint="eastAsia"/>
          <w:color w:val="000000"/>
        </w:rPr>
      </w:pPr>
    </w:p>
    <w:p w14:paraId="1E81A0BE">
      <w:pPr>
        <w:ind w:right="-218" w:rightChars="-104"/>
        <w:rPr>
          <w:rFonts w:hint="eastAsia"/>
          <w:color w:val="000000"/>
        </w:rPr>
      </w:pPr>
    </w:p>
    <w:p w14:paraId="5CC54E32">
      <w:pPr>
        <w:ind w:right="-218" w:rightChars="-104"/>
        <w:rPr>
          <w:rFonts w:hint="eastAsia"/>
          <w:color w:val="000000"/>
        </w:rPr>
      </w:pPr>
    </w:p>
    <w:p w14:paraId="474A0769">
      <w:pPr>
        <w:ind w:right="-218" w:rightChars="-104"/>
        <w:rPr>
          <w:rFonts w:hint="eastAsia"/>
          <w:color w:val="000000"/>
        </w:rPr>
      </w:pPr>
    </w:p>
    <w:p w14:paraId="763623CE">
      <w:pPr>
        <w:pStyle w:val="3"/>
        <w:keepNext/>
        <w:keepLines/>
        <w:pageBreakBefore/>
        <w:widowControl w:val="0"/>
        <w:kinsoku/>
        <w:wordWrap/>
        <w:overflowPunct/>
        <w:topLinePunct w:val="0"/>
        <w:autoSpaceDE/>
        <w:autoSpaceDN/>
        <w:bidi w:val="0"/>
        <w:adjustRightInd/>
        <w:snapToGrid/>
        <w:spacing w:line="413" w:lineRule="auto"/>
        <w:ind w:right="-218" w:rightChars="-104" w:firstLine="629"/>
        <w:textAlignment w:val="auto"/>
        <w:rPr>
          <w:rFonts w:hint="eastAsia"/>
          <w:color w:val="000000"/>
        </w:rPr>
      </w:pPr>
      <w:bookmarkStart w:id="164" w:name="_Toc245714172"/>
      <w:bookmarkStart w:id="165" w:name="_Toc273602354"/>
      <w:bookmarkStart w:id="166" w:name="_Toc16830"/>
      <w:r>
        <w:rPr>
          <w:rFonts w:hint="eastAsia" w:ascii="黑体"/>
          <w:color w:val="000000"/>
        </w:rPr>
        <w:t>●</w:t>
      </w:r>
      <w:r>
        <w:rPr>
          <w:rFonts w:hint="eastAsia"/>
          <w:color w:val="000000"/>
        </w:rPr>
        <w:t>技术标</w:t>
      </w:r>
      <w:bookmarkEnd w:id="164"/>
      <w:bookmarkEnd w:id="165"/>
      <w:bookmarkEnd w:id="166"/>
    </w:p>
    <w:p w14:paraId="215BE83F">
      <w:pPr>
        <w:spacing w:line="900" w:lineRule="exact"/>
        <w:ind w:right="-218" w:rightChars="-104"/>
        <w:jc w:val="center"/>
        <w:rPr>
          <w:rFonts w:hint="eastAsia" w:ascii="宋体" w:hAnsi="宋体"/>
          <w:b/>
          <w:color w:val="000000"/>
          <w:sz w:val="44"/>
          <w:szCs w:val="44"/>
        </w:rPr>
      </w:pPr>
    </w:p>
    <w:p w14:paraId="5627EBCA">
      <w:pPr>
        <w:spacing w:line="900" w:lineRule="exact"/>
        <w:ind w:right="-218" w:rightChars="-104"/>
        <w:jc w:val="left"/>
        <w:rPr>
          <w:rFonts w:hint="default" w:ascii="宋体" w:hAnsi="宋体" w:eastAsia="宋体"/>
          <w:b/>
          <w:color w:val="000000"/>
          <w:sz w:val="44"/>
          <w:szCs w:val="44"/>
          <w:lang w:val="en-US" w:eastAsia="zh-CN"/>
        </w:rPr>
      </w:pPr>
      <w:r>
        <w:rPr>
          <w:rFonts w:hint="eastAsia" w:ascii="宋体" w:hAnsi="宋体"/>
          <w:b/>
          <w:color w:val="000000"/>
          <w:sz w:val="44"/>
          <w:szCs w:val="44"/>
          <w:u w:val="single"/>
          <w:lang w:val="en-US" w:eastAsia="zh-CN"/>
        </w:rPr>
        <w:t xml:space="preserve">                       </w:t>
      </w:r>
      <w:r>
        <w:rPr>
          <w:rFonts w:hint="eastAsia" w:ascii="宋体" w:hAnsi="宋体"/>
          <w:b/>
          <w:color w:val="000000"/>
          <w:sz w:val="44"/>
          <w:szCs w:val="44"/>
          <w:u w:val="none"/>
          <w:lang w:val="en-US" w:eastAsia="zh-CN"/>
        </w:rPr>
        <w:t>（项目名称）</w:t>
      </w:r>
    </w:p>
    <w:p w14:paraId="16E9D219">
      <w:pPr>
        <w:spacing w:line="900" w:lineRule="exact"/>
        <w:ind w:right="-218" w:rightChars="-104"/>
        <w:jc w:val="center"/>
        <w:rPr>
          <w:rFonts w:hint="eastAsia" w:ascii="宋体" w:hAnsi="宋体"/>
          <w:b/>
          <w:color w:val="000000"/>
          <w:sz w:val="72"/>
        </w:rPr>
      </w:pPr>
      <w:r>
        <w:rPr>
          <w:rFonts w:hint="eastAsia" w:ascii="宋体" w:hAnsi="宋体"/>
          <w:b/>
          <w:color w:val="000000"/>
          <w:sz w:val="72"/>
        </w:rPr>
        <w:t>投</w:t>
      </w:r>
    </w:p>
    <w:p w14:paraId="5F31DC4F">
      <w:pPr>
        <w:spacing w:line="900" w:lineRule="exact"/>
        <w:ind w:right="-218" w:rightChars="-104"/>
        <w:jc w:val="center"/>
        <w:rPr>
          <w:rFonts w:hint="eastAsia" w:ascii="宋体" w:hAnsi="宋体"/>
          <w:b/>
          <w:color w:val="000000"/>
          <w:sz w:val="72"/>
        </w:rPr>
      </w:pPr>
      <w:r>
        <w:rPr>
          <w:rFonts w:hint="eastAsia" w:ascii="宋体" w:hAnsi="宋体"/>
          <w:b/>
          <w:color w:val="000000"/>
          <w:sz w:val="72"/>
        </w:rPr>
        <w:t>标</w:t>
      </w:r>
    </w:p>
    <w:p w14:paraId="450FF05D">
      <w:pPr>
        <w:spacing w:line="900" w:lineRule="exact"/>
        <w:ind w:right="-218" w:rightChars="-104"/>
        <w:jc w:val="center"/>
        <w:rPr>
          <w:rFonts w:hint="eastAsia" w:ascii="宋体" w:hAnsi="宋体"/>
          <w:b/>
          <w:color w:val="000000"/>
          <w:sz w:val="72"/>
        </w:rPr>
      </w:pPr>
      <w:r>
        <w:rPr>
          <w:rFonts w:hint="eastAsia" w:ascii="宋体" w:hAnsi="宋体"/>
          <w:b/>
          <w:color w:val="000000"/>
          <w:sz w:val="72"/>
        </w:rPr>
        <w:t>文</w:t>
      </w:r>
    </w:p>
    <w:p w14:paraId="1824CD44">
      <w:pPr>
        <w:ind w:right="-218" w:rightChars="-104"/>
        <w:jc w:val="center"/>
        <w:rPr>
          <w:rFonts w:hint="eastAsia" w:ascii="宋体" w:hAnsi="宋体"/>
          <w:b/>
          <w:color w:val="000000"/>
          <w:sz w:val="72"/>
        </w:rPr>
      </w:pPr>
      <w:r>
        <w:rPr>
          <w:rFonts w:hint="eastAsia" w:ascii="宋体" w:hAnsi="宋体"/>
          <w:b/>
          <w:color w:val="000000"/>
          <w:sz w:val="72"/>
        </w:rPr>
        <w:t>件</w:t>
      </w:r>
    </w:p>
    <w:p w14:paraId="02D14C1A">
      <w:pPr>
        <w:spacing w:after="120" w:afterLines="50" w:line="500" w:lineRule="exact"/>
        <w:ind w:right="-218" w:rightChars="-104"/>
        <w:jc w:val="center"/>
        <w:rPr>
          <w:rFonts w:hint="eastAsia" w:ascii="宋体" w:hAnsi="宋体"/>
          <w:b/>
          <w:color w:val="000000"/>
          <w:sz w:val="36"/>
          <w:szCs w:val="36"/>
        </w:rPr>
      </w:pPr>
      <w:r>
        <w:rPr>
          <w:rFonts w:hint="eastAsia" w:ascii="宋体" w:hAnsi="宋体"/>
          <w:b/>
          <w:color w:val="000000"/>
          <w:sz w:val="36"/>
          <w:szCs w:val="36"/>
        </w:rPr>
        <w:t>【技术标】</w:t>
      </w:r>
    </w:p>
    <w:p w14:paraId="78C2F9C7">
      <w:pPr>
        <w:spacing w:after="120" w:afterLines="50" w:line="500" w:lineRule="exact"/>
        <w:ind w:right="-218" w:rightChars="-104"/>
        <w:jc w:val="center"/>
        <w:rPr>
          <w:rFonts w:hint="eastAsia" w:ascii="宋体" w:hAnsi="宋体"/>
          <w:b/>
          <w:color w:val="000000"/>
          <w:sz w:val="72"/>
        </w:rPr>
      </w:pPr>
    </w:p>
    <w:p w14:paraId="1021EB7D">
      <w:pPr>
        <w:spacing w:after="120" w:afterLines="50" w:line="500" w:lineRule="exact"/>
        <w:ind w:right="-218" w:rightChars="-104"/>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u w:val="single"/>
        </w:rPr>
        <w:t xml:space="preserve">   </w:t>
      </w:r>
    </w:p>
    <w:p w14:paraId="39E4877E">
      <w:pPr>
        <w:spacing w:after="120" w:afterLines="50" w:line="500" w:lineRule="exact"/>
        <w:ind w:right="-218" w:rightChars="-104"/>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14:paraId="4ED1E768">
      <w:pPr>
        <w:pStyle w:val="4"/>
        <w:ind w:right="-218" w:rightChars="-104"/>
        <w:rPr>
          <w:rFonts w:hint="eastAsia" w:hAnsi="宋体"/>
          <w:color w:val="000000"/>
          <w:sz w:val="28"/>
        </w:rPr>
      </w:pPr>
    </w:p>
    <w:p w14:paraId="381C8371">
      <w:pPr>
        <w:ind w:right="-218" w:rightChars="-104"/>
        <w:rPr>
          <w:rFonts w:hint="eastAsia"/>
          <w:color w:val="000000"/>
        </w:rPr>
      </w:pPr>
    </w:p>
    <w:p w14:paraId="69B23570">
      <w:pPr>
        <w:ind w:right="-218" w:rightChars="-104"/>
        <w:rPr>
          <w:rFonts w:hint="eastAsia"/>
          <w:color w:val="000000"/>
        </w:rPr>
      </w:pPr>
    </w:p>
    <w:p w14:paraId="62594AC8">
      <w:pPr>
        <w:ind w:right="-218" w:rightChars="-104"/>
        <w:rPr>
          <w:rFonts w:hint="eastAsia"/>
          <w:color w:val="000000"/>
        </w:rPr>
      </w:pPr>
    </w:p>
    <w:p w14:paraId="2B1A4D5C">
      <w:pPr>
        <w:ind w:right="-218" w:rightChars="-104"/>
        <w:rPr>
          <w:rFonts w:hint="eastAsia"/>
          <w:color w:val="000000"/>
        </w:rPr>
      </w:pPr>
    </w:p>
    <w:p w14:paraId="016EE3A9">
      <w:pPr>
        <w:ind w:right="-218" w:rightChars="-104"/>
        <w:rPr>
          <w:rFonts w:hint="eastAsia"/>
          <w:color w:val="000000"/>
        </w:rPr>
      </w:pPr>
    </w:p>
    <w:p w14:paraId="60802C0A">
      <w:pPr>
        <w:ind w:right="-218" w:rightChars="-104"/>
        <w:rPr>
          <w:rFonts w:hint="eastAsia"/>
          <w:color w:val="000000"/>
        </w:rPr>
      </w:pPr>
    </w:p>
    <w:p w14:paraId="7C4A14E5">
      <w:pPr>
        <w:ind w:right="-218" w:rightChars="-104"/>
        <w:rPr>
          <w:rFonts w:hint="eastAsia"/>
          <w:color w:val="000000"/>
        </w:rPr>
      </w:pPr>
    </w:p>
    <w:p w14:paraId="3FB19E2A">
      <w:pPr>
        <w:ind w:right="-218" w:rightChars="-104"/>
        <w:rPr>
          <w:rFonts w:hint="eastAsia"/>
          <w:color w:val="000000"/>
        </w:rPr>
      </w:pPr>
    </w:p>
    <w:p w14:paraId="68F9320E">
      <w:pPr>
        <w:ind w:right="-218" w:rightChars="-104"/>
        <w:rPr>
          <w:rFonts w:hint="eastAsia"/>
          <w:color w:val="000000"/>
        </w:rPr>
      </w:pPr>
    </w:p>
    <w:p w14:paraId="3B2A79E6">
      <w:pPr>
        <w:ind w:right="-218" w:rightChars="-104"/>
        <w:rPr>
          <w:rFonts w:hint="eastAsia"/>
          <w:color w:val="000000"/>
        </w:rPr>
      </w:pPr>
    </w:p>
    <w:p w14:paraId="06B83223">
      <w:pPr>
        <w:ind w:right="-218" w:rightChars="-104"/>
        <w:rPr>
          <w:rFonts w:hint="eastAsia"/>
          <w:color w:val="000000"/>
        </w:rPr>
      </w:pPr>
    </w:p>
    <w:p w14:paraId="50A9E52E">
      <w:pPr>
        <w:pStyle w:val="4"/>
        <w:keepNext/>
        <w:keepLines/>
        <w:pageBreakBefore/>
        <w:widowControl w:val="0"/>
        <w:kinsoku/>
        <w:wordWrap/>
        <w:overflowPunct/>
        <w:topLinePunct w:val="0"/>
        <w:autoSpaceDE/>
        <w:autoSpaceDN/>
        <w:bidi w:val="0"/>
        <w:adjustRightInd/>
        <w:snapToGrid/>
        <w:spacing w:line="413" w:lineRule="auto"/>
        <w:ind w:right="-218" w:rightChars="-104"/>
        <w:textAlignment w:val="auto"/>
        <w:rPr>
          <w:rFonts w:hAnsi="宋体"/>
          <w:color w:val="000000"/>
          <w:sz w:val="28"/>
        </w:rPr>
      </w:pPr>
      <w:bookmarkStart w:id="167" w:name="_Toc22739"/>
      <w:bookmarkStart w:id="168" w:name="_Toc245714173"/>
      <w:bookmarkStart w:id="169" w:name="_Toc273602355"/>
      <w:r>
        <w:rPr>
          <w:rFonts w:hint="eastAsia" w:hAnsi="宋体"/>
          <w:color w:val="000000"/>
          <w:sz w:val="28"/>
        </w:rPr>
        <w:t>一．投标函</w:t>
      </w:r>
      <w:bookmarkEnd w:id="167"/>
      <w:bookmarkEnd w:id="168"/>
      <w:bookmarkEnd w:id="169"/>
    </w:p>
    <w:p w14:paraId="67A57481">
      <w:pPr>
        <w:pStyle w:val="10"/>
        <w:spacing w:line="360" w:lineRule="auto"/>
        <w:ind w:right="-218" w:rightChars="-104"/>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eastAsia="宋体"/>
          <w:bCs/>
          <w:sz w:val="24"/>
          <w:szCs w:val="18"/>
          <w:lang w:eastAsia="zh-CN"/>
        </w:rPr>
        <w:t>合肥</w:t>
      </w:r>
      <w:r>
        <w:rPr>
          <w:rFonts w:hint="eastAsia" w:ascii="宋体" w:hAnsi="宋体"/>
          <w:bCs/>
          <w:sz w:val="24"/>
          <w:szCs w:val="18"/>
          <w:lang w:val="en-US" w:eastAsia="zh-CN"/>
        </w:rPr>
        <w:t>滨投文化创意发展有限公司</w:t>
      </w:r>
    </w:p>
    <w:p w14:paraId="17C06E15">
      <w:pPr>
        <w:adjustRightInd w:val="0"/>
        <w:snapToGrid w:val="0"/>
        <w:spacing w:before="48" w:beforeLines="20" w:after="48" w:afterLines="20" w:line="400" w:lineRule="exact"/>
        <w:rPr>
          <w:rFonts w:hint="eastAsia" w:ascii="宋体" w:hAnsi="宋体"/>
          <w:szCs w:val="22"/>
          <w:u w:val="single"/>
        </w:rPr>
      </w:pPr>
      <w:r>
        <w:rPr>
          <w:rFonts w:hint="eastAsia" w:eastAsia="黑体"/>
          <w:snapToGrid w:val="0"/>
          <w:color w:val="000000"/>
          <w:kern w:val="0"/>
          <w:szCs w:val="21"/>
          <w:u w:val="single"/>
        </w:rPr>
        <w:t xml:space="preserve">       </w:t>
      </w:r>
      <w:r>
        <w:rPr>
          <w:snapToGrid w:val="0"/>
          <w:color w:val="000000"/>
          <w:kern w:val="0"/>
          <w:szCs w:val="21"/>
        </w:rPr>
        <w:t>（招标人名称）</w:t>
      </w:r>
      <w:r>
        <w:rPr>
          <w:rFonts w:hint="eastAsia"/>
          <w:snapToGrid w:val="0"/>
          <w:color w:val="000000"/>
          <w:kern w:val="0"/>
          <w:szCs w:val="21"/>
        </w:rPr>
        <w:t>：</w:t>
      </w:r>
    </w:p>
    <w:p w14:paraId="1260A297">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w:t>
      </w:r>
      <w:r>
        <w:rPr>
          <w:rFonts w:hint="eastAsia" w:ascii="宋体" w:hAnsi="宋体"/>
          <w:szCs w:val="22"/>
          <w:lang w:eastAsia="zh-CN"/>
        </w:rPr>
        <w:t>）</w:t>
      </w:r>
      <w:r>
        <w:rPr>
          <w:rFonts w:hint="eastAsia" w:ascii="宋体" w:hAnsi="宋体"/>
          <w:szCs w:val="22"/>
        </w:rPr>
        <w:t>招标文件的全部内容，在考察工程现场后，愿以</w:t>
      </w:r>
      <w:r>
        <w:rPr>
          <w:rFonts w:hint="eastAsia" w:ascii="宋体" w:hAnsi="宋体"/>
          <w:szCs w:val="21"/>
          <w:u w:val="single"/>
        </w:rPr>
        <w:t>报价文件投标函中</w:t>
      </w:r>
      <w:r>
        <w:rPr>
          <w:rFonts w:hint="eastAsia" w:ascii="宋体" w:hAnsi="宋体"/>
          <w:szCs w:val="22"/>
          <w:u w:val="single"/>
        </w:rPr>
        <w:t>的</w:t>
      </w:r>
      <w:r>
        <w:rPr>
          <w:rFonts w:hint="eastAsia" w:ascii="宋体" w:hAnsi="宋体"/>
          <w:szCs w:val="22"/>
        </w:rPr>
        <w:t>投标总报价，按合同约定实施和完成承包工程，修补工程中的任何缺陷。</w:t>
      </w:r>
    </w:p>
    <w:p w14:paraId="281EB8D7">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2. 我方承诺在招标文件规定的投标有效期内不撤销投标文件。</w:t>
      </w:r>
    </w:p>
    <w:p w14:paraId="338CB70D">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3. 工程质量：</w:t>
      </w:r>
      <w:r>
        <w:rPr>
          <w:rFonts w:hint="eastAsia" w:ascii="宋体" w:hAnsi="宋体"/>
          <w:szCs w:val="22"/>
          <w:u w:val="single"/>
        </w:rPr>
        <w:t xml:space="preserve">        </w:t>
      </w:r>
      <w:r>
        <w:rPr>
          <w:rFonts w:hint="eastAsia" w:ascii="宋体" w:hAnsi="宋体"/>
          <w:szCs w:val="22"/>
        </w:rPr>
        <w:t>；工期：</w:t>
      </w:r>
      <w:r>
        <w:rPr>
          <w:rFonts w:hint="eastAsia" w:ascii="宋体" w:hAnsi="宋体"/>
          <w:szCs w:val="22"/>
          <w:u w:val="single"/>
        </w:rPr>
        <w:t xml:space="preserve">        </w:t>
      </w:r>
      <w:r>
        <w:rPr>
          <w:rFonts w:hint="eastAsia" w:ascii="宋体" w:hAnsi="宋体"/>
          <w:szCs w:val="22"/>
        </w:rPr>
        <w:t>日历天。</w:t>
      </w:r>
    </w:p>
    <w:p w14:paraId="10585ACD">
      <w:pPr>
        <w:tabs>
          <w:tab w:val="left" w:pos="7560"/>
        </w:tabs>
        <w:adjustRightInd w:val="0"/>
        <w:snapToGrid w:val="0"/>
        <w:spacing w:before="48" w:beforeLines="20" w:after="48" w:afterLines="20" w:line="400" w:lineRule="exact"/>
        <w:ind w:firstLine="420" w:firstLineChars="200"/>
        <w:jc w:val="left"/>
        <w:rPr>
          <w:rFonts w:hint="eastAsia" w:ascii="宋体" w:hAnsi="宋体"/>
          <w:bCs/>
          <w:szCs w:val="32"/>
        </w:rPr>
      </w:pPr>
      <w:r>
        <w:rPr>
          <w:rFonts w:hint="eastAsia" w:ascii="宋体" w:hAnsi="宋体"/>
          <w:bCs/>
          <w:szCs w:val="32"/>
        </w:rPr>
        <w:t>4. 我方将与本投标函一起提交投标保证金，且承诺投标保证金转出账户真实有效。</w:t>
      </w:r>
    </w:p>
    <w:p w14:paraId="6FF1B2F9">
      <w:pPr>
        <w:tabs>
          <w:tab w:val="left" w:pos="7560"/>
        </w:tabs>
        <w:adjustRightInd w:val="0"/>
        <w:snapToGrid w:val="0"/>
        <w:spacing w:before="48" w:beforeLines="20" w:after="48" w:afterLines="20" w:line="400" w:lineRule="exact"/>
        <w:ind w:firstLine="420" w:firstLineChars="200"/>
        <w:jc w:val="left"/>
        <w:rPr>
          <w:rFonts w:hint="eastAsia" w:ascii="宋体" w:hAnsi="宋体"/>
          <w:bCs/>
          <w:szCs w:val="32"/>
        </w:rPr>
      </w:pPr>
      <w:r>
        <w:rPr>
          <w:rFonts w:hint="eastAsia" w:ascii="宋体" w:hAnsi="宋体"/>
          <w:bCs/>
          <w:szCs w:val="32"/>
        </w:rPr>
        <w:t>5. 如我方中标，我方承诺：</w:t>
      </w:r>
    </w:p>
    <w:p w14:paraId="31D8A1E0">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（1）在收到中标通知书后，在中标通知书规定的期限内与你方签订合同；</w:t>
      </w:r>
    </w:p>
    <w:p w14:paraId="04035405">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（2）在签订合同时不向你方提出附加条件；</w:t>
      </w:r>
    </w:p>
    <w:p w14:paraId="7CAA6033">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（3）按照招标文件要求提交履约保证金；</w:t>
      </w:r>
    </w:p>
    <w:p w14:paraId="20FA86EC">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（4）在合同约定的期限内完成合同规定的全部义务；</w:t>
      </w:r>
    </w:p>
    <w:p w14:paraId="749170B1">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5）在你方和我方进行合同谈判之前，我方将按照合同附件提出的最低要求填报派驻本标段的其他管理和技术人员及主要机械设备，经你方审批后作为派驻本标段的项目管理机构主要人员和主要设备且不进行更换。如我方拟派驻的人员和设备不满足合同附件要求，你方有权取消我方中标资格；</w:t>
      </w:r>
    </w:p>
    <w:p w14:paraId="19D6C951">
      <w:pPr>
        <w:adjustRightInd w:val="0"/>
        <w:snapToGrid w:val="0"/>
        <w:spacing w:before="48" w:beforeLines="20" w:after="48" w:afterLines="20" w:line="400" w:lineRule="exact"/>
        <w:ind w:firstLine="367" w:firstLineChars="175"/>
        <w:rPr>
          <w:rFonts w:hint="eastAsia" w:ascii="宋体" w:hAnsi="宋体"/>
          <w:szCs w:val="22"/>
        </w:rPr>
      </w:pPr>
      <w:r>
        <w:rPr>
          <w:rFonts w:hint="eastAsia" w:ascii="宋体" w:hAnsi="宋体"/>
          <w:bCs/>
          <w:szCs w:val="32"/>
        </w:rPr>
        <w:t>（6）</w:t>
      </w:r>
      <w:r>
        <w:rPr>
          <w:rFonts w:hint="eastAsia" w:ascii="宋体" w:hAnsi="宋体"/>
          <w:szCs w:val="22"/>
        </w:rPr>
        <w:t>按照《纳税人跨县（市、区）提供建筑服务增值税征收管理暂行办法》（国家税务总局公告2016年第17号）规定，在建筑服务发生地及时足额预缴增值税（适用于注册地不在合肥市行政区域范围（含四县一市）的中标人）；</w:t>
      </w:r>
    </w:p>
    <w:p w14:paraId="03CBD649">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（7）投标报价中已包含招标文件公布的施工扬尘污染防治措施费用，我方将按照招标文件要求对农民工工资、扬尘污染防治进行办理专户设立、工资支付等事宜。</w:t>
      </w:r>
    </w:p>
    <w:p w14:paraId="760BCBA7">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6.</w:t>
      </w:r>
      <w:r>
        <w:rPr>
          <w:snapToGrid w:val="0"/>
          <w:kern w:val="0"/>
          <w:szCs w:val="21"/>
        </w:rPr>
        <w:t xml:space="preserve"> 我方在此声明，所递交的投标文件及有关资料内容完整、真实和准确，且不存在招标文件第二章“投标人须知”第1.4.3项和第1.4.4项规定的任何一种情形。</w:t>
      </w:r>
    </w:p>
    <w:p w14:paraId="1343252C">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 除非另外达成协议并生效，你方的中标通知书和本投标文件以及招标文件、招标文件澄清、修改、补充文件将成为约束双方的合同文件的组成部分。</w:t>
      </w:r>
    </w:p>
    <w:p w14:paraId="340FA44C">
      <w:pPr>
        <w:adjustRightInd w:val="0"/>
        <w:snapToGrid w:val="0"/>
        <w:spacing w:before="48" w:beforeLines="20" w:after="48" w:afterLines="20" w:line="400" w:lineRule="exact"/>
        <w:ind w:firstLine="367" w:firstLineChars="175"/>
        <w:rPr>
          <w:rFonts w:hint="eastAsia" w:ascii="宋体" w:hAnsi="宋体"/>
          <w:bCs/>
          <w:sz w:val="28"/>
          <w:szCs w:val="32"/>
        </w:rPr>
      </w:pPr>
      <w:r>
        <w:rPr>
          <w:rFonts w:hint="eastAsia" w:ascii="宋体" w:hAnsi="宋体"/>
          <w:bCs/>
          <w:szCs w:val="32"/>
        </w:rPr>
        <w:t xml:space="preserve">8. </w:t>
      </w:r>
      <w:r>
        <w:rPr>
          <w:rFonts w:hint="eastAsia" w:eastAsia="黑体"/>
          <w:snapToGrid w:val="0"/>
          <w:color w:val="000000"/>
          <w:kern w:val="0"/>
          <w:szCs w:val="21"/>
          <w:u w:val="single"/>
        </w:rPr>
        <w:t xml:space="preserve">                          </w:t>
      </w:r>
      <w:r>
        <w:rPr>
          <w:snapToGrid w:val="0"/>
          <w:kern w:val="0"/>
          <w:szCs w:val="21"/>
        </w:rPr>
        <w:t>（其他补充说明）。</w:t>
      </w:r>
    </w:p>
    <w:p w14:paraId="28C9F175">
      <w:pPr>
        <w:adjustRightInd w:val="0"/>
        <w:snapToGrid w:val="0"/>
        <w:spacing w:before="48" w:beforeLines="20" w:after="48" w:afterLines="20" w:line="400" w:lineRule="exact"/>
        <w:ind w:firstLine="367" w:firstLineChars="175"/>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39F39CCF">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757B80A9">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14:paraId="47A5155C">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邮政编码</w:t>
      </w:r>
      <w:r>
        <w:rPr>
          <w:rFonts w:hint="eastAsia" w:ascii="宋体" w:hAnsi="宋体"/>
          <w:szCs w:val="21"/>
        </w:rPr>
        <w:t>：</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0EA384B0">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日期</w:t>
      </w:r>
      <w:r>
        <w:rPr>
          <w:rFonts w:hint="eastAsia" w:ascii="宋体" w:hAnsi="宋体"/>
          <w:szCs w:val="21"/>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6FAB1BB">
      <w:pPr>
        <w:tabs>
          <w:tab w:val="left" w:pos="630"/>
        </w:tabs>
        <w:spacing w:line="360" w:lineRule="auto"/>
        <w:ind w:right="-218" w:rightChars="-104" w:firstLine="630"/>
        <w:rPr>
          <w:rFonts w:hint="eastAsia" w:ascii="宋体" w:hAnsi="宋体"/>
          <w:color w:val="000000"/>
          <w:sz w:val="24"/>
        </w:rPr>
      </w:pPr>
    </w:p>
    <w:p w14:paraId="1253722C">
      <w:pPr>
        <w:tabs>
          <w:tab w:val="left" w:pos="630"/>
        </w:tabs>
        <w:spacing w:line="360" w:lineRule="auto"/>
        <w:ind w:right="-218" w:rightChars="-104" w:firstLine="630"/>
        <w:rPr>
          <w:rFonts w:hint="eastAsia" w:ascii="宋体" w:hAnsi="宋体"/>
          <w:color w:val="000000"/>
          <w:sz w:val="24"/>
        </w:rPr>
      </w:pPr>
    </w:p>
    <w:p w14:paraId="3D1858CE">
      <w:pPr>
        <w:tabs>
          <w:tab w:val="left" w:pos="630"/>
        </w:tabs>
        <w:spacing w:line="360" w:lineRule="auto"/>
        <w:ind w:right="-218" w:rightChars="-104" w:firstLine="630"/>
        <w:rPr>
          <w:rFonts w:hint="eastAsia" w:ascii="宋体" w:hAnsi="宋体"/>
          <w:color w:val="000000"/>
          <w:sz w:val="24"/>
        </w:rPr>
      </w:pPr>
    </w:p>
    <w:p w14:paraId="3F5C53A5">
      <w:pPr>
        <w:pStyle w:val="4"/>
        <w:keepNext/>
        <w:keepLines/>
        <w:pageBreakBefore/>
        <w:widowControl w:val="0"/>
        <w:kinsoku/>
        <w:wordWrap/>
        <w:overflowPunct/>
        <w:topLinePunct w:val="0"/>
        <w:autoSpaceDE/>
        <w:autoSpaceDN/>
        <w:bidi w:val="0"/>
        <w:adjustRightInd/>
        <w:snapToGrid/>
        <w:spacing w:line="413" w:lineRule="auto"/>
        <w:ind w:right="-218" w:rightChars="-104"/>
        <w:textAlignment w:val="auto"/>
        <w:rPr>
          <w:rFonts w:hint="eastAsia" w:hAnsi="宋体"/>
          <w:color w:val="000000"/>
          <w:sz w:val="28"/>
        </w:rPr>
      </w:pPr>
      <w:bookmarkStart w:id="170" w:name="_Toc245714174"/>
      <w:bookmarkStart w:id="171" w:name="_Toc273602356"/>
      <w:bookmarkStart w:id="172" w:name="_Toc23144"/>
      <w:r>
        <w:rPr>
          <w:rFonts w:hint="eastAsia" w:hAnsi="宋体"/>
          <w:color w:val="000000"/>
          <w:sz w:val="28"/>
        </w:rPr>
        <w:t>二．投标授权书</w:t>
      </w:r>
      <w:bookmarkEnd w:id="170"/>
      <w:bookmarkEnd w:id="171"/>
      <w:bookmarkEnd w:id="172"/>
    </w:p>
    <w:p w14:paraId="671097D8">
      <w:pPr>
        <w:jc w:val="center"/>
        <w:rPr>
          <w:rFonts w:hint="eastAsia"/>
          <w:sz w:val="32"/>
          <w:szCs w:val="32"/>
        </w:rPr>
      </w:pPr>
      <w:r>
        <w:rPr>
          <w:rFonts w:hint="eastAsia" w:ascii="黑体" w:hAnsi="黑体" w:eastAsia="黑体"/>
          <w:bCs/>
          <w:sz w:val="24"/>
        </w:rPr>
        <w:t>授权委托书</w:t>
      </w:r>
    </w:p>
    <w:p w14:paraId="20FA20BA">
      <w:pPr>
        <w:rPr>
          <w:rFonts w:hint="eastAsia"/>
        </w:rPr>
      </w:pPr>
    </w:p>
    <w:p w14:paraId="6394A13C">
      <w:pPr>
        <w:snapToGrid w:val="0"/>
        <w:spacing w:line="360" w:lineRule="auto"/>
        <w:ind w:firstLine="420" w:firstLineChars="200"/>
        <w:jc w:val="left"/>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14:paraId="1E97E7BB">
      <w:pPr>
        <w:snapToGrid w:val="0"/>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525519A3">
      <w:pPr>
        <w:snapToGrid w:val="0"/>
        <w:spacing w:line="360" w:lineRule="auto"/>
        <w:ind w:firstLine="420" w:firstLineChars="200"/>
        <w:rPr>
          <w:rFonts w:hint="eastAsia" w:ascii="宋体" w:hAnsi="宋体"/>
          <w:szCs w:val="21"/>
        </w:rPr>
      </w:pPr>
      <w:r>
        <w:rPr>
          <w:rFonts w:hint="eastAsia" w:ascii="宋体" w:hAnsi="宋体"/>
          <w:szCs w:val="21"/>
        </w:rPr>
        <w:t>代理人无转委托权。</w:t>
      </w:r>
    </w:p>
    <w:p w14:paraId="3B62835E">
      <w:pPr>
        <w:snapToGrid w:val="0"/>
        <w:spacing w:line="360" w:lineRule="auto"/>
        <w:ind w:firstLine="420" w:firstLineChars="200"/>
        <w:rPr>
          <w:rFonts w:hint="eastAsia" w:ascii="宋体" w:hAnsi="宋体"/>
          <w:szCs w:val="21"/>
        </w:rPr>
      </w:pPr>
      <w:r>
        <w:rPr>
          <w:rFonts w:hint="eastAsia" w:ascii="宋体" w:hAnsi="宋体"/>
          <w:szCs w:val="21"/>
        </w:rPr>
        <w:t>附：法定代表人身份证明</w:t>
      </w:r>
    </w:p>
    <w:p w14:paraId="3D921778">
      <w:pPr>
        <w:spacing w:line="500" w:lineRule="exact"/>
        <w:rPr>
          <w:rFonts w:hint="eastAsia" w:ascii="宋体" w:hAnsi="宋体"/>
          <w:szCs w:val="21"/>
        </w:rPr>
      </w:pPr>
    </w:p>
    <w:p w14:paraId="0B8C93E2">
      <w:pPr>
        <w:spacing w:line="400" w:lineRule="exact"/>
        <w:ind w:firstLine="3570" w:firstLineChars="1700"/>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7BAEC297">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584AB9A4">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5905A8D0">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83FD7E1">
      <w:pPr>
        <w:autoSpaceDE w:val="0"/>
        <w:autoSpaceDN w:val="0"/>
        <w:adjustRightInd w:val="0"/>
        <w:snapToGrid w:val="0"/>
        <w:spacing w:line="360" w:lineRule="auto"/>
        <w:jc w:val="left"/>
        <w:rPr>
          <w:rFonts w:hint="eastAsia" w:ascii="宋体" w:hAnsi="宋体"/>
          <w:kern w:val="0"/>
          <w:szCs w:val="22"/>
        </w:rPr>
      </w:pPr>
    </w:p>
    <w:p w14:paraId="27B20A36">
      <w:pPr>
        <w:tabs>
          <w:tab w:val="left" w:pos="5760"/>
        </w:tabs>
        <w:autoSpaceDE w:val="0"/>
        <w:autoSpaceDN w:val="0"/>
        <w:adjustRightInd w:val="0"/>
        <w:spacing w:line="300" w:lineRule="exact"/>
        <w:ind w:right="11"/>
        <w:rPr>
          <w:rFonts w:hint="eastAsia" w:ascii="宋体" w:hAnsi="宋体"/>
          <w:kern w:val="0"/>
          <w:szCs w:val="22"/>
        </w:rPr>
      </w:pPr>
      <w:r>
        <w:rPr>
          <w:rFonts w:hint="eastAsia" w:ascii="宋体" w:hAnsi="宋体"/>
          <w:kern w:val="0"/>
          <w:szCs w:val="22"/>
        </w:rPr>
        <w:t>注：</w:t>
      </w:r>
    </w:p>
    <w:p w14:paraId="538BBDF4">
      <w:pPr>
        <w:tabs>
          <w:tab w:val="left" w:pos="5760"/>
        </w:tabs>
        <w:autoSpaceDE w:val="0"/>
        <w:autoSpaceDN w:val="0"/>
        <w:adjustRightInd w:val="0"/>
        <w:spacing w:line="300" w:lineRule="exact"/>
        <w:ind w:right="11"/>
        <w:rPr>
          <w:rFonts w:ascii="宋体" w:hAnsi="宋体"/>
          <w:kern w:val="0"/>
          <w:szCs w:val="22"/>
        </w:rPr>
      </w:pPr>
      <w:r>
        <w:rPr>
          <w:rFonts w:hint="eastAsia" w:ascii="宋体" w:hAnsi="宋体"/>
          <w:kern w:val="0"/>
          <w:szCs w:val="22"/>
        </w:rPr>
        <w:t>法定代表人参加投标活动并签署文件的不需要授权委托书，只需提供法定代表人身份证明；非法定代表人参加投标活动及签署文件的还须提供授权委托书。</w:t>
      </w:r>
    </w:p>
    <w:p w14:paraId="406953D9">
      <w:pPr>
        <w:rPr>
          <w:rFonts w:hint="eastAsia" w:ascii="宋体" w:hAnsi="宋体"/>
          <w:color w:val="000000"/>
          <w:sz w:val="24"/>
          <w:szCs w:val="28"/>
        </w:rPr>
      </w:pPr>
    </w:p>
    <w:p w14:paraId="325331BD">
      <w:pPr>
        <w:ind w:right="-218" w:rightChars="-104"/>
        <w:rPr>
          <w:rFonts w:hint="eastAsia" w:ascii="宋体" w:hAnsi="宋体"/>
          <w:color w:val="000000"/>
          <w:sz w:val="24"/>
          <w:szCs w:val="28"/>
        </w:rPr>
      </w:pPr>
    </w:p>
    <w:p w14:paraId="4E8E581C">
      <w:pPr>
        <w:ind w:right="-218" w:rightChars="-104"/>
        <w:rPr>
          <w:rFonts w:hint="eastAsia" w:ascii="宋体" w:hAnsi="宋体"/>
          <w:color w:val="000000"/>
          <w:sz w:val="24"/>
          <w:szCs w:val="28"/>
        </w:rPr>
      </w:pPr>
    </w:p>
    <w:p w14:paraId="34253304">
      <w:pPr>
        <w:ind w:right="-218" w:rightChars="-104"/>
        <w:rPr>
          <w:rFonts w:hint="eastAsia" w:ascii="宋体" w:hAnsi="宋体"/>
          <w:color w:val="000000"/>
          <w:sz w:val="24"/>
          <w:szCs w:val="28"/>
        </w:rPr>
      </w:pPr>
    </w:p>
    <w:p w14:paraId="3155A3ED">
      <w:pPr>
        <w:ind w:right="-218" w:rightChars="-104"/>
        <w:rPr>
          <w:rFonts w:hint="eastAsia" w:ascii="宋体" w:hAnsi="宋体"/>
          <w:color w:val="000000"/>
          <w:sz w:val="24"/>
          <w:szCs w:val="28"/>
        </w:rPr>
      </w:pPr>
    </w:p>
    <w:p w14:paraId="30AE558E">
      <w:pPr>
        <w:ind w:right="-218" w:rightChars="-104"/>
        <w:rPr>
          <w:rFonts w:hint="eastAsia" w:ascii="宋体" w:hAnsi="宋体"/>
          <w:color w:val="000000"/>
          <w:sz w:val="24"/>
          <w:szCs w:val="28"/>
        </w:rPr>
      </w:pPr>
    </w:p>
    <w:p w14:paraId="29F3BA9D">
      <w:pPr>
        <w:ind w:right="-218" w:rightChars="-104"/>
        <w:rPr>
          <w:rFonts w:hint="eastAsia" w:ascii="宋体" w:hAnsi="宋体"/>
          <w:color w:val="000000"/>
          <w:sz w:val="24"/>
          <w:szCs w:val="28"/>
        </w:rPr>
      </w:pPr>
    </w:p>
    <w:p w14:paraId="1FE616C1">
      <w:pPr>
        <w:ind w:right="-218" w:rightChars="-104"/>
        <w:rPr>
          <w:rFonts w:hint="eastAsia" w:ascii="宋体" w:hAnsi="宋体"/>
          <w:color w:val="000000"/>
          <w:sz w:val="24"/>
          <w:szCs w:val="28"/>
        </w:rPr>
      </w:pPr>
    </w:p>
    <w:p w14:paraId="21B3CA79">
      <w:pPr>
        <w:ind w:right="-218" w:rightChars="-104"/>
        <w:rPr>
          <w:rFonts w:hint="eastAsia" w:ascii="宋体" w:hAnsi="宋体"/>
          <w:color w:val="000000"/>
          <w:sz w:val="24"/>
          <w:szCs w:val="28"/>
        </w:rPr>
      </w:pPr>
    </w:p>
    <w:p w14:paraId="2DCF5FDD">
      <w:pPr>
        <w:ind w:right="-218" w:rightChars="-104"/>
        <w:rPr>
          <w:rFonts w:hint="eastAsia" w:ascii="宋体" w:hAnsi="宋体"/>
          <w:color w:val="000000"/>
          <w:sz w:val="24"/>
          <w:szCs w:val="28"/>
        </w:rPr>
      </w:pPr>
    </w:p>
    <w:p w14:paraId="3CF27D14">
      <w:pPr>
        <w:pStyle w:val="4"/>
        <w:keepNext/>
        <w:keepLines/>
        <w:pageBreakBefore/>
        <w:widowControl w:val="0"/>
        <w:numPr>
          <w:ilvl w:val="0"/>
          <w:numId w:val="1"/>
        </w:numPr>
        <w:kinsoku/>
        <w:wordWrap/>
        <w:overflowPunct/>
        <w:topLinePunct w:val="0"/>
        <w:autoSpaceDE/>
        <w:autoSpaceDN/>
        <w:bidi w:val="0"/>
        <w:adjustRightInd/>
        <w:snapToGrid/>
        <w:spacing w:line="413" w:lineRule="auto"/>
        <w:ind w:right="-218" w:rightChars="-104"/>
        <w:textAlignment w:val="auto"/>
        <w:rPr>
          <w:rFonts w:hint="eastAsia"/>
          <w:color w:val="000000"/>
        </w:rPr>
      </w:pPr>
      <w:bookmarkStart w:id="173" w:name="_Toc245714175"/>
      <w:bookmarkStart w:id="174" w:name="_Toc273602357"/>
      <w:bookmarkStart w:id="175" w:name="_Toc27482"/>
      <w:r>
        <w:rPr>
          <w:rFonts w:hint="eastAsia"/>
          <w:color w:val="000000"/>
        </w:rPr>
        <w:t>投标人</w:t>
      </w:r>
      <w:bookmarkEnd w:id="173"/>
      <w:bookmarkEnd w:id="174"/>
      <w:r>
        <w:rPr>
          <w:rFonts w:hint="eastAsia"/>
          <w:color w:val="000000"/>
          <w:lang w:eastAsia="zh-CN"/>
        </w:rPr>
        <w:t>综合简介</w:t>
      </w:r>
      <w:bookmarkEnd w:id="175"/>
    </w:p>
    <w:p w14:paraId="7D5A488B">
      <w:pPr>
        <w:spacing w:line="500" w:lineRule="exact"/>
        <w:ind w:right="-218" w:rightChars="-104"/>
        <w:jc w:val="center"/>
        <w:rPr>
          <w:rFonts w:hint="eastAsia" w:ascii="宋体" w:hAnsi="宋体"/>
          <w:sz w:val="28"/>
        </w:rPr>
      </w:pPr>
      <w:r>
        <w:rPr>
          <w:rFonts w:hint="eastAsia" w:ascii="宋体" w:hAnsi="宋体"/>
          <w:b/>
          <w:bCs/>
          <w:sz w:val="24"/>
          <w:szCs w:val="24"/>
        </w:rPr>
        <w:t>（</w:t>
      </w:r>
      <w:r>
        <w:rPr>
          <w:rFonts w:hint="eastAsia" w:ascii="宋体" w:hAnsi="宋体"/>
          <w:bCs/>
          <w:sz w:val="24"/>
          <w:szCs w:val="24"/>
        </w:rPr>
        <w:t>投标人可自行制作格式</w:t>
      </w:r>
      <w:r>
        <w:rPr>
          <w:rFonts w:hint="eastAsia" w:ascii="宋体" w:hAnsi="宋体"/>
          <w:b/>
          <w:bCs/>
          <w:sz w:val="24"/>
          <w:szCs w:val="24"/>
        </w:rPr>
        <w:t>）</w:t>
      </w:r>
    </w:p>
    <w:p w14:paraId="1F881E4F">
      <w:pPr>
        <w:numPr>
          <w:ilvl w:val="0"/>
          <w:numId w:val="0"/>
        </w:numPr>
        <w:ind w:right="-218" w:rightChars="-104"/>
        <w:rPr>
          <w:rFonts w:hint="eastAsia"/>
        </w:rPr>
      </w:pPr>
    </w:p>
    <w:p w14:paraId="1D03FB18">
      <w:pPr>
        <w:ind w:right="-218" w:rightChars="-104"/>
        <w:rPr>
          <w:rFonts w:hint="eastAsia"/>
          <w:color w:val="000000"/>
          <w:sz w:val="30"/>
          <w:szCs w:val="30"/>
        </w:rPr>
      </w:pPr>
    </w:p>
    <w:p w14:paraId="3D931D9D">
      <w:pPr>
        <w:ind w:right="-218" w:rightChars="-104"/>
        <w:rPr>
          <w:rFonts w:hint="eastAsia"/>
          <w:color w:val="000000"/>
          <w:sz w:val="30"/>
          <w:szCs w:val="30"/>
        </w:rPr>
      </w:pPr>
    </w:p>
    <w:p w14:paraId="7AE40EFC">
      <w:pPr>
        <w:ind w:right="-218" w:rightChars="-104"/>
        <w:rPr>
          <w:rFonts w:hint="eastAsia"/>
          <w:color w:val="000000"/>
          <w:sz w:val="30"/>
          <w:szCs w:val="30"/>
        </w:rPr>
      </w:pPr>
    </w:p>
    <w:p w14:paraId="53A3302E">
      <w:pPr>
        <w:ind w:right="-218" w:rightChars="-104"/>
        <w:rPr>
          <w:rFonts w:hint="eastAsia"/>
          <w:color w:val="000000"/>
          <w:sz w:val="30"/>
          <w:szCs w:val="30"/>
        </w:rPr>
      </w:pPr>
    </w:p>
    <w:p w14:paraId="3005BCF1">
      <w:pPr>
        <w:ind w:right="-218" w:rightChars="-104"/>
        <w:rPr>
          <w:rFonts w:hint="eastAsia"/>
          <w:color w:val="000000"/>
          <w:sz w:val="30"/>
          <w:szCs w:val="30"/>
        </w:rPr>
      </w:pPr>
    </w:p>
    <w:p w14:paraId="6318A72C">
      <w:pPr>
        <w:ind w:right="-218" w:rightChars="-104"/>
        <w:rPr>
          <w:rFonts w:hint="eastAsia"/>
          <w:color w:val="000000"/>
          <w:sz w:val="30"/>
          <w:szCs w:val="30"/>
        </w:rPr>
      </w:pPr>
    </w:p>
    <w:p w14:paraId="3C7CBF6D">
      <w:pPr>
        <w:ind w:right="-218" w:rightChars="-104" w:firstLine="281" w:firstLineChars="100"/>
        <w:rPr>
          <w:rFonts w:hint="eastAsia" w:ascii="仿宋_GB2312" w:eastAsia="仿宋_GB2312"/>
          <w:b/>
          <w:color w:val="000000"/>
          <w:sz w:val="28"/>
          <w:szCs w:val="28"/>
        </w:rPr>
      </w:pPr>
    </w:p>
    <w:p w14:paraId="6C13A542">
      <w:pPr>
        <w:ind w:right="-218" w:rightChars="-104" w:firstLine="281" w:firstLineChars="100"/>
        <w:rPr>
          <w:rFonts w:hint="eastAsia" w:ascii="仿宋_GB2312" w:eastAsia="仿宋_GB2312"/>
          <w:b/>
          <w:color w:val="000000"/>
          <w:sz w:val="28"/>
          <w:szCs w:val="28"/>
        </w:rPr>
      </w:pPr>
    </w:p>
    <w:p w14:paraId="5F500BE0">
      <w:pPr>
        <w:ind w:right="-218" w:rightChars="-104" w:firstLine="281" w:firstLineChars="100"/>
        <w:rPr>
          <w:rFonts w:hint="eastAsia" w:ascii="仿宋_GB2312" w:eastAsia="仿宋_GB2312"/>
          <w:b/>
          <w:color w:val="000000"/>
          <w:sz w:val="28"/>
          <w:szCs w:val="28"/>
        </w:rPr>
      </w:pPr>
    </w:p>
    <w:p w14:paraId="24153696">
      <w:pPr>
        <w:ind w:right="-218" w:rightChars="-104" w:firstLine="281" w:firstLineChars="100"/>
        <w:rPr>
          <w:rFonts w:hint="eastAsia" w:ascii="仿宋_GB2312" w:eastAsia="仿宋_GB2312"/>
          <w:b/>
          <w:color w:val="000000"/>
          <w:sz w:val="28"/>
          <w:szCs w:val="28"/>
        </w:rPr>
      </w:pPr>
    </w:p>
    <w:p w14:paraId="538D1E22">
      <w:pPr>
        <w:ind w:right="-218" w:rightChars="-104" w:firstLine="281" w:firstLineChars="100"/>
        <w:rPr>
          <w:rFonts w:hint="eastAsia" w:ascii="仿宋_GB2312" w:eastAsia="仿宋_GB2312"/>
          <w:b/>
          <w:color w:val="000000"/>
          <w:sz w:val="28"/>
          <w:szCs w:val="28"/>
        </w:rPr>
      </w:pPr>
    </w:p>
    <w:p w14:paraId="5F262C13">
      <w:pPr>
        <w:ind w:right="-218" w:rightChars="-104" w:firstLine="281" w:firstLineChars="100"/>
        <w:rPr>
          <w:rFonts w:hint="eastAsia" w:ascii="仿宋_GB2312" w:eastAsia="仿宋_GB2312"/>
          <w:b/>
          <w:color w:val="000000"/>
          <w:sz w:val="28"/>
          <w:szCs w:val="28"/>
        </w:rPr>
      </w:pPr>
    </w:p>
    <w:p w14:paraId="0584028E">
      <w:pPr>
        <w:ind w:right="-218" w:rightChars="-104" w:firstLine="281" w:firstLineChars="100"/>
        <w:rPr>
          <w:rFonts w:hint="eastAsia" w:ascii="仿宋_GB2312" w:eastAsia="仿宋_GB2312"/>
          <w:b/>
          <w:color w:val="000000"/>
          <w:sz w:val="28"/>
          <w:szCs w:val="28"/>
        </w:rPr>
      </w:pPr>
    </w:p>
    <w:p w14:paraId="48EF2420">
      <w:pPr>
        <w:ind w:right="-218" w:rightChars="-104" w:firstLine="281" w:firstLineChars="100"/>
        <w:rPr>
          <w:rFonts w:hint="eastAsia" w:ascii="仿宋_GB2312" w:eastAsia="仿宋_GB2312"/>
          <w:b/>
          <w:color w:val="000000"/>
          <w:sz w:val="28"/>
          <w:szCs w:val="28"/>
        </w:rPr>
      </w:pPr>
    </w:p>
    <w:p w14:paraId="3DC380A8">
      <w:pPr>
        <w:ind w:right="-218" w:rightChars="-104" w:firstLine="281" w:firstLineChars="100"/>
        <w:rPr>
          <w:rFonts w:hint="eastAsia" w:ascii="仿宋_GB2312" w:eastAsia="仿宋_GB2312"/>
          <w:b/>
          <w:color w:val="000000"/>
          <w:sz w:val="28"/>
          <w:szCs w:val="28"/>
        </w:rPr>
      </w:pPr>
    </w:p>
    <w:p w14:paraId="57D9BABB">
      <w:pPr>
        <w:ind w:right="-218" w:rightChars="-104" w:firstLine="281" w:firstLineChars="100"/>
        <w:rPr>
          <w:rFonts w:hint="eastAsia" w:ascii="仿宋_GB2312" w:eastAsia="仿宋_GB2312"/>
          <w:b/>
          <w:color w:val="000000"/>
          <w:sz w:val="28"/>
          <w:szCs w:val="28"/>
        </w:rPr>
      </w:pPr>
    </w:p>
    <w:p w14:paraId="7C09483B">
      <w:pPr>
        <w:ind w:right="-218" w:rightChars="-104" w:firstLine="281" w:firstLineChars="100"/>
        <w:rPr>
          <w:rFonts w:hint="eastAsia" w:ascii="仿宋_GB2312" w:eastAsia="仿宋_GB2312"/>
          <w:b/>
          <w:color w:val="000000"/>
          <w:sz w:val="28"/>
          <w:szCs w:val="28"/>
        </w:rPr>
      </w:pPr>
    </w:p>
    <w:p w14:paraId="25922AC7">
      <w:pPr>
        <w:ind w:right="-218" w:rightChars="-104" w:firstLine="281" w:firstLineChars="100"/>
        <w:rPr>
          <w:rFonts w:hint="eastAsia" w:ascii="仿宋_GB2312" w:eastAsia="仿宋_GB2312"/>
          <w:b/>
          <w:color w:val="000000"/>
          <w:sz w:val="28"/>
          <w:szCs w:val="28"/>
        </w:rPr>
      </w:pPr>
    </w:p>
    <w:p w14:paraId="17449B4C">
      <w:pPr>
        <w:pStyle w:val="4"/>
        <w:pageBreakBefore/>
        <w:rPr>
          <w:rFonts w:hint="eastAsia"/>
          <w:color w:val="000000"/>
        </w:rPr>
      </w:pPr>
      <w:bookmarkStart w:id="176" w:name="_Toc328559342"/>
      <w:r>
        <w:rPr>
          <w:rFonts w:hint="eastAsia"/>
          <w:color w:val="000000"/>
        </w:rPr>
        <w:t>四.资格证明文件</w:t>
      </w:r>
      <w:bookmarkEnd w:id="176"/>
    </w:p>
    <w:p w14:paraId="3DDB5FAD">
      <w:pPr>
        <w:tabs>
          <w:tab w:val="left" w:pos="4620"/>
        </w:tabs>
        <w:spacing w:line="360" w:lineRule="auto"/>
        <w:ind w:firstLine="480" w:firstLineChars="200"/>
        <w:rPr>
          <w:rFonts w:hint="eastAsia" w:ascii="宋体" w:hAnsi="宋体"/>
          <w:color w:val="000000"/>
          <w:sz w:val="24"/>
        </w:rPr>
      </w:pPr>
      <w:r>
        <w:rPr>
          <w:rFonts w:hint="eastAsia" w:ascii="宋体" w:hAnsi="宋体"/>
          <w:color w:val="000000"/>
          <w:sz w:val="24"/>
        </w:rPr>
        <w:t>提供符合投标邀请（招标公告）、招标范围及要求、评标办法规定的相关证明文件</w:t>
      </w:r>
    </w:p>
    <w:p w14:paraId="64D6509D">
      <w:pPr>
        <w:tabs>
          <w:tab w:val="left" w:pos="4620"/>
        </w:tabs>
        <w:spacing w:line="360" w:lineRule="auto"/>
        <w:ind w:firstLine="480" w:firstLineChars="200"/>
        <w:rPr>
          <w:rFonts w:hint="eastAsia" w:ascii="宋体" w:hAnsi="宋体"/>
          <w:color w:val="000000"/>
          <w:sz w:val="24"/>
        </w:rPr>
      </w:pPr>
    </w:p>
    <w:p w14:paraId="23999E68">
      <w:pPr>
        <w:ind w:right="-218" w:rightChars="-104"/>
        <w:rPr>
          <w:rFonts w:hint="eastAsia"/>
          <w:color w:val="000000"/>
        </w:rPr>
      </w:pPr>
    </w:p>
    <w:p w14:paraId="62907432">
      <w:pPr>
        <w:ind w:right="-218" w:rightChars="-104"/>
        <w:rPr>
          <w:rFonts w:hint="eastAsia"/>
          <w:color w:val="000000"/>
        </w:rPr>
      </w:pPr>
    </w:p>
    <w:p w14:paraId="25FB07A8">
      <w:pPr>
        <w:ind w:right="-218" w:rightChars="-104"/>
        <w:rPr>
          <w:rFonts w:hint="eastAsia"/>
          <w:color w:val="000000"/>
        </w:rPr>
      </w:pPr>
    </w:p>
    <w:p w14:paraId="26FE2376">
      <w:pPr>
        <w:ind w:right="-218" w:rightChars="-104"/>
        <w:rPr>
          <w:rFonts w:hint="eastAsia"/>
          <w:color w:val="000000"/>
        </w:rPr>
      </w:pPr>
    </w:p>
    <w:p w14:paraId="1A41FD3D">
      <w:pPr>
        <w:ind w:right="-218" w:rightChars="-104"/>
        <w:rPr>
          <w:rFonts w:hint="eastAsia"/>
          <w:color w:val="000000"/>
        </w:rPr>
      </w:pPr>
    </w:p>
    <w:p w14:paraId="1C625A8B">
      <w:pPr>
        <w:ind w:right="-218" w:rightChars="-104"/>
        <w:rPr>
          <w:rFonts w:hint="eastAsia"/>
          <w:color w:val="000000"/>
        </w:rPr>
      </w:pPr>
    </w:p>
    <w:p w14:paraId="50454DA4">
      <w:pPr>
        <w:ind w:right="-218" w:rightChars="-104"/>
        <w:rPr>
          <w:rFonts w:hint="eastAsia"/>
          <w:color w:val="000000"/>
        </w:rPr>
      </w:pPr>
    </w:p>
    <w:p w14:paraId="687DB43B">
      <w:pPr>
        <w:ind w:right="-218" w:rightChars="-104"/>
        <w:rPr>
          <w:rFonts w:hint="eastAsia"/>
          <w:color w:val="000000"/>
        </w:rPr>
      </w:pPr>
    </w:p>
    <w:p w14:paraId="25560D4C">
      <w:pPr>
        <w:ind w:right="-218" w:rightChars="-104"/>
        <w:rPr>
          <w:rFonts w:hint="eastAsia"/>
          <w:color w:val="000000"/>
        </w:rPr>
      </w:pPr>
    </w:p>
    <w:p w14:paraId="5003E9E5">
      <w:pPr>
        <w:ind w:right="-218" w:rightChars="-104"/>
        <w:rPr>
          <w:rFonts w:hint="eastAsia"/>
          <w:color w:val="000000"/>
        </w:rPr>
      </w:pPr>
    </w:p>
    <w:p w14:paraId="01FDC657">
      <w:pPr>
        <w:ind w:right="-218" w:rightChars="-104"/>
        <w:rPr>
          <w:rFonts w:hint="eastAsia"/>
          <w:color w:val="000000"/>
        </w:rPr>
      </w:pPr>
    </w:p>
    <w:p w14:paraId="3061CA74">
      <w:pPr>
        <w:ind w:right="-218" w:rightChars="-104"/>
        <w:rPr>
          <w:rFonts w:hint="eastAsia"/>
          <w:color w:val="000000"/>
        </w:rPr>
      </w:pPr>
    </w:p>
    <w:p w14:paraId="5F4FD809">
      <w:pPr>
        <w:ind w:right="-218" w:rightChars="-104"/>
        <w:rPr>
          <w:rFonts w:hint="eastAsia"/>
          <w:color w:val="000000"/>
        </w:rPr>
      </w:pPr>
    </w:p>
    <w:p w14:paraId="69F11722">
      <w:pPr>
        <w:ind w:right="-218" w:rightChars="-104"/>
        <w:rPr>
          <w:rFonts w:hint="eastAsia"/>
          <w:color w:val="000000"/>
        </w:rPr>
      </w:pPr>
    </w:p>
    <w:p w14:paraId="56345E8B">
      <w:pPr>
        <w:ind w:right="-218" w:rightChars="-104"/>
        <w:rPr>
          <w:rFonts w:hint="eastAsia"/>
          <w:color w:val="000000"/>
        </w:rPr>
      </w:pPr>
    </w:p>
    <w:p w14:paraId="048799B9">
      <w:pPr>
        <w:ind w:right="-218" w:rightChars="-104"/>
        <w:rPr>
          <w:rFonts w:hint="eastAsia"/>
          <w:color w:val="000000"/>
        </w:rPr>
      </w:pPr>
    </w:p>
    <w:p w14:paraId="311C7DC5">
      <w:pPr>
        <w:ind w:right="-218" w:rightChars="-104"/>
        <w:rPr>
          <w:rFonts w:hint="eastAsia"/>
          <w:color w:val="000000"/>
        </w:rPr>
      </w:pPr>
    </w:p>
    <w:p w14:paraId="7185E2DB">
      <w:pPr>
        <w:spacing w:line="360" w:lineRule="auto"/>
        <w:ind w:right="-218" w:rightChars="-104" w:firstLine="241" w:firstLineChars="100"/>
        <w:rPr>
          <w:rFonts w:hint="eastAsia" w:ascii="仿宋_GB2312" w:eastAsia="仿宋_GB2312"/>
          <w:b/>
          <w:color w:val="000000"/>
          <w:sz w:val="24"/>
          <w:szCs w:val="24"/>
        </w:rPr>
      </w:pPr>
    </w:p>
    <w:p w14:paraId="69A55A02">
      <w:pPr>
        <w:spacing w:line="360" w:lineRule="auto"/>
        <w:ind w:right="-218" w:rightChars="-104" w:firstLine="241" w:firstLineChars="100"/>
        <w:rPr>
          <w:rFonts w:hint="eastAsia" w:ascii="仿宋_GB2312" w:eastAsia="仿宋_GB2312"/>
          <w:b/>
          <w:color w:val="000000"/>
          <w:sz w:val="24"/>
          <w:szCs w:val="24"/>
        </w:rPr>
      </w:pPr>
    </w:p>
    <w:p w14:paraId="05F56333">
      <w:pPr>
        <w:spacing w:line="360" w:lineRule="auto"/>
        <w:ind w:right="-218" w:rightChars="-104" w:firstLine="241" w:firstLineChars="100"/>
        <w:rPr>
          <w:rFonts w:hint="eastAsia" w:ascii="仿宋_GB2312" w:eastAsia="仿宋_GB2312"/>
          <w:b/>
          <w:color w:val="000000"/>
          <w:sz w:val="24"/>
          <w:szCs w:val="24"/>
        </w:rPr>
      </w:pPr>
    </w:p>
    <w:p w14:paraId="3CC44EE6">
      <w:pPr>
        <w:spacing w:line="360" w:lineRule="auto"/>
        <w:ind w:right="-218" w:rightChars="-104" w:firstLine="241" w:firstLineChars="100"/>
        <w:rPr>
          <w:rFonts w:hint="eastAsia" w:ascii="仿宋_GB2312" w:eastAsia="仿宋_GB2312"/>
          <w:b/>
          <w:color w:val="000000"/>
          <w:sz w:val="24"/>
          <w:szCs w:val="24"/>
        </w:rPr>
      </w:pPr>
    </w:p>
    <w:p w14:paraId="31CCE7BC">
      <w:pPr>
        <w:spacing w:line="360" w:lineRule="auto"/>
        <w:ind w:right="-218" w:rightChars="-104" w:firstLine="241" w:firstLineChars="100"/>
        <w:rPr>
          <w:rFonts w:hint="eastAsia" w:ascii="仿宋_GB2312" w:eastAsia="仿宋_GB2312"/>
          <w:b/>
          <w:color w:val="000000"/>
          <w:sz w:val="24"/>
          <w:szCs w:val="24"/>
        </w:rPr>
      </w:pPr>
    </w:p>
    <w:p w14:paraId="07C690ED">
      <w:pPr>
        <w:spacing w:line="360" w:lineRule="auto"/>
        <w:ind w:right="-218" w:rightChars="-104" w:firstLine="241" w:firstLineChars="100"/>
        <w:rPr>
          <w:rFonts w:hint="eastAsia" w:ascii="仿宋_GB2312" w:eastAsia="仿宋_GB2312"/>
          <w:b/>
          <w:color w:val="000000"/>
          <w:sz w:val="24"/>
          <w:szCs w:val="24"/>
        </w:rPr>
      </w:pPr>
    </w:p>
    <w:p w14:paraId="38DBCEC0">
      <w:pPr>
        <w:spacing w:line="360" w:lineRule="auto"/>
        <w:ind w:right="-218" w:rightChars="-104" w:firstLine="241" w:firstLineChars="100"/>
        <w:rPr>
          <w:rFonts w:hint="eastAsia" w:ascii="仿宋_GB2312" w:eastAsia="仿宋_GB2312"/>
          <w:b/>
          <w:color w:val="000000"/>
          <w:sz w:val="24"/>
          <w:szCs w:val="24"/>
        </w:rPr>
      </w:pPr>
    </w:p>
    <w:p w14:paraId="3A7BF3F0">
      <w:pPr>
        <w:spacing w:line="360" w:lineRule="auto"/>
        <w:ind w:right="-218" w:rightChars="-104" w:firstLine="241" w:firstLineChars="100"/>
        <w:rPr>
          <w:rFonts w:hint="eastAsia" w:ascii="仿宋_GB2312" w:eastAsia="仿宋_GB2312"/>
          <w:b/>
          <w:color w:val="000000"/>
          <w:sz w:val="24"/>
          <w:szCs w:val="24"/>
        </w:rPr>
      </w:pPr>
    </w:p>
    <w:p w14:paraId="2482508D">
      <w:pPr>
        <w:spacing w:line="360" w:lineRule="auto"/>
        <w:ind w:right="-218" w:rightChars="-104" w:firstLine="241" w:firstLineChars="100"/>
        <w:jc w:val="center"/>
        <w:rPr>
          <w:rFonts w:hint="eastAsia" w:ascii="仿宋_GB2312" w:eastAsia="仿宋_GB2312"/>
          <w:b/>
          <w:color w:val="000000"/>
          <w:sz w:val="24"/>
          <w:szCs w:val="24"/>
        </w:rPr>
      </w:pPr>
      <w:r>
        <w:rPr>
          <w:rFonts w:hint="eastAsia" w:ascii="仿宋_GB2312" w:eastAsia="仿宋_GB2312"/>
          <w:b/>
          <w:color w:val="000000"/>
          <w:sz w:val="24"/>
          <w:szCs w:val="24"/>
          <w:lang w:val="en-US" w:eastAsia="zh-CN"/>
        </w:rPr>
        <w:t xml:space="preserve">                         </w:t>
      </w:r>
      <w:r>
        <w:rPr>
          <w:rFonts w:hint="eastAsia" w:ascii="仿宋_GB2312" w:eastAsia="仿宋_GB2312"/>
          <w:b/>
          <w:color w:val="000000"/>
          <w:sz w:val="24"/>
          <w:szCs w:val="24"/>
        </w:rPr>
        <w:t>投标人（公章）：</w:t>
      </w:r>
      <w:r>
        <w:rPr>
          <w:rFonts w:hint="eastAsia" w:ascii="仿宋_GB2312" w:eastAsia="仿宋_GB2312"/>
          <w:b/>
          <w:color w:val="000000"/>
          <w:sz w:val="24"/>
          <w:szCs w:val="24"/>
          <w:u w:val="single"/>
        </w:rPr>
        <w:t xml:space="preserve">                </w:t>
      </w:r>
    </w:p>
    <w:p w14:paraId="4B4B3969">
      <w:pPr>
        <w:spacing w:line="360" w:lineRule="auto"/>
        <w:ind w:right="-218" w:rightChars="-104" w:firstLine="241" w:firstLineChars="100"/>
        <w:jc w:val="right"/>
        <w:rPr>
          <w:rFonts w:hint="eastAsia" w:ascii="仿宋_GB2312" w:eastAsia="仿宋_GB2312"/>
          <w:b/>
          <w:color w:val="000000"/>
          <w:sz w:val="24"/>
          <w:szCs w:val="24"/>
        </w:rPr>
      </w:pPr>
      <w:r>
        <w:rPr>
          <w:rFonts w:hint="eastAsia" w:ascii="仿宋_GB2312" w:eastAsia="仿宋_GB2312"/>
          <w:b/>
          <w:color w:val="000000"/>
          <w:sz w:val="24"/>
          <w:szCs w:val="24"/>
        </w:rPr>
        <w:t>日  期：</w:t>
      </w:r>
      <w:r>
        <w:rPr>
          <w:rFonts w:hint="eastAsia" w:ascii="仿宋_GB2312" w:eastAsia="仿宋_GB2312"/>
          <w:b/>
          <w:color w:val="000000"/>
          <w:sz w:val="24"/>
          <w:szCs w:val="24"/>
          <w:u w:val="single"/>
        </w:rPr>
        <w:t xml:space="preserve">      </w:t>
      </w:r>
      <w:r>
        <w:rPr>
          <w:rFonts w:hint="eastAsia" w:ascii="仿宋_GB2312" w:eastAsia="仿宋_GB2312"/>
          <w:b/>
          <w:color w:val="000000"/>
          <w:sz w:val="24"/>
          <w:szCs w:val="24"/>
        </w:rPr>
        <w:t>年</w:t>
      </w:r>
      <w:r>
        <w:rPr>
          <w:rFonts w:hint="eastAsia" w:ascii="仿宋_GB2312" w:eastAsia="仿宋_GB2312"/>
          <w:b/>
          <w:color w:val="000000"/>
          <w:sz w:val="24"/>
          <w:szCs w:val="24"/>
          <w:u w:val="single"/>
        </w:rPr>
        <w:t xml:space="preserve">    </w:t>
      </w:r>
      <w:r>
        <w:rPr>
          <w:rFonts w:hint="eastAsia" w:ascii="仿宋_GB2312" w:eastAsia="仿宋_GB2312"/>
          <w:b/>
          <w:color w:val="000000"/>
          <w:sz w:val="24"/>
          <w:szCs w:val="24"/>
        </w:rPr>
        <w:t>月</w:t>
      </w:r>
      <w:r>
        <w:rPr>
          <w:rFonts w:hint="eastAsia" w:ascii="仿宋_GB2312" w:eastAsia="仿宋_GB2312"/>
          <w:b/>
          <w:color w:val="000000"/>
          <w:sz w:val="24"/>
          <w:szCs w:val="24"/>
          <w:u w:val="single"/>
        </w:rPr>
        <w:t xml:space="preserve">     </w:t>
      </w:r>
      <w:r>
        <w:rPr>
          <w:rFonts w:hint="eastAsia" w:ascii="仿宋_GB2312" w:eastAsia="仿宋_GB2312"/>
          <w:b/>
          <w:color w:val="000000"/>
          <w:sz w:val="24"/>
          <w:szCs w:val="24"/>
        </w:rPr>
        <w:t>日</w:t>
      </w:r>
    </w:p>
    <w:p w14:paraId="055120C6">
      <w:pPr>
        <w:rPr>
          <w:rFonts w:hint="eastAsia" w:ascii="仿宋_GB2312" w:eastAsia="仿宋_GB2312"/>
          <w:b/>
          <w:color w:val="000000"/>
          <w:sz w:val="24"/>
          <w:szCs w:val="24"/>
        </w:rPr>
      </w:pPr>
      <w:r>
        <w:rPr>
          <w:rFonts w:hint="eastAsia" w:ascii="仿宋_GB2312" w:eastAsia="仿宋_GB2312"/>
          <w:b/>
          <w:color w:val="000000"/>
          <w:sz w:val="24"/>
          <w:szCs w:val="24"/>
        </w:rPr>
        <w:br w:type="page"/>
      </w:r>
    </w:p>
    <w:p w14:paraId="157D346F">
      <w:pPr>
        <w:pStyle w:val="4"/>
        <w:pageBreakBefore/>
        <w:rPr>
          <w:rFonts w:hint="eastAsia"/>
          <w:color w:val="000000"/>
        </w:rPr>
      </w:pPr>
      <w:r>
        <w:rPr>
          <w:rFonts w:hint="eastAsia"/>
          <w:color w:val="000000"/>
          <w:lang w:val="en-US" w:eastAsia="zh-CN"/>
        </w:rPr>
        <w:t>五、</w:t>
      </w:r>
      <w:r>
        <w:rPr>
          <w:rFonts w:hint="eastAsia"/>
          <w:color w:val="000000"/>
        </w:rPr>
        <w:t>常用维修配件清单报价表</w:t>
      </w:r>
    </w:p>
    <w:p w14:paraId="333A9EBF">
      <w:pPr>
        <w:spacing w:line="360" w:lineRule="auto"/>
        <w:ind w:right="-218" w:rightChars="-104" w:firstLine="280" w:firstLineChars="100"/>
        <w:jc w:val="center"/>
        <w:rPr>
          <w:rFonts w:hint="eastAsia"/>
          <w:color w:val="000000"/>
          <w:sz w:val="28"/>
          <w:szCs w:val="28"/>
        </w:rPr>
      </w:pPr>
      <w:r>
        <w:rPr>
          <w:rFonts w:hint="eastAsia"/>
          <w:color w:val="000000"/>
          <w:sz w:val="28"/>
          <w:szCs w:val="28"/>
        </w:rPr>
        <w:t>（格式自拟）</w:t>
      </w:r>
    </w:p>
    <w:p w14:paraId="7146C56C">
      <w:pPr>
        <w:ind w:right="-218" w:rightChars="-104"/>
        <w:rPr>
          <w:rFonts w:hint="eastAsia"/>
          <w:color w:val="000000"/>
        </w:rPr>
      </w:pPr>
    </w:p>
    <w:p w14:paraId="01D04E64">
      <w:pPr>
        <w:pStyle w:val="17"/>
        <w:rPr>
          <w:rFonts w:hint="eastAsia"/>
          <w:color w:val="000000"/>
        </w:rPr>
      </w:pPr>
    </w:p>
    <w:p w14:paraId="6E4019AC">
      <w:pPr>
        <w:rPr>
          <w:rFonts w:hint="eastAsia"/>
          <w:color w:val="000000"/>
        </w:rPr>
      </w:pPr>
    </w:p>
    <w:p w14:paraId="10E97CD2">
      <w:pPr>
        <w:pStyle w:val="17"/>
        <w:rPr>
          <w:rFonts w:hint="eastAsia"/>
          <w:color w:val="000000"/>
        </w:rPr>
      </w:pPr>
    </w:p>
    <w:p w14:paraId="6F4FECF9">
      <w:pPr>
        <w:rPr>
          <w:rFonts w:hint="eastAsia"/>
          <w:color w:val="000000"/>
        </w:rPr>
      </w:pPr>
    </w:p>
    <w:p w14:paraId="2C307875">
      <w:pPr>
        <w:pStyle w:val="17"/>
        <w:rPr>
          <w:rFonts w:hint="eastAsia"/>
          <w:color w:val="000000"/>
        </w:rPr>
      </w:pPr>
    </w:p>
    <w:p w14:paraId="1F8305F8">
      <w:pPr>
        <w:rPr>
          <w:rFonts w:hint="eastAsia"/>
          <w:color w:val="000000"/>
        </w:rPr>
      </w:pPr>
    </w:p>
    <w:p w14:paraId="72366111">
      <w:pPr>
        <w:pStyle w:val="17"/>
        <w:rPr>
          <w:rFonts w:hint="eastAsia"/>
          <w:color w:val="000000"/>
        </w:rPr>
      </w:pPr>
    </w:p>
    <w:p w14:paraId="67235847">
      <w:pPr>
        <w:spacing w:line="360" w:lineRule="auto"/>
        <w:ind w:right="-218" w:rightChars="-104" w:firstLine="5060" w:firstLineChars="2100"/>
        <w:jc w:val="both"/>
        <w:rPr>
          <w:rFonts w:hint="eastAsia" w:ascii="仿宋_GB2312" w:eastAsia="仿宋_GB2312"/>
          <w:b/>
          <w:color w:val="000000"/>
          <w:sz w:val="24"/>
          <w:szCs w:val="24"/>
        </w:rPr>
      </w:pPr>
      <w:r>
        <w:rPr>
          <w:rFonts w:hint="eastAsia" w:ascii="仿宋_GB2312" w:eastAsia="仿宋_GB2312"/>
          <w:b/>
          <w:color w:val="000000"/>
          <w:sz w:val="24"/>
          <w:szCs w:val="24"/>
        </w:rPr>
        <w:t>投标人（公章）：</w:t>
      </w:r>
      <w:r>
        <w:rPr>
          <w:rFonts w:hint="eastAsia" w:ascii="仿宋_GB2312" w:eastAsia="仿宋_GB2312"/>
          <w:b/>
          <w:color w:val="000000"/>
          <w:sz w:val="24"/>
          <w:szCs w:val="24"/>
          <w:u w:val="single"/>
        </w:rPr>
        <w:t xml:space="preserve">                </w:t>
      </w:r>
    </w:p>
    <w:p w14:paraId="3C9DA277">
      <w:pPr>
        <w:spacing w:line="360" w:lineRule="auto"/>
        <w:ind w:right="-218" w:rightChars="-104" w:firstLine="241" w:firstLineChars="100"/>
        <w:jc w:val="right"/>
        <w:rPr>
          <w:rFonts w:hint="eastAsia" w:ascii="仿宋_GB2312" w:eastAsia="仿宋_GB2312"/>
          <w:b/>
          <w:color w:val="000000"/>
          <w:sz w:val="24"/>
          <w:szCs w:val="24"/>
        </w:rPr>
      </w:pPr>
      <w:r>
        <w:rPr>
          <w:rFonts w:hint="eastAsia" w:ascii="仿宋_GB2312" w:eastAsia="仿宋_GB2312"/>
          <w:b/>
          <w:color w:val="000000"/>
          <w:sz w:val="24"/>
          <w:szCs w:val="24"/>
        </w:rPr>
        <w:t>日  期：</w:t>
      </w:r>
      <w:r>
        <w:rPr>
          <w:rFonts w:hint="eastAsia" w:ascii="仿宋_GB2312" w:eastAsia="仿宋_GB2312"/>
          <w:b/>
          <w:color w:val="000000"/>
          <w:sz w:val="24"/>
          <w:szCs w:val="24"/>
          <w:u w:val="single"/>
        </w:rPr>
        <w:t xml:space="preserve">      </w:t>
      </w:r>
      <w:r>
        <w:rPr>
          <w:rFonts w:hint="eastAsia" w:ascii="仿宋_GB2312" w:eastAsia="仿宋_GB2312"/>
          <w:b/>
          <w:color w:val="000000"/>
          <w:sz w:val="24"/>
          <w:szCs w:val="24"/>
        </w:rPr>
        <w:t>年</w:t>
      </w:r>
      <w:r>
        <w:rPr>
          <w:rFonts w:hint="eastAsia" w:ascii="仿宋_GB2312" w:eastAsia="仿宋_GB2312"/>
          <w:b/>
          <w:color w:val="000000"/>
          <w:sz w:val="24"/>
          <w:szCs w:val="24"/>
          <w:u w:val="single"/>
        </w:rPr>
        <w:t xml:space="preserve">    </w:t>
      </w:r>
      <w:r>
        <w:rPr>
          <w:rFonts w:hint="eastAsia" w:ascii="仿宋_GB2312" w:eastAsia="仿宋_GB2312"/>
          <w:b/>
          <w:color w:val="000000"/>
          <w:sz w:val="24"/>
          <w:szCs w:val="24"/>
        </w:rPr>
        <w:t>月</w:t>
      </w:r>
      <w:r>
        <w:rPr>
          <w:rFonts w:hint="eastAsia" w:ascii="仿宋_GB2312" w:eastAsia="仿宋_GB2312"/>
          <w:b/>
          <w:color w:val="000000"/>
          <w:sz w:val="24"/>
          <w:szCs w:val="24"/>
          <w:u w:val="single"/>
        </w:rPr>
        <w:t xml:space="preserve">     </w:t>
      </w:r>
      <w:r>
        <w:rPr>
          <w:rFonts w:hint="eastAsia" w:ascii="仿宋_GB2312" w:eastAsia="仿宋_GB2312"/>
          <w:b/>
          <w:color w:val="000000"/>
          <w:sz w:val="24"/>
          <w:szCs w:val="24"/>
        </w:rPr>
        <w:t>日</w:t>
      </w:r>
    </w:p>
    <w:p w14:paraId="0602A31D">
      <w:pPr>
        <w:rPr>
          <w:rFonts w:hint="eastAsia"/>
          <w:color w:val="000000"/>
        </w:rPr>
      </w:pPr>
      <w:r>
        <w:rPr>
          <w:rFonts w:hint="eastAsia" w:ascii="仿宋_GB2312" w:eastAsia="仿宋_GB2312"/>
          <w:b/>
          <w:color w:val="000000"/>
          <w:sz w:val="24"/>
          <w:szCs w:val="24"/>
        </w:rPr>
        <w:br w:type="page"/>
      </w:r>
    </w:p>
    <w:p w14:paraId="08085042">
      <w:pPr>
        <w:pStyle w:val="4"/>
        <w:pageBreakBefore/>
        <w:spacing w:before="0" w:after="0" w:line="240" w:lineRule="auto"/>
        <w:rPr>
          <w:rFonts w:hint="eastAsia"/>
          <w:color w:val="000000"/>
          <w:szCs w:val="22"/>
        </w:rPr>
      </w:pPr>
      <w:bookmarkStart w:id="177" w:name="_Toc516969110"/>
      <w:bookmarkStart w:id="178" w:name="_Toc220232405"/>
      <w:bookmarkStart w:id="179" w:name="_Toc220232400"/>
      <w:r>
        <w:rPr>
          <w:rFonts w:hint="eastAsia"/>
          <w:color w:val="000000"/>
          <w:szCs w:val="22"/>
          <w:lang w:val="en-US" w:eastAsia="zh-CN"/>
        </w:rPr>
        <w:t>六</w:t>
      </w:r>
      <w:r>
        <w:rPr>
          <w:rFonts w:hint="eastAsia"/>
          <w:color w:val="000000"/>
          <w:szCs w:val="22"/>
        </w:rPr>
        <w:t>、投标人信用承诺</w:t>
      </w:r>
    </w:p>
    <w:p w14:paraId="77684C88">
      <w:pPr>
        <w:spacing w:line="360" w:lineRule="auto"/>
        <w:ind w:firstLine="630"/>
        <w:rPr>
          <w:rFonts w:ascii="宋体" w:hAnsi="宋体"/>
          <w:b/>
          <w:sz w:val="24"/>
        </w:rPr>
      </w:pPr>
      <w:r>
        <w:rPr>
          <w:rFonts w:hint="eastAsia" w:ascii="宋体" w:hAnsi="宋体"/>
          <w:b/>
          <w:sz w:val="24"/>
        </w:rPr>
        <w:t>一、我公司申明：</w:t>
      </w:r>
    </w:p>
    <w:p w14:paraId="60E7DB44">
      <w:pPr>
        <w:spacing w:line="360" w:lineRule="auto"/>
        <w:ind w:firstLine="630"/>
        <w:rPr>
          <w:rFonts w:ascii="宋体" w:hAnsi="宋体"/>
          <w:sz w:val="24"/>
        </w:rPr>
      </w:pPr>
      <w:r>
        <w:rPr>
          <w:rFonts w:hint="eastAsia" w:ascii="宋体" w:hAnsi="宋体"/>
          <w:sz w:val="24"/>
        </w:rPr>
        <w:t>1.我公司未被人民法院列入失信被执行人；</w:t>
      </w:r>
    </w:p>
    <w:p w14:paraId="08696B18">
      <w:pPr>
        <w:spacing w:line="360" w:lineRule="auto"/>
        <w:ind w:firstLine="630"/>
        <w:rPr>
          <w:rFonts w:ascii="宋体" w:hAnsi="宋体"/>
          <w:sz w:val="24"/>
        </w:rPr>
      </w:pPr>
      <w:r>
        <w:rPr>
          <w:rFonts w:hint="eastAsia" w:ascii="宋体" w:hAnsi="宋体"/>
          <w:sz w:val="24"/>
        </w:rPr>
        <w:t>2.我公司和我公司法定代表人和我公司拟派项目经理（项目负责人）均未被人民检察院列入行贿犯罪档案；</w:t>
      </w:r>
    </w:p>
    <w:p w14:paraId="5EBB9452">
      <w:pPr>
        <w:spacing w:line="360" w:lineRule="auto"/>
        <w:ind w:firstLine="630"/>
        <w:rPr>
          <w:rFonts w:ascii="宋体" w:hAnsi="宋体"/>
          <w:sz w:val="24"/>
        </w:rPr>
      </w:pPr>
      <w:r>
        <w:rPr>
          <w:rFonts w:hint="eastAsia" w:ascii="宋体" w:hAnsi="宋体"/>
          <w:sz w:val="24"/>
        </w:rPr>
        <w:t>3.我公司未被工商行政管理部门列入企业经营异常名录；</w:t>
      </w:r>
    </w:p>
    <w:p w14:paraId="0CE5D118">
      <w:pPr>
        <w:spacing w:line="360" w:lineRule="auto"/>
        <w:ind w:firstLine="630"/>
        <w:rPr>
          <w:rFonts w:hint="eastAsia" w:ascii="宋体" w:hAnsi="宋体"/>
          <w:sz w:val="24"/>
        </w:rPr>
      </w:pPr>
      <w:r>
        <w:rPr>
          <w:rFonts w:hint="eastAsia" w:ascii="宋体" w:hAnsi="宋体"/>
          <w:sz w:val="24"/>
        </w:rPr>
        <w:t>4.我公司未被税务部门列入重大税收违法案件当事人名单；</w:t>
      </w:r>
    </w:p>
    <w:p w14:paraId="27D92DEC">
      <w:pPr>
        <w:spacing w:line="360" w:lineRule="auto"/>
        <w:ind w:firstLine="630"/>
        <w:rPr>
          <w:rFonts w:ascii="宋体" w:hAnsi="宋体"/>
          <w:sz w:val="24"/>
        </w:rPr>
      </w:pPr>
      <w:r>
        <w:rPr>
          <w:rFonts w:hint="eastAsia" w:ascii="宋体" w:hAnsi="宋体"/>
          <w:sz w:val="24"/>
        </w:rPr>
        <w:t>5.我公司未被合肥市人社部门列入拖欠农民工工资黑名单；</w:t>
      </w:r>
    </w:p>
    <w:p w14:paraId="12534278">
      <w:pPr>
        <w:spacing w:line="360" w:lineRule="auto"/>
        <w:ind w:firstLine="630"/>
        <w:rPr>
          <w:rFonts w:ascii="宋体" w:hAnsi="宋体"/>
          <w:sz w:val="24"/>
        </w:rPr>
      </w:pPr>
      <w:r>
        <w:rPr>
          <w:rFonts w:hint="eastAsia" w:ascii="宋体" w:hAnsi="宋体"/>
          <w:sz w:val="24"/>
        </w:rPr>
        <w:t>6.我公司未存在被合肥市城乡建设局因安全生产责任事故限制在合肥行政区域内承接新的工程项目且在限制期内的情形。</w:t>
      </w:r>
    </w:p>
    <w:p w14:paraId="0049BDD9">
      <w:pPr>
        <w:spacing w:line="360" w:lineRule="auto"/>
        <w:ind w:firstLine="630"/>
        <w:rPr>
          <w:rFonts w:ascii="宋体" w:hAnsi="宋体"/>
          <w:sz w:val="24"/>
        </w:rPr>
      </w:pPr>
      <w:r>
        <w:rPr>
          <w:rFonts w:hint="eastAsia" w:ascii="宋体" w:hAnsi="宋体"/>
          <w:sz w:val="24"/>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78AF7211">
      <w:pPr>
        <w:spacing w:line="360" w:lineRule="auto"/>
        <w:ind w:firstLine="482" w:firstLineChars="200"/>
        <w:rPr>
          <w:rFonts w:ascii="宋体" w:hAnsi="宋体"/>
          <w:b/>
          <w:sz w:val="24"/>
        </w:rPr>
      </w:pPr>
      <w:r>
        <w:rPr>
          <w:rFonts w:ascii="宋体" w:hAnsi="宋体"/>
          <w:b/>
          <w:sz w:val="24"/>
        </w:rPr>
        <w:t>我公司</w:t>
      </w:r>
      <w:r>
        <w:rPr>
          <w:rFonts w:hint="eastAsia" w:ascii="宋体" w:hAnsi="宋体"/>
          <w:b/>
          <w:sz w:val="24"/>
        </w:rPr>
        <w:t>对以上承诺的真实性承担责任</w:t>
      </w:r>
      <w:r>
        <w:rPr>
          <w:rFonts w:ascii="宋体" w:hAnsi="宋体"/>
          <w:b/>
          <w:sz w:val="24"/>
        </w:rPr>
        <w:t>。</w:t>
      </w:r>
    </w:p>
    <w:p w14:paraId="3EBE49BF">
      <w:pPr>
        <w:spacing w:line="360" w:lineRule="auto"/>
        <w:ind w:firstLine="630"/>
        <w:rPr>
          <w:rFonts w:ascii="宋体" w:hAnsi="宋体"/>
          <w:sz w:val="24"/>
        </w:rPr>
      </w:pPr>
    </w:p>
    <w:p w14:paraId="0FD9AA4E">
      <w:pPr>
        <w:spacing w:line="360" w:lineRule="auto"/>
        <w:ind w:firstLine="482" w:firstLineChars="200"/>
        <w:jc w:val="center"/>
        <w:rPr>
          <w:rFonts w:hint="eastAsia" w:ascii="宋体" w:hAnsi="宋体"/>
          <w:b/>
          <w:sz w:val="24"/>
          <w:szCs w:val="22"/>
        </w:rPr>
      </w:pPr>
      <w:r>
        <w:rPr>
          <w:rFonts w:hint="eastAsia" w:ascii="宋体" w:hAnsi="宋体"/>
          <w:b/>
          <w:sz w:val="24"/>
          <w:szCs w:val="22"/>
          <w:lang w:val="en-US" w:eastAsia="zh-CN"/>
        </w:rPr>
        <w:t xml:space="preserve">                      </w:t>
      </w:r>
      <w:r>
        <w:rPr>
          <w:rFonts w:hint="eastAsia" w:ascii="宋体" w:hAnsi="宋体"/>
          <w:b/>
          <w:sz w:val="24"/>
          <w:szCs w:val="22"/>
        </w:rPr>
        <w:t xml:space="preserve">投标人（公章）：                </w:t>
      </w:r>
    </w:p>
    <w:p w14:paraId="2E1C8E62">
      <w:pPr>
        <w:spacing w:line="360" w:lineRule="auto"/>
        <w:ind w:firstLine="482" w:firstLineChars="200"/>
        <w:jc w:val="right"/>
        <w:rPr>
          <w:rFonts w:hint="eastAsia" w:ascii="宋体" w:hAnsi="宋体"/>
          <w:b/>
          <w:sz w:val="24"/>
          <w:szCs w:val="22"/>
        </w:rPr>
      </w:pPr>
      <w:r>
        <w:rPr>
          <w:rFonts w:hint="eastAsia" w:ascii="宋体" w:hAnsi="宋体"/>
          <w:b/>
          <w:sz w:val="24"/>
          <w:szCs w:val="22"/>
        </w:rPr>
        <w:t>日  期：      年    月     日</w:t>
      </w:r>
    </w:p>
    <w:p w14:paraId="33E49652">
      <w:pPr>
        <w:ind w:right="-218" w:rightChars="-104"/>
        <w:rPr>
          <w:rFonts w:hint="eastAsia"/>
          <w:color w:val="000000"/>
          <w:sz w:val="28"/>
          <w:szCs w:val="28"/>
        </w:rPr>
      </w:pPr>
    </w:p>
    <w:p w14:paraId="524DA762">
      <w:pPr>
        <w:ind w:right="-218" w:rightChars="-104"/>
        <w:rPr>
          <w:rFonts w:hint="eastAsia"/>
          <w:color w:val="000000"/>
          <w:sz w:val="28"/>
          <w:szCs w:val="28"/>
        </w:rPr>
      </w:pPr>
    </w:p>
    <w:p w14:paraId="2130299C">
      <w:pPr>
        <w:ind w:right="-218" w:rightChars="-104"/>
        <w:rPr>
          <w:rFonts w:hint="eastAsia"/>
          <w:color w:val="000000"/>
          <w:sz w:val="28"/>
          <w:szCs w:val="28"/>
        </w:rPr>
      </w:pPr>
    </w:p>
    <w:p w14:paraId="4983EEEC">
      <w:pPr>
        <w:ind w:right="-218" w:rightChars="-104"/>
        <w:rPr>
          <w:rFonts w:hint="eastAsia"/>
          <w:color w:val="000000"/>
          <w:sz w:val="28"/>
          <w:szCs w:val="28"/>
        </w:rPr>
      </w:pPr>
    </w:p>
    <w:p w14:paraId="72F4830A">
      <w:pPr>
        <w:ind w:right="-218" w:rightChars="-104"/>
        <w:rPr>
          <w:rFonts w:hint="eastAsia"/>
          <w:color w:val="000000"/>
          <w:sz w:val="28"/>
          <w:szCs w:val="28"/>
        </w:rPr>
      </w:pPr>
    </w:p>
    <w:bookmarkEnd w:id="177"/>
    <w:bookmarkEnd w:id="178"/>
    <w:bookmarkEnd w:id="179"/>
    <w:p w14:paraId="4E658EE3">
      <w:pPr>
        <w:ind w:right="-218" w:rightChars="-104"/>
        <w:rPr>
          <w:rFonts w:hint="eastAsia"/>
        </w:rPr>
      </w:pPr>
      <w:bookmarkStart w:id="180" w:name="_Toc273602360"/>
      <w:bookmarkStart w:id="181" w:name="_Toc245714178"/>
    </w:p>
    <w:p w14:paraId="1A35B842">
      <w:pPr>
        <w:ind w:right="-218" w:rightChars="-104"/>
        <w:rPr>
          <w:rFonts w:hint="eastAsia"/>
        </w:rPr>
      </w:pPr>
    </w:p>
    <w:p w14:paraId="0EB298D0">
      <w:pPr>
        <w:ind w:right="-218" w:rightChars="-104"/>
        <w:rPr>
          <w:rFonts w:hint="eastAsia"/>
        </w:rPr>
      </w:pPr>
    </w:p>
    <w:p w14:paraId="2D5064FC">
      <w:pPr>
        <w:ind w:right="-218" w:rightChars="-104"/>
        <w:rPr>
          <w:rFonts w:hint="eastAsia"/>
        </w:rPr>
      </w:pPr>
    </w:p>
    <w:p w14:paraId="4B2326AF">
      <w:pPr>
        <w:ind w:right="-218" w:rightChars="-104"/>
        <w:rPr>
          <w:rFonts w:hint="eastAsia"/>
        </w:rPr>
      </w:pPr>
    </w:p>
    <w:p w14:paraId="50B93C82">
      <w:pPr>
        <w:ind w:right="-218" w:rightChars="-104"/>
        <w:rPr>
          <w:rFonts w:hint="eastAsia"/>
        </w:rPr>
      </w:pPr>
    </w:p>
    <w:p w14:paraId="13C5148D">
      <w:pPr>
        <w:rPr>
          <w:rFonts w:hint="eastAsia"/>
        </w:rPr>
      </w:pPr>
      <w:r>
        <w:rPr>
          <w:rFonts w:hint="eastAsia"/>
        </w:rPr>
        <w:br w:type="page"/>
      </w:r>
    </w:p>
    <w:bookmarkEnd w:id="180"/>
    <w:bookmarkEnd w:id="181"/>
    <w:p w14:paraId="43B56F96">
      <w:pPr>
        <w:pStyle w:val="4"/>
        <w:pageBreakBefore/>
        <w:spacing w:before="0" w:after="0" w:line="240" w:lineRule="auto"/>
        <w:rPr>
          <w:rFonts w:hint="eastAsia"/>
          <w:color w:val="000000"/>
          <w:szCs w:val="22"/>
          <w:lang w:val="en-US" w:eastAsia="zh-CN"/>
        </w:rPr>
      </w:pPr>
      <w:r>
        <w:rPr>
          <w:rFonts w:hint="eastAsia"/>
          <w:color w:val="000000"/>
          <w:szCs w:val="22"/>
          <w:lang w:val="en-US" w:eastAsia="zh-CN"/>
        </w:rPr>
        <w:t>七、安全生产承诺书</w:t>
      </w:r>
    </w:p>
    <w:p w14:paraId="7C604D4F">
      <w:pPr>
        <w:pStyle w:val="7"/>
        <w:spacing w:line="360" w:lineRule="auto"/>
        <w:ind w:right="-218" w:rightChars="-104"/>
        <w:rPr>
          <w:rFonts w:hAnsi="宋体" w:eastAsia="宋体" w:cs="宋体"/>
          <w:sz w:val="24"/>
          <w:szCs w:val="24"/>
        </w:rPr>
      </w:pPr>
    </w:p>
    <w:p w14:paraId="638409CA">
      <w:pPr>
        <w:pStyle w:val="7"/>
        <w:spacing w:line="360" w:lineRule="auto"/>
        <w:ind w:right="-218" w:rightChars="-104"/>
        <w:rPr>
          <w:rFonts w:hint="eastAsia" w:hAnsi="宋体" w:eastAsia="宋体" w:cs="宋体"/>
          <w:sz w:val="24"/>
          <w:szCs w:val="24"/>
          <w:lang w:eastAsia="zh-CN"/>
        </w:rPr>
      </w:pPr>
      <w:r>
        <w:rPr>
          <w:rFonts w:hint="eastAsia" w:hAnsi="宋体" w:eastAsia="宋体" w:cs="宋体"/>
          <w:sz w:val="24"/>
          <w:szCs w:val="24"/>
        </w:rPr>
        <w:t>致：</w:t>
      </w:r>
      <w:r>
        <w:rPr>
          <w:rFonts w:hint="eastAsia" w:hAnsi="宋体" w:eastAsia="宋体" w:cs="宋体"/>
          <w:sz w:val="24"/>
          <w:szCs w:val="24"/>
          <w:lang w:eastAsia="zh-CN"/>
        </w:rPr>
        <w:t>合肥湖滨物业管理有限公司</w:t>
      </w:r>
    </w:p>
    <w:p w14:paraId="3288182A">
      <w:pPr>
        <w:pStyle w:val="7"/>
        <w:spacing w:line="360" w:lineRule="auto"/>
        <w:ind w:right="-218" w:rightChars="-104" w:firstLine="480" w:firstLineChars="200"/>
        <w:rPr>
          <w:rFonts w:hAnsi="宋体" w:eastAsia="宋体" w:cs="宋体"/>
          <w:sz w:val="24"/>
          <w:szCs w:val="24"/>
        </w:rPr>
      </w:pPr>
      <w:r>
        <w:rPr>
          <w:rFonts w:hint="eastAsia" w:hAnsi="宋体" w:eastAsia="宋体" w:cs="宋体"/>
          <w:sz w:val="24"/>
          <w:szCs w:val="24"/>
        </w:rPr>
        <w:t>我单位在此承诺：</w:t>
      </w:r>
    </w:p>
    <w:p w14:paraId="7907EFE9">
      <w:pPr>
        <w:pStyle w:val="7"/>
        <w:spacing w:line="360" w:lineRule="auto"/>
        <w:ind w:right="-218" w:rightChars="-104" w:firstLine="480" w:firstLineChars="200"/>
        <w:rPr>
          <w:rFonts w:hAnsi="宋体" w:eastAsia="宋体" w:cs="宋体"/>
          <w:sz w:val="24"/>
          <w:szCs w:val="24"/>
        </w:rPr>
      </w:pPr>
      <w:r>
        <w:rPr>
          <w:rFonts w:hint="eastAsia" w:hAnsi="宋体" w:eastAsia="宋体" w:cs="宋体"/>
          <w:sz w:val="24"/>
          <w:szCs w:val="24"/>
        </w:rPr>
        <w:t>一、严格执行安全生产法、行政法规、国家标准及行业标准规定，不具备安全生产条件不从事生产经营建设活动。</w:t>
      </w:r>
    </w:p>
    <w:p w14:paraId="3464EB4B">
      <w:pPr>
        <w:pStyle w:val="7"/>
        <w:spacing w:line="360" w:lineRule="auto"/>
        <w:ind w:right="-218" w:rightChars="-104" w:firstLine="480" w:firstLineChars="200"/>
        <w:rPr>
          <w:rFonts w:hAnsi="宋体" w:eastAsia="宋体" w:cs="宋体"/>
          <w:sz w:val="24"/>
          <w:szCs w:val="24"/>
        </w:rPr>
      </w:pPr>
      <w:r>
        <w:rPr>
          <w:rFonts w:hint="eastAsia" w:hAnsi="宋体" w:eastAsia="宋体" w:cs="宋体"/>
          <w:sz w:val="24"/>
          <w:szCs w:val="24"/>
        </w:rPr>
        <w:t>二、认真落实企业安全生产主体责任，建立健全安全生产责任制度，按照“五落实五到位”要求，完善“党政同责、一岗双责、齐抓共管”机制，做到安全责任、投入、培训、管理、应急五个到位。</w:t>
      </w:r>
    </w:p>
    <w:p w14:paraId="5F6C44FA">
      <w:pPr>
        <w:pStyle w:val="7"/>
        <w:spacing w:line="360" w:lineRule="auto"/>
        <w:ind w:right="-218" w:rightChars="-104" w:firstLine="480" w:firstLineChars="200"/>
        <w:rPr>
          <w:rFonts w:hAnsi="宋体" w:eastAsia="宋体" w:cs="宋体"/>
          <w:sz w:val="24"/>
          <w:szCs w:val="24"/>
        </w:rPr>
      </w:pPr>
      <w:r>
        <w:rPr>
          <w:rFonts w:hint="eastAsia" w:hAnsi="宋体" w:eastAsia="宋体" w:cs="宋体"/>
          <w:sz w:val="24"/>
          <w:szCs w:val="24"/>
        </w:rPr>
        <w:t>三、建立健全各项安全生产规章制度和操作规程，严格执行高处作业、受限空间作业规定，做到不违章指挥，不冒险作业，杜绝生产安全责任事故，确保职工生命安全和职业健康。</w:t>
      </w:r>
    </w:p>
    <w:p w14:paraId="0A381A5D">
      <w:pPr>
        <w:pStyle w:val="7"/>
        <w:spacing w:line="360" w:lineRule="auto"/>
        <w:ind w:right="-218" w:rightChars="-104" w:firstLine="480" w:firstLineChars="200"/>
        <w:rPr>
          <w:rFonts w:hAnsi="宋体" w:eastAsia="宋体" w:cs="宋体"/>
          <w:sz w:val="24"/>
          <w:szCs w:val="24"/>
        </w:rPr>
      </w:pPr>
      <w:r>
        <w:rPr>
          <w:rFonts w:hint="eastAsia" w:hAnsi="宋体" w:eastAsia="宋体" w:cs="宋体"/>
          <w:sz w:val="24"/>
          <w:szCs w:val="24"/>
        </w:rPr>
        <w:t>四、深入开展以岗位达标、专业达标和企业达标为内容的安全生产标准化建设，按要求开展职业卫生基础建设活动，夯实企业安全和职业健康管理基础，积极建立长效机制。</w:t>
      </w:r>
    </w:p>
    <w:p w14:paraId="389E26FB">
      <w:pPr>
        <w:pStyle w:val="7"/>
        <w:spacing w:line="360" w:lineRule="auto"/>
        <w:ind w:right="-218" w:rightChars="-104" w:firstLine="480" w:firstLineChars="200"/>
        <w:rPr>
          <w:rFonts w:hAnsi="宋体" w:eastAsia="宋体" w:cs="宋体"/>
          <w:sz w:val="24"/>
          <w:szCs w:val="24"/>
        </w:rPr>
      </w:pPr>
      <w:r>
        <w:rPr>
          <w:rFonts w:hint="eastAsia" w:hAnsi="宋体" w:eastAsia="宋体" w:cs="宋体"/>
          <w:sz w:val="24"/>
          <w:szCs w:val="24"/>
        </w:rPr>
        <w:t>五、建立健全生产安全事故隐患排查治理制度，采取技术、管理措施，及时发现并消除事故隐患。事故隐患排查治理情况如实记录，并向从业人员通报。</w:t>
      </w:r>
    </w:p>
    <w:p w14:paraId="4F68B839">
      <w:pPr>
        <w:pStyle w:val="7"/>
        <w:spacing w:line="360" w:lineRule="auto"/>
        <w:ind w:right="-218" w:rightChars="-104" w:firstLine="480" w:firstLineChars="200"/>
        <w:rPr>
          <w:rFonts w:hAnsi="宋体" w:eastAsia="宋体" w:cs="宋体"/>
          <w:sz w:val="24"/>
          <w:szCs w:val="24"/>
        </w:rPr>
      </w:pPr>
      <w:r>
        <w:rPr>
          <w:rFonts w:hint="eastAsia" w:hAnsi="宋体" w:eastAsia="宋体" w:cs="宋体"/>
          <w:sz w:val="24"/>
          <w:szCs w:val="24"/>
        </w:rPr>
        <w:t>六、加强对从业人员安全生产和职业卫生教育和培训，保证从业人员具备必要的安全生产和职业卫生知识，按规定配备专职安全管理人员。</w:t>
      </w:r>
    </w:p>
    <w:p w14:paraId="5F4924E5">
      <w:pPr>
        <w:pStyle w:val="7"/>
        <w:spacing w:line="360" w:lineRule="auto"/>
        <w:ind w:right="-218" w:rightChars="-104" w:firstLine="480" w:firstLineChars="200"/>
        <w:rPr>
          <w:rFonts w:hAnsi="宋体" w:eastAsia="宋体" w:cs="宋体"/>
          <w:sz w:val="24"/>
          <w:szCs w:val="24"/>
        </w:rPr>
      </w:pPr>
      <w:r>
        <w:rPr>
          <w:rFonts w:hint="eastAsia" w:hAnsi="宋体" w:eastAsia="宋体" w:cs="宋体"/>
          <w:sz w:val="24"/>
          <w:szCs w:val="24"/>
        </w:rPr>
        <w:t>七、认真制定本单位生产安全事故应急救援预案，按要求配备必要的应急器材，定期组织演练。加强对重大危险源的管理，严格落实登记建档和定期检测、评估、监控制度。发生生产安全事故时果断处置，防止事态扩大，并按程序及时上报。</w:t>
      </w:r>
    </w:p>
    <w:p w14:paraId="2542F101">
      <w:pPr>
        <w:pStyle w:val="7"/>
        <w:spacing w:line="360" w:lineRule="auto"/>
        <w:ind w:right="-218" w:rightChars="-104" w:firstLine="480" w:firstLineChars="200"/>
        <w:rPr>
          <w:rFonts w:hAnsi="宋体" w:eastAsia="宋体" w:cs="宋体"/>
          <w:sz w:val="24"/>
          <w:szCs w:val="24"/>
        </w:rPr>
      </w:pPr>
      <w:r>
        <w:rPr>
          <w:rFonts w:hint="eastAsia" w:hAnsi="宋体" w:eastAsia="宋体" w:cs="宋体"/>
          <w:sz w:val="24"/>
          <w:szCs w:val="24"/>
        </w:rPr>
        <w:t>八、自觉接受安全生产监督管理部门和相关行业主管部门的依法检查，严格执行执法指令。</w:t>
      </w:r>
    </w:p>
    <w:p w14:paraId="063124AF">
      <w:pPr>
        <w:pStyle w:val="7"/>
        <w:spacing w:line="360" w:lineRule="auto"/>
        <w:ind w:right="-218" w:rightChars="-104" w:firstLine="480" w:firstLineChars="200"/>
        <w:rPr>
          <w:rFonts w:hAnsi="宋体" w:eastAsia="宋体" w:cs="宋体"/>
          <w:sz w:val="24"/>
          <w:szCs w:val="24"/>
        </w:rPr>
      </w:pPr>
      <w:r>
        <w:rPr>
          <w:rFonts w:hint="eastAsia" w:hAnsi="宋体" w:eastAsia="宋体" w:cs="宋体"/>
          <w:sz w:val="24"/>
          <w:szCs w:val="24"/>
        </w:rPr>
        <w:t>上述承诺内容接受</w:t>
      </w:r>
      <w:r>
        <w:rPr>
          <w:rFonts w:hint="eastAsia" w:hAnsi="宋体" w:eastAsia="宋体" w:cs="宋体"/>
          <w:sz w:val="24"/>
          <w:szCs w:val="24"/>
          <w:lang w:val="en-US" w:eastAsia="zh-CN"/>
        </w:rPr>
        <w:t>招标人</w:t>
      </w:r>
      <w:r>
        <w:rPr>
          <w:rFonts w:hint="eastAsia" w:hAnsi="宋体" w:eastAsia="宋体" w:cs="宋体"/>
          <w:sz w:val="24"/>
          <w:szCs w:val="24"/>
        </w:rPr>
        <w:t>、企业职工及社会监督，如有违法违规行为，愿意承担相应责任。</w:t>
      </w:r>
    </w:p>
    <w:p w14:paraId="2B65D134">
      <w:pPr>
        <w:pStyle w:val="7"/>
        <w:spacing w:line="360" w:lineRule="auto"/>
        <w:ind w:right="-218" w:rightChars="-104"/>
        <w:rPr>
          <w:rFonts w:hAnsi="宋体" w:eastAsia="宋体" w:cs="宋体"/>
          <w:sz w:val="24"/>
          <w:szCs w:val="24"/>
        </w:rPr>
      </w:pPr>
    </w:p>
    <w:p w14:paraId="5F4B394B">
      <w:pPr>
        <w:pStyle w:val="7"/>
        <w:spacing w:line="360" w:lineRule="auto"/>
        <w:ind w:right="-218" w:rightChars="-104"/>
        <w:jc w:val="center"/>
        <w:rPr>
          <w:rFonts w:hAnsi="宋体" w:eastAsia="宋体" w:cs="宋体"/>
          <w:sz w:val="24"/>
          <w:szCs w:val="24"/>
        </w:rPr>
      </w:pPr>
      <w:r>
        <w:rPr>
          <w:rFonts w:hint="eastAsia" w:hAnsi="宋体" w:eastAsia="宋体" w:cs="宋体"/>
          <w:sz w:val="24"/>
          <w:szCs w:val="24"/>
        </w:rPr>
        <w:t xml:space="preserve">                          </w:t>
      </w:r>
      <w:r>
        <w:rPr>
          <w:rFonts w:hint="eastAsia" w:hAnsi="宋体" w:eastAsia="宋体" w:cs="宋体"/>
          <w:sz w:val="24"/>
          <w:szCs w:val="24"/>
          <w:lang w:val="en-US" w:eastAsia="zh-CN"/>
        </w:rPr>
        <w:t xml:space="preserve">        </w:t>
      </w:r>
      <w:r>
        <w:rPr>
          <w:rFonts w:hint="eastAsia" w:hAnsi="宋体" w:eastAsia="宋体" w:cs="宋体"/>
          <w:sz w:val="24"/>
          <w:szCs w:val="24"/>
        </w:rPr>
        <w:t>投标</w:t>
      </w:r>
      <w:r>
        <w:rPr>
          <w:rFonts w:hint="eastAsia" w:hAnsi="宋体" w:eastAsia="宋体" w:cs="宋体"/>
          <w:sz w:val="24"/>
          <w:szCs w:val="24"/>
          <w:lang w:val="en-US" w:eastAsia="zh-CN"/>
        </w:rPr>
        <w:t>人（公章）：</w:t>
      </w:r>
    </w:p>
    <w:p w14:paraId="3CB31A1A">
      <w:pPr>
        <w:pStyle w:val="7"/>
        <w:ind w:right="-218" w:rightChars="-104"/>
        <w:rPr>
          <w:rFonts w:hint="eastAsia"/>
        </w:rPr>
      </w:pPr>
      <w:r>
        <w:rPr>
          <w:rFonts w:hint="eastAsia" w:hAnsi="宋体" w:eastAsia="宋体" w:cs="宋体"/>
          <w:sz w:val="24"/>
          <w:szCs w:val="24"/>
        </w:rPr>
        <w:t xml:space="preserve">                               </w:t>
      </w:r>
      <w:r>
        <w:rPr>
          <w:rFonts w:hint="eastAsia" w:hAnsi="宋体" w:eastAsia="宋体" w:cs="宋体"/>
          <w:sz w:val="24"/>
          <w:szCs w:val="24"/>
          <w:lang w:val="en-US" w:eastAsia="zh-CN"/>
        </w:rPr>
        <w:t xml:space="preserve">                   </w:t>
      </w:r>
      <w:r>
        <w:rPr>
          <w:rFonts w:hint="eastAsia" w:hAnsi="宋体" w:eastAsia="宋体" w:cs="宋体"/>
          <w:sz w:val="24"/>
          <w:szCs w:val="24"/>
        </w:rPr>
        <w:t xml:space="preserve">  </w:t>
      </w:r>
      <w:r>
        <w:rPr>
          <w:rFonts w:hint="eastAsia" w:hAnsi="宋体" w:eastAsia="宋体" w:cs="宋体"/>
          <w:sz w:val="24"/>
          <w:szCs w:val="24"/>
          <w:lang w:val="en-US" w:eastAsia="zh-CN"/>
        </w:rPr>
        <w:t xml:space="preserve"> </w:t>
      </w:r>
      <w:r>
        <w:rPr>
          <w:rFonts w:hint="eastAsia" w:hAnsi="宋体" w:eastAsia="宋体" w:cs="宋体"/>
          <w:sz w:val="24"/>
          <w:szCs w:val="24"/>
        </w:rPr>
        <w:t>日</w:t>
      </w:r>
      <w:r>
        <w:rPr>
          <w:rFonts w:hint="eastAsia" w:hAnsi="宋体" w:eastAsia="宋体" w:cs="宋体"/>
          <w:sz w:val="24"/>
          <w:szCs w:val="24"/>
          <w:lang w:val="en-US" w:eastAsia="zh-CN"/>
        </w:rPr>
        <w:t xml:space="preserve">    </w:t>
      </w:r>
      <w:r>
        <w:rPr>
          <w:rFonts w:hint="eastAsia" w:hAnsi="宋体" w:eastAsia="宋体" w:cs="宋体"/>
          <w:sz w:val="24"/>
          <w:szCs w:val="24"/>
        </w:rPr>
        <w:t>期：</w:t>
      </w:r>
    </w:p>
    <w:p w14:paraId="0BE3C762">
      <w:pPr>
        <w:pStyle w:val="3"/>
        <w:keepNext/>
        <w:keepLines/>
        <w:pageBreakBefore/>
        <w:widowControl w:val="0"/>
        <w:kinsoku/>
        <w:wordWrap/>
        <w:overflowPunct/>
        <w:topLinePunct w:val="0"/>
        <w:autoSpaceDE/>
        <w:autoSpaceDN/>
        <w:bidi w:val="0"/>
        <w:adjustRightInd/>
        <w:snapToGrid/>
        <w:spacing w:line="413" w:lineRule="auto"/>
        <w:ind w:right="-218" w:rightChars="-104" w:firstLine="629"/>
        <w:textAlignment w:val="auto"/>
        <w:rPr>
          <w:rFonts w:hint="eastAsia"/>
          <w:color w:val="000000"/>
        </w:rPr>
      </w:pPr>
      <w:bookmarkStart w:id="182" w:name="_Toc273602362"/>
      <w:bookmarkStart w:id="183" w:name="_Toc245714181"/>
      <w:bookmarkStart w:id="184" w:name="_Toc2168"/>
      <w:r>
        <w:rPr>
          <w:rFonts w:hint="eastAsia" w:ascii="黑体"/>
        </w:rPr>
        <w:t>●</w:t>
      </w:r>
      <w:r>
        <w:rPr>
          <w:rFonts w:hint="eastAsia"/>
        </w:rPr>
        <w:t>商务标</w:t>
      </w:r>
      <w:bookmarkEnd w:id="182"/>
      <w:bookmarkEnd w:id="183"/>
      <w:bookmarkEnd w:id="184"/>
    </w:p>
    <w:p w14:paraId="4D0F5C23">
      <w:pPr>
        <w:spacing w:line="900" w:lineRule="exact"/>
        <w:ind w:right="-218" w:rightChars="-104"/>
        <w:jc w:val="left"/>
        <w:rPr>
          <w:rFonts w:hint="default" w:ascii="宋体" w:hAnsi="宋体" w:eastAsia="宋体"/>
          <w:b/>
          <w:bCs/>
          <w:color w:val="000000"/>
          <w:sz w:val="44"/>
          <w:szCs w:val="44"/>
          <w:lang w:val="en-US" w:eastAsia="zh-CN"/>
        </w:rPr>
      </w:pPr>
      <w:r>
        <w:rPr>
          <w:rFonts w:hint="eastAsia" w:ascii="宋体" w:hAnsi="宋体"/>
          <w:b/>
          <w:bCs/>
          <w:color w:val="000000"/>
          <w:sz w:val="44"/>
          <w:szCs w:val="44"/>
          <w:u w:val="single"/>
          <w:lang w:val="en-US" w:eastAsia="zh-CN"/>
        </w:rPr>
        <w:t xml:space="preserve">                          </w:t>
      </w:r>
      <w:r>
        <w:rPr>
          <w:rFonts w:hint="eastAsia" w:ascii="宋体" w:hAnsi="宋体"/>
          <w:b/>
          <w:bCs/>
          <w:color w:val="000000"/>
          <w:sz w:val="44"/>
          <w:szCs w:val="44"/>
          <w:u w:val="none"/>
          <w:lang w:val="en-US" w:eastAsia="zh-CN"/>
        </w:rPr>
        <w:t>（项目名称）</w:t>
      </w:r>
    </w:p>
    <w:p w14:paraId="6353E415">
      <w:pPr>
        <w:spacing w:line="900" w:lineRule="exact"/>
        <w:ind w:right="-218" w:rightChars="-104"/>
        <w:jc w:val="center"/>
        <w:rPr>
          <w:rFonts w:hint="eastAsia" w:ascii="宋体" w:hAnsi="宋体"/>
          <w:b/>
          <w:color w:val="000000"/>
          <w:sz w:val="72"/>
        </w:rPr>
      </w:pPr>
      <w:r>
        <w:rPr>
          <w:rFonts w:hint="eastAsia" w:ascii="宋体" w:hAnsi="宋体"/>
          <w:b/>
          <w:color w:val="000000"/>
          <w:sz w:val="72"/>
        </w:rPr>
        <w:t>投</w:t>
      </w:r>
    </w:p>
    <w:p w14:paraId="338BF716">
      <w:pPr>
        <w:spacing w:line="900" w:lineRule="exact"/>
        <w:ind w:right="-218" w:rightChars="-104"/>
        <w:jc w:val="center"/>
        <w:rPr>
          <w:rFonts w:hint="eastAsia" w:ascii="宋体" w:hAnsi="宋体"/>
          <w:b/>
          <w:color w:val="000000"/>
          <w:sz w:val="72"/>
        </w:rPr>
      </w:pPr>
      <w:r>
        <w:rPr>
          <w:rFonts w:hint="eastAsia" w:ascii="宋体" w:hAnsi="宋体"/>
          <w:b/>
          <w:color w:val="000000"/>
          <w:sz w:val="72"/>
        </w:rPr>
        <w:t>标</w:t>
      </w:r>
    </w:p>
    <w:p w14:paraId="724B81C1">
      <w:pPr>
        <w:spacing w:line="900" w:lineRule="exact"/>
        <w:ind w:right="-218" w:rightChars="-104"/>
        <w:jc w:val="center"/>
        <w:rPr>
          <w:rFonts w:hint="eastAsia" w:ascii="宋体" w:hAnsi="宋体"/>
          <w:b/>
          <w:color w:val="000000"/>
          <w:sz w:val="72"/>
        </w:rPr>
      </w:pPr>
      <w:r>
        <w:rPr>
          <w:rFonts w:hint="eastAsia" w:ascii="宋体" w:hAnsi="宋体"/>
          <w:b/>
          <w:color w:val="000000"/>
          <w:sz w:val="72"/>
        </w:rPr>
        <w:t>文</w:t>
      </w:r>
    </w:p>
    <w:p w14:paraId="40361156">
      <w:pPr>
        <w:ind w:right="-218" w:rightChars="-104"/>
        <w:jc w:val="center"/>
        <w:rPr>
          <w:rFonts w:hint="eastAsia" w:ascii="宋体" w:hAnsi="宋体"/>
          <w:b/>
          <w:color w:val="000000"/>
          <w:sz w:val="72"/>
        </w:rPr>
      </w:pPr>
      <w:r>
        <w:rPr>
          <w:rFonts w:hint="eastAsia" w:ascii="宋体" w:hAnsi="宋体"/>
          <w:b/>
          <w:color w:val="000000"/>
          <w:sz w:val="72"/>
        </w:rPr>
        <w:t>件</w:t>
      </w:r>
    </w:p>
    <w:p w14:paraId="086BD02A">
      <w:pPr>
        <w:spacing w:after="120" w:afterLines="50" w:line="500" w:lineRule="exact"/>
        <w:ind w:right="-218" w:rightChars="-104"/>
        <w:jc w:val="center"/>
        <w:rPr>
          <w:rFonts w:hint="eastAsia" w:ascii="宋体" w:hAnsi="宋体"/>
          <w:b/>
          <w:color w:val="000000"/>
          <w:sz w:val="36"/>
          <w:szCs w:val="36"/>
        </w:rPr>
      </w:pPr>
      <w:r>
        <w:rPr>
          <w:rFonts w:hint="eastAsia" w:ascii="宋体" w:hAnsi="宋体"/>
          <w:b/>
          <w:color w:val="000000"/>
          <w:sz w:val="36"/>
          <w:szCs w:val="36"/>
        </w:rPr>
        <w:t>【商务标】</w:t>
      </w:r>
    </w:p>
    <w:p w14:paraId="26FC39BC">
      <w:pPr>
        <w:spacing w:after="120" w:afterLines="50" w:line="500" w:lineRule="exact"/>
        <w:ind w:right="-218" w:rightChars="-104"/>
        <w:jc w:val="center"/>
        <w:rPr>
          <w:rFonts w:hint="eastAsia" w:ascii="宋体" w:hAnsi="宋体"/>
          <w:b/>
          <w:color w:val="000000"/>
          <w:sz w:val="72"/>
        </w:rPr>
      </w:pPr>
    </w:p>
    <w:p w14:paraId="1176D275">
      <w:pPr>
        <w:spacing w:after="120" w:afterLines="50" w:line="500" w:lineRule="exact"/>
        <w:ind w:right="-218" w:rightChars="-104"/>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p>
    <w:p w14:paraId="5B680DFB">
      <w:pPr>
        <w:spacing w:after="120" w:afterLines="50" w:line="500" w:lineRule="exact"/>
        <w:ind w:right="-218" w:rightChars="-104"/>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14:paraId="5FE4AE94">
      <w:pPr>
        <w:ind w:right="-218" w:rightChars="-104"/>
        <w:rPr>
          <w:rFonts w:hint="eastAsia"/>
          <w:color w:val="000000"/>
          <w:sz w:val="44"/>
          <w:szCs w:val="44"/>
        </w:rPr>
      </w:pPr>
    </w:p>
    <w:p w14:paraId="38EF625C">
      <w:pPr>
        <w:ind w:right="-218" w:rightChars="-104"/>
        <w:rPr>
          <w:rFonts w:hint="eastAsia"/>
          <w:color w:val="000000"/>
          <w:sz w:val="44"/>
          <w:szCs w:val="44"/>
        </w:rPr>
      </w:pPr>
    </w:p>
    <w:p w14:paraId="5BEADA94">
      <w:pPr>
        <w:ind w:right="-218" w:rightChars="-104"/>
        <w:rPr>
          <w:rFonts w:hint="eastAsia"/>
          <w:color w:val="000000"/>
          <w:sz w:val="44"/>
          <w:szCs w:val="44"/>
        </w:rPr>
      </w:pPr>
    </w:p>
    <w:p w14:paraId="23DC6B7D">
      <w:pPr>
        <w:ind w:right="-218" w:rightChars="-104"/>
        <w:rPr>
          <w:rFonts w:hint="eastAsia"/>
          <w:color w:val="000000"/>
          <w:sz w:val="44"/>
          <w:szCs w:val="44"/>
        </w:rPr>
      </w:pPr>
    </w:p>
    <w:p w14:paraId="12678072">
      <w:pPr>
        <w:ind w:right="-218" w:rightChars="-104"/>
        <w:rPr>
          <w:rFonts w:hint="eastAsia"/>
          <w:color w:val="000000"/>
          <w:sz w:val="44"/>
          <w:szCs w:val="44"/>
        </w:rPr>
      </w:pPr>
    </w:p>
    <w:p w14:paraId="27D60CFB">
      <w:pPr>
        <w:ind w:right="-218" w:rightChars="-104"/>
        <w:rPr>
          <w:rFonts w:hint="eastAsia"/>
          <w:color w:val="000000"/>
          <w:sz w:val="44"/>
          <w:szCs w:val="44"/>
        </w:rPr>
      </w:pPr>
    </w:p>
    <w:p w14:paraId="792BA331">
      <w:pPr>
        <w:ind w:right="-218" w:rightChars="-104"/>
        <w:rPr>
          <w:rFonts w:hint="eastAsia"/>
          <w:color w:val="000000"/>
          <w:sz w:val="44"/>
          <w:szCs w:val="44"/>
        </w:rPr>
      </w:pPr>
    </w:p>
    <w:p w14:paraId="530BC74B">
      <w:pPr>
        <w:pStyle w:val="7"/>
        <w:ind w:right="-218" w:rightChars="-104"/>
        <w:rPr>
          <w:rFonts w:hint="eastAsia"/>
        </w:rPr>
      </w:pPr>
    </w:p>
    <w:p w14:paraId="301F1FED">
      <w:pPr>
        <w:ind w:right="-218" w:rightChars="-104"/>
        <w:rPr>
          <w:rFonts w:hint="eastAsia"/>
          <w:color w:val="000000"/>
          <w:sz w:val="44"/>
          <w:szCs w:val="44"/>
        </w:rPr>
      </w:pPr>
    </w:p>
    <w:p w14:paraId="14EA0B1F">
      <w:pPr>
        <w:pStyle w:val="4"/>
        <w:ind w:right="-218" w:rightChars="-104"/>
        <w:rPr>
          <w:rFonts w:hint="eastAsia" w:hAnsi="宋体"/>
          <w:color w:val="000000"/>
          <w:sz w:val="28"/>
        </w:rPr>
      </w:pPr>
      <w:bookmarkStart w:id="185" w:name="_Toc270410845"/>
      <w:bookmarkStart w:id="186" w:name="_Toc273602363"/>
      <w:bookmarkStart w:id="187" w:name="_Toc240898303"/>
      <w:bookmarkStart w:id="188" w:name="_Toc5097"/>
      <w:r>
        <w:rPr>
          <w:rFonts w:hint="eastAsia" w:hAnsi="宋体"/>
          <w:color w:val="000000"/>
          <w:sz w:val="28"/>
        </w:rPr>
        <w:t>一．开标一览表</w:t>
      </w:r>
      <w:bookmarkEnd w:id="185"/>
      <w:bookmarkEnd w:id="186"/>
      <w:bookmarkEnd w:id="187"/>
      <w:bookmarkEnd w:id="188"/>
    </w:p>
    <w:p w14:paraId="4851F6DE">
      <w:pPr>
        <w:adjustRightInd w:val="0"/>
        <w:snapToGrid w:val="0"/>
        <w:spacing w:before="48" w:beforeLines="20" w:after="48" w:afterLines="20" w:line="400" w:lineRule="exact"/>
        <w:rPr>
          <w:rFonts w:hint="eastAsia" w:ascii="宋体" w:hAnsi="宋体"/>
          <w:szCs w:val="22"/>
          <w:u w:val="single"/>
        </w:rPr>
      </w:pPr>
      <w:r>
        <w:rPr>
          <w:rFonts w:hint="eastAsia" w:eastAsia="黑体"/>
          <w:snapToGrid w:val="0"/>
          <w:color w:val="000000"/>
          <w:kern w:val="0"/>
          <w:szCs w:val="21"/>
          <w:u w:val="single"/>
        </w:rPr>
        <w:t xml:space="preserve">            </w:t>
      </w:r>
      <w:r>
        <w:rPr>
          <w:snapToGrid w:val="0"/>
          <w:color w:val="000000"/>
          <w:kern w:val="0"/>
          <w:szCs w:val="21"/>
        </w:rPr>
        <w:t>（招标人名称）</w:t>
      </w:r>
      <w:r>
        <w:rPr>
          <w:rFonts w:hint="eastAsia"/>
          <w:snapToGrid w:val="0"/>
          <w:color w:val="000000"/>
          <w:kern w:val="0"/>
          <w:szCs w:val="21"/>
        </w:rPr>
        <w:t>：</w:t>
      </w:r>
    </w:p>
    <w:p w14:paraId="7881498F">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u w:val="single"/>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（项目名称）招标文件的全部内容，在考察工程现场后，愿意以人民币（大写）</w:t>
      </w:r>
      <w:r>
        <w:rPr>
          <w:rFonts w:hint="eastAsia" w:ascii="宋体" w:hAnsi="宋体"/>
          <w:szCs w:val="22"/>
          <w:u w:val="single"/>
        </w:rPr>
        <w:t xml:space="preserve">         </w:t>
      </w:r>
      <w:r>
        <w:rPr>
          <w:rFonts w:hint="eastAsia" w:ascii="宋体" w:hAnsi="宋体"/>
          <w:szCs w:val="22"/>
        </w:rPr>
        <w:t>元（¥</w:t>
      </w:r>
      <w:r>
        <w:rPr>
          <w:rFonts w:hint="eastAsia" w:ascii="宋体" w:hAnsi="宋体"/>
          <w:szCs w:val="22"/>
          <w:u w:val="single"/>
        </w:rPr>
        <w:t xml:space="preserve">         </w:t>
      </w:r>
      <w:r>
        <w:rPr>
          <w:rFonts w:hint="eastAsia" w:ascii="宋体" w:hAnsi="宋体"/>
          <w:szCs w:val="22"/>
        </w:rPr>
        <w:t>）的投标总报价，按合同约定实施和完成承包工程，修补工程中的任何缺陷。</w:t>
      </w:r>
    </w:p>
    <w:p w14:paraId="373EB7E3">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2. 我方已按招标文件要求详细审核并确认全部招标文件及有关附件，充分理解投标价格不得低于企业个别成本有关规定。我方经成本核算，所填报的投标报价不低于企业个别成本。</w:t>
      </w:r>
    </w:p>
    <w:p w14:paraId="5F798AF5">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 xml:space="preserve">3. </w:t>
      </w:r>
      <w:r>
        <w:rPr>
          <w:rFonts w:hint="eastAsia" w:eastAsia="黑体"/>
          <w:snapToGrid w:val="0"/>
          <w:color w:val="000000"/>
          <w:kern w:val="0"/>
          <w:szCs w:val="21"/>
          <w:u w:val="single"/>
        </w:rPr>
        <w:t xml:space="preserve">                          </w:t>
      </w:r>
      <w:r>
        <w:rPr>
          <w:snapToGrid w:val="0"/>
          <w:kern w:val="0"/>
          <w:szCs w:val="21"/>
        </w:rPr>
        <w:t>（其他补充说明）。</w:t>
      </w:r>
    </w:p>
    <w:p w14:paraId="5A3834E2">
      <w:pPr>
        <w:adjustRightInd w:val="0"/>
        <w:snapToGrid w:val="0"/>
        <w:spacing w:before="48" w:beforeLines="20" w:after="48" w:afterLines="20" w:line="400" w:lineRule="exact"/>
        <w:ind w:firstLine="367" w:firstLineChars="175"/>
        <w:rPr>
          <w:rFonts w:hint="eastAsia" w:ascii="宋体" w:hAnsi="宋体"/>
          <w:bCs/>
          <w:szCs w:val="21"/>
        </w:rPr>
      </w:pPr>
    </w:p>
    <w:p w14:paraId="561C4510">
      <w:pPr>
        <w:adjustRightInd w:val="0"/>
        <w:snapToGrid w:val="0"/>
        <w:spacing w:before="48" w:beforeLines="20" w:after="48" w:afterLines="20" w:line="400" w:lineRule="exact"/>
        <w:ind w:firstLine="420" w:firstLineChars="200"/>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613E39FA">
      <w:pPr>
        <w:adjustRightInd w:val="0"/>
        <w:snapToGrid w:val="0"/>
        <w:spacing w:before="48" w:beforeLines="20" w:after="48" w:afterLines="20" w:line="400" w:lineRule="exact"/>
        <w:ind w:firstLine="420" w:firstLineChars="200"/>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0287D15F">
      <w:pPr>
        <w:adjustRightInd w:val="0"/>
        <w:snapToGrid w:val="0"/>
        <w:spacing w:before="48" w:beforeLines="20" w:after="48" w:afterLines="20" w:line="400" w:lineRule="exact"/>
        <w:ind w:left="109" w:leftChars="52" w:firstLine="315" w:firstLineChars="150"/>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14:paraId="4676E415">
      <w:pPr>
        <w:adjustRightInd w:val="0"/>
        <w:snapToGrid w:val="0"/>
        <w:spacing w:before="48" w:beforeLines="20" w:after="48" w:afterLines="20" w:line="400" w:lineRule="exact"/>
        <w:ind w:firstLine="420" w:firstLineChars="200"/>
        <w:rPr>
          <w:rFonts w:hint="eastAsia" w:ascii="宋体" w:hAnsi="宋体"/>
          <w:szCs w:val="21"/>
        </w:rPr>
      </w:pPr>
      <w:r>
        <w:rPr>
          <w:rFonts w:hint="eastAsia" w:ascii="宋体" w:hAnsi="宋体"/>
          <w:szCs w:val="21"/>
        </w:rPr>
        <w:t>邮政编码：</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14:paraId="4EC14704">
      <w:pPr>
        <w:adjustRightInd w:val="0"/>
        <w:snapToGrid w:val="0"/>
        <w:spacing w:before="48" w:beforeLines="20" w:after="48" w:afterLines="20" w:line="400" w:lineRule="exact"/>
        <w:ind w:firstLine="420" w:firstLineChars="200"/>
        <w:rPr>
          <w:rFonts w:hint="eastAsia" w:ascii="宋体" w:hAnsi="宋体"/>
          <w:szCs w:val="22"/>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17FCDEA">
      <w:pPr>
        <w:pStyle w:val="7"/>
        <w:ind w:right="-218" w:rightChars="-104"/>
        <w:rPr>
          <w:rFonts w:hint="eastAsia" w:ascii="宋体" w:hAnsi="宋体"/>
          <w:b/>
          <w:color w:val="000000"/>
          <w:sz w:val="24"/>
        </w:rPr>
      </w:pPr>
    </w:p>
    <w:p w14:paraId="0E205F3D">
      <w:pPr>
        <w:rPr>
          <w:rFonts w:hint="eastAsia"/>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D03E0">
    <w:pPr>
      <w:pStyle w:val="11"/>
      <w:jc w:val="center"/>
    </w:pPr>
    <w:r>
      <w:rPr>
        <w:rFonts w:asciiTheme="majorEastAsia" w:hAnsiTheme="majorEastAsia" w:eastAsiaTheme="majorEastAsia"/>
        <w:b/>
        <w:sz w:val="21"/>
        <w:szCs w:val="21"/>
      </w:rPr>
      <w:t>第</w:t>
    </w:r>
    <w:sdt>
      <w:sdtPr>
        <w:rPr>
          <w:rFonts w:asciiTheme="majorEastAsia" w:hAnsiTheme="majorEastAsia" w:eastAsiaTheme="majorEastAsia"/>
          <w:b/>
          <w:sz w:val="21"/>
          <w:szCs w:val="21"/>
        </w:rPr>
        <w:id w:val="-1563173290"/>
      </w:sdtPr>
      <w:sdtEndPr>
        <w:rPr>
          <w:rFonts w:ascii="@仿宋_GB2312" w:hAnsi="@仿宋_GB2312" w:eastAsia="@仿宋_GB2312"/>
          <w:b w:val="0"/>
          <w:sz w:val="18"/>
          <w:szCs w:val="18"/>
        </w:rPr>
      </w:sdtEndPr>
      <w:sdtContent>
        <w:sdt>
          <w:sdtPr>
            <w:rPr>
              <w:rFonts w:asciiTheme="majorEastAsia" w:hAnsiTheme="majorEastAsia" w:eastAsiaTheme="majorEastAsia"/>
              <w:b/>
              <w:sz w:val="21"/>
              <w:szCs w:val="21"/>
            </w:rPr>
            <w:id w:val="-1127697333"/>
          </w:sdtPr>
          <w:sdtEndPr>
            <w:rPr>
              <w:rFonts w:ascii="@仿宋_GB2312" w:hAnsi="@仿宋_GB2312" w:eastAsia="@仿宋_GB2312"/>
              <w:b w:val="0"/>
              <w:sz w:val="18"/>
              <w:szCs w:val="18"/>
            </w:rPr>
          </w:sdtEndPr>
          <w:sdtContent>
            <w:r>
              <w:rPr>
                <w:rFonts w:asciiTheme="majorEastAsia" w:hAnsiTheme="majorEastAsia" w:eastAsiaTheme="majorEastAsia"/>
                <w:b/>
                <w:sz w:val="21"/>
                <w:szCs w:val="21"/>
                <w:lang w:val="zh-CN"/>
              </w:rPr>
              <w:t xml:space="preserve"> </w:t>
            </w:r>
            <w:r>
              <w:rPr>
                <w:rFonts w:asciiTheme="majorEastAsia" w:hAnsiTheme="majorEastAsia" w:eastAsiaTheme="majorEastAsia"/>
                <w:b/>
                <w:bCs/>
                <w:sz w:val="21"/>
                <w:szCs w:val="21"/>
              </w:rPr>
              <w:fldChar w:fldCharType="begin"/>
            </w:r>
            <w:r>
              <w:rPr>
                <w:rFonts w:asciiTheme="majorEastAsia" w:hAnsiTheme="majorEastAsia" w:eastAsiaTheme="majorEastAsia"/>
                <w:b/>
                <w:bCs/>
                <w:sz w:val="21"/>
                <w:szCs w:val="21"/>
              </w:rPr>
              <w:instrText xml:space="preserve">PAGE</w:instrText>
            </w:r>
            <w:r>
              <w:rPr>
                <w:rFonts w:asciiTheme="majorEastAsia" w:hAnsiTheme="majorEastAsia" w:eastAsiaTheme="majorEastAsia"/>
                <w:b/>
                <w:bCs/>
                <w:sz w:val="21"/>
                <w:szCs w:val="21"/>
              </w:rPr>
              <w:fldChar w:fldCharType="separate"/>
            </w:r>
            <w:r>
              <w:rPr>
                <w:rFonts w:asciiTheme="majorEastAsia" w:hAnsiTheme="majorEastAsia" w:eastAsiaTheme="majorEastAsia"/>
                <w:b/>
                <w:bCs/>
                <w:sz w:val="21"/>
                <w:szCs w:val="21"/>
              </w:rPr>
              <w:t>28</w:t>
            </w:r>
            <w:r>
              <w:rPr>
                <w:rFonts w:asciiTheme="majorEastAsia" w:hAnsiTheme="majorEastAsia" w:eastAsiaTheme="majorEastAsia"/>
                <w:b/>
                <w:bCs/>
                <w:sz w:val="21"/>
                <w:szCs w:val="21"/>
              </w:rPr>
              <w:fldChar w:fldCharType="end"/>
            </w:r>
            <w:r>
              <w:rPr>
                <w:rFonts w:asciiTheme="majorEastAsia" w:hAnsiTheme="majorEastAsia" w:eastAsiaTheme="majorEastAsia"/>
                <w:b/>
                <w:sz w:val="21"/>
                <w:szCs w:val="21"/>
                <w:lang w:val="zh-CN"/>
              </w:rPr>
              <w:t xml:space="preserve"> 页/</w:t>
            </w:r>
            <w:r>
              <w:rPr>
                <w:rFonts w:asciiTheme="majorEastAsia" w:hAnsiTheme="majorEastAsia" w:eastAsiaTheme="majorEastAsia"/>
                <w:b/>
                <w:sz w:val="21"/>
                <w:szCs w:val="21"/>
              </w:rPr>
              <w:t xml:space="preserve">共 </w:t>
            </w:r>
            <w:r>
              <w:rPr>
                <w:rFonts w:asciiTheme="majorEastAsia" w:hAnsiTheme="majorEastAsia" w:eastAsiaTheme="majorEastAsia"/>
                <w:b/>
                <w:sz w:val="21"/>
                <w:szCs w:val="21"/>
              </w:rPr>
              <w:fldChar w:fldCharType="begin"/>
            </w:r>
            <w:r>
              <w:rPr>
                <w:rFonts w:asciiTheme="majorEastAsia" w:hAnsiTheme="majorEastAsia" w:eastAsiaTheme="majorEastAsia"/>
                <w:b/>
                <w:sz w:val="21"/>
                <w:szCs w:val="21"/>
              </w:rPr>
              <w:instrText xml:space="preserve">NUMPAGES</w:instrText>
            </w:r>
            <w:r>
              <w:rPr>
                <w:rFonts w:asciiTheme="majorEastAsia" w:hAnsiTheme="majorEastAsia" w:eastAsiaTheme="majorEastAsia"/>
                <w:b/>
                <w:sz w:val="21"/>
                <w:szCs w:val="21"/>
              </w:rPr>
              <w:fldChar w:fldCharType="separate"/>
            </w:r>
            <w:r>
              <w:rPr>
                <w:rFonts w:asciiTheme="majorEastAsia" w:hAnsiTheme="majorEastAsia" w:eastAsiaTheme="majorEastAsia"/>
                <w:b/>
                <w:sz w:val="21"/>
                <w:szCs w:val="21"/>
              </w:rPr>
              <w:t>58</w:t>
            </w:r>
            <w:r>
              <w:rPr>
                <w:rFonts w:asciiTheme="majorEastAsia" w:hAnsiTheme="majorEastAsia" w:eastAsiaTheme="majorEastAsia"/>
                <w:b/>
                <w:sz w:val="21"/>
                <w:szCs w:val="21"/>
              </w:rPr>
              <w:fldChar w:fldCharType="end"/>
            </w:r>
            <w:r>
              <w:rPr>
                <w:rFonts w:hint="eastAsia" w:asciiTheme="majorEastAsia" w:hAnsiTheme="majorEastAsia" w:eastAsiaTheme="majorEastAsia"/>
                <w:b/>
                <w:sz w:val="21"/>
                <w:szCs w:val="21"/>
              </w:rPr>
              <w:t xml:space="preserve"> 页</w:t>
            </w:r>
          </w:sdtContent>
        </w:sdt>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75319"/>
    <w:multiLevelType w:val="singleLevel"/>
    <w:tmpl w:val="7997531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MzIzYmQ1NmNlYTQ5YTk5ZmNlNzQyYjEyNmMzOTIifQ=="/>
  </w:docVars>
  <w:rsids>
    <w:rsidRoot w:val="755A249A"/>
    <w:rsid w:val="006D0DE6"/>
    <w:rsid w:val="052D1F7E"/>
    <w:rsid w:val="058163B4"/>
    <w:rsid w:val="06693D01"/>
    <w:rsid w:val="0A4D5D95"/>
    <w:rsid w:val="0F1067FA"/>
    <w:rsid w:val="234D1661"/>
    <w:rsid w:val="270A45FF"/>
    <w:rsid w:val="28706D19"/>
    <w:rsid w:val="299B1CD6"/>
    <w:rsid w:val="2B0F45C8"/>
    <w:rsid w:val="2DDA2959"/>
    <w:rsid w:val="2E5549E7"/>
    <w:rsid w:val="31230DCD"/>
    <w:rsid w:val="31430A96"/>
    <w:rsid w:val="333D3C9C"/>
    <w:rsid w:val="33AC3910"/>
    <w:rsid w:val="358C71D9"/>
    <w:rsid w:val="3BBA7800"/>
    <w:rsid w:val="3F1E05F9"/>
    <w:rsid w:val="40A3671F"/>
    <w:rsid w:val="437962A1"/>
    <w:rsid w:val="4449257C"/>
    <w:rsid w:val="4DFE42FC"/>
    <w:rsid w:val="502A762A"/>
    <w:rsid w:val="51C277E7"/>
    <w:rsid w:val="58D97E3F"/>
    <w:rsid w:val="5D336F41"/>
    <w:rsid w:val="5E0A0A9B"/>
    <w:rsid w:val="65CD4AE6"/>
    <w:rsid w:val="66B64CA0"/>
    <w:rsid w:val="675B2C85"/>
    <w:rsid w:val="73F67D36"/>
    <w:rsid w:val="755A249A"/>
    <w:rsid w:val="76C4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rFonts w:ascii="宋体"/>
      <w:b/>
      <w:sz w:val="32"/>
    </w:rPr>
  </w:style>
  <w:style w:type="paragraph" w:styleId="5">
    <w:name w:val="heading 8"/>
    <w:basedOn w:val="1"/>
    <w:next w:val="1"/>
    <w:qFormat/>
    <w:uiPriority w:val="0"/>
    <w:pPr>
      <w:keepNext/>
      <w:keepLines/>
      <w:spacing w:line="400" w:lineRule="exact"/>
      <w:jc w:val="center"/>
      <w:outlineLvl w:val="7"/>
    </w:pPr>
    <w:rPr>
      <w:rFonts w:ascii="宋体" w:hAnsi="宋体" w:eastAsia="黑体"/>
      <w:sz w:val="32"/>
      <w:szCs w:val="32"/>
    </w:rPr>
  </w:style>
  <w:style w:type="paragraph" w:styleId="6">
    <w:name w:val="heading 9"/>
    <w:basedOn w:val="5"/>
    <w:next w:val="1"/>
    <w:qFormat/>
    <w:uiPriority w:val="0"/>
    <w:pPr>
      <w:tabs>
        <w:tab w:val="left" w:pos="2160"/>
      </w:tabs>
      <w:ind w:left="1559" w:hanging="1559"/>
      <w:outlineLvl w:val="8"/>
    </w:pPr>
    <w:rPr>
      <w:rFonts w:ascii="Times New Roman" w:hAnsi="Times New Roman" w:eastAsia="宋体"/>
      <w:b/>
      <w:bCs/>
      <w:sz w:val="30"/>
      <w:szCs w:val="1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Body Text"/>
    <w:basedOn w:val="1"/>
    <w:next w:val="1"/>
    <w:qFormat/>
    <w:uiPriority w:val="0"/>
    <w:rPr>
      <w:rFonts w:ascii="宋体" w:hAnsi="Arial"/>
      <w:sz w:val="28"/>
    </w:rPr>
  </w:style>
  <w:style w:type="paragraph" w:styleId="8">
    <w:name w:val="Body Text Indent"/>
    <w:basedOn w:val="1"/>
    <w:qFormat/>
    <w:uiPriority w:val="0"/>
    <w:pPr>
      <w:ind w:firstLine="645"/>
    </w:pPr>
    <w:rPr>
      <w:rFonts w:ascii="楷体_GB2312" w:eastAsia="楷体_GB2312"/>
      <w:sz w:val="32"/>
    </w:rPr>
  </w:style>
  <w:style w:type="paragraph" w:styleId="9">
    <w:name w:val="Plain Text"/>
    <w:basedOn w:val="1"/>
    <w:qFormat/>
    <w:uiPriority w:val="0"/>
    <w:rPr>
      <w:rFonts w:ascii="宋体" w:hAnsi="Courier New"/>
    </w:rPr>
  </w:style>
  <w:style w:type="paragraph" w:styleId="10">
    <w:name w:val="Date"/>
    <w:basedOn w:val="1"/>
    <w:next w:val="1"/>
    <w:qFormat/>
    <w:uiPriority w:val="0"/>
    <w:rPr>
      <w:b/>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before="120" w:beforeLines="0" w:beforeAutospacing="0" w:after="120" w:afterLines="0" w:afterAutospacing="0"/>
      <w:jc w:val="left"/>
    </w:pPr>
    <w:rPr>
      <w:caps/>
    </w:rPr>
  </w:style>
  <w:style w:type="paragraph" w:styleId="15">
    <w:name w:val="List"/>
    <w:basedOn w:val="1"/>
    <w:qFormat/>
    <w:uiPriority w:val="0"/>
    <w:pPr>
      <w:ind w:left="200" w:hanging="200" w:hangingChars="200"/>
    </w:pPr>
    <w:rPr>
      <w:rFonts w:ascii="Calibri" w:hAnsi="Calibri"/>
      <w:szCs w:val="22"/>
    </w:rPr>
  </w:style>
  <w:style w:type="paragraph" w:styleId="16">
    <w:name w:val="toc 2"/>
    <w:basedOn w:val="1"/>
    <w:next w:val="1"/>
    <w:qFormat/>
    <w:uiPriority w:val="0"/>
    <w:pPr>
      <w:ind w:left="210"/>
      <w:jc w:val="left"/>
    </w:pPr>
    <w:rPr>
      <w:smallCaps/>
      <w:sz w:val="28"/>
    </w:rPr>
  </w:style>
  <w:style w:type="paragraph" w:styleId="17">
    <w:name w:val="Body Text First Indent 2"/>
    <w:basedOn w:val="8"/>
    <w:next w:val="1"/>
    <w:qFormat/>
    <w:uiPriority w:val="0"/>
    <w:pPr>
      <w:ind w:left="420" w:firstLine="420"/>
    </w:pPr>
  </w:style>
  <w:style w:type="character" w:styleId="20">
    <w:name w:val="page number"/>
    <w:basedOn w:val="19"/>
    <w:qFormat/>
    <w:uiPriority w:val="0"/>
  </w:style>
  <w:style w:type="paragraph" w:customStyle="1" w:styleId="21">
    <w:name w:val="xl31"/>
    <w:basedOn w:val="1"/>
    <w:qFormat/>
    <w:uiPriority w:val="0"/>
    <w:pPr>
      <w:widowControl/>
      <w:spacing w:before="100" w:beforeLines="0" w:beforeAutospacing="1" w:after="100" w:afterLines="0" w:afterAutospacing="1"/>
      <w:jc w:val="center"/>
    </w:pPr>
    <w:rPr>
      <w:rFonts w:ascii="宋体" w:hAnsi="宋体"/>
      <w:b/>
      <w:kern w:val="0"/>
      <w:sz w:val="28"/>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23">
    <w:name w:val="Char"/>
    <w:basedOn w:val="1"/>
    <w:qFormat/>
    <w:uiPriority w:val="0"/>
    <w:rPr>
      <w:rFonts w:ascii="Tahoma" w:hAnsi="Tahoma"/>
      <w:sz w:val="24"/>
    </w:rPr>
  </w:style>
  <w:style w:type="paragraph" w:customStyle="1" w:styleId="24">
    <w:name w:val="列出段落"/>
    <w:basedOn w:val="1"/>
    <w:qFormat/>
    <w:uiPriority w:val="0"/>
    <w:pPr>
      <w:ind w:firstLine="420" w:firstLineChars="200"/>
    </w:pPr>
    <w:rPr>
      <w:szCs w:val="24"/>
    </w:rPr>
  </w:style>
  <w:style w:type="paragraph" w:customStyle="1" w:styleId="25">
    <w:name w:val="Table Paragraph"/>
    <w:basedOn w:val="1"/>
    <w:qFormat/>
    <w:uiPriority w:val="1"/>
    <w:pPr>
      <w:autoSpaceDE w:val="0"/>
      <w:autoSpaceDN w:val="0"/>
      <w:spacing w:line="240" w:lineRule="auto"/>
      <w:ind w:firstLine="0" w:firstLineChars="0"/>
      <w:jc w:val="left"/>
    </w:pPr>
    <w:rPr>
      <w:rFonts w:ascii="宋体" w:hAnsi="宋体" w:cs="宋体"/>
      <w:kern w:val="0"/>
      <w:sz w:val="22"/>
      <w:lang w:val="zh-CN" w:bidi="zh-CN"/>
    </w:rPr>
  </w:style>
  <w:style w:type="paragraph" w:customStyle="1" w:styleId="26">
    <w:name w:val="Normal_1"/>
    <w:qFormat/>
    <w:uiPriority w:val="0"/>
    <w:rPr>
      <w:rFonts w:ascii="Times New Roman" w:hAnsi="Times New Roman" w:eastAsia="Times New Roman" w:cs="Times New Roman"/>
      <w:sz w:val="24"/>
      <w:szCs w:val="24"/>
      <w:lang w:bidi="ar-SA"/>
    </w:rPr>
  </w:style>
  <w:style w:type="paragraph" w:customStyle="1" w:styleId="2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2"/>
    <w:qFormat/>
    <w:uiPriority w:val="0"/>
    <w:rPr>
      <w:rFonts w:ascii="Times New Roman" w:hAnsi="Times New Roman" w:eastAsia="Times New Roman" w:cs="Times New Roman"/>
      <w:sz w:val="24"/>
      <w:szCs w:val="24"/>
      <w:lang w:bidi="ar-SA"/>
    </w:rPr>
  </w:style>
  <w:style w:type="paragraph" w:customStyle="1" w:styleId="2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0">
    <w:name w:val="Normal_3"/>
    <w:qFormat/>
    <w:uiPriority w:val="0"/>
    <w:rPr>
      <w:rFonts w:ascii="Times New Roman" w:hAnsi="Times New Roman" w:eastAsia="Times New Roman" w:cs="Times New Roman"/>
      <w:sz w:val="24"/>
      <w:szCs w:val="24"/>
      <w:lang w:bidi="ar-SA"/>
    </w:rPr>
  </w:style>
  <w:style w:type="paragraph" w:customStyle="1" w:styleId="31">
    <w:name w:val="纯文本1"/>
    <w:basedOn w:val="1"/>
    <w:qFormat/>
    <w:uiPriority w:val="0"/>
    <w:rPr>
      <w:rFonts w:ascii="Arial" w:hAnsi="Arial" w:eastAsia="Arial"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1204</Words>
  <Characters>1301</Characters>
  <Lines>0</Lines>
  <Paragraphs>0</Paragraphs>
  <TotalTime>31</TotalTime>
  <ScaleCrop>false</ScaleCrop>
  <LinksUpToDate>false</LinksUpToDate>
  <CharactersWithSpaces>1340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2022-08-05T07:51:00Z</dcterms:created>
  <dc:creator>Administrator</dc:creator>
  <cp:lastModifiedBy>。</cp:lastModifiedBy>
  <dcterms:modified xsi:type="dcterms:W3CDTF">2025-02-19T07:11:59Z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9D7F65CE576F4CE5A6D1AB15FF7C388F_13</vt:lpwstr>
  </property>
  <property fmtid="{D5CDD505-2E9C-101B-9397-08002B2CF9AE}" pid="4" name="KSOTemplateDocerSaveRecord">
    <vt:lpwstr>eyJoZGlkIjoiYWQ3YzYzZDZkMzczY2I5YTQ2YWE3ZjYxZGNmZThmMTYiLCJ1c2VySWQiOiIyNDUzMDE1OTkifQ==</vt:lpwstr>
  </property>
</Properties>
</file>