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lang w:val="zh-CN"/>
        </w:rPr>
      </w:sdtEndPr>
      <w:sdtContent>
        <w:p w14:paraId="0071C139">
          <w:pPr>
            <w:spacing w:line="360" w:lineRule="auto"/>
            <w:jc w:val="center"/>
            <w:rPr>
              <w:rFonts w:hint="eastAsia" w:eastAsia="黑体"/>
              <w:b/>
              <w:bCs/>
              <w:sz w:val="56"/>
              <w:szCs w:val="56"/>
            </w:rPr>
          </w:pPr>
          <w:bookmarkStart w:id="0" w:name="_Toc245092759"/>
          <w:bookmarkStart w:id="1" w:name="_Toc328559326"/>
          <w:bookmarkStart w:id="2" w:name="_Toc273602339"/>
          <w:r>
            <w:rPr>
              <w:rFonts w:hint="eastAsia" w:eastAsia="黑体"/>
              <w:b/>
              <w:bCs/>
              <w:sz w:val="56"/>
              <w:szCs w:val="56"/>
            </w:rPr>
            <w:t>城市更新嘉玺项目</w:t>
          </w:r>
        </w:p>
        <w:p w14:paraId="3EC20F31">
          <w:pPr>
            <w:spacing w:line="360" w:lineRule="auto"/>
            <w:jc w:val="center"/>
            <w:rPr>
              <w:rFonts w:ascii="Arial" w:hAnsi="Arial" w:eastAsia="黑体"/>
              <w:b/>
              <w:sz w:val="72"/>
              <w:szCs w:val="72"/>
            </w:rPr>
          </w:pPr>
          <w:r>
            <w:rPr>
              <w:rFonts w:hint="eastAsia" w:eastAsia="黑体"/>
              <w:b/>
              <w:bCs/>
              <w:sz w:val="56"/>
              <w:szCs w:val="56"/>
            </w:rPr>
            <w:t>线下电梯、道闸广告投放</w:t>
          </w:r>
          <w:r>
            <w:rPr>
              <w:rFonts w:eastAsia="黑体"/>
              <w:sz w:val="144"/>
              <w:szCs w:val="28"/>
            </w:rPr>
            <w:tab/>
          </w:r>
        </w:p>
        <w:p w14:paraId="2432D4C0">
          <w:pPr>
            <w:adjustRightInd w:val="0"/>
            <w:snapToGrid w:val="0"/>
            <w:spacing w:before="48" w:beforeLines="20" w:after="48" w:afterLines="20" w:line="360" w:lineRule="auto"/>
            <w:jc w:val="center"/>
            <w:rPr>
              <w:rFonts w:hint="eastAsia" w:ascii="宋体" w:hAnsi="宋体"/>
              <w:b/>
              <w:bCs/>
              <w:sz w:val="60"/>
              <w:szCs w:val="60"/>
            </w:rPr>
          </w:pPr>
        </w:p>
        <w:p w14:paraId="48D83196">
          <w:pPr>
            <w:adjustRightInd w:val="0"/>
            <w:snapToGrid w:val="0"/>
            <w:spacing w:before="48" w:beforeLines="20" w:after="48" w:afterLines="20" w:line="360" w:lineRule="auto"/>
            <w:jc w:val="center"/>
            <w:rPr>
              <w:rFonts w:hint="eastAsia" w:ascii="宋体" w:hAnsi="宋体"/>
              <w:bCs/>
              <w:sz w:val="84"/>
              <w:szCs w:val="84"/>
            </w:rPr>
          </w:pPr>
          <w:r>
            <w:rPr>
              <w:rFonts w:hint="eastAsia" w:ascii="宋体" w:hAnsi="宋体"/>
              <w:bCs/>
              <w:sz w:val="84"/>
              <w:szCs w:val="84"/>
            </w:rPr>
            <w:t>招</w:t>
          </w:r>
        </w:p>
        <w:p w14:paraId="45385C13">
          <w:pPr>
            <w:adjustRightInd w:val="0"/>
            <w:snapToGrid w:val="0"/>
            <w:spacing w:before="48" w:beforeLines="20" w:after="48" w:afterLines="20" w:line="360" w:lineRule="auto"/>
            <w:jc w:val="center"/>
            <w:rPr>
              <w:rFonts w:hint="eastAsia" w:ascii="宋体" w:hAnsi="宋体"/>
              <w:bCs/>
              <w:sz w:val="84"/>
              <w:szCs w:val="84"/>
            </w:rPr>
          </w:pPr>
          <w:r>
            <w:rPr>
              <w:rFonts w:hint="eastAsia" w:ascii="宋体" w:hAnsi="宋体"/>
              <w:bCs/>
              <w:sz w:val="84"/>
              <w:szCs w:val="84"/>
            </w:rPr>
            <w:t>标</w:t>
          </w:r>
        </w:p>
        <w:p w14:paraId="1469C809">
          <w:pPr>
            <w:adjustRightInd w:val="0"/>
            <w:snapToGrid w:val="0"/>
            <w:spacing w:before="48" w:beforeLines="20" w:after="48" w:afterLines="20" w:line="360" w:lineRule="auto"/>
            <w:jc w:val="center"/>
            <w:rPr>
              <w:rFonts w:hint="eastAsia" w:ascii="宋体" w:hAnsi="宋体"/>
              <w:bCs/>
              <w:sz w:val="84"/>
              <w:szCs w:val="84"/>
            </w:rPr>
          </w:pPr>
          <w:r>
            <w:rPr>
              <w:rFonts w:ascii="宋体" w:hAnsi="宋体"/>
              <w:bCs/>
              <w:sz w:val="84"/>
              <w:szCs w:val="84"/>
            </w:rPr>
            <w:t>文</w:t>
          </w:r>
        </w:p>
        <w:p w14:paraId="3AA14135">
          <w:pPr>
            <w:adjustRightInd w:val="0"/>
            <w:snapToGrid w:val="0"/>
            <w:spacing w:before="48" w:beforeLines="20" w:after="48" w:afterLines="20" w:line="360" w:lineRule="auto"/>
            <w:jc w:val="center"/>
            <w:rPr>
              <w:rFonts w:hint="eastAsia" w:ascii="宋体" w:hAnsi="宋体"/>
              <w:bCs/>
              <w:sz w:val="84"/>
              <w:szCs w:val="84"/>
            </w:rPr>
          </w:pPr>
          <w:r>
            <w:rPr>
              <w:rFonts w:ascii="宋体" w:hAnsi="宋体"/>
              <w:bCs/>
              <w:sz w:val="84"/>
              <w:szCs w:val="84"/>
            </w:rPr>
            <w:t>件</w:t>
          </w:r>
        </w:p>
        <w:p w14:paraId="16F4AD48">
          <w:pPr>
            <w:pStyle w:val="27"/>
            <w:spacing w:line="360" w:lineRule="auto"/>
            <w:rPr>
              <w:rFonts w:hint="eastAsia" w:ascii="宋体" w:hAnsi="宋体"/>
              <w:b/>
              <w:sz w:val="30"/>
              <w:szCs w:val="30"/>
            </w:rPr>
          </w:pPr>
        </w:p>
        <w:p w14:paraId="174B289F">
          <w:pPr>
            <w:pStyle w:val="27"/>
            <w:spacing w:line="360" w:lineRule="auto"/>
            <w:rPr>
              <w:rFonts w:hint="eastAsia" w:ascii="宋体" w:hAnsi="宋体"/>
              <w:b/>
              <w:sz w:val="30"/>
              <w:szCs w:val="30"/>
            </w:rPr>
          </w:pPr>
        </w:p>
        <w:p w14:paraId="5E31F66F">
          <w:pPr>
            <w:adjustRightInd w:val="0"/>
            <w:snapToGrid w:val="0"/>
            <w:spacing w:before="48" w:beforeLines="20" w:after="48" w:afterLines="20" w:line="360" w:lineRule="auto"/>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7749C96A">
          <w:pPr>
            <w:tabs>
              <w:tab w:val="left" w:pos="420"/>
              <w:tab w:val="left" w:pos="4200"/>
            </w:tabs>
            <w:spacing w:line="360" w:lineRule="auto"/>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陆</w:t>
          </w:r>
          <w:r>
            <w:rPr>
              <w:rFonts w:ascii="宋体" w:hAnsi="宋体"/>
              <w:bCs/>
              <w:sz w:val="36"/>
            </w:rPr>
            <w:t>月</w:t>
          </w:r>
        </w:p>
        <w:p w14:paraId="55575583">
          <w:pPr>
            <w:tabs>
              <w:tab w:val="left" w:pos="4620"/>
            </w:tabs>
            <w:spacing w:line="360" w:lineRule="auto"/>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bookmarkStart w:id="5" w:name="_Hlk156310076"/>
      <w:bookmarkStart w:id="6" w:name="_Toc157065227"/>
      <w:r>
        <w:rPr>
          <w:rFonts w:hint="eastAsia" w:ascii="微软雅黑" w:hAnsi="微软雅黑" w:eastAsia="微软雅黑" w:cs="微软雅黑"/>
          <w:color w:val="000000"/>
          <w:sz w:val="24"/>
          <w:szCs w:val="24"/>
          <w:lang w:val="zh-CN"/>
        </w:rPr>
        <w:t>合肥市包河区城市更新建设有限公司</w:t>
      </w:r>
      <w:bookmarkEnd w:id="5"/>
      <w:r>
        <w:rPr>
          <w:rFonts w:hint="eastAsia" w:ascii="微软雅黑" w:hAnsi="微软雅黑" w:eastAsia="微软雅黑" w:cs="微软雅黑"/>
          <w:color w:val="000000"/>
          <w:sz w:val="24"/>
          <w:szCs w:val="24"/>
          <w:lang w:val="zh-CN"/>
        </w:rPr>
        <w:t>对</w:t>
      </w:r>
      <w:r>
        <w:rPr>
          <w:rFonts w:hint="eastAsia" w:ascii="微软雅黑" w:hAnsi="微软雅黑" w:eastAsia="微软雅黑" w:cs="微软雅黑"/>
          <w:b/>
          <w:bCs/>
          <w:color w:val="000000"/>
          <w:sz w:val="24"/>
          <w:szCs w:val="24"/>
          <w:u w:val="single"/>
          <w:lang w:val="zh-CN"/>
        </w:rPr>
        <w:t>“城市更新嘉玺项目线下电梯、道闸广告投放”</w:t>
      </w:r>
      <w:r>
        <w:rPr>
          <w:rFonts w:hint="eastAsia" w:ascii="微软雅黑" w:hAnsi="微软雅黑" w:eastAsia="微软雅黑" w:cs="微软雅黑"/>
          <w:color w:val="000000"/>
          <w:sz w:val="24"/>
          <w:szCs w:val="24"/>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 xml:space="preserve">第一章 </w:t>
      </w:r>
      <w:bookmarkEnd w:id="0"/>
      <w:bookmarkEnd w:id="1"/>
      <w:bookmarkEnd w:id="2"/>
      <w:r>
        <w:rPr>
          <w:rFonts w:hint="eastAsia" w:ascii="微软雅黑" w:hAnsi="微软雅黑" w:eastAsia="微软雅黑" w:cs="微软雅黑"/>
          <w:b/>
          <w:bCs/>
          <w:color w:val="000000"/>
          <w:sz w:val="36"/>
          <w:szCs w:val="36"/>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一、项目名称及</w:t>
      </w:r>
      <w:r>
        <w:rPr>
          <w:rFonts w:hint="eastAsia" w:ascii="微软雅黑" w:hAnsi="微软雅黑" w:eastAsia="微软雅黑" w:cs="微软雅黑"/>
          <w:b/>
          <w:color w:val="000000"/>
          <w:sz w:val="32"/>
          <w:szCs w:val="32"/>
        </w:rPr>
        <w:t>需求</w:t>
      </w:r>
      <w:r>
        <w:rPr>
          <w:rFonts w:hint="eastAsia" w:ascii="微软雅黑" w:hAnsi="微软雅黑" w:eastAsia="微软雅黑" w:cs="微软雅黑"/>
          <w:b/>
          <w:color w:val="000000"/>
          <w:sz w:val="32"/>
          <w:szCs w:val="32"/>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1、项目名称：城市更新嘉玺项目线下电梯、道闸广告投放；</w:t>
      </w:r>
    </w:p>
    <w:p w14:paraId="75C0B60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2、项目概算（招标控制价）：</w:t>
      </w:r>
      <w:r>
        <w:rPr>
          <w:rFonts w:hint="eastAsia" w:ascii="微软雅黑" w:hAnsi="微软雅黑" w:eastAsia="微软雅黑" w:cs="微软雅黑"/>
          <w:color w:val="000000"/>
          <w:sz w:val="24"/>
          <w:szCs w:val="24"/>
          <w:lang w:val="en-US" w:eastAsia="zh-CN"/>
        </w:rPr>
        <w:t>8.0</w:t>
      </w:r>
      <w:r>
        <w:rPr>
          <w:rFonts w:hint="eastAsia" w:ascii="微软雅黑" w:hAnsi="微软雅黑" w:eastAsia="微软雅黑" w:cs="微软雅黑"/>
          <w:color w:val="000000"/>
          <w:sz w:val="24"/>
          <w:szCs w:val="24"/>
          <w:lang w:val="zh-CN"/>
        </w:rPr>
        <w:t>万</w:t>
      </w:r>
      <w:r>
        <w:rPr>
          <w:rFonts w:hint="eastAsia" w:ascii="微软雅黑" w:hAnsi="微软雅黑" w:eastAsia="微软雅黑" w:cs="微软雅黑"/>
          <w:color w:val="000000"/>
          <w:sz w:val="24"/>
          <w:szCs w:val="24"/>
          <w:lang w:val="en-US" w:eastAsia="zh-CN"/>
        </w:rPr>
        <w:t>元</w:t>
      </w:r>
      <w:r>
        <w:rPr>
          <w:rFonts w:hint="eastAsia" w:ascii="微软雅黑" w:hAnsi="微软雅黑" w:eastAsia="微软雅黑" w:cs="微软雅黑"/>
          <w:color w:val="000000"/>
          <w:sz w:val="24"/>
          <w:szCs w:val="24"/>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3、招标方式：公开招标。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二、投标人资格条件</w:t>
      </w:r>
    </w:p>
    <w:p w14:paraId="4A3A651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eastAsia="zh-CN"/>
        </w:rPr>
      </w:pPr>
      <w:r>
        <w:rPr>
          <w:rFonts w:hint="eastAsia" w:ascii="微软雅黑" w:hAnsi="微软雅黑" w:eastAsia="微软雅黑" w:cs="微软雅黑"/>
          <w:color w:val="000000"/>
          <w:sz w:val="24"/>
          <w:szCs w:val="24"/>
          <w:lang w:val="zh-CN"/>
        </w:rPr>
        <w:t>1、投标人须具备独立法人资格、有效的营业执照及相关经营范围</w:t>
      </w:r>
      <w:r>
        <w:rPr>
          <w:rFonts w:hint="eastAsia" w:ascii="微软雅黑" w:hAnsi="微软雅黑" w:eastAsia="微软雅黑" w:cs="微软雅黑"/>
          <w:color w:val="000000"/>
          <w:sz w:val="24"/>
          <w:szCs w:val="24"/>
          <w:lang w:val="zh-CN" w:eastAsia="zh-CN"/>
        </w:rPr>
        <w:t>；</w:t>
      </w:r>
    </w:p>
    <w:p w14:paraId="1AAABEC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eastAsia="zh-CN"/>
        </w:rPr>
      </w:pPr>
      <w:r>
        <w:rPr>
          <w:rFonts w:hint="eastAsia" w:ascii="微软雅黑" w:hAnsi="微软雅黑" w:eastAsia="微软雅黑" w:cs="微软雅黑"/>
          <w:color w:val="000000"/>
          <w:sz w:val="24"/>
          <w:szCs w:val="24"/>
          <w:lang w:val="zh-CN"/>
        </w:rPr>
        <w:t>2、投标人的法定代表人或负责人为同一人，存在控股、管理关系的不同投标人，不得参加同一标包投标或者未划分标包的同一招标项目投标</w:t>
      </w:r>
      <w:r>
        <w:rPr>
          <w:rFonts w:hint="eastAsia" w:ascii="微软雅黑" w:hAnsi="微软雅黑" w:eastAsia="微软雅黑" w:cs="微软雅黑"/>
          <w:color w:val="000000"/>
          <w:sz w:val="24"/>
          <w:szCs w:val="24"/>
          <w:lang w:val="zh-CN" w:eastAsia="zh-CN"/>
        </w:rPr>
        <w:t>；</w:t>
      </w:r>
    </w:p>
    <w:p w14:paraId="62C2F86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3、拥有至少3个同类广告投放成功案例（需提供合同或验收证明）；</w:t>
      </w:r>
    </w:p>
    <w:p w14:paraId="67390CE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en-US" w:eastAsia="zh-CN"/>
        </w:rPr>
        <w:t>4</w:t>
      </w:r>
      <w:r>
        <w:rPr>
          <w:rFonts w:hint="eastAsia" w:ascii="微软雅黑" w:hAnsi="微软雅黑" w:eastAsia="微软雅黑" w:cs="微软雅黑"/>
          <w:color w:val="000000"/>
          <w:sz w:val="24"/>
          <w:szCs w:val="24"/>
          <w:lang w:val="zh-CN"/>
        </w:rPr>
        <w:t>、本次招标不接受联合体投标。</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2、经询价小组评审符合询价文件规定条件的有效投标人如低于三家，则本次招标流标（另行重新组织询价）；</w:t>
      </w:r>
    </w:p>
    <w:p w14:paraId="15C982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3、询价小组对报价文件进行审核，经审核后按照投标报价由低到高依次排序，排名第一的为中标候选人。</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lang w:val="en-US" w:eastAsia="zh-CN"/>
        </w:rPr>
        <w:t>1、</w:t>
      </w:r>
      <w:r>
        <w:rPr>
          <w:rFonts w:hint="eastAsia" w:ascii="微软雅黑" w:hAnsi="微软雅黑" w:eastAsia="微软雅黑" w:cs="微软雅黑"/>
          <w:b/>
          <w:bCs/>
          <w:color w:val="000000"/>
          <w:sz w:val="24"/>
          <w:szCs w:val="24"/>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附件4：资质证明文件（营业执照等）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lang w:val="en-US" w:eastAsia="zh-CN"/>
        </w:rPr>
        <w:t>2、</w:t>
      </w:r>
      <w:r>
        <w:rPr>
          <w:rFonts w:hint="eastAsia" w:ascii="微软雅黑" w:hAnsi="微软雅黑" w:eastAsia="微软雅黑" w:cs="微软雅黑"/>
          <w:b/>
          <w:bCs/>
          <w:color w:val="000000"/>
          <w:sz w:val="24"/>
          <w:szCs w:val="24"/>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附件5：投标报价单加盖公章。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lang w:val="en-US" w:eastAsia="zh-CN"/>
        </w:rPr>
        <w:t>3、</w:t>
      </w:r>
      <w:r>
        <w:rPr>
          <w:rFonts w:hint="eastAsia" w:ascii="微软雅黑" w:hAnsi="微软雅黑" w:eastAsia="微软雅黑" w:cs="微软雅黑"/>
          <w:b/>
          <w:bCs/>
          <w:color w:val="000000"/>
          <w:sz w:val="24"/>
          <w:szCs w:val="24"/>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月1</w:t>
      </w:r>
      <w:r>
        <w:rPr>
          <w:rFonts w:hint="eastAsia" w:ascii="微软雅黑" w:hAnsi="微软雅黑" w:eastAsia="微软雅黑" w:cs="微软雅黑"/>
          <w:color w:val="000000"/>
          <w:sz w:val="24"/>
          <w:szCs w:val="24"/>
          <w:highlight w:val="none"/>
          <w:lang w:val="en-US" w:eastAsia="zh-CN"/>
        </w:rPr>
        <w:t>0</w:t>
      </w:r>
      <w:r>
        <w:rPr>
          <w:rFonts w:hint="eastAsia" w:ascii="微软雅黑" w:hAnsi="微软雅黑" w:eastAsia="微软雅黑" w:cs="微软雅黑"/>
          <w:color w:val="000000"/>
          <w:sz w:val="24"/>
          <w:szCs w:val="24"/>
          <w:highlight w:val="none"/>
          <w:lang w:val="zh-CN"/>
        </w:rPr>
        <w:t>日11时前送至</w:t>
      </w:r>
      <w:r>
        <w:rPr>
          <w:rFonts w:hint="eastAsia" w:ascii="微软雅黑" w:hAnsi="微软雅黑" w:eastAsia="微软雅黑" w:cs="微软雅黑"/>
          <w:color w:val="000000"/>
          <w:sz w:val="24"/>
          <w:szCs w:val="24"/>
          <w:lang w:val="zh-CN"/>
        </w:rPr>
        <w:t>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eastAsia="zh-CN"/>
        </w:rPr>
      </w:pPr>
      <w:r>
        <w:rPr>
          <w:rFonts w:hint="eastAsia" w:ascii="微软雅黑" w:hAnsi="微软雅黑" w:eastAsia="微软雅黑" w:cs="微软雅黑"/>
          <w:color w:val="000000"/>
          <w:sz w:val="24"/>
          <w:szCs w:val="24"/>
          <w:lang w:val="zh-CN"/>
        </w:rPr>
        <w:t>联系人：</w:t>
      </w:r>
      <w:r>
        <w:rPr>
          <w:rFonts w:hint="eastAsia" w:ascii="微软雅黑" w:hAnsi="微软雅黑" w:eastAsia="微软雅黑" w:cs="微软雅黑"/>
          <w:color w:val="000000"/>
          <w:sz w:val="24"/>
          <w:szCs w:val="24"/>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lang w:val="en-US" w:eastAsia="zh-CN"/>
        </w:rPr>
        <w:t>4、</w:t>
      </w:r>
      <w:r>
        <w:rPr>
          <w:rFonts w:hint="eastAsia" w:ascii="微软雅黑" w:hAnsi="微软雅黑" w:eastAsia="微软雅黑" w:cs="微软雅黑"/>
          <w:b/>
          <w:bCs/>
          <w:color w:val="000000"/>
          <w:sz w:val="24"/>
          <w:szCs w:val="24"/>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投标截止后立即进行开标。具体开标时间、地点详见本招标文件“招投标日程表”。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五、招标日程表</w:t>
      </w:r>
    </w:p>
    <w:tbl>
      <w:tblPr>
        <w:tblStyle w:val="28"/>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1"/>
        <w:gridCol w:w="357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50" w:type="pct"/>
            <w:vAlign w:val="center"/>
          </w:tcPr>
          <w:p w14:paraId="470A977C">
            <w:pPr>
              <w:tabs>
                <w:tab w:val="left" w:pos="993"/>
              </w:tabs>
              <w:spacing w:line="24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994" w:type="pct"/>
            <w:vAlign w:val="center"/>
          </w:tcPr>
          <w:p w14:paraId="448F9700">
            <w:pPr>
              <w:tabs>
                <w:tab w:val="left" w:pos="993"/>
              </w:tabs>
              <w:spacing w:line="24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内容</w:t>
            </w:r>
          </w:p>
        </w:tc>
        <w:tc>
          <w:tcPr>
            <w:tcW w:w="1717" w:type="pct"/>
            <w:vAlign w:val="center"/>
          </w:tcPr>
          <w:p w14:paraId="056AFC71">
            <w:pPr>
              <w:tabs>
                <w:tab w:val="left" w:pos="993"/>
              </w:tabs>
              <w:spacing w:line="24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时间</w:t>
            </w:r>
          </w:p>
        </w:tc>
        <w:tc>
          <w:tcPr>
            <w:tcW w:w="1836" w:type="pct"/>
            <w:vAlign w:val="center"/>
          </w:tcPr>
          <w:p w14:paraId="2320B409">
            <w:pPr>
              <w:tabs>
                <w:tab w:val="left" w:pos="993"/>
              </w:tabs>
              <w:spacing w:line="24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0" w:type="pct"/>
            <w:vAlign w:val="center"/>
          </w:tcPr>
          <w:p w14:paraId="6449F5F8">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994" w:type="pct"/>
            <w:vAlign w:val="center"/>
          </w:tcPr>
          <w:p w14:paraId="5EEF0DAC">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招标文件发布</w:t>
            </w:r>
          </w:p>
        </w:tc>
        <w:tc>
          <w:tcPr>
            <w:tcW w:w="1717"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日</w:t>
            </w:r>
          </w:p>
        </w:tc>
        <w:tc>
          <w:tcPr>
            <w:tcW w:w="1836" w:type="pct"/>
            <w:vAlign w:val="center"/>
          </w:tcPr>
          <w:p w14:paraId="1E5AB470">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0" w:type="pct"/>
            <w:vAlign w:val="center"/>
          </w:tcPr>
          <w:p w14:paraId="3457D10E">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994" w:type="pct"/>
            <w:vAlign w:val="center"/>
          </w:tcPr>
          <w:p w14:paraId="316CF1CE">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投标文件提交</w:t>
            </w:r>
          </w:p>
        </w:tc>
        <w:tc>
          <w:tcPr>
            <w:tcW w:w="1717"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月1</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日11时</w:t>
            </w:r>
          </w:p>
        </w:tc>
        <w:tc>
          <w:tcPr>
            <w:tcW w:w="1836" w:type="pct"/>
            <w:vAlign w:val="center"/>
          </w:tcPr>
          <w:p w14:paraId="052A44E4">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0" w:type="pct"/>
            <w:vAlign w:val="center"/>
          </w:tcPr>
          <w:p w14:paraId="1007E191">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994" w:type="pct"/>
            <w:vAlign w:val="center"/>
          </w:tcPr>
          <w:p w14:paraId="3B29318A">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开标时间、地点</w:t>
            </w:r>
          </w:p>
        </w:tc>
        <w:tc>
          <w:tcPr>
            <w:tcW w:w="1717"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月1</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日（暂定）</w:t>
            </w:r>
          </w:p>
        </w:tc>
        <w:tc>
          <w:tcPr>
            <w:tcW w:w="1836" w:type="pct"/>
            <w:vAlign w:val="center"/>
          </w:tcPr>
          <w:p w14:paraId="13869334">
            <w:pPr>
              <w:tabs>
                <w:tab w:val="left" w:pos="993"/>
              </w:tabs>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合肥滨湖集团5楼开标室（暂定）</w:t>
            </w:r>
          </w:p>
        </w:tc>
      </w:tr>
    </w:tbl>
    <w:p w14:paraId="27108A30">
      <w:pPr>
        <w:tabs>
          <w:tab w:val="left" w:pos="993"/>
        </w:tabs>
        <w:spacing w:line="360" w:lineRule="auto"/>
        <w:ind w:firstLine="420" w:firstLineChars="200"/>
        <w:rPr>
          <w:rFonts w:hint="eastAsia" w:ascii="微软雅黑" w:hAnsi="微软雅黑" w:eastAsia="微软雅黑" w:cs="微软雅黑"/>
        </w:rPr>
      </w:pPr>
    </w:p>
    <w:p w14:paraId="7FE39E0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服务周期：</w:t>
      </w:r>
      <w:r>
        <w:rPr>
          <w:rFonts w:hint="eastAsia" w:ascii="微软雅黑" w:hAnsi="微软雅黑" w:eastAsia="微软雅黑" w:cs="微软雅黑"/>
          <w:color w:val="000000"/>
          <w:sz w:val="24"/>
          <w:szCs w:val="24"/>
          <w:lang w:val="zh-CN"/>
        </w:rPr>
        <w:t>3</w:t>
      </w:r>
      <w:r>
        <w:rPr>
          <w:rFonts w:hint="eastAsia" w:ascii="微软雅黑" w:hAnsi="微软雅黑" w:eastAsia="微软雅黑" w:cs="微软雅黑"/>
          <w:color w:val="000000"/>
          <w:sz w:val="24"/>
          <w:szCs w:val="24"/>
          <w:lang w:val="en-US" w:eastAsia="zh-CN"/>
        </w:rPr>
        <w:t>0</w:t>
      </w:r>
      <w:bookmarkStart w:id="33" w:name="_GoBack"/>
      <w:bookmarkEnd w:id="33"/>
      <w:r>
        <w:rPr>
          <w:rFonts w:hint="eastAsia" w:ascii="微软雅黑" w:hAnsi="微软雅黑" w:eastAsia="微软雅黑" w:cs="微软雅黑"/>
          <w:color w:val="000000"/>
          <w:sz w:val="24"/>
          <w:szCs w:val="24"/>
          <w:lang w:val="zh-CN"/>
        </w:rPr>
        <w:t>天。</w:t>
      </w:r>
    </w:p>
    <w:p w14:paraId="06B111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投标报价：</w:t>
      </w:r>
      <w:r>
        <w:rPr>
          <w:rFonts w:hint="eastAsia" w:ascii="微软雅黑" w:hAnsi="微软雅黑" w:eastAsia="微软雅黑" w:cs="微软雅黑"/>
          <w:color w:val="000000"/>
          <w:sz w:val="24"/>
          <w:szCs w:val="24"/>
          <w:lang w:val="zh-CN"/>
        </w:rPr>
        <w:t>不超过</w:t>
      </w:r>
      <w:r>
        <w:rPr>
          <w:rFonts w:hint="eastAsia" w:ascii="微软雅黑" w:hAnsi="微软雅黑" w:eastAsia="微软雅黑" w:cs="微软雅黑"/>
          <w:color w:val="000000"/>
          <w:sz w:val="24"/>
          <w:szCs w:val="24"/>
          <w:lang w:val="en-US" w:eastAsia="zh-CN"/>
        </w:rPr>
        <w:t>8.0</w:t>
      </w:r>
      <w:r>
        <w:rPr>
          <w:rFonts w:hint="eastAsia" w:ascii="微软雅黑" w:hAnsi="微软雅黑" w:eastAsia="微软雅黑" w:cs="微软雅黑"/>
          <w:color w:val="000000"/>
          <w:sz w:val="24"/>
          <w:szCs w:val="24"/>
          <w:lang w:val="zh-CN"/>
        </w:rPr>
        <w:t>万（含税）。</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lang w:val="en-US" w:eastAsia="zh-CN"/>
        </w:rPr>
      </w:pPr>
      <w:r>
        <w:rPr>
          <w:rFonts w:hint="eastAsia" w:ascii="微软雅黑" w:hAnsi="微软雅黑" w:eastAsia="微软雅黑" w:cs="微软雅黑"/>
          <w:b/>
          <w:bCs/>
          <w:color w:val="000000"/>
          <w:sz w:val="24"/>
          <w:szCs w:val="24"/>
          <w:lang w:val="en-US" w:eastAsia="zh-CN"/>
        </w:rPr>
        <w:t>招标内容</w:t>
      </w:r>
      <w:r>
        <w:rPr>
          <w:rFonts w:hint="eastAsia" w:ascii="微软雅黑" w:hAnsi="微软雅黑" w:eastAsia="微软雅黑" w:cs="微软雅黑"/>
          <w:b/>
          <w:bCs/>
          <w:color w:val="000000"/>
          <w:sz w:val="24"/>
          <w:szCs w:val="24"/>
          <w:lang w:val="zh-CN"/>
        </w:rPr>
        <w:t>：</w:t>
      </w:r>
      <w:r>
        <w:rPr>
          <w:rFonts w:hint="eastAsia" w:ascii="微软雅黑" w:hAnsi="微软雅黑" w:eastAsia="微软雅黑" w:cs="微软雅黑"/>
          <w:b w:val="0"/>
          <w:bCs w:val="0"/>
          <w:color w:val="000000"/>
          <w:sz w:val="24"/>
          <w:szCs w:val="24"/>
          <w:lang w:val="zh-CN"/>
        </w:rPr>
        <w:t>线下电梯、道闸广告</w:t>
      </w:r>
      <w:r>
        <w:rPr>
          <w:rFonts w:hint="eastAsia" w:ascii="微软雅黑" w:hAnsi="微软雅黑" w:eastAsia="微软雅黑" w:cs="微软雅黑"/>
          <w:b w:val="0"/>
          <w:bCs w:val="0"/>
          <w:color w:val="000000"/>
          <w:sz w:val="24"/>
          <w:szCs w:val="24"/>
          <w:lang w:val="en-US" w:eastAsia="zh-CN"/>
        </w:rPr>
        <w:t>，具体点位如下。</w:t>
      </w:r>
    </w:p>
    <w:tbl>
      <w:tblPr>
        <w:tblStyle w:val="28"/>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2"/>
        <w:gridCol w:w="1028"/>
        <w:gridCol w:w="2798"/>
        <w:gridCol w:w="2979"/>
        <w:gridCol w:w="1841"/>
      </w:tblGrid>
      <w:tr w14:paraId="4CA9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4AFC8E18">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项目</w:t>
            </w:r>
          </w:p>
        </w:tc>
        <w:tc>
          <w:tcPr>
            <w:tcW w:w="102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653DF9A4">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区域</w:t>
            </w:r>
          </w:p>
        </w:tc>
        <w:tc>
          <w:tcPr>
            <w:tcW w:w="279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6D41120">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点位名称</w:t>
            </w:r>
          </w:p>
        </w:tc>
        <w:tc>
          <w:tcPr>
            <w:tcW w:w="297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C383684">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点位地址</w:t>
            </w:r>
          </w:p>
        </w:tc>
        <w:tc>
          <w:tcPr>
            <w:tcW w:w="1841"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20937888">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位置</w:t>
            </w:r>
          </w:p>
        </w:tc>
      </w:tr>
      <w:tr w14:paraId="3E55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restart"/>
            <w:tcBorders>
              <w:top w:val="single" w:color="000000" w:sz="4" w:space="0"/>
              <w:left w:val="single" w:color="000000" w:sz="4" w:space="0"/>
              <w:right w:val="single" w:color="000000" w:sz="4" w:space="0"/>
            </w:tcBorders>
            <w:shd w:val="clear" w:color="auto" w:fill="auto"/>
            <w:noWrap/>
            <w:vAlign w:val="center"/>
          </w:tcPr>
          <w:p w14:paraId="77CBF3ED">
            <w:pPr>
              <w:keepNext w:val="0"/>
              <w:keepLines w:val="0"/>
              <w:widowControl/>
              <w:suppressLineNumbers w:val="0"/>
              <w:spacing w:line="240" w:lineRule="auto"/>
              <w:jc w:val="center"/>
              <w:textAlignment w:val="center"/>
              <w:rPr>
                <w:rFonts w:hint="eastAsia" w:ascii="微软雅黑" w:hAnsi="微软雅黑" w:eastAsia="微软雅黑" w:cs="微软雅黑"/>
                <w:b w:val="0"/>
                <w:bCs w:val="0"/>
                <w:color w:val="000000"/>
                <w:sz w:val="24"/>
                <w:szCs w:val="24"/>
                <w:lang w:val="zh-CN"/>
              </w:rPr>
            </w:pPr>
            <w:r>
              <w:rPr>
                <w:rFonts w:hint="eastAsia" w:ascii="微软雅黑" w:hAnsi="微软雅黑" w:eastAsia="微软雅黑" w:cs="微软雅黑"/>
                <w:b w:val="0"/>
                <w:bCs w:val="0"/>
                <w:color w:val="000000"/>
                <w:sz w:val="24"/>
                <w:szCs w:val="24"/>
                <w:lang w:val="zh-CN"/>
              </w:rPr>
              <w:t>道闸</w:t>
            </w:r>
          </w:p>
          <w:p w14:paraId="0E96199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b w:val="0"/>
                <w:bCs w:val="0"/>
                <w:color w:val="000000"/>
                <w:sz w:val="24"/>
                <w:szCs w:val="24"/>
                <w:lang w:val="zh-CN"/>
              </w:rPr>
              <w:t>广告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431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235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格林雅地4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D9D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繁华大道与宁夏路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D5B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北门出口</w:t>
            </w:r>
          </w:p>
        </w:tc>
      </w:tr>
      <w:tr w14:paraId="1312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31F0079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633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1F7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恒生阳光城1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E8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太湖路与徽州大道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F2D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南门进口</w:t>
            </w:r>
          </w:p>
        </w:tc>
      </w:tr>
      <w:tr w14:paraId="16EB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7332F9A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4BA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932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科大花园二期1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9D2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徽州大道与水阳江路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1C5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东门进口</w:t>
            </w:r>
          </w:p>
        </w:tc>
      </w:tr>
      <w:tr w14:paraId="18AC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7E4E9DC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834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21C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科大花园东区3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90D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桐城南路和水阳江路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1AE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北门出口</w:t>
            </w:r>
          </w:p>
        </w:tc>
      </w:tr>
      <w:tr w14:paraId="1546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60B454F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EDD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261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科大花园西区2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27F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桐城南路和水阳江路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E3C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北门进口</w:t>
            </w:r>
          </w:p>
        </w:tc>
      </w:tr>
      <w:tr w14:paraId="26A5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0DBF802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9D4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363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青年小区1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E87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宁国南路与靶场东路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D5F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东区进口</w:t>
            </w:r>
          </w:p>
        </w:tc>
      </w:tr>
      <w:tr w14:paraId="01B6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31E4D5C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ED7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3D3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万振逍遥苑1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A9F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马鞍山路与太湖路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1A7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东门进口</w:t>
            </w:r>
          </w:p>
        </w:tc>
      </w:tr>
      <w:tr w14:paraId="7C8B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080F424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BD7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369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万振逍遥苑4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DC1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马鞍山路与太湖路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CD8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南一门进口</w:t>
            </w:r>
          </w:p>
        </w:tc>
      </w:tr>
      <w:tr w14:paraId="43E8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bottom w:val="single" w:color="000000" w:sz="4" w:space="0"/>
              <w:right w:val="single" w:color="000000" w:sz="4" w:space="0"/>
            </w:tcBorders>
            <w:shd w:val="clear" w:color="auto" w:fill="auto"/>
            <w:noWrap/>
            <w:vAlign w:val="center"/>
          </w:tcPr>
          <w:p w14:paraId="0FBD17F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BB4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52D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万振逍遥苑5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C57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马鞍山路与太湖路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602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南二门进口</w:t>
            </w:r>
          </w:p>
        </w:tc>
      </w:tr>
      <w:tr w14:paraId="5325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restart"/>
            <w:tcBorders>
              <w:top w:val="single" w:color="000000" w:sz="4" w:space="0"/>
              <w:left w:val="single" w:color="000000" w:sz="4" w:space="0"/>
              <w:right w:val="single" w:color="000000" w:sz="4" w:space="0"/>
            </w:tcBorders>
            <w:shd w:val="clear" w:color="auto" w:fill="auto"/>
            <w:noWrap/>
            <w:vAlign w:val="center"/>
          </w:tcPr>
          <w:p w14:paraId="49A21532">
            <w:pPr>
              <w:keepNext w:val="0"/>
              <w:keepLines w:val="0"/>
              <w:widowControl/>
              <w:suppressLineNumbers w:val="0"/>
              <w:spacing w:line="240" w:lineRule="auto"/>
              <w:jc w:val="center"/>
              <w:textAlignment w:val="center"/>
              <w:rPr>
                <w:rFonts w:hint="eastAsia" w:ascii="微软雅黑" w:hAnsi="微软雅黑" w:eastAsia="微软雅黑" w:cs="微软雅黑"/>
                <w:b w:val="0"/>
                <w:bCs w:val="0"/>
                <w:color w:val="000000"/>
                <w:sz w:val="24"/>
                <w:szCs w:val="24"/>
                <w:lang w:val="zh-CN"/>
              </w:rPr>
            </w:pPr>
            <w:r>
              <w:rPr>
                <w:rFonts w:hint="eastAsia" w:ascii="微软雅黑" w:hAnsi="微软雅黑" w:eastAsia="微软雅黑" w:cs="微软雅黑"/>
                <w:b w:val="0"/>
                <w:bCs w:val="0"/>
                <w:color w:val="000000"/>
                <w:sz w:val="24"/>
                <w:szCs w:val="24"/>
                <w:lang w:val="zh-CN"/>
              </w:rPr>
              <w:t>道闸</w:t>
            </w:r>
          </w:p>
          <w:p w14:paraId="6A9D1DB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b w:val="0"/>
                <w:bCs w:val="0"/>
                <w:color w:val="000000"/>
                <w:sz w:val="24"/>
                <w:szCs w:val="24"/>
                <w:lang w:val="zh-CN"/>
              </w:rPr>
              <w:t>广告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457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476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信达银杏苑红枫苑1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20C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水阳江路与宁国南路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2E2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北门进出口</w:t>
            </w:r>
          </w:p>
        </w:tc>
      </w:tr>
      <w:tr w14:paraId="6EA2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1E298A4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625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A00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信达银杏苑松梅园1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367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道徽州大道1158号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B36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南门进出口</w:t>
            </w:r>
          </w:p>
        </w:tc>
      </w:tr>
      <w:tr w14:paraId="6378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568B92C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A22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260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信达银杏苑迎春居1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C94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水阳江路与徽州大道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73F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北门进口</w:t>
            </w:r>
          </w:p>
        </w:tc>
      </w:tr>
      <w:tr w14:paraId="490C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2FE7606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EC8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DB8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宁国路菜市场1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D21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宁国路231号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38F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西门进出口</w:t>
            </w:r>
          </w:p>
        </w:tc>
      </w:tr>
      <w:tr w14:paraId="78D7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487E44D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3D1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瑶海区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B60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西子银马1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F5D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屯溪路桥东滨河路处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7AB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大门进出口</w:t>
            </w:r>
          </w:p>
        </w:tc>
      </w:tr>
      <w:tr w14:paraId="706E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006C7C7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123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89B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邮电东区2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A06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芜湖路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4A1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东门进出口</w:t>
            </w:r>
          </w:p>
        </w:tc>
      </w:tr>
      <w:tr w14:paraId="355B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62C0235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39A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AE1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风和园3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B05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南一环与马鞍山路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F1D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东门进出口</w:t>
            </w:r>
          </w:p>
        </w:tc>
      </w:tr>
      <w:tr w14:paraId="06AD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6FE831D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821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54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望湖嘉苑1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A8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南北一号高架与龙川路交口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EE3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北门进口</w:t>
            </w:r>
          </w:p>
        </w:tc>
      </w:tr>
      <w:tr w14:paraId="134F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726811B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49F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35E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碧湖云溪二期1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9C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万罗山路与至德路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41A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北门出口</w:t>
            </w:r>
          </w:p>
        </w:tc>
      </w:tr>
      <w:tr w14:paraId="36DB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7831988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619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19E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蓝鼎星河府3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AB5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周谷堆淝河路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39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东门进口地库</w:t>
            </w:r>
          </w:p>
        </w:tc>
      </w:tr>
      <w:tr w14:paraId="51F9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3092D91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6B4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41C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皖松市政公司2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4DA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信达好第坊南门合家福2楼</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6E6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南门进出口</w:t>
            </w:r>
          </w:p>
        </w:tc>
      </w:tr>
      <w:tr w14:paraId="15E4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6B928B6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AC0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4F0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水利厅机关宿舍1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D9C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桐江路19号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4BD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西门进出口</w:t>
            </w:r>
          </w:p>
        </w:tc>
      </w:tr>
      <w:tr w14:paraId="269C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4331995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664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338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宝业桐城绿苑3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89E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桐城南路与水阳江路交口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F0E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西地库出口</w:t>
            </w:r>
          </w:p>
        </w:tc>
      </w:tr>
      <w:tr w14:paraId="3401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0665486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16C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27A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丽阳兰庭2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22B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万岗路99号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ECD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东门进口</w:t>
            </w:r>
          </w:p>
        </w:tc>
      </w:tr>
      <w:tr w14:paraId="1F41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3D53368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C5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992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和昌广场3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7AC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当涂支路与皖江路交口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771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南门进口</w:t>
            </w:r>
          </w:p>
        </w:tc>
      </w:tr>
      <w:tr w14:paraId="71C7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57ACFB0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A41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911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玫瑰绅城花园4</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F8A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东二环路与南淝河支路（东二环路上）</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109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东门出口</w:t>
            </w:r>
          </w:p>
        </w:tc>
      </w:tr>
      <w:tr w14:paraId="08E4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6349421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26F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560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望湖东苑4</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FC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望湖北路与呈坎路交口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3AE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北门出口</w:t>
            </w:r>
          </w:p>
        </w:tc>
      </w:tr>
      <w:tr w14:paraId="34D4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79EC960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4B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3D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送变电家园3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510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曙光路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523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西门</w:t>
            </w:r>
          </w:p>
        </w:tc>
      </w:tr>
      <w:tr w14:paraId="30BE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15C1494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1B1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D52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省人大西门2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0DE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南一环与金寨路交口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059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西门出口</w:t>
            </w:r>
          </w:p>
        </w:tc>
      </w:tr>
      <w:tr w14:paraId="1792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1C5690D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60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FC5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曙宏南苑广场1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AF3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桐城路与望江路交叉口向南200米</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AB2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西门出口</w:t>
            </w:r>
          </w:p>
        </w:tc>
      </w:tr>
      <w:tr w14:paraId="57E2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bottom w:val="single" w:color="000000" w:sz="4" w:space="0"/>
              <w:right w:val="single" w:color="000000" w:sz="4" w:space="0"/>
            </w:tcBorders>
            <w:shd w:val="clear" w:color="auto" w:fill="auto"/>
            <w:noWrap/>
            <w:vAlign w:val="center"/>
          </w:tcPr>
          <w:p w14:paraId="088570E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425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F7A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金安花园1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9BB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芜湖路街道曙光路宿松路支巷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F11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出口</w:t>
            </w:r>
          </w:p>
        </w:tc>
      </w:tr>
      <w:tr w14:paraId="1BAC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restart"/>
            <w:tcBorders>
              <w:top w:val="single" w:color="000000" w:sz="4" w:space="0"/>
              <w:left w:val="single" w:color="000000" w:sz="4" w:space="0"/>
              <w:right w:val="single" w:color="000000" w:sz="4" w:space="0"/>
            </w:tcBorders>
            <w:shd w:val="clear" w:color="auto" w:fill="auto"/>
            <w:noWrap/>
            <w:vAlign w:val="center"/>
          </w:tcPr>
          <w:p w14:paraId="5F3E18D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电梯</w:t>
            </w:r>
          </w:p>
          <w:p w14:paraId="40F6EFFC">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广告</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0A6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729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望湖城桂香居紫桂苑</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F36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美圣路与望湖西路交口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68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26</w:t>
            </w:r>
          </w:p>
        </w:tc>
      </w:tr>
      <w:tr w14:paraId="2DAE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785CF4B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B86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F03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望湖城桂香居月桂苑</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9B5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望湖西路816号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C8E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r>
      <w:tr w14:paraId="1876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bottom w:val="single" w:color="000000" w:sz="4" w:space="0"/>
              <w:right w:val="single" w:color="000000" w:sz="4" w:space="0"/>
            </w:tcBorders>
            <w:shd w:val="clear" w:color="auto" w:fill="auto"/>
            <w:noWrap/>
            <w:vAlign w:val="center"/>
          </w:tcPr>
          <w:p w14:paraId="72549E5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318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C8F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望湖城桂香居金桂苑</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378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祁门路与望江西路交口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396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r>
      <w:tr w14:paraId="05F9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restart"/>
            <w:tcBorders>
              <w:top w:val="single" w:color="000000" w:sz="4" w:space="0"/>
              <w:left w:val="single" w:color="000000" w:sz="4" w:space="0"/>
              <w:right w:val="single" w:color="000000" w:sz="4" w:space="0"/>
            </w:tcBorders>
            <w:shd w:val="clear" w:color="auto" w:fill="auto"/>
            <w:noWrap/>
            <w:vAlign w:val="center"/>
          </w:tcPr>
          <w:p w14:paraId="64A5985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电梯</w:t>
            </w:r>
          </w:p>
          <w:p w14:paraId="30757BB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广告</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3B5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B3B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绿地海顿公馆</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980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望江东路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C39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r>
      <w:tr w14:paraId="50EF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27851C3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DF2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577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晨光南苑</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2B8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宿松路与水阳江路交口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E9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r>
      <w:tr w14:paraId="3572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34E7AB8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F4F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EE4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鑫苑望江花园</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055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望江东路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E12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w:t>
            </w:r>
          </w:p>
        </w:tc>
      </w:tr>
      <w:tr w14:paraId="335A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131FBD5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D8C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DDE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望湖城桂香居日桂苑</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5C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美和路261号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065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r>
      <w:tr w14:paraId="080B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3B0B356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127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01C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望湖城桂香居福桂苑</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ADB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美圣路399号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89A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r>
      <w:tr w14:paraId="09EF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30CA3E7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DE5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8B5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龙川雅居</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30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马鞍山路龙川路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7EF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r>
      <w:tr w14:paraId="3488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31A1F88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B4D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56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星海龙御湾</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CE5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包河区马鞍山南路5号东北方向150米</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78A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r>
      <w:tr w14:paraId="62BD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456A61B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487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7B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力高柏林春天</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4ED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包河区马鞍山南路399号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518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r>
      <w:tr w14:paraId="50DB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right w:val="single" w:color="000000" w:sz="4" w:space="0"/>
            </w:tcBorders>
            <w:shd w:val="clear" w:color="auto" w:fill="auto"/>
            <w:noWrap/>
            <w:vAlign w:val="center"/>
          </w:tcPr>
          <w:p w14:paraId="52901AA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BB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E97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九珑湾</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AFE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繁华大道与包河大道交口南侧</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485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r>
      <w:tr w14:paraId="24F2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2" w:type="dxa"/>
            <w:vMerge w:val="continue"/>
            <w:tcBorders>
              <w:left w:val="single" w:color="000000" w:sz="4" w:space="0"/>
              <w:bottom w:val="single" w:color="000000" w:sz="4" w:space="0"/>
              <w:right w:val="single" w:color="000000" w:sz="4" w:space="0"/>
            </w:tcBorders>
            <w:shd w:val="clear" w:color="auto" w:fill="auto"/>
            <w:noWrap/>
            <w:vAlign w:val="center"/>
          </w:tcPr>
          <w:p w14:paraId="0C77D86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FD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包河区</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B03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幸福雅苑</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AB5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大强路与歙县路交口</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4BF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r>
    </w:tbl>
    <w:p w14:paraId="11E25374">
      <w:pPr>
        <w:pStyle w:val="23"/>
        <w:spacing w:line="360" w:lineRule="auto"/>
        <w:ind w:left="440" w:hanging="440"/>
        <w:rPr>
          <w:rFonts w:hint="eastAsia" w:ascii="微软雅黑" w:hAnsi="微软雅黑" w:eastAsia="微软雅黑" w:cs="微软雅黑"/>
          <w:sz w:val="22"/>
        </w:rPr>
      </w:pPr>
    </w:p>
    <w:p w14:paraId="29E40442">
      <w:pPr>
        <w:rPr>
          <w:rFonts w:hint="eastAsia" w:ascii="微软雅黑" w:hAnsi="微软雅黑" w:eastAsia="微软雅黑" w:cs="微软雅黑"/>
          <w:b/>
          <w:bCs/>
          <w:sz w:val="22"/>
          <w:szCs w:val="22"/>
        </w:rPr>
      </w:pPr>
      <w:bookmarkStart w:id="7" w:name="_Toc273602342"/>
      <w:bookmarkStart w:id="8" w:name="_Toc245092762"/>
      <w:bookmarkStart w:id="9" w:name="_Toc39733479"/>
      <w:bookmarkStart w:id="10" w:name="_Toc22397"/>
      <w:r>
        <w:rPr>
          <w:rFonts w:hint="eastAsia" w:ascii="微软雅黑" w:hAnsi="微软雅黑" w:eastAsia="微软雅黑" w:cs="微软雅黑"/>
          <w:b/>
          <w:bCs/>
          <w:sz w:val="22"/>
          <w:szCs w:val="22"/>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第</w:t>
      </w:r>
      <w:bookmarkStart w:id="11" w:name="_Hlt240110027"/>
      <w:bookmarkEnd w:id="11"/>
      <w:r>
        <w:rPr>
          <w:rFonts w:hint="eastAsia" w:ascii="微软雅黑" w:hAnsi="微软雅黑" w:eastAsia="微软雅黑" w:cs="微软雅黑"/>
          <w:b/>
          <w:bCs/>
          <w:color w:val="000000"/>
          <w:sz w:val="36"/>
          <w:szCs w:val="36"/>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城市更新嘉玺项目线下电梯、道闸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lang w:val="en-US" w:eastAsia="zh-CN"/>
        </w:rPr>
        <w:t>内容等</w:t>
      </w:r>
      <w:r>
        <w:rPr>
          <w:rFonts w:hint="eastAsia" w:ascii="微软雅黑" w:hAnsi="微软雅黑" w:eastAsia="微软雅黑" w:cs="微软雅黑"/>
          <w:color w:val="000000"/>
          <w:sz w:val="24"/>
          <w:szCs w:val="24"/>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1005169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本项目采用统一、低价评标法进行评审，评标委员会将依据报价表单进行评审。</w:t>
      </w:r>
      <w:bookmarkStart w:id="12" w:name="_Toc273602352"/>
      <w:bookmarkStart w:id="13" w:name="_Toc245028818"/>
      <w:bookmarkStart w:id="14" w:name="_Toc245714170"/>
      <w:bookmarkStart w:id="15" w:name="_Toc2829"/>
      <w:bookmarkStart w:id="16" w:name="_Toc39733482"/>
    </w:p>
    <w:p w14:paraId="05E8E33C">
      <w:pP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1FFA315B">
      <w:pPr>
        <w:pStyle w:val="4"/>
        <w:spacing w:line="360" w:lineRule="auto"/>
        <w:rPr>
          <w:rFonts w:hint="eastAsia" w:ascii="微软雅黑" w:hAnsi="微软雅黑" w:eastAsia="微软雅黑" w:cs="微软雅黑"/>
          <w:b/>
          <w:sz w:val="21"/>
          <w:szCs w:val="21"/>
        </w:rPr>
      </w:pPr>
      <w:bookmarkStart w:id="17" w:name="_Toc245714173"/>
      <w:bookmarkStart w:id="18" w:name="_Toc39733483"/>
      <w:bookmarkStart w:id="19" w:name="_Toc20758"/>
      <w:bookmarkStart w:id="20" w:name="_Toc273602355"/>
      <w:r>
        <w:rPr>
          <w:rFonts w:hint="eastAsia" w:ascii="微软雅黑" w:hAnsi="微软雅黑" w:eastAsia="微软雅黑" w:cs="微软雅黑"/>
          <w:b/>
          <w:sz w:val="21"/>
          <w:szCs w:val="21"/>
        </w:rPr>
        <w:t>附件一：</w:t>
      </w:r>
    </w:p>
    <w:p w14:paraId="7CB830BA">
      <w:pPr>
        <w:pStyle w:val="4"/>
        <w:spacing w:line="36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一、投标函</w:t>
      </w:r>
      <w:bookmarkEnd w:id="17"/>
      <w:bookmarkEnd w:id="18"/>
      <w:bookmarkEnd w:id="19"/>
      <w:bookmarkEnd w:id="20"/>
    </w:p>
    <w:p w14:paraId="2B0CB663">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“城市更新嘉玺项目线下电梯、道闸广告投放”</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5521AAFF">
      <w:pPr>
        <w:spacing w:line="360" w:lineRule="auto"/>
        <w:rPr>
          <w:rFonts w:hint="eastAsia" w:ascii="微软雅黑" w:hAnsi="微软雅黑" w:eastAsia="微软雅黑" w:cs="微软雅黑"/>
        </w:rPr>
      </w:pPr>
    </w:p>
    <w:p w14:paraId="16025AC4">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143F42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01286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19EB53F4">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697B67A">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rPr>
      </w:pPr>
      <w:bookmarkStart w:id="21" w:name="_Toc10239"/>
      <w:bookmarkStart w:id="22" w:name="_Toc273602356"/>
      <w:bookmarkStart w:id="23" w:name="_Toc39733484"/>
      <w:bookmarkStart w:id="24" w:name="_Toc245714174"/>
      <w:bookmarkStart w:id="25" w:name="_Toc232592019"/>
      <w:bookmarkStart w:id="26" w:name="_Toc220232394"/>
      <w:r>
        <w:rPr>
          <w:rFonts w:hint="eastAsia" w:ascii="微软雅黑" w:hAnsi="微软雅黑" w:eastAsia="微软雅黑" w:cs="微软雅黑"/>
          <w:b/>
          <w:sz w:val="22"/>
          <w:szCs w:val="22"/>
        </w:rPr>
        <w:t>附件二：</w:t>
      </w:r>
    </w:p>
    <w:p w14:paraId="5AA6625E">
      <w:pPr>
        <w:pStyle w:val="4"/>
        <w:numPr>
          <w:ilvl w:val="0"/>
          <w:numId w:val="1"/>
        </w:num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1"/>
      <w:bookmarkEnd w:id="22"/>
      <w:bookmarkEnd w:id="23"/>
      <w:bookmarkEnd w:id="24"/>
    </w:p>
    <w:p w14:paraId="47CF6E85">
      <w:pPr>
        <w:spacing w:line="360" w:lineRule="auto"/>
        <w:rPr>
          <w:rFonts w:hint="eastAsia" w:ascii="微软雅黑" w:hAnsi="微软雅黑" w:eastAsia="微软雅黑" w:cs="微软雅黑"/>
        </w:rPr>
      </w:pPr>
    </w:p>
    <w:p w14:paraId="58E03FB6">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eastAsia="zh-CN"/>
        </w:rPr>
        <w:t>“</w:t>
      </w:r>
      <w:r>
        <w:rPr>
          <w:rFonts w:hint="eastAsia" w:ascii="微软雅黑" w:hAnsi="微软雅黑" w:eastAsia="微软雅黑" w:cs="微软雅黑"/>
          <w:u w:val="single"/>
        </w:rPr>
        <w:t>城市更新嘉玺项目线下电梯、道闸广告投放</w:t>
      </w:r>
      <w:r>
        <w:rPr>
          <w:rFonts w:hint="eastAsia" w:ascii="微软雅黑" w:hAnsi="微软雅黑" w:eastAsia="微软雅黑" w:cs="微软雅黑"/>
          <w:u w:val="single"/>
          <w:lang w:eastAsia="zh-CN"/>
        </w:rPr>
        <w:t>”</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59EAB19F">
      <w:pPr>
        <w:pStyle w:val="27"/>
        <w:spacing w:line="360" w:lineRule="auto"/>
        <w:ind w:left="0" w:leftChars="0"/>
        <w:rPr>
          <w:rFonts w:hint="eastAsia" w:ascii="微软雅黑" w:hAnsi="微软雅黑" w:eastAsia="微软雅黑" w:cs="微软雅黑"/>
          <w:szCs w:val="21"/>
        </w:rPr>
      </w:pPr>
    </w:p>
    <w:p w14:paraId="1BEF0B38">
      <w:pPr>
        <w:spacing w:line="360" w:lineRule="auto"/>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74694BC9">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32D5572">
      <w:pPr>
        <w:pStyle w:val="17"/>
        <w:snapToGrid w:val="0"/>
        <w:spacing w:line="36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46110183">
      <w:pPr>
        <w:pStyle w:val="17"/>
        <w:snapToGrid w:val="0"/>
        <w:spacing w:line="36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7"/>
    </w:p>
    <w:p w14:paraId="5211728C">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一、我公司申明：</w:t>
      </w:r>
    </w:p>
    <w:p w14:paraId="4FDD74DE">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1.我公司未被人民法院列入失信被执行人；</w:t>
      </w:r>
    </w:p>
    <w:p w14:paraId="1074BAA6">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2.我公司和我公司法定代表人和我公司拟派项目经理（项目负责人）均未被人民检察院列入行贿犯罪档案；</w:t>
      </w:r>
    </w:p>
    <w:p w14:paraId="13C47389">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3.我公司未被工商行政管理部门列入企业经营异常名录；</w:t>
      </w:r>
    </w:p>
    <w:p w14:paraId="2997609C">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4.我公司未被税务部门列入重大税收违法案件当事人名单；</w:t>
      </w:r>
    </w:p>
    <w:p w14:paraId="69F339AF">
      <w:pPr>
        <w:pStyle w:val="17"/>
        <w:snapToGrid w:val="0"/>
        <w:spacing w:line="360" w:lineRule="auto"/>
        <w:ind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5.我公司未被合肥市人社部门列入拖欠农民工工资黑名单</w:t>
      </w:r>
      <w:r>
        <w:rPr>
          <w:rFonts w:hint="eastAsia" w:ascii="微软雅黑" w:hAnsi="微软雅黑" w:eastAsia="微软雅黑" w:cs="微软雅黑"/>
          <w:lang w:eastAsia="zh-CN"/>
        </w:rPr>
        <w:t>；</w:t>
      </w:r>
    </w:p>
    <w:p w14:paraId="62BB5B0D">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6.我公司未存在被合肥市城乡建设局因安全生产责任事故限制在合肥行政区域内承接新的工程项目且在限制期内的情形。</w:t>
      </w:r>
    </w:p>
    <w:p w14:paraId="0255BA0B">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我公司对以上承诺的真实性承担责任。</w:t>
      </w:r>
    </w:p>
    <w:p w14:paraId="73FAF688">
      <w:pPr>
        <w:pStyle w:val="17"/>
        <w:snapToGrid w:val="0"/>
        <w:spacing w:line="360" w:lineRule="auto"/>
        <w:ind w:firstLine="420" w:firstLineChars="200"/>
        <w:rPr>
          <w:rFonts w:hint="eastAsia" w:ascii="微软雅黑" w:hAnsi="微软雅黑" w:eastAsia="微软雅黑" w:cs="微软雅黑"/>
        </w:rPr>
      </w:pPr>
    </w:p>
    <w:p w14:paraId="42B0DA5C">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1F08ED8A">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4888DEC9">
      <w:pPr>
        <w:adjustRightInd w:val="0"/>
        <w:snapToGrid w:val="0"/>
        <w:spacing w:line="360" w:lineRule="auto"/>
        <w:rPr>
          <w:rFonts w:hint="eastAsia" w:ascii="微软雅黑" w:hAnsi="微软雅黑" w:eastAsia="微软雅黑" w:cs="微软雅黑"/>
          <w:b/>
          <w:bCs/>
          <w:sz w:val="22"/>
          <w:szCs w:val="22"/>
        </w:rPr>
      </w:pPr>
    </w:p>
    <w:p w14:paraId="61B977C5">
      <w:pPr>
        <w:spacing w:line="360" w:lineRule="auto"/>
        <w:rPr>
          <w:rFonts w:hint="eastAsia" w:ascii="微软雅黑" w:hAnsi="微软雅黑" w:eastAsia="微软雅黑" w:cs="微软雅黑"/>
          <w:b/>
          <w:kern w:val="2"/>
          <w:sz w:val="22"/>
          <w:szCs w:val="22"/>
        </w:rPr>
      </w:pPr>
    </w:p>
    <w:p w14:paraId="732BFE68">
      <w:pPr>
        <w:spacing w:line="360" w:lineRule="auto"/>
        <w:rPr>
          <w:rFonts w:hint="eastAsia" w:ascii="微软雅黑" w:hAnsi="微软雅黑" w:eastAsia="微软雅黑" w:cs="微软雅黑"/>
          <w:b/>
          <w:kern w:val="2"/>
          <w:sz w:val="22"/>
          <w:szCs w:val="22"/>
        </w:rPr>
      </w:pPr>
    </w:p>
    <w:p w14:paraId="25AF9328">
      <w:pPr>
        <w:spacing w:line="36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6EEC6B6C">
      <w:pPr>
        <w:spacing w:line="360" w:lineRule="auto"/>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329DDB39">
      <w:pPr>
        <w:pStyle w:val="27"/>
        <w:spacing w:line="360" w:lineRule="auto"/>
        <w:ind w:left="0" w:leftChars="0"/>
        <w:rPr>
          <w:rFonts w:hint="eastAsia" w:ascii="微软雅黑" w:hAnsi="微软雅黑" w:eastAsia="微软雅黑" w:cs="微软雅黑"/>
          <w:sz w:val="22"/>
          <w:szCs w:val="22"/>
        </w:rPr>
      </w:pPr>
    </w:p>
    <w:p w14:paraId="5FB272C4">
      <w:pPr>
        <w:numPr>
          <w:ilvl w:val="0"/>
          <w:numId w:val="2"/>
        </w:numPr>
        <w:spacing w:line="360" w:lineRule="auto"/>
        <w:jc w:val="both"/>
        <w:rPr>
          <w:rFonts w:hint="eastAsia" w:ascii="微软雅黑" w:hAnsi="微软雅黑" w:eastAsia="微软雅黑" w:cs="微软雅黑"/>
        </w:rPr>
      </w:pPr>
      <w:r>
        <w:rPr>
          <w:rFonts w:hint="eastAsia" w:ascii="微软雅黑" w:hAnsi="微软雅黑" w:eastAsia="微软雅黑" w:cs="微软雅黑"/>
        </w:rPr>
        <w:t>营业执照、过往案例等相关证明材料包含但不限于公告中资格要求以及评标办法中初步评审涉及的相关证明材料复印件；</w:t>
      </w:r>
    </w:p>
    <w:p w14:paraId="2A2E57B3">
      <w:pPr>
        <w:pStyle w:val="27"/>
        <w:spacing w:line="360" w:lineRule="auto"/>
        <w:ind w:leftChars="0"/>
        <w:rPr>
          <w:rFonts w:hint="eastAsia" w:ascii="微软雅黑" w:hAnsi="微软雅黑" w:eastAsia="微软雅黑" w:cs="微软雅黑"/>
          <w:szCs w:val="21"/>
        </w:rPr>
      </w:pPr>
    </w:p>
    <w:p w14:paraId="378948BC">
      <w:pPr>
        <w:pStyle w:val="27"/>
        <w:spacing w:line="360" w:lineRule="auto"/>
        <w:ind w:left="0" w:leftChars="0"/>
        <w:rPr>
          <w:rFonts w:hint="eastAsia" w:ascii="微软雅黑" w:hAnsi="微软雅黑" w:eastAsia="微软雅黑" w:cs="微软雅黑"/>
          <w:kern w:val="2"/>
          <w:szCs w:val="21"/>
        </w:rPr>
      </w:pPr>
      <w:r>
        <w:rPr>
          <w:rFonts w:hint="eastAsia" w:ascii="微软雅黑" w:hAnsi="微软雅黑" w:eastAsia="微软雅黑" w:cs="微软雅黑"/>
          <w:kern w:val="2"/>
          <w:szCs w:val="21"/>
        </w:rPr>
        <w:t>2.招标文件要求的其他资格证明文件。</w:t>
      </w:r>
    </w:p>
    <w:p w14:paraId="170F3230">
      <w:pPr>
        <w:spacing w:line="360" w:lineRule="auto"/>
        <w:jc w:val="center"/>
        <w:rPr>
          <w:rFonts w:hint="eastAsia" w:ascii="微软雅黑" w:hAnsi="微软雅黑" w:eastAsia="微软雅黑" w:cs="微软雅黑"/>
          <w:b/>
          <w:bCs/>
          <w:sz w:val="22"/>
          <w:szCs w:val="22"/>
        </w:rPr>
      </w:pPr>
    </w:p>
    <w:p w14:paraId="38C107DB">
      <w:pPr>
        <w:pStyle w:val="4"/>
        <w:spacing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8" w:name="_Toc11208"/>
    </w:p>
    <w:bookmarkEnd w:id="25"/>
    <w:bookmarkEnd w:id="26"/>
    <w:bookmarkEnd w:id="28"/>
    <w:p w14:paraId="6E047A4A">
      <w:pPr>
        <w:spacing w:line="360" w:lineRule="auto"/>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sdt>
      <w:sdtPr>
        <w:rPr>
          <w:rFonts w:hint="eastAsia" w:eastAsia="黑体"/>
          <w:b/>
          <w:bCs/>
          <w:sz w:val="56"/>
          <w:szCs w:val="56"/>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0730387F">
          <w:pPr>
            <w:spacing w:line="360" w:lineRule="auto"/>
            <w:jc w:val="center"/>
            <w:rPr>
              <w:rFonts w:hint="eastAsia" w:eastAsia="黑体"/>
              <w:b/>
              <w:bCs/>
              <w:sz w:val="56"/>
              <w:szCs w:val="56"/>
            </w:rPr>
          </w:pPr>
          <w:r>
            <w:rPr>
              <w:rFonts w:hint="eastAsia" w:eastAsia="黑体"/>
              <w:b/>
              <w:bCs/>
              <w:sz w:val="56"/>
              <w:szCs w:val="56"/>
            </w:rPr>
            <w:t>城市更新嘉玺项目</w:t>
          </w:r>
        </w:p>
        <w:p w14:paraId="31232067">
          <w:pPr>
            <w:spacing w:line="360" w:lineRule="auto"/>
            <w:jc w:val="center"/>
            <w:rPr>
              <w:rFonts w:ascii="Arial" w:hAnsi="Arial" w:eastAsia="黑体"/>
              <w:b/>
              <w:sz w:val="72"/>
              <w:szCs w:val="72"/>
            </w:rPr>
          </w:pPr>
          <w:r>
            <w:rPr>
              <w:rFonts w:hint="eastAsia" w:eastAsia="黑体"/>
              <w:b/>
              <w:bCs/>
              <w:sz w:val="56"/>
              <w:szCs w:val="56"/>
            </w:rPr>
            <w:t>线下电梯、道闸广告投放</w:t>
          </w:r>
          <w:r>
            <w:rPr>
              <w:rFonts w:eastAsia="黑体"/>
              <w:sz w:val="144"/>
              <w:szCs w:val="28"/>
            </w:rPr>
            <w:tab/>
          </w:r>
        </w:p>
        <w:p w14:paraId="59D427B8">
          <w:pPr>
            <w:adjustRightInd w:val="0"/>
            <w:snapToGrid w:val="0"/>
            <w:spacing w:before="48" w:beforeLines="20" w:after="48" w:afterLines="20" w:line="360" w:lineRule="auto"/>
            <w:jc w:val="center"/>
            <w:rPr>
              <w:rFonts w:hint="eastAsia" w:ascii="宋体" w:hAnsi="宋体"/>
              <w:b/>
              <w:bCs/>
              <w:sz w:val="72"/>
              <w:szCs w:val="72"/>
            </w:rPr>
          </w:pPr>
        </w:p>
        <w:p w14:paraId="7B3015B3">
          <w:pPr>
            <w:adjustRightInd w:val="0"/>
            <w:snapToGrid w:val="0"/>
            <w:spacing w:before="48" w:beforeLines="20" w:after="48" w:afterLines="20" w:line="360" w:lineRule="auto"/>
            <w:jc w:val="center"/>
            <w:rPr>
              <w:rFonts w:hint="eastAsia" w:ascii="宋体" w:hAnsi="宋体"/>
              <w:bCs/>
              <w:sz w:val="84"/>
              <w:szCs w:val="84"/>
            </w:rPr>
          </w:pPr>
          <w:r>
            <w:rPr>
              <w:rFonts w:hint="eastAsia" w:ascii="宋体" w:hAnsi="宋体"/>
              <w:bCs/>
              <w:sz w:val="84"/>
              <w:szCs w:val="84"/>
            </w:rPr>
            <w:t>投</w:t>
          </w:r>
        </w:p>
        <w:p w14:paraId="23210362">
          <w:pPr>
            <w:adjustRightInd w:val="0"/>
            <w:snapToGrid w:val="0"/>
            <w:spacing w:before="48" w:beforeLines="20" w:after="48" w:afterLines="20" w:line="360" w:lineRule="auto"/>
            <w:jc w:val="center"/>
            <w:rPr>
              <w:rFonts w:hint="eastAsia" w:ascii="宋体" w:hAnsi="宋体"/>
              <w:bCs/>
              <w:sz w:val="84"/>
              <w:szCs w:val="84"/>
            </w:rPr>
          </w:pPr>
          <w:r>
            <w:rPr>
              <w:rFonts w:hint="eastAsia" w:ascii="宋体" w:hAnsi="宋体"/>
              <w:bCs/>
              <w:sz w:val="84"/>
              <w:szCs w:val="84"/>
            </w:rPr>
            <w:t>标</w:t>
          </w:r>
        </w:p>
        <w:p w14:paraId="182D2C9A">
          <w:pPr>
            <w:adjustRightInd w:val="0"/>
            <w:snapToGrid w:val="0"/>
            <w:spacing w:before="48" w:beforeLines="20" w:after="48" w:afterLines="20" w:line="360" w:lineRule="auto"/>
            <w:jc w:val="center"/>
            <w:rPr>
              <w:rFonts w:hint="eastAsia" w:ascii="宋体" w:hAnsi="宋体"/>
              <w:bCs/>
              <w:sz w:val="84"/>
              <w:szCs w:val="84"/>
            </w:rPr>
          </w:pPr>
          <w:r>
            <w:rPr>
              <w:rFonts w:ascii="宋体" w:hAnsi="宋体"/>
              <w:bCs/>
              <w:sz w:val="84"/>
              <w:szCs w:val="84"/>
            </w:rPr>
            <w:t>文</w:t>
          </w:r>
        </w:p>
        <w:p w14:paraId="17D177D2">
          <w:pPr>
            <w:adjustRightInd w:val="0"/>
            <w:snapToGrid w:val="0"/>
            <w:spacing w:before="48" w:beforeLines="20" w:after="48" w:afterLines="20" w:line="360" w:lineRule="auto"/>
            <w:jc w:val="center"/>
            <w:rPr>
              <w:rFonts w:hint="eastAsia" w:ascii="宋体" w:hAnsi="宋体"/>
              <w:bCs/>
              <w:sz w:val="84"/>
              <w:szCs w:val="84"/>
            </w:rPr>
          </w:pPr>
          <w:r>
            <w:rPr>
              <w:rFonts w:ascii="宋体" w:hAnsi="宋体"/>
              <w:bCs/>
              <w:sz w:val="84"/>
              <w:szCs w:val="84"/>
            </w:rPr>
            <w:t>件</w:t>
          </w:r>
        </w:p>
        <w:p w14:paraId="38ECFF6F">
          <w:pPr>
            <w:pStyle w:val="27"/>
            <w:spacing w:line="360" w:lineRule="auto"/>
            <w:rPr>
              <w:rFonts w:hint="eastAsia" w:ascii="宋体" w:hAnsi="宋体"/>
              <w:b/>
              <w:sz w:val="30"/>
              <w:szCs w:val="30"/>
            </w:rPr>
          </w:pPr>
        </w:p>
        <w:p w14:paraId="3A6F7BA3">
          <w:pPr>
            <w:adjustRightInd w:val="0"/>
            <w:snapToGrid w:val="0"/>
            <w:spacing w:before="48" w:beforeLines="20" w:after="48" w:afterLines="20" w:line="360" w:lineRule="auto"/>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20FDE069">
          <w:pPr>
            <w:tabs>
              <w:tab w:val="left" w:pos="420"/>
              <w:tab w:val="left" w:pos="4200"/>
            </w:tabs>
            <w:spacing w:line="360" w:lineRule="auto"/>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陆</w:t>
          </w:r>
          <w:r>
            <w:rPr>
              <w:rFonts w:hint="eastAsia" w:ascii="宋体" w:hAnsi="宋体"/>
              <w:bCs/>
              <w:sz w:val="36"/>
            </w:rPr>
            <w:t>月</w:t>
          </w:r>
        </w:p>
        <w:p w14:paraId="3A20EA1A">
          <w:pPr>
            <w:pStyle w:val="27"/>
            <w:widowControl w:val="0"/>
            <w:spacing w:after="0" w:line="360" w:lineRule="auto"/>
            <w:ind w:left="0" w:leftChars="0"/>
            <w:jc w:val="both"/>
          </w:pPr>
          <w:bookmarkStart w:id="29" w:name="_Toc270410845"/>
          <w:bookmarkStart w:id="30" w:name="_Toc328559344"/>
          <w:bookmarkStart w:id="31" w:name="_Toc273602363"/>
          <w:bookmarkStart w:id="32" w:name="_Toc240898303"/>
        </w:p>
      </w:sdtContent>
    </w:sdt>
    <w:p w14:paraId="5699CF01">
      <w:pPr>
        <w:pStyle w:val="27"/>
        <w:widowControl w:val="0"/>
        <w:spacing w:after="0" w:line="360" w:lineRule="auto"/>
        <w:ind w:left="0" w:leftChars="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p>
    <w:p w14:paraId="0834470C">
      <w:pPr>
        <w:widowControl w:val="0"/>
        <w:adjustRightInd w:val="0"/>
        <w:snapToGrid w:val="0"/>
        <w:spacing w:line="360" w:lineRule="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76A0B745">
      <w:pPr>
        <w:pStyle w:val="27"/>
        <w:spacing w:line="360" w:lineRule="auto"/>
        <w:ind w:left="0" w:leftChars="0"/>
      </w:pPr>
    </w:p>
    <w:p w14:paraId="31D24CB2">
      <w:pPr>
        <w:pStyle w:val="23"/>
        <w:spacing w:line="360" w:lineRule="auto"/>
        <w:ind w:left="420" w:hanging="420"/>
      </w:pPr>
    </w:p>
    <w:p w14:paraId="00DB50D4">
      <w:pPr>
        <w:pStyle w:val="23"/>
        <w:spacing w:line="360" w:lineRule="auto"/>
        <w:ind w:left="420" w:hanging="420"/>
      </w:pPr>
    </w:p>
    <w:p w14:paraId="045F30C0">
      <w:pPr>
        <w:pStyle w:val="23"/>
        <w:spacing w:line="360" w:lineRule="auto"/>
        <w:ind w:left="420" w:hanging="420"/>
      </w:pPr>
    </w:p>
    <w:p w14:paraId="520C9FDC">
      <w:pPr>
        <w:spacing w:line="360" w:lineRule="auto"/>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u w:val="single"/>
        </w:rPr>
        <w:t>城市更新嘉玺项目线下电梯、道闸广告投放</w:t>
      </w:r>
      <w:r>
        <w:rPr>
          <w:rFonts w:hint="eastAsia" w:ascii="微软雅黑" w:hAnsi="微软雅黑" w:eastAsia="微软雅黑" w:cs="微软雅黑"/>
          <w:b/>
          <w:bCs/>
          <w:sz w:val="36"/>
          <w:szCs w:val="36"/>
        </w:rPr>
        <w:t>服务合同</w:t>
      </w:r>
    </w:p>
    <w:p w14:paraId="583D0639">
      <w:pPr>
        <w:spacing w:line="360" w:lineRule="auto"/>
        <w:jc w:val="center"/>
        <w:rPr>
          <w:rFonts w:hint="eastAsia" w:ascii="微软雅黑" w:hAnsi="微软雅黑" w:eastAsia="微软雅黑" w:cs="微软雅黑"/>
          <w:b/>
          <w:sz w:val="40"/>
          <w:szCs w:val="40"/>
        </w:rPr>
      </w:pPr>
    </w:p>
    <w:p w14:paraId="6C74BC3E">
      <w:pPr>
        <w:spacing w:line="360" w:lineRule="auto"/>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甲方：</w:t>
      </w:r>
      <w:r>
        <w:rPr>
          <w:rFonts w:hint="eastAsia" w:ascii="微软雅黑" w:hAnsi="微软雅黑" w:eastAsia="微软雅黑" w:cs="微软雅黑"/>
          <w:b/>
          <w:bCs/>
          <w:u w:val="single"/>
        </w:rPr>
        <w:t xml:space="preserve"> 合肥市包河区城市更新建设有限公司 </w:t>
      </w:r>
      <w:r>
        <w:rPr>
          <w:rFonts w:hint="eastAsia" w:ascii="微软雅黑" w:hAnsi="微软雅黑" w:eastAsia="微软雅黑" w:cs="微软雅黑"/>
          <w:b/>
          <w:bCs/>
        </w:rPr>
        <w:t>（以下简称甲方）</w:t>
      </w:r>
    </w:p>
    <w:p w14:paraId="055AAF03">
      <w:pPr>
        <w:spacing w:line="360" w:lineRule="auto"/>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乙方：</w:t>
      </w:r>
      <w:r>
        <w:rPr>
          <w:rFonts w:hint="eastAsia" w:ascii="微软雅黑" w:hAnsi="微软雅黑" w:eastAsia="微软雅黑" w:cs="微软雅黑"/>
          <w:b/>
          <w:bCs/>
          <w:u w:val="single"/>
        </w:rPr>
        <w:t xml:space="preserve">                                   </w:t>
      </w:r>
      <w:r>
        <w:rPr>
          <w:rFonts w:hint="eastAsia" w:ascii="微软雅黑" w:hAnsi="微软雅黑" w:eastAsia="微软雅黑" w:cs="微软雅黑"/>
          <w:b/>
          <w:bCs/>
        </w:rPr>
        <w:t>(以下简称乙方）</w:t>
      </w:r>
    </w:p>
    <w:p w14:paraId="516EB215">
      <w:pPr>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依据《中华人民共和国民法典》和有关法规的规定，乙方接受甲方的委托，就委托合同内服务事项，双方经协商一致，签订本合同，信守执行：</w:t>
      </w:r>
    </w:p>
    <w:p w14:paraId="1D3DF3D4">
      <w:pPr>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lang w:val="en-US" w:eastAsia="zh-CN"/>
        </w:rPr>
        <w:t>一、</w:t>
      </w:r>
      <w:r>
        <w:rPr>
          <w:rFonts w:hint="eastAsia" w:ascii="微软雅黑" w:hAnsi="微软雅黑" w:eastAsia="微软雅黑" w:cs="微软雅黑"/>
          <w:b/>
        </w:rPr>
        <w:t>合同内容和要求</w:t>
      </w:r>
    </w:p>
    <w:p w14:paraId="469943B9">
      <w:pPr>
        <w:numPr>
          <w:ilvl w:val="0"/>
          <w:numId w:val="3"/>
        </w:numPr>
        <w:spacing w:line="360" w:lineRule="auto"/>
        <w:rPr>
          <w:rFonts w:hint="eastAsia" w:ascii="微软雅黑" w:hAnsi="微软雅黑" w:eastAsia="微软雅黑" w:cs="微软雅黑"/>
          <w:color w:val="000000"/>
        </w:rPr>
      </w:pPr>
      <w:r>
        <w:rPr>
          <w:rFonts w:hint="eastAsia" w:ascii="微软雅黑" w:hAnsi="微软雅黑" w:eastAsia="微软雅黑" w:cs="微软雅黑"/>
          <w:lang w:val="en-US" w:eastAsia="zh-CN"/>
        </w:rPr>
        <w:t>项目</w:t>
      </w:r>
      <w:r>
        <w:rPr>
          <w:rFonts w:hint="eastAsia" w:ascii="微软雅黑" w:hAnsi="微软雅黑" w:eastAsia="微软雅黑" w:cs="微软雅黑"/>
        </w:rPr>
        <w:t>名称：</w:t>
      </w:r>
      <w:r>
        <w:rPr>
          <w:rFonts w:hint="eastAsia" w:ascii="微软雅黑" w:hAnsi="微软雅黑" w:eastAsia="微软雅黑" w:cs="微软雅黑"/>
          <w:color w:val="000000"/>
          <w:u w:val="single"/>
        </w:rPr>
        <w:t xml:space="preserve"> </w:t>
      </w:r>
      <w:r>
        <w:rPr>
          <w:rFonts w:hint="eastAsia" w:ascii="微软雅黑" w:hAnsi="微软雅黑" w:eastAsia="微软雅黑" w:cs="微软雅黑"/>
          <w:u w:val="single"/>
        </w:rPr>
        <w:t>城市更新嘉玺项目线下电梯、道闸广告投放</w:t>
      </w:r>
      <w:r>
        <w:rPr>
          <w:rFonts w:hint="eastAsia" w:ascii="微软雅黑" w:hAnsi="微软雅黑" w:eastAsia="微软雅黑" w:cs="微软雅黑"/>
          <w:color w:val="000000"/>
          <w:u w:val="single"/>
        </w:rPr>
        <w:t xml:space="preserve"> </w:t>
      </w:r>
    </w:p>
    <w:p w14:paraId="7E022409">
      <w:pPr>
        <w:numPr>
          <w:ilvl w:val="0"/>
          <w:numId w:val="3"/>
        </w:numPr>
        <w:spacing w:line="360" w:lineRule="auto"/>
        <w:rPr>
          <w:rFonts w:hint="eastAsia" w:ascii="微软雅黑" w:hAnsi="微软雅黑" w:eastAsia="微软雅黑" w:cs="微软雅黑"/>
          <w:color w:val="000000"/>
          <w:highlight w:val="none"/>
        </w:rPr>
      </w:pPr>
      <w:r>
        <w:rPr>
          <w:rFonts w:hint="eastAsia" w:ascii="微软雅黑" w:hAnsi="微软雅黑" w:eastAsia="微软雅黑" w:cs="微软雅黑"/>
          <w:highlight w:val="none"/>
          <w:lang w:val="en-US" w:eastAsia="zh-CN"/>
        </w:rPr>
        <w:t>执行</w:t>
      </w:r>
      <w:r>
        <w:rPr>
          <w:rFonts w:hint="eastAsia" w:ascii="微软雅黑" w:hAnsi="微软雅黑" w:eastAsia="微软雅黑" w:cs="微软雅黑"/>
          <w:highlight w:val="none"/>
        </w:rPr>
        <w:t>时间</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以甲方通知为准</w:t>
      </w:r>
    </w:p>
    <w:p w14:paraId="78C56A5E">
      <w:pPr>
        <w:widowControl w:val="0"/>
        <w:numPr>
          <w:ilvl w:val="0"/>
          <w:numId w:val="3"/>
        </w:numPr>
        <w:spacing w:line="360" w:lineRule="auto"/>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投放地点</w:t>
      </w:r>
      <w:r>
        <w:rPr>
          <w:rFonts w:hint="eastAsia" w:ascii="微软雅黑" w:hAnsi="微软雅黑" w:eastAsia="微软雅黑" w:cs="微软雅黑"/>
          <w:color w:val="000000"/>
        </w:rPr>
        <w:t>：甲方指定地点</w:t>
      </w:r>
    </w:p>
    <w:p w14:paraId="5AE74F4B">
      <w:pPr>
        <w:widowControl w:val="0"/>
        <w:numPr>
          <w:ilvl w:val="0"/>
          <w:numId w:val="3"/>
        </w:numPr>
        <w:spacing w:line="360" w:lineRule="auto"/>
        <w:rPr>
          <w:rFonts w:hint="eastAsia" w:ascii="微软雅黑" w:hAnsi="微软雅黑" w:eastAsia="微软雅黑" w:cs="微软雅黑"/>
          <w:b/>
        </w:rPr>
      </w:pPr>
      <w:r>
        <w:rPr>
          <w:rFonts w:hint="eastAsia" w:ascii="微软雅黑" w:hAnsi="微软雅黑" w:eastAsia="微软雅黑" w:cs="微软雅黑"/>
          <w:color w:val="000000"/>
        </w:rPr>
        <w:t>乙方项目负责人：</w:t>
      </w:r>
      <w:r>
        <w:rPr>
          <w:rFonts w:hint="eastAsia" w:ascii="微软雅黑" w:hAnsi="微软雅黑" w:eastAsia="微软雅黑" w:cs="微软雅黑"/>
          <w:color w:val="000000"/>
          <w:u w:val="single"/>
        </w:rPr>
        <w:t xml:space="preserve">                </w:t>
      </w:r>
      <w:r>
        <w:rPr>
          <w:rFonts w:hint="eastAsia" w:ascii="微软雅黑" w:hAnsi="微软雅黑" w:eastAsia="微软雅黑" w:cs="微软雅黑"/>
          <w:color w:val="000000"/>
        </w:rPr>
        <w:t xml:space="preserve"> 联系方式：</w:t>
      </w:r>
      <w:r>
        <w:rPr>
          <w:rFonts w:hint="eastAsia" w:ascii="微软雅黑" w:hAnsi="微软雅黑" w:eastAsia="微软雅黑" w:cs="微软雅黑"/>
          <w:color w:val="000000"/>
          <w:u w:val="single"/>
        </w:rPr>
        <w:t xml:space="preserve">                  </w:t>
      </w:r>
    </w:p>
    <w:p w14:paraId="326D7CE3">
      <w:pPr>
        <w:pStyle w:val="13"/>
        <w:widowControl w:val="0"/>
        <w:adjustRightInd w:val="0"/>
        <w:snapToGrid w:val="0"/>
        <w:spacing w:line="360" w:lineRule="auto"/>
        <w:ind w:left="420"/>
        <w:rPr>
          <w:rFonts w:hint="eastAsia" w:ascii="微软雅黑" w:hAnsi="微软雅黑" w:eastAsia="微软雅黑" w:cs="微软雅黑"/>
          <w:sz w:val="21"/>
        </w:rPr>
      </w:pPr>
      <w:r>
        <w:rPr>
          <w:rFonts w:hint="eastAsia" w:ascii="微软雅黑" w:hAnsi="微软雅黑" w:eastAsia="微软雅黑" w:cs="微软雅黑"/>
          <w:b/>
          <w:sz w:val="21"/>
          <w:lang w:val="en-US" w:eastAsia="zh-CN"/>
        </w:rPr>
        <w:t>二、</w:t>
      </w:r>
      <w:r>
        <w:rPr>
          <w:rFonts w:hint="eastAsia" w:ascii="微软雅黑" w:hAnsi="微软雅黑" w:eastAsia="微软雅黑" w:cs="微软雅黑"/>
          <w:b/>
          <w:sz w:val="21"/>
        </w:rPr>
        <w:t>质量保证</w:t>
      </w:r>
    </w:p>
    <w:p w14:paraId="6EDF1656">
      <w:pPr>
        <w:widowControl w:val="0"/>
        <w:numPr>
          <w:ilvl w:val="0"/>
          <w:numId w:val="4"/>
        </w:numPr>
        <w:spacing w:line="360" w:lineRule="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乙方保证所提供物料及服务等符合国家标准及合同约定。</w:t>
      </w:r>
    </w:p>
    <w:p w14:paraId="01A5104B">
      <w:pPr>
        <w:widowControl w:val="0"/>
        <w:numPr>
          <w:ilvl w:val="0"/>
          <w:numId w:val="4"/>
        </w:numPr>
        <w:spacing w:line="360" w:lineRule="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如果所提供物料及服务等与国家标准及合同约定不符，乙方负责根据实际情况采取修理、重做或更换等措施。</w:t>
      </w:r>
    </w:p>
    <w:p w14:paraId="37F6A459">
      <w:pPr>
        <w:widowControl w:val="0"/>
        <w:numPr>
          <w:ilvl w:val="0"/>
          <w:numId w:val="4"/>
        </w:numPr>
        <w:spacing w:line="360" w:lineRule="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乙方保证桁架、喷绘、车贴等物料具有正常的使用功能，但不保证系全新物料。</w:t>
      </w:r>
    </w:p>
    <w:p w14:paraId="505E71F3">
      <w:pPr>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lang w:val="en-US" w:eastAsia="zh-CN"/>
        </w:rPr>
        <w:t>三、</w:t>
      </w:r>
      <w:r>
        <w:rPr>
          <w:rFonts w:hint="eastAsia" w:ascii="微软雅黑" w:hAnsi="微软雅黑" w:eastAsia="微软雅黑" w:cs="微软雅黑"/>
          <w:b/>
        </w:rPr>
        <w:t>合同金额：</w:t>
      </w:r>
    </w:p>
    <w:p w14:paraId="2A9DDF1E">
      <w:pPr>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本合同含税金额：</w:t>
      </w:r>
      <w:r>
        <w:rPr>
          <w:rFonts w:hint="eastAsia" w:ascii="微软雅黑" w:hAnsi="微软雅黑" w:eastAsia="微软雅黑" w:cs="微软雅黑"/>
          <w:u w:val="single"/>
        </w:rPr>
        <w:t xml:space="preserve">                            （小写）：￥         元</w:t>
      </w:r>
      <w:r>
        <w:rPr>
          <w:rFonts w:hint="eastAsia" w:ascii="微软雅黑" w:hAnsi="微软雅黑" w:eastAsia="微软雅黑" w:cs="微软雅黑"/>
        </w:rPr>
        <w:t>。</w:t>
      </w:r>
    </w:p>
    <w:p w14:paraId="52329CD0">
      <w:pPr>
        <w:spacing w:line="360" w:lineRule="auto"/>
        <w:ind w:firstLine="420" w:firstLineChars="200"/>
        <w:rPr>
          <w:rFonts w:hint="eastAsia" w:ascii="微软雅黑" w:hAnsi="微软雅黑" w:eastAsia="微软雅黑" w:cs="微软雅黑"/>
          <w:bCs/>
        </w:rPr>
      </w:pPr>
      <w:r>
        <w:rPr>
          <w:rFonts w:hint="eastAsia" w:ascii="微软雅黑" w:hAnsi="微软雅黑" w:eastAsia="微软雅黑" w:cs="微软雅黑"/>
          <w:b/>
          <w:lang w:val="en-US" w:eastAsia="zh-CN"/>
        </w:rPr>
        <w:t>四、</w:t>
      </w:r>
      <w:r>
        <w:rPr>
          <w:rFonts w:hint="eastAsia" w:ascii="微软雅黑" w:hAnsi="微软雅黑" w:eastAsia="微软雅黑" w:cs="微软雅黑"/>
          <w:b/>
        </w:rPr>
        <w:t>付款方式：</w:t>
      </w:r>
      <w:r>
        <w:rPr>
          <w:rFonts w:hint="eastAsia" w:ascii="微软雅黑" w:hAnsi="微软雅黑" w:eastAsia="微软雅黑" w:cs="微软雅黑"/>
          <w:bCs/>
        </w:rPr>
        <w:t>甲方验收无误、</w:t>
      </w:r>
      <w:r>
        <w:rPr>
          <w:rFonts w:hint="eastAsia" w:ascii="微软雅黑" w:hAnsi="微软雅黑" w:eastAsia="微软雅黑" w:cs="微软雅黑"/>
          <w:bCs/>
          <w:lang w:val="en-US" w:eastAsia="zh-CN"/>
        </w:rPr>
        <w:t>项目</w:t>
      </w:r>
      <w:r>
        <w:rPr>
          <w:rFonts w:hint="eastAsia" w:ascii="微软雅黑" w:hAnsi="微软雅黑" w:eastAsia="微软雅黑" w:cs="微软雅黑"/>
          <w:bCs/>
        </w:rPr>
        <w:t>顺利结束后一次性付清款项</w:t>
      </w:r>
    </w:p>
    <w:p w14:paraId="5CABD0D6">
      <w:pPr>
        <w:pStyle w:val="13"/>
        <w:spacing w:line="360" w:lineRule="auto"/>
        <w:ind w:firstLine="420"/>
        <w:rPr>
          <w:rFonts w:hint="eastAsia" w:ascii="微软雅黑" w:hAnsi="微软雅黑" w:eastAsia="微软雅黑" w:cs="微软雅黑"/>
          <w:sz w:val="21"/>
        </w:rPr>
      </w:pPr>
      <w:r>
        <w:rPr>
          <w:rFonts w:hint="eastAsia" w:ascii="微软雅黑" w:hAnsi="微软雅黑" w:eastAsia="微软雅黑" w:cs="微软雅黑"/>
          <w:sz w:val="21"/>
        </w:rPr>
        <w:t>甲方付款前，乙方应提供相应金额的增值税专用发票（税率</w:t>
      </w:r>
      <w:r>
        <w:rPr>
          <w:rFonts w:hint="eastAsia" w:ascii="微软雅黑" w:hAnsi="微软雅黑" w:eastAsia="微软雅黑" w:cs="微软雅黑"/>
          <w:sz w:val="21"/>
          <w:u w:val="single"/>
        </w:rPr>
        <w:t xml:space="preserve">     </w:t>
      </w:r>
      <w:r>
        <w:rPr>
          <w:rFonts w:hint="eastAsia" w:ascii="微软雅黑" w:hAnsi="微软雅黑" w:eastAsia="微软雅黑" w:cs="微软雅黑"/>
          <w:sz w:val="21"/>
        </w:rPr>
        <w:t>%），否则甲方有权不予付款。</w:t>
      </w:r>
    </w:p>
    <w:p w14:paraId="51CD0A3D">
      <w:pPr>
        <w:spacing w:line="360" w:lineRule="auto"/>
        <w:ind w:firstLine="420" w:firstLineChars="200"/>
        <w:rPr>
          <w:rFonts w:hint="eastAsia" w:ascii="微软雅黑" w:hAnsi="微软雅黑" w:eastAsia="微软雅黑" w:cs="微软雅黑"/>
          <w:b/>
          <w:bCs/>
        </w:rPr>
      </w:pPr>
      <w:r>
        <w:rPr>
          <w:rFonts w:hint="eastAsia" w:ascii="微软雅黑" w:hAnsi="微软雅黑" w:eastAsia="微软雅黑" w:cs="微软雅黑"/>
          <w:b/>
          <w:bCs/>
          <w:lang w:val="en-US" w:eastAsia="zh-CN"/>
        </w:rPr>
        <w:t>五、</w:t>
      </w:r>
      <w:r>
        <w:rPr>
          <w:rFonts w:hint="eastAsia" w:ascii="微软雅黑" w:hAnsi="微软雅黑" w:eastAsia="微软雅黑" w:cs="微软雅黑"/>
          <w:b/>
          <w:bCs/>
        </w:rPr>
        <w:t>乙方账户信息：</w:t>
      </w:r>
    </w:p>
    <w:p w14:paraId="3B5298EE">
      <w:pPr>
        <w:spacing w:line="360" w:lineRule="auto"/>
        <w:ind w:firstLine="420" w:firstLineChars="200"/>
        <w:rPr>
          <w:rFonts w:hint="eastAsia" w:ascii="微软雅黑" w:hAnsi="微软雅黑" w:eastAsia="微软雅黑" w:cs="微软雅黑"/>
          <w:u w:val="single"/>
        </w:rPr>
      </w:pPr>
      <w:r>
        <w:rPr>
          <w:rFonts w:hint="eastAsia" w:ascii="微软雅黑" w:hAnsi="微软雅黑" w:eastAsia="微软雅黑" w:cs="微软雅黑"/>
        </w:rPr>
        <w:t>户  名：</w:t>
      </w:r>
      <w:r>
        <w:rPr>
          <w:rFonts w:hint="eastAsia" w:ascii="微软雅黑" w:hAnsi="微软雅黑" w:eastAsia="微软雅黑" w:cs="微软雅黑"/>
          <w:u w:val="single"/>
        </w:rPr>
        <w:t xml:space="preserve">                           </w:t>
      </w:r>
    </w:p>
    <w:p w14:paraId="5AC0AF64">
      <w:pPr>
        <w:spacing w:line="360" w:lineRule="auto"/>
        <w:ind w:firstLine="420" w:firstLineChars="200"/>
        <w:rPr>
          <w:rFonts w:hint="eastAsia" w:ascii="微软雅黑" w:hAnsi="微软雅黑" w:eastAsia="微软雅黑" w:cs="微软雅黑"/>
          <w:u w:val="single"/>
        </w:rPr>
      </w:pPr>
      <w:r>
        <w:rPr>
          <w:rFonts w:hint="eastAsia" w:ascii="微软雅黑" w:hAnsi="微软雅黑" w:eastAsia="微软雅黑" w:cs="微软雅黑"/>
        </w:rPr>
        <w:t>开户行：</w:t>
      </w:r>
      <w:r>
        <w:rPr>
          <w:rFonts w:hint="eastAsia" w:ascii="微软雅黑" w:hAnsi="微软雅黑" w:eastAsia="微软雅黑" w:cs="微软雅黑"/>
          <w:u w:val="single"/>
        </w:rPr>
        <w:t xml:space="preserve">                           </w:t>
      </w:r>
    </w:p>
    <w:p w14:paraId="78200A5C">
      <w:pPr>
        <w:spacing w:line="360" w:lineRule="auto"/>
        <w:ind w:firstLine="420" w:firstLineChars="200"/>
        <w:rPr>
          <w:rFonts w:hint="eastAsia" w:ascii="微软雅黑" w:hAnsi="微软雅黑" w:eastAsia="微软雅黑" w:cs="微软雅黑"/>
          <w:u w:val="single"/>
        </w:rPr>
      </w:pPr>
      <w:r>
        <w:rPr>
          <w:rFonts w:hint="eastAsia" w:ascii="微软雅黑" w:hAnsi="微软雅黑" w:eastAsia="微软雅黑" w:cs="微软雅黑"/>
        </w:rPr>
        <w:t>帐  号：</w:t>
      </w:r>
      <w:r>
        <w:rPr>
          <w:rFonts w:hint="eastAsia" w:ascii="微软雅黑" w:hAnsi="微软雅黑" w:eastAsia="微软雅黑" w:cs="微软雅黑"/>
          <w:u w:val="single"/>
        </w:rPr>
        <w:t xml:space="preserve">                           </w:t>
      </w:r>
    </w:p>
    <w:p w14:paraId="2B51DC9A">
      <w:pPr>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lang w:val="en-US" w:eastAsia="zh-CN"/>
        </w:rPr>
        <w:t>六、</w:t>
      </w:r>
      <w:r>
        <w:rPr>
          <w:rFonts w:hint="eastAsia" w:ascii="微软雅黑" w:hAnsi="微软雅黑" w:eastAsia="微软雅黑" w:cs="微软雅黑"/>
          <w:b/>
        </w:rPr>
        <w:t>甲方的权利义务</w:t>
      </w:r>
    </w:p>
    <w:p w14:paraId="7C88E44C">
      <w:pPr>
        <w:numPr>
          <w:ilvl w:val="0"/>
          <w:numId w:val="5"/>
        </w:numPr>
        <w:spacing w:line="360" w:lineRule="auto"/>
        <w:rPr>
          <w:rFonts w:hint="eastAsia" w:ascii="微软雅黑" w:hAnsi="微软雅黑" w:eastAsia="微软雅黑" w:cs="微软雅黑"/>
        </w:rPr>
      </w:pPr>
      <w:r>
        <w:rPr>
          <w:rFonts w:hint="eastAsia" w:ascii="微软雅黑" w:hAnsi="微软雅黑" w:eastAsia="微软雅黑" w:cs="微软雅黑"/>
        </w:rPr>
        <w:t>甲方有权根据本合同所约定的标准及要求，检查乙方提供的物料或服务质量，如乙方提供的物料或服务质量不符合合同约定，甲方有权要求乙方改进。</w:t>
      </w:r>
    </w:p>
    <w:p w14:paraId="0A5092AA">
      <w:pPr>
        <w:numPr>
          <w:ilvl w:val="0"/>
          <w:numId w:val="5"/>
        </w:numPr>
        <w:spacing w:line="360" w:lineRule="auto"/>
        <w:rPr>
          <w:rFonts w:hint="eastAsia" w:ascii="微软雅黑" w:hAnsi="微软雅黑" w:eastAsia="微软雅黑" w:cs="微软雅黑"/>
        </w:rPr>
      </w:pPr>
      <w:r>
        <w:rPr>
          <w:rFonts w:hint="eastAsia" w:ascii="微软雅黑" w:hAnsi="微软雅黑" w:eastAsia="微软雅黑" w:cs="微软雅黑"/>
        </w:rPr>
        <w:t>甲方有义务依据合同约定按时足额向乙方支付价款。</w:t>
      </w:r>
    </w:p>
    <w:p w14:paraId="008A80C6">
      <w:pPr>
        <w:numPr>
          <w:ilvl w:val="0"/>
          <w:numId w:val="5"/>
        </w:numPr>
        <w:spacing w:line="360" w:lineRule="auto"/>
        <w:rPr>
          <w:rFonts w:hint="eastAsia" w:ascii="微软雅黑" w:hAnsi="微软雅黑" w:eastAsia="微软雅黑" w:cs="微软雅黑"/>
        </w:rPr>
      </w:pPr>
      <w:r>
        <w:rPr>
          <w:rFonts w:hint="eastAsia" w:ascii="微软雅黑" w:hAnsi="微软雅黑" w:eastAsia="微软雅黑" w:cs="微软雅黑"/>
        </w:rPr>
        <w:t>甲方以书面形式向乙方详细说明</w:t>
      </w:r>
      <w:r>
        <w:rPr>
          <w:rFonts w:hint="eastAsia" w:ascii="微软雅黑" w:hAnsi="微软雅黑" w:eastAsia="微软雅黑" w:cs="微软雅黑"/>
          <w:lang w:val="en-US" w:eastAsia="zh-CN"/>
        </w:rPr>
        <w:t>广告投放</w:t>
      </w:r>
      <w:r>
        <w:rPr>
          <w:rFonts w:hint="eastAsia" w:ascii="微软雅黑" w:hAnsi="微软雅黑" w:eastAsia="微软雅黑" w:cs="微软雅黑"/>
        </w:rPr>
        <w:t>要求，并提供乙方履行本合同所需图文、音频、视频或其他电子资料。如遇问题，双方及时沟通，甲方应及时对乙方的询问、请示等作出明确答复。</w:t>
      </w:r>
    </w:p>
    <w:p w14:paraId="0D5C9CD9">
      <w:pPr>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lang w:val="en-US" w:eastAsia="zh-CN"/>
        </w:rPr>
        <w:t>七、</w:t>
      </w:r>
      <w:r>
        <w:rPr>
          <w:rFonts w:hint="eastAsia" w:ascii="微软雅黑" w:hAnsi="微软雅黑" w:eastAsia="微软雅黑" w:cs="微软雅黑"/>
          <w:b/>
        </w:rPr>
        <w:t>乙方的权利义务</w:t>
      </w:r>
    </w:p>
    <w:p w14:paraId="49695FA6">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乙方应严格按照甲方确认的小样稿、设计方案等要求进行制作，确保按照合同约定的时间和方式保质保量地履行制作物品的交付义务。</w:t>
      </w:r>
    </w:p>
    <w:p w14:paraId="5F972B13">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乙方在活动结束后应立即清理撤场，使用完毕后需恢复原状，如因施工不慎给甲方</w:t>
      </w:r>
      <w:r>
        <w:rPr>
          <w:rFonts w:hint="eastAsia" w:ascii="微软雅黑" w:hAnsi="微软雅黑" w:eastAsia="微软雅黑" w:cs="微软雅黑"/>
          <w:lang w:val="en-US" w:eastAsia="zh-CN"/>
        </w:rPr>
        <w:t>或第三方</w:t>
      </w:r>
      <w:r>
        <w:rPr>
          <w:rFonts w:hint="eastAsia" w:ascii="微软雅黑" w:hAnsi="微软雅黑" w:eastAsia="微软雅黑" w:cs="微软雅黑"/>
        </w:rPr>
        <w:t>造成经济损失，乙方应承担相应赔偿责任。</w:t>
      </w:r>
    </w:p>
    <w:p w14:paraId="34507FA0">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5D3D794">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本合同生效后，对于乙方活动物料在制作、设计、成品保管、运输、搬运、装卸、施工过程中发生毁损、灭失的，一切责任及风险由乙方承担。</w:t>
      </w:r>
    </w:p>
    <w:p w14:paraId="2C786835">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城管、物业等沟通协商事宜由甲方自行负责，如因城管或物业等原因导致无法正常施工，则由甲方承担乙方相应损失（含往返人工、运费等）。</w:t>
      </w:r>
    </w:p>
    <w:p w14:paraId="69E0F48A">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乙方制作、施工、安装广告物品时不得损坏甲方的有关物品和设施，否则应全额赔偿甲方的损失。</w:t>
      </w:r>
    </w:p>
    <w:p w14:paraId="040D5F8D">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乙方在施工过程中须做好安全防护工作，在广告物品的制作、安装过程中，应保证安全、文明施工。若因施工行为导致甲方或第三人人身、财产损害，乙方应承担全部赔偿责任及相关法律责任。</w:t>
      </w:r>
    </w:p>
    <w:p w14:paraId="259FE67B">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合同期内，乙方不得以任何理由拒绝制作合同内的物料。</w:t>
      </w:r>
    </w:p>
    <w:p w14:paraId="08CF074C">
      <w:pPr>
        <w:numPr>
          <w:ilvl w:val="0"/>
          <w:numId w:val="6"/>
        </w:numPr>
        <w:spacing w:line="360" w:lineRule="auto"/>
        <w:rPr>
          <w:rFonts w:hint="eastAsia" w:ascii="微软雅黑" w:hAnsi="微软雅黑" w:eastAsia="微软雅黑" w:cs="微软雅黑"/>
        </w:rPr>
      </w:pPr>
      <w:r>
        <w:rPr>
          <w:rFonts w:hint="eastAsia" w:ascii="微软雅黑" w:hAnsi="微软雅黑" w:eastAsia="微软雅黑" w:cs="微软雅黑"/>
        </w:rPr>
        <w:t>乙方有权要求甲方按合同约定支付货款。</w:t>
      </w:r>
    </w:p>
    <w:p w14:paraId="55C77E94">
      <w:pPr>
        <w:spacing w:line="360" w:lineRule="auto"/>
        <w:ind w:firstLine="420" w:firstLineChars="200"/>
        <w:rPr>
          <w:rFonts w:hint="eastAsia" w:ascii="微软雅黑" w:hAnsi="微软雅黑" w:eastAsia="微软雅黑" w:cs="微软雅黑"/>
          <w:b/>
          <w:bCs/>
        </w:rPr>
      </w:pPr>
      <w:r>
        <w:rPr>
          <w:rFonts w:hint="eastAsia" w:ascii="微软雅黑" w:hAnsi="微软雅黑" w:eastAsia="微软雅黑" w:cs="微软雅黑"/>
          <w:b/>
          <w:bCs/>
          <w:lang w:val="en-US" w:eastAsia="zh-CN"/>
        </w:rPr>
        <w:t>八、</w:t>
      </w:r>
      <w:r>
        <w:rPr>
          <w:rFonts w:hint="eastAsia" w:ascii="微软雅黑" w:hAnsi="微软雅黑" w:eastAsia="微软雅黑" w:cs="微软雅黑"/>
          <w:b/>
          <w:bCs/>
        </w:rPr>
        <w:t>保密条款</w:t>
      </w:r>
    </w:p>
    <w:p w14:paraId="4F60CEBD">
      <w:pPr>
        <w:numPr>
          <w:ilvl w:val="0"/>
          <w:numId w:val="7"/>
        </w:numPr>
        <w:spacing w:line="360" w:lineRule="auto"/>
        <w:rPr>
          <w:rFonts w:hint="eastAsia" w:ascii="微软雅黑" w:hAnsi="微软雅黑" w:eastAsia="微软雅黑" w:cs="微软雅黑"/>
        </w:rPr>
      </w:pPr>
      <w:r>
        <w:rPr>
          <w:rFonts w:hint="eastAsia" w:ascii="微软雅黑" w:hAnsi="微软雅黑" w:eastAsia="微软雅黑" w:cs="微软雅黑"/>
        </w:rPr>
        <w:t>乙方对甲方所委托的</w:t>
      </w:r>
      <w:r>
        <w:rPr>
          <w:rFonts w:hint="eastAsia" w:ascii="微软雅黑" w:hAnsi="微软雅黑" w:eastAsia="微软雅黑" w:cs="微软雅黑"/>
          <w:lang w:val="en-US" w:eastAsia="zh-CN"/>
        </w:rPr>
        <w:t>物料</w:t>
      </w:r>
      <w:r>
        <w:rPr>
          <w:rFonts w:hint="eastAsia" w:ascii="微软雅黑" w:hAnsi="微软雅黑" w:eastAsia="微软雅黑" w:cs="微软雅黑"/>
        </w:rPr>
        <w:t>内容，应负保密义务，非经甲方书面同意，不得私自利用或对外泄露。</w:t>
      </w:r>
    </w:p>
    <w:p w14:paraId="0F5D5FB2">
      <w:pPr>
        <w:numPr>
          <w:ilvl w:val="0"/>
          <w:numId w:val="7"/>
        </w:numPr>
        <w:spacing w:line="360" w:lineRule="auto"/>
        <w:rPr>
          <w:rFonts w:hint="eastAsia" w:ascii="微软雅黑" w:hAnsi="微软雅黑" w:eastAsia="微软雅黑" w:cs="微软雅黑"/>
        </w:rPr>
      </w:pPr>
      <w:r>
        <w:rPr>
          <w:rFonts w:hint="eastAsia" w:ascii="微软雅黑" w:hAnsi="微软雅黑" w:eastAsia="微软雅黑" w:cs="微软雅黑"/>
        </w:rPr>
        <w:t>乙方设计人员应保存甲方提供的一切用于物料的电子文档，但不得擅自提供给任何第三方作任何用途。</w:t>
      </w:r>
    </w:p>
    <w:p w14:paraId="74A86787">
      <w:pPr>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b/>
          <w:bCs/>
          <w:lang w:val="en-US" w:eastAsia="zh-CN"/>
        </w:rPr>
        <w:t>九、</w:t>
      </w:r>
      <w:r>
        <w:rPr>
          <w:rFonts w:hint="eastAsia" w:ascii="微软雅黑" w:hAnsi="微软雅黑" w:eastAsia="微软雅黑" w:cs="微软雅黑"/>
          <w:b/>
          <w:bCs/>
        </w:rPr>
        <w:t>违约责任</w:t>
      </w:r>
    </w:p>
    <w:p w14:paraId="118106BD">
      <w:pPr>
        <w:numPr>
          <w:ilvl w:val="0"/>
          <w:numId w:val="8"/>
        </w:numPr>
        <w:spacing w:line="360" w:lineRule="auto"/>
        <w:rPr>
          <w:rFonts w:hint="eastAsia" w:ascii="微软雅黑" w:hAnsi="微软雅黑" w:eastAsia="微软雅黑" w:cs="微软雅黑"/>
        </w:rPr>
      </w:pPr>
      <w:r>
        <w:rPr>
          <w:rFonts w:hint="eastAsia" w:ascii="微软雅黑" w:hAnsi="微软雅黑" w:eastAsia="微软雅黑" w:cs="微软雅黑"/>
        </w:rPr>
        <w:t>若乙方交付的</w:t>
      </w:r>
      <w:r>
        <w:rPr>
          <w:rFonts w:hint="eastAsia" w:ascii="微软雅黑" w:hAnsi="微软雅黑" w:eastAsia="微软雅黑" w:cs="微软雅黑"/>
          <w:lang w:val="en-US" w:eastAsia="zh-CN"/>
        </w:rPr>
        <w:t>物料</w:t>
      </w:r>
      <w:r>
        <w:rPr>
          <w:rFonts w:hint="eastAsia" w:ascii="微软雅黑" w:hAnsi="微软雅黑" w:eastAsia="微软雅黑" w:cs="微软雅黑"/>
        </w:rPr>
        <w:t>质量、数量有不符合清单内容与合同约定或达不到甲方验收标准，甲方有权拒收，并不予支付乙方本次款项。</w:t>
      </w:r>
    </w:p>
    <w:p w14:paraId="75935842">
      <w:pPr>
        <w:numPr>
          <w:ilvl w:val="0"/>
          <w:numId w:val="8"/>
        </w:numPr>
        <w:spacing w:line="360" w:lineRule="auto"/>
        <w:rPr>
          <w:rFonts w:hint="eastAsia" w:ascii="微软雅黑" w:hAnsi="微软雅黑" w:eastAsia="微软雅黑" w:cs="微软雅黑"/>
        </w:rPr>
      </w:pPr>
      <w:r>
        <w:rPr>
          <w:rFonts w:hint="eastAsia" w:ascii="微软雅黑" w:hAnsi="微软雅黑" w:eastAsia="微软雅黑" w:cs="微软雅黑"/>
        </w:rPr>
        <w:t>乙方未按时向甲方提供物料成品并因乙方原因导致活动未能顺利进行，甲方有权不予支付乙方本次款项，另乙方仍需承担本次制作费30%的违约金。</w:t>
      </w:r>
    </w:p>
    <w:p w14:paraId="5D267C25">
      <w:pPr>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lang w:val="en-US" w:eastAsia="zh-CN"/>
        </w:rPr>
        <w:t>十、</w:t>
      </w:r>
      <w:r>
        <w:rPr>
          <w:rFonts w:hint="eastAsia" w:ascii="微软雅黑" w:hAnsi="微软雅黑" w:eastAsia="微软雅黑" w:cs="微软雅黑"/>
          <w:b/>
        </w:rPr>
        <w:t>其他事项</w:t>
      </w:r>
    </w:p>
    <w:p w14:paraId="76239D29">
      <w:pPr>
        <w:numPr>
          <w:ilvl w:val="0"/>
          <w:numId w:val="9"/>
        </w:numPr>
        <w:spacing w:line="360" w:lineRule="auto"/>
        <w:rPr>
          <w:rFonts w:hint="eastAsia" w:ascii="微软雅黑" w:hAnsi="微软雅黑" w:eastAsia="微软雅黑" w:cs="微软雅黑"/>
          <w:lang w:val="zh-CN"/>
        </w:rPr>
      </w:pPr>
      <w:r>
        <w:rPr>
          <w:rFonts w:hint="eastAsia" w:ascii="微软雅黑" w:hAnsi="微软雅黑" w:eastAsia="微软雅黑" w:cs="微软雅黑"/>
          <w:lang w:val="zh-CN"/>
        </w:rPr>
        <w:t>整体</w:t>
      </w:r>
      <w:r>
        <w:rPr>
          <w:rFonts w:hint="eastAsia" w:ascii="微软雅黑" w:hAnsi="微软雅黑" w:eastAsia="微软雅黑" w:cs="微软雅黑"/>
        </w:rPr>
        <w:t>物料视具体情况而定，</w:t>
      </w:r>
      <w:r>
        <w:rPr>
          <w:rFonts w:hint="eastAsia" w:ascii="微软雅黑" w:hAnsi="微软雅黑" w:eastAsia="微软雅黑" w:cs="微软雅黑"/>
          <w:lang w:val="zh-CN"/>
        </w:rPr>
        <w:t>质保</w:t>
      </w:r>
      <w:r>
        <w:rPr>
          <w:rFonts w:hint="eastAsia" w:ascii="微软雅黑" w:hAnsi="微软雅黑" w:eastAsia="微软雅黑" w:cs="微软雅黑"/>
        </w:rPr>
        <w:t>期为</w:t>
      </w:r>
      <w:r>
        <w:rPr>
          <w:rFonts w:hint="eastAsia" w:ascii="微软雅黑" w:hAnsi="微软雅黑" w:eastAsia="微软雅黑" w:cs="微软雅黑"/>
          <w:u w:val="single"/>
        </w:rPr>
        <w:t>1-3</w:t>
      </w:r>
      <w:r>
        <w:rPr>
          <w:rFonts w:hint="eastAsia" w:ascii="微软雅黑" w:hAnsi="微软雅黑" w:eastAsia="微软雅黑" w:cs="微软雅黑"/>
          <w:lang w:val="zh-CN"/>
        </w:rPr>
        <w:t>个月，（质保期起始时间以乙方交付时间为准，</w:t>
      </w:r>
      <w:r>
        <w:rPr>
          <w:rFonts w:hint="eastAsia" w:ascii="微软雅黑" w:hAnsi="微软雅黑" w:eastAsia="微软雅黑" w:cs="微软雅黑"/>
        </w:rPr>
        <w:t>具体项目质保期以当次制作清单备注为准</w:t>
      </w:r>
      <w:r>
        <w:rPr>
          <w:rFonts w:hint="eastAsia" w:ascii="微软雅黑" w:hAnsi="微软雅黑" w:eastAsia="微软雅黑" w:cs="微软雅黑"/>
          <w:lang w:val="zh-CN"/>
        </w:rPr>
        <w:t>），质保期内因产品自身原因引起的质量问题由乙方</w:t>
      </w:r>
      <w:r>
        <w:rPr>
          <w:rFonts w:hint="eastAsia" w:ascii="微软雅黑" w:hAnsi="微软雅黑" w:eastAsia="微软雅黑" w:cs="微软雅黑"/>
        </w:rPr>
        <w:t>负责</w:t>
      </w:r>
      <w:r>
        <w:rPr>
          <w:rFonts w:hint="eastAsia" w:ascii="微软雅黑" w:hAnsi="微软雅黑" w:eastAsia="微软雅黑" w:cs="微软雅黑"/>
          <w:lang w:val="zh-CN"/>
        </w:rPr>
        <w:t>免费维修；且产生的费用由乙方自行承担；因人为和不可抗拒等因素，由此产生的责任和费用无需乙方承担。</w:t>
      </w:r>
    </w:p>
    <w:p w14:paraId="61B8BC9F">
      <w:pPr>
        <w:numPr>
          <w:ilvl w:val="0"/>
          <w:numId w:val="9"/>
        </w:numPr>
        <w:spacing w:line="360" w:lineRule="auto"/>
        <w:rPr>
          <w:rFonts w:hint="eastAsia" w:ascii="微软雅黑" w:hAnsi="微软雅黑" w:eastAsia="微软雅黑" w:cs="微软雅黑"/>
        </w:rPr>
      </w:pPr>
      <w:r>
        <w:rPr>
          <w:rFonts w:hint="eastAsia" w:ascii="微软雅黑" w:hAnsi="微软雅黑" w:eastAsia="微软雅黑" w:cs="微软雅黑"/>
        </w:rPr>
        <w:t>乙方需提前勘察现场施工环境和安装点位，甲方不承担由此所产生的一切费用。</w:t>
      </w:r>
    </w:p>
    <w:p w14:paraId="57298A1A">
      <w:pPr>
        <w:numPr>
          <w:ilvl w:val="0"/>
          <w:numId w:val="9"/>
        </w:numPr>
        <w:spacing w:line="360" w:lineRule="auto"/>
        <w:rPr>
          <w:rFonts w:hint="eastAsia" w:ascii="微软雅黑" w:hAnsi="微软雅黑" w:eastAsia="微软雅黑" w:cs="微软雅黑"/>
        </w:rPr>
      </w:pPr>
      <w:r>
        <w:rPr>
          <w:rFonts w:hint="eastAsia" w:ascii="微软雅黑" w:hAnsi="微软雅黑" w:eastAsia="微软雅黑" w:cs="微软雅黑"/>
        </w:rPr>
        <w:t>因甲方提供的安装位置不符，造成影响施工进度和安全隐患的，由甲方承担相应修改费用和责任。</w:t>
      </w:r>
    </w:p>
    <w:p w14:paraId="5E9B64B1">
      <w:pPr>
        <w:numPr>
          <w:ilvl w:val="0"/>
          <w:numId w:val="9"/>
        </w:numPr>
        <w:spacing w:line="360" w:lineRule="auto"/>
        <w:rPr>
          <w:rFonts w:hint="eastAsia" w:ascii="微软雅黑" w:hAnsi="微软雅黑" w:eastAsia="微软雅黑" w:cs="微软雅黑"/>
        </w:rPr>
      </w:pPr>
      <w:r>
        <w:rPr>
          <w:rFonts w:hint="eastAsia" w:ascii="微软雅黑" w:hAnsi="微软雅黑" w:eastAsia="微软雅黑" w:cs="微软雅黑"/>
        </w:rPr>
        <w:t>本合同未尽事宜，甲乙双方可另行协商解决，经双方同意后，通过签订书面补充协议的形式约定，补充协议经双方授权代表签字并加盖公章（或合同专用章）后生效。</w:t>
      </w:r>
    </w:p>
    <w:p w14:paraId="58E499FA">
      <w:pPr>
        <w:numPr>
          <w:ilvl w:val="0"/>
          <w:numId w:val="9"/>
        </w:numPr>
        <w:spacing w:line="360" w:lineRule="auto"/>
        <w:rPr>
          <w:rFonts w:hint="eastAsia" w:ascii="微软雅黑" w:hAnsi="微软雅黑" w:eastAsia="微软雅黑" w:cs="微软雅黑"/>
        </w:rPr>
      </w:pPr>
      <w:r>
        <w:rPr>
          <w:rFonts w:hint="eastAsia" w:ascii="微软雅黑" w:hAnsi="微软雅黑" w:eastAsia="微软雅黑" w:cs="微软雅黑"/>
        </w:rPr>
        <w:t>合同签订后，甲乙双方因本合同发生争议，应以协商方式解决；若协商不成，由甲方住所地人民法院诉讼管辖解决纠纷。</w:t>
      </w:r>
    </w:p>
    <w:p w14:paraId="7A533EDD">
      <w:pPr>
        <w:numPr>
          <w:ilvl w:val="0"/>
          <w:numId w:val="9"/>
        </w:numPr>
        <w:spacing w:line="360" w:lineRule="auto"/>
        <w:rPr>
          <w:rFonts w:hint="eastAsia" w:ascii="微软雅黑" w:hAnsi="微软雅黑" w:eastAsia="微软雅黑" w:cs="微软雅黑"/>
        </w:rPr>
      </w:pPr>
      <w:r>
        <w:rPr>
          <w:rFonts w:hint="eastAsia" w:ascii="微软雅黑" w:hAnsi="微软雅黑" w:eastAsia="微软雅黑" w:cs="微软雅黑"/>
        </w:rPr>
        <w:t>本合同自双方授权代表签字并加盖有效公章（或合同专用章）后生效。本合同壹式肆份，甲方叁份乙方壹份，具有同等法律效力。如双方签字日期不一致时，以最后签字方的签字日期为合同的生效日期。</w:t>
      </w:r>
    </w:p>
    <w:p w14:paraId="239D7078">
      <w:pPr>
        <w:spacing w:line="360" w:lineRule="auto"/>
        <w:rPr>
          <w:rFonts w:hint="eastAsia" w:ascii="微软雅黑" w:hAnsi="微软雅黑" w:eastAsia="微软雅黑" w:cs="微软雅黑"/>
        </w:rPr>
      </w:pPr>
    </w:p>
    <w:p w14:paraId="39A100DB">
      <w:pPr>
        <w:spacing w:line="360" w:lineRule="auto"/>
        <w:rPr>
          <w:rFonts w:hint="eastAsia" w:ascii="微软雅黑" w:hAnsi="微软雅黑" w:eastAsia="微软雅黑" w:cs="微软雅黑"/>
          <w:bCs/>
        </w:rPr>
      </w:pPr>
      <w:r>
        <w:rPr>
          <w:rFonts w:hint="eastAsia" w:ascii="微软雅黑" w:hAnsi="微软雅黑" w:eastAsia="微软雅黑" w:cs="微软雅黑"/>
        </w:rPr>
        <w:t>甲方：</w:t>
      </w:r>
      <w:r>
        <w:rPr>
          <w:rFonts w:hint="eastAsia" w:ascii="微软雅黑" w:hAnsi="微软雅黑" w:eastAsia="微软雅黑" w:cs="微软雅黑"/>
          <w:bCs/>
          <w:color w:val="000000"/>
          <w:lang w:val="zh-CN"/>
        </w:rPr>
        <w:t>（签章）</w:t>
      </w:r>
      <w:r>
        <w:rPr>
          <w:rFonts w:hint="eastAsia" w:ascii="微软雅黑" w:hAnsi="微软雅黑" w:eastAsia="微软雅黑" w:cs="微软雅黑"/>
          <w:bCs/>
          <w:color w:val="000000"/>
        </w:rPr>
        <w:t xml:space="preserve">                                </w:t>
      </w:r>
      <w:r>
        <w:rPr>
          <w:rFonts w:hint="eastAsia" w:ascii="微软雅黑" w:hAnsi="微软雅黑" w:eastAsia="微软雅黑" w:cs="微软雅黑"/>
          <w:bCs/>
        </w:rPr>
        <w:t>乙方：（</w:t>
      </w:r>
      <w:r>
        <w:rPr>
          <w:rFonts w:hint="eastAsia" w:ascii="微软雅黑" w:hAnsi="微软雅黑" w:eastAsia="微软雅黑" w:cs="微软雅黑"/>
          <w:bCs/>
          <w:color w:val="000000"/>
          <w:lang w:val="zh-CN"/>
        </w:rPr>
        <w:t>签章</w:t>
      </w:r>
      <w:r>
        <w:rPr>
          <w:rFonts w:hint="eastAsia" w:ascii="微软雅黑" w:hAnsi="微软雅黑" w:eastAsia="微软雅黑" w:cs="微软雅黑"/>
          <w:bCs/>
        </w:rPr>
        <w:t xml:space="preserve">） </w:t>
      </w:r>
    </w:p>
    <w:p w14:paraId="64E16DD2">
      <w:pPr>
        <w:spacing w:line="360" w:lineRule="auto"/>
        <w:rPr>
          <w:rFonts w:hint="eastAsia" w:ascii="微软雅黑" w:hAnsi="微软雅黑" w:eastAsia="微软雅黑" w:cs="微软雅黑"/>
          <w:bCs/>
        </w:rPr>
      </w:pPr>
    </w:p>
    <w:p w14:paraId="2ADA46FF">
      <w:pPr>
        <w:spacing w:line="360" w:lineRule="auto"/>
        <w:rPr>
          <w:rFonts w:hint="eastAsia" w:ascii="微软雅黑" w:hAnsi="微软雅黑" w:eastAsia="微软雅黑" w:cs="微软雅黑"/>
        </w:rPr>
      </w:pPr>
    </w:p>
    <w:p w14:paraId="1F00411A">
      <w:pPr>
        <w:spacing w:line="360" w:lineRule="auto"/>
        <w:rPr>
          <w:rFonts w:hint="eastAsia" w:ascii="微软雅黑" w:hAnsi="微软雅黑" w:eastAsia="微软雅黑" w:cs="微软雅黑"/>
        </w:rPr>
      </w:pPr>
      <w:r>
        <w:rPr>
          <w:rFonts w:hint="eastAsia" w:ascii="微软雅黑" w:hAnsi="微软雅黑" w:eastAsia="微软雅黑" w:cs="微软雅黑"/>
        </w:rPr>
        <w:t>甲方代表：（签字）                            乙方代表：（签字）</w:t>
      </w:r>
    </w:p>
    <w:p w14:paraId="06A49008">
      <w:pPr>
        <w:spacing w:line="360" w:lineRule="auto"/>
        <w:rPr>
          <w:rFonts w:hint="eastAsia" w:ascii="微软雅黑" w:hAnsi="微软雅黑" w:eastAsia="微软雅黑" w:cs="微软雅黑"/>
        </w:rPr>
      </w:pPr>
    </w:p>
    <w:p w14:paraId="5B8867DE">
      <w:pPr>
        <w:spacing w:line="360" w:lineRule="auto"/>
        <w:rPr>
          <w:rFonts w:hint="eastAsia" w:ascii="微软雅黑" w:hAnsi="微软雅黑" w:eastAsia="微软雅黑" w:cs="微软雅黑"/>
        </w:rPr>
      </w:pPr>
      <w:r>
        <w:rPr>
          <w:rFonts w:hint="eastAsia" w:ascii="微软雅黑" w:hAnsi="微软雅黑" w:eastAsia="微软雅黑" w:cs="微软雅黑"/>
        </w:rPr>
        <w:t>日期：    年    月    日                      日期：    年    月    日</w:t>
      </w:r>
    </w:p>
    <w:p w14:paraId="5221BD44">
      <w:pPr>
        <w:widowControl w:val="0"/>
        <w:spacing w:line="360" w:lineRule="auto"/>
        <w:rPr>
          <w:rFonts w:hint="eastAsia" w:ascii="微软雅黑" w:hAnsi="微软雅黑" w:eastAsia="微软雅黑" w:cs="微软雅黑"/>
          <w:b/>
          <w:sz w:val="22"/>
          <w:szCs w:val="22"/>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4109EF1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1079A887">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19"/>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0"/>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0"/>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77F5816"/>
    <w:multiLevelType w:val="singleLevel"/>
    <w:tmpl w:val="A77F5816"/>
    <w:lvl w:ilvl="0" w:tentative="0">
      <w:start w:val="1"/>
      <w:numFmt w:val="decimal"/>
      <w:lvlText w:val="%1."/>
      <w:lvlJc w:val="left"/>
      <w:pPr>
        <w:ind w:left="845" w:hanging="425"/>
      </w:pPr>
      <w:rPr>
        <w:rFonts w:hint="default" w:ascii="微软雅黑" w:hAnsi="微软雅黑" w:eastAsia="微软雅黑" w:cs="微软雅黑"/>
        <w:sz w:val="21"/>
        <w:szCs w:val="21"/>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B3950E46"/>
    <w:multiLevelType w:val="singleLevel"/>
    <w:tmpl w:val="B3950E46"/>
    <w:lvl w:ilvl="0" w:tentative="0">
      <w:start w:val="1"/>
      <w:numFmt w:val="decimal"/>
      <w:lvlText w:val="%1."/>
      <w:lvlJc w:val="left"/>
      <w:pPr>
        <w:ind w:left="845" w:hanging="425"/>
      </w:pPr>
      <w:rPr>
        <w:rFonts w:hint="default"/>
        <w:sz w:val="21"/>
        <w:szCs w:val="21"/>
      </w:rPr>
    </w:lvl>
  </w:abstractNum>
  <w:abstractNum w:abstractNumId="4">
    <w:nsid w:val="3A658CC2"/>
    <w:multiLevelType w:val="singleLevel"/>
    <w:tmpl w:val="3A658CC2"/>
    <w:lvl w:ilvl="0" w:tentative="0">
      <w:start w:val="1"/>
      <w:numFmt w:val="decimal"/>
      <w:lvlText w:val="%1."/>
      <w:lvlJc w:val="left"/>
      <w:pPr>
        <w:ind w:left="845" w:hanging="425"/>
      </w:pPr>
      <w:rPr>
        <w:rFonts w:hint="default"/>
        <w:sz w:val="21"/>
        <w:szCs w:val="21"/>
      </w:rPr>
    </w:lvl>
  </w:abstractNum>
  <w:abstractNum w:abstractNumId="5">
    <w:nsid w:val="3A90D5E6"/>
    <w:multiLevelType w:val="singleLevel"/>
    <w:tmpl w:val="3A90D5E6"/>
    <w:lvl w:ilvl="0" w:tentative="0">
      <w:start w:val="1"/>
      <w:numFmt w:val="decimal"/>
      <w:lvlText w:val="%1."/>
      <w:lvlJc w:val="left"/>
      <w:pPr>
        <w:ind w:left="845" w:hanging="425"/>
      </w:pPr>
      <w:rPr>
        <w:rFonts w:hint="default"/>
      </w:rPr>
    </w:lvl>
  </w:abstractNum>
  <w:abstractNum w:abstractNumId="6">
    <w:nsid w:val="500023F7"/>
    <w:multiLevelType w:val="singleLevel"/>
    <w:tmpl w:val="500023F7"/>
    <w:lvl w:ilvl="0" w:tentative="0">
      <w:start w:val="1"/>
      <w:numFmt w:val="decimal"/>
      <w:lvlText w:val="%1."/>
      <w:lvlJc w:val="left"/>
      <w:pPr>
        <w:ind w:left="845" w:hanging="425"/>
      </w:pPr>
      <w:rPr>
        <w:rFonts w:hint="default"/>
        <w:b w:val="0"/>
        <w:bCs w:val="0"/>
      </w:rPr>
    </w:lvl>
  </w:abstractNum>
  <w:abstractNum w:abstractNumId="7">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8">
    <w:nsid w:val="62FC8E78"/>
    <w:multiLevelType w:val="singleLevel"/>
    <w:tmpl w:val="62FC8E78"/>
    <w:lvl w:ilvl="0" w:tentative="0">
      <w:start w:val="1"/>
      <w:numFmt w:val="decimal"/>
      <w:lvlText w:val="%1."/>
      <w:lvlJc w:val="left"/>
      <w:pPr>
        <w:ind w:left="845" w:hanging="425"/>
      </w:pPr>
      <w:rPr>
        <w:rFonts w:hint="default"/>
        <w:sz w:val="21"/>
        <w:szCs w:val="21"/>
      </w:rPr>
    </w:lvl>
  </w:abstractNum>
  <w:num w:numId="1">
    <w:abstractNumId w:val="0"/>
  </w:num>
  <w:num w:numId="2">
    <w:abstractNumId w:val="2"/>
  </w:num>
  <w:num w:numId="3">
    <w:abstractNumId w:val="7"/>
  </w:num>
  <w:num w:numId="4">
    <w:abstractNumId w:val="6"/>
  </w:num>
  <w:num w:numId="5">
    <w:abstractNumId w:val="5"/>
  </w:num>
  <w:num w:numId="6">
    <w:abstractNumId w:val="8"/>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A81E16"/>
    <w:rsid w:val="04624686"/>
    <w:rsid w:val="06905732"/>
    <w:rsid w:val="06BE6445"/>
    <w:rsid w:val="079965CF"/>
    <w:rsid w:val="08017F69"/>
    <w:rsid w:val="0A032C14"/>
    <w:rsid w:val="0CA82AC4"/>
    <w:rsid w:val="0E4B63E2"/>
    <w:rsid w:val="10AE6120"/>
    <w:rsid w:val="11437FDD"/>
    <w:rsid w:val="11A83E70"/>
    <w:rsid w:val="125A061E"/>
    <w:rsid w:val="148B75BC"/>
    <w:rsid w:val="168460D8"/>
    <w:rsid w:val="18E53BF9"/>
    <w:rsid w:val="1BE3639A"/>
    <w:rsid w:val="209357F1"/>
    <w:rsid w:val="2145625A"/>
    <w:rsid w:val="216D64F7"/>
    <w:rsid w:val="25577F9C"/>
    <w:rsid w:val="2B8101D0"/>
    <w:rsid w:val="2DC10CE8"/>
    <w:rsid w:val="2E4C209F"/>
    <w:rsid w:val="2F565974"/>
    <w:rsid w:val="305D2645"/>
    <w:rsid w:val="326170DF"/>
    <w:rsid w:val="340C668B"/>
    <w:rsid w:val="361E5019"/>
    <w:rsid w:val="366C4B34"/>
    <w:rsid w:val="36C86A94"/>
    <w:rsid w:val="36E65E62"/>
    <w:rsid w:val="37210FC5"/>
    <w:rsid w:val="382F4FD4"/>
    <w:rsid w:val="38B05B5E"/>
    <w:rsid w:val="3C472D40"/>
    <w:rsid w:val="3CF04064"/>
    <w:rsid w:val="3CFD60B9"/>
    <w:rsid w:val="3FC01F63"/>
    <w:rsid w:val="3FF200B1"/>
    <w:rsid w:val="40D519B8"/>
    <w:rsid w:val="44FF48D5"/>
    <w:rsid w:val="4683508A"/>
    <w:rsid w:val="48001BCB"/>
    <w:rsid w:val="4F8537C2"/>
    <w:rsid w:val="514E2DFA"/>
    <w:rsid w:val="5293715D"/>
    <w:rsid w:val="52A32E2E"/>
    <w:rsid w:val="55A726C6"/>
    <w:rsid w:val="560D6CEF"/>
    <w:rsid w:val="570A2FAA"/>
    <w:rsid w:val="571961BE"/>
    <w:rsid w:val="5D0A433A"/>
    <w:rsid w:val="5DDA2B31"/>
    <w:rsid w:val="5F2C5568"/>
    <w:rsid w:val="5F2E65C5"/>
    <w:rsid w:val="60256EF4"/>
    <w:rsid w:val="67020EA5"/>
    <w:rsid w:val="684856D7"/>
    <w:rsid w:val="69A668E3"/>
    <w:rsid w:val="6DDB2AEC"/>
    <w:rsid w:val="6FC10021"/>
    <w:rsid w:val="70052532"/>
    <w:rsid w:val="70660DD2"/>
    <w:rsid w:val="7C3A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19</Pages>
  <Words>3936</Words>
  <Characters>4019</Characters>
  <Lines>203</Lines>
  <Paragraphs>224</Paragraphs>
  <TotalTime>5</TotalTime>
  <ScaleCrop>false</ScaleCrop>
  <LinksUpToDate>false</LinksUpToDate>
  <CharactersWithSpaces>4555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2024-01-30T08:05:00Z</cp:lastPrinted>
  <dcterms:modified xsi:type="dcterms:W3CDTF">2025-06-06T03:10:23Z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21BBCDFA081541BCB5939E3D6D514BBF_13</vt:lpwstr>
  </property>
  <property fmtid="{D5CDD505-2E9C-101B-9397-08002B2CF9AE}" pid="4" name="KSOTemplateDocerSaveRecord">
    <vt:lpwstr>eyJoZGlkIjoiMGY4NmEyYTc0OWQ0YWViZjA3MDM2M2ZiMWQ0YzgyN2IiLCJ1c2VySWQiOiIyNjk4NTIxMzEifQ==</vt:lpwstr>
  </property>
</Properties>
</file>