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lang w:val="zh-CN"/>
        </w:rPr>
      </w:sdtEndPr>
      <w:sdtContent>
        <w:p w14:paraId="3EC20F31">
          <w:pPr>
            <w:spacing w:line="360" w:lineRule="auto"/>
            <w:jc w:val="center"/>
            <w:rPr>
              <w:rFonts w:ascii="Arial" w:hAnsi="Arial" w:eastAsia="黑体"/>
              <w:b/>
              <w:sz w:val="72"/>
              <w:szCs w:val="72"/>
            </w:rPr>
          </w:pPr>
          <w:bookmarkStart w:id="33" w:name="_GoBack"/>
          <w:bookmarkStart w:id="0" w:name="_Toc245092759"/>
          <w:bookmarkStart w:id="1" w:name="_Toc328559326"/>
          <w:bookmarkStart w:id="2" w:name="_Toc273602339"/>
          <w:r>
            <w:rPr>
              <w:rFonts w:hint="eastAsia" w:eastAsia="黑体"/>
              <w:b/>
              <w:bCs/>
              <w:sz w:val="56"/>
              <w:szCs w:val="56"/>
              <w:lang w:eastAsia="zh-CN"/>
            </w:rPr>
            <w:t>城市更新珺玺中心项目示范区包装</w:t>
          </w:r>
          <w:r>
            <w:rPr>
              <w:rFonts w:eastAsia="黑体"/>
              <w:sz w:val="144"/>
              <w:szCs w:val="28"/>
            </w:rPr>
            <w:tab/>
          </w:r>
        </w:p>
        <w:p w14:paraId="2432D4C0">
          <w:pPr>
            <w:adjustRightInd w:val="0"/>
            <w:snapToGrid w:val="0"/>
            <w:spacing w:before="48" w:beforeLines="20" w:after="48" w:afterLines="20" w:line="360" w:lineRule="auto"/>
            <w:jc w:val="center"/>
            <w:rPr>
              <w:rFonts w:hint="eastAsia" w:ascii="宋体" w:hAnsi="宋体"/>
              <w:b/>
              <w:bCs/>
              <w:sz w:val="72"/>
              <w:szCs w:val="72"/>
            </w:rPr>
          </w:pPr>
        </w:p>
        <w:p w14:paraId="48D83196">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招</w:t>
          </w:r>
        </w:p>
        <w:p w14:paraId="45385C1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469C809">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3AA14135">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件</w:t>
          </w:r>
        </w:p>
        <w:p w14:paraId="16F4AD48">
          <w:pPr>
            <w:pStyle w:val="27"/>
            <w:spacing w:line="360" w:lineRule="auto"/>
            <w:rPr>
              <w:rFonts w:hint="eastAsia" w:ascii="宋体" w:hAnsi="宋体"/>
              <w:b/>
              <w:sz w:val="30"/>
              <w:szCs w:val="30"/>
            </w:rPr>
          </w:pPr>
        </w:p>
        <w:p w14:paraId="174B289F">
          <w:pPr>
            <w:pStyle w:val="27"/>
            <w:spacing w:line="360" w:lineRule="auto"/>
            <w:rPr>
              <w:rFonts w:hint="eastAsia" w:ascii="宋体" w:hAnsi="宋体"/>
              <w:b/>
              <w:sz w:val="30"/>
              <w:szCs w:val="30"/>
            </w:rPr>
          </w:pPr>
        </w:p>
        <w:p w14:paraId="5E31F66F">
          <w:pPr>
            <w:adjustRightInd w:val="0"/>
            <w:snapToGrid w:val="0"/>
            <w:spacing w:before="48" w:beforeLines="20" w:after="48" w:afterLines="20" w:line="360" w:lineRule="auto"/>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7749C96A">
          <w:pPr>
            <w:tabs>
              <w:tab w:val="left" w:pos="420"/>
              <w:tab w:val="left" w:pos="4200"/>
            </w:tabs>
            <w:spacing w:line="360" w:lineRule="auto"/>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七</w:t>
          </w:r>
          <w:r>
            <w:rPr>
              <w:rFonts w:ascii="宋体" w:hAnsi="宋体"/>
              <w:bCs/>
              <w:sz w:val="36"/>
            </w:rPr>
            <w:t>月</w:t>
          </w:r>
        </w:p>
        <w:p w14:paraId="55575583">
          <w:pPr>
            <w:tabs>
              <w:tab w:val="left" w:pos="4620"/>
            </w:tabs>
            <w:spacing w:line="360" w:lineRule="auto"/>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bookmarkStart w:id="5" w:name="_Hlk156310076"/>
      <w:bookmarkStart w:id="6" w:name="_Toc157065227"/>
      <w:r>
        <w:rPr>
          <w:rFonts w:hint="eastAsia" w:ascii="微软雅黑" w:hAnsi="微软雅黑" w:eastAsia="微软雅黑" w:cs="微软雅黑"/>
          <w:color w:val="000000"/>
          <w:sz w:val="24"/>
          <w:szCs w:val="24"/>
          <w:lang w:val="zh-CN"/>
        </w:rPr>
        <w:t>合肥市包河区城市更新建设有限公司</w:t>
      </w:r>
      <w:bookmarkEnd w:id="5"/>
      <w:r>
        <w:rPr>
          <w:rFonts w:hint="eastAsia" w:ascii="微软雅黑" w:hAnsi="微软雅黑" w:eastAsia="微软雅黑" w:cs="微软雅黑"/>
          <w:color w:val="000000"/>
          <w:sz w:val="24"/>
          <w:szCs w:val="24"/>
          <w:lang w:val="zh-CN"/>
        </w:rPr>
        <w:t>对</w:t>
      </w:r>
      <w:r>
        <w:rPr>
          <w:rFonts w:hint="eastAsia" w:ascii="微软雅黑" w:hAnsi="微软雅黑" w:eastAsia="微软雅黑" w:cs="微软雅黑"/>
          <w:b/>
          <w:bCs/>
          <w:color w:val="000000"/>
          <w:sz w:val="24"/>
          <w:szCs w:val="24"/>
          <w:u w:val="single"/>
          <w:lang w:val="zh-CN"/>
        </w:rPr>
        <w:t>“城市更新珺玺中心项目示范区包装”</w:t>
      </w:r>
      <w:r>
        <w:rPr>
          <w:rFonts w:hint="eastAsia" w:ascii="微软雅黑" w:hAnsi="微软雅黑" w:eastAsia="微软雅黑" w:cs="微软雅黑"/>
          <w:color w:val="000000"/>
          <w:sz w:val="24"/>
          <w:szCs w:val="24"/>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26438B3">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 xml:space="preserve">第一章 </w:t>
      </w:r>
      <w:bookmarkEnd w:id="0"/>
      <w:bookmarkEnd w:id="1"/>
      <w:bookmarkEnd w:id="2"/>
      <w:r>
        <w:rPr>
          <w:rFonts w:hint="eastAsia" w:ascii="微软雅黑" w:hAnsi="微软雅黑" w:eastAsia="微软雅黑" w:cs="微软雅黑"/>
          <w:b/>
          <w:bCs/>
          <w:color w:val="000000"/>
          <w:sz w:val="36"/>
          <w:szCs w:val="36"/>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一、项目名称及</w:t>
      </w:r>
      <w:r>
        <w:rPr>
          <w:rFonts w:hint="eastAsia" w:ascii="微软雅黑" w:hAnsi="微软雅黑" w:eastAsia="微软雅黑" w:cs="微软雅黑"/>
          <w:b/>
          <w:color w:val="000000"/>
          <w:sz w:val="32"/>
          <w:szCs w:val="32"/>
        </w:rPr>
        <w:t>需求</w:t>
      </w:r>
      <w:r>
        <w:rPr>
          <w:rFonts w:hint="eastAsia" w:ascii="微软雅黑" w:hAnsi="微软雅黑" w:eastAsia="微软雅黑" w:cs="微软雅黑"/>
          <w:b/>
          <w:color w:val="000000"/>
          <w:sz w:val="32"/>
          <w:szCs w:val="32"/>
          <w:lang w:val="zh-CN"/>
        </w:rPr>
        <w:t>：</w:t>
      </w:r>
    </w:p>
    <w:p w14:paraId="2E2399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1、项目名称：城市更新珺玺中心项目示范区包装；</w:t>
      </w:r>
    </w:p>
    <w:p w14:paraId="75C0B60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2、项目概算（招标控制价）：</w:t>
      </w:r>
      <w:r>
        <w:rPr>
          <w:rFonts w:hint="eastAsia" w:ascii="微软雅黑" w:hAnsi="微软雅黑" w:eastAsia="微软雅黑" w:cs="微软雅黑"/>
          <w:color w:val="000000"/>
          <w:sz w:val="24"/>
          <w:szCs w:val="24"/>
          <w:highlight w:val="none"/>
          <w:lang w:val="en-US" w:eastAsia="zh-CN"/>
        </w:rPr>
        <w:t>4.0</w:t>
      </w:r>
      <w:r>
        <w:rPr>
          <w:rFonts w:hint="eastAsia" w:ascii="微软雅黑" w:hAnsi="微软雅黑" w:eastAsia="微软雅黑" w:cs="微软雅黑"/>
          <w:color w:val="000000"/>
          <w:sz w:val="24"/>
          <w:szCs w:val="24"/>
          <w:highlight w:val="none"/>
          <w:lang w:val="zh-CN"/>
        </w:rPr>
        <w:t>万</w:t>
      </w:r>
      <w:r>
        <w:rPr>
          <w:rFonts w:hint="eastAsia" w:ascii="微软雅黑" w:hAnsi="微软雅黑" w:eastAsia="微软雅黑" w:cs="微软雅黑"/>
          <w:color w:val="000000"/>
          <w:sz w:val="24"/>
          <w:szCs w:val="24"/>
          <w:highlight w:val="none"/>
          <w:lang w:val="en-US" w:eastAsia="zh-CN"/>
        </w:rPr>
        <w:t>元</w:t>
      </w:r>
      <w:r>
        <w:rPr>
          <w:rFonts w:hint="eastAsia" w:ascii="微软雅黑" w:hAnsi="微软雅黑" w:eastAsia="微软雅黑" w:cs="微软雅黑"/>
          <w:color w:val="000000"/>
          <w:sz w:val="24"/>
          <w:szCs w:val="24"/>
          <w:highlight w:val="none"/>
          <w:lang w:val="zh-CN"/>
        </w:rPr>
        <w:t>（含税）；</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3、招标方式：公开招标。</w:t>
      </w: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二、投标人资格条件</w:t>
      </w:r>
    </w:p>
    <w:p w14:paraId="595ACCC1">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3B5C934D">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投标人的法定代表人或负责人为同一人，存在控股、管理关系的不同投标人，不得参加同一标包投标或者未划分标包的同一招标项目投标。</w:t>
      </w:r>
    </w:p>
    <w:p w14:paraId="5959B17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投标人具有独立承担民事责任的能力；</w:t>
      </w:r>
    </w:p>
    <w:p w14:paraId="17D410C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投标人资质要求：具有有效的营业执照</w:t>
      </w:r>
      <w:r>
        <w:rPr>
          <w:rFonts w:hint="eastAsia" w:ascii="微软雅黑" w:hAnsi="微软雅黑" w:eastAsia="微软雅黑" w:cs="微软雅黑"/>
          <w:color w:val="000000"/>
          <w:sz w:val="24"/>
          <w:szCs w:val="24"/>
          <w:highlight w:val="none"/>
          <w:lang w:val="zh-CN" w:eastAsia="zh-CN"/>
        </w:rPr>
        <w:t>，营业执照经营范围应包含广告制作</w:t>
      </w:r>
      <w:r>
        <w:rPr>
          <w:rFonts w:hint="eastAsia" w:ascii="微软雅黑" w:hAnsi="微软雅黑" w:eastAsia="微软雅黑" w:cs="微软雅黑"/>
          <w:color w:val="000000"/>
          <w:sz w:val="24"/>
          <w:szCs w:val="24"/>
          <w:highlight w:val="none"/>
          <w:lang w:val="zh-CN" w:eastAsia="zh-CN"/>
        </w:rPr>
        <w:t>等与招标项目相关的业务许可。投标人须提供</w:t>
      </w:r>
      <w:r>
        <w:rPr>
          <w:rFonts w:hint="eastAsia" w:ascii="微软雅黑" w:hAnsi="微软雅黑" w:eastAsia="微软雅黑" w:cs="微软雅黑"/>
          <w:color w:val="000000"/>
          <w:sz w:val="24"/>
          <w:szCs w:val="24"/>
          <w:highlight w:val="none"/>
          <w:lang w:val="en-US" w:eastAsia="zh-CN"/>
        </w:rPr>
        <w:t>三份同类业绩证明（</w:t>
      </w:r>
      <w:r>
        <w:rPr>
          <w:rFonts w:hint="eastAsia" w:ascii="微软雅黑" w:hAnsi="微软雅黑" w:eastAsia="微软雅黑" w:cs="微软雅黑"/>
          <w:color w:val="000000"/>
          <w:sz w:val="24"/>
          <w:szCs w:val="24"/>
          <w:highlight w:val="none"/>
          <w:lang w:val="zh-CN" w:eastAsia="zh-CN"/>
        </w:rPr>
        <w:t>自2022年1月1日起与不同</w:t>
      </w:r>
      <w:r>
        <w:rPr>
          <w:rFonts w:hint="eastAsia" w:ascii="微软雅黑" w:hAnsi="微软雅黑" w:eastAsia="微软雅黑" w:cs="微软雅黑"/>
          <w:color w:val="000000"/>
          <w:sz w:val="24"/>
          <w:szCs w:val="24"/>
          <w:highlight w:val="none"/>
          <w:lang w:val="en-US" w:eastAsia="zh-CN"/>
        </w:rPr>
        <w:t>公司</w:t>
      </w:r>
      <w:r>
        <w:rPr>
          <w:rFonts w:hint="eastAsia" w:ascii="微软雅黑" w:hAnsi="微软雅黑" w:eastAsia="微软雅黑" w:cs="微软雅黑"/>
          <w:color w:val="000000"/>
          <w:sz w:val="24"/>
          <w:szCs w:val="24"/>
          <w:highlight w:val="none"/>
          <w:lang w:val="zh-CN" w:eastAsia="zh-CN"/>
        </w:rPr>
        <w:t>签订的至少3份</w:t>
      </w:r>
      <w:r>
        <w:rPr>
          <w:rFonts w:hint="eastAsia" w:ascii="微软雅黑" w:hAnsi="微软雅黑" w:eastAsia="微软雅黑" w:cs="微软雅黑"/>
          <w:color w:val="000000"/>
          <w:sz w:val="24"/>
          <w:szCs w:val="24"/>
          <w:highlight w:val="none"/>
          <w:lang w:val="en-US" w:eastAsia="zh-CN"/>
        </w:rPr>
        <w:t>同类业绩</w:t>
      </w:r>
      <w:r>
        <w:rPr>
          <w:rFonts w:hint="eastAsia" w:ascii="微软雅黑" w:hAnsi="微软雅黑" w:eastAsia="微软雅黑" w:cs="微软雅黑"/>
          <w:color w:val="000000"/>
          <w:sz w:val="24"/>
          <w:szCs w:val="24"/>
          <w:highlight w:val="none"/>
          <w:lang w:val="zh-CN" w:eastAsia="zh-CN"/>
        </w:rPr>
        <w:t>合同）。</w:t>
      </w:r>
    </w:p>
    <w:p w14:paraId="6567072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本项目不接受联合体投标。</w:t>
      </w:r>
    </w:p>
    <w:p w14:paraId="1E59F238">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投标人不得存在以下不良信用记录情形：</w:t>
      </w:r>
    </w:p>
    <w:p w14:paraId="30E8215F">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被责令停产停业，暂扣或者吊销许可证，暂扣或者吊销执照；</w:t>
      </w:r>
    </w:p>
    <w:p w14:paraId="5AB5205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进入清算程序，或被宣告破产，或其他丧失履约能力的情形；</w:t>
      </w:r>
    </w:p>
    <w:p w14:paraId="0B737443">
      <w:pPr>
        <w:pStyle w:val="23"/>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在国家企业信用信息公示系统（http://www.gsxt.gov.cn/）中被列入严重违法失信企业名单；</w:t>
      </w:r>
    </w:p>
    <w:p w14:paraId="4BE8B825">
      <w:pPr>
        <w:pStyle w:val="23"/>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在“信用中国”网站（http://www.creditchina.gov.cn/）中被列入失信被执行人名单；</w:t>
      </w:r>
    </w:p>
    <w:p w14:paraId="3833405A">
      <w:pPr>
        <w:pStyle w:val="23"/>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在“信用中国”网站（http://www.creditchina.gov.cn/）中被列入重大税收违法失信主体名单；</w:t>
      </w:r>
    </w:p>
    <w:p w14:paraId="3C77BDEA">
      <w:pPr>
        <w:pStyle w:val="23"/>
        <w:numPr>
          <w:ilvl w:val="0"/>
          <w:numId w:val="2"/>
        </w:numPr>
        <w:ind w:firstLineChars="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highlight w:val="none"/>
          <w:lang w:val="zh-CN" w:eastAsia="zh-CN" w:bidi="ar-SA"/>
        </w:rPr>
        <w:t>在近三年内投标人或其法定代表人（单位负责人）有行贿犯罪行为的；</w:t>
      </w: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2、</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lang w:val="zh-CN"/>
        </w:rPr>
        <w:t>经询价小组评审符合询价文件规定条件的有效投标人如低于三家，则本次招标流标（另行重新组织询价）；</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3、询价小组对报价文件进行审核，经审核后按照投标报价由低到高依次排序，最低价者中标，若中标方因自身原因无法继续履行合同，其余投标方按报价从低到高依次递补。</w:t>
      </w: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1、</w:t>
      </w:r>
      <w:r>
        <w:rPr>
          <w:rFonts w:hint="eastAsia" w:ascii="微软雅黑" w:hAnsi="微软雅黑" w:eastAsia="微软雅黑" w:cs="微软雅黑"/>
          <w:b/>
          <w:bCs/>
          <w:color w:val="000000"/>
          <w:sz w:val="24"/>
          <w:szCs w:val="24"/>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附件3：投标人信用承诺函 加盖公章；</w:t>
      </w:r>
    </w:p>
    <w:p w14:paraId="66B23416">
      <w:pPr>
        <w:autoSpaceDE w:val="0"/>
        <w:autoSpaceDN w:val="0"/>
        <w:adjustRightInd w:val="0"/>
        <w:spacing w:after="0" w:line="360" w:lineRule="auto"/>
        <w:ind w:firstLine="480" w:firstLineChars="200"/>
        <w:jc w:val="both"/>
        <w:rPr>
          <w:rFonts w:hint="default"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附件4：资质证明文件（营业执照等）、</w:t>
      </w:r>
      <w:r>
        <w:rPr>
          <w:rFonts w:hint="eastAsia" w:ascii="微软雅黑" w:hAnsi="微软雅黑" w:eastAsia="微软雅黑" w:cs="微软雅黑"/>
          <w:color w:val="000000"/>
          <w:sz w:val="24"/>
          <w:szCs w:val="24"/>
          <w:highlight w:val="none"/>
          <w:lang w:val="en-US" w:eastAsia="zh-CN"/>
        </w:rPr>
        <w:t>业绩证明（</w:t>
      </w:r>
      <w:r>
        <w:rPr>
          <w:rFonts w:hint="eastAsia" w:ascii="微软雅黑" w:hAnsi="微软雅黑" w:eastAsia="微软雅黑" w:cs="微软雅黑"/>
          <w:color w:val="000000"/>
          <w:sz w:val="24"/>
          <w:szCs w:val="24"/>
          <w:highlight w:val="none"/>
          <w:lang w:val="zh-CN" w:eastAsia="zh-CN"/>
        </w:rPr>
        <w:t>自2022年1月1日起与不同</w:t>
      </w:r>
      <w:r>
        <w:rPr>
          <w:rFonts w:hint="eastAsia" w:ascii="微软雅黑" w:hAnsi="微软雅黑" w:eastAsia="微软雅黑" w:cs="微软雅黑"/>
          <w:color w:val="000000"/>
          <w:sz w:val="24"/>
          <w:szCs w:val="24"/>
          <w:highlight w:val="none"/>
          <w:lang w:val="en-US" w:eastAsia="zh-CN"/>
        </w:rPr>
        <w:t>公司</w:t>
      </w:r>
      <w:r>
        <w:rPr>
          <w:rFonts w:hint="eastAsia" w:ascii="微软雅黑" w:hAnsi="微软雅黑" w:eastAsia="微软雅黑" w:cs="微软雅黑"/>
          <w:color w:val="000000"/>
          <w:sz w:val="24"/>
          <w:szCs w:val="24"/>
          <w:highlight w:val="none"/>
          <w:lang w:val="zh-CN" w:eastAsia="zh-CN"/>
        </w:rPr>
        <w:t>签订的至少3份</w:t>
      </w:r>
      <w:r>
        <w:rPr>
          <w:rFonts w:hint="eastAsia" w:ascii="微软雅黑" w:hAnsi="微软雅黑" w:eastAsia="微软雅黑" w:cs="微软雅黑"/>
          <w:color w:val="000000"/>
          <w:sz w:val="24"/>
          <w:szCs w:val="24"/>
          <w:highlight w:val="none"/>
          <w:lang w:val="en-US" w:eastAsia="zh-CN"/>
        </w:rPr>
        <w:t>同类业绩</w:t>
      </w:r>
      <w:r>
        <w:rPr>
          <w:rFonts w:hint="eastAsia" w:ascii="微软雅黑" w:hAnsi="微软雅黑" w:eastAsia="微软雅黑" w:cs="微软雅黑"/>
          <w:color w:val="000000"/>
          <w:sz w:val="24"/>
          <w:szCs w:val="24"/>
          <w:highlight w:val="none"/>
          <w:lang w:val="zh-CN" w:eastAsia="zh-CN"/>
        </w:rPr>
        <w:t>合同）</w:t>
      </w:r>
      <w:r>
        <w:rPr>
          <w:rFonts w:hint="eastAsia" w:ascii="微软雅黑" w:hAnsi="微软雅黑" w:eastAsia="微软雅黑" w:cs="微软雅黑"/>
          <w:color w:val="000000"/>
          <w:sz w:val="24"/>
          <w:szCs w:val="24"/>
          <w:highlight w:val="none"/>
          <w:lang w:val="zh-CN"/>
        </w:rPr>
        <w:t xml:space="preserve"> 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2、</w:t>
      </w:r>
      <w:r>
        <w:rPr>
          <w:rFonts w:hint="eastAsia" w:ascii="微软雅黑" w:hAnsi="微软雅黑" w:eastAsia="微软雅黑" w:cs="微软雅黑"/>
          <w:b/>
          <w:bCs/>
          <w:color w:val="000000"/>
          <w:sz w:val="24"/>
          <w:szCs w:val="24"/>
          <w:lang w:val="zh-CN"/>
        </w:rPr>
        <w:t>投标报价</w:t>
      </w:r>
    </w:p>
    <w:p w14:paraId="047866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w:t>
      </w:r>
      <w:r>
        <w:rPr>
          <w:rFonts w:hint="eastAsia" w:ascii="微软雅黑" w:hAnsi="微软雅黑" w:eastAsia="微软雅黑" w:cs="微软雅黑"/>
          <w:color w:val="000000"/>
          <w:sz w:val="24"/>
          <w:szCs w:val="24"/>
          <w:lang w:val="en-US" w:eastAsia="zh-CN"/>
        </w:rPr>
        <w:t>1</w:t>
      </w:r>
      <w:r>
        <w:rPr>
          <w:rFonts w:hint="eastAsia" w:ascii="微软雅黑" w:hAnsi="微软雅黑" w:eastAsia="微软雅黑" w:cs="微软雅黑"/>
          <w:color w:val="000000"/>
          <w:sz w:val="24"/>
          <w:szCs w:val="24"/>
          <w:lang w:val="zh-CN"/>
        </w:rPr>
        <w:t>：投标报价</w:t>
      </w:r>
      <w:r>
        <w:rPr>
          <w:rFonts w:hint="eastAsia" w:ascii="微软雅黑" w:hAnsi="微软雅黑" w:eastAsia="微软雅黑" w:cs="微软雅黑"/>
          <w:color w:val="000000"/>
          <w:sz w:val="24"/>
          <w:szCs w:val="24"/>
          <w:lang w:val="en-US" w:eastAsia="zh-CN"/>
        </w:rPr>
        <w:t xml:space="preserve">函 </w:t>
      </w:r>
      <w:r>
        <w:rPr>
          <w:rFonts w:hint="eastAsia" w:ascii="微软雅黑" w:hAnsi="微软雅黑" w:eastAsia="微软雅黑" w:cs="微软雅黑"/>
          <w:color w:val="000000"/>
          <w:sz w:val="24"/>
          <w:szCs w:val="24"/>
          <w:lang w:val="zh-CN"/>
        </w:rPr>
        <w:t>加盖公章。</w:t>
      </w:r>
    </w:p>
    <w:p w14:paraId="5BC9BB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w:t>
      </w:r>
      <w:r>
        <w:rPr>
          <w:rFonts w:hint="eastAsia" w:ascii="微软雅黑" w:hAnsi="微软雅黑" w:eastAsia="微软雅黑" w:cs="微软雅黑"/>
          <w:color w:val="000000"/>
          <w:sz w:val="24"/>
          <w:szCs w:val="24"/>
          <w:lang w:val="en-US" w:eastAsia="zh-CN"/>
        </w:rPr>
        <w:t>2</w:t>
      </w:r>
      <w:r>
        <w:rPr>
          <w:rFonts w:hint="eastAsia" w:ascii="微软雅黑" w:hAnsi="微软雅黑" w:eastAsia="微软雅黑" w:cs="微软雅黑"/>
          <w:color w:val="000000"/>
          <w:sz w:val="24"/>
          <w:szCs w:val="24"/>
          <w:lang w:val="zh-CN"/>
        </w:rPr>
        <w:t>：投标报价</w:t>
      </w:r>
      <w:r>
        <w:rPr>
          <w:rFonts w:hint="eastAsia" w:ascii="微软雅黑" w:hAnsi="微软雅黑" w:eastAsia="微软雅黑" w:cs="微软雅黑"/>
          <w:color w:val="000000"/>
          <w:sz w:val="24"/>
          <w:szCs w:val="24"/>
          <w:lang w:val="en-US" w:eastAsia="zh-CN"/>
        </w:rPr>
        <w:t xml:space="preserve">单 </w:t>
      </w:r>
      <w:r>
        <w:rPr>
          <w:rFonts w:hint="eastAsia" w:ascii="微软雅黑" w:hAnsi="微软雅黑" w:eastAsia="微软雅黑" w:cs="微软雅黑"/>
          <w:color w:val="000000"/>
          <w:sz w:val="24"/>
          <w:szCs w:val="24"/>
          <w:lang w:val="zh-CN"/>
        </w:rPr>
        <w:t>加盖公章。</w:t>
      </w: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3、</w:t>
      </w:r>
      <w:r>
        <w:rPr>
          <w:rFonts w:hint="eastAsia" w:ascii="微软雅黑" w:hAnsi="微软雅黑" w:eastAsia="微软雅黑" w:cs="微软雅黑"/>
          <w:b/>
          <w:bCs/>
          <w:color w:val="000000"/>
          <w:sz w:val="24"/>
          <w:szCs w:val="24"/>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投标人应按本招标文件“招投标日程表”规定的时间、地点，向招标人密封盖章提交投标文件，于</w:t>
      </w:r>
      <w:r>
        <w:rPr>
          <w:rFonts w:hint="eastAsia" w:ascii="微软雅黑" w:hAnsi="微软雅黑" w:eastAsia="微软雅黑" w:cs="微软雅黑"/>
          <w:color w:val="000000"/>
          <w:sz w:val="24"/>
          <w:szCs w:val="24"/>
          <w:highlight w:val="none"/>
          <w:lang w:val="en-US" w:eastAsia="zh-CN"/>
        </w:rPr>
        <w:t>7</w:t>
      </w:r>
      <w:r>
        <w:rPr>
          <w:rFonts w:hint="eastAsia" w:ascii="微软雅黑" w:hAnsi="微软雅黑" w:eastAsia="微软雅黑" w:cs="微软雅黑"/>
          <w:color w:val="000000"/>
          <w:sz w:val="24"/>
          <w:szCs w:val="24"/>
          <w:highlight w:val="none"/>
          <w:lang w:val="zh-CN"/>
        </w:rPr>
        <w:t>月</w:t>
      </w:r>
      <w:r>
        <w:rPr>
          <w:rFonts w:hint="eastAsia" w:ascii="微软雅黑" w:hAnsi="微软雅黑" w:eastAsia="微软雅黑" w:cs="微软雅黑"/>
          <w:color w:val="000000"/>
          <w:sz w:val="24"/>
          <w:szCs w:val="24"/>
          <w:highlight w:val="none"/>
          <w:lang w:val="en-US" w:eastAsia="zh-CN"/>
        </w:rPr>
        <w:t>28</w:t>
      </w:r>
      <w:r>
        <w:rPr>
          <w:rFonts w:hint="eastAsia" w:ascii="微软雅黑" w:hAnsi="微软雅黑" w:eastAsia="微软雅黑" w:cs="微软雅黑"/>
          <w:color w:val="000000"/>
          <w:sz w:val="24"/>
          <w:szCs w:val="24"/>
          <w:highlight w:val="none"/>
          <w:lang w:val="zh-CN"/>
        </w:rPr>
        <w:t>日11时</w:t>
      </w:r>
      <w:r>
        <w:rPr>
          <w:rFonts w:hint="eastAsia" w:ascii="微软雅黑" w:hAnsi="微软雅黑" w:eastAsia="微软雅黑" w:cs="微软雅黑"/>
          <w:color w:val="000000"/>
          <w:sz w:val="24"/>
          <w:szCs w:val="24"/>
          <w:highlight w:val="none"/>
          <w:lang w:val="zh-CN"/>
        </w:rPr>
        <w:t>前送至合肥市包河区城市更新建设有限公司，地址：合肥市包河区徽州大道1388号401。</w:t>
      </w:r>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rPr>
        <w:t>联系人：</w:t>
      </w:r>
      <w:r>
        <w:rPr>
          <w:rFonts w:hint="eastAsia" w:ascii="微软雅黑" w:hAnsi="微软雅黑" w:eastAsia="微软雅黑" w:cs="微软雅黑"/>
          <w:color w:val="000000"/>
          <w:sz w:val="24"/>
          <w:szCs w:val="24"/>
          <w:highlight w:val="none"/>
          <w:lang w:val="en-US" w:eastAsia="zh-CN"/>
        </w:rPr>
        <w:t>费思远</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报名热线：0551-63456711</w:t>
      </w:r>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4、</w:t>
      </w:r>
      <w:r>
        <w:rPr>
          <w:rFonts w:hint="eastAsia" w:ascii="微软雅黑" w:hAnsi="微软雅黑" w:eastAsia="微软雅黑" w:cs="微软雅黑"/>
          <w:b/>
          <w:bCs/>
          <w:color w:val="000000"/>
          <w:sz w:val="24"/>
          <w:szCs w:val="24"/>
          <w:highlight w:val="none"/>
          <w:lang w:val="zh-CN"/>
        </w:rPr>
        <w:t>开标</w:t>
      </w:r>
    </w:p>
    <w:p w14:paraId="5842B7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具体开标时间、地点详见本招标文件“招投标日程表”。</w:t>
      </w: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五、招标日程表</w:t>
      </w:r>
    </w:p>
    <w:tbl>
      <w:tblPr>
        <w:tblStyle w:val="28"/>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29"/>
        <w:gridCol w:w="3332"/>
        <w:gridCol w:w="3563"/>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内容</w:t>
            </w:r>
          </w:p>
        </w:tc>
        <w:tc>
          <w:tcPr>
            <w:tcW w:w="1717" w:type="pct"/>
            <w:vAlign w:val="center"/>
          </w:tcPr>
          <w:p w14:paraId="056AFC71">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招标文件发布</w:t>
            </w:r>
          </w:p>
        </w:tc>
        <w:tc>
          <w:tcPr>
            <w:tcW w:w="1717" w:type="pct"/>
            <w:shd w:val="clear" w:color="auto" w:fill="auto"/>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25</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投标文件提交</w:t>
            </w:r>
          </w:p>
        </w:tc>
        <w:tc>
          <w:tcPr>
            <w:tcW w:w="1717" w:type="pct"/>
            <w:shd w:val="clear" w:color="auto" w:fill="auto"/>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28</w:t>
            </w:r>
            <w:r>
              <w:rPr>
                <w:rFonts w:hint="eastAsia" w:ascii="微软雅黑" w:hAnsi="微软雅黑" w:eastAsia="微软雅黑" w:cs="微软雅黑"/>
                <w:sz w:val="24"/>
                <w:szCs w:val="24"/>
                <w:highlight w:val="none"/>
              </w:rPr>
              <w:t>日11时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开标时间、地点</w:t>
            </w:r>
          </w:p>
        </w:tc>
        <w:tc>
          <w:tcPr>
            <w:tcW w:w="1717" w:type="pct"/>
            <w:shd w:val="clear" w:color="auto" w:fill="auto"/>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28</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合肥滨湖集团5楼开标室（暂定）</w:t>
            </w:r>
          </w:p>
        </w:tc>
      </w:tr>
    </w:tbl>
    <w:p w14:paraId="5F84DF2B">
      <w:pPr>
        <w:tabs>
          <w:tab w:val="left" w:pos="993"/>
        </w:tabs>
        <w:spacing w:line="360" w:lineRule="auto"/>
        <w:ind w:firstLine="420" w:firstLineChars="200"/>
        <w:rPr>
          <w:rFonts w:hint="eastAsia" w:ascii="微软雅黑" w:hAnsi="微软雅黑" w:eastAsia="微软雅黑" w:cs="微软雅黑"/>
          <w:highlight w:val="none"/>
        </w:rPr>
      </w:pPr>
    </w:p>
    <w:p w14:paraId="06B1116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zh-CN"/>
        </w:rPr>
        <w:t>不超过</w:t>
      </w:r>
      <w:r>
        <w:rPr>
          <w:rFonts w:hint="eastAsia" w:ascii="微软雅黑" w:hAnsi="微软雅黑" w:eastAsia="微软雅黑" w:cs="微软雅黑"/>
          <w:color w:val="000000"/>
          <w:sz w:val="24"/>
          <w:szCs w:val="24"/>
          <w:highlight w:val="none"/>
          <w:lang w:val="en-US" w:eastAsia="zh-CN"/>
        </w:rPr>
        <w:t>4.0</w:t>
      </w:r>
      <w:r>
        <w:rPr>
          <w:rFonts w:hint="eastAsia" w:ascii="微软雅黑" w:hAnsi="微软雅黑" w:eastAsia="微软雅黑" w:cs="微软雅黑"/>
          <w:color w:val="000000"/>
          <w:sz w:val="24"/>
          <w:szCs w:val="24"/>
          <w:highlight w:val="none"/>
          <w:lang w:val="zh-CN"/>
        </w:rPr>
        <w:t>万（含税）。</w:t>
      </w:r>
    </w:p>
    <w:p w14:paraId="73056DDF">
      <w:pPr>
        <w:autoSpaceDE w:val="0"/>
        <w:autoSpaceDN w:val="0"/>
        <w:adjustRightInd w:val="0"/>
        <w:spacing w:after="0" w:line="360" w:lineRule="auto"/>
        <w:ind w:firstLine="480" w:firstLineChars="200"/>
        <w:jc w:val="both"/>
        <w:rPr>
          <w:rFonts w:hint="default" w:ascii="微软雅黑" w:hAnsi="微软雅黑" w:eastAsia="微软雅黑" w:cs="微软雅黑"/>
          <w:sz w:val="22"/>
          <w:highlight w:val="none"/>
          <w:lang w:val="en-US" w:eastAsia="zh-CN"/>
        </w:rPr>
      </w:pPr>
      <w:r>
        <w:rPr>
          <w:rFonts w:hint="eastAsia" w:ascii="微软雅黑" w:hAnsi="微软雅黑" w:eastAsia="微软雅黑" w:cs="微软雅黑"/>
          <w:b/>
          <w:bCs/>
          <w:color w:val="000000"/>
          <w:sz w:val="24"/>
          <w:szCs w:val="24"/>
          <w:highlight w:val="none"/>
          <w:lang w:val="en-US" w:eastAsia="zh-CN"/>
        </w:rPr>
        <w:t>招标内容</w:t>
      </w:r>
      <w:r>
        <w:rPr>
          <w:rFonts w:hint="eastAsia" w:ascii="微软雅黑" w:hAnsi="微软雅黑" w:eastAsia="微软雅黑" w:cs="微软雅黑"/>
          <w:b/>
          <w:bCs/>
          <w:color w:val="000000"/>
          <w:sz w:val="24"/>
          <w:szCs w:val="24"/>
          <w:highlight w:val="none"/>
          <w:lang w:val="zh-CN"/>
        </w:rPr>
        <w:t>：</w:t>
      </w:r>
      <w:r>
        <w:rPr>
          <w:rFonts w:hint="eastAsia" w:ascii="微软雅黑" w:hAnsi="微软雅黑" w:eastAsia="微软雅黑" w:cs="微软雅黑"/>
          <w:b/>
          <w:bCs/>
          <w:color w:val="000000"/>
          <w:sz w:val="24"/>
          <w:szCs w:val="24"/>
          <w:highlight w:val="none"/>
          <w:lang w:val="en-US" w:eastAsia="zh-CN"/>
        </w:rPr>
        <w:t>珺玺中心项目示范区包装</w:t>
      </w:r>
      <w:r>
        <w:rPr>
          <w:rFonts w:hint="eastAsia" w:ascii="微软雅黑" w:hAnsi="微软雅黑" w:eastAsia="微软雅黑" w:cs="微软雅黑"/>
          <w:b w:val="0"/>
          <w:bCs w:val="0"/>
          <w:color w:val="000000"/>
          <w:sz w:val="24"/>
          <w:szCs w:val="24"/>
          <w:highlight w:val="none"/>
          <w:lang w:val="en-US" w:eastAsia="zh-CN"/>
        </w:rPr>
        <w:t>，详见报价清单。</w:t>
      </w:r>
    </w:p>
    <w:p w14:paraId="3F5AB3D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u w:val="none"/>
          <w:lang w:val="en-US" w:eastAsia="zh-CN" w:bidi="ar"/>
        </w:rPr>
      </w:pPr>
      <w:bookmarkStart w:id="7" w:name="_Toc273602342"/>
      <w:bookmarkStart w:id="8" w:name="_Toc245092762"/>
      <w:bookmarkStart w:id="9" w:name="_Toc22397"/>
      <w:bookmarkStart w:id="10" w:name="_Toc39733479"/>
    </w:p>
    <w:p w14:paraId="54E799A0">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第</w:t>
      </w:r>
      <w:bookmarkStart w:id="11" w:name="_Hlt240110027"/>
      <w:bookmarkEnd w:id="11"/>
      <w:r>
        <w:rPr>
          <w:rFonts w:hint="eastAsia" w:ascii="微软雅黑" w:hAnsi="微软雅黑" w:eastAsia="微软雅黑" w:cs="微软雅黑"/>
          <w:b/>
          <w:bCs/>
          <w:color w:val="000000"/>
          <w:sz w:val="36"/>
          <w:szCs w:val="36"/>
        </w:rPr>
        <w:t>二章 评标办法</w:t>
      </w:r>
      <w:bookmarkEnd w:id="7"/>
      <w:bookmarkEnd w:id="8"/>
      <w:bookmarkEnd w:id="9"/>
      <w:bookmarkEnd w:id="10"/>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第一条</w:t>
      </w:r>
      <w:r>
        <w:rPr>
          <w:rFonts w:hint="eastAsia" w:ascii="微软雅黑" w:hAnsi="微软雅黑" w:eastAsia="微软雅黑" w:cs="微软雅黑"/>
          <w:color w:val="000000"/>
          <w:sz w:val="24"/>
          <w:szCs w:val="24"/>
          <w:lang w:val="zh-CN"/>
        </w:rPr>
        <w:t xml:space="preserve"> 为了做好“城市更新珺玺中心项目示范区包装”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第二条</w:t>
      </w:r>
      <w:r>
        <w:rPr>
          <w:rFonts w:hint="eastAsia" w:ascii="微软雅黑" w:hAnsi="微软雅黑" w:eastAsia="微软雅黑" w:cs="微软雅黑"/>
          <w:color w:val="000000"/>
          <w:sz w:val="24"/>
          <w:szCs w:val="24"/>
          <w:lang w:val="zh-CN"/>
        </w:rPr>
        <w:t xml:space="preserve"> 本次项目评标在项目、数量、</w:t>
      </w:r>
      <w:r>
        <w:rPr>
          <w:rFonts w:hint="eastAsia" w:ascii="微软雅黑" w:hAnsi="微软雅黑" w:eastAsia="微软雅黑" w:cs="微软雅黑"/>
          <w:color w:val="000000"/>
          <w:sz w:val="24"/>
          <w:szCs w:val="24"/>
          <w:lang w:val="en-US" w:eastAsia="zh-CN"/>
        </w:rPr>
        <w:t>内容等</w:t>
      </w:r>
      <w:r>
        <w:rPr>
          <w:rFonts w:hint="eastAsia" w:ascii="微软雅黑" w:hAnsi="微软雅黑" w:eastAsia="微软雅黑" w:cs="微软雅黑"/>
          <w:color w:val="000000"/>
          <w:sz w:val="24"/>
          <w:szCs w:val="24"/>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第三条</w:t>
      </w:r>
      <w:r>
        <w:rPr>
          <w:rFonts w:hint="eastAsia" w:ascii="微软雅黑" w:hAnsi="微软雅黑" w:eastAsia="微软雅黑" w:cs="微软雅黑"/>
          <w:color w:val="000000"/>
          <w:sz w:val="24"/>
          <w:szCs w:val="24"/>
          <w:lang w:val="zh-CN"/>
        </w:rPr>
        <w:t xml:space="preserve"> 采购人将组织不少于3人组成的评标委员会（以下简称评委会），负责本项目的评标工作。采购人内部监督小组，负责评标过程中的记录、联络及评委会交办的其他工作。</w:t>
      </w:r>
    </w:p>
    <w:p w14:paraId="3333DA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第四条</w:t>
      </w:r>
      <w:r>
        <w:rPr>
          <w:rFonts w:hint="eastAsia" w:ascii="微软雅黑" w:hAnsi="微软雅黑" w:eastAsia="微软雅黑" w:cs="微软雅黑"/>
          <w:color w:val="000000"/>
          <w:sz w:val="24"/>
          <w:szCs w:val="24"/>
          <w:lang w:val="zh-CN"/>
        </w:rPr>
        <w:t xml:space="preserve"> 评委会按照“客观公正，实事求是”的原则，评价参加本次招标的投标人所提供的服务对招标文件的符合性及响应性。</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第五条</w:t>
      </w:r>
      <w:r>
        <w:rPr>
          <w:rFonts w:hint="eastAsia" w:ascii="微软雅黑" w:hAnsi="微软雅黑" w:eastAsia="微软雅黑" w:cs="微软雅黑"/>
          <w:color w:val="000000"/>
          <w:sz w:val="24"/>
          <w:szCs w:val="24"/>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第六条</w:t>
      </w:r>
      <w:r>
        <w:rPr>
          <w:rFonts w:hint="eastAsia" w:ascii="微软雅黑" w:hAnsi="微软雅黑" w:eastAsia="微软雅黑" w:cs="微软雅黑"/>
          <w:color w:val="000000"/>
          <w:sz w:val="24"/>
          <w:szCs w:val="24"/>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第七条</w:t>
      </w:r>
      <w:r>
        <w:rPr>
          <w:rFonts w:hint="eastAsia" w:ascii="微软雅黑" w:hAnsi="微软雅黑" w:eastAsia="微软雅黑" w:cs="微软雅黑"/>
          <w:color w:val="000000"/>
          <w:sz w:val="24"/>
          <w:szCs w:val="24"/>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第八条</w:t>
      </w:r>
      <w:r>
        <w:rPr>
          <w:rFonts w:hint="eastAsia" w:ascii="微软雅黑" w:hAnsi="微软雅黑" w:eastAsia="微软雅黑" w:cs="微软雅黑"/>
          <w:color w:val="000000"/>
          <w:sz w:val="24"/>
          <w:szCs w:val="24"/>
          <w:lang w:val="zh-CN"/>
        </w:rPr>
        <w:t xml:space="preserve"> 评审程序</w:t>
      </w:r>
    </w:p>
    <w:p w14:paraId="1005169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本项目采用统一、低价评标法进行评审，评标委员会将依据报价表单进行评审。</w:t>
      </w:r>
      <w:bookmarkStart w:id="12" w:name="_Toc245028818"/>
      <w:bookmarkStart w:id="13" w:name="_Toc273602352"/>
      <w:bookmarkStart w:id="14" w:name="_Toc2829"/>
      <w:bookmarkStart w:id="15" w:name="_Toc245714170"/>
      <w:bookmarkStart w:id="16" w:name="_Toc39733482"/>
    </w:p>
    <w:p w14:paraId="05E8E33C">
      <w:pP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p>
    <w:p w14:paraId="1FFA315B">
      <w:pPr>
        <w:pStyle w:val="4"/>
        <w:spacing w:line="360" w:lineRule="auto"/>
        <w:rPr>
          <w:rFonts w:hint="eastAsia" w:ascii="微软雅黑" w:hAnsi="微软雅黑" w:eastAsia="微软雅黑" w:cs="微软雅黑"/>
          <w:b/>
          <w:sz w:val="21"/>
          <w:szCs w:val="21"/>
        </w:rPr>
      </w:pPr>
      <w:bookmarkStart w:id="17" w:name="_Toc273602355"/>
      <w:bookmarkStart w:id="18" w:name="_Toc20758"/>
      <w:bookmarkStart w:id="19" w:name="_Toc245714173"/>
      <w:bookmarkStart w:id="20" w:name="_Toc39733483"/>
      <w:r>
        <w:rPr>
          <w:rFonts w:hint="eastAsia" w:ascii="微软雅黑" w:hAnsi="微软雅黑" w:eastAsia="微软雅黑" w:cs="微软雅黑"/>
          <w:b/>
          <w:sz w:val="21"/>
          <w:szCs w:val="21"/>
        </w:rPr>
        <w:t>附件一：</w:t>
      </w:r>
    </w:p>
    <w:p w14:paraId="7CB830BA">
      <w:pPr>
        <w:pStyle w:val="4"/>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一、投标函</w:t>
      </w:r>
      <w:bookmarkEnd w:id="17"/>
      <w:bookmarkEnd w:id="18"/>
      <w:bookmarkEnd w:id="19"/>
      <w:bookmarkEnd w:id="20"/>
    </w:p>
    <w:p w14:paraId="2B0CB663">
      <w:pPr>
        <w:pStyle w:val="18"/>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49484F88">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u w:val="single"/>
          <w:lang w:eastAsia="zh-CN"/>
        </w:rPr>
        <w:t>城市更新珺玺中心项目示范区包装</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5521AAFF">
      <w:pPr>
        <w:spacing w:line="360" w:lineRule="auto"/>
        <w:rPr>
          <w:rFonts w:hint="eastAsia" w:ascii="微软雅黑" w:hAnsi="微软雅黑" w:eastAsia="微软雅黑" w:cs="微软雅黑"/>
        </w:rPr>
      </w:pPr>
    </w:p>
    <w:p w14:paraId="16025AC4">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7143F42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401286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19EB53F4">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2697B67A">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2"/>
    <w:bookmarkEnd w:id="13"/>
    <w:bookmarkEnd w:id="14"/>
    <w:bookmarkEnd w:id="15"/>
    <w:bookmarkEnd w:id="16"/>
    <w:p w14:paraId="0001BB09">
      <w:pPr>
        <w:pStyle w:val="4"/>
        <w:spacing w:line="360" w:lineRule="auto"/>
        <w:jc w:val="both"/>
        <w:rPr>
          <w:rFonts w:hint="eastAsia" w:ascii="微软雅黑" w:hAnsi="微软雅黑" w:eastAsia="微软雅黑" w:cs="微软雅黑"/>
          <w:sz w:val="22"/>
          <w:szCs w:val="22"/>
        </w:rPr>
      </w:pPr>
      <w:bookmarkStart w:id="21" w:name="_Toc39733484"/>
      <w:bookmarkStart w:id="22" w:name="_Toc10239"/>
      <w:bookmarkStart w:id="23" w:name="_Toc273602356"/>
      <w:bookmarkStart w:id="24" w:name="_Toc245714174"/>
      <w:bookmarkStart w:id="25" w:name="_Toc232592019"/>
      <w:bookmarkStart w:id="26" w:name="_Toc220232394"/>
      <w:r>
        <w:rPr>
          <w:rFonts w:hint="eastAsia" w:ascii="微软雅黑" w:hAnsi="微软雅黑" w:eastAsia="微软雅黑" w:cs="微软雅黑"/>
          <w:b/>
          <w:sz w:val="22"/>
          <w:szCs w:val="22"/>
        </w:rPr>
        <w:t>附件二：</w:t>
      </w:r>
    </w:p>
    <w:p w14:paraId="5AA6625E">
      <w:pPr>
        <w:pStyle w:val="4"/>
        <w:numPr>
          <w:ilvl w:val="0"/>
          <w:numId w:val="3"/>
        </w:numPr>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1"/>
      <w:bookmarkEnd w:id="22"/>
      <w:bookmarkEnd w:id="23"/>
      <w:bookmarkEnd w:id="24"/>
    </w:p>
    <w:p w14:paraId="47CF6E85">
      <w:pPr>
        <w:spacing w:line="360" w:lineRule="auto"/>
        <w:rPr>
          <w:rFonts w:hint="eastAsia" w:ascii="微软雅黑" w:hAnsi="微软雅黑" w:eastAsia="微软雅黑" w:cs="微软雅黑"/>
        </w:rPr>
      </w:pPr>
    </w:p>
    <w:p w14:paraId="58E03FB6">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u w:val="single"/>
          <w:lang w:eastAsia="zh-CN"/>
        </w:rPr>
        <w:t>城市更新珺玺中心项目示范区包装</w:t>
      </w:r>
      <w:r>
        <w:rPr>
          <w:rFonts w:hint="eastAsia" w:ascii="微软雅黑" w:hAnsi="微软雅黑" w:eastAsia="微软雅黑" w:cs="微软雅黑"/>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59EAB19F">
      <w:pPr>
        <w:pStyle w:val="27"/>
        <w:spacing w:line="360" w:lineRule="auto"/>
        <w:ind w:left="0" w:leftChars="0"/>
        <w:rPr>
          <w:rFonts w:hint="eastAsia" w:ascii="微软雅黑" w:hAnsi="微软雅黑" w:eastAsia="微软雅黑" w:cs="微软雅黑"/>
          <w:szCs w:val="21"/>
        </w:rPr>
      </w:pPr>
    </w:p>
    <w:p w14:paraId="1BEF0B38">
      <w:pPr>
        <w:spacing w:line="360" w:lineRule="auto"/>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74694BC9">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32D5572">
      <w:pPr>
        <w:pStyle w:val="17"/>
        <w:snapToGrid w:val="0"/>
        <w:spacing w:line="36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2"/>
          <w:szCs w:val="22"/>
        </w:rPr>
        <w:t>附件三：</w:t>
      </w:r>
    </w:p>
    <w:p w14:paraId="46110183">
      <w:pPr>
        <w:pStyle w:val="17"/>
        <w:snapToGrid w:val="0"/>
        <w:spacing w:line="36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7"/>
    </w:p>
    <w:p w14:paraId="5211728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4FDD74DE">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1074BAA6">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13C4738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2997609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69F339AF">
      <w:pPr>
        <w:pStyle w:val="17"/>
        <w:snapToGrid w:val="0"/>
        <w:spacing w:line="360" w:lineRule="auto"/>
        <w:ind w:firstLine="420" w:firstLineChars="200"/>
        <w:rPr>
          <w:rFonts w:hint="eastAsia" w:ascii="微软雅黑" w:hAnsi="微软雅黑" w:eastAsia="微软雅黑" w:cs="微软雅黑"/>
          <w:lang w:eastAsia="zh-CN"/>
        </w:rPr>
      </w:pPr>
      <w:r>
        <w:rPr>
          <w:rFonts w:hint="eastAsia" w:ascii="微软雅黑" w:hAnsi="微软雅黑" w:eastAsia="微软雅黑" w:cs="微软雅黑"/>
        </w:rPr>
        <w:t>5.我公司未被合肥市人社部门列入拖欠农民工工资黑名单</w:t>
      </w:r>
      <w:r>
        <w:rPr>
          <w:rFonts w:hint="eastAsia" w:ascii="微软雅黑" w:hAnsi="微软雅黑" w:eastAsia="微软雅黑" w:cs="微软雅黑"/>
          <w:lang w:eastAsia="zh-CN"/>
        </w:rPr>
        <w:t>；</w:t>
      </w:r>
    </w:p>
    <w:p w14:paraId="31174D28">
      <w:pPr>
        <w:pStyle w:val="17"/>
        <w:snapToGrid w:val="0"/>
        <w:spacing w:line="360" w:lineRule="auto"/>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6.我公司与其他投标人无任何直接或间接关联关系，不存在串标、围标等行为，否则自愿承担由此产生的一切法律责任及后果；</w:t>
      </w:r>
    </w:p>
    <w:p w14:paraId="15312C71">
      <w:pPr>
        <w:pStyle w:val="17"/>
        <w:snapToGrid w:val="0"/>
        <w:spacing w:line="360" w:lineRule="auto"/>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7.我公司与其他投标人无任何直接或间接关联关系，不存在串标、围标等行为，否则自愿承担由此产生的一切法律责任及后果。</w:t>
      </w:r>
    </w:p>
    <w:p w14:paraId="0255BA0B">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73FAF688">
      <w:pPr>
        <w:pStyle w:val="17"/>
        <w:snapToGrid w:val="0"/>
        <w:spacing w:line="360" w:lineRule="auto"/>
        <w:ind w:firstLine="420" w:firstLineChars="200"/>
        <w:rPr>
          <w:rFonts w:hint="eastAsia" w:ascii="微软雅黑" w:hAnsi="微软雅黑" w:eastAsia="微软雅黑" w:cs="微软雅黑"/>
        </w:rPr>
      </w:pPr>
    </w:p>
    <w:p w14:paraId="42B0DA5C">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1F08ED8A">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4888DEC9">
      <w:pPr>
        <w:adjustRightInd w:val="0"/>
        <w:snapToGrid w:val="0"/>
        <w:spacing w:line="360" w:lineRule="auto"/>
        <w:rPr>
          <w:rFonts w:hint="eastAsia" w:ascii="微软雅黑" w:hAnsi="微软雅黑" w:eastAsia="微软雅黑" w:cs="微软雅黑"/>
          <w:b/>
          <w:bCs/>
          <w:sz w:val="22"/>
          <w:szCs w:val="22"/>
        </w:rPr>
      </w:pPr>
    </w:p>
    <w:p w14:paraId="25AF9328">
      <w:pPr>
        <w:spacing w:line="360" w:lineRule="auto"/>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6EEC6B6C">
      <w:pPr>
        <w:spacing w:line="36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329DDB39">
      <w:pPr>
        <w:pStyle w:val="27"/>
        <w:spacing w:line="360" w:lineRule="auto"/>
        <w:ind w:left="0" w:leftChars="0"/>
        <w:rPr>
          <w:rFonts w:hint="eastAsia" w:ascii="微软雅黑" w:hAnsi="微软雅黑" w:eastAsia="微软雅黑" w:cs="微软雅黑"/>
          <w:sz w:val="22"/>
          <w:szCs w:val="22"/>
        </w:rPr>
      </w:pPr>
    </w:p>
    <w:p w14:paraId="6FAC13E7">
      <w:pPr>
        <w:numPr>
          <w:ilvl w:val="0"/>
          <w:numId w:val="4"/>
        </w:numPr>
        <w:spacing w:line="360" w:lineRule="auto"/>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rPr>
        <w:t>营业执照</w:t>
      </w:r>
      <w:r>
        <w:rPr>
          <w:rFonts w:hint="eastAsia" w:ascii="微软雅黑" w:hAnsi="微软雅黑" w:eastAsia="微软雅黑" w:cs="微软雅黑"/>
          <w:lang w:eastAsia="zh-CN"/>
        </w:rPr>
        <w:t>，营业执照经营范围应包含广告制作等与招标项目相关的业务许可。</w:t>
      </w:r>
    </w:p>
    <w:p w14:paraId="5ED73F1A">
      <w:pPr>
        <w:numPr>
          <w:ilvl w:val="0"/>
          <w:numId w:val="4"/>
        </w:numPr>
        <w:spacing w:line="360" w:lineRule="auto"/>
        <w:jc w:val="both"/>
        <w:rPr>
          <w:rFonts w:hint="eastAsia" w:ascii="微软雅黑" w:hAnsi="微软雅黑" w:eastAsia="微软雅黑" w:cs="微软雅黑"/>
          <w:kern w:val="2"/>
          <w:szCs w:val="21"/>
        </w:rPr>
      </w:pPr>
      <w:r>
        <w:rPr>
          <w:rFonts w:hint="eastAsia" w:ascii="微软雅黑" w:hAnsi="微软雅黑" w:eastAsia="微软雅黑" w:cs="微软雅黑"/>
          <w:lang w:val="zh-CN"/>
        </w:rPr>
        <w:t>三份同类业绩证明，自2022年1月1日起与不同公司签订的至少3份同类业绩合同。</w:t>
      </w:r>
    </w:p>
    <w:p w14:paraId="378948BC">
      <w:pPr>
        <w:numPr>
          <w:ilvl w:val="0"/>
          <w:numId w:val="4"/>
        </w:numPr>
        <w:spacing w:line="360" w:lineRule="auto"/>
        <w:jc w:val="both"/>
        <w:rPr>
          <w:rFonts w:hint="eastAsia" w:ascii="微软雅黑" w:hAnsi="微软雅黑" w:eastAsia="微软雅黑" w:cs="微软雅黑"/>
          <w:kern w:val="2"/>
          <w:szCs w:val="21"/>
        </w:rPr>
      </w:pPr>
      <w:r>
        <w:rPr>
          <w:rFonts w:hint="eastAsia" w:ascii="微软雅黑" w:hAnsi="微软雅黑" w:eastAsia="微软雅黑" w:cs="微软雅黑"/>
          <w:kern w:val="2"/>
          <w:szCs w:val="21"/>
        </w:rPr>
        <w:t>招标文件要求的其他资格证明文件。</w:t>
      </w:r>
    </w:p>
    <w:p w14:paraId="170F3230">
      <w:pPr>
        <w:spacing w:line="360" w:lineRule="auto"/>
        <w:jc w:val="center"/>
        <w:rPr>
          <w:rFonts w:hint="eastAsia" w:ascii="微软雅黑" w:hAnsi="微软雅黑" w:eastAsia="微软雅黑" w:cs="微软雅黑"/>
          <w:b/>
          <w:bCs/>
          <w:sz w:val="22"/>
          <w:szCs w:val="22"/>
        </w:rPr>
      </w:pPr>
    </w:p>
    <w:p w14:paraId="38C107DB">
      <w:pPr>
        <w:pStyle w:val="4"/>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8" w:name="_Toc11208"/>
    </w:p>
    <w:bookmarkEnd w:id="25"/>
    <w:bookmarkEnd w:id="26"/>
    <w:bookmarkEnd w:id="28"/>
    <w:p w14:paraId="6E047A4A">
      <w:pPr>
        <w:spacing w:line="360" w:lineRule="auto"/>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sdt>
      <w:sdtPr>
        <w:rPr>
          <w:rFonts w:hint="eastAsia" w:eastAsia="黑体"/>
          <w:b/>
          <w:bCs/>
          <w:sz w:val="56"/>
          <w:szCs w:val="56"/>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59D427B8">
          <w:pPr>
            <w:spacing w:line="360" w:lineRule="auto"/>
            <w:jc w:val="center"/>
            <w:rPr>
              <w:rFonts w:hint="eastAsia" w:eastAsia="黑体"/>
              <w:b/>
              <w:bCs/>
              <w:sz w:val="56"/>
              <w:szCs w:val="56"/>
              <w:lang w:val="zh-CN"/>
            </w:rPr>
          </w:pPr>
          <w:r>
            <w:rPr>
              <w:rFonts w:hint="eastAsia" w:eastAsia="黑体"/>
              <w:b/>
              <w:bCs/>
              <w:sz w:val="56"/>
              <w:szCs w:val="56"/>
              <w:lang w:eastAsia="zh-CN"/>
            </w:rPr>
            <w:t>城市更新珺玺中心项目示范区包装</w:t>
          </w:r>
        </w:p>
        <w:p w14:paraId="201B28F1">
          <w:pPr>
            <w:adjustRightInd w:val="0"/>
            <w:snapToGrid w:val="0"/>
            <w:spacing w:before="48" w:beforeLines="20" w:after="48" w:afterLines="20" w:line="360" w:lineRule="auto"/>
            <w:jc w:val="center"/>
            <w:rPr>
              <w:rFonts w:hint="eastAsia" w:ascii="宋体" w:hAnsi="宋体"/>
              <w:b/>
              <w:bCs/>
              <w:sz w:val="56"/>
              <w:szCs w:val="56"/>
            </w:rPr>
          </w:pPr>
        </w:p>
        <w:p w14:paraId="7B3015B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投</w:t>
          </w:r>
        </w:p>
        <w:p w14:paraId="23210362">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82D2C9A">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17D177D2">
          <w:pPr>
            <w:adjustRightInd w:val="0"/>
            <w:snapToGrid w:val="0"/>
            <w:spacing w:before="48" w:beforeLines="20" w:after="48" w:afterLines="20" w:line="360" w:lineRule="auto"/>
            <w:jc w:val="center"/>
            <w:rPr>
              <w:rFonts w:ascii="宋体" w:hAnsi="宋体"/>
              <w:bCs/>
              <w:sz w:val="84"/>
              <w:szCs w:val="84"/>
            </w:rPr>
          </w:pPr>
          <w:r>
            <w:rPr>
              <w:rFonts w:ascii="宋体" w:hAnsi="宋体"/>
              <w:bCs/>
              <w:sz w:val="84"/>
              <w:szCs w:val="84"/>
            </w:rPr>
            <w:t>件</w:t>
          </w:r>
        </w:p>
        <w:p w14:paraId="07F66219">
          <w:pPr>
            <w:adjustRightInd w:val="0"/>
            <w:snapToGrid w:val="0"/>
            <w:spacing w:before="48" w:beforeLines="20" w:after="48" w:afterLines="20" w:line="360" w:lineRule="auto"/>
            <w:jc w:val="center"/>
            <w:rPr>
              <w:rFonts w:hint="eastAsia" w:ascii="宋体" w:hAnsi="宋体"/>
              <w:bCs/>
              <w:sz w:val="40"/>
              <w:szCs w:val="40"/>
            </w:rPr>
          </w:pPr>
        </w:p>
        <w:p w14:paraId="3A6F7BA3">
          <w:pPr>
            <w:adjustRightInd w:val="0"/>
            <w:snapToGrid w:val="0"/>
            <w:spacing w:before="48" w:beforeLines="20" w:after="48" w:afterLines="20" w:line="360" w:lineRule="auto"/>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20FDE069">
          <w:pPr>
            <w:tabs>
              <w:tab w:val="left" w:pos="420"/>
              <w:tab w:val="left" w:pos="4200"/>
            </w:tabs>
            <w:spacing w:line="360" w:lineRule="auto"/>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七</w:t>
          </w:r>
          <w:r>
            <w:rPr>
              <w:rFonts w:hint="eastAsia" w:ascii="宋体" w:hAnsi="宋体"/>
              <w:bCs/>
              <w:sz w:val="36"/>
            </w:rPr>
            <w:t>月</w:t>
          </w:r>
        </w:p>
        <w:p w14:paraId="3A20EA1A">
          <w:pPr>
            <w:pStyle w:val="27"/>
            <w:widowControl w:val="0"/>
            <w:spacing w:after="0" w:line="360" w:lineRule="auto"/>
            <w:ind w:left="0" w:leftChars="0"/>
            <w:jc w:val="both"/>
          </w:pPr>
          <w:bookmarkStart w:id="29" w:name="_Toc240898303"/>
          <w:bookmarkStart w:id="30" w:name="_Toc273602363"/>
          <w:bookmarkStart w:id="31" w:name="_Toc270410845"/>
          <w:bookmarkStart w:id="32" w:name="_Toc328559344"/>
        </w:p>
      </w:sdtContent>
    </w:sdt>
    <w:p w14:paraId="5699CF01">
      <w:pPr>
        <w:pStyle w:val="27"/>
        <w:widowControl w:val="0"/>
        <w:spacing w:after="0" w:line="360" w:lineRule="auto"/>
        <w:ind w:left="0" w:leftChars="0"/>
        <w:jc w:val="both"/>
        <w:rPr>
          <w:rFonts w:hint="eastAsia" w:ascii="微软雅黑" w:hAnsi="微软雅黑" w:eastAsia="微软雅黑" w:cs="微软雅黑"/>
          <w:snapToGrid w:val="0"/>
          <w:color w:val="000000"/>
          <w:sz w:val="22"/>
          <w:szCs w:val="22"/>
          <w:u w:val="single"/>
          <w:lang w:val="en-US" w:eastAsia="zh-CN"/>
        </w:rPr>
      </w:pPr>
      <w:r>
        <w:rPr>
          <w:rFonts w:hint="eastAsia" w:ascii="微软雅黑" w:hAnsi="微软雅黑" w:eastAsia="微软雅黑" w:cs="微软雅黑"/>
          <w:b/>
          <w:kern w:val="2"/>
          <w:sz w:val="22"/>
          <w:szCs w:val="22"/>
        </w:rPr>
        <w:t>一、</w:t>
      </w:r>
      <w:bookmarkEnd w:id="29"/>
      <w:bookmarkEnd w:id="30"/>
      <w:bookmarkEnd w:id="31"/>
      <w:bookmarkEnd w:id="32"/>
      <w:r>
        <w:rPr>
          <w:rFonts w:hint="eastAsia" w:ascii="微软雅黑" w:hAnsi="微软雅黑" w:eastAsia="微软雅黑" w:cs="微软雅黑"/>
          <w:b/>
          <w:kern w:val="2"/>
          <w:sz w:val="22"/>
          <w:szCs w:val="22"/>
        </w:rPr>
        <w:t>投标报价</w:t>
      </w:r>
      <w:r>
        <w:rPr>
          <w:rFonts w:hint="eastAsia" w:ascii="微软雅黑" w:hAnsi="微软雅黑" w:eastAsia="微软雅黑" w:cs="微软雅黑"/>
          <w:b/>
          <w:kern w:val="2"/>
          <w:sz w:val="22"/>
          <w:szCs w:val="22"/>
          <w:lang w:val="en-US" w:eastAsia="zh-CN"/>
        </w:rPr>
        <w:t>函</w:t>
      </w:r>
    </w:p>
    <w:p w14:paraId="0834470C">
      <w:pPr>
        <w:widowControl w:val="0"/>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76A0B745">
      <w:pPr>
        <w:pStyle w:val="27"/>
        <w:spacing w:line="360" w:lineRule="auto"/>
        <w:ind w:left="0" w:leftChars="0"/>
      </w:pPr>
    </w:p>
    <w:p w14:paraId="31D24CB2">
      <w:pPr>
        <w:pStyle w:val="23"/>
        <w:spacing w:line="360" w:lineRule="auto"/>
        <w:ind w:left="420" w:hanging="420"/>
      </w:pPr>
    </w:p>
    <w:p w14:paraId="00DB50D4">
      <w:pPr>
        <w:pStyle w:val="23"/>
        <w:spacing w:line="360" w:lineRule="auto"/>
        <w:ind w:left="420" w:hanging="420"/>
      </w:pPr>
    </w:p>
    <w:p w14:paraId="045F30C0">
      <w:pPr>
        <w:pStyle w:val="23"/>
        <w:spacing w:line="360" w:lineRule="auto"/>
        <w:ind w:left="420" w:hanging="420"/>
      </w:pPr>
    </w:p>
    <w:p w14:paraId="3E3AA000">
      <w:pPr>
        <w:pStyle w:val="27"/>
        <w:widowControl w:val="0"/>
        <w:numPr>
          <w:ilvl w:val="0"/>
          <w:numId w:val="5"/>
        </w:numPr>
        <w:spacing w:after="0" w:line="360" w:lineRule="auto"/>
        <w:ind w:left="0" w:leftChars="0" w:firstLine="0" w:firstLineChars="0"/>
        <w:jc w:val="both"/>
        <w:rPr>
          <w:rFonts w:hint="eastAsia" w:ascii="微软雅黑" w:hAnsi="微软雅黑" w:eastAsia="微软雅黑" w:cs="微软雅黑"/>
          <w:b/>
          <w:kern w:val="2"/>
          <w:sz w:val="22"/>
          <w:szCs w:val="22"/>
          <w:lang w:val="en-US" w:eastAsia="zh-CN"/>
        </w:rPr>
      </w:pPr>
      <w:r>
        <w:rPr>
          <w:rFonts w:hint="eastAsia" w:ascii="微软雅黑" w:hAnsi="微软雅黑" w:eastAsia="微软雅黑" w:cs="微软雅黑"/>
          <w:b/>
          <w:kern w:val="2"/>
          <w:sz w:val="22"/>
          <w:szCs w:val="22"/>
        </w:rPr>
        <w:t>投标报价</w:t>
      </w:r>
      <w:r>
        <w:rPr>
          <w:rFonts w:hint="eastAsia" w:ascii="微软雅黑" w:hAnsi="微软雅黑" w:eastAsia="微软雅黑" w:cs="微软雅黑"/>
          <w:b/>
          <w:kern w:val="2"/>
          <w:sz w:val="22"/>
          <w:szCs w:val="22"/>
          <w:lang w:val="en-US" w:eastAsia="zh-CN"/>
        </w:rPr>
        <w:t>单</w:t>
      </w:r>
    </w:p>
    <w:p w14:paraId="5A8FC9A1">
      <w:pPr>
        <w:pStyle w:val="23"/>
        <w:numPr>
          <w:ilvl w:val="0"/>
          <w:numId w:val="0"/>
        </w:numPr>
        <w:spacing w:after="160" w:line="312" w:lineRule="auto"/>
        <w:rPr>
          <w:rFonts w:hint="eastAsia"/>
          <w:lang w:val="en-US" w:eastAsia="zh-CN"/>
        </w:rPr>
      </w:pPr>
    </w:p>
    <w:p w14:paraId="264DB2F2">
      <w:pPr>
        <w:pStyle w:val="23"/>
        <w:numPr>
          <w:ilvl w:val="0"/>
          <w:numId w:val="0"/>
        </w:numPr>
        <w:spacing w:after="160" w:line="312" w:lineRule="auto"/>
        <w:rPr>
          <w:rFonts w:hint="eastAsia"/>
          <w:lang w:val="en-US" w:eastAsia="zh-CN"/>
        </w:rPr>
      </w:pPr>
    </w:p>
    <w:p w14:paraId="115BCBA7">
      <w:pPr>
        <w:pStyle w:val="23"/>
        <w:numPr>
          <w:ilvl w:val="0"/>
          <w:numId w:val="0"/>
        </w:numPr>
        <w:spacing w:after="160" w:line="312" w:lineRule="auto"/>
        <w:rPr>
          <w:rFonts w:hint="eastAsia"/>
          <w:lang w:val="en-US" w:eastAsia="zh-CN"/>
        </w:rPr>
      </w:pPr>
    </w:p>
    <w:p w14:paraId="10A23266">
      <w:pPr>
        <w:pStyle w:val="23"/>
        <w:numPr>
          <w:ilvl w:val="0"/>
          <w:numId w:val="0"/>
        </w:numPr>
        <w:spacing w:after="160" w:line="312" w:lineRule="auto"/>
        <w:rPr>
          <w:rFonts w:hint="eastAsia"/>
          <w:lang w:val="en-US" w:eastAsia="zh-CN"/>
        </w:rPr>
      </w:pPr>
    </w:p>
    <w:p w14:paraId="7AB1B020">
      <w:pPr>
        <w:pStyle w:val="23"/>
        <w:numPr>
          <w:ilvl w:val="0"/>
          <w:numId w:val="0"/>
        </w:numPr>
        <w:spacing w:after="160" w:line="312" w:lineRule="auto"/>
        <w:rPr>
          <w:rFonts w:hint="eastAsia"/>
          <w:lang w:val="en-US" w:eastAsia="zh-CN"/>
        </w:rPr>
      </w:pPr>
    </w:p>
    <w:p w14:paraId="0956016C">
      <w:pPr>
        <w:pStyle w:val="23"/>
        <w:numPr>
          <w:ilvl w:val="0"/>
          <w:numId w:val="0"/>
        </w:numPr>
        <w:spacing w:after="160" w:line="312" w:lineRule="auto"/>
        <w:rPr>
          <w:rFonts w:hint="eastAsia"/>
          <w:lang w:val="en-US" w:eastAsia="zh-CN"/>
        </w:rPr>
      </w:pPr>
    </w:p>
    <w:p w14:paraId="612480F5">
      <w:pPr>
        <w:pStyle w:val="23"/>
        <w:numPr>
          <w:ilvl w:val="0"/>
          <w:numId w:val="0"/>
        </w:numPr>
        <w:spacing w:after="160" w:line="312" w:lineRule="auto"/>
        <w:rPr>
          <w:rFonts w:hint="eastAsia"/>
          <w:lang w:val="en-US" w:eastAsia="zh-CN"/>
        </w:rPr>
      </w:pPr>
    </w:p>
    <w:p w14:paraId="5FAD0C38">
      <w:pPr>
        <w:pStyle w:val="23"/>
        <w:numPr>
          <w:ilvl w:val="0"/>
          <w:numId w:val="0"/>
        </w:numPr>
        <w:spacing w:after="160" w:line="312" w:lineRule="auto"/>
        <w:rPr>
          <w:rFonts w:hint="eastAsia"/>
          <w:lang w:val="en-US" w:eastAsia="zh-CN"/>
        </w:rPr>
      </w:pPr>
    </w:p>
    <w:p w14:paraId="08FF4731">
      <w:pPr>
        <w:pStyle w:val="23"/>
        <w:numPr>
          <w:ilvl w:val="0"/>
          <w:numId w:val="0"/>
        </w:numPr>
        <w:spacing w:after="160" w:line="312" w:lineRule="auto"/>
        <w:rPr>
          <w:rFonts w:hint="eastAsia"/>
          <w:lang w:val="en-US" w:eastAsia="zh-CN"/>
        </w:rPr>
      </w:pPr>
    </w:p>
    <w:p w14:paraId="1900881D">
      <w:pPr>
        <w:pStyle w:val="23"/>
        <w:numPr>
          <w:ilvl w:val="0"/>
          <w:numId w:val="0"/>
        </w:numPr>
        <w:spacing w:after="160" w:line="312" w:lineRule="auto"/>
        <w:rPr>
          <w:rFonts w:hint="eastAsia"/>
          <w:lang w:val="en-US" w:eastAsia="zh-CN"/>
        </w:rPr>
      </w:pPr>
    </w:p>
    <w:p w14:paraId="207241AA">
      <w:pPr>
        <w:pStyle w:val="23"/>
        <w:numPr>
          <w:ilvl w:val="0"/>
          <w:numId w:val="0"/>
        </w:numPr>
        <w:spacing w:after="160" w:line="312" w:lineRule="auto"/>
        <w:rPr>
          <w:rFonts w:hint="eastAsia"/>
          <w:lang w:val="en-US" w:eastAsia="zh-CN"/>
        </w:rPr>
      </w:pPr>
    </w:p>
    <w:p w14:paraId="0D22B357">
      <w:pPr>
        <w:pStyle w:val="23"/>
        <w:numPr>
          <w:ilvl w:val="0"/>
          <w:numId w:val="0"/>
        </w:numPr>
        <w:spacing w:after="160" w:line="312" w:lineRule="auto"/>
        <w:rPr>
          <w:rFonts w:hint="eastAsia"/>
          <w:lang w:val="en-US" w:eastAsia="zh-CN"/>
        </w:rPr>
      </w:pPr>
    </w:p>
    <w:p w14:paraId="6725FFC1">
      <w:pPr>
        <w:pStyle w:val="23"/>
        <w:numPr>
          <w:ilvl w:val="0"/>
          <w:numId w:val="0"/>
        </w:numPr>
        <w:spacing w:after="160" w:line="312" w:lineRule="auto"/>
        <w:rPr>
          <w:rFonts w:hint="eastAsia"/>
          <w:lang w:val="en-US" w:eastAsia="zh-CN"/>
        </w:rPr>
      </w:pPr>
    </w:p>
    <w:p w14:paraId="7E615AF3">
      <w:pPr>
        <w:pStyle w:val="23"/>
        <w:numPr>
          <w:ilvl w:val="0"/>
          <w:numId w:val="0"/>
        </w:numPr>
        <w:spacing w:after="160" w:line="312" w:lineRule="auto"/>
        <w:rPr>
          <w:rFonts w:hint="eastAsia"/>
          <w:lang w:val="en-US" w:eastAsia="zh-CN"/>
        </w:rPr>
      </w:pPr>
    </w:p>
    <w:p w14:paraId="0F4EC0B6">
      <w:pPr>
        <w:pStyle w:val="23"/>
        <w:numPr>
          <w:ilvl w:val="0"/>
          <w:numId w:val="0"/>
        </w:numPr>
        <w:spacing w:after="160" w:line="312" w:lineRule="auto"/>
        <w:rPr>
          <w:rFonts w:hint="eastAsia"/>
          <w:lang w:val="en-US" w:eastAsia="zh-CN"/>
        </w:rPr>
      </w:pPr>
    </w:p>
    <w:p w14:paraId="1B8CF03D">
      <w:pPr>
        <w:pStyle w:val="23"/>
        <w:numPr>
          <w:ilvl w:val="0"/>
          <w:numId w:val="0"/>
        </w:numPr>
        <w:spacing w:after="160" w:line="312" w:lineRule="auto"/>
        <w:rPr>
          <w:rFonts w:hint="eastAsia"/>
          <w:lang w:val="en-US" w:eastAsia="zh-CN"/>
        </w:rPr>
      </w:pPr>
    </w:p>
    <w:p w14:paraId="181F62D5">
      <w:pPr>
        <w:pStyle w:val="23"/>
        <w:numPr>
          <w:ilvl w:val="0"/>
          <w:numId w:val="0"/>
        </w:numPr>
        <w:spacing w:after="160" w:line="312" w:lineRule="auto"/>
        <w:rPr>
          <w:rFonts w:hint="eastAsia"/>
          <w:lang w:val="en-US" w:eastAsia="zh-CN"/>
        </w:rPr>
      </w:pPr>
    </w:p>
    <w:p w14:paraId="4A62BEBE">
      <w:pPr>
        <w:pStyle w:val="23"/>
        <w:numPr>
          <w:ilvl w:val="0"/>
          <w:numId w:val="0"/>
        </w:numPr>
        <w:spacing w:after="160" w:line="312" w:lineRule="auto"/>
        <w:rPr>
          <w:rFonts w:hint="eastAsia"/>
          <w:lang w:val="en-US" w:eastAsia="zh-CN"/>
        </w:rPr>
      </w:pPr>
    </w:p>
    <w:p w14:paraId="7E6EB123">
      <w:pPr>
        <w:pStyle w:val="23"/>
        <w:numPr>
          <w:ilvl w:val="0"/>
          <w:numId w:val="0"/>
        </w:numPr>
        <w:spacing w:after="160" w:line="312" w:lineRule="auto"/>
        <w:rPr>
          <w:rFonts w:hint="eastAsia"/>
          <w:lang w:val="en-US" w:eastAsia="zh-CN"/>
        </w:rPr>
      </w:pPr>
    </w:p>
    <w:p w14:paraId="0020520B">
      <w:pPr>
        <w:pStyle w:val="23"/>
        <w:numPr>
          <w:ilvl w:val="0"/>
          <w:numId w:val="0"/>
        </w:numPr>
        <w:spacing w:after="160" w:line="312" w:lineRule="auto"/>
        <w:rPr>
          <w:rFonts w:hint="eastAsia"/>
          <w:lang w:val="en-US" w:eastAsia="zh-CN"/>
        </w:rPr>
      </w:pPr>
    </w:p>
    <w:p w14:paraId="5ADE2D44">
      <w:pPr>
        <w:pStyle w:val="23"/>
        <w:numPr>
          <w:ilvl w:val="0"/>
          <w:numId w:val="0"/>
        </w:numPr>
        <w:spacing w:after="160" w:line="312" w:lineRule="auto"/>
        <w:rPr>
          <w:rFonts w:hint="eastAsia"/>
          <w:lang w:val="en-US" w:eastAsia="zh-CN"/>
        </w:rPr>
      </w:pPr>
    </w:p>
    <w:p w14:paraId="3A8EB2F6">
      <w:pPr>
        <w:pStyle w:val="23"/>
        <w:numPr>
          <w:ilvl w:val="0"/>
          <w:numId w:val="0"/>
        </w:numPr>
        <w:spacing w:after="160" w:line="312" w:lineRule="auto"/>
        <w:rPr>
          <w:rFonts w:hint="eastAsia"/>
          <w:lang w:val="en-US" w:eastAsia="zh-CN"/>
        </w:rPr>
      </w:pPr>
    </w:p>
    <w:p w14:paraId="560AB503">
      <w:pPr>
        <w:pStyle w:val="23"/>
        <w:numPr>
          <w:ilvl w:val="0"/>
          <w:numId w:val="0"/>
        </w:numPr>
        <w:spacing w:after="160" w:line="312" w:lineRule="auto"/>
        <w:rPr>
          <w:rFonts w:hint="eastAsia"/>
          <w:lang w:val="en-US" w:eastAsia="zh-CN"/>
        </w:rPr>
      </w:pPr>
    </w:p>
    <w:p w14:paraId="20DC4FDC">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bCs/>
          <w:sz w:val="36"/>
          <w:szCs w:val="36"/>
          <w:u w:val="none"/>
        </w:rPr>
        <w:t>城市更新项目</w:t>
      </w:r>
      <w:r>
        <w:rPr>
          <w:rFonts w:hint="eastAsia" w:asciiTheme="majorEastAsia" w:hAnsiTheme="majorEastAsia" w:eastAsiaTheme="majorEastAsia" w:cstheme="majorEastAsia"/>
          <w:b/>
          <w:sz w:val="36"/>
          <w:szCs w:val="36"/>
        </w:rPr>
        <w:t>物料制作及安装合同</w:t>
      </w:r>
    </w:p>
    <w:p w14:paraId="2AA62F30">
      <w:pPr>
        <w:jc w:val="center"/>
        <w:rPr>
          <w:rFonts w:hint="eastAsia" w:asciiTheme="majorEastAsia" w:hAnsiTheme="majorEastAsia" w:eastAsiaTheme="majorEastAsia" w:cstheme="majorEastAsia"/>
          <w:b/>
          <w:sz w:val="40"/>
          <w:szCs w:val="40"/>
        </w:rPr>
      </w:pPr>
    </w:p>
    <w:p w14:paraId="4822B276">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甲方：</w:t>
      </w:r>
      <w:r>
        <w:rPr>
          <w:rFonts w:hint="eastAsia" w:ascii="宋体" w:hAnsi="宋体" w:eastAsia="宋体" w:cs="宋体"/>
          <w:b/>
          <w:bCs/>
          <w:sz w:val="24"/>
          <w:szCs w:val="24"/>
          <w:u w:val="single"/>
        </w:rPr>
        <w:t xml:space="preserve"> 合肥市包河区城市更新建设有限公司</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（以下简称甲方）</w:t>
      </w:r>
    </w:p>
    <w:p w14:paraId="3D46ABFB">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乙方：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(以下简称乙方）</w:t>
      </w:r>
    </w:p>
    <w:p w14:paraId="053D021A">
      <w:pPr>
        <w:spacing w:line="360" w:lineRule="auto"/>
        <w:ind w:firstLine="480" w:firstLineChars="200"/>
        <w:rPr>
          <w:rFonts w:hint="eastAsia" w:ascii="宋体" w:hAnsi="宋体" w:eastAsia="宋体" w:cs="宋体"/>
          <w:b/>
          <w:bCs/>
          <w:sz w:val="24"/>
          <w:szCs w:val="24"/>
        </w:rPr>
      </w:pPr>
    </w:p>
    <w:p w14:paraId="06E7AE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依据《中华人民共和国民法典》和有关法规的规定，乙方接受甲方的委托，就委托合同内服务事项，双方经协商一致，签订本合同，信守执行：</w:t>
      </w:r>
    </w:p>
    <w:p w14:paraId="2E3F7413">
      <w:pPr>
        <w:spacing w:line="360" w:lineRule="auto"/>
        <w:ind w:firstLine="480" w:firstLineChars="200"/>
        <w:rPr>
          <w:rFonts w:hint="eastAsia" w:ascii="宋体" w:hAnsi="宋体" w:eastAsia="宋体" w:cs="宋体"/>
          <w:b/>
          <w:sz w:val="24"/>
          <w:szCs w:val="24"/>
        </w:rPr>
      </w:pPr>
    </w:p>
    <w:p w14:paraId="55F7BFE9">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一、合同内容和送货要求</w:t>
      </w:r>
    </w:p>
    <w:p w14:paraId="782C8341">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sz w:val="24"/>
          <w:szCs w:val="24"/>
        </w:rPr>
        <w:t>合同制作项目：</w:t>
      </w:r>
      <w:r>
        <w:rPr>
          <w:rFonts w:hint="eastAsia" w:ascii="宋体" w:hAnsi="宋体" w:eastAsia="宋体" w:cs="宋体"/>
          <w:color w:val="000000"/>
          <w:sz w:val="24"/>
          <w:szCs w:val="24"/>
          <w:u w:val="single"/>
        </w:rPr>
        <w:t xml:space="preserve">                              </w:t>
      </w:r>
    </w:p>
    <w:p w14:paraId="044B2473">
      <w:pPr>
        <w:numPr>
          <w:ilvl w:val="0"/>
          <w:numId w:val="6"/>
        </w:numPr>
        <w:spacing w:line="360" w:lineRule="auto"/>
        <w:rPr>
          <w:rFonts w:hint="eastAsia" w:ascii="宋体" w:hAnsi="宋体" w:eastAsia="宋体" w:cs="宋体"/>
          <w:color w:val="000000"/>
          <w:sz w:val="24"/>
          <w:szCs w:val="24"/>
        </w:rPr>
      </w:pPr>
      <w:r>
        <w:rPr>
          <w:rFonts w:hint="eastAsia" w:ascii="宋体" w:hAnsi="宋体" w:eastAsia="宋体" w:cs="宋体"/>
          <w:sz w:val="24"/>
          <w:szCs w:val="24"/>
        </w:rPr>
        <w:t>供货与安装时间:截止</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日完成所有广告物料安装（含运输、安装等全部活动）</w:t>
      </w:r>
    </w:p>
    <w:p w14:paraId="61D9EA3C">
      <w:pPr>
        <w:numPr>
          <w:ilvl w:val="0"/>
          <w:numId w:val="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安装地点：</w:t>
      </w:r>
      <w:r>
        <w:rPr>
          <w:rFonts w:hint="eastAsia" w:ascii="宋体" w:hAnsi="宋体" w:eastAsia="宋体" w:cs="宋体"/>
          <w:sz w:val="24"/>
          <w:szCs w:val="24"/>
        </w:rPr>
        <w:t>甲方指定地点</w:t>
      </w:r>
    </w:p>
    <w:p w14:paraId="589B881E">
      <w:pPr>
        <w:numPr>
          <w:ilvl w:val="0"/>
          <w:numId w:val="6"/>
        </w:numPr>
        <w:spacing w:line="360" w:lineRule="auto"/>
        <w:rPr>
          <w:rFonts w:hint="eastAsia" w:ascii="宋体" w:hAnsi="宋体" w:eastAsia="宋体" w:cs="宋体"/>
          <w:b/>
          <w:sz w:val="24"/>
          <w:szCs w:val="24"/>
        </w:rPr>
      </w:pPr>
      <w:r>
        <w:rPr>
          <w:rFonts w:hint="eastAsia" w:ascii="宋体" w:hAnsi="宋体" w:eastAsia="宋体" w:cs="宋体"/>
          <w:color w:val="000000"/>
          <w:sz w:val="24"/>
          <w:szCs w:val="24"/>
        </w:rPr>
        <w:t>乙方项目负责人：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联系方式：</w:t>
      </w:r>
      <w:r>
        <w:rPr>
          <w:rFonts w:hint="eastAsia" w:ascii="宋体" w:hAnsi="宋体" w:eastAsia="宋体" w:cs="宋体"/>
          <w:color w:val="000000"/>
          <w:sz w:val="24"/>
          <w:szCs w:val="24"/>
          <w:u w:val="single"/>
        </w:rPr>
        <w:t xml:space="preserve">                  </w:t>
      </w:r>
    </w:p>
    <w:p w14:paraId="28F49B6E">
      <w:pPr>
        <w:spacing w:line="400" w:lineRule="exact"/>
        <w:ind w:firstLine="480" w:firstLineChars="200"/>
        <w:rPr>
          <w:rFonts w:hint="eastAsia" w:ascii="宋体" w:hAnsi="宋体" w:eastAsia="宋体" w:cs="宋体"/>
          <w:b/>
          <w:sz w:val="24"/>
          <w:szCs w:val="24"/>
        </w:rPr>
      </w:pPr>
    </w:p>
    <w:p w14:paraId="1B0A556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二、验收标准和方法</w:t>
      </w:r>
    </w:p>
    <w:p w14:paraId="0B2DCD30">
      <w:pPr>
        <w:pStyle w:val="13"/>
        <w:numPr>
          <w:ilvl w:val="0"/>
          <w:numId w:val="7"/>
        </w:num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在本合同规定的物料完工时间内,乙方在对物料成品进行准确而全面的检验合格后,应提前通知甲方做好交货准备,并在约定的时间内免费将物料成品交到甲方指定地点。</w:t>
      </w:r>
    </w:p>
    <w:p w14:paraId="507BE27E">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以甲乙双方确认的制作要求（包括材质工艺、画面、规格、技术标准、质量要求等）为准进行验收。</w:t>
      </w:r>
    </w:p>
    <w:p w14:paraId="6DFAB24A">
      <w:pPr>
        <w:pStyle w:val="13"/>
        <w:numPr>
          <w:ilvl w:val="0"/>
          <w:numId w:val="7"/>
        </w:num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甲方应仔细检查物料成品,如果物料成品的质量、内容、数量符合要求,甲方应在乙方交货后48小时内在“验收单”上签字认可；如果物料成品的质量、内容、数量不符合要求,甲方可拒绝在“验收单”上签字,则视为验收不合格。甲方对物料成品的验收是否符合合同约定标准拥有最终确定权。</w:t>
      </w:r>
    </w:p>
    <w:p w14:paraId="3E1B021C">
      <w:pPr>
        <w:spacing w:line="400" w:lineRule="exact"/>
        <w:rPr>
          <w:rFonts w:hint="eastAsia" w:ascii="宋体" w:hAnsi="宋体" w:eastAsia="宋体" w:cs="宋体"/>
          <w:b/>
          <w:sz w:val="24"/>
          <w:szCs w:val="24"/>
        </w:rPr>
      </w:pPr>
    </w:p>
    <w:p w14:paraId="73A795C6">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三、合同金额：</w:t>
      </w:r>
    </w:p>
    <w:p w14:paraId="527969F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本合同含税金额：</w:t>
      </w:r>
      <w:r>
        <w:rPr>
          <w:rFonts w:hint="eastAsia" w:ascii="宋体" w:hAnsi="宋体" w:eastAsia="宋体" w:cs="宋体"/>
          <w:sz w:val="24"/>
          <w:szCs w:val="24"/>
          <w:u w:val="single"/>
        </w:rPr>
        <w:t xml:space="preserve">                            （小写）：￥         元</w:t>
      </w:r>
      <w:r>
        <w:rPr>
          <w:rFonts w:hint="eastAsia" w:ascii="宋体" w:hAnsi="宋体" w:eastAsia="宋体" w:cs="宋体"/>
          <w:sz w:val="24"/>
          <w:szCs w:val="24"/>
        </w:rPr>
        <w:t>。</w:t>
      </w:r>
    </w:p>
    <w:p w14:paraId="3AF8B86E">
      <w:pPr>
        <w:spacing w:line="400" w:lineRule="exact"/>
        <w:ind w:firstLine="480" w:firstLineChars="200"/>
        <w:rPr>
          <w:rFonts w:hint="eastAsia" w:ascii="宋体" w:hAnsi="宋体" w:eastAsia="宋体" w:cs="宋体"/>
          <w:sz w:val="24"/>
          <w:szCs w:val="24"/>
        </w:rPr>
      </w:pPr>
    </w:p>
    <w:p w14:paraId="4F59D398">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付款方式：</w:t>
      </w:r>
    </w:p>
    <w:p w14:paraId="52A5CC49">
      <w:pPr>
        <w:numPr>
          <w:ilvl w:val="0"/>
          <w:numId w:val="8"/>
        </w:numPr>
        <w:spacing w:line="400" w:lineRule="exact"/>
        <w:rPr>
          <w:rFonts w:hint="eastAsia" w:ascii="宋体" w:hAnsi="宋体" w:eastAsia="宋体" w:cs="宋体"/>
          <w:sz w:val="24"/>
          <w:szCs w:val="24"/>
          <w:highlight w:val="yellow"/>
        </w:rPr>
      </w:pPr>
      <w:r>
        <w:rPr>
          <w:rFonts w:hint="eastAsia" w:ascii="宋体" w:hAnsi="宋体" w:eastAsia="宋体" w:cs="宋体"/>
          <w:bCs/>
          <w:sz w:val="24"/>
          <w:szCs w:val="24"/>
          <w:highlight w:val="yellow"/>
        </w:rPr>
        <w:t>乙方完成物料制作并经甲方验收合格、双方签署验收确认文件后，甲方按照实际制作且验收合格的数量进行据实结算。</w:t>
      </w:r>
    </w:p>
    <w:p w14:paraId="02D314F3">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甲方付款前，乙方应提供相应金额的增值税专用发票（税率</w:t>
      </w:r>
      <w:r>
        <w:rPr>
          <w:rFonts w:hint="eastAsia" w:ascii="宋体" w:hAnsi="宋体" w:eastAsia="宋体" w:cs="宋体"/>
          <w:sz w:val="24"/>
          <w:szCs w:val="24"/>
          <w:u w:val="single"/>
        </w:rPr>
        <w:t xml:space="preserve">     </w:t>
      </w:r>
      <w:r>
        <w:rPr>
          <w:rFonts w:hint="eastAsia" w:ascii="宋体" w:hAnsi="宋体" w:eastAsia="宋体" w:cs="宋体"/>
          <w:sz w:val="24"/>
          <w:szCs w:val="24"/>
        </w:rPr>
        <w:t>%），否则甲方有权不予付款。</w:t>
      </w:r>
    </w:p>
    <w:p w14:paraId="385FE927">
      <w:pPr>
        <w:numPr>
          <w:ilvl w:val="0"/>
          <w:numId w:val="0"/>
        </w:numPr>
        <w:spacing w:line="400" w:lineRule="exact"/>
        <w:ind w:left="420" w:leftChars="0"/>
        <w:rPr>
          <w:rFonts w:hint="eastAsia" w:ascii="宋体" w:hAnsi="宋体" w:eastAsia="宋体" w:cs="宋体"/>
          <w:sz w:val="24"/>
          <w:szCs w:val="24"/>
        </w:rPr>
      </w:pPr>
    </w:p>
    <w:p w14:paraId="26062B31">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乙方账户信息：</w:t>
      </w:r>
    </w:p>
    <w:p w14:paraId="00311986">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户  名：</w:t>
      </w:r>
      <w:r>
        <w:rPr>
          <w:rFonts w:hint="eastAsia" w:ascii="宋体" w:hAnsi="宋体" w:eastAsia="宋体" w:cs="宋体"/>
          <w:sz w:val="24"/>
          <w:szCs w:val="24"/>
          <w:u w:val="single"/>
        </w:rPr>
        <w:t xml:space="preserve">                           </w:t>
      </w:r>
    </w:p>
    <w:p w14:paraId="5F553F1D">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14:paraId="0FC533A7">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帐  号：</w:t>
      </w:r>
      <w:r>
        <w:rPr>
          <w:rFonts w:hint="eastAsia" w:ascii="宋体" w:hAnsi="宋体" w:eastAsia="宋体" w:cs="宋体"/>
          <w:sz w:val="24"/>
          <w:szCs w:val="24"/>
          <w:u w:val="single"/>
        </w:rPr>
        <w:t xml:space="preserve">                           </w:t>
      </w:r>
    </w:p>
    <w:p w14:paraId="11990C40">
      <w:pPr>
        <w:pStyle w:val="13"/>
        <w:ind w:firstLine="420"/>
        <w:rPr>
          <w:rFonts w:hint="eastAsia" w:ascii="宋体" w:hAnsi="宋体" w:eastAsia="宋体" w:cs="宋体"/>
          <w:sz w:val="24"/>
          <w:szCs w:val="24"/>
        </w:rPr>
      </w:pPr>
    </w:p>
    <w:p w14:paraId="3564D4AF">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四、甲方的权利义务</w:t>
      </w:r>
    </w:p>
    <w:p w14:paraId="0B2D26C1">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甲方有权要求乙方按照规定的时间内按质按量交货，且乙方提供的物料必须是完好、干净、全新制作的，不得出现以次充好的情况。乙方出现任何质量问题，甲方可不予签字验收，且有权拒收物料成品，由此产生的一切损失由乙方自行承担。</w:t>
      </w:r>
    </w:p>
    <w:p w14:paraId="070B1FEF">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甲方在完成以上项目过程中负责校对、审核、确认、定稿工作，因甲方提供资料有误而乙方已制作完成，由甲方承担已发生的实际物料损失。</w:t>
      </w:r>
    </w:p>
    <w:p w14:paraId="6E3844F3">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甲方有权在制作和安装过程中提出任何异议或修改意见，乙方应协助及时按照甲方的指示维修或重做至甲方书面验收通过。</w:t>
      </w:r>
    </w:p>
    <w:p w14:paraId="75D048CE">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甲方有义务依据合同约定向乙方据实结算款项。</w:t>
      </w:r>
    </w:p>
    <w:p w14:paraId="2BB15A01">
      <w:pPr>
        <w:spacing w:line="400" w:lineRule="exact"/>
        <w:ind w:firstLine="480" w:firstLineChars="200"/>
        <w:rPr>
          <w:rFonts w:hint="eastAsia" w:ascii="宋体" w:hAnsi="宋体" w:eastAsia="宋体" w:cs="宋体"/>
          <w:b/>
          <w:sz w:val="24"/>
          <w:szCs w:val="24"/>
        </w:rPr>
      </w:pPr>
    </w:p>
    <w:p w14:paraId="0C7A54C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五、乙方的权利义务</w:t>
      </w:r>
    </w:p>
    <w:p w14:paraId="72CF516D">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乙方应严格按照甲方确认的小样稿、设计方案等要求进行制作，确保按照合同约定的时间和方式保质保量地履行制作物品的交付义务。</w:t>
      </w:r>
    </w:p>
    <w:p w14:paraId="11808DB3">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乙方应按照甲方规定时间及数量送货安装及清理撤场，使用完毕后需恢复原状，如因施工给甲方造成经济损失，乙方应承担相应赔偿责任。</w:t>
      </w:r>
    </w:p>
    <w:p w14:paraId="705789C4">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14:paraId="55D2537F">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本合同生效后，对于乙方送货上门的物料交付给甲方（交付以甲方在约定的收货地点对物品验收合格，并确认签收为标准）前，在制作、设计、成品保管、运输、搬运、装卸、施工过程中发生毁损、灭失的，一切责任及风险由乙方承担。</w:t>
      </w:r>
    </w:p>
    <w:p w14:paraId="08C9137A">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城管、物业等沟通协商事宜由甲方自行负责，如因城管或物业等原因导致无法正常施工，则由甲方承担乙方相应损失（含往返人工、运费等）。实际安装完工日自甲方与城管、物业协调一致后自动延续，乙方无需承担违约责任。</w:t>
      </w:r>
    </w:p>
    <w:p w14:paraId="4E8DAB68">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乙方制作、施工、安装广告物品时不得损坏甲方的有关物品和设施，否则应全额赔偿甲方的损失。</w:t>
      </w:r>
    </w:p>
    <w:p w14:paraId="3F7AEADB">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乙方在施工过程中须做好安全防护工作，在广告物品的制作、安装过程中，应保证安全、文明施工。若因施工行为导致甲方或第三人人身、财产损害，乙方应承担全部赔偿责任及相关法律责任。</w:t>
      </w:r>
    </w:p>
    <w:p w14:paraId="70ADC339">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合同期内，乙方不得以任何理由拒绝制作合同内的物料。</w:t>
      </w:r>
    </w:p>
    <w:p w14:paraId="78BDD6A8">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乙方有权要求甲方按合同约定据实结算货款</w:t>
      </w:r>
    </w:p>
    <w:p w14:paraId="73663925">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在履行本合同约定的义务过程中，乙方保证提供的相关物料成果（包括过程性作品或成果）等均为乙方原创，未侵犯任何第三方的知识产权等合法权益。如乙方侵犯了第三方的知识产权，乙方应负责解决由此引起的一切法律纠纷，并承担相应的法律责任。乙方制作的物料等所有工作成果，由甲方享有所有权和全部知识产权（包括但不限于发表权、署名权、修改权、作品完整权、复制权、发行权、出租权、展览权、表演权、放映权、广播权、信息网络传播权、摄制权、改编权、翻译权、汇编权等）。乙方未经甲方同意，不得将本合同项下的任何工作成果用于本合同约定外的事项。</w:t>
      </w:r>
    </w:p>
    <w:p w14:paraId="33AB35B5">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因乙方违反本条第10款的约定，因侵犯第三人合法权益导致甲方遭受损失的（包括但不限于商誉、直接经济损失等），乙方应赔偿甲方因此遭受的所有相关损失，赔偿范围包括但不限于：物料更换费、侵权赔偿费、维权所需的诉讼费、律师费等相关费用。同时，甲方有权据此提前解除本合同并要求乙方赔偿合同总价款20%的违约金。</w:t>
      </w:r>
    </w:p>
    <w:p w14:paraId="61762DB7">
      <w:pPr>
        <w:spacing w:line="400" w:lineRule="exact"/>
        <w:rPr>
          <w:rFonts w:hint="eastAsia" w:ascii="宋体" w:hAnsi="宋体" w:eastAsia="宋体" w:cs="宋体"/>
          <w:sz w:val="24"/>
          <w:szCs w:val="24"/>
        </w:rPr>
      </w:pPr>
    </w:p>
    <w:p w14:paraId="16C94FCA">
      <w:pPr>
        <w:spacing w:line="360" w:lineRule="auto"/>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六、保密条款</w:t>
      </w:r>
    </w:p>
    <w:p w14:paraId="3CE327CB">
      <w:pPr>
        <w:numPr>
          <w:ilvl w:val="0"/>
          <w:numId w:val="11"/>
        </w:numPr>
        <w:spacing w:line="400" w:lineRule="exact"/>
        <w:rPr>
          <w:rFonts w:hint="eastAsia" w:ascii="宋体" w:hAnsi="宋体" w:eastAsia="宋体" w:cs="宋体"/>
          <w:sz w:val="24"/>
          <w:szCs w:val="24"/>
        </w:rPr>
      </w:pPr>
      <w:r>
        <w:rPr>
          <w:rFonts w:hint="eastAsia" w:ascii="宋体" w:hAnsi="宋体" w:eastAsia="宋体" w:cs="宋体"/>
          <w:sz w:val="24"/>
          <w:szCs w:val="24"/>
        </w:rPr>
        <w:t>乙方对甲方所委托的物料内容，应负保密义务，非经甲方书面同意，不得私自利用或对外泄露。</w:t>
      </w:r>
    </w:p>
    <w:p w14:paraId="7EB4E425">
      <w:pPr>
        <w:numPr>
          <w:ilvl w:val="0"/>
          <w:numId w:val="11"/>
        </w:numPr>
        <w:spacing w:line="400" w:lineRule="exact"/>
        <w:rPr>
          <w:rFonts w:hint="eastAsia" w:ascii="宋体" w:hAnsi="宋体" w:eastAsia="宋体" w:cs="宋体"/>
          <w:sz w:val="24"/>
          <w:szCs w:val="24"/>
        </w:rPr>
      </w:pPr>
      <w:r>
        <w:rPr>
          <w:rFonts w:hint="eastAsia" w:ascii="宋体" w:hAnsi="宋体" w:eastAsia="宋体" w:cs="宋体"/>
          <w:sz w:val="24"/>
          <w:szCs w:val="24"/>
        </w:rPr>
        <w:t>乙方设计人员应保存甲方提供的一切用于物料的电子文档，但不得擅自提供给任何第三方作任何用途。</w:t>
      </w:r>
    </w:p>
    <w:p w14:paraId="4A357677">
      <w:pPr>
        <w:spacing w:line="400" w:lineRule="exact"/>
        <w:rPr>
          <w:rFonts w:hint="eastAsia" w:ascii="宋体" w:hAnsi="宋体" w:eastAsia="宋体" w:cs="宋体"/>
          <w:sz w:val="24"/>
          <w:szCs w:val="24"/>
        </w:rPr>
      </w:pPr>
    </w:p>
    <w:p w14:paraId="3ADB2286">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七、违约责任</w:t>
      </w:r>
    </w:p>
    <w:p w14:paraId="5619A637">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若乙方交付的物料质量、数量、规格有不符合清单内容与合同约定或达不到甲方验收标准，甲方有权拒收并解除本合同，并不予支付乙方本次款项。</w:t>
      </w:r>
    </w:p>
    <w:p w14:paraId="4DAE63C3">
      <w:pPr>
        <w:numPr>
          <w:ilvl w:val="0"/>
          <w:numId w:val="12"/>
        </w:numPr>
        <w:spacing w:line="400" w:lineRule="exact"/>
        <w:rPr>
          <w:rFonts w:hint="eastAsia" w:ascii="宋体" w:hAnsi="宋体" w:eastAsia="宋体" w:cs="宋体"/>
          <w:sz w:val="24"/>
          <w:szCs w:val="24"/>
        </w:rPr>
      </w:pPr>
      <w:r>
        <w:rPr>
          <w:rFonts w:hint="eastAsia" w:ascii="宋体" w:hAnsi="宋体" w:eastAsia="宋体" w:cs="宋体"/>
          <w:sz w:val="24"/>
          <w:szCs w:val="24"/>
        </w:rPr>
        <w:t>乙方未按时向甲方提供物料成品，甲方有权不予支付乙方本次物料款项，另乙方仍需承担本次制作费30%的违约金。</w:t>
      </w:r>
    </w:p>
    <w:p w14:paraId="15293BDC">
      <w:pPr>
        <w:spacing w:line="400" w:lineRule="exact"/>
        <w:ind w:left="900" w:leftChars="200" w:hanging="480" w:hangingChars="200"/>
        <w:rPr>
          <w:rFonts w:hint="eastAsia" w:ascii="宋体" w:hAnsi="宋体" w:eastAsia="宋体" w:cs="宋体"/>
          <w:sz w:val="24"/>
          <w:szCs w:val="24"/>
        </w:rPr>
      </w:pPr>
      <w:r>
        <w:rPr>
          <w:rFonts w:hint="eastAsia" w:ascii="宋体" w:hAnsi="宋体" w:eastAsia="宋体" w:cs="宋体"/>
          <w:sz w:val="24"/>
          <w:szCs w:val="24"/>
        </w:rPr>
        <w:t>3. 乙方未按本合同约定开具、送达合法等额增值税专用发票或开具的增值税专用发票不符合税务部门规定的，应在7日内按甲方要求重新开具增值税专用发票，并按重新开具发票金额的10%向甲方支付违约金，该金额不足以弥补甲方损失的，甲方有权向乙方另行追偿；同时，甲方有权将收到的不合法发票、联系人、联系方式送交乙方公司所在地税务机关处理。</w:t>
      </w:r>
    </w:p>
    <w:p w14:paraId="69EA35F8">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4.乙方保证其在本合同履行过程中向甲方提供的资料、信息（包括但不限于主体资格证明文件、行政许可文件等）具备合法性和真实性，否则甲方有权解除本合同，乙方应全额返还甲方已支付款项，并向甲方支付合同总价款20%的违约金。</w:t>
      </w:r>
    </w:p>
    <w:p w14:paraId="59255D22">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5.乙方若违反本合同其他条款的，甲方有权解除本合同，并要求乙方支付合同总价款20%的违约金。</w:t>
      </w:r>
    </w:p>
    <w:p w14:paraId="0972CCBA">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6.乙方违反本合同保密义务，应向甲方承担本合同总价款20%违约金，违约金不足以弥补损失的，还应赔偿给甲方造成的损失。</w:t>
      </w:r>
    </w:p>
    <w:p w14:paraId="1424BA37">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7.乙方擅自转让本合同权利义务的，甲方可以解除本合同（甲方已经预付合同费用的，乙方应无条件无额返还）且要求乙方向甲方支付本合同总价款20%违约金。</w:t>
      </w:r>
    </w:p>
    <w:p w14:paraId="60087DC3">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8.乙方应承担甲方为追偿乙方违约造成的支出（包括但不限于诉讼费、律师代理费、公证费用、保全费用等）。本协议项下违约金不足以弥补甲方损失的，乙方还应赔偿不足部分损失。</w:t>
      </w:r>
    </w:p>
    <w:p w14:paraId="3CE3DE7C">
      <w:pPr>
        <w:spacing w:line="400" w:lineRule="exact"/>
        <w:ind w:left="845"/>
        <w:rPr>
          <w:rFonts w:hint="eastAsia" w:ascii="宋体" w:hAnsi="宋体" w:eastAsia="宋体" w:cs="宋体"/>
          <w:sz w:val="24"/>
          <w:szCs w:val="24"/>
        </w:rPr>
      </w:pPr>
    </w:p>
    <w:p w14:paraId="7DA323CE">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八、其他事项</w:t>
      </w:r>
    </w:p>
    <w:p w14:paraId="23B18580">
      <w:pPr>
        <w:numPr>
          <w:ilvl w:val="0"/>
          <w:numId w:val="13"/>
        </w:num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整体</w:t>
      </w:r>
      <w:r>
        <w:rPr>
          <w:rFonts w:hint="eastAsia" w:ascii="宋体" w:hAnsi="宋体" w:eastAsia="宋体" w:cs="宋体"/>
          <w:sz w:val="24"/>
          <w:szCs w:val="24"/>
        </w:rPr>
        <w:t>物料视具体情况而定，</w:t>
      </w:r>
      <w:r>
        <w:rPr>
          <w:rFonts w:hint="eastAsia" w:ascii="宋体" w:hAnsi="宋体" w:eastAsia="宋体" w:cs="宋体"/>
          <w:sz w:val="24"/>
          <w:szCs w:val="24"/>
          <w:lang w:val="zh-CN"/>
        </w:rPr>
        <w:t>质保</w:t>
      </w:r>
      <w:r>
        <w:rPr>
          <w:rFonts w:hint="eastAsia" w:ascii="宋体" w:hAnsi="宋体" w:eastAsia="宋体" w:cs="宋体"/>
          <w:sz w:val="24"/>
          <w:szCs w:val="24"/>
        </w:rPr>
        <w:t>期为</w:t>
      </w:r>
      <w:r>
        <w:rPr>
          <w:rFonts w:hint="eastAsia" w:ascii="宋体" w:hAnsi="宋体" w:eastAsia="宋体" w:cs="宋体"/>
          <w:sz w:val="24"/>
          <w:szCs w:val="24"/>
          <w:u w:val="single"/>
        </w:rPr>
        <w:t>6-12</w:t>
      </w:r>
      <w:r>
        <w:rPr>
          <w:rFonts w:hint="eastAsia" w:ascii="宋体" w:hAnsi="宋体" w:eastAsia="宋体" w:cs="宋体"/>
          <w:sz w:val="24"/>
          <w:szCs w:val="24"/>
          <w:lang w:val="zh-CN"/>
        </w:rPr>
        <w:t>个月，（质保期起始时间以乙方交付时间为准，</w:t>
      </w:r>
      <w:r>
        <w:rPr>
          <w:rFonts w:hint="eastAsia" w:ascii="宋体" w:hAnsi="宋体" w:eastAsia="宋体" w:cs="宋体"/>
          <w:sz w:val="24"/>
          <w:szCs w:val="24"/>
        </w:rPr>
        <w:t>具体项目质保期以当次制作清单备注为准</w:t>
      </w:r>
      <w:r>
        <w:rPr>
          <w:rFonts w:hint="eastAsia" w:ascii="宋体" w:hAnsi="宋体" w:eastAsia="宋体" w:cs="宋体"/>
          <w:sz w:val="24"/>
          <w:szCs w:val="24"/>
          <w:lang w:val="zh-CN"/>
        </w:rPr>
        <w:t>），质保期内因产品自身原因引起的质量问题由乙方</w:t>
      </w:r>
      <w:r>
        <w:rPr>
          <w:rFonts w:hint="eastAsia" w:ascii="宋体" w:hAnsi="宋体" w:eastAsia="宋体" w:cs="宋体"/>
          <w:sz w:val="24"/>
          <w:szCs w:val="24"/>
        </w:rPr>
        <w:t>负责</w:t>
      </w:r>
      <w:r>
        <w:rPr>
          <w:rFonts w:hint="eastAsia" w:ascii="宋体" w:hAnsi="宋体" w:eastAsia="宋体" w:cs="宋体"/>
          <w:sz w:val="24"/>
          <w:szCs w:val="24"/>
          <w:lang w:val="zh-CN"/>
        </w:rPr>
        <w:t>免费维修；且产生的费用由乙方自行承担；因人为和不可抗拒等因素，由此产生的责任和费用无需乙方承担。</w:t>
      </w:r>
    </w:p>
    <w:p w14:paraId="119438E9">
      <w:pPr>
        <w:numPr>
          <w:ilvl w:val="0"/>
          <w:numId w:val="13"/>
        </w:numPr>
        <w:spacing w:line="400" w:lineRule="exact"/>
        <w:rPr>
          <w:rFonts w:hint="eastAsia" w:ascii="宋体" w:hAnsi="宋体" w:eastAsia="宋体" w:cs="宋体"/>
          <w:sz w:val="24"/>
          <w:szCs w:val="24"/>
        </w:rPr>
      </w:pPr>
      <w:r>
        <w:rPr>
          <w:rFonts w:hint="eastAsia" w:ascii="宋体" w:hAnsi="宋体" w:eastAsia="宋体" w:cs="宋体"/>
          <w:sz w:val="24"/>
          <w:szCs w:val="24"/>
        </w:rPr>
        <w:t>乙方需提前勘察现场施工环境和安装点位，甲方不承担由此所产生的一切费用。</w:t>
      </w:r>
    </w:p>
    <w:p w14:paraId="2E3A5952">
      <w:pPr>
        <w:numPr>
          <w:ilvl w:val="0"/>
          <w:numId w:val="13"/>
        </w:numPr>
        <w:spacing w:line="400" w:lineRule="exact"/>
        <w:rPr>
          <w:rFonts w:hint="eastAsia" w:ascii="宋体" w:hAnsi="宋体" w:eastAsia="宋体" w:cs="宋体"/>
          <w:sz w:val="24"/>
          <w:szCs w:val="24"/>
        </w:rPr>
      </w:pPr>
      <w:r>
        <w:rPr>
          <w:rFonts w:hint="eastAsia" w:ascii="宋体" w:hAnsi="宋体" w:eastAsia="宋体" w:cs="宋体"/>
          <w:sz w:val="24"/>
          <w:szCs w:val="24"/>
        </w:rPr>
        <w:t>因甲方提供的安装位置不符，造成影响施工进度和安全隐患的由甲方承担相应修改费用和责任。</w:t>
      </w:r>
    </w:p>
    <w:p w14:paraId="08A8AD62">
      <w:pPr>
        <w:numPr>
          <w:ilvl w:val="0"/>
          <w:numId w:val="13"/>
        </w:numPr>
        <w:spacing w:line="400" w:lineRule="exact"/>
        <w:rPr>
          <w:rFonts w:hint="eastAsia" w:ascii="宋体" w:hAnsi="宋体" w:eastAsia="宋体" w:cs="宋体"/>
          <w:sz w:val="24"/>
          <w:szCs w:val="24"/>
        </w:rPr>
      </w:pPr>
      <w:r>
        <w:rPr>
          <w:rFonts w:hint="eastAsia" w:ascii="宋体" w:hAnsi="宋体" w:eastAsia="宋体" w:cs="宋体"/>
          <w:sz w:val="24"/>
          <w:szCs w:val="24"/>
        </w:rPr>
        <w:t>本合同未尽事宜，甲乙双方可另行协商解决，经双方同意后，通过签订书面补充协议的形式约定，补充协议经双方授权代表签字并加盖公章（或合同专用章）后生效。</w:t>
      </w:r>
    </w:p>
    <w:p w14:paraId="41B260E1">
      <w:pPr>
        <w:numPr>
          <w:ilvl w:val="0"/>
          <w:numId w:val="13"/>
        </w:numPr>
        <w:spacing w:line="400" w:lineRule="exact"/>
        <w:rPr>
          <w:rFonts w:hint="eastAsia" w:ascii="宋体" w:hAnsi="宋体" w:eastAsia="宋体" w:cs="宋体"/>
          <w:sz w:val="24"/>
          <w:szCs w:val="24"/>
        </w:rPr>
      </w:pPr>
      <w:r>
        <w:rPr>
          <w:rFonts w:hint="eastAsia" w:ascii="宋体" w:hAnsi="宋体" w:eastAsia="宋体" w:cs="宋体"/>
          <w:sz w:val="24"/>
          <w:szCs w:val="24"/>
        </w:rPr>
        <w:t>合同签订后，甲乙双方因本合同发生争议，应以协商方式解决；若协商不成，由甲方住所地人民法院诉讼管辖解决纠纷。</w:t>
      </w:r>
    </w:p>
    <w:p w14:paraId="3C20BBB5">
      <w:pPr>
        <w:numPr>
          <w:ilvl w:val="0"/>
          <w:numId w:val="13"/>
        </w:numPr>
        <w:spacing w:line="400" w:lineRule="exact"/>
        <w:rPr>
          <w:rFonts w:hint="eastAsia" w:ascii="宋体" w:hAnsi="宋体" w:eastAsia="宋体" w:cs="宋体"/>
          <w:sz w:val="24"/>
          <w:szCs w:val="24"/>
        </w:rPr>
      </w:pPr>
      <w:r>
        <w:rPr>
          <w:rFonts w:hint="eastAsia" w:ascii="宋体" w:hAnsi="宋体" w:eastAsia="宋体" w:cs="宋体"/>
          <w:sz w:val="24"/>
          <w:szCs w:val="24"/>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4ECDD7A9">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甲方：【        】</w:t>
      </w:r>
    </w:p>
    <w:p w14:paraId="49D73E1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6176E8ED">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r>
        <w:rPr>
          <w:rFonts w:hint="eastAsia" w:ascii="宋体" w:hAnsi="宋体" w:eastAsia="宋体" w:cs="宋体"/>
          <w:sz w:val="24"/>
          <w:szCs w:val="24"/>
        </w:rPr>
        <w:tab/>
      </w:r>
      <w:r>
        <w:rPr>
          <w:rFonts w:hint="eastAsia" w:ascii="宋体" w:hAnsi="宋体" w:eastAsia="宋体" w:cs="宋体"/>
          <w:sz w:val="24"/>
          <w:szCs w:val="24"/>
        </w:rPr>
        <w:tab/>
      </w:r>
    </w:p>
    <w:p w14:paraId="29D2B8BF">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14063967">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乙方：【              】</w:t>
      </w:r>
    </w:p>
    <w:p w14:paraId="4DD4D8D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79909C2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p>
    <w:p w14:paraId="3BC48141">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7C9F6DDB">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电子邮件：【         】</w:t>
      </w:r>
    </w:p>
    <w:p w14:paraId="0B466332">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重要事项均应以书面形式送交对方签收或按协议约定地址邮寄送达，一经签收或邮寄后即视为对方已收到。</w:t>
      </w:r>
    </w:p>
    <w:p w14:paraId="38EF292B">
      <w:pPr>
        <w:numPr>
          <w:ilvl w:val="0"/>
          <w:numId w:val="13"/>
        </w:num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本合同自双方授权代表签字并加盖有效公章（或合同专用章）后生效。本合同壹式肆份，甲方叁份乙方壹份，具有同等法律效力。如双方签字日期不一致时，以最后签字方的签字日期为合同的生效日期。</w:t>
      </w:r>
    </w:p>
    <w:p w14:paraId="2B2ECB08">
      <w:pPr>
        <w:numPr>
          <w:ilvl w:val="0"/>
          <w:numId w:val="0"/>
        </w:numPr>
        <w:spacing w:line="400" w:lineRule="exact"/>
        <w:ind w:left="420" w:leftChars="0"/>
        <w:rPr>
          <w:rFonts w:hint="eastAsia" w:ascii="宋体" w:hAnsi="宋体" w:eastAsia="宋体" w:cs="宋体"/>
          <w:sz w:val="24"/>
          <w:szCs w:val="24"/>
        </w:rPr>
      </w:pPr>
    </w:p>
    <w:p w14:paraId="0FFFBC35">
      <w:pPr>
        <w:spacing w:line="400" w:lineRule="exact"/>
        <w:rPr>
          <w:rFonts w:hint="eastAsia" w:ascii="宋体" w:hAnsi="宋体" w:eastAsia="宋体" w:cs="宋体"/>
          <w:bCs/>
          <w:sz w:val="24"/>
          <w:szCs w:val="24"/>
        </w:rPr>
      </w:pPr>
      <w:r>
        <w:rPr>
          <w:rFonts w:hint="eastAsia" w:ascii="宋体" w:hAnsi="宋体" w:eastAsia="宋体" w:cs="宋体"/>
          <w:sz w:val="24"/>
          <w:szCs w:val="24"/>
        </w:rPr>
        <w:t>甲方：</w:t>
      </w:r>
      <w:r>
        <w:rPr>
          <w:rFonts w:hint="eastAsia" w:ascii="宋体" w:hAnsi="宋体" w:eastAsia="宋体" w:cs="宋体"/>
          <w:bCs/>
          <w:color w:val="000000"/>
          <w:sz w:val="24"/>
          <w:szCs w:val="24"/>
          <w:lang w:val="zh-CN"/>
        </w:rPr>
        <w:t>（签章）</w:t>
      </w:r>
      <w:r>
        <w:rPr>
          <w:rFonts w:hint="eastAsia" w:ascii="宋体" w:hAnsi="宋体" w:eastAsia="宋体" w:cs="宋体"/>
          <w:bCs/>
          <w:color w:val="000000"/>
          <w:sz w:val="24"/>
          <w:szCs w:val="24"/>
        </w:rPr>
        <w:t xml:space="preserve">                                </w:t>
      </w:r>
      <w:r>
        <w:rPr>
          <w:rFonts w:hint="eastAsia" w:ascii="宋体" w:hAnsi="宋体" w:eastAsia="宋体" w:cs="宋体"/>
          <w:bCs/>
          <w:sz w:val="24"/>
          <w:szCs w:val="24"/>
        </w:rPr>
        <w:t>乙方：（</w:t>
      </w:r>
      <w:r>
        <w:rPr>
          <w:rFonts w:hint="eastAsia" w:ascii="宋体" w:hAnsi="宋体" w:eastAsia="宋体" w:cs="宋体"/>
          <w:bCs/>
          <w:color w:val="000000"/>
          <w:sz w:val="24"/>
          <w:szCs w:val="24"/>
          <w:lang w:val="zh-CN"/>
        </w:rPr>
        <w:t>签章</w:t>
      </w:r>
      <w:r>
        <w:rPr>
          <w:rFonts w:hint="eastAsia" w:ascii="宋体" w:hAnsi="宋体" w:eastAsia="宋体" w:cs="宋体"/>
          <w:bCs/>
          <w:sz w:val="24"/>
          <w:szCs w:val="24"/>
        </w:rPr>
        <w:t xml:space="preserve">） </w:t>
      </w:r>
    </w:p>
    <w:p w14:paraId="524EDA64">
      <w:pPr>
        <w:spacing w:line="400" w:lineRule="exact"/>
        <w:rPr>
          <w:rFonts w:hint="eastAsia" w:ascii="宋体" w:hAnsi="宋体" w:eastAsia="宋体" w:cs="宋体"/>
          <w:bCs/>
          <w:sz w:val="24"/>
          <w:szCs w:val="24"/>
        </w:rPr>
      </w:pPr>
    </w:p>
    <w:p w14:paraId="18F922AE">
      <w:pPr>
        <w:spacing w:line="400" w:lineRule="exact"/>
        <w:rPr>
          <w:rFonts w:hint="eastAsia" w:ascii="宋体" w:hAnsi="宋体" w:eastAsia="宋体" w:cs="宋体"/>
          <w:sz w:val="24"/>
          <w:szCs w:val="24"/>
        </w:rPr>
      </w:pPr>
    </w:p>
    <w:p w14:paraId="7E97E5FD">
      <w:pPr>
        <w:spacing w:line="400" w:lineRule="exact"/>
        <w:rPr>
          <w:rFonts w:hint="eastAsia" w:ascii="宋体" w:hAnsi="宋体" w:eastAsia="宋体" w:cs="宋体"/>
          <w:sz w:val="24"/>
          <w:szCs w:val="24"/>
        </w:rPr>
      </w:pPr>
      <w:r>
        <w:rPr>
          <w:rFonts w:hint="eastAsia" w:ascii="宋体" w:hAnsi="宋体" w:eastAsia="宋体" w:cs="宋体"/>
          <w:sz w:val="24"/>
          <w:szCs w:val="24"/>
        </w:rPr>
        <w:t>甲方代表：（签字）                            乙方代表：（签字）</w:t>
      </w:r>
    </w:p>
    <w:p w14:paraId="7082CA53">
      <w:pPr>
        <w:spacing w:line="400" w:lineRule="exact"/>
        <w:rPr>
          <w:rFonts w:hint="eastAsia" w:ascii="宋体" w:hAnsi="宋体" w:eastAsia="宋体" w:cs="宋体"/>
          <w:sz w:val="24"/>
          <w:szCs w:val="24"/>
        </w:rPr>
      </w:pPr>
    </w:p>
    <w:p w14:paraId="2AA2F408">
      <w:pPr>
        <w:spacing w:line="400" w:lineRule="exact"/>
        <w:rPr>
          <w:rFonts w:hint="eastAsia" w:ascii="宋体" w:hAnsi="宋体" w:eastAsia="宋体" w:cs="宋体"/>
          <w:sz w:val="24"/>
          <w:szCs w:val="24"/>
        </w:rPr>
      </w:pPr>
    </w:p>
    <w:p w14:paraId="02990269">
      <w:pPr>
        <w:spacing w:line="400" w:lineRule="exact"/>
        <w:rPr>
          <w:rFonts w:hint="eastAsia" w:ascii="微软雅黑" w:hAnsi="微软雅黑" w:eastAsia="微软雅黑" w:cs="微软雅黑"/>
          <w:b/>
          <w:sz w:val="22"/>
          <w:szCs w:val="22"/>
        </w:rPr>
      </w:pPr>
      <w:r>
        <w:rPr>
          <w:rFonts w:hint="eastAsia" w:ascii="宋体" w:hAnsi="宋体" w:eastAsia="宋体" w:cs="宋体"/>
          <w:sz w:val="24"/>
          <w:szCs w:val="24"/>
        </w:rPr>
        <w:t>日期：    年    月    日                      日期：    年    月    日</w:t>
      </w:r>
    </w:p>
    <w:bookmarkEnd w:id="33"/>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4109EF1E">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1079A887">
    <w:pPr>
      <w:pStyle w:val="1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19"/>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0"/>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0"/>
      <w:jc w:val="both"/>
      <w:rPr>
        <w:rFonts w:hint="eastAsia" w:ascii="微软雅黑" w:hAnsi="微软雅黑" w:eastAsia="微软雅黑" w:cs="微软雅黑"/>
      </w:rPr>
    </w:pPr>
    <w:r>
      <w:rPr>
        <w:rFonts w:hint="eastAsia" w:ascii="微软雅黑" w:hAnsi="微软雅黑" w:eastAsia="微软雅黑" w:cs="微软雅黑"/>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4D08"/>
    <w:multiLevelType w:val="singleLevel"/>
    <w:tmpl w:val="894B4D08"/>
    <w:lvl w:ilvl="0" w:tentative="0">
      <w:start w:val="1"/>
      <w:numFmt w:val="decimal"/>
      <w:lvlText w:val="%1."/>
      <w:lvlJc w:val="left"/>
      <w:pPr>
        <w:ind w:left="845" w:hanging="425"/>
      </w:pPr>
      <w:rPr>
        <w:rFonts w:hint="default"/>
      </w:rPr>
    </w:lvl>
  </w:abstractNum>
  <w:abstractNum w:abstractNumId="1">
    <w:nsid w:val="997270C2"/>
    <w:multiLevelType w:val="singleLevel"/>
    <w:tmpl w:val="997270C2"/>
    <w:lvl w:ilvl="0" w:tentative="0">
      <w:start w:val="2"/>
      <w:numFmt w:val="chineseCounting"/>
      <w:suff w:val="nothing"/>
      <w:lvlText w:val="%1、"/>
      <w:lvlJc w:val="left"/>
      <w:rPr>
        <w:rFonts w:hint="eastAsia"/>
      </w:rPr>
    </w:lvl>
  </w:abstractNum>
  <w:abstractNum w:abstractNumId="2">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3">
    <w:nsid w:val="A9E41B90"/>
    <w:multiLevelType w:val="singleLevel"/>
    <w:tmpl w:val="A9E41B90"/>
    <w:lvl w:ilvl="0" w:tentative="0">
      <w:start w:val="1"/>
      <w:numFmt w:val="decimal"/>
      <w:lvlText w:val="%1."/>
      <w:lvlJc w:val="left"/>
      <w:pPr>
        <w:tabs>
          <w:tab w:val="left" w:pos="312"/>
        </w:tabs>
      </w:pPr>
    </w:lvl>
  </w:abstractNum>
  <w:abstractNum w:abstractNumId="4">
    <w:nsid w:val="D3AE2498"/>
    <w:multiLevelType w:val="singleLevel"/>
    <w:tmpl w:val="D3AE2498"/>
    <w:lvl w:ilvl="0" w:tentative="0">
      <w:start w:val="1"/>
      <w:numFmt w:val="decimal"/>
      <w:lvlText w:val="%1."/>
      <w:lvlJc w:val="left"/>
      <w:pPr>
        <w:ind w:left="425" w:hanging="425"/>
      </w:pPr>
      <w:rPr>
        <w:rFonts w:hint="default"/>
      </w:rPr>
    </w:lvl>
  </w:abstractNum>
  <w:abstractNum w:abstractNumId="5">
    <w:nsid w:val="FFB68599"/>
    <w:multiLevelType w:val="singleLevel"/>
    <w:tmpl w:val="FFB68599"/>
    <w:lvl w:ilvl="0" w:tentative="0">
      <w:start w:val="1"/>
      <w:numFmt w:val="decimal"/>
      <w:lvlText w:val="%1)"/>
      <w:lvlJc w:val="left"/>
      <w:pPr>
        <w:ind w:left="1055" w:hanging="425"/>
      </w:pPr>
      <w:rPr>
        <w:rFonts w:hint="default"/>
      </w:rPr>
    </w:lvl>
  </w:abstractNum>
  <w:abstractNum w:abstractNumId="6">
    <w:nsid w:val="0518B027"/>
    <w:multiLevelType w:val="singleLevel"/>
    <w:tmpl w:val="0518B027"/>
    <w:lvl w:ilvl="0" w:tentative="0">
      <w:start w:val="2"/>
      <w:numFmt w:val="chineseCounting"/>
      <w:suff w:val="nothing"/>
      <w:lvlText w:val="%1、"/>
      <w:lvlJc w:val="left"/>
      <w:rPr>
        <w:rFonts w:hint="eastAsia"/>
      </w:rPr>
    </w:lvl>
  </w:abstractNum>
  <w:abstractNum w:abstractNumId="7">
    <w:nsid w:val="2EE479BF"/>
    <w:multiLevelType w:val="singleLevel"/>
    <w:tmpl w:val="2EE479BF"/>
    <w:lvl w:ilvl="0" w:tentative="0">
      <w:start w:val="1"/>
      <w:numFmt w:val="decimal"/>
      <w:lvlText w:val="%1."/>
      <w:lvlJc w:val="left"/>
      <w:pPr>
        <w:ind w:left="845" w:hanging="425"/>
      </w:pPr>
      <w:rPr>
        <w:rFonts w:hint="default"/>
      </w:rPr>
    </w:lvl>
  </w:abstractNum>
  <w:abstractNum w:abstractNumId="8">
    <w:nsid w:val="3A658CC2"/>
    <w:multiLevelType w:val="singleLevel"/>
    <w:tmpl w:val="3A658CC2"/>
    <w:lvl w:ilvl="0" w:tentative="0">
      <w:start w:val="1"/>
      <w:numFmt w:val="decimal"/>
      <w:lvlText w:val="%1."/>
      <w:lvlJc w:val="left"/>
      <w:pPr>
        <w:ind w:left="845" w:hanging="425"/>
      </w:pPr>
      <w:rPr>
        <w:rFonts w:hint="default"/>
      </w:rPr>
    </w:lvl>
  </w:abstractNum>
  <w:abstractNum w:abstractNumId="9">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10">
    <w:nsid w:val="61BECD94"/>
    <w:multiLevelType w:val="singleLevel"/>
    <w:tmpl w:val="61BECD94"/>
    <w:lvl w:ilvl="0" w:tentative="0">
      <w:start w:val="1"/>
      <w:numFmt w:val="decimal"/>
      <w:lvlText w:val="%1."/>
      <w:lvlJc w:val="left"/>
      <w:pPr>
        <w:ind w:left="845" w:hanging="425"/>
      </w:pPr>
      <w:rPr>
        <w:rFonts w:hint="default"/>
      </w:rPr>
    </w:lvl>
  </w:abstractNum>
  <w:abstractNum w:abstractNumId="11">
    <w:nsid w:val="714C8BD3"/>
    <w:multiLevelType w:val="singleLevel"/>
    <w:tmpl w:val="714C8BD3"/>
    <w:lvl w:ilvl="0" w:tentative="0">
      <w:start w:val="1"/>
      <w:numFmt w:val="decimal"/>
      <w:lvlText w:val="%1."/>
      <w:lvlJc w:val="left"/>
      <w:pPr>
        <w:ind w:left="845" w:hanging="425"/>
      </w:pPr>
      <w:rPr>
        <w:rFonts w:hint="default" w:asciiTheme="majorEastAsia" w:hAnsiTheme="majorEastAsia" w:eastAsiaTheme="majorEastAsia" w:cstheme="majorEastAsia"/>
        <w:b w:val="0"/>
        <w:bCs w:val="0"/>
      </w:rPr>
    </w:lvl>
  </w:abstractNum>
  <w:abstractNum w:abstractNumId="12">
    <w:nsid w:val="735DD604"/>
    <w:multiLevelType w:val="singleLevel"/>
    <w:tmpl w:val="735DD604"/>
    <w:lvl w:ilvl="0" w:tentative="0">
      <w:start w:val="1"/>
      <w:numFmt w:val="decimal"/>
      <w:lvlText w:val="%1."/>
      <w:lvlJc w:val="left"/>
      <w:pPr>
        <w:ind w:left="845" w:hanging="425"/>
      </w:pPr>
      <w:rPr>
        <w:rFonts w:hint="default"/>
      </w:rPr>
    </w:lvl>
  </w:abstractNum>
  <w:num w:numId="1">
    <w:abstractNumId w:val="4"/>
  </w:num>
  <w:num w:numId="2">
    <w:abstractNumId w:val="5"/>
  </w:num>
  <w:num w:numId="3">
    <w:abstractNumId w:val="1"/>
  </w:num>
  <w:num w:numId="4">
    <w:abstractNumId w:val="3"/>
  </w:num>
  <w:num w:numId="5">
    <w:abstractNumId w:val="6"/>
  </w:num>
  <w:num w:numId="6">
    <w:abstractNumId w:val="9"/>
  </w:num>
  <w:num w:numId="7">
    <w:abstractNumId w:val="11"/>
  </w:num>
  <w:num w:numId="8">
    <w:abstractNumId w:val="10"/>
  </w:num>
  <w:num w:numId="9">
    <w:abstractNumId w:val="0"/>
  </w:num>
  <w:num w:numId="10">
    <w:abstractNumId w:val="7"/>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3A81E16"/>
    <w:rsid w:val="04624686"/>
    <w:rsid w:val="06905732"/>
    <w:rsid w:val="06BE6445"/>
    <w:rsid w:val="0C814463"/>
    <w:rsid w:val="0CA82AC4"/>
    <w:rsid w:val="0E4B63E2"/>
    <w:rsid w:val="10AE6120"/>
    <w:rsid w:val="11437FDD"/>
    <w:rsid w:val="11A83E70"/>
    <w:rsid w:val="12B46304"/>
    <w:rsid w:val="142F15AD"/>
    <w:rsid w:val="148B75BC"/>
    <w:rsid w:val="168460D8"/>
    <w:rsid w:val="17780248"/>
    <w:rsid w:val="18E32C3E"/>
    <w:rsid w:val="1A3A7ECE"/>
    <w:rsid w:val="1BE3639A"/>
    <w:rsid w:val="1D3E230B"/>
    <w:rsid w:val="1F34435E"/>
    <w:rsid w:val="209357F1"/>
    <w:rsid w:val="20A41639"/>
    <w:rsid w:val="216D64F7"/>
    <w:rsid w:val="22D64075"/>
    <w:rsid w:val="24BB743E"/>
    <w:rsid w:val="251537FD"/>
    <w:rsid w:val="25461841"/>
    <w:rsid w:val="25577F9C"/>
    <w:rsid w:val="26D27249"/>
    <w:rsid w:val="2B020403"/>
    <w:rsid w:val="2B8101D0"/>
    <w:rsid w:val="2C665AE5"/>
    <w:rsid w:val="2D692244"/>
    <w:rsid w:val="2D844819"/>
    <w:rsid w:val="2DC10CE8"/>
    <w:rsid w:val="2E4C209F"/>
    <w:rsid w:val="2EB639EA"/>
    <w:rsid w:val="2F565974"/>
    <w:rsid w:val="305D2645"/>
    <w:rsid w:val="326170DF"/>
    <w:rsid w:val="340C668B"/>
    <w:rsid w:val="34187305"/>
    <w:rsid w:val="363E7C07"/>
    <w:rsid w:val="366C4B34"/>
    <w:rsid w:val="36C86A94"/>
    <w:rsid w:val="382F4FD4"/>
    <w:rsid w:val="38B05B5E"/>
    <w:rsid w:val="3C472D40"/>
    <w:rsid w:val="3CF04064"/>
    <w:rsid w:val="3CFD60B9"/>
    <w:rsid w:val="3FF200B1"/>
    <w:rsid w:val="40D519B8"/>
    <w:rsid w:val="40F704A4"/>
    <w:rsid w:val="42B555FD"/>
    <w:rsid w:val="44270FE3"/>
    <w:rsid w:val="44FF48D5"/>
    <w:rsid w:val="46426301"/>
    <w:rsid w:val="4683508A"/>
    <w:rsid w:val="4844121F"/>
    <w:rsid w:val="4A996E42"/>
    <w:rsid w:val="4B6638D4"/>
    <w:rsid w:val="4C053274"/>
    <w:rsid w:val="4F8537C2"/>
    <w:rsid w:val="514E2DFA"/>
    <w:rsid w:val="52A32E2E"/>
    <w:rsid w:val="548D2F7A"/>
    <w:rsid w:val="55A726C6"/>
    <w:rsid w:val="571961BE"/>
    <w:rsid w:val="5DDA2B31"/>
    <w:rsid w:val="5F2E65C5"/>
    <w:rsid w:val="5FC5016C"/>
    <w:rsid w:val="60256EF4"/>
    <w:rsid w:val="60A76A75"/>
    <w:rsid w:val="63616199"/>
    <w:rsid w:val="684856D7"/>
    <w:rsid w:val="692D5480"/>
    <w:rsid w:val="69A668E3"/>
    <w:rsid w:val="6C356D13"/>
    <w:rsid w:val="6DDB2AEC"/>
    <w:rsid w:val="70052532"/>
    <w:rsid w:val="70660DD2"/>
    <w:rsid w:val="711164E0"/>
    <w:rsid w:val="71BB3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 w:type="character" w:customStyle="1" w:styleId="77">
    <w:name w:val="font61"/>
    <w:basedOn w:val="30"/>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19</Pages>
  <Words>6801</Words>
  <Characters>6969</Characters>
  <Lines>203</Lines>
  <Paragraphs>224</Paragraphs>
  <TotalTime>69</TotalTime>
  <ScaleCrop>false</ScaleCrop>
  <LinksUpToDate>false</LinksUpToDate>
  <CharactersWithSpaces>7954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景初</cp:lastModifiedBy>
  <cp:lastPrinted>2024-01-30T08:05:00Z</cp:lastPrinted>
  <dcterms:modified xsi:type="dcterms:W3CDTF">2025-07-25T07:57:52Z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1A8F83E16F93491885DB2AACD45FE9D9_13</vt:lpwstr>
  </property>
  <property fmtid="{D5CDD505-2E9C-101B-9397-08002B2CF9AE}" pid="4" name="KSOTemplateDocerSaveRecord">
    <vt:lpwstr>eyJoZGlkIjoiNzZmYTZjMzJlYjIwZDcyZDZlNTQ5OGRkMjUwYzlkNDEiLCJ1c2VySWQiOiI0MzczMjUwOTUifQ==</vt:lpwstr>
  </property>
</Properties>
</file>