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1016885C">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罍街茶馆外立面景观亮化工程</w:t>
      </w:r>
    </w:p>
    <w:p w14:paraId="4EBC7C85">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eastAsia="宋体" w:cs="宋体"/>
          <w:b/>
          <w:bCs/>
          <w:spacing w:val="-20"/>
          <w:sz w:val="36"/>
          <w:szCs w:val="36"/>
          <w:highlight w:val="none"/>
          <w:lang w:eastAsia="zh-CN"/>
        </w:rPr>
        <w:t>合肥</w:t>
      </w:r>
      <w:r>
        <w:rPr>
          <w:rFonts w:hint="eastAsia" w:ascii="宋体" w:hAnsi="宋体" w:cs="宋体"/>
          <w:b/>
          <w:bCs/>
          <w:spacing w:val="-20"/>
          <w:sz w:val="36"/>
          <w:szCs w:val="36"/>
          <w:highlight w:val="none"/>
          <w:lang w:val="en-US" w:eastAsia="zh-CN"/>
        </w:rPr>
        <w:t>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2"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2025年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8</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33241375"/>
      <w:bookmarkEnd w:id="2"/>
      <w:bookmarkStart w:id="3" w:name="_Hlt519045295"/>
      <w:bookmarkEnd w:id="3"/>
      <w:bookmarkStart w:id="4" w:name="_Hlt526418134"/>
      <w:bookmarkEnd w:id="4"/>
      <w:bookmarkStart w:id="5" w:name="_Toc245092759"/>
      <w:bookmarkStart w:id="6" w:name="_Toc328559326"/>
      <w:bookmarkStart w:id="7" w:name="_Toc27360233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eastAsia="zh-CN"/>
        </w:rPr>
        <w:t>合肥</w:t>
      </w:r>
      <w:r>
        <w:rPr>
          <w:rFonts w:hint="eastAsia" w:ascii="宋体" w:hAnsi="宋体"/>
          <w:color w:val="auto"/>
          <w:sz w:val="24"/>
          <w:szCs w:val="18"/>
          <w:highlight w:val="none"/>
          <w:lang w:val="en-US" w:eastAsia="zh-CN"/>
        </w:rPr>
        <w:t>罍街文化旅游发展有限公司</w:t>
      </w:r>
      <w:r>
        <w:rPr>
          <w:rFonts w:hint="eastAsia" w:ascii="宋体" w:hAnsi="宋体"/>
          <w:color w:val="auto"/>
          <w:sz w:val="24"/>
          <w:szCs w:val="18"/>
          <w:highlight w:val="none"/>
        </w:rPr>
        <w:t>拟对“</w:t>
      </w:r>
      <w:r>
        <w:rPr>
          <w:rFonts w:hint="eastAsia" w:ascii="宋体" w:hAnsi="宋体"/>
          <w:color w:val="auto"/>
          <w:kern w:val="0"/>
          <w:sz w:val="24"/>
          <w:highlight w:val="none"/>
          <w:u w:val="single"/>
          <w:lang w:val="en-US" w:eastAsia="zh-CN"/>
        </w:rPr>
        <w:t>罍街茶馆外立面景观亮化工程</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20A13A2D">
      <w:pPr>
        <w:autoSpaceDE w:val="0"/>
        <w:autoSpaceDN w:val="0"/>
        <w:adjustRightInd w:val="0"/>
        <w:spacing w:line="360" w:lineRule="auto"/>
        <w:ind w:firstLine="200"/>
        <w:jc w:val="left"/>
        <w:rPr>
          <w:rFonts w:hint="eastAsia" w:ascii="宋体" w:hAnsi="宋体"/>
          <w:color w:val="auto"/>
          <w:kern w:val="0"/>
          <w:sz w:val="24"/>
          <w:highlight w:val="none"/>
          <w:u w:val="single"/>
          <w:lang w:val="en-US" w:eastAsia="zh-CN"/>
        </w:rPr>
      </w:pPr>
      <w:r>
        <w:rPr>
          <w:rFonts w:hint="eastAsia" w:ascii="宋体" w:hAnsi="宋体"/>
          <w:color w:val="auto"/>
          <w:kern w:val="0"/>
          <w:sz w:val="24"/>
          <w:highlight w:val="none"/>
          <w:lang w:val="zh-CN"/>
        </w:rPr>
        <w:t>2、项目名称：</w:t>
      </w:r>
      <w:r>
        <w:rPr>
          <w:rFonts w:hint="eastAsia" w:ascii="宋体" w:hAnsi="宋体"/>
          <w:color w:val="auto"/>
          <w:kern w:val="0"/>
          <w:sz w:val="24"/>
          <w:highlight w:val="none"/>
          <w:u w:val="single"/>
          <w:lang w:val="en-US" w:eastAsia="zh-CN"/>
        </w:rPr>
        <w:t>罍街茶馆外立面景观亮化工程</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3、项目地点：合肥市包河区罍街</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rPr>
        <w:t>合肥</w:t>
      </w:r>
      <w:r>
        <w:rPr>
          <w:rFonts w:hint="eastAsia" w:ascii="宋体" w:hAnsi="宋体"/>
          <w:color w:val="000000"/>
          <w:sz w:val="24"/>
          <w:szCs w:val="18"/>
          <w:highlight w:val="none"/>
          <w:lang w:val="en-US" w:eastAsia="zh-CN"/>
        </w:rPr>
        <w:t>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合肥</w:t>
      </w:r>
      <w:r>
        <w:rPr>
          <w:rFonts w:hint="eastAsia" w:ascii="宋体" w:hAnsi="宋体"/>
          <w:color w:val="000000"/>
          <w:sz w:val="24"/>
          <w:szCs w:val="18"/>
          <w:highlight w:val="none"/>
          <w:lang w:val="en-US" w:eastAsia="zh-CN"/>
        </w:rPr>
        <w:t>罍街文化旅游发展有限公司</w:t>
      </w:r>
    </w:p>
    <w:p w14:paraId="39D62EBD">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w:t>
      </w:r>
      <w:r>
        <w:rPr>
          <w:rFonts w:hint="eastAsia" w:ascii="宋体" w:hAnsi="宋体"/>
          <w:color w:val="auto"/>
          <w:kern w:val="0"/>
          <w:sz w:val="24"/>
          <w:highlight w:val="none"/>
          <w:u w:val="single"/>
          <w:lang w:val="en-US" w:eastAsia="zh-CN"/>
        </w:rPr>
        <w:t>罍街茶馆外立面景观亮化工程</w:t>
      </w:r>
      <w:r>
        <w:rPr>
          <w:rFonts w:hint="eastAsia" w:ascii="宋体" w:hAnsi="宋体"/>
          <w:color w:val="auto"/>
          <w:sz w:val="24"/>
          <w:szCs w:val="18"/>
          <w:highlight w:val="none"/>
          <w:lang w:val="en-US" w:eastAsia="zh-CN"/>
        </w:rPr>
        <w:t>，</w:t>
      </w:r>
      <w:r>
        <w:rPr>
          <w:rFonts w:hint="eastAsia" w:ascii="宋体" w:hAnsi="宋体" w:eastAsia="宋体" w:cs="宋体"/>
          <w:i w:val="0"/>
          <w:iCs w:val="0"/>
          <w:caps w:val="0"/>
          <w:color w:val="111111"/>
          <w:spacing w:val="0"/>
          <w:sz w:val="24"/>
          <w:szCs w:val="24"/>
        </w:rPr>
        <w:t>具体详见招标文件（含答疑、补遗、修改澄清文件）、图纸及工程量清单。</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7、项目概算：19.8万元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8、项目类别：工程施工类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652D3B46">
      <w:pPr>
        <w:autoSpaceDE w:val="0"/>
        <w:autoSpaceDN w:val="0"/>
        <w:adjustRightInd w:val="0"/>
        <w:spacing w:line="360" w:lineRule="auto"/>
        <w:ind w:firstLine="200"/>
        <w:jc w:val="left"/>
        <w:outlineLvl w:val="2"/>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投标人须具有独立承担民事责任的能力</w:t>
      </w:r>
    </w:p>
    <w:p w14:paraId="1E0E71BC">
      <w:pPr>
        <w:autoSpaceDE w:val="0"/>
        <w:autoSpaceDN w:val="0"/>
        <w:adjustRightInd w:val="0"/>
        <w:spacing w:line="360" w:lineRule="auto"/>
        <w:ind w:firstLine="200"/>
        <w:jc w:val="left"/>
        <w:rPr>
          <w:rFonts w:hint="default" w:ascii="宋体" w:hAnsi="宋体"/>
          <w:sz w:val="24"/>
          <w:szCs w:val="24"/>
          <w:lang w:val="en-US" w:eastAsia="zh-CN"/>
        </w:rPr>
      </w:pPr>
      <w:r>
        <w:rPr>
          <w:rFonts w:hint="eastAsia" w:ascii="宋体" w:hAnsi="宋体"/>
          <w:sz w:val="24"/>
          <w:szCs w:val="24"/>
        </w:rPr>
        <w:t>2.</w:t>
      </w:r>
      <w:r>
        <w:rPr>
          <w:rFonts w:hint="eastAsia" w:ascii="宋体" w:hAnsi="宋体"/>
          <w:sz w:val="24"/>
          <w:szCs w:val="24"/>
          <w:lang w:eastAsia="zh-CN"/>
        </w:rPr>
        <w:t>投标人业绩：</w:t>
      </w:r>
      <w:r>
        <w:rPr>
          <w:rFonts w:hint="eastAsia" w:ascii="宋体" w:hAnsi="宋体"/>
          <w:sz w:val="24"/>
          <w:szCs w:val="24"/>
          <w:lang w:val="en-US" w:eastAsia="zh-CN"/>
        </w:rPr>
        <w:t>无</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4.投标人存在以下不良信用记录情形之一的，不得推荐为中标候选人，不得确定为中标人：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5）投标人被合肥市人社部门列入拖欠农民工工资黑名单的；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投标人被合肥市城乡建设局因安全生产责任事故限制在合肥行政区域内承接新的工程项目且在限制期内的。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8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sz w:val="24"/>
          <w:highlight w:val="none"/>
          <w:u w:val="single"/>
          <w:lang w:val="en-US" w:eastAsia="zh-CN"/>
        </w:rPr>
        <w:t xml:space="preserve"> 10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30</w:t>
      </w:r>
    </w:p>
    <w:p w14:paraId="659435EC">
      <w:pPr>
        <w:autoSpaceDE w:val="0"/>
        <w:autoSpaceDN w:val="0"/>
        <w:adjustRightInd w:val="0"/>
        <w:spacing w:line="360" w:lineRule="auto"/>
        <w:ind w:firstLine="200"/>
        <w:jc w:val="left"/>
        <w:rPr>
          <w:rFonts w:hint="default" w:ascii="宋体" w:hAnsi="宋体" w:cs="宋体"/>
          <w:i w:val="0"/>
          <w:iCs w:val="0"/>
          <w:caps w:val="0"/>
          <w:color w:val="111111"/>
          <w:spacing w:val="0"/>
          <w:sz w:val="24"/>
          <w:szCs w:val="24"/>
          <w:lang w:val="en-US" w:eastAsia="zh-CN"/>
        </w:rPr>
      </w:pPr>
      <w:r>
        <w:rPr>
          <w:rFonts w:hint="eastAsia" w:ascii="宋体" w:hAnsi="宋体"/>
          <w:bCs/>
          <w:sz w:val="24"/>
          <w:szCs w:val="18"/>
          <w:highlight w:val="none"/>
        </w:rPr>
        <w:t>2.开标地点：</w:t>
      </w:r>
      <w:r>
        <w:rPr>
          <w:rFonts w:hint="eastAsia" w:ascii="宋体" w:hAnsi="宋体" w:eastAsia="宋体" w:cs="宋体"/>
          <w:i w:val="0"/>
          <w:iCs w:val="0"/>
          <w:caps w:val="0"/>
          <w:color w:val="111111"/>
          <w:spacing w:val="0"/>
          <w:sz w:val="24"/>
          <w:szCs w:val="24"/>
        </w:rPr>
        <w:t>合肥市包河区</w:t>
      </w:r>
      <w:r>
        <w:rPr>
          <w:rFonts w:hint="eastAsia" w:ascii="宋体" w:hAnsi="宋体" w:cs="宋体"/>
          <w:i w:val="0"/>
          <w:iCs w:val="0"/>
          <w:caps w:val="0"/>
          <w:color w:val="111111"/>
          <w:spacing w:val="0"/>
          <w:sz w:val="24"/>
          <w:szCs w:val="24"/>
          <w:lang w:val="en-US" w:eastAsia="zh-CN"/>
        </w:rPr>
        <w:t>滨湖集团7楼会议室</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8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sz w:val="24"/>
          <w:highlight w:val="none"/>
          <w:u w:val="single"/>
          <w:lang w:val="en-US" w:eastAsia="zh-CN"/>
        </w:rPr>
        <w:t xml:space="preserve"> 10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30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ascii="宋体" w:hAnsi="宋体" w:eastAsia="宋体" w:cs="宋体"/>
          <w:i w:val="0"/>
          <w:iCs w:val="0"/>
          <w:caps w:val="0"/>
          <w:color w:val="000000"/>
          <w:spacing w:val="0"/>
          <w:sz w:val="24"/>
          <w:szCs w:val="24"/>
        </w:rPr>
        <w:t>合肥罍街文化旅游发展有限公司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ascii="宋体" w:hAnsi="宋体" w:eastAsia="宋体" w:cs="宋体"/>
          <w:i w:val="0"/>
          <w:iCs w:val="0"/>
          <w:caps w:val="0"/>
          <w:color w:val="000000"/>
          <w:spacing w:val="0"/>
          <w:sz w:val="24"/>
          <w:szCs w:val="24"/>
        </w:rPr>
        <w:t>合肥市包河区</w:t>
      </w:r>
      <w:r>
        <w:rPr>
          <w:rFonts w:hint="eastAsia" w:cs="宋体"/>
          <w:i w:val="0"/>
          <w:iCs w:val="0"/>
          <w:caps w:val="0"/>
          <w:color w:val="000000"/>
          <w:spacing w:val="0"/>
          <w:sz w:val="24"/>
          <w:szCs w:val="24"/>
          <w:lang w:val="en-US" w:eastAsia="zh-CN"/>
        </w:rPr>
        <w:t>徽州大道1388号滨湖集团大楼7楼会议室</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唐</w:t>
      </w:r>
      <w:r>
        <w:rPr>
          <w:rFonts w:hint="eastAsia" w:ascii="宋体" w:hAnsi="宋体" w:eastAsia="宋体" w:cs="宋体"/>
          <w:i w:val="0"/>
          <w:iCs w:val="0"/>
          <w:caps w:val="0"/>
          <w:color w:val="111111"/>
          <w:spacing w:val="0"/>
          <w:sz w:val="24"/>
          <w:szCs w:val="24"/>
        </w:rPr>
        <w:t>工 </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cs="宋体"/>
          <w:i w:val="0"/>
          <w:iCs w:val="0"/>
          <w:caps w:val="0"/>
          <w:color w:val="111111"/>
          <w:spacing w:val="0"/>
          <w:sz w:val="24"/>
          <w:szCs w:val="24"/>
          <w:lang w:val="en-US" w:eastAsia="zh-CN"/>
        </w:rPr>
        <w:t>15656050620</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245092760"/>
      <w:bookmarkStart w:id="11" w:name="_Toc328559327"/>
      <w:bookmarkStart w:id="12" w:name="_Toc27360234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ascii="宋体" w:hAnsi="宋体" w:eastAsia="宋体" w:cs="宋体"/>
                <w:i w:val="0"/>
                <w:iCs w:val="0"/>
                <w:caps w:val="0"/>
                <w:color w:val="000000"/>
                <w:spacing w:val="0"/>
                <w:sz w:val="24"/>
                <w:szCs w:val="24"/>
              </w:rPr>
              <w:t>合肥罍街文化旅游发展有限公司</w:t>
            </w:r>
          </w:p>
        </w:tc>
      </w:tr>
      <w:tr w14:paraId="0BCFD877">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i w:val="0"/>
                <w:iCs w:val="0"/>
                <w:caps w:val="0"/>
                <w:color w:val="000000"/>
                <w:spacing w:val="0"/>
                <w:sz w:val="24"/>
                <w:szCs w:val="24"/>
              </w:rPr>
              <w:t>合肥罍街文化旅游发展有限公司</w:t>
            </w:r>
          </w:p>
        </w:tc>
      </w:tr>
      <w:tr w14:paraId="6CE5A1C3">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olor w:val="auto"/>
                <w:kern w:val="0"/>
                <w:sz w:val="24"/>
                <w:highlight w:val="none"/>
                <w:u w:val="none"/>
                <w:lang w:val="en-US" w:eastAsia="zh-CN"/>
              </w:rPr>
              <w:t>罍街茶馆外立面景观亮化工程</w:t>
            </w:r>
          </w:p>
        </w:tc>
      </w:tr>
      <w:tr w14:paraId="24E26C4E">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19.8</w:t>
            </w:r>
            <w:r>
              <w:rPr>
                <w:rFonts w:hint="eastAsia" w:ascii="宋体" w:hAnsi="宋体" w:eastAsia="宋体" w:cs="宋体"/>
                <w:b/>
                <w:color w:val="auto"/>
                <w:sz w:val="24"/>
                <w:szCs w:val="24"/>
                <w:highlight w:val="none"/>
                <w:lang w:val="en-US" w:eastAsia="zh-CN"/>
              </w:rPr>
              <w:t>万元（含税）</w:t>
            </w:r>
          </w:p>
        </w:tc>
      </w:tr>
      <w:tr w14:paraId="353B9FC2">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工程施工</w:t>
            </w:r>
            <w:r>
              <w:rPr>
                <w:rFonts w:hint="eastAsia" w:ascii="宋体" w:hAnsi="宋体" w:eastAsia="宋体" w:cs="宋体"/>
                <w:color w:val="auto"/>
                <w:sz w:val="24"/>
                <w:szCs w:val="24"/>
                <w:highlight w:val="none"/>
              </w:rPr>
              <w:t>类</w:t>
            </w:r>
          </w:p>
        </w:tc>
      </w:tr>
      <w:tr w14:paraId="3B79744F">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27B424A2">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工程完工、竣工验收合格</w:t>
            </w:r>
            <w:r>
              <w:rPr>
                <w:rFonts w:hint="eastAsia"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竣工结算定案后累计支付至结算价的97%，余款3%作为质保金，待工程质量保修期（贰年）满后付清（无息）。</w:t>
            </w:r>
          </w:p>
          <w:p w14:paraId="252394FA">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投标人提交的投标文件中如有关于付款条件的表述与招标文件规定不符，将被视为实质性不响应，将导致投标无效。</w:t>
            </w:r>
          </w:p>
        </w:tc>
      </w:tr>
      <w:tr w14:paraId="36C03BED">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eastAsia="宋体" w:cs="宋体"/>
                <w:bCs/>
                <w:color w:val="auto"/>
                <w:sz w:val="24"/>
                <w:szCs w:val="24"/>
                <w:highlight w:val="none"/>
                <w:u w:val="single"/>
              </w:rPr>
              <w:t>30</w:t>
            </w:r>
            <w:r>
              <w:rPr>
                <w:rFonts w:hint="eastAsia" w:ascii="宋体" w:hAnsi="宋体" w:eastAsia="宋体" w:cs="宋体"/>
                <w:bCs/>
                <w:color w:val="auto"/>
                <w:sz w:val="24"/>
                <w:szCs w:val="24"/>
                <w:highlight w:val="none"/>
              </w:rPr>
              <w:t>天</w:t>
            </w:r>
          </w:p>
        </w:tc>
      </w:tr>
      <w:tr w14:paraId="64A6FB82">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30日历天</w:t>
            </w:r>
          </w:p>
        </w:tc>
      </w:tr>
      <w:tr w14:paraId="1E26C340">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highlight w:val="none"/>
              </w:rPr>
            </w:pPr>
            <w:r>
              <w:rPr>
                <w:rFonts w:hint="eastAsia"/>
                <w:color w:val="auto"/>
                <w:highlight w:val="none"/>
              </w:rPr>
              <w:t>是否要求投标人递交投标保证金：</w:t>
            </w:r>
          </w:p>
          <w:p w14:paraId="068F785F">
            <w:pPr>
              <w:snapToGrid w:val="0"/>
              <w:rPr>
                <w:rFonts w:hint="eastAsia"/>
                <w:color w:val="auto"/>
                <w:highlight w:val="none"/>
              </w:rPr>
            </w:pPr>
            <w:r>
              <w:rPr>
                <w:rFonts w:hint="eastAsia"/>
                <w:color w:val="auto"/>
                <w:highlight w:val="none"/>
              </w:rPr>
              <w:sym w:font="Wingdings 2" w:char="0052"/>
            </w:r>
            <w:r>
              <w:rPr>
                <w:rFonts w:hint="eastAsia"/>
                <w:color w:val="auto"/>
                <w:highlight w:val="none"/>
                <w:lang w:val="en-US" w:eastAsia="zh-CN"/>
              </w:rPr>
              <w:t>不</w:t>
            </w:r>
            <w:r>
              <w:rPr>
                <w:rFonts w:hint="eastAsia"/>
                <w:color w:val="auto"/>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8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139FB0D">
            <w:pPr>
              <w:pStyle w:val="7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p w14:paraId="601A9F25">
            <w:pPr>
              <w:pStyle w:val="21"/>
              <w:rPr>
                <w:rFonts w:hint="eastAsia" w:ascii="宋体" w:hAnsi="宋体" w:eastAsia="宋体" w:cs="宋体"/>
                <w:b/>
                <w:bCs/>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、技术标、商务标必须分别封装,密封提交。</w:t>
            </w:r>
          </w:p>
        </w:tc>
      </w:tr>
      <w:tr w14:paraId="4256FA79">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8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22</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8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tc>
      </w:tr>
      <w:tr w14:paraId="68D7A101">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8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22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w:t>
            </w:r>
            <w:r>
              <w:rPr>
                <w:rFonts w:hint="default" w:ascii="宋体" w:hAnsi="宋体"/>
                <w:bCs/>
                <w:color w:val="auto"/>
                <w:sz w:val="24"/>
                <w:highlight w:val="none"/>
                <w:u w:val="single"/>
                <w:lang w:val="en-US" w:eastAsia="zh-CN"/>
              </w:rPr>
              <w:t>10</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eastAsia="宋体" w:cs="宋体"/>
                <w:i w:val="0"/>
                <w:iCs w:val="0"/>
                <w:caps w:val="0"/>
                <w:color w:val="111111"/>
                <w:spacing w:val="0"/>
                <w:sz w:val="24"/>
                <w:szCs w:val="24"/>
              </w:rPr>
              <w:t>合肥市包河区</w:t>
            </w:r>
            <w:r>
              <w:rPr>
                <w:rFonts w:hint="eastAsia" w:ascii="宋体" w:hAnsi="宋体" w:cs="宋体"/>
                <w:i w:val="0"/>
                <w:iCs w:val="0"/>
                <w:caps w:val="0"/>
                <w:color w:val="111111"/>
                <w:spacing w:val="0"/>
                <w:sz w:val="24"/>
                <w:szCs w:val="24"/>
                <w:lang w:val="en-US" w:eastAsia="zh-CN"/>
              </w:rPr>
              <w:t>徽州大道1388号滨湖集团大楼7楼会议室</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 xml:space="preserve">                                                                                                                                                                                                                                                                                                                                                                                                                                                                                                                                                                                                                                                                                                                                                                                                                                                                                                                                                                                                                                                                                                                                                                                                                                                                                                                                                                                                                                                                                                                                                                                                                                                                                                                                                                                                                                                                                                                                                                                                                                                                                                                                                                                                                                                                                                                                                                                                                                                                                                                                                                                                                                                                                                                                                                                                                                                                                                                                                                                                                                                                                                                                                                                                                               </w:t>
            </w:r>
          </w:p>
        </w:tc>
      </w:tr>
      <w:tr w14:paraId="30BD03E6">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简易中位值法</w:t>
            </w:r>
            <w:r>
              <w:rPr>
                <w:rFonts w:hint="eastAsia" w:ascii="宋体" w:hAnsi="宋体" w:eastAsia="宋体" w:cs="宋体"/>
                <w:color w:val="auto"/>
                <w:sz w:val="24"/>
                <w:szCs w:val="24"/>
                <w:highlight w:val="none"/>
              </w:rPr>
              <w:t>，详见招标文件第一部分第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章评标办法。</w:t>
            </w:r>
          </w:p>
        </w:tc>
      </w:tr>
      <w:tr w14:paraId="63B8827B">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FF0000"/>
                <w:sz w:val="24"/>
                <w:szCs w:val="24"/>
                <w:highlight w:val="none"/>
                <w:lang w:val="en-US" w:eastAsia="zh-CN"/>
              </w:rPr>
              <w:t>/</w:t>
            </w:r>
          </w:p>
        </w:tc>
      </w:tr>
      <w:tr w14:paraId="40D23EBD">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r w14:paraId="5256F194">
        <w:trPr>
          <w:trHeight w:val="1618" w:hRule="atLeast"/>
          <w:jc w:val="center"/>
        </w:trPr>
        <w:tc>
          <w:tcPr>
            <w:tcW w:w="866" w:type="dxa"/>
            <w:noWrap w:val="0"/>
            <w:vAlign w:val="center"/>
          </w:tcPr>
          <w:p w14:paraId="73EB8BF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910" w:type="dxa"/>
            <w:noWrap w:val="0"/>
            <w:vAlign w:val="center"/>
          </w:tcPr>
          <w:p w14:paraId="27F800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本项目提供除电子版招标文件以外的其他资料</w:t>
            </w:r>
          </w:p>
        </w:tc>
        <w:tc>
          <w:tcPr>
            <w:tcW w:w="6569" w:type="dxa"/>
            <w:noWrap w:val="0"/>
            <w:vAlign w:val="center"/>
          </w:tcPr>
          <w:p w14:paraId="38A5A9C2">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电子版图纸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光盘</w:t>
            </w:r>
          </w:p>
        </w:tc>
      </w:tr>
      <w:tr w14:paraId="7F4D3A5B">
        <w:trPr>
          <w:trHeight w:val="424" w:hRule="atLeast"/>
          <w:jc w:val="center"/>
        </w:trPr>
        <w:tc>
          <w:tcPr>
            <w:tcW w:w="866" w:type="dxa"/>
            <w:noWrap w:val="0"/>
            <w:vAlign w:val="center"/>
          </w:tcPr>
          <w:p w14:paraId="41F2782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910" w:type="dxa"/>
            <w:noWrap w:val="0"/>
            <w:vAlign w:val="center"/>
          </w:tcPr>
          <w:p w14:paraId="3385137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工程重难点</w:t>
            </w:r>
          </w:p>
        </w:tc>
        <w:tc>
          <w:tcPr>
            <w:tcW w:w="6569" w:type="dxa"/>
            <w:noWrap w:val="0"/>
            <w:vAlign w:val="center"/>
          </w:tcPr>
          <w:p w14:paraId="45BE55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中标人在工程施工中必须严格执行本项目招标文件中要求的技术标准和要求，遵守发包人制定的项目管理相关制度规定，满足发包人的各项管理规定要求。本项目工程管理严格按照招标人《滨湖集团安全生产管理办法》《滨湖集团工程管理检查制度》《滨湖集团建设工程合约单位违约行为违约金支付标准管理办法》《滨湖集团工程变更及签证管理办法》《滨湖集团工程款支付申请管理办法》《滨湖集团工程结算管理办法》等相关制度执行；</w:t>
            </w:r>
          </w:p>
          <w:p w14:paraId="5809C1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该项目任务重、工期紧，中标人需合理布置施工进度计划，提前做好材料采购计划。承包人在收到发包人发出的开工令后，须严格按照合同工期要求，保质保量按期完成工程全部内容，并通过竣工验收。每延期竣工一天，承包人支付发包人</w:t>
            </w:r>
            <w:r>
              <w:rPr>
                <w:rFonts w:hint="eastAsia" w:ascii="宋体" w:hAnsi="宋体" w:eastAsia="宋体" w:cs="宋体"/>
                <w:bCs/>
                <w:sz w:val="24"/>
                <w:szCs w:val="24"/>
                <w:lang w:val="en-US" w:eastAsia="zh-CN"/>
              </w:rPr>
              <w:t>1</w:t>
            </w:r>
            <w:r>
              <w:rPr>
                <w:rFonts w:hint="eastAsia" w:ascii="宋体" w:hAnsi="宋体" w:eastAsia="宋体" w:cs="宋体"/>
                <w:bCs/>
                <w:sz w:val="24"/>
                <w:szCs w:val="24"/>
              </w:rPr>
              <w:t>000元/天的违约金；延期竣工15日以上的，发包人有权解除合同，并追究连带损失（因非承包人原因引起的逾期除外）；</w:t>
            </w:r>
          </w:p>
          <w:p w14:paraId="742AAA40">
            <w:pPr>
              <w:pStyle w:val="52"/>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sz w:val="24"/>
                <w:highlight w:val="none"/>
                <w:lang w:val="en-US" w:eastAsia="zh-CN"/>
              </w:rPr>
            </w:pPr>
            <w:r>
              <w:rPr>
                <w:rFonts w:hint="eastAsia" w:ascii="宋体" w:hAnsi="宋体" w:eastAsia="宋体" w:cs="宋体"/>
                <w:bCs/>
                <w:sz w:val="24"/>
                <w:szCs w:val="24"/>
                <w:lang w:val="en-US" w:eastAsia="zh-CN"/>
              </w:rPr>
              <w:t>3、</w:t>
            </w:r>
            <w:r>
              <w:rPr>
                <w:rFonts w:hint="eastAsia" w:ascii="宋体" w:hAnsi="宋体" w:eastAsia="宋体" w:cs="宋体"/>
                <w:sz w:val="24"/>
                <w:highlight w:val="none"/>
                <w:lang w:val="en-US" w:eastAsia="zh-CN"/>
              </w:rPr>
              <w:t>施工过程中不得影响景区正常经营。</w:t>
            </w:r>
          </w:p>
          <w:p w14:paraId="5558F724">
            <w:pPr>
              <w:pStyle w:val="52"/>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bCs/>
                <w:sz w:val="24"/>
                <w:szCs w:val="24"/>
                <w:lang w:eastAsia="zh-CN"/>
              </w:rPr>
            </w:pPr>
            <w:r>
              <w:rPr>
                <w:rFonts w:hint="eastAsia" w:ascii="宋体" w:hAnsi="宋体" w:eastAsia="宋体" w:cs="宋体"/>
                <w:sz w:val="24"/>
                <w:highlight w:val="none"/>
                <w:lang w:val="en-US" w:eastAsia="zh-CN"/>
              </w:rPr>
              <w:t>4、</w:t>
            </w:r>
            <w:r>
              <w:rPr>
                <w:rFonts w:hint="eastAsia" w:ascii="宋体" w:hAnsi="宋体" w:eastAsia="宋体" w:cs="宋体"/>
                <w:bCs/>
                <w:sz w:val="24"/>
                <w:szCs w:val="24"/>
              </w:rPr>
              <w:t>临时用水、临时用电由投标人结合现场情况自行考虑，费用由中标人自行承担，中标后不予调整</w:t>
            </w:r>
            <w:r>
              <w:rPr>
                <w:rFonts w:hint="eastAsia" w:ascii="宋体" w:hAnsi="宋体" w:eastAsia="宋体" w:cs="宋体"/>
                <w:bCs/>
                <w:sz w:val="24"/>
                <w:szCs w:val="24"/>
                <w:lang w:eastAsia="zh-CN"/>
              </w:rPr>
              <w:t>；</w:t>
            </w:r>
          </w:p>
          <w:p w14:paraId="2C0ABD9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本次招标投标人投标报价时应充分考虑因进度需要可能发生的如夜间加班、人员及机械投入、恶劣气候下施工等一切费用的产生，文明施工等费用投入以及维稳协调等产生的费用，后期不得以任何名义要求增加工程造价</w:t>
            </w:r>
            <w:r>
              <w:rPr>
                <w:rFonts w:hint="eastAsia" w:ascii="宋体" w:hAnsi="宋体" w:eastAsia="宋体" w:cs="宋体"/>
                <w:bCs/>
                <w:sz w:val="24"/>
                <w:szCs w:val="24"/>
                <w:lang w:eastAsia="zh-CN"/>
              </w:rPr>
              <w:t>；</w:t>
            </w:r>
          </w:p>
          <w:p w14:paraId="4577D4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highlight w:val="none"/>
                <w:lang w:val="en-US" w:eastAsia="zh-CN"/>
              </w:rPr>
              <w:t>本工程施工前中标人需对贡</w:t>
            </w:r>
            <w:r>
              <w:rPr>
                <w:rFonts w:hint="eastAsia" w:ascii="宋体" w:hAnsi="宋体" w:cs="宋体"/>
                <w:sz w:val="24"/>
                <w:szCs w:val="24"/>
                <w:highlight w:val="none"/>
                <w:lang w:val="en-US" w:eastAsia="zh-CN"/>
              </w:rPr>
              <w:t>罍街茶馆</w:t>
            </w:r>
            <w:r>
              <w:rPr>
                <w:rFonts w:hint="eastAsia" w:ascii="宋体" w:hAnsi="宋体" w:eastAsia="宋体" w:cs="宋体"/>
                <w:sz w:val="24"/>
                <w:szCs w:val="24"/>
                <w:highlight w:val="none"/>
                <w:lang w:val="en-US" w:eastAsia="zh-CN"/>
              </w:rPr>
              <w:t>现场进行勘察，勘察完成后出具施工方案，业主同意后方可施工，费用由中标人自行承担，中标后不予调整；</w:t>
            </w:r>
          </w:p>
          <w:p w14:paraId="5415A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7、项目施工完成后需经第三方检测机构检测合格后，方可办理竣工验收，费用由中标人自行承担，中标后不予调整，投标人需谨慎报价。</w:t>
            </w:r>
          </w:p>
        </w:tc>
      </w:tr>
    </w:tbl>
    <w:p w14:paraId="3AEB2FBB">
      <w:pPr>
        <w:adjustRightInd w:val="0"/>
        <w:snapToGrid w:val="0"/>
        <w:ind w:firstLine="480" w:firstLineChars="200"/>
        <w:outlineLvl w:val="1"/>
        <w:rPr>
          <w:rFonts w:ascii="宋体" w:hAnsi="宋体"/>
          <w:bCs/>
          <w:sz w:val="24"/>
          <w:szCs w:val="24"/>
        </w:rPr>
      </w:pPr>
      <w:bookmarkStart w:id="14" w:name="_Hlt509650027"/>
      <w:bookmarkEnd w:id="14"/>
      <w:bookmarkStart w:id="15" w:name="_Hlt519045778"/>
      <w:bookmarkEnd w:id="15"/>
      <w:r>
        <w:rPr>
          <w:rFonts w:hint="eastAsia" w:ascii="宋体" w:hAnsi="宋体"/>
          <w:bCs/>
          <w:sz w:val="24"/>
          <w:szCs w:val="24"/>
          <w:lang w:val="en-US" w:eastAsia="zh-CN"/>
        </w:rPr>
        <w:t>2</w:t>
      </w:r>
      <w:r>
        <w:rPr>
          <w:rFonts w:hint="eastAsia" w:ascii="宋体" w:hAnsi="宋体"/>
          <w:bCs/>
          <w:sz w:val="24"/>
          <w:szCs w:val="24"/>
        </w:rPr>
        <w:t>、主要材料要求：</w:t>
      </w:r>
    </w:p>
    <w:p w14:paraId="51F3F244">
      <w:pPr>
        <w:adjustRightInd w:val="0"/>
        <w:snapToGrid w:val="0"/>
        <w:ind w:firstLine="480" w:firstLineChars="200"/>
        <w:outlineLvl w:val="2"/>
        <w:rPr>
          <w:rFonts w:ascii="宋体" w:hAnsi="宋体"/>
          <w:bCs/>
          <w:sz w:val="24"/>
          <w:szCs w:val="24"/>
        </w:rPr>
      </w:pPr>
      <w:r>
        <w:rPr>
          <w:rFonts w:hint="eastAsia" w:ascii="宋体" w:hAnsi="宋体"/>
          <w:bCs/>
          <w:sz w:val="24"/>
          <w:szCs w:val="24"/>
          <w:lang w:val="en-US" w:eastAsia="zh-CN"/>
        </w:rPr>
        <w:t>2</w:t>
      </w:r>
      <w:r>
        <w:rPr>
          <w:rFonts w:hint="eastAsia" w:ascii="宋体" w:hAnsi="宋体"/>
          <w:bCs/>
          <w:sz w:val="24"/>
          <w:szCs w:val="24"/>
        </w:rPr>
        <w:t xml:space="preserve">.1 </w:t>
      </w:r>
      <w:r>
        <w:rPr>
          <w:rFonts w:ascii="宋体" w:hAnsi="宋体"/>
          <w:bCs/>
          <w:sz w:val="24"/>
          <w:szCs w:val="24"/>
        </w:rPr>
        <w:t>工程所需材料均由</w:t>
      </w:r>
      <w:r>
        <w:rPr>
          <w:rFonts w:hint="eastAsia" w:ascii="宋体" w:hAnsi="宋体"/>
          <w:bCs/>
          <w:sz w:val="24"/>
          <w:szCs w:val="24"/>
        </w:rPr>
        <w:t>中标人</w:t>
      </w:r>
      <w:r>
        <w:rPr>
          <w:rFonts w:ascii="宋体" w:hAnsi="宋体"/>
          <w:bCs/>
          <w:sz w:val="24"/>
          <w:szCs w:val="24"/>
        </w:rPr>
        <w:t>自行采购。</w:t>
      </w:r>
    </w:p>
    <w:p w14:paraId="622649E5">
      <w:pPr>
        <w:adjustRightInd w:val="0"/>
        <w:snapToGrid w:val="0"/>
        <w:ind w:firstLine="480" w:firstLineChars="200"/>
        <w:rPr>
          <w:rFonts w:ascii="宋体" w:hAnsi="宋体"/>
          <w:bCs/>
          <w:sz w:val="24"/>
          <w:szCs w:val="24"/>
        </w:rPr>
      </w:pPr>
      <w:r>
        <w:rPr>
          <w:rFonts w:hint="eastAsia" w:ascii="宋体" w:hAnsi="宋体"/>
          <w:bCs/>
          <w:sz w:val="24"/>
          <w:szCs w:val="24"/>
          <w:lang w:val="en-US" w:eastAsia="zh-CN"/>
        </w:rPr>
        <w:t>2</w:t>
      </w:r>
      <w:r>
        <w:rPr>
          <w:rFonts w:hint="eastAsia" w:ascii="宋体" w:hAnsi="宋体"/>
          <w:bCs/>
          <w:sz w:val="24"/>
          <w:szCs w:val="24"/>
        </w:rPr>
        <w:t>.2 中标人</w:t>
      </w:r>
      <w:r>
        <w:rPr>
          <w:rFonts w:ascii="宋体" w:hAnsi="宋体"/>
          <w:bCs/>
          <w:sz w:val="24"/>
          <w:szCs w:val="24"/>
        </w:rPr>
        <w:t>自行采购的材料应满足设计和规范要求的质量等级，并须按有关技术规范要求对材料质量进行检验。</w:t>
      </w:r>
      <w:r>
        <w:rPr>
          <w:rFonts w:hint="eastAsia" w:ascii="宋体" w:hAnsi="宋体"/>
          <w:bCs/>
          <w:sz w:val="24"/>
          <w:szCs w:val="24"/>
        </w:rPr>
        <w:t>中标人</w:t>
      </w:r>
      <w:r>
        <w:rPr>
          <w:rFonts w:ascii="宋体" w:hAnsi="宋体"/>
          <w:bCs/>
          <w:sz w:val="24"/>
          <w:szCs w:val="24"/>
        </w:rPr>
        <w:t>选定的材料供应厂家和价格须经</w:t>
      </w:r>
      <w:r>
        <w:rPr>
          <w:rFonts w:hint="eastAsia" w:ascii="宋体" w:hAnsi="宋体"/>
          <w:bCs/>
          <w:sz w:val="24"/>
          <w:szCs w:val="24"/>
        </w:rPr>
        <w:t>招标人</w:t>
      </w:r>
      <w:r>
        <w:rPr>
          <w:rFonts w:ascii="宋体" w:hAnsi="宋体"/>
          <w:bCs/>
          <w:sz w:val="24"/>
          <w:szCs w:val="24"/>
        </w:rPr>
        <w:t>认可。如</w:t>
      </w:r>
      <w:r>
        <w:rPr>
          <w:rFonts w:hint="eastAsia" w:ascii="宋体" w:hAnsi="宋体"/>
          <w:bCs/>
          <w:sz w:val="24"/>
          <w:szCs w:val="24"/>
        </w:rPr>
        <w:t>招标人</w:t>
      </w:r>
      <w:r>
        <w:rPr>
          <w:rFonts w:ascii="宋体" w:hAnsi="宋体"/>
          <w:bCs/>
          <w:sz w:val="24"/>
          <w:szCs w:val="24"/>
        </w:rPr>
        <w:t>对某种或某些材料的质量有异议，有权提出停止使用的要求，</w:t>
      </w:r>
      <w:r>
        <w:rPr>
          <w:rFonts w:hint="eastAsia" w:ascii="宋体" w:hAnsi="宋体"/>
          <w:bCs/>
          <w:sz w:val="24"/>
          <w:szCs w:val="24"/>
        </w:rPr>
        <w:t>中标人</w:t>
      </w:r>
      <w:r>
        <w:rPr>
          <w:rFonts w:ascii="宋体" w:hAnsi="宋体"/>
          <w:bCs/>
          <w:sz w:val="24"/>
          <w:szCs w:val="24"/>
        </w:rPr>
        <w:t>必须服从该要求。若该材料经权威检验部门鉴定确有质量问题，由此而发生的一切费用由</w:t>
      </w:r>
      <w:r>
        <w:rPr>
          <w:rFonts w:hint="eastAsia" w:ascii="宋体" w:hAnsi="宋体"/>
          <w:bCs/>
          <w:sz w:val="24"/>
          <w:szCs w:val="24"/>
        </w:rPr>
        <w:t>中标人</w:t>
      </w:r>
      <w:r>
        <w:rPr>
          <w:rFonts w:ascii="宋体" w:hAnsi="宋体"/>
          <w:bCs/>
          <w:sz w:val="24"/>
          <w:szCs w:val="24"/>
        </w:rPr>
        <w:t>自行负责</w:t>
      </w:r>
      <w:r>
        <w:rPr>
          <w:rFonts w:hint="eastAsia" w:ascii="宋体" w:hAnsi="宋体"/>
          <w:bCs/>
          <w:sz w:val="24"/>
          <w:szCs w:val="24"/>
        </w:rPr>
        <w:t>；</w:t>
      </w:r>
      <w:r>
        <w:rPr>
          <w:rFonts w:ascii="宋体" w:hAnsi="宋体"/>
          <w:bCs/>
          <w:sz w:val="24"/>
          <w:szCs w:val="24"/>
        </w:rPr>
        <w:t>若鉴定无质量问题，因此发生的一切费用由</w:t>
      </w:r>
      <w:r>
        <w:rPr>
          <w:rFonts w:hint="eastAsia" w:ascii="宋体" w:hAnsi="宋体"/>
          <w:bCs/>
          <w:sz w:val="24"/>
          <w:szCs w:val="24"/>
        </w:rPr>
        <w:t>招标人</w:t>
      </w:r>
      <w:r>
        <w:rPr>
          <w:rFonts w:ascii="宋体" w:hAnsi="宋体"/>
          <w:bCs/>
          <w:sz w:val="24"/>
          <w:szCs w:val="24"/>
        </w:rPr>
        <w:t>自行负责。</w:t>
      </w:r>
    </w:p>
    <w:p w14:paraId="5CC2E1B1">
      <w:pPr>
        <w:adjustRightInd w:val="0"/>
        <w:snapToGrid w:val="0"/>
        <w:ind w:firstLine="480" w:firstLineChars="200"/>
        <w:rPr>
          <w:rFonts w:ascii="宋体" w:hAnsi="宋体" w:eastAsia="宋体"/>
          <w:color w:val="000000"/>
          <w:sz w:val="28"/>
        </w:rPr>
      </w:pPr>
      <w:r>
        <w:rPr>
          <w:rFonts w:hint="eastAsia" w:ascii="宋体" w:hAnsi="宋体"/>
          <w:bCs/>
          <w:sz w:val="24"/>
          <w:szCs w:val="24"/>
          <w:lang w:val="en-US" w:eastAsia="zh-CN"/>
        </w:rPr>
        <w:t>2</w:t>
      </w:r>
      <w:r>
        <w:rPr>
          <w:rFonts w:hint="eastAsia" w:ascii="宋体" w:hAnsi="宋体"/>
          <w:bCs/>
          <w:sz w:val="24"/>
          <w:szCs w:val="24"/>
        </w:rPr>
        <w:t>.3</w:t>
      </w:r>
      <w:r>
        <w:rPr>
          <w:rFonts w:ascii="宋体" w:hAnsi="宋体"/>
          <w:bCs/>
          <w:sz w:val="24"/>
          <w:szCs w:val="24"/>
        </w:rPr>
        <w:t xml:space="preserve"> 因</w:t>
      </w:r>
      <w:r>
        <w:rPr>
          <w:rFonts w:hint="eastAsia" w:ascii="宋体" w:hAnsi="宋体"/>
          <w:bCs/>
          <w:sz w:val="24"/>
          <w:szCs w:val="24"/>
        </w:rPr>
        <w:t>中标人</w:t>
      </w:r>
      <w:r>
        <w:rPr>
          <w:rFonts w:ascii="宋体" w:hAnsi="宋体"/>
          <w:bCs/>
          <w:sz w:val="24"/>
          <w:szCs w:val="24"/>
        </w:rPr>
        <w:t>自行采购的材料质量引起的工程质量问题由</w:t>
      </w:r>
      <w:r>
        <w:rPr>
          <w:rFonts w:hint="eastAsia" w:ascii="宋体" w:hAnsi="宋体"/>
          <w:bCs/>
          <w:sz w:val="24"/>
          <w:szCs w:val="24"/>
        </w:rPr>
        <w:t>中标人</w:t>
      </w:r>
      <w:r>
        <w:rPr>
          <w:rFonts w:ascii="宋体" w:hAnsi="宋体"/>
          <w:bCs/>
          <w:sz w:val="24"/>
          <w:szCs w:val="24"/>
        </w:rPr>
        <w:t>承担所造成的一切损失</w:t>
      </w:r>
      <w:r>
        <w:rPr>
          <w:rFonts w:hint="eastAsia" w:ascii="宋体" w:hAnsi="宋体"/>
          <w:bCs/>
          <w:sz w:val="24"/>
          <w:szCs w:val="24"/>
        </w:rPr>
        <w:t>。</w:t>
      </w:r>
    </w:p>
    <w:p w14:paraId="39CB6D1A">
      <w:pPr>
        <w:adjustRightInd w:val="0"/>
        <w:snapToGrid w:val="0"/>
        <w:rPr>
          <w:rFonts w:ascii="宋体" w:hAnsi="宋体"/>
          <w:bCs/>
          <w:sz w:val="24"/>
          <w:szCs w:val="24"/>
          <w:highlight w:val="none"/>
        </w:rPr>
      </w:pPr>
      <w:r>
        <w:rPr>
          <w:rFonts w:hint="eastAsia" w:ascii="宋体" w:hAnsi="宋体" w:eastAsia="宋体"/>
          <w:color w:val="000000"/>
          <w:sz w:val="28"/>
          <w:highlight w:val="none"/>
          <w:lang w:eastAsia="zh-CN"/>
        </w:rPr>
        <w:br w:type="page"/>
      </w:r>
    </w:p>
    <w:bookmarkEnd w:id="13"/>
    <w:p w14:paraId="635D8D01">
      <w:pPr>
        <w:pStyle w:val="3"/>
        <w:keepNext/>
        <w:keepLines/>
        <w:pageBreakBefore/>
        <w:widowControl w:val="0"/>
        <w:numPr>
          <w:ilvl w:val="0"/>
          <w:numId w:val="5"/>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olor w:val="000000"/>
          <w:highlight w:val="none"/>
        </w:rPr>
      </w:pPr>
      <w:r>
        <w:rPr>
          <w:rFonts w:hint="eastAsia" w:ascii="宋体" w:hAnsi="宋体" w:eastAsia="宋体"/>
          <w:color w:val="000000"/>
          <w:highlight w:val="none"/>
        </w:rPr>
        <w:t>评标办法</w:t>
      </w:r>
    </w:p>
    <w:p w14:paraId="762A9D48">
      <w:pPr>
        <w:pStyle w:val="2"/>
        <w:spacing w:before="240" w:beforeLines="100" w:after="240" w:afterLines="100" w:line="240" w:lineRule="auto"/>
        <w:jc w:val="center"/>
        <w:rPr>
          <w:rFonts w:hint="eastAsia" w:ascii="Times New Roman"/>
          <w:color w:val="000000"/>
          <w:highlight w:val="none"/>
        </w:rPr>
      </w:pPr>
      <w:bookmarkStart w:id="16" w:name="_Toc130919111"/>
      <w:r>
        <w:rPr>
          <w:rFonts w:hint="eastAsia" w:ascii="Times New Roman"/>
          <w:color w:val="000000"/>
          <w:highlight w:val="none"/>
        </w:rPr>
        <w:t>综合评估法（三阶段）</w:t>
      </w:r>
      <w:bookmarkEnd w:id="16"/>
    </w:p>
    <w:p w14:paraId="10172D61">
      <w:pPr>
        <w:spacing w:before="240" w:beforeLines="100" w:after="240" w:afterLines="100"/>
        <w:jc w:val="center"/>
        <w:outlineLvl w:val="1"/>
        <w:rPr>
          <w:rFonts w:hint="eastAsia" w:ascii="Times New Roman" w:eastAsia="黑体"/>
          <w:color w:val="000000"/>
          <w:sz w:val="32"/>
          <w:szCs w:val="32"/>
          <w:highlight w:val="none"/>
        </w:rPr>
      </w:pPr>
      <w:bookmarkStart w:id="17" w:name="_Toc130919112"/>
      <w:r>
        <w:rPr>
          <w:rFonts w:hint="eastAsia" w:ascii="Times New Roman" w:eastAsia="黑体"/>
          <w:color w:val="000000"/>
          <w:sz w:val="32"/>
          <w:szCs w:val="32"/>
          <w:highlight w:val="none"/>
        </w:rPr>
        <w:t>评标办法前附表</w:t>
      </w:r>
      <w:bookmarkEnd w:id="17"/>
    </w:p>
    <w:tbl>
      <w:tblPr>
        <w:tblStyle w:val="53"/>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7"/>
        <w:gridCol w:w="1870"/>
        <w:gridCol w:w="6341"/>
      </w:tblGrid>
      <w:tr w14:paraId="66D75CA6">
        <w:trPr>
          <w:trHeight w:val="567" w:hRule="atLeast"/>
        </w:trPr>
        <w:tc>
          <w:tcPr>
            <w:tcW w:w="771" w:type="pct"/>
            <w:noWrap w:val="0"/>
            <w:vAlign w:val="center"/>
          </w:tcPr>
          <w:p w14:paraId="7781F117">
            <w:pPr>
              <w:widowControl/>
              <w:spacing w:line="360" w:lineRule="auto"/>
              <w:jc w:val="center"/>
              <w:rPr>
                <w:rFonts w:hint="eastAsia" w:ascii="Times New Roman" w:cs="宋体"/>
                <w:color w:val="000000"/>
                <w:szCs w:val="24"/>
                <w:highlight w:val="none"/>
              </w:rPr>
            </w:pPr>
            <w:r>
              <w:rPr>
                <w:rFonts w:hint="eastAsia" w:ascii="Times New Roman" w:cs="宋体"/>
                <w:b/>
                <w:bCs/>
                <w:color w:val="000000"/>
                <w:szCs w:val="24"/>
                <w:highlight w:val="none"/>
              </w:rPr>
              <w:t>条款号</w:t>
            </w:r>
          </w:p>
        </w:tc>
        <w:tc>
          <w:tcPr>
            <w:tcW w:w="963" w:type="pct"/>
            <w:noWrap w:val="0"/>
            <w:vAlign w:val="center"/>
          </w:tcPr>
          <w:p w14:paraId="09F90ABD">
            <w:pPr>
              <w:widowControl/>
              <w:spacing w:line="360" w:lineRule="auto"/>
              <w:ind w:firstLine="105" w:firstLineChars="50"/>
              <w:jc w:val="center"/>
              <w:rPr>
                <w:rFonts w:hint="eastAsia" w:ascii="Times New Roman" w:cs="宋体"/>
                <w:color w:val="000000"/>
                <w:szCs w:val="24"/>
                <w:highlight w:val="none"/>
              </w:rPr>
            </w:pPr>
            <w:r>
              <w:rPr>
                <w:rFonts w:hint="eastAsia" w:ascii="Times New Roman" w:cs="宋体"/>
                <w:b/>
                <w:bCs/>
                <w:color w:val="000000"/>
                <w:szCs w:val="24"/>
                <w:highlight w:val="none"/>
              </w:rPr>
              <w:t>评审因素</w:t>
            </w:r>
          </w:p>
        </w:tc>
        <w:tc>
          <w:tcPr>
            <w:tcW w:w="3265" w:type="pct"/>
            <w:noWrap w:val="0"/>
            <w:vAlign w:val="center"/>
          </w:tcPr>
          <w:p w14:paraId="2A93BEBC">
            <w:pPr>
              <w:widowControl/>
              <w:spacing w:line="360" w:lineRule="auto"/>
              <w:ind w:firstLine="105" w:firstLineChars="50"/>
              <w:jc w:val="center"/>
              <w:rPr>
                <w:rFonts w:hint="eastAsia" w:ascii="Times New Roman" w:cs="宋体"/>
                <w:color w:val="000000"/>
                <w:szCs w:val="24"/>
                <w:highlight w:val="none"/>
              </w:rPr>
            </w:pPr>
            <w:r>
              <w:rPr>
                <w:rFonts w:hint="eastAsia" w:ascii="Times New Roman" w:cs="宋体"/>
                <w:b/>
                <w:bCs/>
                <w:color w:val="000000"/>
                <w:szCs w:val="24"/>
                <w:highlight w:val="none"/>
              </w:rPr>
              <w:t>评审标准</w:t>
            </w:r>
          </w:p>
        </w:tc>
      </w:tr>
      <w:tr w14:paraId="07826474">
        <w:trPr>
          <w:trHeight w:val="567" w:hRule="atLeast"/>
        </w:trPr>
        <w:tc>
          <w:tcPr>
            <w:tcW w:w="771" w:type="pct"/>
            <w:noWrap w:val="0"/>
            <w:vAlign w:val="center"/>
          </w:tcPr>
          <w:p w14:paraId="0420B312">
            <w:pPr>
              <w:widowControl/>
              <w:spacing w:line="360" w:lineRule="auto"/>
              <w:jc w:val="center"/>
              <w:rPr>
                <w:rFonts w:ascii="Times New Roman" w:cs="宋体"/>
                <w:bCs/>
                <w:color w:val="000000"/>
                <w:szCs w:val="24"/>
                <w:highlight w:val="none"/>
              </w:rPr>
            </w:pPr>
            <w:r>
              <w:rPr>
                <w:rFonts w:hint="eastAsia" w:ascii="Times New Roman" w:cs="宋体"/>
                <w:bCs/>
                <w:color w:val="000000"/>
                <w:szCs w:val="24"/>
                <w:highlight w:val="none"/>
              </w:rPr>
              <w:t>1.3</w:t>
            </w:r>
          </w:p>
        </w:tc>
        <w:tc>
          <w:tcPr>
            <w:tcW w:w="963" w:type="pct"/>
            <w:noWrap w:val="0"/>
            <w:tcMar>
              <w:left w:w="75" w:type="dxa"/>
            </w:tcMar>
            <w:vAlign w:val="center"/>
          </w:tcPr>
          <w:p w14:paraId="2B893859">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中标候选人排序方法</w:t>
            </w:r>
          </w:p>
        </w:tc>
        <w:tc>
          <w:tcPr>
            <w:tcW w:w="3265" w:type="pct"/>
            <w:noWrap w:val="0"/>
            <w:tcMar>
              <w:left w:w="75" w:type="dxa"/>
            </w:tcMar>
            <w:vAlign w:val="center"/>
          </w:tcPr>
          <w:p w14:paraId="53B2FAB7">
            <w:pPr>
              <w:widowControl/>
              <w:adjustRightInd w:val="0"/>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lang w:val="en-US" w:eastAsia="zh-CN"/>
              </w:rPr>
              <w:t>综合</w:t>
            </w:r>
            <w:r>
              <w:rPr>
                <w:rFonts w:hint="eastAsia" w:ascii="Times New Roman" w:cs="宋体"/>
                <w:color w:val="auto"/>
                <w:szCs w:val="24"/>
                <w:highlight w:val="none"/>
              </w:rPr>
              <w:t>得分相等时，评标委员会应按照以下优先顺序确定中标候选人顺序：</w:t>
            </w:r>
          </w:p>
          <w:p w14:paraId="3CB216E4">
            <w:pPr>
              <w:widowControl/>
              <w:adjustRightInd w:val="0"/>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t>（1）</w:t>
            </w:r>
            <w:r>
              <w:rPr>
                <w:rFonts w:hint="eastAsia" w:ascii="Times New Roman"/>
                <w:color w:val="auto"/>
                <w:szCs w:val="24"/>
                <w:highlight w:val="none"/>
              </w:rPr>
              <w:t>商务及技术文件得分</w:t>
            </w:r>
            <w:r>
              <w:rPr>
                <w:rFonts w:hint="eastAsia" w:ascii="Times New Roman"/>
                <w:color w:val="auto"/>
                <w:szCs w:val="24"/>
                <w:highlight w:val="none"/>
                <w:lang w:val="en-US" w:eastAsia="zh-CN"/>
              </w:rPr>
              <w:t>高的优先</w:t>
            </w:r>
            <w:r>
              <w:rPr>
                <w:rFonts w:hint="eastAsia" w:ascii="Times New Roman" w:cs="宋体"/>
                <w:color w:val="auto"/>
                <w:szCs w:val="24"/>
                <w:highlight w:val="none"/>
              </w:rPr>
              <w:t>；</w:t>
            </w:r>
          </w:p>
          <w:p w14:paraId="08A4A3AF">
            <w:pPr>
              <w:widowControl/>
              <w:adjustRightInd w:val="0"/>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t>（2）投标报价低的优先；</w:t>
            </w:r>
          </w:p>
          <w:p w14:paraId="1D1606FB">
            <w:pPr>
              <w:widowControl/>
              <w:adjustRightInd w:val="0"/>
              <w:snapToGrid w:val="0"/>
              <w:spacing w:line="360" w:lineRule="auto"/>
              <w:jc w:val="left"/>
              <w:rPr>
                <w:rFonts w:hint="eastAsia" w:ascii="Times New Roman" w:cs="宋体"/>
                <w:color w:val="000000"/>
                <w:szCs w:val="24"/>
                <w:highlight w:val="none"/>
              </w:rPr>
            </w:pPr>
            <w:r>
              <w:rPr>
                <w:rFonts w:hint="eastAsia" w:ascii="Times New Roman" w:hAnsi="Times New Roman" w:eastAsia="宋体" w:cs="宋体"/>
                <w:color w:val="auto"/>
                <w:szCs w:val="24"/>
                <w:highlight w:val="none"/>
                <w:lang w:eastAsia="zh-CN"/>
              </w:rPr>
              <w:t>（</w:t>
            </w:r>
            <w:r>
              <w:rPr>
                <w:rFonts w:hint="eastAsia" w:ascii="Times New Roman" w:hAnsi="Times New Roman" w:eastAsia="宋体" w:cs="宋体"/>
                <w:color w:val="auto"/>
                <w:szCs w:val="24"/>
                <w:highlight w:val="none"/>
                <w:lang w:val="en-US" w:eastAsia="zh-CN"/>
              </w:rPr>
              <w:t>3</w:t>
            </w:r>
            <w:r>
              <w:rPr>
                <w:rFonts w:hint="eastAsia" w:ascii="Times New Roman" w:hAnsi="Times New Roman" w:eastAsia="宋体" w:cs="宋体"/>
                <w:color w:val="auto"/>
                <w:szCs w:val="24"/>
                <w:highlight w:val="none"/>
                <w:lang w:eastAsia="zh-CN"/>
              </w:rPr>
              <w:t>）</w:t>
            </w:r>
            <w:r>
              <w:rPr>
                <w:rFonts w:hint="eastAsia" w:ascii="Times New Roman" w:hAnsi="Times New Roman" w:eastAsia="宋体" w:cs="宋体"/>
                <w:color w:val="auto"/>
                <w:szCs w:val="24"/>
                <w:highlight w:val="none"/>
              </w:rPr>
              <w:t>由评标委员会根据投标文件投票，按少数服从多数的原则确定中标候选人顺序。</w:t>
            </w:r>
          </w:p>
        </w:tc>
      </w:tr>
      <w:tr w14:paraId="609A56A3">
        <w:trPr>
          <w:trHeight w:val="567" w:hRule="atLeast"/>
        </w:trPr>
        <w:tc>
          <w:tcPr>
            <w:tcW w:w="771" w:type="pct"/>
            <w:noWrap w:val="0"/>
            <w:vAlign w:val="center"/>
          </w:tcPr>
          <w:p w14:paraId="4633C2AC">
            <w:pPr>
              <w:widowControl/>
              <w:spacing w:line="360" w:lineRule="auto"/>
              <w:jc w:val="center"/>
              <w:rPr>
                <w:rFonts w:ascii="Times New Roman" w:cs="宋体"/>
                <w:bCs/>
                <w:color w:val="000000"/>
                <w:szCs w:val="24"/>
                <w:highlight w:val="none"/>
              </w:rPr>
            </w:pPr>
            <w:r>
              <w:rPr>
                <w:rFonts w:hint="eastAsia" w:ascii="Times New Roman" w:cs="宋体"/>
                <w:bCs/>
                <w:color w:val="000000"/>
                <w:szCs w:val="24"/>
                <w:highlight w:val="none"/>
              </w:rPr>
              <w:t>1.4</w:t>
            </w:r>
          </w:p>
        </w:tc>
        <w:tc>
          <w:tcPr>
            <w:tcW w:w="963" w:type="pct"/>
            <w:noWrap w:val="0"/>
            <w:tcMar>
              <w:left w:w="75" w:type="dxa"/>
            </w:tcMar>
            <w:vAlign w:val="center"/>
          </w:tcPr>
          <w:p w14:paraId="0B02979C">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推荐中标候选人先后顺序</w:t>
            </w:r>
          </w:p>
        </w:tc>
        <w:tc>
          <w:tcPr>
            <w:tcW w:w="3265" w:type="pct"/>
            <w:noWrap w:val="0"/>
            <w:tcMar>
              <w:left w:w="75" w:type="dxa"/>
            </w:tcMar>
            <w:vAlign w:val="center"/>
          </w:tcPr>
          <w:p w14:paraId="678D79DC">
            <w:pPr>
              <w:widowControl/>
              <w:spacing w:line="360" w:lineRule="auto"/>
              <w:jc w:val="left"/>
              <w:rPr>
                <w:rFonts w:hint="eastAsia" w:ascii="Times New Roman" w:eastAsia="宋体" w:cs="宋体"/>
                <w:bCs/>
                <w:snapToGrid w:val="0"/>
                <w:color w:val="FF0000"/>
                <w:szCs w:val="24"/>
                <w:highlight w:val="none"/>
                <w:lang w:eastAsia="zh-CN"/>
              </w:rPr>
            </w:pPr>
            <w:r>
              <w:rPr>
                <w:rFonts w:hint="eastAsia" w:eastAsia="宋体"/>
                <w:color w:val="FF0000"/>
                <w:szCs w:val="24"/>
                <w:highlight w:val="none"/>
                <w:lang w:val="en-US" w:eastAsia="zh-CN"/>
              </w:rPr>
              <w:t>/</w:t>
            </w:r>
          </w:p>
        </w:tc>
      </w:tr>
      <w:tr w14:paraId="7FF64308">
        <w:trPr>
          <w:trHeight w:val="567" w:hRule="atLeast"/>
        </w:trPr>
        <w:tc>
          <w:tcPr>
            <w:tcW w:w="771" w:type="pct"/>
            <w:noWrap w:val="0"/>
            <w:vAlign w:val="center"/>
          </w:tcPr>
          <w:p w14:paraId="69B1614A">
            <w:pPr>
              <w:widowControl/>
              <w:spacing w:line="360" w:lineRule="auto"/>
              <w:jc w:val="center"/>
              <w:rPr>
                <w:rFonts w:ascii="Times New Roman" w:cs="宋体"/>
                <w:bCs/>
                <w:color w:val="000000"/>
                <w:szCs w:val="24"/>
                <w:highlight w:val="none"/>
              </w:rPr>
            </w:pPr>
            <w:r>
              <w:rPr>
                <w:rFonts w:hint="eastAsia" w:ascii="Times New Roman" w:cs="宋体"/>
                <w:bCs/>
                <w:color w:val="000000"/>
                <w:szCs w:val="24"/>
                <w:highlight w:val="none"/>
              </w:rPr>
              <w:t>1.4</w:t>
            </w:r>
          </w:p>
        </w:tc>
        <w:tc>
          <w:tcPr>
            <w:tcW w:w="963" w:type="pct"/>
            <w:noWrap w:val="0"/>
            <w:tcMar>
              <w:left w:w="75" w:type="dxa"/>
            </w:tcMar>
            <w:vAlign w:val="center"/>
          </w:tcPr>
          <w:p w14:paraId="4B935B8C">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最多可中标段数量</w:t>
            </w:r>
          </w:p>
        </w:tc>
        <w:tc>
          <w:tcPr>
            <w:tcW w:w="3265" w:type="pct"/>
            <w:noWrap w:val="0"/>
            <w:tcMar>
              <w:left w:w="75" w:type="dxa"/>
            </w:tcMar>
            <w:vAlign w:val="center"/>
          </w:tcPr>
          <w:p w14:paraId="5AE86D60">
            <w:pPr>
              <w:widowControl/>
              <w:spacing w:line="360" w:lineRule="auto"/>
              <w:jc w:val="left"/>
              <w:rPr>
                <w:rFonts w:hint="eastAsia" w:ascii="Times New Roman" w:eastAsia="宋体" w:cs="宋体"/>
                <w:color w:val="FF0000"/>
                <w:szCs w:val="24"/>
                <w:highlight w:val="none"/>
                <w:lang w:eastAsia="zh-CN"/>
              </w:rPr>
            </w:pPr>
            <w:r>
              <w:rPr>
                <w:rFonts w:hint="eastAsia"/>
                <w:color w:val="FF0000"/>
                <w:szCs w:val="24"/>
                <w:highlight w:val="none"/>
                <w:lang w:val="en-US" w:eastAsia="zh-CN"/>
              </w:rPr>
              <w:t>/</w:t>
            </w:r>
          </w:p>
        </w:tc>
      </w:tr>
      <w:tr w14:paraId="144EB7E6">
        <w:trPr>
          <w:trHeight w:val="567" w:hRule="atLeast"/>
        </w:trPr>
        <w:tc>
          <w:tcPr>
            <w:tcW w:w="771" w:type="pct"/>
            <w:noWrap w:val="0"/>
            <w:vAlign w:val="center"/>
          </w:tcPr>
          <w:p w14:paraId="57DF5EE0">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2.1</w:t>
            </w:r>
          </w:p>
        </w:tc>
        <w:tc>
          <w:tcPr>
            <w:tcW w:w="963" w:type="pct"/>
            <w:noWrap w:val="0"/>
            <w:tcMar>
              <w:left w:w="75" w:type="dxa"/>
            </w:tcMar>
            <w:vAlign w:val="center"/>
          </w:tcPr>
          <w:p w14:paraId="1D086BFA">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初步评审标准</w:t>
            </w:r>
          </w:p>
        </w:tc>
        <w:tc>
          <w:tcPr>
            <w:tcW w:w="3265" w:type="pct"/>
            <w:noWrap w:val="0"/>
            <w:tcMar>
              <w:left w:w="75" w:type="dxa"/>
            </w:tcMar>
            <w:vAlign w:val="center"/>
          </w:tcPr>
          <w:p w14:paraId="03101478">
            <w:pPr>
              <w:widowControl/>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见“商务及技术文件初步评审标准”表、“报价文件初步评审标准”</w:t>
            </w:r>
            <w:r>
              <w:rPr>
                <w:rFonts w:hint="eastAsia"/>
                <w:color w:val="000000"/>
                <w:highlight w:val="none"/>
              </w:rPr>
              <w:t>表。</w:t>
            </w:r>
          </w:p>
        </w:tc>
      </w:tr>
      <w:tr w14:paraId="4A9E0E43">
        <w:trPr>
          <w:trHeight w:val="567" w:hRule="atLeast"/>
        </w:trPr>
        <w:tc>
          <w:tcPr>
            <w:tcW w:w="771" w:type="pct"/>
            <w:noWrap w:val="0"/>
            <w:vAlign w:val="center"/>
          </w:tcPr>
          <w:p w14:paraId="273682A1">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2.2.1</w:t>
            </w:r>
          </w:p>
        </w:tc>
        <w:tc>
          <w:tcPr>
            <w:tcW w:w="963" w:type="pct"/>
            <w:noWrap w:val="0"/>
            <w:tcMar>
              <w:left w:w="75" w:type="dxa"/>
            </w:tcMar>
            <w:vAlign w:val="center"/>
          </w:tcPr>
          <w:p w14:paraId="36BEAFC6">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分值构成</w:t>
            </w:r>
          </w:p>
          <w:p w14:paraId="009AFE44">
            <w:pPr>
              <w:snapToGrid w:val="0"/>
              <w:spacing w:line="360" w:lineRule="auto"/>
              <w:jc w:val="center"/>
              <w:rPr>
                <w:rFonts w:hint="eastAsia" w:ascii="Times New Roman" w:cs="宋体"/>
                <w:bCs/>
                <w:color w:val="000000"/>
                <w:szCs w:val="24"/>
                <w:highlight w:val="none"/>
              </w:rPr>
            </w:pPr>
            <w:r>
              <w:rPr>
                <w:rFonts w:hint="eastAsia" w:ascii="Times New Roman" w:cs="宋体"/>
                <w:color w:val="000000"/>
                <w:szCs w:val="24"/>
                <w:highlight w:val="none"/>
              </w:rPr>
              <w:t>（</w:t>
            </w:r>
            <w:r>
              <w:rPr>
                <w:rFonts w:hint="eastAsia" w:ascii="Times New Roman" w:cs="宋体"/>
                <w:color w:val="FF0000"/>
                <w:szCs w:val="24"/>
                <w:highlight w:val="none"/>
                <w:u w:val="single"/>
                <w:lang w:val="en-US" w:eastAsia="zh-CN"/>
              </w:rPr>
              <w:t>100</w:t>
            </w:r>
            <w:r>
              <w:rPr>
                <w:rFonts w:hint="eastAsia" w:ascii="Times New Roman" w:cs="宋体"/>
                <w:color w:val="FF0000"/>
                <w:szCs w:val="24"/>
                <w:highlight w:val="none"/>
              </w:rPr>
              <w:t>分）</w:t>
            </w:r>
          </w:p>
        </w:tc>
        <w:tc>
          <w:tcPr>
            <w:tcW w:w="3265" w:type="pct"/>
            <w:noWrap w:val="0"/>
            <w:vAlign w:val="center"/>
          </w:tcPr>
          <w:p w14:paraId="269C1549">
            <w:pPr>
              <w:widowControl/>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t>技术文件：</w:t>
            </w:r>
            <w:r>
              <w:rPr>
                <w:rFonts w:hint="eastAsia" w:ascii="Times New Roman" w:cs="宋体"/>
                <w:color w:val="auto"/>
                <w:szCs w:val="24"/>
                <w:highlight w:val="none"/>
                <w:u w:val="single"/>
              </w:rPr>
              <w:t xml:space="preserve"> </w:t>
            </w:r>
            <w:r>
              <w:rPr>
                <w:rFonts w:hint="eastAsia" w:cs="宋体"/>
                <w:color w:val="auto"/>
                <w:szCs w:val="24"/>
                <w:highlight w:val="none"/>
                <w:u w:val="single"/>
                <w:lang w:val="en-US" w:eastAsia="zh-CN"/>
              </w:rPr>
              <w:t>24</w:t>
            </w:r>
            <w:r>
              <w:rPr>
                <w:rFonts w:hint="eastAsia" w:ascii="Times New Roman" w:cs="宋体"/>
                <w:color w:val="auto"/>
                <w:szCs w:val="24"/>
                <w:highlight w:val="none"/>
                <w:u w:val="single"/>
              </w:rPr>
              <w:t xml:space="preserve"> </w:t>
            </w:r>
            <w:r>
              <w:rPr>
                <w:rFonts w:hint="eastAsia" w:ascii="Times New Roman" w:cs="宋体"/>
                <w:color w:val="auto"/>
                <w:szCs w:val="24"/>
                <w:highlight w:val="none"/>
              </w:rPr>
              <w:t>分</w:t>
            </w:r>
          </w:p>
          <w:p w14:paraId="7075D672">
            <w:pPr>
              <w:widowControl/>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t>商务文件：</w:t>
            </w:r>
            <w:r>
              <w:rPr>
                <w:rFonts w:hint="eastAsia" w:ascii="Times New Roman" w:cs="宋体"/>
                <w:color w:val="auto"/>
                <w:szCs w:val="24"/>
                <w:highlight w:val="none"/>
                <w:u w:val="single"/>
              </w:rPr>
              <w:t xml:space="preserve"> </w:t>
            </w:r>
            <w:r>
              <w:rPr>
                <w:rFonts w:hint="eastAsia" w:cs="宋体"/>
                <w:color w:val="auto"/>
                <w:szCs w:val="24"/>
                <w:highlight w:val="none"/>
                <w:u w:val="single"/>
                <w:lang w:val="en-US" w:eastAsia="zh-CN"/>
              </w:rPr>
              <w:t>1</w:t>
            </w:r>
            <w:bookmarkStart w:id="537" w:name="_GoBack"/>
            <w:bookmarkEnd w:id="537"/>
            <w:r>
              <w:rPr>
                <w:rFonts w:hint="eastAsia" w:ascii="Times New Roman" w:cs="宋体"/>
                <w:color w:val="auto"/>
                <w:szCs w:val="24"/>
                <w:highlight w:val="none"/>
                <w:u w:val="single"/>
                <w:lang w:val="en-US" w:eastAsia="zh-CN"/>
              </w:rPr>
              <w:t>6</w:t>
            </w:r>
            <w:r>
              <w:rPr>
                <w:rFonts w:hint="eastAsia" w:ascii="Times New Roman" w:cs="宋体"/>
                <w:color w:val="auto"/>
                <w:szCs w:val="24"/>
                <w:highlight w:val="none"/>
              </w:rPr>
              <w:t>分</w:t>
            </w:r>
          </w:p>
          <w:p w14:paraId="6FD8F6F7">
            <w:pPr>
              <w:widowControl/>
              <w:snapToGrid w:val="0"/>
              <w:spacing w:line="360" w:lineRule="auto"/>
              <w:jc w:val="left"/>
              <w:rPr>
                <w:rFonts w:hint="eastAsia" w:ascii="Times New Roman" w:cs="宋体"/>
                <w:color w:val="000000"/>
                <w:szCs w:val="24"/>
                <w:highlight w:val="none"/>
              </w:rPr>
            </w:pPr>
            <w:r>
              <w:rPr>
                <w:rFonts w:hint="eastAsia" w:ascii="Times New Roman" w:cs="宋体"/>
                <w:color w:val="auto"/>
                <w:szCs w:val="24"/>
                <w:highlight w:val="none"/>
              </w:rPr>
              <w:t>报价文件：</w:t>
            </w:r>
            <w:r>
              <w:rPr>
                <w:rFonts w:hint="eastAsia" w:ascii="Times New Roman" w:cs="宋体"/>
                <w:color w:val="auto"/>
                <w:szCs w:val="24"/>
                <w:highlight w:val="none"/>
                <w:u w:val="single"/>
              </w:rPr>
              <w:t xml:space="preserve"> </w:t>
            </w:r>
            <w:r>
              <w:rPr>
                <w:rFonts w:hint="eastAsia" w:cs="宋体"/>
                <w:color w:val="auto"/>
                <w:szCs w:val="24"/>
                <w:highlight w:val="none"/>
                <w:u w:val="single"/>
                <w:lang w:val="en-US" w:eastAsia="zh-CN"/>
              </w:rPr>
              <w:t>60</w:t>
            </w:r>
            <w:r>
              <w:rPr>
                <w:rFonts w:hint="eastAsia" w:ascii="Times New Roman" w:cs="宋体"/>
                <w:color w:val="auto"/>
                <w:szCs w:val="24"/>
                <w:highlight w:val="none"/>
                <w:u w:val="single"/>
              </w:rPr>
              <w:t xml:space="preserve"> </w:t>
            </w:r>
            <w:r>
              <w:rPr>
                <w:rFonts w:hint="eastAsia" w:ascii="Times New Roman" w:cs="宋体"/>
                <w:color w:val="auto"/>
                <w:szCs w:val="24"/>
                <w:highlight w:val="none"/>
              </w:rPr>
              <w:t>分</w:t>
            </w:r>
          </w:p>
        </w:tc>
      </w:tr>
      <w:tr w14:paraId="4E477D3B">
        <w:trPr>
          <w:trHeight w:val="567" w:hRule="atLeast"/>
        </w:trPr>
        <w:tc>
          <w:tcPr>
            <w:tcW w:w="771" w:type="pct"/>
            <w:noWrap w:val="0"/>
            <w:vAlign w:val="center"/>
          </w:tcPr>
          <w:p w14:paraId="0076B9C2">
            <w:pPr>
              <w:snapToGrid w:val="0"/>
              <w:spacing w:line="360" w:lineRule="auto"/>
              <w:jc w:val="center"/>
              <w:rPr>
                <w:rFonts w:ascii="Times New Roman" w:cs="宋体"/>
                <w:bCs/>
                <w:color w:val="000000"/>
                <w:szCs w:val="24"/>
                <w:highlight w:val="none"/>
              </w:rPr>
            </w:pPr>
            <w:r>
              <w:rPr>
                <w:rFonts w:hint="eastAsia" w:ascii="Times New Roman" w:cs="宋体"/>
                <w:bCs/>
                <w:color w:val="000000"/>
                <w:szCs w:val="24"/>
                <w:highlight w:val="none"/>
              </w:rPr>
              <w:t>2.2.2</w:t>
            </w:r>
          </w:p>
        </w:tc>
        <w:tc>
          <w:tcPr>
            <w:tcW w:w="963" w:type="pct"/>
            <w:noWrap w:val="0"/>
            <w:tcMar>
              <w:left w:w="75" w:type="dxa"/>
            </w:tcMar>
            <w:vAlign w:val="center"/>
          </w:tcPr>
          <w:p w14:paraId="369356E1">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详细评审标准</w:t>
            </w:r>
          </w:p>
        </w:tc>
        <w:tc>
          <w:tcPr>
            <w:tcW w:w="3265" w:type="pct"/>
            <w:noWrap w:val="0"/>
            <w:vAlign w:val="center"/>
          </w:tcPr>
          <w:p w14:paraId="63F7650B">
            <w:pPr>
              <w:widowControl/>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见“详细评审标准”</w:t>
            </w:r>
            <w:r>
              <w:rPr>
                <w:rFonts w:hint="eastAsia"/>
                <w:color w:val="000000"/>
                <w:highlight w:val="none"/>
              </w:rPr>
              <w:t>表。</w:t>
            </w:r>
          </w:p>
        </w:tc>
      </w:tr>
      <w:tr w14:paraId="2D2D2192">
        <w:trPr>
          <w:trHeight w:val="567" w:hRule="atLeast"/>
        </w:trPr>
        <w:tc>
          <w:tcPr>
            <w:tcW w:w="771" w:type="pct"/>
            <w:noWrap w:val="0"/>
            <w:vAlign w:val="center"/>
          </w:tcPr>
          <w:p w14:paraId="63516D9C">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3.2.2（1）</w:t>
            </w:r>
          </w:p>
        </w:tc>
        <w:tc>
          <w:tcPr>
            <w:tcW w:w="963" w:type="pct"/>
            <w:noWrap w:val="0"/>
            <w:tcMar>
              <w:left w:w="75" w:type="dxa"/>
            </w:tcMar>
            <w:vAlign w:val="center"/>
          </w:tcPr>
          <w:p w14:paraId="6C73E833">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技术文件详细评审得分计算规则</w:t>
            </w:r>
          </w:p>
        </w:tc>
        <w:tc>
          <w:tcPr>
            <w:tcW w:w="3265" w:type="pct"/>
            <w:noWrap w:val="0"/>
            <w:vAlign w:val="center"/>
          </w:tcPr>
          <w:p w14:paraId="4FE3E6A7">
            <w:pPr>
              <w:widowControl/>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见附件1。</w:t>
            </w:r>
          </w:p>
        </w:tc>
      </w:tr>
      <w:tr w14:paraId="440CD815">
        <w:trPr>
          <w:trHeight w:val="567" w:hRule="atLeast"/>
        </w:trPr>
        <w:tc>
          <w:tcPr>
            <w:tcW w:w="771" w:type="pct"/>
            <w:noWrap w:val="0"/>
            <w:vAlign w:val="center"/>
          </w:tcPr>
          <w:p w14:paraId="2342B151">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3.2.5</w:t>
            </w:r>
          </w:p>
        </w:tc>
        <w:tc>
          <w:tcPr>
            <w:tcW w:w="963" w:type="pct"/>
            <w:noWrap w:val="0"/>
            <w:tcMar>
              <w:left w:w="75" w:type="dxa"/>
            </w:tcMar>
            <w:vAlign w:val="center"/>
          </w:tcPr>
          <w:p w14:paraId="55B54835">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确定入围第三阶段报价文件评审的规定</w:t>
            </w:r>
          </w:p>
        </w:tc>
        <w:tc>
          <w:tcPr>
            <w:tcW w:w="3265" w:type="pct"/>
            <w:noWrap w:val="0"/>
            <w:vAlign w:val="center"/>
          </w:tcPr>
          <w:p w14:paraId="75228CE1">
            <w:pPr>
              <w:widowControl/>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见</w:t>
            </w:r>
            <w:r>
              <w:rPr>
                <w:rFonts w:ascii="Times New Roman" w:cs="宋体"/>
                <w:color w:val="000000"/>
                <w:szCs w:val="24"/>
                <w:highlight w:val="none"/>
              </w:rPr>
              <w:t>附件</w:t>
            </w:r>
            <w:r>
              <w:rPr>
                <w:rFonts w:hint="eastAsia" w:ascii="Times New Roman" w:cs="宋体"/>
                <w:color w:val="000000"/>
                <w:szCs w:val="24"/>
                <w:highlight w:val="none"/>
              </w:rPr>
              <w:t>2。</w:t>
            </w:r>
          </w:p>
        </w:tc>
      </w:tr>
      <w:tr w14:paraId="2E1F8F7A">
        <w:trPr>
          <w:trHeight w:val="567" w:hRule="atLeast"/>
        </w:trPr>
        <w:tc>
          <w:tcPr>
            <w:tcW w:w="771" w:type="pct"/>
            <w:noWrap w:val="0"/>
            <w:vAlign w:val="center"/>
          </w:tcPr>
          <w:p w14:paraId="756CD96F">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3.7.2</w:t>
            </w:r>
          </w:p>
        </w:tc>
        <w:tc>
          <w:tcPr>
            <w:tcW w:w="963" w:type="pct"/>
            <w:noWrap w:val="0"/>
            <w:tcMar>
              <w:left w:w="75" w:type="dxa"/>
            </w:tcMar>
            <w:vAlign w:val="center"/>
          </w:tcPr>
          <w:p w14:paraId="123A51F6">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否决投标的其他情形</w:t>
            </w:r>
          </w:p>
        </w:tc>
        <w:tc>
          <w:tcPr>
            <w:tcW w:w="3265" w:type="pct"/>
            <w:noWrap w:val="0"/>
            <w:vAlign w:val="center"/>
          </w:tcPr>
          <w:p w14:paraId="4E3FB59B">
            <w:pPr>
              <w:widowControl/>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见附件</w:t>
            </w:r>
            <w:r>
              <w:rPr>
                <w:rFonts w:ascii="Times New Roman" w:cs="宋体"/>
                <w:color w:val="000000"/>
                <w:szCs w:val="24"/>
                <w:highlight w:val="none"/>
              </w:rPr>
              <w:t>3</w:t>
            </w:r>
            <w:r>
              <w:rPr>
                <w:rFonts w:hint="eastAsia" w:ascii="Times New Roman" w:cs="宋体"/>
                <w:color w:val="000000"/>
                <w:szCs w:val="24"/>
                <w:highlight w:val="none"/>
              </w:rPr>
              <w:t>。</w:t>
            </w:r>
          </w:p>
        </w:tc>
      </w:tr>
      <w:tr w14:paraId="25CE23FA">
        <w:trPr>
          <w:trHeight w:val="567" w:hRule="atLeast"/>
        </w:trPr>
        <w:tc>
          <w:tcPr>
            <w:tcW w:w="771" w:type="pct"/>
            <w:noWrap w:val="0"/>
            <w:vAlign w:val="center"/>
          </w:tcPr>
          <w:p w14:paraId="255F59C3">
            <w:pPr>
              <w:snapToGrid w:val="0"/>
              <w:spacing w:line="360" w:lineRule="auto"/>
              <w:jc w:val="center"/>
              <w:rPr>
                <w:rFonts w:ascii="Times New Roman" w:cs="宋体"/>
                <w:bCs/>
                <w:color w:val="000000"/>
                <w:szCs w:val="24"/>
                <w:highlight w:val="none"/>
              </w:rPr>
            </w:pPr>
            <w:r>
              <w:rPr>
                <w:rFonts w:hint="eastAsia" w:ascii="Times New Roman" w:cs="宋体"/>
                <w:bCs/>
                <w:color w:val="000000"/>
                <w:szCs w:val="24"/>
                <w:highlight w:val="none"/>
              </w:rPr>
              <w:t>3.7.4</w:t>
            </w:r>
          </w:p>
        </w:tc>
        <w:tc>
          <w:tcPr>
            <w:tcW w:w="963" w:type="pct"/>
            <w:noWrap w:val="0"/>
            <w:tcMar>
              <w:left w:w="75" w:type="dxa"/>
            </w:tcMar>
            <w:vAlign w:val="center"/>
          </w:tcPr>
          <w:p w14:paraId="72E11CC5">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异常低价评审</w:t>
            </w:r>
          </w:p>
        </w:tc>
        <w:tc>
          <w:tcPr>
            <w:tcW w:w="3265" w:type="pct"/>
            <w:noWrap w:val="0"/>
            <w:vAlign w:val="center"/>
          </w:tcPr>
          <w:p w14:paraId="4E43A8CD">
            <w:pPr>
              <w:widowControl/>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sym w:font="Wingdings 2" w:char="0052"/>
            </w:r>
            <w:r>
              <w:rPr>
                <w:rFonts w:hint="eastAsia" w:ascii="Times New Roman" w:cs="宋体"/>
                <w:color w:val="auto"/>
                <w:szCs w:val="24"/>
                <w:highlight w:val="none"/>
              </w:rPr>
              <w:t>不执行</w:t>
            </w:r>
          </w:p>
          <w:p w14:paraId="697E5308">
            <w:pPr>
              <w:widowControl/>
              <w:snapToGrid w:val="0"/>
              <w:spacing w:line="360" w:lineRule="auto"/>
              <w:jc w:val="left"/>
              <w:rPr>
                <w:rFonts w:hint="eastAsia" w:ascii="Times New Roman" w:eastAsia="宋体" w:cs="宋体"/>
                <w:color w:val="000000"/>
                <w:szCs w:val="24"/>
                <w:highlight w:val="none"/>
                <w:lang w:eastAsia="zh-CN"/>
              </w:rPr>
            </w:pPr>
            <w:r>
              <w:rPr>
                <w:rFonts w:hint="eastAsia" w:ascii="Times New Roman" w:cs="宋体"/>
                <w:color w:val="auto"/>
                <w:szCs w:val="24"/>
                <w:highlight w:val="none"/>
              </w:rPr>
              <w:sym w:font="Wingdings 2" w:char="00A3"/>
            </w:r>
            <w:r>
              <w:rPr>
                <w:rFonts w:hint="eastAsia" w:ascii="Times New Roman" w:cs="宋体"/>
                <w:color w:val="auto"/>
                <w:szCs w:val="24"/>
                <w:highlight w:val="none"/>
              </w:rPr>
              <w:t>执行</w:t>
            </w:r>
          </w:p>
        </w:tc>
      </w:tr>
    </w:tbl>
    <w:p w14:paraId="13058007">
      <w:pPr>
        <w:spacing w:before="240" w:beforeLines="100" w:after="240" w:afterLines="100"/>
        <w:jc w:val="center"/>
        <w:outlineLvl w:val="1"/>
        <w:rPr>
          <w:rFonts w:hint="eastAsia" w:ascii="Times New Roman" w:eastAsia="黑体"/>
          <w:color w:val="000000"/>
          <w:sz w:val="32"/>
          <w:szCs w:val="32"/>
          <w:highlight w:val="none"/>
        </w:rPr>
      </w:pPr>
      <w:r>
        <w:rPr>
          <w:rFonts w:hint="eastAsia" w:ascii="Times New Roman" w:eastAsia="黑体"/>
          <w:color w:val="000000"/>
          <w:highlight w:val="none"/>
        </w:rPr>
        <w:br w:type="page"/>
      </w:r>
      <w:bookmarkStart w:id="18" w:name="_Toc124283268"/>
      <w:bookmarkStart w:id="19" w:name="_Toc130919113"/>
      <w:r>
        <w:rPr>
          <w:rFonts w:hint="eastAsia" w:ascii="Times New Roman" w:eastAsia="黑体"/>
          <w:color w:val="000000"/>
          <w:sz w:val="32"/>
          <w:szCs w:val="32"/>
          <w:highlight w:val="none"/>
        </w:rPr>
        <w:t>商务及技术文件初步评审标准</w:t>
      </w:r>
      <w:bookmarkEnd w:id="18"/>
      <w:bookmarkEnd w:id="19"/>
    </w:p>
    <w:tbl>
      <w:tblPr>
        <w:tblStyle w:val="5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934"/>
        <w:gridCol w:w="1595"/>
        <w:gridCol w:w="6376"/>
      </w:tblGrid>
      <w:tr w14:paraId="5EF6A06D">
        <w:trPr>
          <w:trHeight w:val="567" w:hRule="atLeast"/>
        </w:trPr>
        <w:tc>
          <w:tcPr>
            <w:tcW w:w="868" w:type="pct"/>
            <w:gridSpan w:val="2"/>
            <w:noWrap w:val="0"/>
            <w:vAlign w:val="center"/>
          </w:tcPr>
          <w:p w14:paraId="31E0C473">
            <w:pPr>
              <w:widowControl/>
              <w:spacing w:line="360" w:lineRule="auto"/>
              <w:jc w:val="center"/>
              <w:rPr>
                <w:rFonts w:hint="eastAsia" w:ascii="Times New Roman" w:cs="宋体"/>
                <w:color w:val="000000"/>
                <w:szCs w:val="24"/>
                <w:highlight w:val="none"/>
              </w:rPr>
            </w:pPr>
            <w:r>
              <w:rPr>
                <w:rFonts w:hint="eastAsia" w:ascii="Times New Roman" w:cs="宋体"/>
                <w:b/>
                <w:bCs/>
                <w:color w:val="000000"/>
                <w:szCs w:val="24"/>
                <w:highlight w:val="none"/>
              </w:rPr>
              <w:t>条款号</w:t>
            </w:r>
          </w:p>
        </w:tc>
        <w:tc>
          <w:tcPr>
            <w:tcW w:w="827" w:type="pct"/>
            <w:noWrap w:val="0"/>
            <w:vAlign w:val="center"/>
          </w:tcPr>
          <w:p w14:paraId="613FCFDC">
            <w:pPr>
              <w:widowControl/>
              <w:spacing w:line="360" w:lineRule="auto"/>
              <w:ind w:firstLine="105" w:firstLineChars="50"/>
              <w:jc w:val="center"/>
              <w:rPr>
                <w:rFonts w:hint="eastAsia" w:ascii="Times New Roman" w:cs="宋体"/>
                <w:color w:val="000000"/>
                <w:szCs w:val="24"/>
                <w:highlight w:val="none"/>
              </w:rPr>
            </w:pPr>
            <w:r>
              <w:rPr>
                <w:rFonts w:hint="eastAsia" w:ascii="Times New Roman" w:cs="宋体"/>
                <w:b/>
                <w:bCs/>
                <w:color w:val="000000"/>
                <w:szCs w:val="24"/>
                <w:highlight w:val="none"/>
              </w:rPr>
              <w:t>评审因素</w:t>
            </w:r>
          </w:p>
        </w:tc>
        <w:tc>
          <w:tcPr>
            <w:tcW w:w="3305" w:type="pct"/>
            <w:noWrap w:val="0"/>
            <w:vAlign w:val="center"/>
          </w:tcPr>
          <w:p w14:paraId="03A0CDCF">
            <w:pPr>
              <w:widowControl/>
              <w:spacing w:line="360" w:lineRule="auto"/>
              <w:ind w:firstLine="105" w:firstLineChars="50"/>
              <w:jc w:val="center"/>
              <w:rPr>
                <w:rFonts w:hint="eastAsia" w:ascii="Times New Roman" w:cs="宋体"/>
                <w:color w:val="000000"/>
                <w:szCs w:val="24"/>
                <w:highlight w:val="none"/>
              </w:rPr>
            </w:pPr>
            <w:r>
              <w:rPr>
                <w:rFonts w:hint="eastAsia" w:ascii="Times New Roman" w:cs="宋体"/>
                <w:b/>
                <w:bCs/>
                <w:color w:val="000000"/>
                <w:szCs w:val="24"/>
                <w:highlight w:val="none"/>
              </w:rPr>
              <w:t>评审标准</w:t>
            </w:r>
          </w:p>
        </w:tc>
      </w:tr>
      <w:tr w14:paraId="53F0EFCF">
        <w:trPr>
          <w:trHeight w:val="567" w:hRule="atLeast"/>
        </w:trPr>
        <w:tc>
          <w:tcPr>
            <w:tcW w:w="384" w:type="pct"/>
            <w:vMerge w:val="restart"/>
            <w:noWrap w:val="0"/>
            <w:vAlign w:val="center"/>
          </w:tcPr>
          <w:p w14:paraId="1B413F93">
            <w:pPr>
              <w:widowControl/>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2.1.1</w:t>
            </w:r>
          </w:p>
        </w:tc>
        <w:tc>
          <w:tcPr>
            <w:tcW w:w="484" w:type="pct"/>
            <w:vMerge w:val="restart"/>
            <w:noWrap w:val="0"/>
            <w:vAlign w:val="center"/>
          </w:tcPr>
          <w:p w14:paraId="02863A92">
            <w:pPr>
              <w:widowControl/>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形式评审标准</w:t>
            </w:r>
          </w:p>
        </w:tc>
        <w:tc>
          <w:tcPr>
            <w:tcW w:w="827" w:type="pct"/>
            <w:noWrap w:val="0"/>
            <w:tcMar>
              <w:left w:w="75" w:type="dxa"/>
            </w:tcMar>
            <w:vAlign w:val="center"/>
          </w:tcPr>
          <w:p w14:paraId="5FF7B6A8">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投标人名称</w:t>
            </w:r>
          </w:p>
        </w:tc>
        <w:tc>
          <w:tcPr>
            <w:tcW w:w="3305" w:type="pct"/>
            <w:noWrap w:val="0"/>
            <w:tcMar>
              <w:left w:w="75" w:type="dxa"/>
            </w:tcMar>
            <w:vAlign w:val="center"/>
          </w:tcPr>
          <w:p w14:paraId="293D302F">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与营业执照、资质证书、安全生产许可证一致。</w:t>
            </w:r>
          </w:p>
        </w:tc>
      </w:tr>
      <w:tr w14:paraId="2DA2A4E4">
        <w:trPr>
          <w:trHeight w:val="567" w:hRule="atLeast"/>
        </w:trPr>
        <w:tc>
          <w:tcPr>
            <w:tcW w:w="384" w:type="pct"/>
            <w:vMerge w:val="continue"/>
            <w:noWrap w:val="0"/>
            <w:vAlign w:val="center"/>
          </w:tcPr>
          <w:p w14:paraId="7EB4AB34">
            <w:pPr>
              <w:widowControl/>
              <w:spacing w:line="360" w:lineRule="auto"/>
              <w:jc w:val="center"/>
              <w:rPr>
                <w:rFonts w:hint="eastAsia" w:ascii="Times New Roman" w:cs="宋体"/>
                <w:bCs/>
                <w:color w:val="000000"/>
                <w:szCs w:val="24"/>
                <w:highlight w:val="none"/>
              </w:rPr>
            </w:pPr>
          </w:p>
        </w:tc>
        <w:tc>
          <w:tcPr>
            <w:tcW w:w="484" w:type="pct"/>
            <w:vMerge w:val="continue"/>
            <w:noWrap w:val="0"/>
            <w:vAlign w:val="center"/>
          </w:tcPr>
          <w:p w14:paraId="2B75F5A3">
            <w:pPr>
              <w:widowControl/>
              <w:spacing w:line="360" w:lineRule="auto"/>
              <w:jc w:val="center"/>
              <w:rPr>
                <w:rFonts w:hint="eastAsia" w:ascii="Times New Roman" w:cs="宋体"/>
                <w:bCs/>
                <w:color w:val="000000"/>
                <w:szCs w:val="24"/>
                <w:highlight w:val="none"/>
              </w:rPr>
            </w:pPr>
          </w:p>
        </w:tc>
        <w:tc>
          <w:tcPr>
            <w:tcW w:w="827" w:type="pct"/>
            <w:noWrap w:val="0"/>
            <w:tcMar>
              <w:left w:w="75" w:type="dxa"/>
            </w:tcMar>
            <w:vAlign w:val="center"/>
          </w:tcPr>
          <w:p w14:paraId="734005E6">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签字盖章</w:t>
            </w:r>
          </w:p>
        </w:tc>
        <w:tc>
          <w:tcPr>
            <w:tcW w:w="3305" w:type="pct"/>
            <w:noWrap w:val="0"/>
            <w:tcMar>
              <w:left w:w="75" w:type="dxa"/>
            </w:tcMar>
            <w:vAlign w:val="center"/>
          </w:tcPr>
          <w:p w14:paraId="3F55F768">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符合第二章“投标人须知”第3.7.3项规定。</w:t>
            </w:r>
          </w:p>
        </w:tc>
      </w:tr>
      <w:tr w14:paraId="76BC7BF1">
        <w:trPr>
          <w:trHeight w:val="567" w:hRule="atLeast"/>
        </w:trPr>
        <w:tc>
          <w:tcPr>
            <w:tcW w:w="384" w:type="pct"/>
            <w:vMerge w:val="continue"/>
            <w:noWrap w:val="0"/>
            <w:vAlign w:val="center"/>
          </w:tcPr>
          <w:p w14:paraId="2CEEDD99">
            <w:pPr>
              <w:widowControl/>
              <w:spacing w:line="360" w:lineRule="auto"/>
              <w:jc w:val="center"/>
              <w:rPr>
                <w:rFonts w:hint="eastAsia" w:ascii="Times New Roman" w:cs="宋体"/>
                <w:bCs/>
                <w:color w:val="000000"/>
                <w:szCs w:val="24"/>
                <w:highlight w:val="none"/>
              </w:rPr>
            </w:pPr>
          </w:p>
        </w:tc>
        <w:tc>
          <w:tcPr>
            <w:tcW w:w="484" w:type="pct"/>
            <w:vMerge w:val="continue"/>
            <w:noWrap w:val="0"/>
            <w:vAlign w:val="center"/>
          </w:tcPr>
          <w:p w14:paraId="40A83FB5">
            <w:pPr>
              <w:widowControl/>
              <w:spacing w:line="360" w:lineRule="auto"/>
              <w:jc w:val="center"/>
              <w:rPr>
                <w:rFonts w:hint="eastAsia" w:ascii="Times New Roman" w:cs="宋体"/>
                <w:bCs/>
                <w:color w:val="000000"/>
                <w:szCs w:val="24"/>
                <w:highlight w:val="none"/>
              </w:rPr>
            </w:pPr>
          </w:p>
        </w:tc>
        <w:tc>
          <w:tcPr>
            <w:tcW w:w="827" w:type="pct"/>
            <w:noWrap w:val="0"/>
            <w:tcMar>
              <w:left w:w="75" w:type="dxa"/>
            </w:tcMar>
            <w:vAlign w:val="center"/>
          </w:tcPr>
          <w:p w14:paraId="56EDDC7B">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投标文件格式</w:t>
            </w:r>
          </w:p>
        </w:tc>
        <w:tc>
          <w:tcPr>
            <w:tcW w:w="3305" w:type="pct"/>
            <w:noWrap w:val="0"/>
            <w:tcMar>
              <w:left w:w="75" w:type="dxa"/>
            </w:tcMar>
            <w:vAlign w:val="center"/>
          </w:tcPr>
          <w:p w14:paraId="3CD53524">
            <w:pPr>
              <w:widowControl/>
              <w:adjustRightInd w:val="0"/>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符合第八章“投标文件格式”的规定。</w:t>
            </w:r>
          </w:p>
        </w:tc>
      </w:tr>
      <w:tr w14:paraId="0841290C">
        <w:trPr>
          <w:trHeight w:val="567" w:hRule="atLeast"/>
        </w:trPr>
        <w:tc>
          <w:tcPr>
            <w:tcW w:w="384" w:type="pct"/>
            <w:vMerge w:val="continue"/>
            <w:noWrap w:val="0"/>
            <w:vAlign w:val="center"/>
          </w:tcPr>
          <w:p w14:paraId="193FAE20">
            <w:pPr>
              <w:widowControl/>
              <w:spacing w:line="360" w:lineRule="auto"/>
              <w:jc w:val="center"/>
              <w:rPr>
                <w:rFonts w:hint="eastAsia" w:ascii="Times New Roman" w:cs="宋体"/>
                <w:bCs/>
                <w:color w:val="000000"/>
                <w:szCs w:val="24"/>
                <w:highlight w:val="none"/>
              </w:rPr>
            </w:pPr>
          </w:p>
        </w:tc>
        <w:tc>
          <w:tcPr>
            <w:tcW w:w="484" w:type="pct"/>
            <w:vMerge w:val="continue"/>
            <w:noWrap w:val="0"/>
            <w:vAlign w:val="center"/>
          </w:tcPr>
          <w:p w14:paraId="2D5D454E">
            <w:pPr>
              <w:widowControl/>
              <w:spacing w:line="360" w:lineRule="auto"/>
              <w:jc w:val="center"/>
              <w:rPr>
                <w:rFonts w:hint="eastAsia" w:ascii="Times New Roman" w:cs="宋体"/>
                <w:bCs/>
                <w:color w:val="000000"/>
                <w:szCs w:val="24"/>
                <w:highlight w:val="none"/>
              </w:rPr>
            </w:pPr>
          </w:p>
        </w:tc>
        <w:tc>
          <w:tcPr>
            <w:tcW w:w="827" w:type="pct"/>
            <w:noWrap w:val="0"/>
            <w:tcMar>
              <w:left w:w="75" w:type="dxa"/>
            </w:tcMar>
            <w:vAlign w:val="center"/>
          </w:tcPr>
          <w:p w14:paraId="5F5BADBD">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联合体投标人</w:t>
            </w:r>
          </w:p>
        </w:tc>
        <w:tc>
          <w:tcPr>
            <w:tcW w:w="3305" w:type="pct"/>
            <w:noWrap w:val="0"/>
            <w:tcMar>
              <w:left w:w="75" w:type="dxa"/>
            </w:tcMar>
            <w:vAlign w:val="center"/>
          </w:tcPr>
          <w:p w14:paraId="7C9A4173">
            <w:pPr>
              <w:widowControl/>
              <w:adjustRightInd w:val="0"/>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提交符合招标文件要求的联合体协议书，明确各方承担连带责任，并明确联合体牵头人。</w:t>
            </w:r>
          </w:p>
        </w:tc>
      </w:tr>
      <w:tr w14:paraId="64424A10">
        <w:trPr>
          <w:trHeight w:val="567" w:hRule="atLeast"/>
        </w:trPr>
        <w:tc>
          <w:tcPr>
            <w:tcW w:w="384" w:type="pct"/>
            <w:vMerge w:val="continue"/>
            <w:noWrap w:val="0"/>
            <w:vAlign w:val="center"/>
          </w:tcPr>
          <w:p w14:paraId="49A8EEC7">
            <w:pPr>
              <w:widowControl/>
              <w:spacing w:line="360" w:lineRule="auto"/>
              <w:jc w:val="center"/>
              <w:rPr>
                <w:rFonts w:hint="eastAsia" w:ascii="Times New Roman" w:cs="宋体"/>
                <w:bCs/>
                <w:color w:val="000000"/>
                <w:szCs w:val="24"/>
                <w:highlight w:val="none"/>
              </w:rPr>
            </w:pPr>
          </w:p>
        </w:tc>
        <w:tc>
          <w:tcPr>
            <w:tcW w:w="484" w:type="pct"/>
            <w:vMerge w:val="continue"/>
            <w:noWrap w:val="0"/>
            <w:vAlign w:val="center"/>
          </w:tcPr>
          <w:p w14:paraId="59CFA31C">
            <w:pPr>
              <w:widowControl/>
              <w:spacing w:line="360" w:lineRule="auto"/>
              <w:jc w:val="center"/>
              <w:rPr>
                <w:rFonts w:hint="eastAsia" w:ascii="Times New Roman" w:cs="宋体"/>
                <w:bCs/>
                <w:color w:val="000000"/>
                <w:szCs w:val="24"/>
                <w:highlight w:val="none"/>
              </w:rPr>
            </w:pPr>
          </w:p>
        </w:tc>
        <w:tc>
          <w:tcPr>
            <w:tcW w:w="827" w:type="pct"/>
            <w:noWrap w:val="0"/>
            <w:tcMar>
              <w:left w:w="75" w:type="dxa"/>
            </w:tcMar>
            <w:vAlign w:val="center"/>
          </w:tcPr>
          <w:p w14:paraId="3BEBCE99">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未出现异常情形</w:t>
            </w:r>
          </w:p>
        </w:tc>
        <w:tc>
          <w:tcPr>
            <w:tcW w:w="3305" w:type="pct"/>
            <w:noWrap w:val="0"/>
            <w:tcMar>
              <w:left w:w="75" w:type="dxa"/>
            </w:tcMar>
            <w:vAlign w:val="center"/>
          </w:tcPr>
          <w:p w14:paraId="0F83A4BB">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不同投标人未出现使用相同的投标文件制作机器码进行投标的情形。</w:t>
            </w:r>
          </w:p>
        </w:tc>
      </w:tr>
      <w:tr w14:paraId="4B7C878F">
        <w:trPr>
          <w:trHeight w:val="567" w:hRule="atLeast"/>
        </w:trPr>
        <w:tc>
          <w:tcPr>
            <w:tcW w:w="384" w:type="pct"/>
            <w:vMerge w:val="continue"/>
            <w:noWrap w:val="0"/>
            <w:vAlign w:val="center"/>
          </w:tcPr>
          <w:p w14:paraId="67F92D63">
            <w:pPr>
              <w:widowControl/>
              <w:spacing w:line="360" w:lineRule="auto"/>
              <w:jc w:val="center"/>
              <w:rPr>
                <w:rFonts w:hint="eastAsia" w:ascii="Times New Roman" w:cs="宋体"/>
                <w:bCs/>
                <w:color w:val="000000"/>
                <w:szCs w:val="24"/>
                <w:highlight w:val="none"/>
              </w:rPr>
            </w:pPr>
          </w:p>
        </w:tc>
        <w:tc>
          <w:tcPr>
            <w:tcW w:w="484" w:type="pct"/>
            <w:vMerge w:val="continue"/>
            <w:noWrap w:val="0"/>
            <w:vAlign w:val="center"/>
          </w:tcPr>
          <w:p w14:paraId="59EE573D">
            <w:pPr>
              <w:widowControl/>
              <w:spacing w:line="360" w:lineRule="auto"/>
              <w:jc w:val="center"/>
              <w:rPr>
                <w:rFonts w:hint="eastAsia" w:ascii="Times New Roman" w:cs="宋体"/>
                <w:bCs/>
                <w:color w:val="000000"/>
                <w:szCs w:val="24"/>
                <w:highlight w:val="none"/>
              </w:rPr>
            </w:pPr>
          </w:p>
        </w:tc>
        <w:tc>
          <w:tcPr>
            <w:tcW w:w="827" w:type="pct"/>
            <w:noWrap w:val="0"/>
            <w:tcMar>
              <w:left w:w="75" w:type="dxa"/>
            </w:tcMar>
            <w:vAlign w:val="center"/>
          </w:tcPr>
          <w:p w14:paraId="53541573">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未出现投标报价</w:t>
            </w:r>
          </w:p>
        </w:tc>
        <w:tc>
          <w:tcPr>
            <w:tcW w:w="3305" w:type="pct"/>
            <w:noWrap w:val="0"/>
            <w:tcMar>
              <w:left w:w="75" w:type="dxa"/>
            </w:tcMar>
            <w:vAlign w:val="center"/>
          </w:tcPr>
          <w:p w14:paraId="4E534F17">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商务及技术文件中未出现有关投标报价的内容。</w:t>
            </w:r>
          </w:p>
        </w:tc>
      </w:tr>
      <w:tr w14:paraId="58A1833E">
        <w:trPr>
          <w:trHeight w:val="567" w:hRule="atLeast"/>
        </w:trPr>
        <w:tc>
          <w:tcPr>
            <w:tcW w:w="384" w:type="pct"/>
            <w:vMerge w:val="restart"/>
            <w:noWrap w:val="0"/>
            <w:vAlign w:val="center"/>
          </w:tcPr>
          <w:p w14:paraId="6177C7F2">
            <w:pPr>
              <w:widowControl/>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2.1.2</w:t>
            </w:r>
          </w:p>
        </w:tc>
        <w:tc>
          <w:tcPr>
            <w:tcW w:w="484" w:type="pct"/>
            <w:vMerge w:val="restart"/>
            <w:noWrap w:val="0"/>
            <w:vAlign w:val="center"/>
          </w:tcPr>
          <w:p w14:paraId="62B1907B">
            <w:pPr>
              <w:widowControl/>
              <w:spacing w:line="360" w:lineRule="auto"/>
              <w:jc w:val="center"/>
              <w:rPr>
                <w:rFonts w:hint="eastAsia" w:ascii="Times New Roman" w:cs="宋体"/>
                <w:color w:val="000000"/>
                <w:szCs w:val="24"/>
                <w:highlight w:val="none"/>
              </w:rPr>
            </w:pPr>
            <w:r>
              <w:rPr>
                <w:rFonts w:hint="eastAsia" w:ascii="Times New Roman" w:cs="宋体"/>
                <w:bCs/>
                <w:color w:val="000000"/>
                <w:szCs w:val="24"/>
                <w:highlight w:val="none"/>
              </w:rPr>
              <w:t>资格评审标准</w:t>
            </w:r>
          </w:p>
        </w:tc>
        <w:tc>
          <w:tcPr>
            <w:tcW w:w="827" w:type="pct"/>
            <w:noWrap w:val="0"/>
            <w:tcMar>
              <w:left w:w="75" w:type="dxa"/>
            </w:tcMar>
            <w:vAlign w:val="center"/>
          </w:tcPr>
          <w:p w14:paraId="58892515">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营业执照</w:t>
            </w:r>
          </w:p>
        </w:tc>
        <w:tc>
          <w:tcPr>
            <w:tcW w:w="3305" w:type="pct"/>
            <w:noWrap w:val="0"/>
            <w:tcMar>
              <w:left w:w="75" w:type="dxa"/>
            </w:tcMar>
            <w:vAlign w:val="center"/>
          </w:tcPr>
          <w:p w14:paraId="10518C23">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具备有效的营业执照，如为联合体投标，联合体各方均须提供。</w:t>
            </w:r>
          </w:p>
        </w:tc>
      </w:tr>
      <w:tr w14:paraId="2074BFEE">
        <w:trPr>
          <w:trHeight w:val="567" w:hRule="atLeast"/>
        </w:trPr>
        <w:tc>
          <w:tcPr>
            <w:tcW w:w="384" w:type="pct"/>
            <w:vMerge w:val="continue"/>
            <w:noWrap w:val="0"/>
            <w:vAlign w:val="center"/>
          </w:tcPr>
          <w:p w14:paraId="5D573C7E">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2E4DE120">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41CBE824">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资质等级</w:t>
            </w:r>
          </w:p>
        </w:tc>
        <w:tc>
          <w:tcPr>
            <w:tcW w:w="3305" w:type="pct"/>
            <w:noWrap w:val="0"/>
            <w:tcMar>
              <w:left w:w="75" w:type="dxa"/>
            </w:tcMar>
            <w:vAlign w:val="center"/>
          </w:tcPr>
          <w:p w14:paraId="2FC99543">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686ED0D1">
        <w:trPr>
          <w:trHeight w:val="567" w:hRule="atLeast"/>
        </w:trPr>
        <w:tc>
          <w:tcPr>
            <w:tcW w:w="384" w:type="pct"/>
            <w:vMerge w:val="continue"/>
            <w:noWrap w:val="0"/>
            <w:vAlign w:val="center"/>
          </w:tcPr>
          <w:p w14:paraId="71BA4E33">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4CECA90D">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2831B24E">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安全生产许可证</w:t>
            </w:r>
          </w:p>
        </w:tc>
        <w:tc>
          <w:tcPr>
            <w:tcW w:w="3305" w:type="pct"/>
            <w:noWrap w:val="0"/>
            <w:tcMar>
              <w:left w:w="75" w:type="dxa"/>
            </w:tcMar>
            <w:vAlign w:val="center"/>
          </w:tcPr>
          <w:p w14:paraId="44EB8F77">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具备有效的安全生产许可证。</w:t>
            </w:r>
          </w:p>
        </w:tc>
      </w:tr>
      <w:tr w14:paraId="6210731F">
        <w:trPr>
          <w:trHeight w:val="567" w:hRule="atLeast"/>
        </w:trPr>
        <w:tc>
          <w:tcPr>
            <w:tcW w:w="384" w:type="pct"/>
            <w:vMerge w:val="continue"/>
            <w:noWrap w:val="0"/>
            <w:vAlign w:val="center"/>
          </w:tcPr>
          <w:p w14:paraId="5CCDC247">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395E88FC">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2DB0D801">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财务要求</w:t>
            </w:r>
          </w:p>
        </w:tc>
        <w:tc>
          <w:tcPr>
            <w:tcW w:w="3305" w:type="pct"/>
            <w:noWrap w:val="0"/>
            <w:tcMar>
              <w:left w:w="75" w:type="dxa"/>
            </w:tcMar>
            <w:vAlign w:val="center"/>
          </w:tcPr>
          <w:p w14:paraId="02B04D8A">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4E30A8AD">
        <w:trPr>
          <w:trHeight w:val="567" w:hRule="atLeast"/>
        </w:trPr>
        <w:tc>
          <w:tcPr>
            <w:tcW w:w="384" w:type="pct"/>
            <w:vMerge w:val="continue"/>
            <w:noWrap w:val="0"/>
            <w:vAlign w:val="center"/>
          </w:tcPr>
          <w:p w14:paraId="23CF0A9C">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581887B3">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2D1153F7">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投标人业绩要求</w:t>
            </w:r>
          </w:p>
        </w:tc>
        <w:tc>
          <w:tcPr>
            <w:tcW w:w="3305" w:type="pct"/>
            <w:noWrap w:val="0"/>
            <w:tcMar>
              <w:left w:w="75" w:type="dxa"/>
            </w:tcMar>
            <w:vAlign w:val="center"/>
          </w:tcPr>
          <w:p w14:paraId="1B7173FE">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1021FCC5">
        <w:trPr>
          <w:trHeight w:val="567" w:hRule="atLeast"/>
        </w:trPr>
        <w:tc>
          <w:tcPr>
            <w:tcW w:w="384" w:type="pct"/>
            <w:vMerge w:val="continue"/>
            <w:noWrap w:val="0"/>
            <w:vAlign w:val="center"/>
          </w:tcPr>
          <w:p w14:paraId="52CDAAA9">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104FFB2D">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106AF86E">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信誉要求</w:t>
            </w:r>
          </w:p>
        </w:tc>
        <w:tc>
          <w:tcPr>
            <w:tcW w:w="3305" w:type="pct"/>
            <w:noWrap w:val="0"/>
            <w:tcMar>
              <w:left w:w="75" w:type="dxa"/>
            </w:tcMar>
            <w:vAlign w:val="center"/>
          </w:tcPr>
          <w:p w14:paraId="7C43E86B">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66372C9F">
        <w:trPr>
          <w:trHeight w:val="567" w:hRule="atLeast"/>
        </w:trPr>
        <w:tc>
          <w:tcPr>
            <w:tcW w:w="384" w:type="pct"/>
            <w:vMerge w:val="continue"/>
            <w:noWrap w:val="0"/>
            <w:vAlign w:val="center"/>
          </w:tcPr>
          <w:p w14:paraId="4F98F186">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5F795208">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004D1A9F">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项目经理</w:t>
            </w:r>
          </w:p>
        </w:tc>
        <w:tc>
          <w:tcPr>
            <w:tcW w:w="3305" w:type="pct"/>
            <w:noWrap w:val="0"/>
            <w:tcMar>
              <w:left w:w="75" w:type="dxa"/>
            </w:tcMar>
            <w:vAlign w:val="center"/>
          </w:tcPr>
          <w:p w14:paraId="6FE5B9CC">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1EF6691E">
        <w:trPr>
          <w:trHeight w:val="567" w:hRule="atLeast"/>
        </w:trPr>
        <w:tc>
          <w:tcPr>
            <w:tcW w:w="384" w:type="pct"/>
            <w:vMerge w:val="continue"/>
            <w:noWrap w:val="0"/>
            <w:vAlign w:val="center"/>
          </w:tcPr>
          <w:p w14:paraId="493FFC3C">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574DE6F3">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10A63230">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项目经理业绩要求</w:t>
            </w:r>
          </w:p>
        </w:tc>
        <w:tc>
          <w:tcPr>
            <w:tcW w:w="3305" w:type="pct"/>
            <w:noWrap w:val="0"/>
            <w:tcMar>
              <w:left w:w="75" w:type="dxa"/>
            </w:tcMar>
            <w:vAlign w:val="center"/>
          </w:tcPr>
          <w:p w14:paraId="35C3EF45">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56142043">
        <w:trPr>
          <w:trHeight w:val="567" w:hRule="atLeast"/>
        </w:trPr>
        <w:tc>
          <w:tcPr>
            <w:tcW w:w="384" w:type="pct"/>
            <w:vMerge w:val="continue"/>
            <w:noWrap w:val="0"/>
            <w:vAlign w:val="center"/>
          </w:tcPr>
          <w:p w14:paraId="17B4F769">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0C612E91">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2B49EF32">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其他主要管理人员和技术人员配备</w:t>
            </w:r>
          </w:p>
        </w:tc>
        <w:tc>
          <w:tcPr>
            <w:tcW w:w="3305" w:type="pct"/>
            <w:noWrap w:val="0"/>
            <w:tcMar>
              <w:left w:w="75" w:type="dxa"/>
            </w:tcMar>
            <w:vAlign w:val="center"/>
          </w:tcPr>
          <w:p w14:paraId="54433625">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w:t>
            </w:r>
          </w:p>
        </w:tc>
      </w:tr>
      <w:tr w14:paraId="78BF658B">
        <w:trPr>
          <w:trHeight w:val="567" w:hRule="atLeast"/>
        </w:trPr>
        <w:tc>
          <w:tcPr>
            <w:tcW w:w="384" w:type="pct"/>
            <w:vMerge w:val="continue"/>
            <w:noWrap w:val="0"/>
            <w:vAlign w:val="center"/>
          </w:tcPr>
          <w:p w14:paraId="14A5D79C">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722000C3">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79F9D570">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联合体投标人</w:t>
            </w:r>
          </w:p>
        </w:tc>
        <w:tc>
          <w:tcPr>
            <w:tcW w:w="3305" w:type="pct"/>
            <w:noWrap w:val="0"/>
            <w:tcMar>
              <w:left w:w="75" w:type="dxa"/>
            </w:tcMar>
            <w:vAlign w:val="center"/>
          </w:tcPr>
          <w:p w14:paraId="3DB59EC6">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符合第二章“投标人须知”第1.4.2项规定。</w:t>
            </w:r>
          </w:p>
        </w:tc>
      </w:tr>
      <w:tr w14:paraId="19DBBF55">
        <w:trPr>
          <w:trHeight w:val="567" w:hRule="atLeast"/>
        </w:trPr>
        <w:tc>
          <w:tcPr>
            <w:tcW w:w="384" w:type="pct"/>
            <w:vMerge w:val="continue"/>
            <w:noWrap w:val="0"/>
            <w:vAlign w:val="center"/>
          </w:tcPr>
          <w:p w14:paraId="7D9D610C">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1091FCBF">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312956C4">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不存在禁止投标的情形</w:t>
            </w:r>
          </w:p>
        </w:tc>
        <w:tc>
          <w:tcPr>
            <w:tcW w:w="3305" w:type="pct"/>
            <w:noWrap w:val="0"/>
            <w:tcMar>
              <w:left w:w="75" w:type="dxa"/>
            </w:tcMar>
            <w:vAlign w:val="center"/>
          </w:tcPr>
          <w:p w14:paraId="55BD23ED">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不存在第二章“投标人须知”第1.4.3项或第1.4.4项规定的任何一种情形。投标人应按照第八章“投标文件格式”的“诚信投标承诺书”承诺。</w:t>
            </w:r>
          </w:p>
        </w:tc>
      </w:tr>
      <w:tr w14:paraId="3307C4A0">
        <w:trPr>
          <w:trHeight w:val="567" w:hRule="atLeast"/>
        </w:trPr>
        <w:tc>
          <w:tcPr>
            <w:tcW w:w="384" w:type="pct"/>
            <w:vMerge w:val="restart"/>
            <w:noWrap w:val="0"/>
            <w:vAlign w:val="center"/>
          </w:tcPr>
          <w:p w14:paraId="5BA3941B">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2.1.3</w:t>
            </w:r>
          </w:p>
        </w:tc>
        <w:tc>
          <w:tcPr>
            <w:tcW w:w="484" w:type="pct"/>
            <w:vMerge w:val="restart"/>
            <w:noWrap w:val="0"/>
            <w:vAlign w:val="center"/>
          </w:tcPr>
          <w:p w14:paraId="227903C4">
            <w:pPr>
              <w:widowControl/>
              <w:spacing w:line="360" w:lineRule="auto"/>
              <w:jc w:val="center"/>
              <w:rPr>
                <w:rFonts w:hint="eastAsia" w:ascii="Times New Roman" w:cs="宋体"/>
                <w:color w:val="000000"/>
                <w:szCs w:val="24"/>
                <w:highlight w:val="none"/>
              </w:rPr>
            </w:pPr>
            <w:r>
              <w:rPr>
                <w:rFonts w:hint="eastAsia" w:ascii="Times New Roman" w:cs="宋体"/>
                <w:bCs/>
                <w:color w:val="000000"/>
                <w:szCs w:val="24"/>
                <w:highlight w:val="none"/>
              </w:rPr>
              <w:t>响应性评审标准</w:t>
            </w:r>
          </w:p>
        </w:tc>
        <w:tc>
          <w:tcPr>
            <w:tcW w:w="827" w:type="pct"/>
            <w:noWrap w:val="0"/>
            <w:tcMar>
              <w:left w:w="75" w:type="dxa"/>
            </w:tcMar>
            <w:vAlign w:val="center"/>
          </w:tcPr>
          <w:p w14:paraId="0C6404C5">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投标内容</w:t>
            </w:r>
          </w:p>
        </w:tc>
        <w:tc>
          <w:tcPr>
            <w:tcW w:w="3305" w:type="pct"/>
            <w:noWrap w:val="0"/>
            <w:tcMar>
              <w:left w:w="75" w:type="dxa"/>
            </w:tcMar>
            <w:vAlign w:val="center"/>
          </w:tcPr>
          <w:p w14:paraId="21B9F4A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符合第二章“投标人须知”第1.3.1项规定。</w:t>
            </w:r>
          </w:p>
        </w:tc>
      </w:tr>
      <w:tr w14:paraId="31A5D841">
        <w:trPr>
          <w:trHeight w:val="567" w:hRule="atLeast"/>
        </w:trPr>
        <w:tc>
          <w:tcPr>
            <w:tcW w:w="384" w:type="pct"/>
            <w:vMerge w:val="continue"/>
            <w:noWrap w:val="0"/>
            <w:vAlign w:val="center"/>
          </w:tcPr>
          <w:p w14:paraId="3ED8FCF5">
            <w:pPr>
              <w:widowControl/>
              <w:spacing w:line="360" w:lineRule="auto"/>
              <w:jc w:val="center"/>
              <w:rPr>
                <w:rFonts w:hint="eastAsia" w:ascii="Times New Roman" w:cs="宋体"/>
                <w:color w:val="000000"/>
                <w:szCs w:val="24"/>
                <w:highlight w:val="none"/>
              </w:rPr>
            </w:pPr>
          </w:p>
        </w:tc>
        <w:tc>
          <w:tcPr>
            <w:tcW w:w="484" w:type="pct"/>
            <w:vMerge w:val="continue"/>
            <w:noWrap w:val="0"/>
            <w:vAlign w:val="center"/>
          </w:tcPr>
          <w:p w14:paraId="694C3E32">
            <w:pPr>
              <w:widowControl/>
              <w:spacing w:line="360" w:lineRule="auto"/>
              <w:jc w:val="left"/>
              <w:rPr>
                <w:rFonts w:hint="eastAsia" w:ascii="Times New Roman" w:cs="宋体"/>
                <w:bCs/>
                <w:color w:val="000000"/>
                <w:szCs w:val="24"/>
                <w:highlight w:val="none"/>
              </w:rPr>
            </w:pPr>
          </w:p>
        </w:tc>
        <w:tc>
          <w:tcPr>
            <w:tcW w:w="827" w:type="pct"/>
            <w:noWrap w:val="0"/>
            <w:tcMar>
              <w:left w:w="75" w:type="dxa"/>
            </w:tcMar>
            <w:vAlign w:val="center"/>
          </w:tcPr>
          <w:p w14:paraId="1803A51B">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工期</w:t>
            </w:r>
          </w:p>
        </w:tc>
        <w:tc>
          <w:tcPr>
            <w:tcW w:w="3305" w:type="pct"/>
            <w:noWrap w:val="0"/>
            <w:tcMar>
              <w:left w:w="75" w:type="dxa"/>
            </w:tcMar>
            <w:vAlign w:val="center"/>
          </w:tcPr>
          <w:p w14:paraId="479293C5">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符合第二章“投标人须知”第1.3.2项规定。</w:t>
            </w:r>
          </w:p>
        </w:tc>
      </w:tr>
      <w:tr w14:paraId="5A4E1DDE">
        <w:trPr>
          <w:trHeight w:val="567" w:hRule="atLeast"/>
        </w:trPr>
        <w:tc>
          <w:tcPr>
            <w:tcW w:w="384" w:type="pct"/>
            <w:vMerge w:val="continue"/>
            <w:noWrap w:val="0"/>
            <w:vAlign w:val="center"/>
          </w:tcPr>
          <w:p w14:paraId="29204147">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1FEC1E42">
            <w:pPr>
              <w:widowControl/>
              <w:spacing w:line="360" w:lineRule="auto"/>
              <w:jc w:val="left"/>
              <w:rPr>
                <w:rFonts w:hint="eastAsia" w:ascii="Times New Roman" w:cs="宋体"/>
                <w:bCs/>
                <w:color w:val="000000"/>
                <w:szCs w:val="24"/>
                <w:highlight w:val="none"/>
              </w:rPr>
            </w:pPr>
          </w:p>
        </w:tc>
        <w:tc>
          <w:tcPr>
            <w:tcW w:w="827" w:type="pct"/>
            <w:noWrap w:val="0"/>
            <w:tcMar>
              <w:left w:w="75" w:type="dxa"/>
            </w:tcMar>
            <w:vAlign w:val="center"/>
          </w:tcPr>
          <w:p w14:paraId="3088ABBA">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质量标准</w:t>
            </w:r>
          </w:p>
        </w:tc>
        <w:tc>
          <w:tcPr>
            <w:tcW w:w="3305" w:type="pct"/>
            <w:noWrap w:val="0"/>
            <w:tcMar>
              <w:left w:w="75" w:type="dxa"/>
            </w:tcMar>
            <w:vAlign w:val="center"/>
          </w:tcPr>
          <w:p w14:paraId="5372FBB2">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符合第二章“投标人须知”第1.3.3项规定。</w:t>
            </w:r>
          </w:p>
        </w:tc>
      </w:tr>
      <w:tr w14:paraId="31D95B7D">
        <w:trPr>
          <w:trHeight w:val="567" w:hRule="atLeast"/>
        </w:trPr>
        <w:tc>
          <w:tcPr>
            <w:tcW w:w="384" w:type="pct"/>
            <w:vMerge w:val="continue"/>
            <w:noWrap w:val="0"/>
            <w:vAlign w:val="center"/>
          </w:tcPr>
          <w:p w14:paraId="72ACCDF9">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09CF6431">
            <w:pPr>
              <w:widowControl/>
              <w:spacing w:line="360" w:lineRule="auto"/>
              <w:jc w:val="left"/>
              <w:rPr>
                <w:rFonts w:hint="eastAsia" w:ascii="Times New Roman" w:cs="宋体"/>
                <w:bCs/>
                <w:color w:val="000000"/>
                <w:szCs w:val="24"/>
                <w:highlight w:val="none"/>
              </w:rPr>
            </w:pPr>
          </w:p>
        </w:tc>
        <w:tc>
          <w:tcPr>
            <w:tcW w:w="827" w:type="pct"/>
            <w:noWrap w:val="0"/>
            <w:tcMar>
              <w:left w:w="75" w:type="dxa"/>
            </w:tcMar>
            <w:vAlign w:val="center"/>
          </w:tcPr>
          <w:p w14:paraId="15791331">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投标有效期</w:t>
            </w:r>
          </w:p>
        </w:tc>
        <w:tc>
          <w:tcPr>
            <w:tcW w:w="3305" w:type="pct"/>
            <w:noWrap w:val="0"/>
            <w:tcMar>
              <w:left w:w="75" w:type="dxa"/>
            </w:tcMar>
            <w:vAlign w:val="center"/>
          </w:tcPr>
          <w:p w14:paraId="639EE12A">
            <w:pPr>
              <w:spacing w:line="360" w:lineRule="auto"/>
              <w:rPr>
                <w:rFonts w:hint="eastAsia" w:ascii="Times New Roman" w:cs="宋体"/>
                <w:color w:val="000000"/>
                <w:szCs w:val="24"/>
                <w:highlight w:val="none"/>
              </w:rPr>
            </w:pPr>
            <w:r>
              <w:rPr>
                <w:rFonts w:hint="eastAsia" w:ascii="Times New Roman" w:cs="宋体"/>
                <w:color w:val="000000"/>
                <w:szCs w:val="24"/>
                <w:highlight w:val="none"/>
              </w:rPr>
              <w:t>符合第二章“投标人须知”第3.3.1项规定。</w:t>
            </w:r>
          </w:p>
        </w:tc>
      </w:tr>
      <w:tr w14:paraId="70139984">
        <w:trPr>
          <w:trHeight w:val="567" w:hRule="atLeast"/>
        </w:trPr>
        <w:tc>
          <w:tcPr>
            <w:tcW w:w="384" w:type="pct"/>
            <w:vMerge w:val="continue"/>
            <w:noWrap w:val="0"/>
            <w:vAlign w:val="center"/>
          </w:tcPr>
          <w:p w14:paraId="34DA8E3B">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1CA3C761">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33EC87AD">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投标保证金</w:t>
            </w:r>
          </w:p>
        </w:tc>
        <w:tc>
          <w:tcPr>
            <w:tcW w:w="3305" w:type="pct"/>
            <w:noWrap w:val="0"/>
            <w:tcMar>
              <w:left w:w="75" w:type="dxa"/>
            </w:tcMar>
            <w:vAlign w:val="center"/>
          </w:tcPr>
          <w:p w14:paraId="762CAD8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符合第二章“投标人须知”第3.4.1项规定（符合免缴投标保证金的须满足免缴条件且须进行相应承诺）。</w:t>
            </w:r>
          </w:p>
        </w:tc>
      </w:tr>
      <w:tr w14:paraId="2A766007">
        <w:trPr>
          <w:trHeight w:val="567" w:hRule="atLeast"/>
        </w:trPr>
        <w:tc>
          <w:tcPr>
            <w:tcW w:w="384" w:type="pct"/>
            <w:vMerge w:val="continue"/>
            <w:noWrap w:val="0"/>
            <w:vAlign w:val="center"/>
          </w:tcPr>
          <w:p w14:paraId="48EF64C5">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5D384461">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52AAFAE4">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项目经理承诺</w:t>
            </w:r>
          </w:p>
        </w:tc>
        <w:tc>
          <w:tcPr>
            <w:tcW w:w="3305" w:type="pct"/>
            <w:noWrap w:val="0"/>
            <w:tcMar>
              <w:left w:w="75" w:type="dxa"/>
            </w:tcMar>
            <w:vAlign w:val="center"/>
          </w:tcPr>
          <w:p w14:paraId="3BDE0D1B">
            <w:pPr>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符合第二章“投标人须知”第1.4.1项规定。投标人应按照招标文件第八章“投标文件格式”的“项目经理承诺”提供承诺。</w:t>
            </w:r>
          </w:p>
        </w:tc>
      </w:tr>
      <w:tr w14:paraId="441ED5E9">
        <w:trPr>
          <w:trHeight w:val="567" w:hRule="atLeast"/>
        </w:trPr>
        <w:tc>
          <w:tcPr>
            <w:tcW w:w="384" w:type="pct"/>
            <w:vMerge w:val="continue"/>
            <w:noWrap w:val="0"/>
            <w:vAlign w:val="center"/>
          </w:tcPr>
          <w:p w14:paraId="147D7332">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48055C91">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17656F61">
            <w:pPr>
              <w:widowControl/>
              <w:adjustRightInd w:val="0"/>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分包计划</w:t>
            </w:r>
          </w:p>
        </w:tc>
        <w:tc>
          <w:tcPr>
            <w:tcW w:w="3305" w:type="pct"/>
            <w:noWrap w:val="0"/>
            <w:tcMar>
              <w:left w:w="75" w:type="dxa"/>
            </w:tcMar>
            <w:vAlign w:val="center"/>
          </w:tcPr>
          <w:p w14:paraId="21E85B61">
            <w:pPr>
              <w:widowControl/>
              <w:adjustRightInd w:val="0"/>
              <w:snapToGrid w:val="0"/>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投标人如有分包计划，符合招标文件第二章“投标人须知”第1.11款规定，且按照招标文件第八章“投标文件格式”的要求填写了“拟分包项目情况表”。</w:t>
            </w:r>
          </w:p>
        </w:tc>
      </w:tr>
      <w:tr w14:paraId="1BA4EB3F">
        <w:trPr>
          <w:trHeight w:val="567" w:hRule="atLeast"/>
        </w:trPr>
        <w:tc>
          <w:tcPr>
            <w:tcW w:w="384" w:type="pct"/>
            <w:vMerge w:val="continue"/>
            <w:noWrap w:val="0"/>
            <w:vAlign w:val="center"/>
          </w:tcPr>
          <w:p w14:paraId="3B3FA35B">
            <w:pPr>
              <w:widowControl/>
              <w:spacing w:line="360" w:lineRule="auto"/>
              <w:jc w:val="left"/>
              <w:rPr>
                <w:rFonts w:hint="eastAsia" w:ascii="Times New Roman" w:cs="宋体"/>
                <w:color w:val="000000"/>
                <w:szCs w:val="24"/>
                <w:highlight w:val="none"/>
              </w:rPr>
            </w:pPr>
          </w:p>
        </w:tc>
        <w:tc>
          <w:tcPr>
            <w:tcW w:w="484" w:type="pct"/>
            <w:vMerge w:val="continue"/>
            <w:noWrap w:val="0"/>
            <w:vAlign w:val="center"/>
          </w:tcPr>
          <w:p w14:paraId="451990B5">
            <w:pPr>
              <w:widowControl/>
              <w:spacing w:line="360" w:lineRule="auto"/>
              <w:jc w:val="left"/>
              <w:rPr>
                <w:rFonts w:hint="eastAsia" w:ascii="Times New Roman" w:cs="宋体"/>
                <w:color w:val="000000"/>
                <w:szCs w:val="24"/>
                <w:highlight w:val="none"/>
              </w:rPr>
            </w:pPr>
          </w:p>
        </w:tc>
        <w:tc>
          <w:tcPr>
            <w:tcW w:w="827" w:type="pct"/>
            <w:noWrap w:val="0"/>
            <w:tcMar>
              <w:left w:w="75" w:type="dxa"/>
            </w:tcMar>
            <w:vAlign w:val="center"/>
          </w:tcPr>
          <w:p w14:paraId="2B61E698">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其他实质性要求</w:t>
            </w:r>
          </w:p>
        </w:tc>
        <w:tc>
          <w:tcPr>
            <w:tcW w:w="3305" w:type="pct"/>
            <w:noWrap w:val="0"/>
            <w:tcMar>
              <w:left w:w="75" w:type="dxa"/>
            </w:tcMar>
            <w:vAlign w:val="center"/>
          </w:tcPr>
          <w:p w14:paraId="66835A34">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符合招标文件的其他实质性要求和条件。</w:t>
            </w:r>
          </w:p>
        </w:tc>
      </w:tr>
    </w:tbl>
    <w:p w14:paraId="7C7BA91B">
      <w:pPr>
        <w:widowControl/>
        <w:adjustRightInd w:val="0"/>
        <w:snapToGrid w:val="0"/>
        <w:spacing w:line="360" w:lineRule="auto"/>
        <w:ind w:firstLine="420" w:firstLineChars="200"/>
        <w:jc w:val="left"/>
        <w:rPr>
          <w:rFonts w:ascii="Times New Roman" w:cs="宋体"/>
          <w:color w:val="000000"/>
          <w:szCs w:val="24"/>
          <w:highlight w:val="none"/>
        </w:rPr>
      </w:pPr>
      <w:r>
        <w:rPr>
          <w:rFonts w:hint="eastAsia" w:ascii="Times New Roman" w:cs="宋体"/>
          <w:color w:val="000000"/>
          <w:szCs w:val="24"/>
          <w:highlight w:val="none"/>
        </w:rPr>
        <w:t>注：</w:t>
      </w:r>
    </w:p>
    <w:p w14:paraId="34EED9CA">
      <w:pPr>
        <w:widowControl/>
        <w:adjustRightInd w:val="0"/>
        <w:snapToGrid w:val="0"/>
        <w:spacing w:line="360" w:lineRule="auto"/>
        <w:ind w:firstLine="420" w:firstLineChars="200"/>
        <w:jc w:val="left"/>
        <w:rPr>
          <w:rFonts w:ascii="Times New Roman" w:cs="宋体"/>
          <w:color w:val="000000"/>
          <w:szCs w:val="24"/>
          <w:highlight w:val="none"/>
        </w:rPr>
      </w:pPr>
      <w:r>
        <w:rPr>
          <w:rFonts w:hint="eastAsia" w:ascii="Times New Roman" w:cs="宋体"/>
          <w:color w:val="000000"/>
          <w:szCs w:val="24"/>
          <w:highlight w:val="none"/>
        </w:rPr>
        <w:t>1.评审因素“投标人业绩”和“项目经理业绩”，投标人应按照第八章“投标文件格式”的要求填写相应表格，并附相应业绩证明材料。</w:t>
      </w:r>
    </w:p>
    <w:p w14:paraId="7080810F">
      <w:pPr>
        <w:widowControl/>
        <w:adjustRightInd w:val="0"/>
        <w:snapToGrid w:val="0"/>
        <w:spacing w:line="360" w:lineRule="auto"/>
        <w:ind w:firstLine="420" w:firstLineChars="200"/>
        <w:jc w:val="center"/>
        <w:rPr>
          <w:rFonts w:hint="eastAsia" w:ascii="Times New Roman" w:eastAsia="黑体"/>
          <w:color w:val="000000"/>
          <w:sz w:val="32"/>
          <w:szCs w:val="32"/>
          <w:highlight w:val="none"/>
        </w:rPr>
      </w:pPr>
      <w:r>
        <w:rPr>
          <w:rFonts w:hint="eastAsia" w:ascii="Times New Roman" w:cs="宋体"/>
          <w:color w:val="000000"/>
          <w:szCs w:val="24"/>
          <w:highlight w:val="none"/>
        </w:rPr>
        <w:t>2</w:t>
      </w:r>
      <w:r>
        <w:rPr>
          <w:rFonts w:ascii="Times New Roman" w:cs="宋体"/>
          <w:color w:val="000000"/>
          <w:szCs w:val="24"/>
          <w:highlight w:val="none"/>
        </w:rPr>
        <w:t>.</w:t>
      </w:r>
      <w:r>
        <w:rPr>
          <w:rFonts w:hint="eastAsia" w:ascii="Times New Roman" w:cs="宋体"/>
          <w:color w:val="000000"/>
          <w:szCs w:val="24"/>
          <w:highlight w:val="none"/>
        </w:rPr>
        <w:t>评标委员会应按照第八章“投标文件格式”中“投标人业绩情况表（资格审查）”“项目经理业绩情况表（资格审查）”列明的业绩序号先后顺序依次进行评审</w:t>
      </w:r>
      <w:r>
        <w:rPr>
          <w:rFonts w:hint="eastAsia" w:ascii="宋体" w:hAnsi="Times New Roman" w:eastAsia="宋体" w:cs="Times New Roman"/>
          <w:color w:val="000000"/>
          <w:highlight w:val="none"/>
          <w:lang w:eastAsia="zh-CN"/>
        </w:rPr>
        <w:t>（如未填写序号或序号填写错误，评标委员会将按照表格中列明的业绩从上到下进行评审）</w:t>
      </w:r>
      <w:r>
        <w:rPr>
          <w:rFonts w:hint="eastAsia" w:ascii="Times New Roman" w:cs="宋体"/>
          <w:color w:val="000000"/>
          <w:szCs w:val="24"/>
          <w:highlight w:val="none"/>
        </w:rPr>
        <w:t>，且仅评审“附录3  资格审查条件（业绩最低要求）”“附录5  资格审查条件（项目经理最低要求）”规定数量的业绩，超出规定数量部分或未在表中列明的业绩均不作为资格审查投标人业绩（或项目经理业绩）予以评审。</w:t>
      </w:r>
      <w:r>
        <w:rPr>
          <w:rFonts w:hint="eastAsia" w:ascii="Times New Roman" w:eastAsia="黑体"/>
          <w:color w:val="000000"/>
          <w:highlight w:val="none"/>
        </w:rPr>
        <w:br w:type="page"/>
      </w:r>
      <w:bookmarkStart w:id="20" w:name="_Toc124283269"/>
      <w:bookmarkStart w:id="21" w:name="_Toc130919114"/>
      <w:r>
        <w:rPr>
          <w:rFonts w:hint="eastAsia" w:ascii="Times New Roman" w:eastAsia="黑体"/>
          <w:color w:val="000000"/>
          <w:sz w:val="32"/>
          <w:szCs w:val="32"/>
          <w:highlight w:val="none"/>
        </w:rPr>
        <w:t>报价文件初步评审标准</w:t>
      </w:r>
      <w:bookmarkEnd w:id="20"/>
      <w:bookmarkEnd w:id="21"/>
    </w:p>
    <w:tbl>
      <w:tblPr>
        <w:tblStyle w:val="5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65"/>
        <w:gridCol w:w="1054"/>
        <w:gridCol w:w="2063"/>
        <w:gridCol w:w="5903"/>
      </w:tblGrid>
      <w:tr w14:paraId="6EBF83A1">
        <w:trPr>
          <w:trHeight w:val="540" w:hRule="atLeast"/>
          <w:tblHeader/>
        </w:trPr>
        <w:tc>
          <w:tcPr>
            <w:tcW w:w="887" w:type="pct"/>
            <w:gridSpan w:val="2"/>
            <w:tcBorders>
              <w:top w:val="outset" w:color="auto" w:sz="6" w:space="0"/>
              <w:left w:val="outset" w:color="auto" w:sz="6" w:space="0"/>
              <w:bottom w:val="outset" w:color="auto" w:sz="6" w:space="0"/>
              <w:right w:val="single" w:color="auto" w:sz="4" w:space="0"/>
            </w:tcBorders>
            <w:noWrap w:val="0"/>
            <w:vAlign w:val="center"/>
          </w:tcPr>
          <w:p w14:paraId="2325DD4E">
            <w:pPr>
              <w:widowControl/>
              <w:spacing w:line="360" w:lineRule="auto"/>
              <w:jc w:val="center"/>
              <w:rPr>
                <w:rFonts w:hint="eastAsia" w:ascii="Times New Roman" w:cs="宋体"/>
                <w:color w:val="000000"/>
                <w:szCs w:val="24"/>
                <w:highlight w:val="none"/>
              </w:rPr>
            </w:pPr>
            <w:r>
              <w:rPr>
                <w:rFonts w:hint="eastAsia" w:ascii="Times New Roman" w:cs="宋体"/>
                <w:b/>
                <w:bCs/>
                <w:color w:val="000000"/>
                <w:szCs w:val="24"/>
                <w:highlight w:val="none"/>
              </w:rPr>
              <w:t>条款号</w:t>
            </w:r>
          </w:p>
        </w:tc>
        <w:tc>
          <w:tcPr>
            <w:tcW w:w="1065" w:type="pct"/>
            <w:tcBorders>
              <w:top w:val="outset" w:color="auto" w:sz="6" w:space="0"/>
              <w:left w:val="single" w:color="auto" w:sz="4" w:space="0"/>
              <w:bottom w:val="outset" w:color="auto" w:sz="6" w:space="0"/>
              <w:right w:val="single" w:color="auto" w:sz="4" w:space="0"/>
            </w:tcBorders>
            <w:noWrap w:val="0"/>
            <w:vAlign w:val="center"/>
          </w:tcPr>
          <w:p w14:paraId="0C90F1BA">
            <w:pPr>
              <w:widowControl/>
              <w:spacing w:line="360" w:lineRule="auto"/>
              <w:ind w:firstLine="105" w:firstLineChars="50"/>
              <w:jc w:val="center"/>
              <w:rPr>
                <w:rFonts w:hint="eastAsia" w:ascii="Times New Roman" w:cs="宋体"/>
                <w:color w:val="000000"/>
                <w:szCs w:val="24"/>
                <w:highlight w:val="none"/>
              </w:rPr>
            </w:pPr>
            <w:r>
              <w:rPr>
                <w:rFonts w:hint="eastAsia" w:ascii="Times New Roman" w:cs="宋体"/>
                <w:b/>
                <w:bCs/>
                <w:color w:val="000000"/>
                <w:szCs w:val="24"/>
                <w:highlight w:val="none"/>
              </w:rPr>
              <w:t>评审因素</w:t>
            </w:r>
          </w:p>
        </w:tc>
        <w:tc>
          <w:tcPr>
            <w:tcW w:w="3047" w:type="pct"/>
            <w:tcBorders>
              <w:top w:val="outset" w:color="auto" w:sz="6" w:space="0"/>
              <w:left w:val="single" w:color="auto" w:sz="4" w:space="0"/>
              <w:bottom w:val="outset" w:color="auto" w:sz="6" w:space="0"/>
              <w:right w:val="outset" w:color="auto" w:sz="6" w:space="0"/>
            </w:tcBorders>
            <w:noWrap w:val="0"/>
            <w:vAlign w:val="center"/>
          </w:tcPr>
          <w:p w14:paraId="696271D3">
            <w:pPr>
              <w:widowControl/>
              <w:spacing w:line="360" w:lineRule="auto"/>
              <w:ind w:firstLine="105" w:firstLineChars="50"/>
              <w:jc w:val="center"/>
              <w:rPr>
                <w:rFonts w:hint="eastAsia" w:ascii="Times New Roman" w:cs="宋体"/>
                <w:color w:val="000000"/>
                <w:szCs w:val="24"/>
                <w:highlight w:val="none"/>
              </w:rPr>
            </w:pPr>
            <w:r>
              <w:rPr>
                <w:rFonts w:hint="eastAsia" w:ascii="Times New Roman" w:cs="宋体"/>
                <w:b/>
                <w:bCs/>
                <w:color w:val="000000"/>
                <w:szCs w:val="24"/>
                <w:highlight w:val="none"/>
              </w:rPr>
              <w:t>评审标准</w:t>
            </w:r>
          </w:p>
        </w:tc>
      </w:tr>
      <w:tr w14:paraId="7E819ACC">
        <w:trPr>
          <w:trHeight w:val="510" w:hRule="atLeast"/>
        </w:trPr>
        <w:tc>
          <w:tcPr>
            <w:tcW w:w="343" w:type="pct"/>
            <w:vMerge w:val="restart"/>
            <w:tcBorders>
              <w:top w:val="outset" w:color="auto" w:sz="6" w:space="0"/>
              <w:left w:val="outset" w:color="auto" w:sz="6" w:space="0"/>
              <w:bottom w:val="outset" w:color="auto" w:sz="6" w:space="0"/>
              <w:right w:val="outset" w:color="auto" w:sz="6" w:space="0"/>
            </w:tcBorders>
            <w:noWrap w:val="0"/>
            <w:vAlign w:val="center"/>
          </w:tcPr>
          <w:p w14:paraId="5C248B4D">
            <w:pPr>
              <w:widowControl/>
              <w:spacing w:line="360" w:lineRule="auto"/>
              <w:jc w:val="center"/>
              <w:rPr>
                <w:rFonts w:hint="eastAsia" w:ascii="Times New Roman" w:cs="宋体"/>
                <w:color w:val="000000"/>
                <w:szCs w:val="24"/>
                <w:highlight w:val="none"/>
              </w:rPr>
            </w:pPr>
            <w:r>
              <w:rPr>
                <w:rFonts w:hint="eastAsia" w:ascii="Times New Roman" w:cs="宋体"/>
                <w:bCs/>
                <w:color w:val="000000"/>
                <w:szCs w:val="24"/>
                <w:highlight w:val="none"/>
              </w:rPr>
              <w:t>2.1.1</w:t>
            </w:r>
          </w:p>
        </w:tc>
        <w:tc>
          <w:tcPr>
            <w:tcW w:w="544" w:type="pct"/>
            <w:vMerge w:val="restart"/>
            <w:tcBorders>
              <w:top w:val="outset" w:color="auto" w:sz="6" w:space="0"/>
              <w:left w:val="outset" w:color="auto" w:sz="6" w:space="0"/>
              <w:bottom w:val="outset" w:color="auto" w:sz="6" w:space="0"/>
              <w:right w:val="single" w:color="auto" w:sz="4" w:space="0"/>
            </w:tcBorders>
            <w:noWrap w:val="0"/>
            <w:vAlign w:val="center"/>
          </w:tcPr>
          <w:p w14:paraId="6882B73A">
            <w:pPr>
              <w:widowControl/>
              <w:spacing w:line="360" w:lineRule="auto"/>
              <w:jc w:val="center"/>
              <w:rPr>
                <w:rFonts w:hint="eastAsia" w:ascii="Times New Roman" w:cs="宋体"/>
                <w:color w:val="000000"/>
                <w:szCs w:val="24"/>
                <w:highlight w:val="none"/>
              </w:rPr>
            </w:pPr>
            <w:r>
              <w:rPr>
                <w:rFonts w:hint="eastAsia" w:ascii="Times New Roman" w:cs="宋体"/>
                <w:bCs/>
                <w:color w:val="000000"/>
                <w:szCs w:val="24"/>
                <w:highlight w:val="none"/>
              </w:rPr>
              <w:t>形式评审标准</w:t>
            </w:r>
          </w:p>
        </w:tc>
        <w:tc>
          <w:tcPr>
            <w:tcW w:w="1065"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510B257C">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投标人名称</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61C844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与营业执照、资质证书、安全生产许可证一致。</w:t>
            </w:r>
          </w:p>
        </w:tc>
      </w:tr>
      <w:tr w14:paraId="06F6499A">
        <w:trPr>
          <w:trHeight w:val="510" w:hRule="atLeast"/>
        </w:trPr>
        <w:tc>
          <w:tcPr>
            <w:tcW w:w="343" w:type="pct"/>
            <w:vMerge w:val="continue"/>
            <w:tcBorders>
              <w:top w:val="outset" w:color="auto" w:sz="6" w:space="0"/>
              <w:left w:val="outset" w:color="auto" w:sz="6" w:space="0"/>
              <w:bottom w:val="outset" w:color="auto" w:sz="6" w:space="0"/>
              <w:right w:val="outset" w:color="auto" w:sz="6" w:space="0"/>
            </w:tcBorders>
            <w:noWrap w:val="0"/>
            <w:vAlign w:val="center"/>
          </w:tcPr>
          <w:p w14:paraId="3428E66E">
            <w:pPr>
              <w:widowControl/>
              <w:spacing w:line="360" w:lineRule="auto"/>
              <w:jc w:val="left"/>
              <w:rPr>
                <w:rFonts w:hint="eastAsia" w:ascii="Times New Roman" w:cs="宋体"/>
                <w:color w:val="000000"/>
                <w:szCs w:val="24"/>
                <w:highlight w:val="none"/>
              </w:rPr>
            </w:pPr>
          </w:p>
        </w:tc>
        <w:tc>
          <w:tcPr>
            <w:tcW w:w="544" w:type="pct"/>
            <w:vMerge w:val="continue"/>
            <w:tcBorders>
              <w:top w:val="outset" w:color="auto" w:sz="6" w:space="0"/>
              <w:left w:val="outset" w:color="auto" w:sz="6" w:space="0"/>
              <w:bottom w:val="outset" w:color="auto" w:sz="6" w:space="0"/>
              <w:right w:val="single" w:color="auto" w:sz="4" w:space="0"/>
            </w:tcBorders>
            <w:noWrap w:val="0"/>
            <w:vAlign w:val="center"/>
          </w:tcPr>
          <w:p w14:paraId="79B757A3">
            <w:pPr>
              <w:widowControl/>
              <w:spacing w:line="360" w:lineRule="auto"/>
              <w:jc w:val="center"/>
              <w:rPr>
                <w:rFonts w:hint="eastAsia" w:ascii="Times New Roman" w:cs="宋体"/>
                <w:color w:val="000000"/>
                <w:szCs w:val="24"/>
                <w:highlight w:val="none"/>
              </w:rPr>
            </w:pPr>
          </w:p>
        </w:tc>
        <w:tc>
          <w:tcPr>
            <w:tcW w:w="1065"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18828937">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签字盖章</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D090A5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符合第二章“投标人须知”第3.7.3项规定。</w:t>
            </w:r>
          </w:p>
        </w:tc>
      </w:tr>
      <w:tr w14:paraId="79EF6C8E">
        <w:trPr>
          <w:trHeight w:val="510" w:hRule="atLeast"/>
        </w:trPr>
        <w:tc>
          <w:tcPr>
            <w:tcW w:w="343" w:type="pct"/>
            <w:vMerge w:val="continue"/>
            <w:tcBorders>
              <w:top w:val="outset" w:color="auto" w:sz="6" w:space="0"/>
              <w:left w:val="outset" w:color="auto" w:sz="6" w:space="0"/>
              <w:bottom w:val="outset" w:color="auto" w:sz="6" w:space="0"/>
              <w:right w:val="outset" w:color="auto" w:sz="6" w:space="0"/>
            </w:tcBorders>
            <w:noWrap w:val="0"/>
            <w:vAlign w:val="center"/>
          </w:tcPr>
          <w:p w14:paraId="49C1037B">
            <w:pPr>
              <w:widowControl/>
              <w:spacing w:line="360" w:lineRule="auto"/>
              <w:jc w:val="left"/>
              <w:rPr>
                <w:rFonts w:hint="eastAsia" w:ascii="Times New Roman" w:cs="宋体"/>
                <w:color w:val="000000"/>
                <w:szCs w:val="24"/>
                <w:highlight w:val="none"/>
              </w:rPr>
            </w:pPr>
          </w:p>
        </w:tc>
        <w:tc>
          <w:tcPr>
            <w:tcW w:w="544" w:type="pct"/>
            <w:vMerge w:val="continue"/>
            <w:tcBorders>
              <w:top w:val="outset" w:color="auto" w:sz="6" w:space="0"/>
              <w:left w:val="outset" w:color="auto" w:sz="6" w:space="0"/>
              <w:bottom w:val="outset" w:color="auto" w:sz="6" w:space="0"/>
              <w:right w:val="single" w:color="auto" w:sz="4" w:space="0"/>
            </w:tcBorders>
            <w:noWrap w:val="0"/>
            <w:vAlign w:val="center"/>
          </w:tcPr>
          <w:p w14:paraId="280A5AD9">
            <w:pPr>
              <w:widowControl/>
              <w:spacing w:line="360" w:lineRule="auto"/>
              <w:jc w:val="center"/>
              <w:rPr>
                <w:rFonts w:hint="eastAsia" w:ascii="Times New Roman" w:cs="宋体"/>
                <w:color w:val="000000"/>
                <w:szCs w:val="24"/>
                <w:highlight w:val="none"/>
              </w:rPr>
            </w:pPr>
          </w:p>
        </w:tc>
        <w:tc>
          <w:tcPr>
            <w:tcW w:w="1065"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6CCDD432">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投标文件格式</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987836A">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（1）报价文件电子文件可以正常读取；</w:t>
            </w:r>
          </w:p>
          <w:p w14:paraId="071C7B08">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（2）符合第八章“投标文件格式”的规定，关键字迹清晰可辨。</w:t>
            </w:r>
          </w:p>
        </w:tc>
      </w:tr>
      <w:tr w14:paraId="0A474BFD">
        <w:trPr>
          <w:trHeight w:val="510" w:hRule="atLeast"/>
        </w:trPr>
        <w:tc>
          <w:tcPr>
            <w:tcW w:w="343" w:type="pct"/>
            <w:vMerge w:val="continue"/>
            <w:tcBorders>
              <w:top w:val="outset" w:color="auto" w:sz="6" w:space="0"/>
              <w:left w:val="outset" w:color="auto" w:sz="6" w:space="0"/>
              <w:bottom w:val="outset" w:color="auto" w:sz="6" w:space="0"/>
              <w:right w:val="outset" w:color="auto" w:sz="6" w:space="0"/>
            </w:tcBorders>
            <w:noWrap w:val="0"/>
            <w:vAlign w:val="center"/>
          </w:tcPr>
          <w:p w14:paraId="7B68BD3E">
            <w:pPr>
              <w:widowControl/>
              <w:spacing w:line="360" w:lineRule="auto"/>
              <w:jc w:val="left"/>
              <w:rPr>
                <w:rFonts w:hint="eastAsia" w:ascii="Times New Roman" w:cs="宋体"/>
                <w:color w:val="000000"/>
                <w:szCs w:val="24"/>
                <w:highlight w:val="none"/>
              </w:rPr>
            </w:pPr>
          </w:p>
        </w:tc>
        <w:tc>
          <w:tcPr>
            <w:tcW w:w="544" w:type="pct"/>
            <w:vMerge w:val="continue"/>
            <w:tcBorders>
              <w:top w:val="outset" w:color="auto" w:sz="6" w:space="0"/>
              <w:left w:val="outset" w:color="auto" w:sz="6" w:space="0"/>
              <w:bottom w:val="outset" w:color="auto" w:sz="6" w:space="0"/>
              <w:right w:val="single" w:color="auto" w:sz="4" w:space="0"/>
            </w:tcBorders>
            <w:noWrap w:val="0"/>
            <w:vAlign w:val="center"/>
          </w:tcPr>
          <w:p w14:paraId="1EBD4DD3">
            <w:pPr>
              <w:widowControl/>
              <w:spacing w:line="360" w:lineRule="auto"/>
              <w:jc w:val="center"/>
              <w:rPr>
                <w:rFonts w:hint="eastAsia" w:ascii="Times New Roman" w:cs="宋体"/>
                <w:color w:val="000000"/>
                <w:szCs w:val="24"/>
                <w:highlight w:val="none"/>
              </w:rPr>
            </w:pPr>
          </w:p>
        </w:tc>
        <w:tc>
          <w:tcPr>
            <w:tcW w:w="1065"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4A236E1A">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备选投标方案</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74CC894">
            <w:pPr>
              <w:snapToGrid w:val="0"/>
              <w:spacing w:line="360" w:lineRule="auto"/>
              <w:rPr>
                <w:rFonts w:hint="eastAsia" w:ascii="Times New Roman" w:cs="宋体"/>
                <w:color w:val="000000"/>
                <w:szCs w:val="24"/>
                <w:highlight w:val="none"/>
              </w:rPr>
            </w:pPr>
            <w:r>
              <w:rPr>
                <w:rFonts w:hint="eastAsia" w:ascii="Times New Roman" w:cs="宋体"/>
                <w:color w:val="000000"/>
                <w:szCs w:val="24"/>
                <w:highlight w:val="none"/>
              </w:rPr>
              <w:t>除招标文件明确允许备选投标方案外，投标人不得提交备选投标方案。</w:t>
            </w:r>
          </w:p>
        </w:tc>
      </w:tr>
      <w:tr w14:paraId="78540026">
        <w:trPr>
          <w:trHeight w:val="510" w:hRule="atLeast"/>
        </w:trPr>
        <w:tc>
          <w:tcPr>
            <w:tcW w:w="343" w:type="pct"/>
            <w:vMerge w:val="continue"/>
            <w:tcBorders>
              <w:top w:val="outset" w:color="auto" w:sz="6" w:space="0"/>
              <w:left w:val="outset" w:color="auto" w:sz="6" w:space="0"/>
              <w:bottom w:val="outset" w:color="auto" w:sz="6" w:space="0"/>
              <w:right w:val="outset" w:color="auto" w:sz="6" w:space="0"/>
            </w:tcBorders>
            <w:noWrap w:val="0"/>
            <w:vAlign w:val="center"/>
          </w:tcPr>
          <w:p w14:paraId="7EB26A4C">
            <w:pPr>
              <w:widowControl/>
              <w:spacing w:line="360" w:lineRule="auto"/>
              <w:jc w:val="left"/>
              <w:rPr>
                <w:rFonts w:hint="eastAsia" w:ascii="Times New Roman" w:cs="宋体"/>
                <w:color w:val="000000"/>
                <w:szCs w:val="24"/>
                <w:highlight w:val="none"/>
              </w:rPr>
            </w:pPr>
          </w:p>
        </w:tc>
        <w:tc>
          <w:tcPr>
            <w:tcW w:w="544" w:type="pct"/>
            <w:vMerge w:val="continue"/>
            <w:tcBorders>
              <w:top w:val="outset" w:color="auto" w:sz="6" w:space="0"/>
              <w:left w:val="outset" w:color="auto" w:sz="6" w:space="0"/>
              <w:bottom w:val="outset" w:color="auto" w:sz="6" w:space="0"/>
              <w:right w:val="single" w:color="auto" w:sz="4" w:space="0"/>
            </w:tcBorders>
            <w:noWrap w:val="0"/>
            <w:vAlign w:val="center"/>
          </w:tcPr>
          <w:p w14:paraId="2338ACC0">
            <w:pPr>
              <w:widowControl/>
              <w:spacing w:line="360" w:lineRule="auto"/>
              <w:jc w:val="center"/>
              <w:rPr>
                <w:rFonts w:hint="eastAsia" w:ascii="Times New Roman" w:cs="宋体"/>
                <w:color w:val="000000"/>
                <w:szCs w:val="24"/>
                <w:highlight w:val="none"/>
              </w:rPr>
            </w:pPr>
          </w:p>
        </w:tc>
        <w:tc>
          <w:tcPr>
            <w:tcW w:w="1065"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189801D0">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未出现异常情形</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A338E0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不同投标人未出现使用相同的投标文件制作机器码进行投标或使用相同加密锁号的造价软件的情形。</w:t>
            </w:r>
          </w:p>
        </w:tc>
      </w:tr>
      <w:tr w14:paraId="5C8BC16D">
        <w:trPr>
          <w:trHeight w:val="510" w:hRule="atLeast"/>
        </w:trPr>
        <w:tc>
          <w:tcPr>
            <w:tcW w:w="343" w:type="pct"/>
            <w:vMerge w:val="restart"/>
            <w:tcBorders>
              <w:top w:val="single" w:color="auto" w:sz="4" w:space="0"/>
              <w:left w:val="outset" w:color="auto" w:sz="6" w:space="0"/>
              <w:right w:val="outset" w:color="auto" w:sz="6" w:space="0"/>
            </w:tcBorders>
            <w:noWrap w:val="0"/>
            <w:vAlign w:val="center"/>
          </w:tcPr>
          <w:p w14:paraId="41BCDFC1">
            <w:pPr>
              <w:spacing w:line="360" w:lineRule="auto"/>
              <w:jc w:val="center"/>
              <w:rPr>
                <w:rFonts w:hint="eastAsia" w:ascii="Times New Roman" w:cs="宋体"/>
                <w:color w:val="000000"/>
                <w:szCs w:val="24"/>
                <w:highlight w:val="none"/>
              </w:rPr>
            </w:pPr>
            <w:r>
              <w:rPr>
                <w:rFonts w:hint="eastAsia" w:ascii="Times New Roman" w:cs="宋体"/>
                <w:bCs/>
                <w:color w:val="000000"/>
                <w:szCs w:val="24"/>
                <w:highlight w:val="none"/>
              </w:rPr>
              <w:t>2.1.3</w:t>
            </w:r>
          </w:p>
        </w:tc>
        <w:tc>
          <w:tcPr>
            <w:tcW w:w="544" w:type="pct"/>
            <w:vMerge w:val="restart"/>
            <w:tcBorders>
              <w:top w:val="single" w:color="auto" w:sz="4" w:space="0"/>
              <w:left w:val="outset" w:color="auto" w:sz="6" w:space="0"/>
              <w:right w:val="single" w:color="auto" w:sz="4" w:space="0"/>
            </w:tcBorders>
            <w:noWrap w:val="0"/>
            <w:vAlign w:val="center"/>
          </w:tcPr>
          <w:p w14:paraId="7016BA98">
            <w:pPr>
              <w:spacing w:line="360" w:lineRule="auto"/>
              <w:jc w:val="center"/>
              <w:rPr>
                <w:rFonts w:hint="eastAsia" w:ascii="Times New Roman" w:cs="宋体"/>
                <w:color w:val="000000"/>
                <w:szCs w:val="24"/>
                <w:highlight w:val="none"/>
              </w:rPr>
            </w:pPr>
            <w:r>
              <w:rPr>
                <w:rFonts w:hint="eastAsia" w:ascii="Times New Roman" w:cs="宋体"/>
                <w:bCs/>
                <w:color w:val="000000"/>
                <w:szCs w:val="24"/>
                <w:highlight w:val="none"/>
              </w:rPr>
              <w:t>响应性评审标准</w:t>
            </w: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7BF78A0D">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投标内容</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F908376">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符合第二章“投标人须知”第1.3.1项规定。</w:t>
            </w:r>
          </w:p>
        </w:tc>
      </w:tr>
      <w:tr w14:paraId="088DA248">
        <w:trPr>
          <w:trHeight w:val="510" w:hRule="atLeast"/>
        </w:trPr>
        <w:tc>
          <w:tcPr>
            <w:tcW w:w="343" w:type="pct"/>
            <w:vMerge w:val="continue"/>
            <w:tcBorders>
              <w:left w:val="outset" w:color="auto" w:sz="6" w:space="0"/>
              <w:right w:val="outset" w:color="auto" w:sz="6" w:space="0"/>
            </w:tcBorders>
            <w:noWrap w:val="0"/>
            <w:vAlign w:val="center"/>
          </w:tcPr>
          <w:p w14:paraId="1C16B6C2">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21ED3896">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10287DFA">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投标报价</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588416D">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（1）投标报价未超过招标文件设定的最高投标限价（如有）。</w:t>
            </w:r>
          </w:p>
          <w:p w14:paraId="55A0AFDB">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（2）投标报价的大写数值能确定具体数值，未出现数量级错误、报价金额单位错误。</w:t>
            </w:r>
          </w:p>
          <w:p w14:paraId="279200C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（3）同一投标人未递交两个以上不同的投标报价，但招标文件要求提交备选投标的除外。</w:t>
            </w:r>
          </w:p>
          <w:p w14:paraId="1D9E71A4">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（4）已标价工程量清单的分部分项工程的项目编码、项目名称、项目特征描述、计量单位及工程量与招标人提供的工程量清单未出现实质性内容不一致。</w:t>
            </w:r>
          </w:p>
          <w:p w14:paraId="42CEA89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（5）按照清单计价规范要求不应为负值的，已标价工程量清单中的数据未出现该情形。</w:t>
            </w:r>
          </w:p>
        </w:tc>
      </w:tr>
      <w:tr w14:paraId="012DEFD8">
        <w:trPr>
          <w:trHeight w:val="510" w:hRule="atLeast"/>
        </w:trPr>
        <w:tc>
          <w:tcPr>
            <w:tcW w:w="343" w:type="pct"/>
            <w:vMerge w:val="continue"/>
            <w:tcBorders>
              <w:left w:val="outset" w:color="auto" w:sz="6" w:space="0"/>
              <w:right w:val="outset" w:color="auto" w:sz="6" w:space="0"/>
            </w:tcBorders>
            <w:noWrap w:val="0"/>
            <w:vAlign w:val="center"/>
          </w:tcPr>
          <w:p w14:paraId="44BDEC5C">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4392F166">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52C6DBFF">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投标报价不可竞争内容</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0226C0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（1）安全文明施工费报价符合招标文件要求。</w:t>
            </w:r>
          </w:p>
          <w:p w14:paraId="1BC082F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（2）人工费工日单价不得低于工程所在地政府发布的最低工资标准折算的工日单价。</w:t>
            </w:r>
          </w:p>
          <w:p w14:paraId="0583E589">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（3）已标价工程量清单中未更改招标文件确定的暂列金额、暂估价。</w:t>
            </w:r>
          </w:p>
          <w:p w14:paraId="331F7D4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（4）增值税报价符合招标文件规定。</w:t>
            </w:r>
          </w:p>
        </w:tc>
      </w:tr>
      <w:tr w14:paraId="01BC8F65">
        <w:trPr>
          <w:trHeight w:val="510" w:hRule="atLeast"/>
        </w:trPr>
        <w:tc>
          <w:tcPr>
            <w:tcW w:w="343" w:type="pct"/>
            <w:vMerge w:val="continue"/>
            <w:tcBorders>
              <w:left w:val="outset" w:color="auto" w:sz="6" w:space="0"/>
              <w:right w:val="outset" w:color="auto" w:sz="6" w:space="0"/>
            </w:tcBorders>
            <w:noWrap w:val="0"/>
            <w:vAlign w:val="center"/>
          </w:tcPr>
          <w:p w14:paraId="731A8ACE">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6B112DE3">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4CAC1D46">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总人工费</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E6B26A6">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投标报价中的总人工费与技术文件中的劳动力安排计划相比，不得明显过低。</w:t>
            </w:r>
          </w:p>
        </w:tc>
      </w:tr>
      <w:tr w14:paraId="327E2ABF">
        <w:trPr>
          <w:trHeight w:val="510" w:hRule="atLeast"/>
        </w:trPr>
        <w:tc>
          <w:tcPr>
            <w:tcW w:w="343" w:type="pct"/>
            <w:vMerge w:val="continue"/>
            <w:tcBorders>
              <w:left w:val="outset" w:color="auto" w:sz="6" w:space="0"/>
              <w:right w:val="outset" w:color="auto" w:sz="6" w:space="0"/>
            </w:tcBorders>
            <w:noWrap w:val="0"/>
            <w:vAlign w:val="center"/>
          </w:tcPr>
          <w:p w14:paraId="0324F6B2">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19285520">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25A8ADE5">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投标报价偏差</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AD1284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（1）因投标人原因造成投标报价累计缺漏金额（多报金额不得抵销缺漏金额，缺漏金额计算时按照最高投标限价相应数据计算）占投标报价未超过3%，也未影响各投标人排序。</w:t>
            </w:r>
          </w:p>
          <w:p w14:paraId="6E76B492">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凡招标文件要求或者工程量清单计价规范规定应计算的费用而投标人未报，且投标文件未阐明充分理由，并不能提供足够证据者，均视为缺漏金额。</w:t>
            </w:r>
          </w:p>
          <w:p w14:paraId="0D634EA2">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（2）对投标报价存在计算错误的，按照本章第3.4.4项规定的标准对投标报价进行修正，修正后的投标报价与修正前投标报价的偏差未超过3%，也未影响各投标人排序。</w:t>
            </w:r>
          </w:p>
          <w:p w14:paraId="5FFD553A">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（3）投标报价中减少实体材料消耗量指标的，符合计量计价规范或实际情况。</w:t>
            </w:r>
          </w:p>
        </w:tc>
      </w:tr>
      <w:tr w14:paraId="6B60DBD1">
        <w:trPr>
          <w:trHeight w:val="510" w:hRule="atLeast"/>
        </w:trPr>
        <w:tc>
          <w:tcPr>
            <w:tcW w:w="343" w:type="pct"/>
            <w:vMerge w:val="continue"/>
            <w:tcBorders>
              <w:left w:val="outset" w:color="auto" w:sz="6" w:space="0"/>
              <w:right w:val="outset" w:color="auto" w:sz="6" w:space="0"/>
            </w:tcBorders>
            <w:noWrap w:val="0"/>
            <w:vAlign w:val="center"/>
          </w:tcPr>
          <w:p w14:paraId="03060D23">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7BA08506">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42F356E4">
            <w:pPr>
              <w:widowControl/>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报价规范性评审</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82AF6AA">
            <w:pPr>
              <w:widowControl/>
              <w:spacing w:line="360" w:lineRule="auto"/>
              <w:rPr>
                <w:rFonts w:hint="eastAsia" w:ascii="Times New Roman" w:cs="宋体"/>
                <w:color w:val="000000"/>
                <w:szCs w:val="24"/>
                <w:highlight w:val="none"/>
              </w:rPr>
            </w:pPr>
            <w:r>
              <w:rPr>
                <w:rFonts w:hint="eastAsia" w:ascii="Times New Roman" w:cs="宋体"/>
                <w:color w:val="000000"/>
                <w:szCs w:val="24"/>
                <w:highlight w:val="none"/>
              </w:rPr>
              <w:t>对已标价的工程量清单报价书“分部分项工程量清单综合单价分析表”中的综合单价、主要材料价格、人工费（含工日数量及工日单价）、机械费，“措施项目清单与计价表”中的措施费及“不可竞争项目清单与计价表”的不可竞争费等进行规范性评审，对明显相互冲突或不合理的，或未按照工程量清单计价规范要求计价的，可否决其投标（如：“分部分项工程量清单综合单价分析表”中的综合单价低于主材价格等情况）。</w:t>
            </w:r>
          </w:p>
        </w:tc>
      </w:tr>
      <w:tr w14:paraId="4BA11B9B">
        <w:trPr>
          <w:trHeight w:val="510" w:hRule="atLeast"/>
        </w:trPr>
        <w:tc>
          <w:tcPr>
            <w:tcW w:w="343" w:type="pct"/>
            <w:vMerge w:val="continue"/>
            <w:tcBorders>
              <w:left w:val="outset" w:color="auto" w:sz="6" w:space="0"/>
              <w:right w:val="outset" w:color="auto" w:sz="6" w:space="0"/>
            </w:tcBorders>
            <w:noWrap w:val="0"/>
            <w:vAlign w:val="center"/>
          </w:tcPr>
          <w:p w14:paraId="6DBC22F8">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562F82C6">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6F78A5B5">
            <w:pPr>
              <w:widowControl/>
              <w:spacing w:line="360" w:lineRule="auto"/>
              <w:ind w:left="120" w:hanging="105" w:hangingChars="50"/>
              <w:jc w:val="center"/>
              <w:rPr>
                <w:rFonts w:hint="eastAsia" w:ascii="Times New Roman" w:cs="宋体"/>
                <w:color w:val="000000"/>
                <w:szCs w:val="24"/>
                <w:highlight w:val="none"/>
              </w:rPr>
            </w:pPr>
            <w:r>
              <w:rPr>
                <w:rFonts w:hint="eastAsia" w:ascii="Times New Roman" w:cs="宋体"/>
                <w:color w:val="000000"/>
                <w:szCs w:val="24"/>
                <w:highlight w:val="none"/>
              </w:rPr>
              <w:t>不平衡报价评审</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6730DA8">
            <w:pPr>
              <w:widowControl/>
              <w:spacing w:line="360" w:lineRule="auto"/>
              <w:jc w:val="left"/>
              <w:rPr>
                <w:rFonts w:hint="eastAsia" w:ascii="Times New Roman" w:cs="宋体"/>
                <w:color w:val="000000"/>
                <w:szCs w:val="24"/>
                <w:highlight w:val="none"/>
              </w:rPr>
            </w:pPr>
            <w:r>
              <w:rPr>
                <w:rFonts w:hAnsi="宋体" w:cs="宋体"/>
                <w:color w:val="000000"/>
                <w:szCs w:val="24"/>
                <w:highlight w:val="none"/>
              </w:rPr>
              <w:t>对已标价的工程量清单报价书“分部分项工程量清单综合单价分析表”中的综合单价、主要材料价格、人工费（含工日数量及工日单价）、机械费，“措施项目清单与计价表”中的措施费明显高出最高投标限价对应部分，或与最高投标限价对应部分相比明显降幅过大的情况，并经评标委员会评审后，可认定为恶意不平衡报价，否决其投标。</w:t>
            </w:r>
          </w:p>
        </w:tc>
      </w:tr>
      <w:tr w14:paraId="38B6CB8B">
        <w:trPr>
          <w:trHeight w:val="510" w:hRule="atLeast"/>
        </w:trPr>
        <w:tc>
          <w:tcPr>
            <w:tcW w:w="343" w:type="pct"/>
            <w:vMerge w:val="continue"/>
            <w:tcBorders>
              <w:left w:val="outset" w:color="auto" w:sz="6" w:space="0"/>
              <w:right w:val="outset" w:color="auto" w:sz="6" w:space="0"/>
            </w:tcBorders>
            <w:noWrap w:val="0"/>
            <w:vAlign w:val="center"/>
          </w:tcPr>
          <w:p w14:paraId="3F085B48">
            <w:pPr>
              <w:spacing w:line="360" w:lineRule="auto"/>
              <w:jc w:val="center"/>
              <w:rPr>
                <w:rFonts w:hint="eastAsia" w:ascii="Times New Roman" w:cs="宋体"/>
                <w:bCs/>
                <w:color w:val="000000"/>
                <w:szCs w:val="24"/>
                <w:highlight w:val="none"/>
              </w:rPr>
            </w:pPr>
          </w:p>
        </w:tc>
        <w:tc>
          <w:tcPr>
            <w:tcW w:w="544" w:type="pct"/>
            <w:vMerge w:val="continue"/>
            <w:tcBorders>
              <w:left w:val="outset" w:color="auto" w:sz="6" w:space="0"/>
              <w:right w:val="single" w:color="auto" w:sz="4" w:space="0"/>
            </w:tcBorders>
            <w:noWrap w:val="0"/>
            <w:vAlign w:val="center"/>
          </w:tcPr>
          <w:p w14:paraId="57BB4338">
            <w:pPr>
              <w:spacing w:line="360" w:lineRule="auto"/>
              <w:jc w:val="center"/>
              <w:rPr>
                <w:rFonts w:hint="eastAsia" w:ascii="Times New Roman" w:cs="宋体"/>
                <w:bCs/>
                <w:color w:val="000000"/>
                <w:szCs w:val="24"/>
                <w:highlight w:val="none"/>
              </w:rPr>
            </w:pPr>
          </w:p>
        </w:tc>
        <w:tc>
          <w:tcPr>
            <w:tcW w:w="1065" w:type="pct"/>
            <w:tcBorders>
              <w:top w:val="single" w:color="auto" w:sz="4" w:space="0"/>
              <w:left w:val="single" w:color="auto" w:sz="4" w:space="0"/>
              <w:bottom w:val="outset" w:color="auto" w:sz="6" w:space="0"/>
              <w:right w:val="outset" w:color="auto" w:sz="6" w:space="0"/>
            </w:tcBorders>
            <w:noWrap w:val="0"/>
            <w:tcMar>
              <w:left w:w="75" w:type="dxa"/>
            </w:tcMar>
            <w:vAlign w:val="center"/>
          </w:tcPr>
          <w:p w14:paraId="5D1C2CFF">
            <w:pPr>
              <w:widowControl/>
              <w:spacing w:line="360" w:lineRule="auto"/>
              <w:ind w:left="120" w:hanging="105" w:hangingChars="50"/>
              <w:jc w:val="center"/>
              <w:rPr>
                <w:rFonts w:hint="eastAsia" w:ascii="Times New Roman" w:cs="宋体"/>
                <w:color w:val="000000"/>
                <w:szCs w:val="24"/>
                <w:highlight w:val="none"/>
              </w:rPr>
            </w:pPr>
            <w:r>
              <w:rPr>
                <w:rFonts w:hint="eastAsia" w:ascii="Times New Roman" w:cs="宋体"/>
                <w:color w:val="000000"/>
                <w:szCs w:val="24"/>
                <w:highlight w:val="none"/>
              </w:rPr>
              <w:t>需评审人工和主要材料一览表评审（如有）</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E9FBBF0">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投标人应响应招标人《可调整价差人工和主要材料一览表》的内容；对于招标人发放的《可调整价差人工和主要材料一览表》中第1列（序号）、第2列（名称、规格 、型号）、第3列（计量单位）、第4列（数量）内容不得修改，不得增删或改变顺序。投标人在投标报价时，其人工费工日单价不得低于工程所在地政府发布的最低工资标准折算的工日单价。</w:t>
            </w:r>
          </w:p>
        </w:tc>
      </w:tr>
      <w:tr w14:paraId="1883A439">
        <w:trPr>
          <w:trHeight w:val="510" w:hRule="atLeast"/>
        </w:trPr>
        <w:tc>
          <w:tcPr>
            <w:tcW w:w="343" w:type="pct"/>
            <w:vMerge w:val="continue"/>
            <w:tcBorders>
              <w:left w:val="outset" w:color="auto" w:sz="6" w:space="0"/>
              <w:bottom w:val="outset" w:color="auto" w:sz="6" w:space="0"/>
              <w:right w:val="outset" w:color="auto" w:sz="6" w:space="0"/>
            </w:tcBorders>
            <w:noWrap w:val="0"/>
            <w:vAlign w:val="center"/>
          </w:tcPr>
          <w:p w14:paraId="56C0B024">
            <w:pPr>
              <w:widowControl/>
              <w:spacing w:line="360" w:lineRule="auto"/>
              <w:jc w:val="left"/>
              <w:rPr>
                <w:rFonts w:hint="eastAsia" w:ascii="Times New Roman" w:cs="宋体"/>
                <w:color w:val="000000"/>
                <w:szCs w:val="24"/>
                <w:highlight w:val="none"/>
              </w:rPr>
            </w:pPr>
          </w:p>
        </w:tc>
        <w:tc>
          <w:tcPr>
            <w:tcW w:w="544" w:type="pct"/>
            <w:vMerge w:val="continue"/>
            <w:tcBorders>
              <w:left w:val="outset" w:color="auto" w:sz="6" w:space="0"/>
              <w:bottom w:val="outset" w:color="auto" w:sz="6" w:space="0"/>
              <w:right w:val="single" w:color="auto" w:sz="4" w:space="0"/>
            </w:tcBorders>
            <w:noWrap w:val="0"/>
            <w:vAlign w:val="center"/>
          </w:tcPr>
          <w:p w14:paraId="61A6BBE5">
            <w:pPr>
              <w:widowControl/>
              <w:spacing w:line="360" w:lineRule="auto"/>
              <w:jc w:val="left"/>
              <w:rPr>
                <w:rFonts w:hint="eastAsia" w:ascii="Times New Roman" w:cs="宋体"/>
                <w:color w:val="000000"/>
                <w:szCs w:val="24"/>
                <w:highlight w:val="none"/>
              </w:rPr>
            </w:pPr>
          </w:p>
        </w:tc>
        <w:tc>
          <w:tcPr>
            <w:tcW w:w="1065" w:type="pct"/>
            <w:tcBorders>
              <w:top w:val="outset" w:color="auto" w:sz="6" w:space="0"/>
              <w:left w:val="single" w:color="auto" w:sz="4" w:space="0"/>
              <w:bottom w:val="outset" w:color="auto" w:sz="6" w:space="0"/>
              <w:right w:val="outset" w:color="auto" w:sz="6" w:space="0"/>
            </w:tcBorders>
            <w:noWrap w:val="0"/>
            <w:tcMar>
              <w:left w:w="75" w:type="dxa"/>
            </w:tcMar>
            <w:vAlign w:val="center"/>
          </w:tcPr>
          <w:p w14:paraId="7FEC36AB">
            <w:pPr>
              <w:widowControl/>
              <w:spacing w:line="360" w:lineRule="auto"/>
              <w:ind w:left="-57" w:leftChars="-27"/>
              <w:jc w:val="center"/>
              <w:rPr>
                <w:rFonts w:hint="eastAsia" w:ascii="Times New Roman" w:cs="宋体"/>
                <w:color w:val="000000"/>
                <w:szCs w:val="24"/>
                <w:highlight w:val="none"/>
              </w:rPr>
            </w:pPr>
            <w:r>
              <w:rPr>
                <w:rFonts w:hint="eastAsia" w:ascii="Times New Roman" w:cs="宋体"/>
                <w:color w:val="000000"/>
                <w:szCs w:val="24"/>
                <w:highlight w:val="none"/>
              </w:rPr>
              <w:t>其他情形</w:t>
            </w:r>
          </w:p>
        </w:tc>
        <w:tc>
          <w:tcPr>
            <w:tcW w:w="3047"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BC3FC6C">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（1）清标结果未显示投标人的投标文件存在以下情形之一：</w:t>
            </w:r>
          </w:p>
          <w:p w14:paraId="7EFC7FDD">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①不同投标人的投标文件存在异常一致的情形；</w:t>
            </w:r>
          </w:p>
          <w:p w14:paraId="003CC124">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②投标报价呈规律性差异等招投标相关法律法规明确规定为串通投标的情形；</w:t>
            </w:r>
          </w:p>
          <w:p w14:paraId="5EB7B771">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③弄虚作假的情形；</w:t>
            </w:r>
          </w:p>
          <w:p w14:paraId="4681992D">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④有其他违法行为的情形。</w:t>
            </w:r>
          </w:p>
          <w:p w14:paraId="2031D0D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2）项目评审中，多家投标人投标报价规律性集中出现在高价区域，明显与近期类似项目报价情况不一致，以致影响正常评审的，评标委员会应确定项目投标报价明显缺乏竞争性，宣布流标，同时将异常报价报公共资源交易监督管理部门。</w:t>
            </w:r>
          </w:p>
          <w:p w14:paraId="35166E7E">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（3）投标文件中不得存在招标人不能接受的其他实质性条件。</w:t>
            </w:r>
          </w:p>
          <w:p w14:paraId="6A62107D">
            <w:pPr>
              <w:widowControl/>
              <w:spacing w:line="360" w:lineRule="auto"/>
              <w:jc w:val="left"/>
              <w:rPr>
                <w:rFonts w:hint="eastAsia" w:ascii="Times New Roman" w:cs="宋体"/>
                <w:color w:val="000000"/>
                <w:szCs w:val="24"/>
                <w:highlight w:val="none"/>
              </w:rPr>
            </w:pPr>
            <w:r>
              <w:rPr>
                <w:rFonts w:hint="eastAsia" w:ascii="Times New Roman" w:cs="宋体"/>
                <w:color w:val="000000"/>
                <w:szCs w:val="24"/>
                <w:highlight w:val="none"/>
              </w:rPr>
              <w:t>（4）法律、法规规定的其他情形。</w:t>
            </w:r>
          </w:p>
        </w:tc>
      </w:tr>
    </w:tbl>
    <w:p w14:paraId="40D663B7">
      <w:pPr>
        <w:spacing w:before="240" w:beforeLines="100" w:after="240" w:afterLines="100"/>
        <w:jc w:val="center"/>
        <w:outlineLvl w:val="1"/>
        <w:rPr>
          <w:rFonts w:hint="eastAsia" w:ascii="Times New Roman" w:eastAsia="黑体"/>
          <w:color w:val="000000"/>
          <w:sz w:val="32"/>
          <w:szCs w:val="32"/>
          <w:highlight w:val="none"/>
        </w:rPr>
      </w:pPr>
      <w:r>
        <w:rPr>
          <w:rFonts w:ascii="Times New Roman" w:eastAsia="黑体"/>
          <w:color w:val="000000"/>
          <w:highlight w:val="none"/>
        </w:rPr>
        <w:br w:type="page"/>
      </w:r>
      <w:bookmarkStart w:id="22" w:name="_Toc130919115"/>
      <w:bookmarkStart w:id="23" w:name="_Toc124283270"/>
      <w:r>
        <w:rPr>
          <w:rFonts w:hint="eastAsia" w:ascii="Times New Roman" w:eastAsia="黑体"/>
          <w:color w:val="000000"/>
          <w:sz w:val="32"/>
          <w:szCs w:val="32"/>
          <w:highlight w:val="none"/>
        </w:rPr>
        <w:t>详细评审标准</w:t>
      </w:r>
      <w:bookmarkEnd w:id="22"/>
      <w:bookmarkEnd w:id="23"/>
    </w:p>
    <w:tbl>
      <w:tblPr>
        <w:tblStyle w:val="53"/>
        <w:tblW w:w="5154"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1183"/>
        <w:gridCol w:w="1472"/>
        <w:gridCol w:w="746"/>
        <w:gridCol w:w="5840"/>
      </w:tblGrid>
      <w:tr w14:paraId="1CE57D72">
        <w:trPr>
          <w:trHeight w:val="23" w:hRule="atLeast"/>
        </w:trPr>
        <w:tc>
          <w:tcPr>
            <w:tcW w:w="949" w:type="pct"/>
            <w:gridSpan w:val="2"/>
            <w:noWrap w:val="0"/>
            <w:vAlign w:val="center"/>
          </w:tcPr>
          <w:p w14:paraId="4E6643E7">
            <w:pPr>
              <w:snapToGrid w:val="0"/>
              <w:spacing w:line="360" w:lineRule="auto"/>
              <w:jc w:val="center"/>
              <w:rPr>
                <w:rFonts w:hint="eastAsia" w:ascii="Times New Roman" w:cs="宋体"/>
                <w:b/>
                <w:bCs/>
                <w:color w:val="000000"/>
                <w:szCs w:val="24"/>
                <w:highlight w:val="none"/>
              </w:rPr>
            </w:pPr>
            <w:r>
              <w:rPr>
                <w:rFonts w:hint="eastAsia" w:ascii="Times New Roman" w:cs="宋体"/>
                <w:b/>
                <w:bCs/>
                <w:color w:val="000000"/>
                <w:szCs w:val="24"/>
                <w:highlight w:val="none"/>
              </w:rPr>
              <w:t>条款号</w:t>
            </w:r>
          </w:p>
        </w:tc>
        <w:tc>
          <w:tcPr>
            <w:tcW w:w="740" w:type="pct"/>
            <w:noWrap w:val="0"/>
            <w:tcMar>
              <w:left w:w="75" w:type="dxa"/>
            </w:tcMar>
            <w:vAlign w:val="center"/>
          </w:tcPr>
          <w:p w14:paraId="1B98FF10">
            <w:pPr>
              <w:snapToGrid w:val="0"/>
              <w:spacing w:line="360" w:lineRule="auto"/>
              <w:jc w:val="center"/>
              <w:rPr>
                <w:rFonts w:hint="eastAsia" w:ascii="Times New Roman" w:cs="宋体"/>
                <w:b/>
                <w:color w:val="000000"/>
                <w:szCs w:val="24"/>
                <w:highlight w:val="none"/>
              </w:rPr>
            </w:pPr>
            <w:r>
              <w:rPr>
                <w:rFonts w:hint="eastAsia" w:ascii="Times New Roman" w:cs="宋体"/>
                <w:b/>
                <w:color w:val="000000"/>
                <w:szCs w:val="24"/>
                <w:highlight w:val="none"/>
              </w:rPr>
              <w:t>评审因素</w:t>
            </w:r>
          </w:p>
        </w:tc>
        <w:tc>
          <w:tcPr>
            <w:tcW w:w="375" w:type="pct"/>
            <w:noWrap w:val="0"/>
            <w:vAlign w:val="center"/>
          </w:tcPr>
          <w:p w14:paraId="6852378D">
            <w:pPr>
              <w:widowControl/>
              <w:snapToGrid w:val="0"/>
              <w:spacing w:line="360" w:lineRule="auto"/>
              <w:jc w:val="center"/>
              <w:rPr>
                <w:rFonts w:hint="eastAsia" w:ascii="Times New Roman" w:cs="宋体"/>
                <w:b/>
                <w:color w:val="000000"/>
                <w:szCs w:val="24"/>
                <w:highlight w:val="none"/>
              </w:rPr>
            </w:pPr>
            <w:r>
              <w:rPr>
                <w:rFonts w:hint="eastAsia" w:ascii="Times New Roman" w:cs="宋体"/>
                <w:b/>
                <w:color w:val="000000"/>
                <w:szCs w:val="24"/>
                <w:highlight w:val="none"/>
              </w:rPr>
              <w:t>分值</w:t>
            </w:r>
          </w:p>
        </w:tc>
        <w:tc>
          <w:tcPr>
            <w:tcW w:w="2934" w:type="pct"/>
            <w:noWrap w:val="0"/>
            <w:vAlign w:val="center"/>
          </w:tcPr>
          <w:p w14:paraId="76795DAF">
            <w:pPr>
              <w:snapToGrid w:val="0"/>
              <w:spacing w:line="360" w:lineRule="auto"/>
              <w:jc w:val="center"/>
              <w:rPr>
                <w:rFonts w:hint="eastAsia" w:ascii="Times New Roman" w:cs="宋体"/>
                <w:b/>
                <w:color w:val="000000"/>
                <w:szCs w:val="24"/>
                <w:highlight w:val="none"/>
              </w:rPr>
            </w:pPr>
            <w:r>
              <w:rPr>
                <w:rFonts w:hint="eastAsia" w:ascii="Times New Roman" w:cs="宋体"/>
                <w:b/>
                <w:color w:val="000000"/>
                <w:szCs w:val="24"/>
                <w:highlight w:val="none"/>
              </w:rPr>
              <w:t>评审标准</w:t>
            </w:r>
          </w:p>
        </w:tc>
      </w:tr>
      <w:tr w14:paraId="6689AFFA">
        <w:trPr>
          <w:trHeight w:val="23" w:hRule="atLeast"/>
        </w:trPr>
        <w:tc>
          <w:tcPr>
            <w:tcW w:w="354" w:type="pct"/>
            <w:noWrap w:val="0"/>
            <w:vAlign w:val="center"/>
          </w:tcPr>
          <w:p w14:paraId="29C79134">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2.2.2（1）</w:t>
            </w:r>
          </w:p>
        </w:tc>
        <w:tc>
          <w:tcPr>
            <w:tcW w:w="594" w:type="pct"/>
            <w:noWrap w:val="0"/>
            <w:vAlign w:val="center"/>
          </w:tcPr>
          <w:p w14:paraId="154EA8D6">
            <w:pPr>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技术文件评分标准</w:t>
            </w:r>
          </w:p>
        </w:tc>
        <w:tc>
          <w:tcPr>
            <w:tcW w:w="740" w:type="pct"/>
            <w:noWrap w:val="0"/>
            <w:tcMar>
              <w:left w:w="75" w:type="dxa"/>
            </w:tcMar>
            <w:vAlign w:val="center"/>
          </w:tcPr>
          <w:p w14:paraId="39A0621D">
            <w:pPr>
              <w:adjustRightInd w:val="0"/>
              <w:snapToGrid w:val="0"/>
              <w:spacing w:line="360" w:lineRule="auto"/>
              <w:ind w:left="-35" w:leftChars="0" w:right="-38" w:rightChars="0"/>
              <w:jc w:val="center"/>
              <w:rPr>
                <w:rFonts w:hint="eastAsia" w:ascii="Times New Roman" w:cs="宋体"/>
                <w:color w:val="000000"/>
                <w:szCs w:val="24"/>
                <w:highlight w:val="none"/>
              </w:rPr>
            </w:pPr>
            <w:r>
              <w:rPr>
                <w:rFonts w:hint="eastAsia" w:ascii="Times New Roman" w:cs="宋体"/>
                <w:color w:val="000000"/>
                <w:kern w:val="1"/>
                <w:szCs w:val="24"/>
                <w:highlight w:val="none"/>
              </w:rPr>
              <w:t>施工组织设计</w:t>
            </w:r>
          </w:p>
        </w:tc>
        <w:tc>
          <w:tcPr>
            <w:tcW w:w="747" w:type="dxa"/>
            <w:noWrap w:val="0"/>
            <w:vAlign w:val="center"/>
          </w:tcPr>
          <w:p w14:paraId="6B96E623">
            <w:pPr>
              <w:widowControl/>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u w:val="single"/>
              </w:rPr>
              <w:t xml:space="preserve"> </w:t>
            </w:r>
            <w:r>
              <w:rPr>
                <w:rFonts w:hint="default" w:cs="宋体"/>
                <w:color w:val="auto"/>
                <w:szCs w:val="24"/>
                <w:highlight w:val="none"/>
                <w:u w:val="single"/>
                <w:lang w:val="en-US"/>
              </w:rPr>
              <w:t>5</w:t>
            </w:r>
            <w:r>
              <w:rPr>
                <w:rFonts w:hint="eastAsia" w:ascii="Times New Roman" w:cs="宋体"/>
                <w:color w:val="auto"/>
                <w:szCs w:val="24"/>
                <w:highlight w:val="none"/>
                <w:u w:val="single"/>
              </w:rPr>
              <w:t xml:space="preserve"> </w:t>
            </w:r>
            <w:r>
              <w:rPr>
                <w:rFonts w:hint="eastAsia" w:ascii="Times New Roman" w:cs="宋体"/>
                <w:color w:val="auto"/>
                <w:szCs w:val="24"/>
                <w:highlight w:val="none"/>
              </w:rPr>
              <w:t>分</w:t>
            </w:r>
          </w:p>
        </w:tc>
        <w:tc>
          <w:tcPr>
            <w:tcW w:w="2934" w:type="pct"/>
            <w:noWrap w:val="0"/>
            <w:vAlign w:val="center"/>
          </w:tcPr>
          <w:p w14:paraId="0E51D8FE">
            <w:pPr>
              <w:widowControl/>
              <w:snapToGrid w:val="0"/>
              <w:spacing w:line="240" w:lineRule="auto"/>
              <w:jc w:val="left"/>
              <w:rPr>
                <w:color w:val="auto"/>
                <w:highlight w:val="none"/>
              </w:rPr>
            </w:pPr>
            <w:r>
              <w:rPr>
                <w:rFonts w:hint="eastAsia"/>
                <w:color w:val="auto"/>
                <w:highlight w:val="none"/>
              </w:rPr>
              <w:t>依据投标人提供的施工组织设计进行评审，包括但不限于以下内容：</w:t>
            </w:r>
          </w:p>
          <w:p w14:paraId="5B05284A">
            <w:pPr>
              <w:widowControl/>
              <w:numPr>
                <w:ilvl w:val="0"/>
                <w:numId w:val="0"/>
              </w:numPr>
              <w:snapToGrid w:val="0"/>
              <w:spacing w:line="240" w:lineRule="auto"/>
              <w:jc w:val="left"/>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1.针对工程项目整体理解；</w:t>
            </w:r>
          </w:p>
          <w:p w14:paraId="63A00BEB">
            <w:pPr>
              <w:widowControl/>
              <w:numPr>
                <w:ilvl w:val="0"/>
                <w:numId w:val="0"/>
              </w:numPr>
              <w:snapToGrid w:val="0"/>
              <w:spacing w:line="240" w:lineRule="auto"/>
              <w:jc w:val="left"/>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2.工程重点难点及危大工程的保障体系与措施；</w:t>
            </w:r>
          </w:p>
          <w:p w14:paraId="70181B9C">
            <w:pPr>
              <w:widowControl/>
              <w:numPr>
                <w:ilvl w:val="0"/>
                <w:numId w:val="0"/>
              </w:numPr>
              <w:snapToGrid w:val="0"/>
              <w:spacing w:line="240" w:lineRule="auto"/>
              <w:jc w:val="left"/>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3.拟采用的新技术、新工艺（如有）；</w:t>
            </w:r>
          </w:p>
          <w:p w14:paraId="57A2081C">
            <w:pPr>
              <w:widowControl/>
              <w:numPr>
                <w:ilvl w:val="0"/>
                <w:numId w:val="0"/>
              </w:numPr>
              <w:snapToGrid w:val="0"/>
              <w:spacing w:line="240" w:lineRule="auto"/>
              <w:jc w:val="both"/>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4.确保工期与质量的保障体系与措施；</w:t>
            </w:r>
          </w:p>
          <w:p w14:paraId="567CD2EB">
            <w:pPr>
              <w:widowControl/>
              <w:numPr>
                <w:ilvl w:val="0"/>
                <w:numId w:val="0"/>
              </w:numPr>
              <w:snapToGrid w:val="0"/>
              <w:spacing w:line="240" w:lineRule="auto"/>
              <w:jc w:val="both"/>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5.确保人、材、机的保障体系与措施；</w:t>
            </w:r>
          </w:p>
          <w:p w14:paraId="5EC64182">
            <w:pPr>
              <w:widowControl/>
              <w:numPr>
                <w:ilvl w:val="0"/>
                <w:numId w:val="0"/>
              </w:numPr>
              <w:snapToGrid w:val="0"/>
              <w:spacing w:line="240" w:lineRule="auto"/>
              <w:jc w:val="both"/>
              <w:rPr>
                <w:rFonts w:hint="eastAsia" w:cs="楷体"/>
                <w:b/>
                <w:bCs/>
                <w:snapToGrid w:val="0"/>
                <w:color w:val="auto"/>
                <w:szCs w:val="21"/>
                <w:highlight w:val="none"/>
              </w:rPr>
            </w:pPr>
            <w:r>
              <w:rPr>
                <w:rFonts w:hint="eastAsia" w:hAnsi="宋体" w:eastAsia="宋体" w:cs="宋体"/>
                <w:color w:val="auto"/>
                <w:szCs w:val="21"/>
                <w:highlight w:val="none"/>
                <w:lang w:val="en-US" w:eastAsia="zh-CN"/>
              </w:rPr>
              <w:t>6.确保安全文明生产的管理体系与措施。</w:t>
            </w:r>
          </w:p>
          <w:p w14:paraId="70AC34F7">
            <w:pPr>
              <w:widowControl/>
              <w:snapToGrid w:val="0"/>
              <w:ind w:left="241" w:hanging="210" w:hangingChars="100"/>
              <w:jc w:val="left"/>
              <w:rPr>
                <w:rFonts w:cs="楷体"/>
                <w:b/>
                <w:bCs/>
                <w:snapToGrid w:val="0"/>
                <w:color w:val="auto"/>
                <w:szCs w:val="21"/>
                <w:highlight w:val="none"/>
              </w:rPr>
            </w:pPr>
            <w:r>
              <w:rPr>
                <w:rFonts w:hint="eastAsia" w:cs="楷体"/>
                <w:b/>
                <w:bCs/>
                <w:snapToGrid w:val="0"/>
                <w:color w:val="auto"/>
                <w:szCs w:val="21"/>
                <w:highlight w:val="none"/>
              </w:rPr>
              <w:t xml:space="preserve">一般得0分＜F≤3分，良好得3分＜F＜4.5分，   </w:t>
            </w:r>
          </w:p>
          <w:p w14:paraId="1A98D9DB">
            <w:pPr>
              <w:widowControl/>
              <w:snapToGrid w:val="0"/>
              <w:ind w:left="241" w:hanging="210" w:hangingChars="100"/>
              <w:jc w:val="left"/>
              <w:rPr>
                <w:color w:val="auto"/>
                <w:highlight w:val="none"/>
              </w:rPr>
            </w:pPr>
            <w:r>
              <w:rPr>
                <w:rFonts w:hint="eastAsia" w:cs="楷体"/>
                <w:b/>
                <w:bCs/>
                <w:snapToGrid w:val="0"/>
                <w:color w:val="auto"/>
                <w:szCs w:val="21"/>
                <w:highlight w:val="none"/>
              </w:rPr>
              <w:t>优秀得4.5分≤F≤5分。</w:t>
            </w:r>
          </w:p>
          <w:p w14:paraId="773D44A2">
            <w:pPr>
              <w:widowControl/>
              <w:snapToGrid w:val="0"/>
              <w:jc w:val="left"/>
              <w:rPr>
                <w:color w:val="auto"/>
                <w:highlight w:val="none"/>
              </w:rPr>
            </w:pPr>
            <w:r>
              <w:rPr>
                <w:rFonts w:hint="eastAsia"/>
                <w:color w:val="auto"/>
                <w:highlight w:val="none"/>
              </w:rPr>
              <w:t>（1）本项评委打分为一般或优秀的，评委</w:t>
            </w:r>
            <w:r>
              <w:rPr>
                <w:rFonts w:hint="eastAsia"/>
                <w:color w:val="auto"/>
                <w:highlight w:val="none"/>
                <w:lang w:val="en-US" w:eastAsia="zh-CN"/>
              </w:rPr>
              <w:t>须</w:t>
            </w:r>
            <w:r>
              <w:rPr>
                <w:rFonts w:hint="eastAsia"/>
                <w:color w:val="auto"/>
                <w:highlight w:val="none"/>
              </w:rPr>
              <w:t>提出充足的理由并在评标报告中</w:t>
            </w:r>
            <w:r>
              <w:rPr>
                <w:rFonts w:hint="eastAsia"/>
                <w:color w:val="auto"/>
                <w:highlight w:val="none"/>
                <w:lang w:val="en-US" w:eastAsia="zh-CN"/>
              </w:rPr>
              <w:t>陈述</w:t>
            </w:r>
            <w:r>
              <w:rPr>
                <w:rFonts w:hint="eastAsia"/>
                <w:color w:val="auto"/>
                <w:highlight w:val="none"/>
              </w:rPr>
              <w:t>。</w:t>
            </w:r>
          </w:p>
          <w:p w14:paraId="2599FEA1">
            <w:pPr>
              <w:widowControl/>
              <w:snapToGrid w:val="0"/>
              <w:jc w:val="left"/>
              <w:rPr>
                <w:rFonts w:hint="eastAsia" w:ascii="Times New Roman" w:hAnsi="Times New Roman" w:eastAsia="黑体" w:cs="黑体"/>
                <w:i/>
                <w:iCs/>
                <w:color w:val="auto"/>
                <w:kern w:val="2"/>
                <w:sz w:val="32"/>
                <w:szCs w:val="32"/>
                <w:highlight w:val="none"/>
                <w:shd w:val="clear" w:color="FFFFFF" w:fill="D9D9D9"/>
                <w:lang w:val="en-US" w:eastAsia="zh-CN" w:bidi="ar-SA"/>
              </w:rPr>
            </w:pPr>
            <w:r>
              <w:rPr>
                <w:rFonts w:hint="eastAsia"/>
                <w:color w:val="auto"/>
                <w:highlight w:val="none"/>
              </w:rPr>
              <w:t>（2）本项满分5分，评标委员会综合考虑，酌情赋分。内容未提供或无任何针对性、可行性，本项不得分。</w:t>
            </w:r>
          </w:p>
          <w:p w14:paraId="5801E7E4">
            <w:pPr>
              <w:widowControl/>
              <w:numPr>
                <w:ilvl w:val="0"/>
                <w:numId w:val="0"/>
              </w:numPr>
              <w:snapToGrid w:val="0"/>
              <w:spacing w:line="240" w:lineRule="auto"/>
              <w:jc w:val="both"/>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注：</w:t>
            </w:r>
          </w:p>
          <w:p w14:paraId="56C70230">
            <w:pPr>
              <w:widowControl/>
              <w:numPr>
                <w:ilvl w:val="0"/>
                <w:numId w:val="0"/>
              </w:numPr>
              <w:snapToGrid w:val="0"/>
              <w:spacing w:line="240" w:lineRule="auto"/>
              <w:jc w:val="left"/>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1.建议编制要求如下：</w:t>
            </w:r>
          </w:p>
          <w:p w14:paraId="36A46C4A">
            <w:pPr>
              <w:widowControl/>
              <w:numPr>
                <w:ilvl w:val="0"/>
                <w:numId w:val="0"/>
              </w:numPr>
              <w:snapToGrid w:val="0"/>
              <w:spacing w:line="240" w:lineRule="auto"/>
              <w:jc w:val="left"/>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（1）页面排版要求：</w:t>
            </w:r>
            <w:r>
              <w:rPr>
                <w:rFonts w:hint="eastAsia" w:ascii="宋体" w:hAnsi="宋体" w:eastAsia="宋体" w:cs="宋体"/>
                <w:color w:val="auto"/>
                <w:szCs w:val="21"/>
                <w:highlight w:val="none"/>
                <w:lang w:val="en-US" w:eastAsia="zh-CN"/>
              </w:rPr>
              <w:t>纸张：A4;</w:t>
            </w:r>
            <w:r>
              <w:rPr>
                <w:rFonts w:hint="eastAsia" w:hAnsi="宋体" w:eastAsia="宋体" w:cs="宋体"/>
                <w:color w:val="auto"/>
                <w:szCs w:val="21"/>
                <w:highlight w:val="none"/>
                <w:lang w:val="en-US" w:eastAsia="zh-CN"/>
              </w:rPr>
              <w:t>行距：固定值22磅；页边距：上2.5厘米，其余均为2.0厘米；</w:t>
            </w:r>
          </w:p>
          <w:p w14:paraId="4C87D463">
            <w:pPr>
              <w:widowControl/>
              <w:numPr>
                <w:ilvl w:val="0"/>
                <w:numId w:val="0"/>
              </w:numPr>
              <w:snapToGrid w:val="0"/>
              <w:spacing w:line="240" w:lineRule="auto"/>
              <w:jc w:val="left"/>
              <w:rPr>
                <w:rFonts w:hint="default"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（2）字体图片要求：字体：宋体；标题：三号；其他为四号；图表图片大小由投标人自行决定；</w:t>
            </w:r>
          </w:p>
          <w:p w14:paraId="5A8A31E2">
            <w:pPr>
              <w:widowControl/>
              <w:numPr>
                <w:ilvl w:val="0"/>
                <w:numId w:val="0"/>
              </w:numPr>
              <w:snapToGrid w:val="0"/>
              <w:spacing w:line="240" w:lineRule="auto"/>
              <w:jc w:val="left"/>
              <w:rPr>
                <w:rFonts w:hint="eastAsia" w:ascii="Times New Roman" w:hAnsi="Times New Roman" w:eastAsia="黑体" w:cs="黑体"/>
                <w:b/>
                <w:bCs/>
                <w:i/>
                <w:iCs/>
                <w:color w:val="auto"/>
                <w:kern w:val="2"/>
                <w:sz w:val="24"/>
                <w:szCs w:val="24"/>
                <w:highlight w:val="none"/>
                <w:shd w:val="clear" w:color="FFFFFF" w:fill="D9D9D9"/>
                <w:lang w:val="en-US" w:eastAsia="zh-CN" w:bidi="ar-SA"/>
              </w:rPr>
            </w:pPr>
            <w:r>
              <w:rPr>
                <w:rFonts w:hint="eastAsia" w:hAnsi="宋体" w:eastAsia="宋体" w:cs="宋体"/>
                <w:color w:val="auto"/>
                <w:szCs w:val="21"/>
                <w:highlight w:val="none"/>
                <w:lang w:val="en-US" w:eastAsia="zh-CN"/>
              </w:rPr>
              <w:t>（3）编制篇幅:施工组织设计的不超过</w:t>
            </w:r>
            <w:r>
              <w:rPr>
                <w:rFonts w:hint="eastAsia" w:hAnsi="宋体" w:eastAsia="宋体" w:cs="宋体"/>
                <w:b/>
                <w:bCs/>
                <w:color w:val="auto"/>
                <w:szCs w:val="21"/>
                <w:highlight w:val="none"/>
                <w:u w:val="single"/>
                <w:lang w:val="en-US" w:eastAsia="zh-CN"/>
              </w:rPr>
              <w:t xml:space="preserve"> </w:t>
            </w:r>
            <w:r>
              <w:rPr>
                <w:rFonts w:hint="eastAsia" w:hAnsi="宋体" w:cs="宋体"/>
                <w:b/>
                <w:bCs/>
                <w:color w:val="auto"/>
                <w:szCs w:val="21"/>
                <w:highlight w:val="none"/>
                <w:u w:val="single"/>
                <w:lang w:val="en-US" w:eastAsia="zh-CN"/>
              </w:rPr>
              <w:t>10</w:t>
            </w:r>
            <w:r>
              <w:rPr>
                <w:rFonts w:hint="eastAsia" w:hAnsi="宋体" w:eastAsia="宋体" w:cs="宋体"/>
                <w:b/>
                <w:bCs/>
                <w:color w:val="auto"/>
                <w:szCs w:val="21"/>
                <w:highlight w:val="none"/>
                <w:u w:val="single"/>
                <w:lang w:val="en-US" w:eastAsia="zh-CN"/>
              </w:rPr>
              <w:t xml:space="preserve">0 </w:t>
            </w:r>
            <w:r>
              <w:rPr>
                <w:rFonts w:hint="eastAsia" w:hAnsi="宋体" w:eastAsia="宋体" w:cs="宋体"/>
                <w:b/>
                <w:bCs/>
                <w:color w:val="auto"/>
                <w:szCs w:val="21"/>
                <w:highlight w:val="none"/>
                <w:lang w:val="en-US" w:eastAsia="zh-CN"/>
              </w:rPr>
              <w:t>页</w:t>
            </w:r>
          </w:p>
          <w:p w14:paraId="2F176FA7">
            <w:pPr>
              <w:widowControl/>
              <w:numPr>
                <w:ilvl w:val="0"/>
                <w:numId w:val="0"/>
              </w:numPr>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（4）投标结合工程实际特点及需要，国家及地方现有工法规范已有的内容无需重复编制。</w:t>
            </w:r>
          </w:p>
          <w:p w14:paraId="6F7118A0">
            <w:pPr>
              <w:widowControl/>
              <w:snapToGrid w:val="0"/>
              <w:spacing w:line="240" w:lineRule="auto"/>
              <w:jc w:val="left"/>
              <w:rPr>
                <w:rFonts w:hint="eastAsia" w:ascii="Times New Roman" w:cs="宋体"/>
                <w:b/>
                <w:color w:val="auto"/>
                <w:szCs w:val="24"/>
                <w:highlight w:val="none"/>
              </w:rPr>
            </w:pPr>
            <w:r>
              <w:rPr>
                <w:rFonts w:hint="eastAsia" w:ascii="宋体" w:hAnsi="宋体" w:eastAsia="宋体" w:cs="宋体"/>
                <w:color w:val="auto"/>
                <w:szCs w:val="21"/>
                <w:highlight w:val="none"/>
                <w:lang w:val="en-US" w:eastAsia="zh-CN"/>
              </w:rPr>
              <w:t>2.评标委员会结合本工程特点，根据投标人编制施工组织设计的针对性、可行性、语言精练度进行评审。</w:t>
            </w:r>
          </w:p>
        </w:tc>
      </w:tr>
      <w:tr w14:paraId="0A8B8F08">
        <w:trPr>
          <w:trHeight w:val="23" w:hRule="atLeast"/>
        </w:trPr>
        <w:tc>
          <w:tcPr>
            <w:tcW w:w="354" w:type="pct"/>
            <w:noWrap w:val="0"/>
            <w:vAlign w:val="center"/>
          </w:tcPr>
          <w:p w14:paraId="7EBF448B">
            <w:pPr>
              <w:snapToGrid w:val="0"/>
              <w:spacing w:line="360" w:lineRule="auto"/>
              <w:jc w:val="center"/>
              <w:rPr>
                <w:rFonts w:hint="eastAsia" w:ascii="Times New Roman" w:cs="宋体"/>
                <w:bCs/>
                <w:color w:val="000000"/>
                <w:szCs w:val="24"/>
                <w:highlight w:val="none"/>
              </w:rPr>
            </w:pPr>
          </w:p>
        </w:tc>
        <w:tc>
          <w:tcPr>
            <w:tcW w:w="594" w:type="pct"/>
            <w:noWrap w:val="0"/>
            <w:vAlign w:val="center"/>
          </w:tcPr>
          <w:p w14:paraId="198F23D6">
            <w:pPr>
              <w:snapToGrid w:val="0"/>
              <w:spacing w:line="360" w:lineRule="auto"/>
              <w:jc w:val="center"/>
              <w:rPr>
                <w:rFonts w:hint="eastAsia" w:ascii="Times New Roman" w:cs="宋体"/>
                <w:color w:val="000000"/>
                <w:szCs w:val="24"/>
                <w:highlight w:val="none"/>
              </w:rPr>
            </w:pPr>
          </w:p>
        </w:tc>
        <w:tc>
          <w:tcPr>
            <w:tcW w:w="740" w:type="pct"/>
            <w:noWrap w:val="0"/>
            <w:tcMar>
              <w:left w:w="75" w:type="dxa"/>
            </w:tcMar>
            <w:vAlign w:val="center"/>
          </w:tcPr>
          <w:p w14:paraId="62C52578">
            <w:pPr>
              <w:adjustRightInd w:val="0"/>
              <w:snapToGrid w:val="0"/>
              <w:spacing w:line="360" w:lineRule="auto"/>
              <w:ind w:left="-35" w:leftChars="0" w:right="-38" w:rightChars="0"/>
              <w:jc w:val="center"/>
              <w:rPr>
                <w:rFonts w:hint="default" w:ascii="Times New Roman" w:eastAsia="宋体" w:cs="宋体"/>
                <w:color w:val="auto"/>
                <w:kern w:val="1"/>
                <w:szCs w:val="24"/>
                <w:highlight w:val="none"/>
                <w:lang w:val="en-US" w:eastAsia="zh-CN"/>
              </w:rPr>
            </w:pPr>
            <w:r>
              <w:rPr>
                <w:rFonts w:hint="eastAsia" w:cs="宋体"/>
                <w:color w:val="auto"/>
                <w:kern w:val="1"/>
                <w:szCs w:val="24"/>
                <w:highlight w:val="none"/>
                <w:lang w:val="en-US" w:eastAsia="zh-CN"/>
              </w:rPr>
              <w:t>综合实力</w:t>
            </w:r>
          </w:p>
        </w:tc>
        <w:tc>
          <w:tcPr>
            <w:tcW w:w="747" w:type="dxa"/>
            <w:noWrap w:val="0"/>
            <w:vAlign w:val="center"/>
          </w:tcPr>
          <w:p w14:paraId="3B1961CA">
            <w:pPr>
              <w:widowControl/>
              <w:snapToGrid w:val="0"/>
              <w:spacing w:line="360" w:lineRule="auto"/>
              <w:jc w:val="left"/>
              <w:rPr>
                <w:rFonts w:hint="eastAsia" w:ascii="Times New Roman" w:cs="宋体"/>
                <w:color w:val="auto"/>
                <w:szCs w:val="24"/>
                <w:highlight w:val="none"/>
                <w:u w:val="single"/>
              </w:rPr>
            </w:pPr>
            <w:r>
              <w:rPr>
                <w:rFonts w:hint="eastAsia" w:cs="宋体"/>
                <w:color w:val="auto"/>
                <w:szCs w:val="24"/>
                <w:highlight w:val="none"/>
                <w:u w:val="single"/>
                <w:lang w:val="en-US" w:eastAsia="zh-CN"/>
              </w:rPr>
              <w:t xml:space="preserve"> 14</w:t>
            </w:r>
            <w:r>
              <w:rPr>
                <w:rFonts w:hint="eastAsia" w:ascii="Times New Roman" w:cs="宋体"/>
                <w:color w:val="auto"/>
                <w:szCs w:val="24"/>
                <w:highlight w:val="none"/>
                <w:u w:val="single"/>
              </w:rPr>
              <w:t xml:space="preserve"> </w:t>
            </w:r>
            <w:r>
              <w:rPr>
                <w:rFonts w:hint="eastAsia" w:ascii="Times New Roman" w:cs="宋体"/>
                <w:color w:val="auto"/>
                <w:szCs w:val="24"/>
                <w:highlight w:val="none"/>
              </w:rPr>
              <w:t>分</w:t>
            </w:r>
          </w:p>
        </w:tc>
        <w:tc>
          <w:tcPr>
            <w:tcW w:w="2934" w:type="pct"/>
            <w:noWrap w:val="0"/>
            <w:vAlign w:val="center"/>
          </w:tcPr>
          <w:p w14:paraId="495ED327">
            <w:pPr>
              <w:widowControl/>
              <w:numPr>
                <w:ilvl w:val="0"/>
                <w:numId w:val="6"/>
              </w:numPr>
              <w:snapToGrid w:val="0"/>
              <w:spacing w:line="240" w:lineRule="auto"/>
              <w:jc w:val="left"/>
              <w:rPr>
                <w:rFonts w:hint="default"/>
                <w:color w:val="auto"/>
                <w:highlight w:val="none"/>
                <w:lang w:val="en-US" w:eastAsia="zh-CN"/>
              </w:rPr>
            </w:pPr>
            <w:r>
              <w:rPr>
                <w:rFonts w:hint="eastAsia" w:ascii="宋体" w:hAnsi="宋体" w:cs="宋体"/>
                <w:color w:val="auto"/>
                <w:szCs w:val="21"/>
                <w:highlight w:val="none"/>
                <w:lang w:val="en-US" w:eastAsia="zh-CN"/>
              </w:rPr>
              <w:t>投标人具有安全生产许可证,得3分。</w:t>
            </w:r>
          </w:p>
          <w:p w14:paraId="1D4C16F9">
            <w:pPr>
              <w:widowControl/>
              <w:numPr>
                <w:ilvl w:val="0"/>
                <w:numId w:val="0"/>
              </w:numPr>
              <w:snapToGrid w:val="0"/>
              <w:spacing w:line="24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注：投标文件中提供证书扫描件或影印件。</w:t>
            </w:r>
          </w:p>
          <w:p w14:paraId="60D81DF2">
            <w:pPr>
              <w:widowControl/>
              <w:numPr>
                <w:ilvl w:val="0"/>
                <w:numId w:val="6"/>
              </w:numPr>
              <w:snapToGrid w:val="0"/>
              <w:spacing w:line="240" w:lineRule="auto"/>
              <w:ind w:left="0" w:leftChars="0" w:firstLine="0" w:firstLine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投标人具有高新技术企业证书，得3分。</w:t>
            </w:r>
          </w:p>
          <w:p w14:paraId="0E88EEAF">
            <w:pPr>
              <w:widowControl/>
              <w:numPr>
                <w:ilvl w:val="0"/>
                <w:numId w:val="0"/>
              </w:numPr>
              <w:snapToGrid w:val="0"/>
              <w:spacing w:line="240" w:lineRule="auto"/>
              <w:ind w:lef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注：投标文件中提供证书扫描件或影印件。</w:t>
            </w:r>
          </w:p>
          <w:p w14:paraId="0F6401F7">
            <w:pPr>
              <w:widowControl/>
              <w:numPr>
                <w:ilvl w:val="0"/>
                <w:numId w:val="6"/>
              </w:numPr>
              <w:snapToGrid w:val="0"/>
              <w:spacing w:line="240" w:lineRule="auto"/>
              <w:ind w:left="0" w:leftChars="0" w:firstLine="0" w:firstLineChars="0"/>
              <w:jc w:val="left"/>
              <w:rPr>
                <w:rFonts w:hint="default"/>
                <w:color w:val="auto"/>
                <w:highlight w:val="none"/>
                <w:lang w:val="en-US" w:eastAsia="zh-CN"/>
              </w:rPr>
            </w:pPr>
            <w:r>
              <w:rPr>
                <w:rFonts w:hint="eastAsia" w:ascii="宋体" w:hAnsi="宋体" w:cs="宋体"/>
                <w:color w:val="auto"/>
                <w:szCs w:val="21"/>
                <w:highlight w:val="none"/>
                <w:lang w:val="en-US" w:eastAsia="zh-CN"/>
              </w:rPr>
              <w:t>投标人具有中国国家认证认可监督管理委员会认证机构颁发的有效的质量管理体系认证证书、环境管理体系认证证书、职业健康安全管理体系认证证书，每提供一个得2分，满分4分。</w:t>
            </w:r>
          </w:p>
          <w:p w14:paraId="0FB4396F">
            <w:pPr>
              <w:widowControl/>
              <w:numPr>
                <w:ilvl w:val="0"/>
                <w:numId w:val="0"/>
              </w:numPr>
              <w:snapToGrid w:val="0"/>
              <w:spacing w:line="240" w:lineRule="auto"/>
              <w:ind w:lef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注：投标文件中须同时提供证书扫描件及全国认证认可信息公共服务平台网站证书信息查询截图。</w:t>
            </w:r>
          </w:p>
          <w:p w14:paraId="685E9270">
            <w:pPr>
              <w:widowControl/>
              <w:numPr>
                <w:ilvl w:val="0"/>
                <w:numId w:val="6"/>
              </w:numPr>
              <w:snapToGrid w:val="0"/>
              <w:spacing w:line="240" w:lineRule="auto"/>
              <w:ind w:left="0" w:leftChars="0" w:firstLine="0" w:firstLineChars="0"/>
              <w:jc w:val="left"/>
              <w:rPr>
                <w:rFonts w:hint="default"/>
                <w:color w:val="auto"/>
                <w:highlight w:val="none"/>
                <w:lang w:val="en-US" w:eastAsia="zh-CN"/>
              </w:rPr>
            </w:pPr>
            <w:r>
              <w:rPr>
                <w:rFonts w:hint="eastAsia" w:ascii="宋体" w:hAnsi="宋体" w:cs="宋体"/>
                <w:color w:val="auto"/>
                <w:szCs w:val="21"/>
                <w:highlight w:val="none"/>
                <w:lang w:val="en-US" w:eastAsia="zh-CN"/>
              </w:rPr>
              <w:t>投标人具有不小于1000㎡的生产车间或厂房。满足要求得4分，满分4分。</w:t>
            </w:r>
          </w:p>
          <w:p w14:paraId="2D2ADC3E">
            <w:pPr>
              <w:widowControl/>
              <w:numPr>
                <w:ilvl w:val="0"/>
                <w:numId w:val="0"/>
              </w:numPr>
              <w:snapToGrid w:val="0"/>
              <w:spacing w:line="240" w:lineRule="auto"/>
              <w:ind w:left="0" w:leftChars="0" w:firstLine="0" w:firstLineChars="0"/>
              <w:jc w:val="left"/>
              <w:rPr>
                <w:rFonts w:hint="default"/>
                <w:color w:val="auto"/>
                <w:highlight w:val="none"/>
                <w:lang w:val="en-US" w:eastAsia="zh-CN"/>
              </w:rPr>
            </w:pPr>
            <w:r>
              <w:rPr>
                <w:rFonts w:hint="eastAsia" w:ascii="宋体" w:hAnsi="宋体" w:cs="宋体"/>
                <w:color w:val="auto"/>
                <w:szCs w:val="21"/>
                <w:highlight w:val="none"/>
                <w:lang w:val="en-US" w:eastAsia="zh-CN"/>
              </w:rPr>
              <w:t>注：投标人应提供生产车间或厂房房产证或承租合同。</w:t>
            </w:r>
          </w:p>
        </w:tc>
      </w:tr>
      <w:tr w14:paraId="17182ADB">
        <w:trPr>
          <w:trHeight w:val="23" w:hRule="atLeast"/>
        </w:trPr>
        <w:tc>
          <w:tcPr>
            <w:tcW w:w="354" w:type="pct"/>
            <w:noWrap w:val="0"/>
            <w:vAlign w:val="center"/>
          </w:tcPr>
          <w:p w14:paraId="4864BBDE">
            <w:pPr>
              <w:snapToGrid w:val="0"/>
              <w:spacing w:line="360" w:lineRule="auto"/>
              <w:jc w:val="center"/>
              <w:rPr>
                <w:rFonts w:hint="eastAsia" w:ascii="Times New Roman" w:cs="宋体"/>
                <w:bCs/>
                <w:color w:val="000000"/>
                <w:szCs w:val="24"/>
                <w:highlight w:val="none"/>
              </w:rPr>
            </w:pPr>
          </w:p>
        </w:tc>
        <w:tc>
          <w:tcPr>
            <w:tcW w:w="594" w:type="pct"/>
            <w:noWrap w:val="0"/>
            <w:vAlign w:val="center"/>
          </w:tcPr>
          <w:p w14:paraId="2B790249">
            <w:pPr>
              <w:snapToGrid w:val="0"/>
              <w:spacing w:line="360" w:lineRule="auto"/>
              <w:jc w:val="center"/>
              <w:rPr>
                <w:rFonts w:hint="eastAsia" w:ascii="Times New Roman" w:cs="宋体"/>
                <w:color w:val="000000"/>
                <w:szCs w:val="24"/>
                <w:highlight w:val="none"/>
              </w:rPr>
            </w:pPr>
          </w:p>
        </w:tc>
        <w:tc>
          <w:tcPr>
            <w:tcW w:w="740" w:type="pct"/>
            <w:noWrap w:val="0"/>
            <w:tcMar>
              <w:left w:w="75" w:type="dxa"/>
            </w:tcMar>
            <w:vAlign w:val="center"/>
          </w:tcPr>
          <w:p w14:paraId="7C89CD10">
            <w:pPr>
              <w:adjustRightInd w:val="0"/>
              <w:snapToGrid w:val="0"/>
              <w:spacing w:line="360" w:lineRule="auto"/>
              <w:ind w:left="-35" w:leftChars="0" w:right="-38" w:rightChars="0"/>
              <w:jc w:val="center"/>
              <w:rPr>
                <w:rFonts w:hint="default" w:ascii="Times New Roman" w:eastAsia="宋体" w:cs="宋体"/>
                <w:color w:val="auto"/>
                <w:kern w:val="1"/>
                <w:szCs w:val="24"/>
                <w:highlight w:val="none"/>
                <w:lang w:val="en-US" w:eastAsia="zh-CN"/>
              </w:rPr>
            </w:pPr>
            <w:r>
              <w:rPr>
                <w:rFonts w:hint="eastAsia" w:cs="宋体"/>
                <w:color w:val="auto"/>
                <w:kern w:val="1"/>
                <w:szCs w:val="24"/>
                <w:highlight w:val="none"/>
                <w:lang w:val="en-US" w:eastAsia="zh-CN"/>
              </w:rPr>
              <w:t>本地化服务方案</w:t>
            </w:r>
          </w:p>
        </w:tc>
        <w:tc>
          <w:tcPr>
            <w:tcW w:w="747" w:type="dxa"/>
            <w:noWrap w:val="0"/>
            <w:vAlign w:val="center"/>
          </w:tcPr>
          <w:p w14:paraId="567AA6FD">
            <w:pPr>
              <w:widowControl/>
              <w:snapToGrid w:val="0"/>
              <w:spacing w:line="360" w:lineRule="auto"/>
              <w:jc w:val="left"/>
              <w:rPr>
                <w:rFonts w:hint="eastAsia" w:ascii="Times New Roman" w:cs="宋体"/>
                <w:color w:val="auto"/>
                <w:szCs w:val="24"/>
                <w:highlight w:val="none"/>
                <w:u w:val="single"/>
              </w:rPr>
            </w:pPr>
            <w:r>
              <w:rPr>
                <w:rFonts w:hint="eastAsia" w:ascii="Times New Roman" w:cs="宋体"/>
                <w:color w:val="auto"/>
                <w:szCs w:val="24"/>
                <w:highlight w:val="none"/>
                <w:u w:val="single"/>
              </w:rPr>
              <w:t xml:space="preserve"> </w:t>
            </w:r>
            <w:r>
              <w:rPr>
                <w:rFonts w:hint="default" w:cs="宋体"/>
                <w:color w:val="auto"/>
                <w:szCs w:val="24"/>
                <w:highlight w:val="none"/>
                <w:u w:val="single"/>
                <w:lang w:val="en-US"/>
              </w:rPr>
              <w:t>5</w:t>
            </w:r>
            <w:r>
              <w:rPr>
                <w:rFonts w:hint="eastAsia" w:cs="宋体"/>
                <w:color w:val="auto"/>
                <w:szCs w:val="24"/>
                <w:highlight w:val="none"/>
                <w:u w:val="single"/>
                <w:lang w:val="en-US" w:eastAsia="zh-CN"/>
              </w:rPr>
              <w:t xml:space="preserve"> </w:t>
            </w:r>
            <w:r>
              <w:rPr>
                <w:rFonts w:hint="eastAsia" w:ascii="Times New Roman" w:cs="宋体"/>
                <w:color w:val="auto"/>
                <w:szCs w:val="24"/>
                <w:highlight w:val="none"/>
              </w:rPr>
              <w:t>分</w:t>
            </w:r>
          </w:p>
        </w:tc>
        <w:tc>
          <w:tcPr>
            <w:tcW w:w="2934" w:type="pct"/>
            <w:noWrap w:val="0"/>
            <w:vAlign w:val="center"/>
          </w:tcPr>
          <w:p w14:paraId="08A809F6">
            <w:pPr>
              <w:spacing w:line="360" w:lineRule="auto"/>
              <w:ind w:right="-10"/>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根据</w:t>
            </w:r>
            <w:r>
              <w:rPr>
                <w:rFonts w:hint="eastAsia" w:ascii="宋体" w:hAnsi="宋体"/>
                <w:color w:val="auto"/>
                <w:szCs w:val="21"/>
                <w:highlight w:val="none"/>
              </w:rPr>
              <w:t>招标</w:t>
            </w:r>
            <w:r>
              <w:rPr>
                <w:rFonts w:ascii="宋体" w:hAnsi="宋体"/>
                <w:color w:val="auto"/>
                <w:szCs w:val="21"/>
                <w:highlight w:val="none"/>
              </w:rPr>
              <w:t>人项目情况编写本地化服务方案，包括但不限于：项目班子组成方案及优势，人、财、物资源支持方案及优势，公司技术支持方案，外部协调方案及优势。由评委会依据方案内容的科学合理性、可行性、及时性、有效性等方面，进行综合评审：</w:t>
            </w:r>
          </w:p>
          <w:p w14:paraId="6F5DE7CD">
            <w:pPr>
              <w:spacing w:line="360" w:lineRule="auto"/>
              <w:rPr>
                <w:rFonts w:ascii="宋体" w:hAnsi="宋体"/>
                <w:b/>
                <w:color w:val="auto"/>
                <w:szCs w:val="21"/>
                <w:highlight w:val="none"/>
              </w:rPr>
            </w:pPr>
            <w:r>
              <w:rPr>
                <w:rFonts w:ascii="宋体" w:hAnsi="宋体"/>
                <w:b/>
                <w:color w:val="auto"/>
                <w:szCs w:val="21"/>
                <w:highlight w:val="none"/>
              </w:rPr>
              <w:t>本地化服务方案明确、可行，针对性强的</w:t>
            </w:r>
            <w:r>
              <w:rPr>
                <w:rFonts w:hint="eastAsia" w:ascii="宋体" w:hAnsi="宋体"/>
                <w:b/>
                <w:color w:val="auto"/>
                <w:szCs w:val="21"/>
                <w:highlight w:val="none"/>
                <w:lang w:val="en-US" w:eastAsia="zh-CN"/>
              </w:rPr>
              <w:t>3</w:t>
            </w:r>
            <w:r>
              <w:rPr>
                <w:rFonts w:ascii="宋体" w:hAnsi="宋体"/>
                <w:b/>
                <w:color w:val="auto"/>
                <w:szCs w:val="21"/>
                <w:highlight w:val="none"/>
              </w:rPr>
              <w:t>＜F≤</w:t>
            </w:r>
            <w:r>
              <w:rPr>
                <w:rFonts w:hint="eastAsia" w:ascii="宋体" w:hAnsi="宋体"/>
                <w:b/>
                <w:color w:val="auto"/>
                <w:szCs w:val="21"/>
                <w:highlight w:val="none"/>
                <w:lang w:val="en-US" w:eastAsia="zh-CN"/>
              </w:rPr>
              <w:t>5</w:t>
            </w:r>
            <w:r>
              <w:rPr>
                <w:rFonts w:ascii="宋体" w:hAnsi="宋体"/>
                <w:b/>
                <w:color w:val="auto"/>
                <w:szCs w:val="21"/>
                <w:highlight w:val="none"/>
              </w:rPr>
              <w:t>分，</w:t>
            </w:r>
          </w:p>
          <w:p w14:paraId="67D7D0D7">
            <w:pPr>
              <w:spacing w:line="360" w:lineRule="auto"/>
              <w:rPr>
                <w:rFonts w:ascii="宋体" w:hAnsi="宋体"/>
                <w:b/>
                <w:color w:val="auto"/>
                <w:szCs w:val="21"/>
                <w:highlight w:val="none"/>
              </w:rPr>
            </w:pPr>
            <w:r>
              <w:rPr>
                <w:rFonts w:ascii="宋体" w:hAnsi="宋体"/>
                <w:b/>
                <w:color w:val="auto"/>
                <w:szCs w:val="21"/>
                <w:highlight w:val="none"/>
              </w:rPr>
              <w:t>本地化服务方案较明确、较可行，针对性较强的</w:t>
            </w:r>
            <w:r>
              <w:rPr>
                <w:rFonts w:hint="eastAsia" w:ascii="宋体" w:hAnsi="宋体"/>
                <w:b/>
                <w:color w:val="auto"/>
                <w:szCs w:val="21"/>
                <w:highlight w:val="none"/>
                <w:lang w:val="en-US" w:eastAsia="zh-CN"/>
              </w:rPr>
              <w:t>1</w:t>
            </w:r>
            <w:r>
              <w:rPr>
                <w:rFonts w:ascii="宋体" w:hAnsi="宋体"/>
                <w:b/>
                <w:color w:val="auto"/>
                <w:szCs w:val="21"/>
                <w:highlight w:val="none"/>
              </w:rPr>
              <w:t>＜F≤</w:t>
            </w:r>
            <w:r>
              <w:rPr>
                <w:rFonts w:hint="eastAsia" w:ascii="宋体" w:hAnsi="宋体"/>
                <w:b/>
                <w:color w:val="auto"/>
                <w:szCs w:val="21"/>
                <w:highlight w:val="none"/>
                <w:lang w:val="en-US" w:eastAsia="zh-CN"/>
              </w:rPr>
              <w:t>3</w:t>
            </w:r>
            <w:r>
              <w:rPr>
                <w:rFonts w:ascii="宋体" w:hAnsi="宋体"/>
                <w:b/>
                <w:color w:val="auto"/>
                <w:szCs w:val="21"/>
                <w:highlight w:val="none"/>
              </w:rPr>
              <w:t>分，</w:t>
            </w:r>
          </w:p>
          <w:p w14:paraId="2DA3DC78">
            <w:pPr>
              <w:spacing w:line="360" w:lineRule="auto"/>
              <w:rPr>
                <w:rFonts w:ascii="宋体" w:hAnsi="宋体"/>
                <w:b/>
                <w:color w:val="auto"/>
                <w:szCs w:val="21"/>
                <w:highlight w:val="none"/>
              </w:rPr>
            </w:pPr>
            <w:r>
              <w:rPr>
                <w:rFonts w:ascii="宋体" w:hAnsi="宋体"/>
                <w:b/>
                <w:color w:val="auto"/>
                <w:szCs w:val="21"/>
                <w:highlight w:val="none"/>
              </w:rPr>
              <w:t>本地化服务方案一般，待完善的，不能保证完成本项目的0＜F≤</w:t>
            </w:r>
            <w:r>
              <w:rPr>
                <w:rFonts w:hint="eastAsia" w:ascii="宋体" w:hAnsi="宋体"/>
                <w:b/>
                <w:color w:val="auto"/>
                <w:szCs w:val="21"/>
                <w:highlight w:val="none"/>
                <w:lang w:val="en-US" w:eastAsia="zh-CN"/>
              </w:rPr>
              <w:t>1</w:t>
            </w:r>
            <w:r>
              <w:rPr>
                <w:rFonts w:ascii="宋体" w:hAnsi="宋体"/>
                <w:b/>
                <w:color w:val="auto"/>
                <w:szCs w:val="21"/>
                <w:highlight w:val="none"/>
              </w:rPr>
              <w:t>分，</w:t>
            </w:r>
          </w:p>
          <w:p w14:paraId="4CF712AF">
            <w:pPr>
              <w:widowControl/>
              <w:snapToGrid w:val="0"/>
              <w:spacing w:line="240" w:lineRule="auto"/>
              <w:jc w:val="left"/>
              <w:rPr>
                <w:rFonts w:hint="default" w:ascii="宋体" w:hAnsi="宋体" w:eastAsia="宋体" w:cs="宋体"/>
                <w:color w:val="auto"/>
                <w:szCs w:val="21"/>
                <w:highlight w:val="none"/>
                <w:lang w:val="en-US" w:eastAsia="zh-CN"/>
              </w:rPr>
            </w:pPr>
            <w:r>
              <w:rPr>
                <w:rFonts w:ascii="宋体" w:hAnsi="宋体"/>
                <w:b/>
                <w:color w:val="auto"/>
                <w:szCs w:val="21"/>
                <w:highlight w:val="none"/>
              </w:rPr>
              <w:t>未提供的不得分。</w:t>
            </w:r>
          </w:p>
        </w:tc>
      </w:tr>
      <w:tr w14:paraId="59DE1D86">
        <w:trPr>
          <w:trHeight w:val="23" w:hRule="atLeast"/>
        </w:trPr>
        <w:tc>
          <w:tcPr>
            <w:tcW w:w="354" w:type="pct"/>
            <w:noWrap w:val="0"/>
            <w:vAlign w:val="center"/>
          </w:tcPr>
          <w:p w14:paraId="08892E42">
            <w:pPr>
              <w:snapToGrid w:val="0"/>
              <w:spacing w:line="360" w:lineRule="auto"/>
              <w:jc w:val="center"/>
              <w:rPr>
                <w:rFonts w:hint="eastAsia" w:ascii="Times New Roman" w:cs="宋体"/>
                <w:bCs/>
                <w:color w:val="000000"/>
                <w:szCs w:val="24"/>
                <w:highlight w:val="none"/>
              </w:rPr>
            </w:pPr>
            <w:r>
              <w:rPr>
                <w:rFonts w:hint="eastAsia" w:ascii="Times New Roman" w:cs="宋体"/>
                <w:bCs/>
                <w:color w:val="000000"/>
                <w:szCs w:val="24"/>
                <w:highlight w:val="none"/>
              </w:rPr>
              <w:t>2.2.2（2）</w:t>
            </w:r>
          </w:p>
        </w:tc>
        <w:tc>
          <w:tcPr>
            <w:tcW w:w="594" w:type="pct"/>
            <w:noWrap w:val="0"/>
            <w:vAlign w:val="center"/>
          </w:tcPr>
          <w:p w14:paraId="0D41A49C">
            <w:pPr>
              <w:widowControl/>
              <w:snapToGrid w:val="0"/>
              <w:spacing w:line="360" w:lineRule="auto"/>
              <w:jc w:val="center"/>
              <w:rPr>
                <w:rFonts w:hint="eastAsia" w:ascii="Times New Roman" w:cs="宋体"/>
                <w:bCs/>
                <w:color w:val="000000"/>
                <w:szCs w:val="24"/>
                <w:highlight w:val="none"/>
              </w:rPr>
            </w:pPr>
            <w:r>
              <w:rPr>
                <w:rFonts w:hint="eastAsia" w:ascii="Times New Roman" w:cs="宋体"/>
                <w:color w:val="000000"/>
                <w:szCs w:val="24"/>
                <w:highlight w:val="none"/>
              </w:rPr>
              <w:t>商务文件评分标准</w:t>
            </w:r>
          </w:p>
        </w:tc>
        <w:tc>
          <w:tcPr>
            <w:tcW w:w="740" w:type="pct"/>
            <w:noWrap w:val="0"/>
            <w:tcMar>
              <w:left w:w="75" w:type="dxa"/>
            </w:tcMar>
            <w:vAlign w:val="center"/>
          </w:tcPr>
          <w:p w14:paraId="1A472D06">
            <w:pPr>
              <w:suppressAutoHyphens/>
              <w:adjustRightInd w:val="0"/>
              <w:snapToGrid w:val="0"/>
              <w:spacing w:line="360" w:lineRule="auto"/>
              <w:ind w:left="-35" w:right="-38"/>
              <w:jc w:val="center"/>
              <w:rPr>
                <w:rFonts w:hint="eastAsia" w:ascii="Times New Roman" w:cs="宋体"/>
                <w:color w:val="auto"/>
                <w:kern w:val="1"/>
                <w:szCs w:val="24"/>
                <w:highlight w:val="none"/>
              </w:rPr>
            </w:pPr>
            <w:r>
              <w:rPr>
                <w:rFonts w:hint="eastAsia" w:ascii="Times New Roman" w:cs="宋体"/>
                <w:color w:val="auto"/>
                <w:kern w:val="1"/>
                <w:szCs w:val="24"/>
                <w:highlight w:val="none"/>
              </w:rPr>
              <w:t>投标人业绩</w:t>
            </w:r>
          </w:p>
        </w:tc>
        <w:tc>
          <w:tcPr>
            <w:tcW w:w="747" w:type="dxa"/>
            <w:noWrap w:val="0"/>
            <w:vAlign w:val="center"/>
          </w:tcPr>
          <w:p w14:paraId="405424AC">
            <w:pPr>
              <w:widowControl/>
              <w:snapToGrid w:val="0"/>
              <w:spacing w:line="360" w:lineRule="auto"/>
              <w:rPr>
                <w:rFonts w:hint="eastAsia" w:ascii="Times New Roman" w:cs="宋体"/>
                <w:color w:val="auto"/>
                <w:szCs w:val="24"/>
                <w:highlight w:val="none"/>
              </w:rPr>
            </w:pPr>
            <w:r>
              <w:rPr>
                <w:rFonts w:hint="eastAsia" w:ascii="Times New Roman" w:cs="宋体"/>
                <w:color w:val="auto"/>
                <w:szCs w:val="24"/>
                <w:highlight w:val="none"/>
                <w:u w:val="single"/>
              </w:rPr>
              <w:t xml:space="preserve"> </w:t>
            </w:r>
            <w:r>
              <w:rPr>
                <w:rFonts w:hint="default" w:cs="宋体"/>
                <w:color w:val="auto"/>
                <w:szCs w:val="24"/>
                <w:highlight w:val="none"/>
                <w:u w:val="single"/>
                <w:lang w:val="en-US"/>
              </w:rPr>
              <w:t>6</w:t>
            </w:r>
            <w:r>
              <w:rPr>
                <w:rFonts w:hint="eastAsia" w:ascii="Times New Roman" w:cs="宋体"/>
                <w:color w:val="auto"/>
                <w:szCs w:val="24"/>
                <w:highlight w:val="none"/>
              </w:rPr>
              <w:t>分</w:t>
            </w:r>
          </w:p>
        </w:tc>
        <w:tc>
          <w:tcPr>
            <w:tcW w:w="2934" w:type="pct"/>
            <w:noWrap w:val="0"/>
            <w:vAlign w:val="center"/>
          </w:tcPr>
          <w:p w14:paraId="081F3D7F">
            <w:pPr>
              <w:widowControl/>
              <w:numPr>
                <w:ilvl w:val="0"/>
                <w:numId w:val="0"/>
              </w:numPr>
              <w:snapToGrid w:val="0"/>
              <w:spacing w:line="240" w:lineRule="auto"/>
              <w:ind w:firstLine="420" w:firstLineChars="200"/>
              <w:jc w:val="left"/>
              <w:rPr>
                <w:rFonts w:hint="default"/>
                <w:color w:val="auto"/>
                <w:highlight w:val="none"/>
                <w:lang w:val="en-US" w:eastAsia="zh-CN"/>
              </w:rPr>
            </w:pPr>
            <w:r>
              <w:rPr>
                <w:rFonts w:hint="eastAsia"/>
                <w:color w:val="auto"/>
                <w:highlight w:val="none"/>
                <w:lang w:val="en-US" w:eastAsia="zh-CN"/>
              </w:rPr>
              <w:t>自2021年1月1日以来（以合同签订时间为准），投标人在中华人民共和国境内（不含港澳台）须具备单个合同金额不低于15万元的亮化工程施工（或雕塑类供货安装业绩或美陈类供货安装），每个业绩得2分，本项满分6分。</w:t>
            </w:r>
          </w:p>
          <w:p w14:paraId="43EC35D2">
            <w:pPr>
              <w:widowControl/>
              <w:numPr>
                <w:ilvl w:val="0"/>
                <w:numId w:val="0"/>
              </w:numPr>
              <w:snapToGrid w:val="0"/>
              <w:spacing w:line="240" w:lineRule="auto"/>
              <w:jc w:val="left"/>
              <w:rPr>
                <w:rFonts w:hint="eastAsia"/>
                <w:color w:val="auto"/>
                <w:highlight w:val="none"/>
                <w:lang w:val="en-US" w:eastAsia="zh-CN"/>
              </w:rPr>
            </w:pPr>
            <w:r>
              <w:rPr>
                <w:rFonts w:hint="eastAsia"/>
                <w:color w:val="auto"/>
                <w:highlight w:val="none"/>
                <w:lang w:val="en-US" w:eastAsia="zh-CN"/>
              </w:rPr>
              <w:t>1.投标人业绩（详细评审）评审标准规定数量：3个。</w:t>
            </w:r>
          </w:p>
          <w:p w14:paraId="5EDDBA80">
            <w:pPr>
              <w:widowControl/>
              <w:numPr>
                <w:ilvl w:val="0"/>
                <w:numId w:val="0"/>
              </w:numPr>
              <w:snapToGrid w:val="0"/>
              <w:spacing w:line="240" w:lineRule="auto"/>
              <w:jc w:val="left"/>
              <w:rPr>
                <w:rFonts w:hint="eastAsia"/>
                <w:color w:val="auto"/>
                <w:highlight w:val="none"/>
                <w:lang w:val="en-US" w:eastAsia="zh-CN"/>
              </w:rPr>
            </w:pPr>
            <w:r>
              <w:rPr>
                <w:rFonts w:hint="eastAsia"/>
                <w:color w:val="auto"/>
                <w:highlight w:val="none"/>
                <w:lang w:val="en-US" w:eastAsia="zh-CN"/>
              </w:rPr>
              <w:t>2.投标人提供的业绩证明材料需包含中标通知书、合同及中标网页查询截图，不提供或少提供的不得分。</w:t>
            </w:r>
          </w:p>
          <w:p w14:paraId="2C7BA0D9">
            <w:pPr>
              <w:widowControl/>
              <w:numPr>
                <w:ilvl w:val="0"/>
                <w:numId w:val="0"/>
              </w:numPr>
              <w:snapToGrid w:val="0"/>
              <w:spacing w:line="240" w:lineRule="auto"/>
              <w:jc w:val="left"/>
              <w:rPr>
                <w:rFonts w:hint="eastAsia" w:ascii="宋体" w:hAnsi="Times New Roman" w:eastAsia="宋体" w:cs="Times New Roman"/>
                <w:color w:val="auto"/>
                <w:highlight w:val="none"/>
                <w:lang w:val="en-US" w:eastAsia="zh-CN"/>
              </w:rPr>
            </w:pPr>
            <w:r>
              <w:rPr>
                <w:rFonts w:hint="eastAsia"/>
                <w:color w:val="auto"/>
                <w:highlight w:val="none"/>
                <w:lang w:val="en-US" w:eastAsia="zh-CN"/>
              </w:rPr>
              <w:t>3.经</w:t>
            </w:r>
            <w:r>
              <w:rPr>
                <w:rFonts w:hint="eastAsia" w:ascii="宋体" w:hAnsi="Times New Roman" w:eastAsia="宋体" w:cs="Times New Roman"/>
                <w:color w:val="auto"/>
                <w:highlight w:val="none"/>
                <w:lang w:val="en-US" w:eastAsia="zh-CN"/>
              </w:rPr>
              <w:t>评标委员会评审通过的商务文件初步评审的投标人业绩</w:t>
            </w:r>
            <w:r>
              <w:rPr>
                <w:rFonts w:hint="eastAsia" w:ascii="宋体" w:cs="Times New Roman"/>
                <w:color w:val="auto"/>
                <w:highlight w:val="none"/>
                <w:lang w:val="en-US" w:eastAsia="zh-CN"/>
              </w:rPr>
              <w:t>可</w:t>
            </w:r>
            <w:r>
              <w:rPr>
                <w:rFonts w:hint="eastAsia" w:ascii="宋体" w:hAnsi="Times New Roman" w:eastAsia="宋体" w:cs="Times New Roman"/>
                <w:color w:val="auto"/>
                <w:highlight w:val="none"/>
                <w:lang w:val="en-US" w:eastAsia="zh-CN"/>
              </w:rPr>
              <w:t>作为本项加分业绩。</w:t>
            </w:r>
          </w:p>
          <w:p w14:paraId="5AC3125C">
            <w:pPr>
              <w:widowControl/>
              <w:numPr>
                <w:ilvl w:val="0"/>
                <w:numId w:val="0"/>
              </w:numPr>
              <w:snapToGrid w:val="0"/>
              <w:spacing w:line="240" w:lineRule="auto"/>
              <w:jc w:val="left"/>
              <w:rPr>
                <w:rFonts w:hint="default"/>
                <w:color w:val="auto"/>
                <w:highlight w:val="none"/>
                <w:lang w:val="en-US"/>
              </w:rPr>
            </w:pPr>
            <w:r>
              <w:rPr>
                <w:rFonts w:hint="eastAsia" w:ascii="宋体" w:hAnsi="Times New Roman" w:eastAsia="宋体" w:cs="Times New Roman"/>
                <w:color w:val="auto"/>
                <w:highlight w:val="none"/>
                <w:lang w:val="en-US" w:eastAsia="zh-CN"/>
              </w:rPr>
              <w:t>4.详细评审的项目经理业绩本项</w:t>
            </w:r>
            <w:r>
              <w:rPr>
                <w:rFonts w:hint="eastAsia" w:ascii="宋体" w:cs="Times New Roman"/>
                <w:color w:val="auto"/>
                <w:highlight w:val="none"/>
                <w:lang w:val="en-US" w:eastAsia="zh-CN"/>
              </w:rPr>
              <w:t>可</w:t>
            </w:r>
            <w:r>
              <w:rPr>
                <w:rFonts w:hint="eastAsia" w:ascii="宋体" w:hAnsi="Times New Roman" w:eastAsia="宋体" w:cs="Times New Roman"/>
                <w:color w:val="auto"/>
                <w:highlight w:val="none"/>
                <w:lang w:val="en-US" w:eastAsia="zh-CN"/>
              </w:rPr>
              <w:t>加分。</w:t>
            </w:r>
          </w:p>
        </w:tc>
      </w:tr>
      <w:tr w14:paraId="5C5CD6C5">
        <w:trPr>
          <w:trHeight w:val="23" w:hRule="atLeast"/>
        </w:trPr>
        <w:tc>
          <w:tcPr>
            <w:tcW w:w="354" w:type="pct"/>
            <w:noWrap w:val="0"/>
            <w:vAlign w:val="center"/>
          </w:tcPr>
          <w:p w14:paraId="2088EE1A">
            <w:pPr>
              <w:snapToGrid w:val="0"/>
              <w:spacing w:line="360" w:lineRule="auto"/>
              <w:jc w:val="center"/>
              <w:rPr>
                <w:rFonts w:hint="eastAsia" w:ascii="Times New Roman" w:cs="宋体"/>
                <w:bCs/>
                <w:color w:val="000000"/>
                <w:szCs w:val="24"/>
                <w:highlight w:val="none"/>
              </w:rPr>
            </w:pPr>
          </w:p>
        </w:tc>
        <w:tc>
          <w:tcPr>
            <w:tcW w:w="594" w:type="pct"/>
            <w:noWrap w:val="0"/>
            <w:vAlign w:val="center"/>
          </w:tcPr>
          <w:p w14:paraId="1554501B">
            <w:pPr>
              <w:widowControl/>
              <w:snapToGrid w:val="0"/>
              <w:spacing w:line="360" w:lineRule="auto"/>
              <w:jc w:val="center"/>
              <w:rPr>
                <w:rFonts w:hint="eastAsia" w:ascii="Times New Roman" w:cs="宋体"/>
                <w:color w:val="000000"/>
                <w:szCs w:val="24"/>
                <w:highlight w:val="none"/>
              </w:rPr>
            </w:pPr>
          </w:p>
        </w:tc>
        <w:tc>
          <w:tcPr>
            <w:tcW w:w="740" w:type="pct"/>
            <w:noWrap w:val="0"/>
            <w:tcMar>
              <w:left w:w="75" w:type="dxa"/>
            </w:tcMar>
            <w:vAlign w:val="center"/>
          </w:tcPr>
          <w:p w14:paraId="208AE467">
            <w:pPr>
              <w:suppressAutoHyphens/>
              <w:adjustRightInd w:val="0"/>
              <w:snapToGrid w:val="0"/>
              <w:spacing w:line="360" w:lineRule="auto"/>
              <w:ind w:left="-35" w:leftChars="0" w:right="-38" w:rightChars="0"/>
              <w:jc w:val="center"/>
              <w:rPr>
                <w:rFonts w:hint="eastAsia" w:ascii="Times New Roman" w:cs="宋体"/>
                <w:color w:val="auto"/>
                <w:szCs w:val="24"/>
                <w:highlight w:val="none"/>
              </w:rPr>
            </w:pPr>
            <w:r>
              <w:rPr>
                <w:rFonts w:hint="eastAsia" w:ascii="Times New Roman" w:cs="宋体"/>
                <w:color w:val="auto"/>
                <w:kern w:val="1"/>
                <w:szCs w:val="24"/>
                <w:highlight w:val="none"/>
                <w:lang w:val="en-US" w:eastAsia="zh-CN"/>
              </w:rPr>
              <w:t>项目经理</w:t>
            </w:r>
            <w:r>
              <w:rPr>
                <w:rFonts w:hint="eastAsia" w:ascii="Times New Roman" w:cs="宋体"/>
                <w:color w:val="auto"/>
                <w:kern w:val="1"/>
                <w:szCs w:val="24"/>
                <w:highlight w:val="none"/>
              </w:rPr>
              <w:t>业绩</w:t>
            </w:r>
          </w:p>
        </w:tc>
        <w:tc>
          <w:tcPr>
            <w:tcW w:w="747" w:type="dxa"/>
            <w:noWrap w:val="0"/>
            <w:vAlign w:val="center"/>
          </w:tcPr>
          <w:p w14:paraId="1CA7BC3A">
            <w:pPr>
              <w:widowControl/>
              <w:snapToGrid w:val="0"/>
              <w:spacing w:line="360" w:lineRule="auto"/>
              <w:rPr>
                <w:rFonts w:hint="eastAsia" w:ascii="Times New Roman" w:cs="宋体"/>
                <w:color w:val="auto"/>
                <w:szCs w:val="24"/>
                <w:highlight w:val="none"/>
                <w:u w:val="single"/>
                <w:lang w:val="en-US" w:eastAsia="zh-CN"/>
              </w:rPr>
            </w:pPr>
            <w:r>
              <w:rPr>
                <w:rFonts w:hint="eastAsia" w:ascii="Times New Roman" w:cs="宋体"/>
                <w:color w:val="auto"/>
                <w:szCs w:val="24"/>
                <w:highlight w:val="none"/>
                <w:u w:val="single"/>
                <w:lang w:val="en-US" w:eastAsia="zh-CN"/>
              </w:rPr>
              <w:t>3</w:t>
            </w:r>
            <w:r>
              <w:rPr>
                <w:rFonts w:hint="eastAsia" w:ascii="Times New Roman" w:cs="宋体"/>
                <w:color w:val="auto"/>
                <w:szCs w:val="24"/>
                <w:highlight w:val="none"/>
              </w:rPr>
              <w:t>分</w:t>
            </w:r>
          </w:p>
        </w:tc>
        <w:tc>
          <w:tcPr>
            <w:tcW w:w="2934" w:type="pct"/>
            <w:noWrap w:val="0"/>
            <w:vAlign w:val="center"/>
          </w:tcPr>
          <w:p w14:paraId="2F4BDCA0">
            <w:pPr>
              <w:widowControl/>
              <w:numPr>
                <w:ilvl w:val="0"/>
                <w:numId w:val="0"/>
              </w:numPr>
              <w:snapToGrid w:val="0"/>
              <w:spacing w:line="240" w:lineRule="auto"/>
              <w:ind w:firstLine="420" w:firstLineChars="200"/>
              <w:jc w:val="left"/>
              <w:rPr>
                <w:rFonts w:hint="default" w:ascii="宋体" w:hAnsi="Times New Roman" w:eastAsia="宋体" w:cs="Times New Roman"/>
                <w:color w:val="auto"/>
                <w:highlight w:val="none"/>
                <w:lang w:val="en-US" w:eastAsia="zh-CN"/>
              </w:rPr>
            </w:pPr>
            <w:r>
              <w:rPr>
                <w:rFonts w:hint="eastAsia"/>
                <w:color w:val="auto"/>
                <w:highlight w:val="none"/>
                <w:lang w:val="en-US" w:eastAsia="zh-CN"/>
              </w:rPr>
              <w:t>自2021年1月1日以来（以合同签订时间为准），拟任项目经理在中华人民共和国境内（不含港澳台）须具备单个合同金额不低于15万元的亮化工程施工（或雕塑类供货安装或美陈类供货安装）业绩，每个业绩得3</w:t>
            </w:r>
            <w:r>
              <w:rPr>
                <w:rFonts w:hint="eastAsia" w:ascii="宋体" w:hAnsi="Times New Roman" w:eastAsia="宋体" w:cs="Times New Roman"/>
                <w:color w:val="auto"/>
                <w:highlight w:val="none"/>
                <w:lang w:val="en-US" w:eastAsia="zh-CN"/>
              </w:rPr>
              <w:t>分，本项满分3分。</w:t>
            </w:r>
          </w:p>
          <w:p w14:paraId="722ECCF8">
            <w:pPr>
              <w:widowControl/>
              <w:numPr>
                <w:ilvl w:val="0"/>
                <w:numId w:val="0"/>
              </w:numPr>
              <w:snapToGrid w:val="0"/>
              <w:spacing w:line="240" w:lineRule="auto"/>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1.项目经理业绩（详细评审）评审标准规定数量：1个。</w:t>
            </w:r>
          </w:p>
          <w:p w14:paraId="1561B074">
            <w:pPr>
              <w:widowControl/>
              <w:numPr>
                <w:ilvl w:val="0"/>
                <w:numId w:val="0"/>
              </w:numPr>
              <w:snapToGrid w:val="0"/>
              <w:spacing w:line="240" w:lineRule="auto"/>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2.</w:t>
            </w:r>
            <w:r>
              <w:rPr>
                <w:rFonts w:hint="eastAsia"/>
                <w:color w:val="auto"/>
                <w:highlight w:val="none"/>
                <w:lang w:val="en-US" w:eastAsia="zh-CN"/>
              </w:rPr>
              <w:t>投标人提供的业绩证明材料需包含中标通知书、合同及中标网页查询截图，不提供或少提供的不得分。</w:t>
            </w:r>
          </w:p>
          <w:p w14:paraId="16995F35">
            <w:pPr>
              <w:widowControl/>
              <w:numPr>
                <w:ilvl w:val="0"/>
                <w:numId w:val="0"/>
              </w:numPr>
              <w:snapToGrid w:val="0"/>
              <w:spacing w:line="240" w:lineRule="auto"/>
              <w:jc w:val="left"/>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3.经评标委员会评审通过的商务文件初步评审业绩</w:t>
            </w:r>
            <w:r>
              <w:rPr>
                <w:rFonts w:hint="eastAsia" w:ascii="宋体" w:cs="Times New Roman"/>
                <w:color w:val="auto"/>
                <w:highlight w:val="none"/>
                <w:lang w:val="en-US" w:eastAsia="zh-CN"/>
              </w:rPr>
              <w:t>可</w:t>
            </w:r>
            <w:r>
              <w:rPr>
                <w:rFonts w:hint="eastAsia" w:ascii="宋体" w:hAnsi="Times New Roman" w:eastAsia="宋体" w:cs="Times New Roman"/>
                <w:color w:val="auto"/>
                <w:highlight w:val="none"/>
                <w:lang w:val="en-US" w:eastAsia="zh-CN"/>
              </w:rPr>
              <w:t>作为本项加分业绩。</w:t>
            </w:r>
          </w:p>
          <w:p w14:paraId="1C2B7C5B">
            <w:pPr>
              <w:widowControl/>
              <w:numPr>
                <w:ilvl w:val="0"/>
                <w:numId w:val="0"/>
              </w:numPr>
              <w:snapToGrid w:val="0"/>
              <w:spacing w:line="240" w:lineRule="auto"/>
              <w:jc w:val="left"/>
              <w:rPr>
                <w:rFonts w:hint="eastAsia"/>
                <w:color w:val="auto"/>
                <w:highlight w:val="none"/>
              </w:rPr>
            </w:pPr>
            <w:r>
              <w:rPr>
                <w:rFonts w:hint="eastAsia" w:ascii="宋体" w:hAnsi="Times New Roman" w:eastAsia="宋体" w:cs="Times New Roman"/>
                <w:color w:val="auto"/>
                <w:highlight w:val="none"/>
                <w:lang w:val="en-US" w:eastAsia="zh-CN"/>
              </w:rPr>
              <w:t>4.详细评审的投标人业绩本项</w:t>
            </w:r>
            <w:r>
              <w:rPr>
                <w:rFonts w:hint="eastAsia" w:ascii="宋体" w:cs="Times New Roman"/>
                <w:color w:val="auto"/>
                <w:highlight w:val="none"/>
                <w:lang w:val="en-US" w:eastAsia="zh-CN"/>
              </w:rPr>
              <w:t>可</w:t>
            </w:r>
            <w:r>
              <w:rPr>
                <w:rFonts w:hint="eastAsia" w:ascii="宋体" w:hAnsi="Times New Roman" w:eastAsia="宋体" w:cs="Times New Roman"/>
                <w:color w:val="auto"/>
                <w:highlight w:val="none"/>
                <w:lang w:val="en-US" w:eastAsia="zh-CN"/>
              </w:rPr>
              <w:t>加分。</w:t>
            </w:r>
          </w:p>
        </w:tc>
      </w:tr>
      <w:tr w14:paraId="7A6D0068">
        <w:trPr>
          <w:trHeight w:val="23" w:hRule="atLeast"/>
        </w:trPr>
        <w:tc>
          <w:tcPr>
            <w:tcW w:w="354" w:type="pct"/>
            <w:noWrap w:val="0"/>
            <w:vAlign w:val="center"/>
          </w:tcPr>
          <w:p w14:paraId="0DB5316E">
            <w:pPr>
              <w:snapToGrid w:val="0"/>
              <w:spacing w:line="360" w:lineRule="auto"/>
              <w:jc w:val="center"/>
              <w:rPr>
                <w:rFonts w:hint="eastAsia" w:ascii="Times New Roman" w:cs="宋体"/>
                <w:bCs/>
                <w:color w:val="000000"/>
                <w:szCs w:val="24"/>
                <w:highlight w:val="none"/>
              </w:rPr>
            </w:pPr>
          </w:p>
        </w:tc>
        <w:tc>
          <w:tcPr>
            <w:tcW w:w="594" w:type="pct"/>
            <w:noWrap w:val="0"/>
            <w:vAlign w:val="center"/>
          </w:tcPr>
          <w:p w14:paraId="68917768">
            <w:pPr>
              <w:widowControl/>
              <w:snapToGrid w:val="0"/>
              <w:spacing w:line="360" w:lineRule="auto"/>
              <w:jc w:val="center"/>
              <w:rPr>
                <w:rFonts w:hint="eastAsia" w:ascii="Times New Roman" w:cs="宋体"/>
                <w:color w:val="000000"/>
                <w:szCs w:val="24"/>
                <w:highlight w:val="none"/>
              </w:rPr>
            </w:pPr>
          </w:p>
        </w:tc>
        <w:tc>
          <w:tcPr>
            <w:tcW w:w="740" w:type="pct"/>
            <w:shd w:val="clear" w:color="auto" w:fill="auto"/>
            <w:noWrap w:val="0"/>
            <w:tcMar>
              <w:left w:w="75" w:type="dxa"/>
            </w:tcMar>
            <w:vAlign w:val="center"/>
          </w:tcPr>
          <w:p w14:paraId="1C086622">
            <w:pPr>
              <w:suppressAutoHyphens/>
              <w:adjustRightInd w:val="0"/>
              <w:snapToGrid w:val="0"/>
              <w:spacing w:line="360" w:lineRule="auto"/>
              <w:ind w:left="-35" w:leftChars="0" w:right="-38" w:rightChars="0"/>
              <w:jc w:val="center"/>
              <w:rPr>
                <w:rFonts w:hint="eastAsia" w:ascii="Times New Roman" w:hAnsi="Times New Roman" w:eastAsia="宋体" w:cs="宋体"/>
                <w:color w:val="auto"/>
                <w:kern w:val="1"/>
                <w:sz w:val="21"/>
                <w:szCs w:val="24"/>
                <w:highlight w:val="none"/>
                <w:lang w:val="en-US" w:eastAsia="zh-CN" w:bidi="ar-SA"/>
              </w:rPr>
            </w:pPr>
            <w:r>
              <w:rPr>
                <w:rFonts w:hint="eastAsia" w:ascii="Times New Roman" w:cs="宋体"/>
                <w:color w:val="auto"/>
                <w:kern w:val="1"/>
                <w:szCs w:val="24"/>
                <w:highlight w:val="none"/>
                <w:lang w:val="en-US" w:eastAsia="zh-CN"/>
              </w:rPr>
              <w:t>项目组人员配备</w:t>
            </w:r>
          </w:p>
        </w:tc>
        <w:tc>
          <w:tcPr>
            <w:tcW w:w="747" w:type="dxa"/>
            <w:shd w:val="clear" w:color="auto" w:fill="auto"/>
            <w:noWrap w:val="0"/>
            <w:vAlign w:val="center"/>
          </w:tcPr>
          <w:p w14:paraId="037F30ED">
            <w:pPr>
              <w:widowControl/>
              <w:snapToGrid w:val="0"/>
              <w:spacing w:line="360" w:lineRule="auto"/>
              <w:rPr>
                <w:rFonts w:hint="eastAsia" w:ascii="Times New Roman" w:hAnsi="Times New Roman" w:eastAsia="宋体" w:cs="宋体"/>
                <w:color w:val="auto"/>
                <w:kern w:val="2"/>
                <w:sz w:val="21"/>
                <w:szCs w:val="24"/>
                <w:highlight w:val="none"/>
                <w:u w:val="single"/>
                <w:lang w:val="en-US" w:eastAsia="zh-CN" w:bidi="ar-SA"/>
              </w:rPr>
            </w:pPr>
            <w:r>
              <w:rPr>
                <w:rFonts w:hint="eastAsia" w:cs="宋体"/>
                <w:color w:val="auto"/>
                <w:szCs w:val="24"/>
                <w:highlight w:val="none"/>
                <w:u w:val="single"/>
                <w:lang w:val="en-US" w:eastAsia="zh-CN"/>
              </w:rPr>
              <w:t>7分</w:t>
            </w:r>
          </w:p>
        </w:tc>
        <w:tc>
          <w:tcPr>
            <w:tcW w:w="2934" w:type="pct"/>
            <w:shd w:val="clear" w:color="auto" w:fill="auto"/>
            <w:noWrap w:val="0"/>
            <w:vAlign w:val="center"/>
          </w:tcPr>
          <w:p w14:paraId="34B529D7">
            <w:pPr>
              <w:widowControl/>
              <w:numPr>
                <w:ilvl w:val="0"/>
                <w:numId w:val="7"/>
              </w:numPr>
              <w:snapToGrid w:val="0"/>
              <w:spacing w:line="240" w:lineRule="auto"/>
              <w:jc w:val="left"/>
              <w:rPr>
                <w:rFonts w:hint="eastAsia" w:ascii="宋体" w:cs="Times New Roman"/>
                <w:color w:val="auto"/>
                <w:highlight w:val="none"/>
                <w:lang w:val="en-US" w:eastAsia="zh-CN"/>
              </w:rPr>
            </w:pPr>
            <w:r>
              <w:rPr>
                <w:rFonts w:hint="eastAsia" w:ascii="宋体" w:cs="Times New Roman"/>
                <w:color w:val="auto"/>
                <w:highlight w:val="none"/>
                <w:lang w:val="en-US" w:eastAsia="zh-CN"/>
              </w:rPr>
              <w:t>项目负责人具有八大美院公共雕塑或雕塑或公共艺术相关专业本科及以上毕业证书的得2分，本项2分；</w:t>
            </w:r>
          </w:p>
          <w:p w14:paraId="460C3F90">
            <w:pPr>
              <w:widowControl/>
              <w:numPr>
                <w:ilvl w:val="0"/>
                <w:numId w:val="7"/>
              </w:numPr>
              <w:snapToGrid w:val="0"/>
              <w:spacing w:line="240" w:lineRule="auto"/>
              <w:jc w:val="left"/>
              <w:rPr>
                <w:rFonts w:hint="eastAsia" w:ascii="宋体" w:cs="Times New Roman"/>
                <w:color w:val="auto"/>
                <w:highlight w:val="none"/>
                <w:lang w:val="en-US" w:eastAsia="zh-CN"/>
              </w:rPr>
            </w:pPr>
            <w:r>
              <w:rPr>
                <w:rFonts w:hint="eastAsia" w:ascii="宋体" w:cs="Times New Roman"/>
                <w:color w:val="auto"/>
                <w:highlight w:val="none"/>
                <w:lang w:val="en-US" w:eastAsia="zh-CN"/>
              </w:rPr>
              <w:t>拟配人员具有中级及工艺美术师职称的得2分，具有高级工艺美术师职称的得3分，本项满分3分；</w:t>
            </w:r>
          </w:p>
          <w:p w14:paraId="54D6E352">
            <w:pPr>
              <w:widowControl/>
              <w:numPr>
                <w:ilvl w:val="0"/>
                <w:numId w:val="7"/>
              </w:numPr>
              <w:snapToGrid w:val="0"/>
              <w:spacing w:line="240" w:lineRule="auto"/>
              <w:jc w:val="left"/>
              <w:rPr>
                <w:rFonts w:hint="default" w:ascii="宋体" w:cs="Times New Roman"/>
                <w:color w:val="auto"/>
                <w:highlight w:val="none"/>
                <w:lang w:val="en-US" w:eastAsia="zh-CN"/>
              </w:rPr>
            </w:pPr>
            <w:r>
              <w:rPr>
                <w:rFonts w:hint="eastAsia" w:ascii="宋体" w:cs="Times New Roman"/>
                <w:color w:val="auto"/>
                <w:highlight w:val="none"/>
                <w:lang w:val="en-US" w:eastAsia="zh-CN"/>
              </w:rPr>
              <w:t>拟配人员有安全生产考核合格证（C证）的得2分，本项满分2分；</w:t>
            </w:r>
          </w:p>
          <w:p w14:paraId="3A877EC8">
            <w:pPr>
              <w:widowControl/>
              <w:numPr>
                <w:ilvl w:val="0"/>
                <w:numId w:val="0"/>
              </w:numPr>
              <w:snapToGrid w:val="0"/>
              <w:spacing w:line="240" w:lineRule="auto"/>
              <w:ind w:left="0" w:leftChars="0" w:firstLine="0" w:firstLineChars="0"/>
              <w:jc w:val="left"/>
              <w:rPr>
                <w:rFonts w:hint="eastAsia" w:ascii="宋体" w:hAnsi="Times New Roman" w:eastAsia="宋体" w:cs="Times New Roman"/>
                <w:color w:val="auto"/>
                <w:kern w:val="2"/>
                <w:sz w:val="21"/>
                <w:highlight w:val="none"/>
                <w:lang w:val="en-US" w:eastAsia="zh-CN" w:bidi="ar-SA"/>
              </w:rPr>
            </w:pPr>
            <w:r>
              <w:rPr>
                <w:rFonts w:hint="eastAsia" w:ascii="宋体" w:cs="Times New Roman"/>
                <w:color w:val="auto"/>
                <w:highlight w:val="none"/>
                <w:lang w:val="en-US" w:eastAsia="zh-CN"/>
              </w:rPr>
              <w:t>注：（1）八大美院指:中央美术学院、中国美术学院、西安美术学院、四川美术学院、鲁迅美术学院、广州美术学院、湖北美术学院、天津美术学院；（2）上述人员不得兼任，需提供开标截止时间之前6个月连续缴费的社保证明资料；</w:t>
            </w:r>
          </w:p>
        </w:tc>
      </w:tr>
      <w:tr w14:paraId="324FE58D">
        <w:trPr>
          <w:trHeight w:val="23" w:hRule="atLeast"/>
        </w:trPr>
        <w:tc>
          <w:tcPr>
            <w:tcW w:w="354" w:type="pct"/>
            <w:noWrap w:val="0"/>
            <w:vAlign w:val="center"/>
          </w:tcPr>
          <w:p w14:paraId="4F2D8415">
            <w:pPr>
              <w:snapToGrid w:val="0"/>
              <w:spacing w:line="360" w:lineRule="auto"/>
              <w:jc w:val="center"/>
              <w:rPr>
                <w:rFonts w:hint="eastAsia" w:ascii="Times New Roman" w:cs="宋体"/>
                <w:bCs/>
                <w:snapToGrid w:val="0"/>
                <w:color w:val="000000"/>
                <w:szCs w:val="24"/>
                <w:highlight w:val="none"/>
              </w:rPr>
            </w:pPr>
            <w:r>
              <w:rPr>
                <w:rFonts w:hint="eastAsia" w:ascii="Times New Roman" w:cs="宋体"/>
                <w:bCs/>
                <w:snapToGrid w:val="0"/>
                <w:color w:val="000000"/>
                <w:szCs w:val="24"/>
                <w:highlight w:val="none"/>
              </w:rPr>
              <w:t>2.2.2（3）</w:t>
            </w:r>
          </w:p>
        </w:tc>
        <w:tc>
          <w:tcPr>
            <w:tcW w:w="594" w:type="pct"/>
            <w:noWrap w:val="0"/>
            <w:vAlign w:val="center"/>
          </w:tcPr>
          <w:p w14:paraId="2DFA2AAD">
            <w:pPr>
              <w:widowControl/>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报价文件评分标准</w:t>
            </w:r>
          </w:p>
        </w:tc>
        <w:tc>
          <w:tcPr>
            <w:tcW w:w="740" w:type="pct"/>
            <w:noWrap w:val="0"/>
            <w:vAlign w:val="center"/>
          </w:tcPr>
          <w:p w14:paraId="0D24A62B">
            <w:pPr>
              <w:widowControl/>
              <w:snapToGrid w:val="0"/>
              <w:spacing w:line="360" w:lineRule="auto"/>
              <w:jc w:val="center"/>
              <w:rPr>
                <w:rFonts w:hint="eastAsia" w:ascii="Times New Roman" w:cs="宋体"/>
                <w:color w:val="auto"/>
                <w:szCs w:val="24"/>
                <w:highlight w:val="none"/>
              </w:rPr>
            </w:pPr>
            <w:r>
              <w:rPr>
                <w:rFonts w:hint="eastAsia" w:ascii="Times New Roman" w:cs="宋体"/>
                <w:color w:val="auto"/>
                <w:szCs w:val="24"/>
                <w:highlight w:val="none"/>
              </w:rPr>
              <w:t>投标报价</w:t>
            </w:r>
          </w:p>
        </w:tc>
        <w:tc>
          <w:tcPr>
            <w:tcW w:w="747" w:type="dxa"/>
            <w:noWrap w:val="0"/>
            <w:vAlign w:val="center"/>
          </w:tcPr>
          <w:p w14:paraId="144A4D32">
            <w:pPr>
              <w:widowControl/>
              <w:snapToGrid w:val="0"/>
              <w:spacing w:line="360" w:lineRule="auto"/>
              <w:jc w:val="left"/>
              <w:rPr>
                <w:rFonts w:hint="eastAsia" w:ascii="Times New Roman" w:cs="宋体"/>
                <w:bCs/>
                <w:snapToGrid w:val="0"/>
                <w:color w:val="auto"/>
                <w:szCs w:val="24"/>
                <w:highlight w:val="none"/>
              </w:rPr>
            </w:pPr>
            <w:r>
              <w:rPr>
                <w:rFonts w:hint="default" w:cs="宋体"/>
                <w:color w:val="auto"/>
                <w:szCs w:val="24"/>
                <w:highlight w:val="none"/>
                <w:u w:val="single"/>
                <w:lang w:val="en-US" w:eastAsia="zh-CN"/>
              </w:rPr>
              <w:t>6</w:t>
            </w:r>
            <w:r>
              <w:rPr>
                <w:rFonts w:hint="eastAsia" w:cs="宋体"/>
                <w:color w:val="auto"/>
                <w:szCs w:val="24"/>
                <w:highlight w:val="none"/>
                <w:u w:val="single"/>
                <w:lang w:val="en-US" w:eastAsia="zh-CN"/>
              </w:rPr>
              <w:t>0</w:t>
            </w:r>
            <w:r>
              <w:rPr>
                <w:rFonts w:hint="eastAsia" w:ascii="Times New Roman" w:cs="宋体"/>
                <w:color w:val="auto"/>
                <w:szCs w:val="24"/>
                <w:highlight w:val="none"/>
              </w:rPr>
              <w:t>分</w:t>
            </w:r>
          </w:p>
        </w:tc>
        <w:tc>
          <w:tcPr>
            <w:tcW w:w="2934" w:type="pct"/>
            <w:noWrap w:val="0"/>
            <w:vAlign w:val="center"/>
          </w:tcPr>
          <w:p w14:paraId="483E7C55">
            <w:pPr>
              <w:widowControl/>
              <w:snapToGrid w:val="0"/>
              <w:jc w:val="left"/>
              <w:rPr>
                <w:rFonts w:hint="eastAsia"/>
                <w:b w:val="0"/>
                <w:bCs w:val="0"/>
                <w:color w:val="auto"/>
                <w:szCs w:val="24"/>
                <w:highlight w:val="none"/>
              </w:rPr>
            </w:pPr>
            <w:r>
              <w:rPr>
                <w:rFonts w:hint="eastAsia"/>
                <w:b w:val="0"/>
                <w:bCs w:val="0"/>
                <w:color w:val="auto"/>
                <w:szCs w:val="24"/>
                <w:highlight w:val="none"/>
              </w:rPr>
              <w:t>①确定评标价平均值</w:t>
            </w:r>
          </w:p>
          <w:p w14:paraId="0ED67CFF">
            <w:pPr>
              <w:widowControl/>
              <w:snapToGrid w:val="0"/>
              <w:jc w:val="left"/>
              <w:rPr>
                <w:rFonts w:hint="eastAsia"/>
                <w:b w:val="0"/>
                <w:bCs w:val="0"/>
                <w:color w:val="auto"/>
                <w:szCs w:val="24"/>
                <w:highlight w:val="none"/>
              </w:rPr>
            </w:pPr>
            <w:r>
              <w:rPr>
                <w:rFonts w:hint="eastAsia"/>
                <w:b w:val="0"/>
                <w:bCs w:val="0"/>
                <w:color w:val="auto"/>
                <w:szCs w:val="24"/>
                <w:highlight w:val="none"/>
              </w:rPr>
              <w:t>当有通过初审的效投标人数量不少于 5 家时，则去掉一个最高价和一个最低价，取其他投标函文字报价进行算术平均得出平均值；当有效投标人数量不足 5 家时，则直接取全部投标函文字报价进行算术平均得出平均值。</w:t>
            </w:r>
          </w:p>
          <w:p w14:paraId="68947FD1">
            <w:pPr>
              <w:widowControl/>
              <w:snapToGrid w:val="0"/>
              <w:jc w:val="left"/>
              <w:rPr>
                <w:rFonts w:hint="eastAsia"/>
                <w:b w:val="0"/>
                <w:bCs w:val="0"/>
                <w:color w:val="auto"/>
                <w:szCs w:val="24"/>
                <w:highlight w:val="none"/>
              </w:rPr>
            </w:pPr>
            <w:r>
              <w:rPr>
                <w:rFonts w:hint="eastAsia"/>
                <w:b w:val="0"/>
                <w:bCs w:val="0"/>
                <w:color w:val="auto"/>
                <w:szCs w:val="24"/>
                <w:highlight w:val="none"/>
              </w:rPr>
              <w:t>②确定评标基准价</w:t>
            </w:r>
          </w:p>
          <w:p w14:paraId="4AC568D5">
            <w:pPr>
              <w:widowControl/>
              <w:snapToGrid w:val="0"/>
              <w:jc w:val="left"/>
              <w:rPr>
                <w:rFonts w:hint="eastAsia"/>
                <w:b w:val="0"/>
                <w:bCs w:val="0"/>
                <w:color w:val="auto"/>
                <w:szCs w:val="24"/>
                <w:highlight w:val="none"/>
              </w:rPr>
            </w:pPr>
            <w:r>
              <w:rPr>
                <w:rFonts w:hint="eastAsia"/>
                <w:b w:val="0"/>
                <w:bCs w:val="0"/>
                <w:color w:val="auto"/>
                <w:szCs w:val="24"/>
                <w:highlight w:val="none"/>
              </w:rPr>
              <w:t>评标基准价=评标价平均值</w:t>
            </w:r>
          </w:p>
          <w:p w14:paraId="56870B9B">
            <w:pPr>
              <w:widowControl/>
              <w:snapToGrid w:val="0"/>
              <w:jc w:val="left"/>
              <w:rPr>
                <w:rFonts w:hint="eastAsia"/>
                <w:b w:val="0"/>
                <w:bCs w:val="0"/>
                <w:color w:val="auto"/>
                <w:szCs w:val="24"/>
                <w:highlight w:val="none"/>
              </w:rPr>
            </w:pPr>
            <w:r>
              <w:rPr>
                <w:rFonts w:hint="eastAsia"/>
                <w:b w:val="0"/>
                <w:bCs w:val="0"/>
                <w:color w:val="auto"/>
                <w:szCs w:val="24"/>
                <w:highlight w:val="none"/>
              </w:rPr>
              <w:t>在评标过程中，评标委员会应对评标基准价进行复核，存在计算错误的应予以修正并在评标报告中作出说明。除此之外，评标基准价在整个评标期间保持不变，不随任何因素发生变化。</w:t>
            </w:r>
          </w:p>
          <w:p w14:paraId="51AAD936">
            <w:pPr>
              <w:widowControl/>
              <w:snapToGrid w:val="0"/>
              <w:jc w:val="left"/>
              <w:rPr>
                <w:rFonts w:hint="eastAsia"/>
                <w:b w:val="0"/>
                <w:bCs w:val="0"/>
                <w:color w:val="auto"/>
                <w:szCs w:val="24"/>
                <w:highlight w:val="none"/>
              </w:rPr>
            </w:pPr>
            <w:r>
              <w:rPr>
                <w:rFonts w:hint="eastAsia"/>
                <w:b w:val="0"/>
                <w:bCs w:val="0"/>
                <w:color w:val="auto"/>
                <w:szCs w:val="24"/>
                <w:highlight w:val="none"/>
              </w:rPr>
              <w:t>③评标价的偏差率</w:t>
            </w:r>
          </w:p>
          <w:p w14:paraId="74B3A610">
            <w:pPr>
              <w:widowControl/>
              <w:snapToGrid w:val="0"/>
              <w:jc w:val="left"/>
              <w:rPr>
                <w:rFonts w:hint="eastAsia"/>
                <w:b w:val="0"/>
                <w:bCs w:val="0"/>
                <w:color w:val="auto"/>
                <w:szCs w:val="24"/>
                <w:highlight w:val="none"/>
              </w:rPr>
            </w:pPr>
            <w:r>
              <w:rPr>
                <w:rFonts w:hint="eastAsia"/>
                <w:b w:val="0"/>
                <w:bCs w:val="0"/>
                <w:color w:val="auto"/>
                <w:szCs w:val="24"/>
                <w:highlight w:val="none"/>
              </w:rPr>
              <w:t>偏差率=100%×（投标人评标价－评标基准价）/ 评标基准价评标价得分计算</w:t>
            </w:r>
          </w:p>
          <w:p w14:paraId="153B954A">
            <w:pPr>
              <w:widowControl/>
              <w:snapToGrid w:val="0"/>
              <w:jc w:val="left"/>
              <w:rPr>
                <w:rFonts w:hint="eastAsia"/>
                <w:b w:val="0"/>
                <w:bCs w:val="0"/>
                <w:color w:val="auto"/>
                <w:szCs w:val="24"/>
                <w:highlight w:val="none"/>
              </w:rPr>
            </w:pPr>
            <w:r>
              <w:rPr>
                <w:rFonts w:hint="eastAsia"/>
                <w:b w:val="0"/>
                <w:bCs w:val="0"/>
                <w:color w:val="auto"/>
                <w:szCs w:val="24"/>
                <w:highlight w:val="none"/>
              </w:rPr>
              <w:t>（a）如果投标人的评标价&gt;评标基准价，则评标价得分＝F－偏差率×100×E1；</w:t>
            </w:r>
          </w:p>
          <w:p w14:paraId="0AFA77BE">
            <w:pPr>
              <w:widowControl/>
              <w:snapToGrid w:val="0"/>
              <w:jc w:val="left"/>
              <w:rPr>
                <w:rFonts w:hint="eastAsia"/>
                <w:b w:val="0"/>
                <w:bCs w:val="0"/>
                <w:color w:val="auto"/>
                <w:szCs w:val="24"/>
                <w:highlight w:val="none"/>
              </w:rPr>
            </w:pPr>
            <w:r>
              <w:rPr>
                <w:rFonts w:hint="eastAsia"/>
                <w:b w:val="0"/>
                <w:bCs w:val="0"/>
                <w:color w:val="auto"/>
                <w:szCs w:val="24"/>
                <w:highlight w:val="none"/>
              </w:rPr>
              <w:t>（b）如果投标人的评标价≤评标基准价，则评标价得分＝F＋偏差率×100×E2。</w:t>
            </w:r>
          </w:p>
          <w:p w14:paraId="275BE3A6">
            <w:pPr>
              <w:widowControl/>
              <w:snapToGrid w:val="0"/>
              <w:jc w:val="left"/>
              <w:rPr>
                <w:rFonts w:hint="default" w:eastAsia="宋体"/>
                <w:b/>
                <w:bCs/>
                <w:color w:val="auto"/>
                <w:szCs w:val="24"/>
                <w:highlight w:val="none"/>
                <w:lang w:val="en-US" w:eastAsia="zh-CN"/>
              </w:rPr>
            </w:pPr>
            <w:r>
              <w:rPr>
                <w:rFonts w:hint="eastAsia"/>
                <w:b/>
                <w:bCs/>
                <w:color w:val="auto"/>
                <w:szCs w:val="24"/>
                <w:highlight w:val="none"/>
              </w:rPr>
              <w:t>本招标项目 F=</w:t>
            </w:r>
            <w:r>
              <w:rPr>
                <w:rFonts w:hint="eastAsia"/>
                <w:b/>
                <w:bCs/>
                <w:color w:val="auto"/>
                <w:szCs w:val="24"/>
                <w:highlight w:val="none"/>
                <w:lang w:val="en-US" w:eastAsia="zh-CN"/>
              </w:rPr>
              <w:t>70</w:t>
            </w:r>
            <w:r>
              <w:rPr>
                <w:rFonts w:hint="eastAsia"/>
                <w:b/>
                <w:bCs/>
                <w:color w:val="auto"/>
                <w:szCs w:val="24"/>
                <w:highlight w:val="none"/>
              </w:rPr>
              <w:t>； E1=</w:t>
            </w:r>
            <w:r>
              <w:rPr>
                <w:rFonts w:hint="eastAsia"/>
                <w:b/>
                <w:bCs/>
                <w:color w:val="auto"/>
                <w:szCs w:val="24"/>
                <w:highlight w:val="none"/>
                <w:lang w:val="en-US" w:eastAsia="zh-CN"/>
              </w:rPr>
              <w:t>0.3</w:t>
            </w:r>
            <w:r>
              <w:rPr>
                <w:rFonts w:hint="eastAsia"/>
                <w:b/>
                <w:bCs/>
                <w:color w:val="auto"/>
                <w:szCs w:val="24"/>
                <w:highlight w:val="none"/>
              </w:rPr>
              <w:t>；E2=</w:t>
            </w:r>
            <w:r>
              <w:rPr>
                <w:rFonts w:hint="eastAsia"/>
                <w:b/>
                <w:bCs/>
                <w:color w:val="auto"/>
                <w:szCs w:val="24"/>
                <w:highlight w:val="none"/>
                <w:lang w:val="en-US" w:eastAsia="zh-CN"/>
              </w:rPr>
              <w:t>0.2</w:t>
            </w:r>
          </w:p>
          <w:p w14:paraId="000F983C">
            <w:pPr>
              <w:widowControl/>
              <w:snapToGrid w:val="0"/>
              <w:jc w:val="left"/>
              <w:rPr>
                <w:rFonts w:hint="eastAsia"/>
                <w:b w:val="0"/>
                <w:bCs w:val="0"/>
                <w:color w:val="auto"/>
                <w:szCs w:val="24"/>
                <w:highlight w:val="none"/>
              </w:rPr>
            </w:pPr>
            <w:r>
              <w:rPr>
                <w:rFonts w:hint="eastAsia"/>
                <w:b w:val="0"/>
                <w:bCs w:val="0"/>
                <w:color w:val="auto"/>
                <w:szCs w:val="24"/>
                <w:highlight w:val="none"/>
              </w:rPr>
              <w:t>其中：F 是评标价所占的权重分值，E1 是评标价每高于评标基准价一个百分点的扣分值，E2 是评标价每低于评标基准价一个百分点的扣分值。</w:t>
            </w:r>
          </w:p>
          <w:p w14:paraId="2E225FF0">
            <w:pPr>
              <w:widowControl/>
              <w:snapToGrid w:val="0"/>
              <w:jc w:val="left"/>
              <w:rPr>
                <w:rFonts w:hint="eastAsia" w:ascii="Times New Roman" w:cs="宋体"/>
                <w:b/>
                <w:color w:val="auto"/>
                <w:kern w:val="1"/>
                <w:szCs w:val="24"/>
                <w:highlight w:val="none"/>
              </w:rPr>
            </w:pPr>
            <w:r>
              <w:rPr>
                <w:rFonts w:hint="eastAsia"/>
                <w:b/>
                <w:bCs/>
                <w:color w:val="auto"/>
                <w:szCs w:val="24"/>
                <w:highlight w:val="none"/>
              </w:rPr>
              <w:t>当评标价得分为负时，均按 0 分计算。</w:t>
            </w:r>
          </w:p>
        </w:tc>
      </w:tr>
      <w:tr w14:paraId="5B464D6B">
        <w:trPr>
          <w:trHeight w:val="23" w:hRule="atLeast"/>
        </w:trPr>
        <w:tc>
          <w:tcPr>
            <w:tcW w:w="5000" w:type="pct"/>
            <w:gridSpan w:val="5"/>
            <w:noWrap w:val="0"/>
            <w:vAlign w:val="center"/>
          </w:tcPr>
          <w:p w14:paraId="2CE4EDEE">
            <w:pPr>
              <w:widowControl/>
              <w:snapToGrid w:val="0"/>
              <w:spacing w:line="360" w:lineRule="auto"/>
              <w:jc w:val="left"/>
              <w:rPr>
                <w:rFonts w:hint="eastAsia" w:ascii="Times New Roman" w:cs="宋体"/>
                <w:b/>
                <w:color w:val="000000"/>
                <w:szCs w:val="24"/>
                <w:highlight w:val="none"/>
              </w:rPr>
            </w:pPr>
            <w:r>
              <w:rPr>
                <w:rFonts w:hint="eastAsia" w:ascii="Times New Roman" w:cs="宋体"/>
                <w:b/>
                <w:color w:val="000000"/>
                <w:szCs w:val="24"/>
                <w:highlight w:val="none"/>
              </w:rPr>
              <w:t>需要补充的其他内容</w:t>
            </w:r>
          </w:p>
        </w:tc>
      </w:tr>
      <w:tr w14:paraId="211E0E9B">
        <w:trPr>
          <w:trHeight w:val="1152" w:hRule="atLeast"/>
        </w:trPr>
        <w:tc>
          <w:tcPr>
            <w:tcW w:w="1689" w:type="pct"/>
            <w:gridSpan w:val="3"/>
            <w:noWrap w:val="0"/>
            <w:vAlign w:val="center"/>
          </w:tcPr>
          <w:p w14:paraId="7257F464">
            <w:pPr>
              <w:widowControl/>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商务及技术文件评分要求</w:t>
            </w:r>
          </w:p>
        </w:tc>
        <w:tc>
          <w:tcPr>
            <w:tcW w:w="3310" w:type="pct"/>
            <w:gridSpan w:val="2"/>
            <w:noWrap w:val="0"/>
            <w:vAlign w:val="center"/>
          </w:tcPr>
          <w:p w14:paraId="36B9F7D2">
            <w:pPr>
              <w:numPr>
                <w:ilvl w:val="0"/>
                <w:numId w:val="8"/>
              </w:numPr>
              <w:snapToGrid w:val="0"/>
              <w:spacing w:line="360" w:lineRule="auto"/>
              <w:rPr>
                <w:rFonts w:hint="eastAsia"/>
                <w:highlight w:val="none"/>
              </w:rPr>
            </w:pPr>
            <w:r>
              <w:rPr>
                <w:rFonts w:hint="eastAsia"/>
                <w:highlight w:val="none"/>
              </w:rPr>
              <w:t>对于施工组织设计等主观评分项，以0.1分为分割点，即评分依次为0、0.1、0.2、0.3、0.4等。评审内容缺项的该项得0分。</w:t>
            </w:r>
          </w:p>
        </w:tc>
      </w:tr>
      <w:tr w14:paraId="5CC7D454">
        <w:trPr>
          <w:trHeight w:val="23" w:hRule="atLeast"/>
        </w:trPr>
        <w:tc>
          <w:tcPr>
            <w:tcW w:w="1689" w:type="pct"/>
            <w:gridSpan w:val="3"/>
            <w:noWrap w:val="0"/>
            <w:vAlign w:val="center"/>
          </w:tcPr>
          <w:p w14:paraId="3EB3F2C2">
            <w:pPr>
              <w:adjustRightInd w:val="0"/>
              <w:snapToGrid w:val="0"/>
              <w:spacing w:line="400" w:lineRule="exact"/>
              <w:rPr>
                <w:rFonts w:hint="eastAsia" w:ascii="宋体" w:hAnsi="Times New Roman" w:eastAsia="宋体" w:cs="Times New Roman"/>
                <w:szCs w:val="22"/>
                <w:highlight w:val="none"/>
                <w:lang w:val="en-US" w:eastAsia="zh-CN"/>
              </w:rPr>
            </w:pPr>
            <w:r>
              <w:rPr>
                <w:rFonts w:hint="eastAsia" w:ascii="宋体" w:hAnsi="Times New Roman" w:eastAsia="宋体" w:cs="Times New Roman"/>
                <w:szCs w:val="22"/>
                <w:highlight w:val="none"/>
                <w:lang w:eastAsia="zh-CN"/>
              </w:rPr>
              <w:t>商务及技术文件评审要求</w:t>
            </w:r>
          </w:p>
        </w:tc>
        <w:tc>
          <w:tcPr>
            <w:tcW w:w="3310" w:type="pct"/>
            <w:gridSpan w:val="2"/>
            <w:noWrap w:val="0"/>
            <w:vAlign w:val="center"/>
          </w:tcPr>
          <w:p w14:paraId="50FE9509">
            <w:pPr>
              <w:adjustRightInd w:val="0"/>
              <w:snapToGrid w:val="0"/>
              <w:spacing w:line="400" w:lineRule="exact"/>
              <w:rPr>
                <w:rFonts w:hint="eastAsia" w:ascii="宋体" w:hAnsi="Times New Roman" w:eastAsia="宋体" w:cs="Times New Roman"/>
                <w:szCs w:val="22"/>
                <w:highlight w:val="none"/>
                <w:lang w:eastAsia="zh-CN"/>
              </w:rPr>
            </w:pPr>
            <w:r>
              <w:rPr>
                <w:rFonts w:hint="eastAsia" w:ascii="宋体" w:hAnsi="Times New Roman" w:eastAsia="宋体" w:cs="Times New Roman"/>
                <w:szCs w:val="22"/>
                <w:highlight w:val="none"/>
                <w:lang w:eastAsia="zh-CN"/>
              </w:rPr>
              <w:t>1.评审因素“投标人业绩”和“项目经理业绩”，投标人应按照第八章“投标文件格式”的要求填写相应表格，并附相应业绩证明材料。</w:t>
            </w:r>
          </w:p>
          <w:p w14:paraId="5AE8D2C9">
            <w:pPr>
              <w:adjustRightInd w:val="0"/>
              <w:snapToGrid w:val="0"/>
              <w:spacing w:line="400" w:lineRule="exact"/>
              <w:rPr>
                <w:rFonts w:hint="eastAsia" w:ascii="宋体" w:hAnsi="Times New Roman" w:eastAsia="宋体" w:cs="Times New Roman"/>
                <w:szCs w:val="22"/>
                <w:highlight w:val="none"/>
                <w:lang w:val="en-US" w:eastAsia="zh-CN"/>
              </w:rPr>
            </w:pPr>
            <w:r>
              <w:rPr>
                <w:rFonts w:hint="eastAsia" w:ascii="宋体" w:hAnsi="Times New Roman" w:eastAsia="宋体" w:cs="Times New Roman"/>
                <w:szCs w:val="22"/>
                <w:highlight w:val="none"/>
                <w:lang w:eastAsia="zh-CN"/>
              </w:rPr>
              <w:t>2.评标委员会应按照第八章“投标文件格式”中“投标人业绩情况表（详细评审）”“项目经理业绩情况表（详细评审）”列明的业绩序号先后顺序依次进行评审（如未填写序号或序号填写错误，评标委员会将按照表格中列明的业绩从上到下进行评审），且仅评审“详细评审标准</w:t>
            </w:r>
            <w:r>
              <w:rPr>
                <w:rFonts w:hint="default" w:ascii="宋体" w:hAnsi="Times New Roman" w:eastAsia="宋体" w:cs="Times New Roman"/>
                <w:szCs w:val="22"/>
                <w:highlight w:val="none"/>
                <w:lang w:val="en-US" w:eastAsia="zh-CN"/>
              </w:rPr>
              <w:t>”</w:t>
            </w:r>
            <w:r>
              <w:rPr>
                <w:rFonts w:hint="eastAsia" w:ascii="宋体" w:hAnsi="Times New Roman" w:eastAsia="宋体" w:cs="Times New Roman"/>
                <w:szCs w:val="22"/>
                <w:highlight w:val="none"/>
                <w:lang w:eastAsia="zh-CN"/>
              </w:rPr>
              <w:t>规定数量的业绩，超出规定数量部分或未在表中列明的业绩均不作为详细评审标准投标人业绩（或项目经理业绩）予以评审。</w:t>
            </w:r>
          </w:p>
        </w:tc>
      </w:tr>
      <w:tr w14:paraId="47A01334">
        <w:trPr>
          <w:trHeight w:val="23" w:hRule="atLeast"/>
        </w:trPr>
        <w:tc>
          <w:tcPr>
            <w:tcW w:w="1689" w:type="pct"/>
            <w:gridSpan w:val="3"/>
            <w:noWrap w:val="0"/>
            <w:vAlign w:val="center"/>
          </w:tcPr>
          <w:p w14:paraId="5163C5D6">
            <w:pPr>
              <w:widowControl/>
              <w:snapToGrid w:val="0"/>
              <w:spacing w:line="360" w:lineRule="auto"/>
              <w:jc w:val="center"/>
              <w:rPr>
                <w:rFonts w:hint="eastAsia" w:ascii="Times New Roman" w:cs="宋体"/>
                <w:color w:val="000000"/>
                <w:szCs w:val="24"/>
                <w:highlight w:val="none"/>
              </w:rPr>
            </w:pPr>
            <w:r>
              <w:rPr>
                <w:rFonts w:hint="eastAsia" w:ascii="Times New Roman" w:cs="宋体"/>
                <w:color w:val="000000"/>
                <w:szCs w:val="24"/>
                <w:highlight w:val="none"/>
              </w:rPr>
              <w:t>商务及技术文件评审所需证明材料</w:t>
            </w:r>
          </w:p>
        </w:tc>
        <w:tc>
          <w:tcPr>
            <w:tcW w:w="3310" w:type="pct"/>
            <w:gridSpan w:val="2"/>
            <w:noWrap w:val="0"/>
            <w:vAlign w:val="center"/>
          </w:tcPr>
          <w:p w14:paraId="668A3F2F">
            <w:pPr>
              <w:snapToGrid w:val="0"/>
              <w:rPr>
                <w:rFonts w:hint="eastAsia" w:ascii="宋体" w:hAnsi="宋体" w:eastAsia="宋体" w:cs="宋体"/>
                <w:bCs/>
                <w:snapToGrid w:val="0"/>
                <w:color w:val="000000"/>
                <w:szCs w:val="24"/>
                <w:highlight w:val="none"/>
              </w:rPr>
            </w:pPr>
            <w:r>
              <w:rPr>
                <w:rFonts w:hint="eastAsia" w:ascii="宋体" w:hAnsi="宋体" w:eastAsia="宋体" w:cs="宋体"/>
                <w:bCs/>
                <w:snapToGrid w:val="0"/>
                <w:color w:val="000000"/>
                <w:szCs w:val="24"/>
                <w:highlight w:val="none"/>
              </w:rPr>
              <w:t>（</w:t>
            </w:r>
            <w:r>
              <w:rPr>
                <w:rFonts w:hint="eastAsia" w:ascii="宋体" w:hAnsi="宋体" w:eastAsia="宋体" w:cs="宋体"/>
                <w:bCs/>
                <w:snapToGrid w:val="0"/>
                <w:color w:val="000000"/>
                <w:szCs w:val="24"/>
                <w:highlight w:val="none"/>
                <w:lang w:val="en-US" w:eastAsia="zh-CN"/>
              </w:rPr>
              <w:t>1</w:t>
            </w:r>
            <w:r>
              <w:rPr>
                <w:rFonts w:hint="eastAsia" w:ascii="宋体" w:hAnsi="宋体" w:eastAsia="宋体" w:cs="宋体"/>
                <w:bCs/>
                <w:snapToGrid w:val="0"/>
                <w:color w:val="000000"/>
                <w:szCs w:val="24"/>
                <w:highlight w:val="none"/>
              </w:rPr>
              <w:t>）业绩、奖项、荣誉（如有）：在商务文件详细评审资料对应窗口上传。奖项、荣誉以行政主管部门或在国内依法登记注册的行业协会（或学会）颁发的奖项、荣誉为准。投标文件中提供的奖项、荣誉证明资料应符合下列要求，否则不予认可：</w:t>
            </w:r>
          </w:p>
          <w:p w14:paraId="79E1E0AE">
            <w:pPr>
              <w:snapToGrid w:val="0"/>
              <w:rPr>
                <w:rFonts w:hint="eastAsia" w:ascii="宋体" w:hAnsi="宋体" w:eastAsia="宋体" w:cs="宋体"/>
                <w:bCs/>
                <w:snapToGrid w:val="0"/>
                <w:color w:val="000000"/>
                <w:szCs w:val="24"/>
                <w:highlight w:val="none"/>
              </w:rPr>
            </w:pPr>
            <w:r>
              <w:rPr>
                <w:rFonts w:hint="eastAsia" w:ascii="宋体" w:hAnsi="宋体" w:eastAsia="宋体" w:cs="宋体"/>
                <w:bCs/>
                <w:snapToGrid w:val="0"/>
                <w:color w:val="000000"/>
                <w:szCs w:val="24"/>
                <w:highlight w:val="none"/>
              </w:rPr>
              <w:t xml:space="preserve">①奖项、荣誉应提供颁奖单位的颁奖文件（颁奖文件不含荣誉证书、奖杯、奖牌、奖状）或颁奖单位官网文件的截图； </w:t>
            </w:r>
          </w:p>
          <w:p w14:paraId="00BD8C64">
            <w:pPr>
              <w:snapToGrid w:val="0"/>
              <w:rPr>
                <w:rFonts w:hint="eastAsia" w:ascii="宋体" w:hAnsi="宋体" w:eastAsia="宋体" w:cs="宋体"/>
                <w:bCs/>
                <w:snapToGrid w:val="0"/>
                <w:color w:val="000000"/>
                <w:szCs w:val="24"/>
                <w:highlight w:val="none"/>
              </w:rPr>
            </w:pPr>
            <w:r>
              <w:rPr>
                <w:rFonts w:hint="eastAsia" w:ascii="宋体" w:hAnsi="宋体" w:eastAsia="宋体" w:cs="宋体"/>
                <w:bCs/>
                <w:snapToGrid w:val="0"/>
                <w:color w:val="000000"/>
                <w:szCs w:val="24"/>
                <w:highlight w:val="none"/>
              </w:rPr>
              <w:t>②国内依法登记注册”以中国社会组织网或中国社会组织政务服务平台中“全国社会组织信用信息公示平台（试运行）”查询结果为准。投标文件中须提供该协会在中国社会组织网或中国社会组织政务服务平台中“全国社会组织信用信息公示平台（试运行）”查询结果截图。</w:t>
            </w:r>
          </w:p>
          <w:p w14:paraId="22FF7CC5">
            <w:pPr>
              <w:snapToGrid w:val="0"/>
              <w:rPr>
                <w:rFonts w:hint="eastAsia"/>
                <w:highlight w:val="none"/>
              </w:rPr>
            </w:pPr>
            <w:r>
              <w:rPr>
                <w:rFonts w:hint="eastAsia" w:ascii="宋体" w:hAnsi="宋体" w:eastAsia="宋体" w:cs="宋体"/>
                <w:bCs/>
                <w:snapToGrid w:val="0"/>
                <w:color w:val="000000"/>
                <w:szCs w:val="24"/>
                <w:highlight w:val="none"/>
                <w:lang w:val="en-US" w:eastAsia="zh-CN"/>
              </w:rPr>
              <w:t>③民政部公布的“离岸社团”、“山寨社团”或中国社会组织政务服务平台中“全国社会组织信用信息公示平台（试运行）”公示的“涉嫌非法社会组织”颁发的荣誉、奖励均无效”。</w:t>
            </w:r>
          </w:p>
        </w:tc>
      </w:tr>
    </w:tbl>
    <w:p w14:paraId="7A96B60A">
      <w:pPr>
        <w:numPr>
          <w:ilvl w:val="0"/>
          <w:numId w:val="0"/>
        </w:numPr>
        <w:rPr>
          <w:rFonts w:hint="eastAsia"/>
        </w:rPr>
      </w:pPr>
      <w:r>
        <w:rPr>
          <w:rFonts w:hint="eastAsia" w:ascii="Times New Roman" w:hAnsi="Times New Roman"/>
          <w:color w:val="000000"/>
          <w:highlight w:val="none"/>
        </w:rPr>
        <w:br w:type="page"/>
      </w:r>
    </w:p>
    <w:p w14:paraId="2E6DD634">
      <w:pPr>
        <w:tabs>
          <w:tab w:val="left" w:pos="360"/>
          <w:tab w:val="left" w:pos="540"/>
          <w:tab w:val="left" w:pos="3600"/>
          <w:tab w:val="left" w:pos="3780"/>
          <w:tab w:val="left" w:pos="8460"/>
          <w:tab w:val="left" w:pos="9180"/>
        </w:tabs>
        <w:adjustRightInd w:val="0"/>
        <w:snapToGrid w:val="0"/>
        <w:spacing w:line="360" w:lineRule="auto"/>
        <w:ind w:right="-21" w:rightChars="-10" w:firstLine="360" w:firstLineChars="150"/>
        <w:jc w:val="center"/>
        <w:outlineLvl w:val="1"/>
        <w:rPr>
          <w:rFonts w:hint="eastAsia" w:ascii="宋体" w:hAnsi="宋体"/>
          <w:b/>
          <w:color w:val="000000"/>
          <w:sz w:val="24"/>
        </w:rPr>
      </w:pPr>
      <w:r>
        <w:rPr>
          <w:rFonts w:hint="eastAsia" w:ascii="宋体" w:hAnsi="宋体"/>
          <w:b/>
          <w:color w:val="000000"/>
          <w:sz w:val="24"/>
        </w:rPr>
        <w:t>一、    总  则</w:t>
      </w:r>
    </w:p>
    <w:p w14:paraId="0D44A5CE">
      <w:pPr>
        <w:adjustRightInd w:val="0"/>
        <w:snapToGrid w:val="0"/>
        <w:spacing w:line="360" w:lineRule="auto"/>
        <w:ind w:right="-10" w:firstLine="480" w:firstLineChars="200"/>
        <w:rPr>
          <w:rFonts w:hint="eastAsia" w:ascii="宋体" w:hAnsi="宋体"/>
          <w:color w:val="000000"/>
          <w:sz w:val="24"/>
        </w:rPr>
      </w:pPr>
      <w:r>
        <w:rPr>
          <w:rFonts w:hint="eastAsia" w:ascii="宋体" w:hAnsi="宋体"/>
          <w:b/>
          <w:bCs/>
          <w:color w:val="000000"/>
          <w:sz w:val="24"/>
        </w:rPr>
        <w:t xml:space="preserve">第一条 </w:t>
      </w:r>
      <w:r>
        <w:rPr>
          <w:rFonts w:hint="eastAsia" w:ascii="宋体" w:hAnsi="宋体"/>
          <w:color w:val="000000"/>
          <w:sz w:val="24"/>
        </w:rPr>
        <w:t>为了做好“</w:t>
      </w:r>
      <w:r>
        <w:rPr>
          <w:rFonts w:hint="eastAsia" w:ascii="宋体" w:hAnsi="宋体"/>
          <w:color w:val="auto"/>
          <w:kern w:val="0"/>
          <w:sz w:val="24"/>
          <w:highlight w:val="none"/>
          <w:u w:val="single"/>
          <w:lang w:val="en-US" w:eastAsia="zh-CN"/>
        </w:rPr>
        <w:t>罍街茶馆外立面景观亮化工程</w:t>
      </w:r>
      <w:r>
        <w:rPr>
          <w:rFonts w:hint="eastAsia" w:ascii="宋体" w:hAnsi="宋体"/>
          <w:color w:val="000000"/>
          <w:sz w:val="24"/>
          <w:szCs w:val="18"/>
        </w:rPr>
        <w:t>”</w:t>
      </w:r>
      <w:r>
        <w:rPr>
          <w:rFonts w:hint="eastAsia" w:ascii="宋体" w:hAnsi="宋体"/>
          <w:color w:val="000000"/>
          <w:sz w:val="24"/>
        </w:rPr>
        <w:t>项目的招标评标工作，保证项目评审工作的正常有序进行，依据《中华人民共和国政府采购法》、《中华人民共和国招标投标法》及其它相关法律法规，本着公开、公平、公正的原则，制定评标办法。</w:t>
      </w:r>
    </w:p>
    <w:p w14:paraId="4D4F61A9">
      <w:pPr>
        <w:adjustRightInd w:val="0"/>
        <w:snapToGrid w:val="0"/>
        <w:spacing w:line="360" w:lineRule="auto"/>
        <w:ind w:right="-10" w:firstLine="480" w:firstLineChars="200"/>
        <w:rPr>
          <w:rFonts w:hint="eastAsia" w:ascii="宋体" w:hAnsi="宋体"/>
          <w:color w:val="000000"/>
          <w:sz w:val="24"/>
        </w:rPr>
      </w:pPr>
      <w:r>
        <w:rPr>
          <w:rFonts w:hint="eastAsia" w:ascii="宋体" w:hAnsi="宋体"/>
          <w:b/>
          <w:bCs/>
          <w:color w:val="000000"/>
          <w:sz w:val="24"/>
        </w:rPr>
        <w:t xml:space="preserve">第二条 </w:t>
      </w:r>
      <w:r>
        <w:rPr>
          <w:rFonts w:hint="eastAsia" w:ascii="宋体" w:hAnsi="宋体"/>
          <w:color w:val="000000"/>
          <w:sz w:val="24"/>
        </w:rPr>
        <w:t>本次项目评标采用</w:t>
      </w:r>
      <w:r>
        <w:rPr>
          <w:rFonts w:hint="eastAsia" w:ascii="宋体" w:hAnsi="宋体"/>
          <w:b/>
          <w:color w:val="000000"/>
          <w:sz w:val="24"/>
          <w:lang w:val="en-US" w:eastAsia="zh-CN"/>
        </w:rPr>
        <w:t>综合评估</w:t>
      </w:r>
      <w:r>
        <w:rPr>
          <w:rFonts w:hint="eastAsia" w:ascii="宋体" w:hAnsi="宋体"/>
          <w:b/>
          <w:color w:val="000000"/>
          <w:sz w:val="24"/>
        </w:rPr>
        <w:t>法</w:t>
      </w:r>
      <w:r>
        <w:rPr>
          <w:rFonts w:hint="eastAsia" w:ascii="宋体" w:hAnsi="宋体"/>
          <w:color w:val="000000"/>
          <w:sz w:val="24"/>
        </w:rPr>
        <w:t>作为对投标人标书的比较方法</w:t>
      </w:r>
      <w:r>
        <w:rPr>
          <w:rFonts w:hint="eastAsia" w:ascii="宋体" w:hAnsi="宋体" w:cs="宋体-18030"/>
          <w:color w:val="000000"/>
          <w:sz w:val="24"/>
        </w:rPr>
        <w:t>。</w:t>
      </w:r>
    </w:p>
    <w:p w14:paraId="0A65D9D9">
      <w:pPr>
        <w:adjustRightInd w:val="0"/>
        <w:snapToGrid w:val="0"/>
        <w:spacing w:line="360" w:lineRule="auto"/>
        <w:ind w:left="-61" w:leftChars="-29" w:right="-10" w:firstLine="601" w:firstLineChars="250"/>
        <w:rPr>
          <w:rFonts w:hint="eastAsia"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lang w:eastAsia="zh-CN"/>
        </w:rPr>
        <w:t>招标人</w:t>
      </w:r>
      <w:r>
        <w:rPr>
          <w:rFonts w:hint="eastAsia" w:ascii="宋体" w:hAnsi="宋体"/>
          <w:color w:val="000000"/>
          <w:sz w:val="24"/>
        </w:rPr>
        <w:t>将</w:t>
      </w:r>
      <w:r>
        <w:rPr>
          <w:rFonts w:hint="eastAsia" w:ascii="宋体" w:hAnsi="宋体"/>
          <w:bCs/>
          <w:color w:val="000000"/>
          <w:sz w:val="24"/>
        </w:rPr>
        <w:t>组织</w:t>
      </w:r>
      <w:r>
        <w:rPr>
          <w:rFonts w:hint="eastAsia" w:ascii="宋体" w:hAnsi="宋体"/>
          <w:color w:val="000000"/>
          <w:sz w:val="24"/>
        </w:rPr>
        <w:t>不少于</w:t>
      </w:r>
      <w:r>
        <w:rPr>
          <w:rFonts w:hint="eastAsia" w:ascii="宋体" w:hAnsi="宋体"/>
          <w:b/>
          <w:color w:val="000000"/>
          <w:sz w:val="24"/>
          <w:u w:val="single"/>
          <w:lang w:val="en-US" w:eastAsia="zh-CN"/>
        </w:rPr>
        <w:t>3</w:t>
      </w:r>
      <w:r>
        <w:rPr>
          <w:rFonts w:hint="eastAsia" w:ascii="宋体" w:hAnsi="宋体"/>
          <w:color w:val="000000"/>
          <w:sz w:val="24"/>
        </w:rPr>
        <w:t>人组成的评标委员会（以下简称评委会），负责本项目的评标工作。</w:t>
      </w:r>
      <w:r>
        <w:rPr>
          <w:rFonts w:hint="eastAsia" w:ascii="宋体" w:hAnsi="宋体"/>
          <w:color w:val="000000"/>
          <w:sz w:val="24"/>
          <w:lang w:eastAsia="zh-CN"/>
        </w:rPr>
        <w:t>招标人</w:t>
      </w:r>
      <w:r>
        <w:rPr>
          <w:rFonts w:hint="eastAsia" w:ascii="宋体" w:hAnsi="宋体"/>
          <w:color w:val="000000"/>
          <w:sz w:val="24"/>
        </w:rPr>
        <w:t>内部监督小组，负责评标过程中的记录、联络及评委会交办的其他工作。</w:t>
      </w:r>
    </w:p>
    <w:p w14:paraId="340E5E10">
      <w:pPr>
        <w:adjustRightInd w:val="0"/>
        <w:snapToGrid w:val="0"/>
        <w:spacing w:line="360" w:lineRule="auto"/>
        <w:ind w:right="-10" w:firstLine="480" w:firstLineChars="200"/>
        <w:rPr>
          <w:rFonts w:hint="eastAsia"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评委会按照“客观公正，实事求是”的原则，评价参加本次招标的投标人所提供的服务对招标文件的符合性及响应性。</w:t>
      </w:r>
    </w:p>
    <w:p w14:paraId="6003C4C2">
      <w:pPr>
        <w:adjustRightInd w:val="0"/>
        <w:snapToGrid w:val="0"/>
        <w:spacing w:line="360" w:lineRule="auto"/>
        <w:ind w:right="-10"/>
        <w:jc w:val="center"/>
        <w:outlineLvl w:val="1"/>
        <w:rPr>
          <w:rFonts w:hint="eastAsia" w:ascii="宋体" w:hAnsi="宋体"/>
          <w:color w:val="000000"/>
          <w:sz w:val="24"/>
        </w:rPr>
      </w:pPr>
      <w:r>
        <w:rPr>
          <w:rFonts w:hint="eastAsia" w:ascii="宋体" w:hAnsi="宋体"/>
          <w:b/>
          <w:color w:val="000000"/>
          <w:sz w:val="24"/>
          <w:lang w:eastAsia="zh-CN"/>
        </w:rPr>
        <w:t>二、</w:t>
      </w:r>
      <w:r>
        <w:rPr>
          <w:rFonts w:hint="eastAsia" w:ascii="宋体" w:hAnsi="宋体"/>
          <w:b/>
          <w:color w:val="000000"/>
          <w:sz w:val="24"/>
        </w:rPr>
        <w:t xml:space="preserve">  评标程序及评审细则</w:t>
      </w:r>
    </w:p>
    <w:p w14:paraId="748F2DAD">
      <w:pPr>
        <w:adjustRightInd w:val="0"/>
        <w:snapToGrid w:val="0"/>
        <w:spacing w:line="360" w:lineRule="auto"/>
        <w:ind w:right="-10" w:firstLine="480"/>
        <w:rPr>
          <w:rFonts w:hint="eastAsia"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评标工作于开标后进行。评委会应认真研究招标文件，至少应了解和熟悉以下内容：</w:t>
      </w:r>
    </w:p>
    <w:p w14:paraId="0DF5FAF2">
      <w:pPr>
        <w:spacing w:line="360" w:lineRule="auto"/>
        <w:ind w:left="480" w:right="-10"/>
        <w:rPr>
          <w:rFonts w:hint="eastAsia" w:ascii="宋体" w:hAnsi="宋体"/>
          <w:color w:val="000000"/>
          <w:sz w:val="24"/>
        </w:rPr>
      </w:pPr>
      <w:r>
        <w:rPr>
          <w:rFonts w:hint="eastAsia" w:ascii="宋体" w:hAnsi="宋体"/>
          <w:color w:val="000000"/>
          <w:sz w:val="24"/>
        </w:rPr>
        <w:t>（一）招标的目标；</w:t>
      </w:r>
    </w:p>
    <w:p w14:paraId="4F3448A6">
      <w:pPr>
        <w:spacing w:line="360" w:lineRule="auto"/>
        <w:ind w:left="480" w:right="-10"/>
        <w:rPr>
          <w:rFonts w:hint="eastAsia" w:ascii="宋体" w:hAnsi="宋体"/>
          <w:color w:val="000000"/>
          <w:sz w:val="24"/>
        </w:rPr>
      </w:pPr>
      <w:r>
        <w:rPr>
          <w:rFonts w:hint="eastAsia" w:ascii="宋体" w:hAnsi="宋体"/>
          <w:color w:val="000000"/>
          <w:sz w:val="24"/>
        </w:rPr>
        <w:t>（二）招标项目的范围和性质；</w:t>
      </w:r>
    </w:p>
    <w:p w14:paraId="1FF94CD0">
      <w:pPr>
        <w:spacing w:line="360" w:lineRule="auto"/>
        <w:ind w:left="480" w:right="-10"/>
        <w:rPr>
          <w:rFonts w:hint="eastAsia" w:ascii="宋体" w:hAnsi="宋体"/>
          <w:color w:val="000000"/>
          <w:sz w:val="24"/>
        </w:rPr>
      </w:pPr>
      <w:r>
        <w:rPr>
          <w:rFonts w:hint="eastAsia" w:ascii="宋体" w:hAnsi="宋体"/>
          <w:color w:val="000000"/>
          <w:sz w:val="24"/>
        </w:rPr>
        <w:t>（三）招标文件中规定的主要服务要求、标准和商务条款；</w:t>
      </w:r>
    </w:p>
    <w:p w14:paraId="1F469565">
      <w:pPr>
        <w:spacing w:line="360" w:lineRule="auto"/>
        <w:ind w:left="480" w:right="-10"/>
        <w:rPr>
          <w:rFonts w:hint="eastAsia" w:ascii="宋体" w:hAnsi="宋体"/>
          <w:color w:val="000000"/>
          <w:sz w:val="24"/>
        </w:rPr>
      </w:pPr>
      <w:r>
        <w:rPr>
          <w:rFonts w:hint="eastAsia" w:ascii="宋体" w:hAnsi="宋体"/>
          <w:color w:val="000000"/>
          <w:sz w:val="24"/>
        </w:rPr>
        <w:t>（四）招标文件规定的评标标准、评标方法和在评标过程中考虑的相关因素。</w:t>
      </w:r>
    </w:p>
    <w:p w14:paraId="5537661A">
      <w:pPr>
        <w:adjustRightInd w:val="0"/>
        <w:snapToGrid w:val="0"/>
        <w:spacing w:line="360" w:lineRule="auto"/>
        <w:ind w:right="-10" w:firstLine="480" w:firstLineChars="200"/>
        <w:outlineLvl w:val="2"/>
        <w:rPr>
          <w:rFonts w:hint="eastAsia"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14:paraId="2D7C81EA">
      <w:pPr>
        <w:spacing w:line="360" w:lineRule="auto"/>
        <w:ind w:left="480" w:right="-10"/>
        <w:rPr>
          <w:rFonts w:hint="eastAsia" w:ascii="宋体" w:hAnsi="宋体"/>
          <w:color w:val="000000"/>
          <w:sz w:val="24"/>
        </w:rPr>
      </w:pPr>
      <w:r>
        <w:rPr>
          <w:rFonts w:hint="eastAsia" w:ascii="宋体" w:hAnsi="宋体"/>
          <w:color w:val="000000"/>
          <w:sz w:val="24"/>
        </w:rPr>
        <w:t>（一）满足招标文件的实质性要求；</w:t>
      </w:r>
    </w:p>
    <w:p w14:paraId="5D7926EF">
      <w:pPr>
        <w:spacing w:line="360" w:lineRule="auto"/>
        <w:ind w:left="480" w:right="-10"/>
        <w:rPr>
          <w:rFonts w:hint="eastAsia" w:ascii="宋体" w:hAnsi="宋体"/>
          <w:color w:val="000000"/>
          <w:sz w:val="24"/>
        </w:rPr>
      </w:pPr>
      <w:r>
        <w:rPr>
          <w:rFonts w:hint="eastAsia" w:ascii="宋体" w:hAnsi="宋体"/>
          <w:color w:val="000000"/>
          <w:sz w:val="24"/>
        </w:rPr>
        <w:t>（二）无重大偏离、保留或招标人不能接受的附加条件；</w:t>
      </w:r>
    </w:p>
    <w:p w14:paraId="6E4289C6">
      <w:pPr>
        <w:spacing w:line="360" w:lineRule="auto"/>
        <w:ind w:left="480" w:right="-10"/>
        <w:rPr>
          <w:rFonts w:hint="eastAsia" w:ascii="宋体" w:hAnsi="宋体"/>
          <w:color w:val="000000"/>
          <w:sz w:val="24"/>
        </w:rPr>
      </w:pPr>
      <w:r>
        <w:rPr>
          <w:rFonts w:hint="eastAsia" w:ascii="宋体" w:hAnsi="宋体"/>
          <w:color w:val="000000"/>
          <w:sz w:val="24"/>
        </w:rPr>
        <w:t>（三）通过投标初审；</w:t>
      </w:r>
    </w:p>
    <w:p w14:paraId="4F0090CE">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（四）报价不低于投标成本；</w:t>
      </w:r>
    </w:p>
    <w:p w14:paraId="15785EC0">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（五）评委会依据招标文件认定的其他原则。</w:t>
      </w:r>
    </w:p>
    <w:p w14:paraId="240C9617">
      <w:pPr>
        <w:adjustRightInd w:val="0"/>
        <w:snapToGrid w:val="0"/>
        <w:spacing w:line="360" w:lineRule="auto"/>
        <w:ind w:right="-10" w:firstLine="480" w:firstLineChars="200"/>
        <w:rPr>
          <w:rFonts w:hint="eastAsia" w:ascii="宋体" w:hAnsi="宋体"/>
          <w:color w:val="000000"/>
          <w:sz w:val="24"/>
        </w:rPr>
      </w:pPr>
      <w:r>
        <w:rPr>
          <w:rFonts w:hint="eastAsia" w:ascii="宋体" w:hAnsi="宋体"/>
          <w:b/>
          <w:color w:val="000000"/>
          <w:sz w:val="24"/>
        </w:rPr>
        <w:t xml:space="preserve">第七条 </w:t>
      </w:r>
      <w:r>
        <w:rPr>
          <w:rFonts w:hint="eastAsia" w:ascii="宋体" w:hAnsi="宋体" w:cs="宋体-18030"/>
          <w:color w:val="000000"/>
          <w:sz w:val="24"/>
        </w:rPr>
        <w:t>评委会遵循公开、公平、公正和科学诚信的原则，对所有投标文件均采用相同程序和标准，进行评定。</w:t>
      </w:r>
    </w:p>
    <w:p w14:paraId="7A176DA9">
      <w:pPr>
        <w:adjustRightInd w:val="0"/>
        <w:snapToGrid w:val="0"/>
        <w:spacing w:line="360" w:lineRule="auto"/>
        <w:ind w:right="-10" w:firstLine="480" w:firstLineChars="200"/>
        <w:outlineLvl w:val="2"/>
        <w:rPr>
          <w:rFonts w:hint="eastAsia" w:ascii="宋体" w:hAnsi="宋体" w:cs="宋体-18030"/>
          <w:color w:val="000000"/>
          <w:sz w:val="24"/>
          <w:szCs w:val="22"/>
        </w:rPr>
      </w:pPr>
      <w:r>
        <w:rPr>
          <w:rFonts w:hint="eastAsia" w:ascii="宋体" w:hAnsi="宋体"/>
          <w:b/>
          <w:color w:val="000000"/>
          <w:sz w:val="24"/>
        </w:rPr>
        <w:t>第八条</w:t>
      </w:r>
      <w:r>
        <w:rPr>
          <w:rFonts w:hint="eastAsia" w:ascii="宋体" w:hAnsi="宋体" w:cs="宋体-18030"/>
          <w:color w:val="000000"/>
          <w:sz w:val="24"/>
        </w:rPr>
        <w:t xml:space="preserve"> 评审</w:t>
      </w:r>
      <w:r>
        <w:rPr>
          <w:rFonts w:hint="eastAsia" w:ascii="宋体" w:hAnsi="宋体" w:cs="宋体-18030"/>
          <w:color w:val="000000"/>
          <w:sz w:val="24"/>
          <w:szCs w:val="22"/>
        </w:rPr>
        <w:t>程序</w:t>
      </w:r>
    </w:p>
    <w:p w14:paraId="2A7AE98D">
      <w:pPr>
        <w:adjustRightInd w:val="0"/>
        <w:snapToGrid w:val="0"/>
        <w:spacing w:line="360" w:lineRule="auto"/>
        <w:ind w:right="-10" w:firstLine="480" w:firstLineChars="200"/>
        <w:rPr>
          <w:rFonts w:hint="eastAsia" w:ascii="宋体" w:hAnsi="宋体"/>
          <w:color w:val="000000"/>
          <w:sz w:val="24"/>
        </w:rPr>
      </w:pPr>
      <w:r>
        <w:rPr>
          <w:rFonts w:hint="eastAsia" w:ascii="宋体" w:hAnsi="宋体" w:cs="宋体-18030"/>
          <w:color w:val="000000"/>
          <w:sz w:val="24"/>
          <w:szCs w:val="22"/>
          <w:lang w:val="en-US" w:eastAsia="zh-CN"/>
        </w:rPr>
        <w:t>1、</w:t>
      </w:r>
      <w:r>
        <w:rPr>
          <w:rFonts w:hint="eastAsia" w:ascii="宋体" w:hAnsi="宋体" w:cs="宋体-18030"/>
          <w:color w:val="000000"/>
          <w:sz w:val="24"/>
          <w:szCs w:val="22"/>
        </w:rPr>
        <w:t>本次评标采用有效</w:t>
      </w:r>
      <w:r>
        <w:rPr>
          <w:rFonts w:hint="eastAsia" w:ascii="宋体" w:hAnsi="宋体"/>
          <w:color w:val="000000"/>
          <w:sz w:val="24"/>
          <w:szCs w:val="22"/>
        </w:rPr>
        <w:t>最低价评审法，</w:t>
      </w:r>
      <w:r>
        <w:rPr>
          <w:rFonts w:hint="eastAsia" w:ascii="宋体" w:hAnsi="宋体"/>
          <w:color w:val="000000"/>
          <w:sz w:val="24"/>
        </w:rPr>
        <w:t>评委会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72A17E5E">
      <w:pPr>
        <w:snapToGrid w:val="0"/>
        <w:spacing w:line="560" w:lineRule="exact"/>
        <w:outlineLvl w:val="1"/>
        <w:rPr>
          <w:rFonts w:hint="eastAsia"/>
          <w:b/>
          <w:color w:val="0000FF"/>
          <w:sz w:val="28"/>
          <w:szCs w:val="28"/>
        </w:rPr>
      </w:pPr>
      <w:r>
        <w:rPr>
          <w:rFonts w:hint="eastAsia"/>
          <w:b/>
          <w:sz w:val="28"/>
          <w:szCs w:val="28"/>
        </w:rPr>
        <w:t>一、初审指标</w:t>
      </w:r>
    </w:p>
    <w:tbl>
      <w:tblPr>
        <w:tblStyle w:val="5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2717"/>
      </w:tblGrid>
      <w:tr w14:paraId="2FA22630">
        <w:trPr>
          <w:cantSplit/>
          <w:trHeight w:val="613" w:hRule="atLeast"/>
        </w:trPr>
        <w:tc>
          <w:tcPr>
            <w:tcW w:w="9161" w:type="dxa"/>
            <w:gridSpan w:val="5"/>
            <w:noWrap w:val="0"/>
            <w:vAlign w:val="center"/>
          </w:tcPr>
          <w:p w14:paraId="12FD6887">
            <w:pPr>
              <w:pStyle w:val="84"/>
              <w:pBdr>
                <w:bottom w:val="none" w:color="auto" w:sz="0" w:space="0"/>
              </w:pBdr>
              <w:tabs>
                <w:tab w:val="clear" w:pos="4153"/>
                <w:tab w:val="clear" w:pos="8306"/>
              </w:tabs>
              <w:snapToGrid w:val="0"/>
              <w:spacing w:line="360" w:lineRule="auto"/>
              <w:ind w:right="-10"/>
              <w:textAlignment w:val="auto"/>
              <w:rPr>
                <w:rFonts w:hint="eastAsia" w:ascii="宋体" w:hAnsi="宋体"/>
                <w:kern w:val="2"/>
                <w:szCs w:val="24"/>
              </w:rPr>
            </w:pPr>
            <w:r>
              <w:rPr>
                <w:rFonts w:hint="eastAsia" w:ascii="宋体" w:hAnsi="宋体"/>
                <w:b/>
              </w:rPr>
              <w:t>初审表（废标指标一览表）</w:t>
            </w:r>
          </w:p>
        </w:tc>
      </w:tr>
      <w:tr w14:paraId="2C7F050D">
        <w:trPr>
          <w:trHeight w:val="930" w:hRule="atLeast"/>
        </w:trPr>
        <w:tc>
          <w:tcPr>
            <w:tcW w:w="720" w:type="dxa"/>
            <w:tcBorders>
              <w:bottom w:val="single" w:color="auto" w:sz="4" w:space="0"/>
            </w:tcBorders>
            <w:noWrap w:val="0"/>
            <w:vAlign w:val="center"/>
          </w:tcPr>
          <w:p w14:paraId="7AC48151">
            <w:pPr>
              <w:adjustRightInd w:val="0"/>
              <w:snapToGrid w:val="0"/>
              <w:spacing w:line="360" w:lineRule="auto"/>
              <w:ind w:right="-10"/>
              <w:jc w:val="center"/>
              <w:rPr>
                <w:rFonts w:hint="eastAsia" w:ascii="宋体" w:hAnsi="宋体"/>
                <w:sz w:val="24"/>
              </w:rPr>
            </w:pPr>
            <w:r>
              <w:rPr>
                <w:rFonts w:hint="eastAsia" w:ascii="宋体" w:hAnsi="宋体"/>
                <w:sz w:val="24"/>
              </w:rPr>
              <w:t>序号</w:t>
            </w:r>
          </w:p>
        </w:tc>
        <w:tc>
          <w:tcPr>
            <w:tcW w:w="1897" w:type="dxa"/>
            <w:tcBorders>
              <w:bottom w:val="single" w:color="auto" w:sz="4" w:space="0"/>
            </w:tcBorders>
            <w:noWrap w:val="0"/>
            <w:vAlign w:val="center"/>
          </w:tcPr>
          <w:p w14:paraId="56B0C7DB">
            <w:pPr>
              <w:pStyle w:val="84"/>
              <w:pBdr>
                <w:bottom w:val="none" w:color="auto" w:sz="0" w:space="0"/>
              </w:pBdr>
              <w:tabs>
                <w:tab w:val="clear" w:pos="4153"/>
                <w:tab w:val="clear" w:pos="8306"/>
              </w:tabs>
              <w:snapToGrid w:val="0"/>
              <w:spacing w:line="420" w:lineRule="exact"/>
              <w:ind w:right="-11"/>
              <w:textAlignment w:val="auto"/>
              <w:rPr>
                <w:rFonts w:hint="eastAsia" w:ascii="宋体" w:hAnsi="宋体"/>
                <w:kern w:val="2"/>
                <w:szCs w:val="24"/>
              </w:rPr>
            </w:pPr>
            <w:r>
              <w:rPr>
                <w:rFonts w:hint="eastAsia" w:ascii="宋体" w:hAnsi="宋体"/>
                <w:kern w:val="2"/>
                <w:szCs w:val="24"/>
              </w:rPr>
              <w:t>指标名称</w:t>
            </w:r>
          </w:p>
        </w:tc>
        <w:tc>
          <w:tcPr>
            <w:tcW w:w="3008" w:type="dxa"/>
            <w:tcBorders>
              <w:bottom w:val="single" w:color="auto" w:sz="4" w:space="0"/>
            </w:tcBorders>
            <w:noWrap w:val="0"/>
            <w:vAlign w:val="center"/>
          </w:tcPr>
          <w:p w14:paraId="73E5F19E">
            <w:pPr>
              <w:adjustRightInd w:val="0"/>
              <w:snapToGrid w:val="0"/>
              <w:spacing w:line="420" w:lineRule="exact"/>
              <w:ind w:right="-11"/>
              <w:jc w:val="center"/>
              <w:rPr>
                <w:rFonts w:hint="eastAsia" w:ascii="宋体" w:hAnsi="宋体"/>
                <w:sz w:val="24"/>
              </w:rPr>
            </w:pPr>
            <w:r>
              <w:rPr>
                <w:rFonts w:hint="eastAsia" w:ascii="宋体" w:hAnsi="宋体"/>
                <w:sz w:val="24"/>
              </w:rPr>
              <w:t>指标要求</w:t>
            </w:r>
          </w:p>
        </w:tc>
        <w:tc>
          <w:tcPr>
            <w:tcW w:w="819" w:type="dxa"/>
            <w:tcBorders>
              <w:bottom w:val="single" w:color="auto" w:sz="4" w:space="0"/>
            </w:tcBorders>
            <w:noWrap w:val="0"/>
            <w:vAlign w:val="center"/>
          </w:tcPr>
          <w:p w14:paraId="4337303B">
            <w:pPr>
              <w:adjustRightInd w:val="0"/>
              <w:snapToGrid w:val="0"/>
              <w:spacing w:line="420" w:lineRule="exact"/>
              <w:ind w:right="-11"/>
              <w:jc w:val="center"/>
              <w:rPr>
                <w:rFonts w:hint="eastAsia" w:ascii="宋体" w:hAnsi="宋体"/>
                <w:sz w:val="24"/>
              </w:rPr>
            </w:pPr>
            <w:r>
              <w:rPr>
                <w:rFonts w:hint="eastAsia" w:ascii="宋体" w:hAnsi="宋体"/>
                <w:sz w:val="24"/>
              </w:rPr>
              <w:t>是否通过</w:t>
            </w:r>
          </w:p>
        </w:tc>
        <w:tc>
          <w:tcPr>
            <w:tcW w:w="2717" w:type="dxa"/>
            <w:tcBorders>
              <w:bottom w:val="single" w:color="auto" w:sz="4" w:space="0"/>
            </w:tcBorders>
            <w:noWrap w:val="0"/>
            <w:vAlign w:val="center"/>
          </w:tcPr>
          <w:p w14:paraId="3732B809">
            <w:pPr>
              <w:adjustRightInd w:val="0"/>
              <w:snapToGrid w:val="0"/>
              <w:spacing w:line="420" w:lineRule="exact"/>
              <w:ind w:right="-11"/>
              <w:jc w:val="center"/>
              <w:rPr>
                <w:rFonts w:hint="eastAsia" w:ascii="宋体" w:hAnsi="宋体"/>
                <w:sz w:val="24"/>
              </w:rPr>
            </w:pPr>
            <w:r>
              <w:rPr>
                <w:rFonts w:hint="eastAsia" w:ascii="宋体" w:hAnsi="宋体"/>
                <w:sz w:val="24"/>
              </w:rPr>
              <w:t>投标文件格式及提交资料要求</w:t>
            </w:r>
          </w:p>
        </w:tc>
      </w:tr>
      <w:tr w14:paraId="4B3C0182">
        <w:trPr>
          <w:trHeight w:val="2228" w:hRule="atLeast"/>
        </w:trPr>
        <w:tc>
          <w:tcPr>
            <w:tcW w:w="720" w:type="dxa"/>
            <w:tcBorders>
              <w:bottom w:val="single" w:color="auto" w:sz="4" w:space="0"/>
            </w:tcBorders>
            <w:noWrap w:val="0"/>
            <w:vAlign w:val="center"/>
          </w:tcPr>
          <w:p w14:paraId="3C15104F">
            <w:pPr>
              <w:adjustRightInd w:val="0"/>
              <w:snapToGrid w:val="0"/>
              <w:spacing w:line="360" w:lineRule="auto"/>
              <w:ind w:right="-10"/>
              <w:jc w:val="center"/>
              <w:rPr>
                <w:rFonts w:ascii="宋体" w:hAnsi="宋体"/>
                <w:sz w:val="24"/>
                <w:szCs w:val="24"/>
              </w:rPr>
            </w:pPr>
            <w:r>
              <w:rPr>
                <w:rFonts w:hint="eastAsia" w:ascii="宋体" w:hAnsi="宋体"/>
                <w:sz w:val="24"/>
                <w:szCs w:val="24"/>
              </w:rPr>
              <w:t>1</w:t>
            </w:r>
          </w:p>
        </w:tc>
        <w:tc>
          <w:tcPr>
            <w:tcW w:w="1897" w:type="dxa"/>
            <w:tcBorders>
              <w:bottom w:val="single" w:color="auto" w:sz="4" w:space="0"/>
            </w:tcBorders>
            <w:noWrap w:val="0"/>
            <w:vAlign w:val="center"/>
          </w:tcPr>
          <w:p w14:paraId="64BFB4EC">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3008" w:type="dxa"/>
            <w:tcBorders>
              <w:bottom w:val="single" w:color="auto" w:sz="4" w:space="0"/>
            </w:tcBorders>
            <w:noWrap w:val="0"/>
            <w:vAlign w:val="center"/>
          </w:tcPr>
          <w:p w14:paraId="2EFB3856">
            <w:pPr>
              <w:spacing w:line="420" w:lineRule="exact"/>
              <w:ind w:right="-11"/>
              <w:jc w:val="center"/>
              <w:rPr>
                <w:rFonts w:ascii="宋体" w:hAnsi="宋体"/>
                <w:sz w:val="24"/>
                <w:szCs w:val="24"/>
              </w:rPr>
            </w:pPr>
            <w:r>
              <w:rPr>
                <w:rFonts w:hint="eastAsia" w:ascii="宋体" w:hAnsi="宋体"/>
                <w:sz w:val="24"/>
                <w:szCs w:val="24"/>
              </w:rPr>
              <w:t>合法有效</w:t>
            </w:r>
          </w:p>
        </w:tc>
        <w:tc>
          <w:tcPr>
            <w:tcW w:w="819" w:type="dxa"/>
            <w:tcBorders>
              <w:bottom w:val="single" w:color="auto" w:sz="4" w:space="0"/>
            </w:tcBorders>
            <w:noWrap w:val="0"/>
            <w:vAlign w:val="center"/>
          </w:tcPr>
          <w:p w14:paraId="4EDE34C6">
            <w:pPr>
              <w:adjustRightInd w:val="0"/>
              <w:snapToGrid w:val="0"/>
              <w:spacing w:line="420" w:lineRule="exact"/>
              <w:ind w:right="-11"/>
              <w:jc w:val="center"/>
              <w:rPr>
                <w:rFonts w:hint="eastAsia" w:ascii="宋体" w:hAnsi="宋体"/>
                <w:sz w:val="24"/>
                <w:szCs w:val="24"/>
              </w:rPr>
            </w:pPr>
          </w:p>
        </w:tc>
        <w:tc>
          <w:tcPr>
            <w:tcW w:w="2717" w:type="dxa"/>
            <w:tcBorders>
              <w:bottom w:val="single" w:color="auto" w:sz="4" w:space="0"/>
            </w:tcBorders>
            <w:noWrap w:val="0"/>
            <w:vAlign w:val="center"/>
          </w:tcPr>
          <w:p w14:paraId="34D99B6A">
            <w:pPr>
              <w:adjustRightInd w:val="0"/>
              <w:snapToGrid w:val="0"/>
              <w:spacing w:line="420" w:lineRule="exact"/>
              <w:ind w:right="-11"/>
              <w:jc w:val="center"/>
              <w:rPr>
                <w:rFonts w:hint="eastAsia"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14:paraId="049D1970">
        <w:trPr>
          <w:trHeight w:val="930" w:hRule="atLeast"/>
        </w:trPr>
        <w:tc>
          <w:tcPr>
            <w:tcW w:w="720" w:type="dxa"/>
            <w:noWrap w:val="0"/>
            <w:vAlign w:val="center"/>
          </w:tcPr>
          <w:p w14:paraId="0FB200F3">
            <w:pPr>
              <w:adjustRightInd w:val="0"/>
              <w:snapToGrid w:val="0"/>
              <w:spacing w:line="360" w:lineRule="auto"/>
              <w:ind w:right="-10"/>
              <w:jc w:val="center"/>
              <w:rPr>
                <w:rFonts w:hint="eastAsia" w:ascii="宋体" w:hAnsi="宋体" w:eastAsia="宋体"/>
                <w:sz w:val="24"/>
                <w:szCs w:val="24"/>
                <w:lang w:val="en-US" w:eastAsia="zh-CN"/>
              </w:rPr>
            </w:pPr>
            <w:r>
              <w:rPr>
                <w:rFonts w:hint="eastAsia" w:ascii="宋体" w:hAnsi="宋体"/>
                <w:sz w:val="24"/>
                <w:lang w:val="en-US" w:eastAsia="zh-CN"/>
              </w:rPr>
              <w:t>2</w:t>
            </w:r>
          </w:p>
        </w:tc>
        <w:tc>
          <w:tcPr>
            <w:tcW w:w="1897" w:type="dxa"/>
            <w:noWrap w:val="0"/>
            <w:vAlign w:val="center"/>
          </w:tcPr>
          <w:p w14:paraId="120905DD">
            <w:pPr>
              <w:spacing w:line="420" w:lineRule="exact"/>
              <w:ind w:right="-11"/>
              <w:jc w:val="center"/>
              <w:rPr>
                <w:rFonts w:hint="eastAsia" w:ascii="宋体" w:hAnsi="宋体" w:eastAsia="宋体"/>
                <w:sz w:val="24"/>
                <w:szCs w:val="24"/>
                <w:lang w:eastAsia="zh-CN"/>
              </w:rPr>
            </w:pPr>
            <w:r>
              <w:rPr>
                <w:rFonts w:hint="eastAsia" w:ascii="宋体" w:hAnsi="宋体"/>
                <w:sz w:val="24"/>
                <w:szCs w:val="28"/>
              </w:rPr>
              <w:t>投标函</w:t>
            </w:r>
          </w:p>
        </w:tc>
        <w:tc>
          <w:tcPr>
            <w:tcW w:w="3008" w:type="dxa"/>
            <w:noWrap w:val="0"/>
            <w:vAlign w:val="center"/>
          </w:tcPr>
          <w:p w14:paraId="08167665">
            <w:pPr>
              <w:spacing w:line="420" w:lineRule="exact"/>
              <w:ind w:right="-11"/>
              <w:jc w:val="center"/>
              <w:rPr>
                <w:rFonts w:hint="eastAsia" w:ascii="宋体" w:hAnsi="宋体"/>
                <w:sz w:val="24"/>
                <w:szCs w:val="24"/>
              </w:rPr>
            </w:pPr>
            <w:r>
              <w:rPr>
                <w:rFonts w:hint="eastAsia" w:ascii="宋体" w:hAnsi="宋体"/>
                <w:sz w:val="24"/>
                <w:szCs w:val="28"/>
              </w:rPr>
              <w:t>符合招标文件要求</w:t>
            </w:r>
          </w:p>
        </w:tc>
        <w:tc>
          <w:tcPr>
            <w:tcW w:w="819" w:type="dxa"/>
            <w:noWrap w:val="0"/>
            <w:vAlign w:val="center"/>
          </w:tcPr>
          <w:p w14:paraId="511AE8D7">
            <w:pPr>
              <w:adjustRightInd w:val="0"/>
              <w:snapToGrid w:val="0"/>
              <w:spacing w:line="420" w:lineRule="exact"/>
              <w:ind w:right="-11"/>
              <w:jc w:val="center"/>
              <w:rPr>
                <w:rFonts w:hint="eastAsia" w:ascii="宋体" w:hAnsi="宋体"/>
                <w:sz w:val="24"/>
                <w:szCs w:val="24"/>
              </w:rPr>
            </w:pPr>
          </w:p>
        </w:tc>
        <w:tc>
          <w:tcPr>
            <w:tcW w:w="2717" w:type="dxa"/>
            <w:noWrap w:val="0"/>
            <w:vAlign w:val="center"/>
          </w:tcPr>
          <w:p w14:paraId="40589F85">
            <w:pPr>
              <w:adjustRightInd w:val="0"/>
              <w:snapToGrid w:val="0"/>
              <w:spacing w:line="420" w:lineRule="exact"/>
              <w:ind w:right="-11"/>
              <w:jc w:val="center"/>
              <w:rPr>
                <w:rFonts w:hint="eastAsia" w:ascii="宋体" w:hAnsi="宋体"/>
                <w:sz w:val="24"/>
                <w:szCs w:val="24"/>
              </w:rPr>
            </w:pPr>
          </w:p>
        </w:tc>
      </w:tr>
      <w:tr w14:paraId="4C6C9E35">
        <w:trPr>
          <w:trHeight w:val="778" w:hRule="atLeast"/>
        </w:trPr>
        <w:tc>
          <w:tcPr>
            <w:tcW w:w="720" w:type="dxa"/>
            <w:noWrap w:val="0"/>
            <w:vAlign w:val="center"/>
          </w:tcPr>
          <w:p w14:paraId="4B05EEF4">
            <w:pPr>
              <w:adjustRightInd w:val="0"/>
              <w:snapToGrid w:val="0"/>
              <w:spacing w:line="360" w:lineRule="auto"/>
              <w:ind w:right="-10"/>
              <w:jc w:val="center"/>
              <w:rPr>
                <w:rFonts w:hint="eastAsia" w:ascii="宋体" w:hAnsi="宋体" w:eastAsia="宋体"/>
                <w:sz w:val="24"/>
                <w:lang w:eastAsia="zh-CN"/>
              </w:rPr>
            </w:pPr>
            <w:r>
              <w:rPr>
                <w:rFonts w:hint="eastAsia" w:ascii="宋体" w:hAnsi="宋体"/>
                <w:sz w:val="24"/>
                <w:lang w:val="en-US" w:eastAsia="zh-CN"/>
              </w:rPr>
              <w:t>3</w:t>
            </w:r>
          </w:p>
        </w:tc>
        <w:tc>
          <w:tcPr>
            <w:tcW w:w="1897" w:type="dxa"/>
            <w:noWrap w:val="0"/>
            <w:vAlign w:val="center"/>
          </w:tcPr>
          <w:p w14:paraId="4A7128F3">
            <w:pPr>
              <w:spacing w:line="420" w:lineRule="exact"/>
              <w:ind w:right="-11"/>
              <w:jc w:val="center"/>
              <w:rPr>
                <w:rFonts w:hint="eastAsia" w:ascii="宋体" w:hAnsi="宋体"/>
                <w:sz w:val="24"/>
                <w:szCs w:val="28"/>
              </w:rPr>
            </w:pPr>
            <w:r>
              <w:rPr>
                <w:rFonts w:hint="eastAsia" w:ascii="宋体" w:hAnsi="宋体"/>
                <w:sz w:val="24"/>
                <w:szCs w:val="28"/>
              </w:rPr>
              <w:t>投标授权书</w:t>
            </w:r>
          </w:p>
        </w:tc>
        <w:tc>
          <w:tcPr>
            <w:tcW w:w="3008" w:type="dxa"/>
            <w:noWrap w:val="0"/>
            <w:vAlign w:val="center"/>
          </w:tcPr>
          <w:p w14:paraId="5EAC75A6">
            <w:pPr>
              <w:spacing w:line="420" w:lineRule="exact"/>
              <w:ind w:right="-11"/>
              <w:jc w:val="center"/>
              <w:rPr>
                <w:rFonts w:hint="eastAsia" w:ascii="宋体" w:hAnsi="宋体"/>
                <w:sz w:val="24"/>
                <w:szCs w:val="28"/>
              </w:rPr>
            </w:pPr>
            <w:r>
              <w:rPr>
                <w:rFonts w:hint="eastAsia" w:ascii="宋体" w:hAnsi="宋体"/>
                <w:sz w:val="24"/>
                <w:szCs w:val="28"/>
              </w:rPr>
              <w:t>符合招标文件要求</w:t>
            </w:r>
          </w:p>
        </w:tc>
        <w:tc>
          <w:tcPr>
            <w:tcW w:w="819" w:type="dxa"/>
            <w:noWrap w:val="0"/>
            <w:vAlign w:val="center"/>
          </w:tcPr>
          <w:p w14:paraId="34CA15A1">
            <w:pPr>
              <w:adjustRightInd w:val="0"/>
              <w:snapToGrid w:val="0"/>
              <w:spacing w:line="420" w:lineRule="exact"/>
              <w:ind w:right="-11"/>
              <w:jc w:val="center"/>
              <w:rPr>
                <w:rFonts w:hint="eastAsia" w:ascii="宋体" w:hAnsi="宋体"/>
                <w:sz w:val="24"/>
              </w:rPr>
            </w:pPr>
          </w:p>
        </w:tc>
        <w:tc>
          <w:tcPr>
            <w:tcW w:w="2717" w:type="dxa"/>
            <w:noWrap w:val="0"/>
            <w:vAlign w:val="center"/>
          </w:tcPr>
          <w:p w14:paraId="071684E2">
            <w:pPr>
              <w:adjustRightInd w:val="0"/>
              <w:snapToGrid w:val="0"/>
              <w:spacing w:line="420" w:lineRule="exact"/>
              <w:ind w:right="-11"/>
              <w:jc w:val="center"/>
              <w:rPr>
                <w:rFonts w:hint="eastAsia" w:ascii="宋体" w:hAnsi="宋体"/>
                <w:sz w:val="24"/>
              </w:rPr>
            </w:pPr>
            <w:r>
              <w:rPr>
                <w:rFonts w:hint="eastAsia" w:ascii="宋体" w:hAnsi="宋体"/>
                <w:sz w:val="24"/>
                <w:highlight w:val="none"/>
              </w:rPr>
              <w:t>详见第</w:t>
            </w:r>
            <w:r>
              <w:rPr>
                <w:rFonts w:hint="eastAsia" w:ascii="宋体" w:hAnsi="宋体"/>
                <w:sz w:val="24"/>
                <w:highlight w:val="none"/>
                <w:lang w:eastAsia="zh-CN"/>
              </w:rPr>
              <w:t>七</w:t>
            </w:r>
            <w:r>
              <w:rPr>
                <w:rFonts w:hint="eastAsia" w:ascii="宋体" w:hAnsi="宋体"/>
                <w:sz w:val="24"/>
                <w:highlight w:val="none"/>
              </w:rPr>
              <w:t>章投标文件格式“投标授权书”</w:t>
            </w:r>
          </w:p>
        </w:tc>
      </w:tr>
      <w:tr w14:paraId="4F87BF30">
        <w:tc>
          <w:tcPr>
            <w:tcW w:w="720" w:type="dxa"/>
            <w:noWrap w:val="0"/>
            <w:vAlign w:val="center"/>
          </w:tcPr>
          <w:p w14:paraId="3317D5DA">
            <w:pPr>
              <w:adjustRightInd w:val="0"/>
              <w:snapToGrid w:val="0"/>
              <w:spacing w:line="360" w:lineRule="auto"/>
              <w:ind w:right="-10"/>
              <w:jc w:val="center"/>
              <w:rPr>
                <w:rFonts w:hint="eastAsia" w:ascii="宋体" w:hAnsi="宋体" w:eastAsia="宋体"/>
                <w:sz w:val="24"/>
                <w:lang w:eastAsia="zh-CN"/>
              </w:rPr>
            </w:pPr>
            <w:r>
              <w:rPr>
                <w:rFonts w:hint="eastAsia" w:ascii="宋体" w:hAnsi="宋体"/>
                <w:sz w:val="24"/>
                <w:lang w:val="en-US" w:eastAsia="zh-CN"/>
              </w:rPr>
              <w:t>4</w:t>
            </w:r>
          </w:p>
        </w:tc>
        <w:tc>
          <w:tcPr>
            <w:tcW w:w="1897" w:type="dxa"/>
            <w:noWrap w:val="0"/>
            <w:vAlign w:val="center"/>
          </w:tcPr>
          <w:p w14:paraId="3DA2B338">
            <w:pPr>
              <w:spacing w:after="50" w:line="360" w:lineRule="auto"/>
              <w:ind w:right="-10"/>
              <w:jc w:val="center"/>
              <w:rPr>
                <w:rFonts w:hint="eastAsia" w:ascii="宋体" w:hAnsi="宋体"/>
                <w:sz w:val="24"/>
                <w:szCs w:val="28"/>
              </w:rPr>
            </w:pPr>
            <w:r>
              <w:rPr>
                <w:rFonts w:hint="eastAsia" w:ascii="宋体" w:hAnsi="宋体"/>
                <w:sz w:val="24"/>
                <w:szCs w:val="24"/>
              </w:rPr>
              <w:t>投标人信用承诺</w:t>
            </w:r>
          </w:p>
        </w:tc>
        <w:tc>
          <w:tcPr>
            <w:tcW w:w="3008" w:type="dxa"/>
            <w:noWrap w:val="0"/>
            <w:vAlign w:val="center"/>
          </w:tcPr>
          <w:p w14:paraId="5DB45090">
            <w:pPr>
              <w:spacing w:after="50" w:line="360" w:lineRule="auto"/>
              <w:ind w:right="-10"/>
              <w:jc w:val="center"/>
              <w:rPr>
                <w:rFonts w:hint="eastAsia" w:ascii="宋体" w:hAnsi="宋体"/>
                <w:sz w:val="24"/>
                <w:szCs w:val="28"/>
              </w:rPr>
            </w:pPr>
            <w:r>
              <w:rPr>
                <w:rFonts w:hint="eastAsia" w:ascii="宋体" w:hAnsi="宋体"/>
                <w:sz w:val="24"/>
                <w:szCs w:val="28"/>
              </w:rPr>
              <w:t>符合招标文件要求</w:t>
            </w:r>
          </w:p>
        </w:tc>
        <w:tc>
          <w:tcPr>
            <w:tcW w:w="819" w:type="dxa"/>
            <w:noWrap w:val="0"/>
            <w:vAlign w:val="center"/>
          </w:tcPr>
          <w:p w14:paraId="6B82275A">
            <w:pPr>
              <w:adjustRightInd w:val="0"/>
              <w:snapToGrid w:val="0"/>
              <w:spacing w:line="360" w:lineRule="auto"/>
              <w:ind w:right="-10"/>
              <w:jc w:val="center"/>
              <w:rPr>
                <w:rFonts w:hint="eastAsia" w:ascii="宋体" w:hAnsi="宋体"/>
                <w:sz w:val="24"/>
              </w:rPr>
            </w:pPr>
          </w:p>
        </w:tc>
        <w:tc>
          <w:tcPr>
            <w:tcW w:w="2717" w:type="dxa"/>
            <w:noWrap w:val="0"/>
            <w:vAlign w:val="center"/>
          </w:tcPr>
          <w:p w14:paraId="5FF2EADA">
            <w:pPr>
              <w:adjustRightInd w:val="0"/>
              <w:snapToGrid w:val="0"/>
              <w:spacing w:line="360" w:lineRule="auto"/>
              <w:ind w:right="-10"/>
              <w:jc w:val="center"/>
              <w:rPr>
                <w:rFonts w:hint="eastAsia" w:ascii="宋体" w:hAnsi="宋体"/>
                <w:sz w:val="24"/>
                <w:highlight w:val="none"/>
              </w:rPr>
            </w:pPr>
            <w:r>
              <w:rPr>
                <w:rFonts w:hint="eastAsia" w:ascii="宋体" w:hAnsi="宋体"/>
                <w:sz w:val="24"/>
                <w:szCs w:val="24"/>
                <w:highlight w:val="none"/>
              </w:rPr>
              <w:t>详见第</w:t>
            </w:r>
            <w:r>
              <w:rPr>
                <w:rFonts w:hint="eastAsia" w:ascii="宋体" w:hAnsi="宋体"/>
                <w:sz w:val="24"/>
                <w:szCs w:val="24"/>
                <w:highlight w:val="none"/>
                <w:lang w:eastAsia="zh-CN"/>
              </w:rPr>
              <w:t>七</w:t>
            </w:r>
            <w:r>
              <w:rPr>
                <w:rFonts w:hint="eastAsia" w:ascii="宋体" w:hAnsi="宋体"/>
                <w:sz w:val="24"/>
                <w:szCs w:val="24"/>
                <w:highlight w:val="none"/>
              </w:rPr>
              <w:t>章投标文件格式</w:t>
            </w:r>
            <w:r>
              <w:rPr>
                <w:rFonts w:hint="eastAsia" w:ascii="宋体" w:hAnsi="宋体"/>
                <w:sz w:val="24"/>
                <w:highlight w:val="none"/>
              </w:rPr>
              <w:t>“</w:t>
            </w:r>
            <w:r>
              <w:rPr>
                <w:rFonts w:hint="eastAsia" w:ascii="宋体" w:hAnsi="宋体"/>
                <w:sz w:val="24"/>
                <w:szCs w:val="24"/>
                <w:highlight w:val="none"/>
              </w:rPr>
              <w:t>投标人信用承诺</w:t>
            </w:r>
            <w:r>
              <w:rPr>
                <w:rFonts w:hint="eastAsia" w:ascii="宋体" w:hAnsi="宋体"/>
                <w:sz w:val="24"/>
                <w:highlight w:val="none"/>
              </w:rPr>
              <w:t>”，</w:t>
            </w:r>
            <w:r>
              <w:rPr>
                <w:rFonts w:hint="eastAsia" w:ascii="宋体" w:hAnsi="宋体"/>
                <w:bCs/>
                <w:sz w:val="24"/>
                <w:szCs w:val="24"/>
                <w:highlight w:val="none"/>
              </w:rPr>
              <w:t>联合体投标的，联合体各方均须承诺。</w:t>
            </w:r>
          </w:p>
        </w:tc>
      </w:tr>
      <w:tr w14:paraId="48B64513">
        <w:tc>
          <w:tcPr>
            <w:tcW w:w="720" w:type="dxa"/>
            <w:noWrap w:val="0"/>
            <w:vAlign w:val="center"/>
          </w:tcPr>
          <w:p w14:paraId="46DF6124">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sz w:val="24"/>
                <w:lang w:val="en-US" w:eastAsia="zh-CN"/>
              </w:rPr>
              <w:t>5</w:t>
            </w:r>
          </w:p>
        </w:tc>
        <w:tc>
          <w:tcPr>
            <w:tcW w:w="1897" w:type="dxa"/>
            <w:noWrap w:val="0"/>
            <w:vAlign w:val="center"/>
          </w:tcPr>
          <w:p w14:paraId="5640533F">
            <w:pPr>
              <w:spacing w:line="420" w:lineRule="exact"/>
              <w:ind w:right="-11"/>
              <w:jc w:val="center"/>
              <w:rPr>
                <w:rFonts w:ascii="宋体" w:hAnsi="宋体"/>
                <w:sz w:val="24"/>
                <w:szCs w:val="28"/>
              </w:rPr>
            </w:pPr>
            <w:r>
              <w:rPr>
                <w:rFonts w:hint="eastAsia" w:ascii="宋体" w:hAnsi="宋体"/>
                <w:sz w:val="24"/>
                <w:szCs w:val="24"/>
              </w:rPr>
              <w:t>投标人资质</w:t>
            </w:r>
          </w:p>
        </w:tc>
        <w:tc>
          <w:tcPr>
            <w:tcW w:w="3008" w:type="dxa"/>
            <w:noWrap w:val="0"/>
            <w:vAlign w:val="center"/>
          </w:tcPr>
          <w:p w14:paraId="0CA03FF8">
            <w:pPr>
              <w:spacing w:line="420" w:lineRule="exact"/>
              <w:ind w:right="-11"/>
              <w:jc w:val="center"/>
              <w:rPr>
                <w:rFonts w:ascii="宋体" w:hAnsi="宋体"/>
                <w:sz w:val="24"/>
                <w:szCs w:val="28"/>
              </w:rPr>
            </w:pPr>
            <w:r>
              <w:rPr>
                <w:rFonts w:hint="eastAsia" w:ascii="宋体" w:hAnsi="宋体"/>
                <w:sz w:val="24"/>
                <w:szCs w:val="24"/>
              </w:rPr>
              <w:t>符合招标公告要求</w:t>
            </w:r>
          </w:p>
        </w:tc>
        <w:tc>
          <w:tcPr>
            <w:tcW w:w="819" w:type="dxa"/>
            <w:noWrap w:val="0"/>
            <w:vAlign w:val="center"/>
          </w:tcPr>
          <w:p w14:paraId="22743AF9">
            <w:pPr>
              <w:adjustRightInd w:val="0"/>
              <w:snapToGrid w:val="0"/>
              <w:spacing w:line="420" w:lineRule="exact"/>
              <w:ind w:right="-11"/>
              <w:jc w:val="center"/>
              <w:rPr>
                <w:rFonts w:ascii="宋体" w:hAnsi="宋体"/>
                <w:sz w:val="24"/>
              </w:rPr>
            </w:pPr>
          </w:p>
        </w:tc>
        <w:tc>
          <w:tcPr>
            <w:tcW w:w="2717" w:type="dxa"/>
            <w:noWrap w:val="0"/>
            <w:vAlign w:val="center"/>
          </w:tcPr>
          <w:p w14:paraId="07217A9B">
            <w:pPr>
              <w:adjustRightInd w:val="0"/>
              <w:snapToGrid w:val="0"/>
              <w:spacing w:line="360" w:lineRule="auto"/>
              <w:ind w:right="-10"/>
              <w:jc w:val="center"/>
              <w:rPr>
                <w:rFonts w:ascii="宋体" w:hAnsi="宋体"/>
                <w:sz w:val="24"/>
                <w:highlight w:val="none"/>
              </w:rPr>
            </w:pPr>
            <w:r>
              <w:rPr>
                <w:rFonts w:hint="eastAsia" w:ascii="宋体" w:hAnsi="宋体"/>
                <w:sz w:val="24"/>
                <w:szCs w:val="24"/>
              </w:rPr>
              <w:t>提供资质证书扫描件</w:t>
            </w:r>
          </w:p>
        </w:tc>
      </w:tr>
      <w:tr w14:paraId="48DC0312">
        <w:tc>
          <w:tcPr>
            <w:tcW w:w="720" w:type="dxa"/>
            <w:noWrap w:val="0"/>
            <w:vAlign w:val="center"/>
          </w:tcPr>
          <w:p w14:paraId="5985F3AC">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1897" w:type="dxa"/>
            <w:noWrap w:val="0"/>
            <w:vAlign w:val="center"/>
          </w:tcPr>
          <w:p w14:paraId="4A1A4CF9">
            <w:pPr>
              <w:spacing w:line="420" w:lineRule="exact"/>
              <w:ind w:right="-11"/>
              <w:jc w:val="center"/>
              <w:rPr>
                <w:rFonts w:ascii="宋体" w:hAnsi="宋体"/>
                <w:sz w:val="24"/>
                <w:szCs w:val="24"/>
              </w:rPr>
            </w:pPr>
            <w:r>
              <w:rPr>
                <w:rFonts w:hint="eastAsia" w:ascii="宋体" w:hAnsi="宋体"/>
                <w:sz w:val="24"/>
                <w:szCs w:val="28"/>
              </w:rPr>
              <w:t>标书响应情况</w:t>
            </w:r>
          </w:p>
        </w:tc>
        <w:tc>
          <w:tcPr>
            <w:tcW w:w="3008" w:type="dxa"/>
            <w:noWrap w:val="0"/>
            <w:vAlign w:val="center"/>
          </w:tcPr>
          <w:p w14:paraId="5B18DDC3">
            <w:pPr>
              <w:spacing w:line="420" w:lineRule="exact"/>
              <w:ind w:right="-11"/>
              <w:jc w:val="center"/>
              <w:rPr>
                <w:rFonts w:ascii="宋体" w:hAnsi="宋体"/>
                <w:sz w:val="24"/>
                <w:szCs w:val="24"/>
              </w:rPr>
            </w:pPr>
            <w:r>
              <w:rPr>
                <w:rFonts w:hint="eastAsia" w:ascii="宋体" w:hAnsi="宋体"/>
                <w:sz w:val="24"/>
                <w:szCs w:val="28"/>
              </w:rPr>
              <w:t>付款响应、服务期限响应</w:t>
            </w:r>
          </w:p>
        </w:tc>
        <w:tc>
          <w:tcPr>
            <w:tcW w:w="819" w:type="dxa"/>
            <w:noWrap w:val="0"/>
            <w:vAlign w:val="center"/>
          </w:tcPr>
          <w:p w14:paraId="637B623B">
            <w:pPr>
              <w:adjustRightInd w:val="0"/>
              <w:snapToGrid w:val="0"/>
              <w:spacing w:line="420" w:lineRule="exact"/>
              <w:ind w:right="-11"/>
              <w:jc w:val="center"/>
              <w:rPr>
                <w:rFonts w:ascii="宋体" w:hAnsi="宋体"/>
                <w:sz w:val="24"/>
                <w:szCs w:val="24"/>
              </w:rPr>
            </w:pPr>
          </w:p>
        </w:tc>
        <w:tc>
          <w:tcPr>
            <w:tcW w:w="2717" w:type="dxa"/>
            <w:noWrap w:val="0"/>
            <w:vAlign w:val="center"/>
          </w:tcPr>
          <w:p w14:paraId="4FA6B9D1">
            <w:pPr>
              <w:adjustRightInd w:val="0"/>
              <w:snapToGrid w:val="0"/>
              <w:spacing w:line="420" w:lineRule="exact"/>
              <w:ind w:right="-11"/>
              <w:jc w:val="center"/>
              <w:rPr>
                <w:rFonts w:ascii="宋体" w:hAnsi="宋体"/>
                <w:sz w:val="24"/>
                <w:szCs w:val="24"/>
              </w:rPr>
            </w:pPr>
          </w:p>
        </w:tc>
      </w:tr>
      <w:tr w14:paraId="7BD09941">
        <w:tc>
          <w:tcPr>
            <w:tcW w:w="720" w:type="dxa"/>
            <w:noWrap w:val="0"/>
            <w:vAlign w:val="center"/>
          </w:tcPr>
          <w:p w14:paraId="4FE4B0FC">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1897" w:type="dxa"/>
            <w:noWrap w:val="0"/>
            <w:vAlign w:val="center"/>
          </w:tcPr>
          <w:p w14:paraId="0B905F00">
            <w:pPr>
              <w:spacing w:line="420" w:lineRule="exact"/>
              <w:ind w:right="-11"/>
              <w:jc w:val="center"/>
              <w:rPr>
                <w:rFonts w:hint="eastAsia" w:ascii="宋体" w:hAnsi="宋体"/>
                <w:sz w:val="24"/>
                <w:szCs w:val="28"/>
              </w:rPr>
            </w:pPr>
            <w:r>
              <w:rPr>
                <w:rFonts w:hint="eastAsia" w:ascii="宋体" w:hAnsi="宋体"/>
                <w:sz w:val="24"/>
              </w:rPr>
              <w:t>标书规范性</w:t>
            </w:r>
          </w:p>
        </w:tc>
        <w:tc>
          <w:tcPr>
            <w:tcW w:w="3008" w:type="dxa"/>
            <w:noWrap w:val="0"/>
            <w:vAlign w:val="center"/>
          </w:tcPr>
          <w:p w14:paraId="418E33A2">
            <w:pPr>
              <w:pStyle w:val="84"/>
              <w:pBdr>
                <w:bottom w:val="none" w:color="auto" w:sz="0" w:space="0"/>
              </w:pBdr>
              <w:tabs>
                <w:tab w:val="clear" w:pos="4153"/>
                <w:tab w:val="clear" w:pos="8306"/>
              </w:tabs>
              <w:adjustRightInd/>
              <w:spacing w:line="420" w:lineRule="exact"/>
              <w:ind w:right="-11"/>
              <w:jc w:val="both"/>
              <w:textAlignment w:val="auto"/>
              <w:rPr>
                <w:rFonts w:hint="eastAsia" w:ascii="宋体" w:hAnsi="宋体"/>
                <w:sz w:val="24"/>
                <w:szCs w:val="28"/>
              </w:rPr>
            </w:pPr>
            <w:r>
              <w:rPr>
                <w:rFonts w:hint="eastAsia" w:ascii="宋体" w:hAnsi="宋体"/>
              </w:rPr>
              <w:t>无严重的编排混乱、内容不全或字迹模糊辨认不清、前后矛盾情况，对评标无实质性影响的</w:t>
            </w:r>
          </w:p>
        </w:tc>
        <w:tc>
          <w:tcPr>
            <w:tcW w:w="819" w:type="dxa"/>
            <w:noWrap w:val="0"/>
            <w:vAlign w:val="center"/>
          </w:tcPr>
          <w:p w14:paraId="3352247A">
            <w:pPr>
              <w:adjustRightInd w:val="0"/>
              <w:snapToGrid w:val="0"/>
              <w:spacing w:line="420" w:lineRule="exact"/>
              <w:ind w:right="-11"/>
              <w:jc w:val="center"/>
              <w:rPr>
                <w:rFonts w:hint="eastAsia" w:ascii="宋体" w:hAnsi="宋体"/>
                <w:sz w:val="24"/>
              </w:rPr>
            </w:pPr>
          </w:p>
        </w:tc>
        <w:tc>
          <w:tcPr>
            <w:tcW w:w="2717" w:type="dxa"/>
            <w:noWrap w:val="0"/>
            <w:vAlign w:val="center"/>
          </w:tcPr>
          <w:p w14:paraId="190825B0">
            <w:pPr>
              <w:adjustRightInd w:val="0"/>
              <w:snapToGrid w:val="0"/>
              <w:spacing w:line="420" w:lineRule="exact"/>
              <w:ind w:right="-11"/>
              <w:jc w:val="center"/>
              <w:rPr>
                <w:rFonts w:hint="eastAsia" w:ascii="宋体" w:hAnsi="宋体"/>
                <w:sz w:val="24"/>
              </w:rPr>
            </w:pPr>
          </w:p>
        </w:tc>
      </w:tr>
      <w:tr w14:paraId="0207A83C">
        <w:trPr>
          <w:trHeight w:val="977" w:hRule="atLeast"/>
        </w:trPr>
        <w:tc>
          <w:tcPr>
            <w:tcW w:w="720" w:type="dxa"/>
            <w:noWrap w:val="0"/>
            <w:vAlign w:val="center"/>
          </w:tcPr>
          <w:p w14:paraId="783FD22F">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1897" w:type="dxa"/>
            <w:noWrap w:val="0"/>
            <w:vAlign w:val="center"/>
          </w:tcPr>
          <w:p w14:paraId="53EA7BD6">
            <w:pPr>
              <w:spacing w:line="420" w:lineRule="exact"/>
              <w:ind w:right="-11"/>
              <w:jc w:val="center"/>
              <w:rPr>
                <w:rFonts w:hint="eastAsia" w:ascii="宋体" w:hAnsi="宋体"/>
                <w:sz w:val="24"/>
              </w:rPr>
            </w:pPr>
            <w:r>
              <w:rPr>
                <w:rFonts w:hint="eastAsia" w:ascii="宋体" w:hAnsi="宋体"/>
                <w:sz w:val="24"/>
                <w:szCs w:val="28"/>
              </w:rPr>
              <w:t>其他要求</w:t>
            </w:r>
          </w:p>
        </w:tc>
        <w:tc>
          <w:tcPr>
            <w:tcW w:w="3008" w:type="dxa"/>
            <w:noWrap w:val="0"/>
            <w:vAlign w:val="center"/>
          </w:tcPr>
          <w:p w14:paraId="53D6B040">
            <w:pPr>
              <w:spacing w:line="420" w:lineRule="exact"/>
              <w:ind w:right="-11"/>
              <w:jc w:val="center"/>
              <w:rPr>
                <w:rFonts w:hint="eastAsia" w:ascii="宋体" w:hAnsi="宋体"/>
                <w:kern w:val="2"/>
              </w:rPr>
            </w:pPr>
            <w:r>
              <w:rPr>
                <w:rFonts w:hint="eastAsia" w:ascii="宋体" w:hAnsi="宋体"/>
                <w:sz w:val="24"/>
                <w:szCs w:val="28"/>
              </w:rPr>
              <w:t>上述指标中未列出，但国家相关法律法规或招标文件有明确规定的</w:t>
            </w:r>
          </w:p>
        </w:tc>
        <w:tc>
          <w:tcPr>
            <w:tcW w:w="819" w:type="dxa"/>
            <w:noWrap w:val="0"/>
            <w:vAlign w:val="center"/>
          </w:tcPr>
          <w:p w14:paraId="2867E559">
            <w:pPr>
              <w:adjustRightInd w:val="0"/>
              <w:snapToGrid w:val="0"/>
              <w:spacing w:line="420" w:lineRule="exact"/>
              <w:ind w:right="-11"/>
              <w:jc w:val="center"/>
              <w:rPr>
                <w:rFonts w:hint="eastAsia" w:ascii="宋体" w:hAnsi="宋体"/>
                <w:sz w:val="24"/>
              </w:rPr>
            </w:pPr>
          </w:p>
        </w:tc>
        <w:tc>
          <w:tcPr>
            <w:tcW w:w="2717" w:type="dxa"/>
            <w:noWrap w:val="0"/>
            <w:vAlign w:val="center"/>
          </w:tcPr>
          <w:p w14:paraId="08AAEB61">
            <w:pPr>
              <w:adjustRightInd w:val="0"/>
              <w:snapToGrid w:val="0"/>
              <w:spacing w:line="420" w:lineRule="exact"/>
              <w:ind w:right="-11"/>
              <w:jc w:val="center"/>
              <w:rPr>
                <w:rFonts w:hint="eastAsia" w:ascii="宋体" w:hAnsi="宋体"/>
                <w:sz w:val="24"/>
              </w:rPr>
            </w:pPr>
          </w:p>
        </w:tc>
      </w:tr>
      <w:tr w14:paraId="473DA081">
        <w:tc>
          <w:tcPr>
            <w:tcW w:w="9161" w:type="dxa"/>
            <w:gridSpan w:val="5"/>
            <w:noWrap w:val="0"/>
            <w:vAlign w:val="center"/>
          </w:tcPr>
          <w:p w14:paraId="6BEC88DA">
            <w:pPr>
              <w:adjustRightInd w:val="0"/>
              <w:snapToGrid w:val="0"/>
              <w:spacing w:line="360" w:lineRule="auto"/>
              <w:ind w:right="-10"/>
              <w:jc w:val="left"/>
              <w:rPr>
                <w:rFonts w:hint="eastAsia" w:ascii="宋体" w:hAnsi="宋体"/>
                <w:sz w:val="24"/>
              </w:rPr>
            </w:pPr>
            <w:r>
              <w:rPr>
                <w:rFonts w:hint="eastAsia" w:ascii="宋体" w:hAnsi="宋体"/>
                <w:sz w:val="24"/>
              </w:rPr>
              <w:t>初审指标通过标准：投标人必须通过上述全部指标。评标委员会根据表中所列各项指标对投标人是否为有效标进行评审，未列入上表中的指标不得作为废标依据。</w:t>
            </w:r>
          </w:p>
        </w:tc>
      </w:tr>
    </w:tbl>
    <w:p w14:paraId="1094CFD8">
      <w:pPr>
        <w:spacing w:line="360" w:lineRule="auto"/>
        <w:ind w:firstLine="480" w:firstLineChars="200"/>
        <w:rPr>
          <w:rFonts w:hint="eastAsia" w:ascii="宋体" w:hAnsi="宋体"/>
          <w:color w:val="000000"/>
          <w:sz w:val="24"/>
          <w:szCs w:val="24"/>
          <w:lang w:eastAsia="zh-CN"/>
        </w:rPr>
      </w:pPr>
    </w:p>
    <w:p w14:paraId="0DCFBB9C">
      <w:pPr>
        <w:numPr>
          <w:ilvl w:val="0"/>
          <w:numId w:val="9"/>
        </w:numPr>
        <w:adjustRightInd w:val="0"/>
        <w:snapToGrid w:val="0"/>
        <w:spacing w:line="360" w:lineRule="auto"/>
        <w:ind w:right="-10" w:firstLine="480" w:firstLineChars="200"/>
        <w:rPr>
          <w:rFonts w:hint="eastAsia" w:ascii="宋体" w:hAnsi="宋体"/>
          <w:color w:val="000000"/>
          <w:sz w:val="24"/>
          <w:szCs w:val="22"/>
        </w:rPr>
      </w:pPr>
      <w:r>
        <w:rPr>
          <w:rFonts w:hint="eastAsia" w:ascii="宋体" w:hAnsi="宋体"/>
          <w:color w:val="000000"/>
          <w:sz w:val="24"/>
          <w:szCs w:val="22"/>
        </w:rPr>
        <w:t>评标委员会</w:t>
      </w:r>
      <w:r>
        <w:rPr>
          <w:rFonts w:hint="eastAsia" w:ascii="宋体" w:hAnsi="宋体"/>
          <w:color w:val="000000"/>
          <w:sz w:val="24"/>
          <w:szCs w:val="22"/>
          <w:lang w:eastAsia="zh-CN"/>
        </w:rPr>
        <w:t>对通过初审的投标文件进行商务标审核，经审核后</w:t>
      </w:r>
      <w:r>
        <w:rPr>
          <w:rFonts w:hint="eastAsia" w:ascii="宋体" w:hAnsi="宋体"/>
          <w:color w:val="000000"/>
          <w:sz w:val="24"/>
          <w:szCs w:val="22"/>
        </w:rPr>
        <w:t>按照投标报价由低到高依次</w:t>
      </w:r>
      <w:r>
        <w:rPr>
          <w:rFonts w:hint="eastAsia" w:ascii="宋体" w:hAnsi="宋体"/>
          <w:color w:val="000000"/>
          <w:sz w:val="24"/>
          <w:szCs w:val="22"/>
          <w:lang w:eastAsia="zh-CN"/>
        </w:rPr>
        <w:t>排序</w:t>
      </w:r>
      <w:r>
        <w:rPr>
          <w:rFonts w:hint="eastAsia" w:ascii="宋体" w:hAnsi="宋体"/>
          <w:color w:val="000000"/>
          <w:sz w:val="24"/>
          <w:szCs w:val="22"/>
          <w:highlight w:val="none"/>
          <w:lang w:eastAsia="zh-CN"/>
        </w:rPr>
        <w:t>，</w:t>
      </w:r>
      <w:r>
        <w:rPr>
          <w:rFonts w:hint="eastAsia" w:ascii="宋体" w:hAnsi="宋体"/>
          <w:color w:val="auto"/>
          <w:sz w:val="24"/>
          <w:szCs w:val="22"/>
          <w:highlight w:val="none"/>
          <w:lang w:val="en-US" w:eastAsia="zh-CN"/>
        </w:rPr>
        <w:t>综合</w:t>
      </w:r>
      <w:r>
        <w:rPr>
          <w:rFonts w:hint="eastAsia" w:ascii="宋体" w:hAnsi="宋体"/>
          <w:color w:val="auto"/>
          <w:sz w:val="24"/>
          <w:szCs w:val="22"/>
          <w:highlight w:val="none"/>
          <w:lang w:eastAsia="zh-CN"/>
        </w:rPr>
        <w:t>排名</w:t>
      </w:r>
      <w:r>
        <w:rPr>
          <w:rFonts w:hint="eastAsia" w:ascii="宋体" w:hAnsi="宋体"/>
          <w:color w:val="000000"/>
          <w:sz w:val="24"/>
          <w:szCs w:val="22"/>
          <w:highlight w:val="none"/>
          <w:lang w:eastAsia="zh-CN"/>
        </w:rPr>
        <w:t>第</w:t>
      </w:r>
      <w:r>
        <w:rPr>
          <w:rFonts w:hint="eastAsia" w:ascii="宋体" w:hAnsi="宋体"/>
          <w:color w:val="000000"/>
          <w:sz w:val="24"/>
          <w:szCs w:val="22"/>
          <w:lang w:eastAsia="zh-CN"/>
        </w:rPr>
        <w:t>一的为</w:t>
      </w:r>
      <w:r>
        <w:rPr>
          <w:rFonts w:hint="eastAsia" w:ascii="宋体" w:hAnsi="宋体"/>
          <w:color w:val="000000"/>
          <w:sz w:val="24"/>
          <w:szCs w:val="22"/>
        </w:rPr>
        <w:t>中标候选人。</w:t>
      </w:r>
    </w:p>
    <w:p w14:paraId="0282E324">
      <w:pPr>
        <w:widowControl w:val="0"/>
        <w:numPr>
          <w:ilvl w:val="0"/>
          <w:numId w:val="0"/>
        </w:numPr>
        <w:adjustRightInd w:val="0"/>
        <w:snapToGrid w:val="0"/>
        <w:spacing w:line="360" w:lineRule="auto"/>
        <w:ind w:right="-10" w:rightChars="0"/>
        <w:jc w:val="both"/>
        <w:rPr>
          <w:rFonts w:hint="eastAsia" w:ascii="宋体" w:hAnsi="宋体" w:eastAsia="宋体"/>
          <w:color w:val="000000"/>
          <w:sz w:val="24"/>
          <w:szCs w:val="22"/>
          <w:lang w:eastAsia="zh-CN"/>
        </w:rPr>
      </w:pPr>
      <w:r>
        <w:rPr>
          <w:rFonts w:hint="eastAsia" w:ascii="宋体" w:hAnsi="宋体"/>
          <w:color w:val="000000"/>
          <w:sz w:val="24"/>
          <w:szCs w:val="22"/>
          <w:lang w:eastAsia="zh-CN"/>
        </w:rPr>
        <w:t>商务标评审</w:t>
      </w:r>
    </w:p>
    <w:tbl>
      <w:tblPr>
        <w:tblStyle w:val="53"/>
        <w:tblW w:w="933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2329"/>
        <w:gridCol w:w="7006"/>
      </w:tblGrid>
      <w:tr w14:paraId="147354E8">
        <w:trPr>
          <w:trHeight w:val="540" w:hRule="atLeast"/>
          <w:tblHeader/>
        </w:trPr>
        <w:tc>
          <w:tcPr>
            <w:tcW w:w="2329" w:type="dxa"/>
            <w:tcBorders>
              <w:top w:val="outset" w:color="auto" w:sz="6" w:space="0"/>
              <w:left w:val="single" w:color="auto" w:sz="4" w:space="0"/>
              <w:bottom w:val="outset" w:color="auto" w:sz="6" w:space="0"/>
              <w:right w:val="single" w:color="auto" w:sz="4" w:space="0"/>
            </w:tcBorders>
            <w:noWrap w:val="0"/>
            <w:vAlign w:val="center"/>
          </w:tcPr>
          <w:p w14:paraId="52848133">
            <w:pPr>
              <w:widowControl/>
              <w:ind w:firstLine="105" w:firstLineChars="50"/>
              <w:jc w:val="center"/>
              <w:rPr>
                <w:kern w:val="0"/>
                <w:szCs w:val="21"/>
              </w:rPr>
            </w:pPr>
            <w:r>
              <w:rPr>
                <w:b/>
                <w:bCs/>
                <w:kern w:val="0"/>
                <w:szCs w:val="21"/>
              </w:rPr>
              <w:t>评审因素</w:t>
            </w:r>
          </w:p>
        </w:tc>
        <w:tc>
          <w:tcPr>
            <w:tcW w:w="7006" w:type="dxa"/>
            <w:tcBorders>
              <w:top w:val="outset" w:color="auto" w:sz="6" w:space="0"/>
              <w:left w:val="single" w:color="auto" w:sz="4" w:space="0"/>
              <w:bottom w:val="outset" w:color="auto" w:sz="6" w:space="0"/>
              <w:right w:val="outset" w:color="auto" w:sz="6" w:space="0"/>
            </w:tcBorders>
            <w:noWrap w:val="0"/>
            <w:vAlign w:val="center"/>
          </w:tcPr>
          <w:p w14:paraId="57AE3440">
            <w:pPr>
              <w:widowControl/>
              <w:ind w:firstLine="105" w:firstLineChars="50"/>
              <w:jc w:val="center"/>
              <w:rPr>
                <w:rFonts w:hint="eastAsia"/>
                <w:kern w:val="0"/>
                <w:szCs w:val="21"/>
              </w:rPr>
            </w:pPr>
            <w:r>
              <w:rPr>
                <w:rFonts w:hint="eastAsia"/>
                <w:b/>
                <w:bCs/>
                <w:kern w:val="0"/>
                <w:szCs w:val="21"/>
              </w:rPr>
              <w:t>评审标准</w:t>
            </w:r>
          </w:p>
        </w:tc>
      </w:tr>
      <w:tr w14:paraId="10FFDE50">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23DB960">
            <w:pPr>
              <w:widowControl/>
              <w:jc w:val="center"/>
              <w:rPr>
                <w:kern w:val="0"/>
                <w:sz w:val="24"/>
                <w:szCs w:val="24"/>
              </w:rPr>
            </w:pPr>
            <w:r>
              <w:rPr>
                <w:kern w:val="0"/>
                <w:sz w:val="24"/>
                <w:szCs w:val="24"/>
              </w:rPr>
              <w:t>报价规范性评审</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8F6CB5E">
            <w:pPr>
              <w:widowControl/>
              <w:rPr>
                <w:rFonts w:hint="eastAsia"/>
                <w:kern w:val="0"/>
                <w:sz w:val="24"/>
                <w:szCs w:val="24"/>
              </w:rPr>
            </w:pPr>
            <w:r>
              <w:rPr>
                <w:kern w:val="0"/>
                <w:sz w:val="24"/>
                <w:szCs w:val="24"/>
              </w:rPr>
              <w:t>对</w:t>
            </w:r>
            <w:r>
              <w:rPr>
                <w:rFonts w:hint="eastAsia"/>
                <w:kern w:val="0"/>
                <w:sz w:val="24"/>
                <w:szCs w:val="24"/>
              </w:rPr>
              <w:t>已标价的工程量清单报价书“分部分项工程量清单综合单价分析表”</w:t>
            </w:r>
            <w:r>
              <w:rPr>
                <w:kern w:val="0"/>
                <w:sz w:val="24"/>
                <w:szCs w:val="24"/>
              </w:rPr>
              <w:t>中</w:t>
            </w:r>
            <w:r>
              <w:rPr>
                <w:rFonts w:hint="eastAsia"/>
                <w:kern w:val="0"/>
                <w:sz w:val="24"/>
                <w:szCs w:val="24"/>
              </w:rPr>
              <w:t>的</w:t>
            </w:r>
            <w:r>
              <w:rPr>
                <w:kern w:val="0"/>
                <w:sz w:val="24"/>
                <w:szCs w:val="24"/>
              </w:rPr>
              <w:t>综合单价、主要材料价格、人工费（含工日数量及工日单价）、机械费</w:t>
            </w:r>
            <w:r>
              <w:rPr>
                <w:rFonts w:hint="eastAsia"/>
                <w:kern w:val="0"/>
                <w:sz w:val="24"/>
                <w:szCs w:val="24"/>
              </w:rPr>
              <w:t>，“措施项目清单与计价表”中的措施费及“不可竞争项目清单与计价表”的不可竞争费</w:t>
            </w:r>
            <w:r>
              <w:rPr>
                <w:kern w:val="0"/>
                <w:sz w:val="24"/>
                <w:szCs w:val="24"/>
              </w:rPr>
              <w:t>等进行规范性评审，对明显相互冲突、自相矛盾或不合理的，</w:t>
            </w:r>
            <w:r>
              <w:rPr>
                <w:rFonts w:hint="eastAsia"/>
                <w:kern w:val="0"/>
                <w:sz w:val="24"/>
                <w:szCs w:val="24"/>
              </w:rPr>
              <w:t>或</w:t>
            </w:r>
            <w:r>
              <w:rPr>
                <w:kern w:val="0"/>
                <w:sz w:val="24"/>
                <w:szCs w:val="24"/>
              </w:rPr>
              <w:t>未按照工程量清单计价规范要求计价的，可</w:t>
            </w:r>
            <w:r>
              <w:rPr>
                <w:rFonts w:hint="eastAsia"/>
                <w:kern w:val="0"/>
                <w:sz w:val="24"/>
                <w:szCs w:val="24"/>
              </w:rPr>
              <w:t>否决其投标</w:t>
            </w:r>
            <w:r>
              <w:rPr>
                <w:kern w:val="0"/>
                <w:sz w:val="24"/>
                <w:szCs w:val="24"/>
              </w:rPr>
              <w:t>（如：</w:t>
            </w:r>
            <w:r>
              <w:rPr>
                <w:rFonts w:hint="eastAsia"/>
                <w:kern w:val="0"/>
                <w:sz w:val="24"/>
                <w:szCs w:val="24"/>
              </w:rPr>
              <w:t>“分部分项工程量清单综合单价分析表”</w:t>
            </w:r>
            <w:r>
              <w:rPr>
                <w:kern w:val="0"/>
                <w:sz w:val="24"/>
                <w:szCs w:val="24"/>
              </w:rPr>
              <w:t>中</w:t>
            </w:r>
            <w:r>
              <w:rPr>
                <w:rFonts w:hint="eastAsia"/>
                <w:kern w:val="0"/>
                <w:sz w:val="24"/>
                <w:szCs w:val="24"/>
              </w:rPr>
              <w:t>的</w:t>
            </w:r>
            <w:r>
              <w:rPr>
                <w:kern w:val="0"/>
                <w:sz w:val="24"/>
                <w:szCs w:val="24"/>
              </w:rPr>
              <w:t>综合单价低于主材价格等情况）。</w:t>
            </w:r>
          </w:p>
        </w:tc>
      </w:tr>
      <w:tr w14:paraId="07CB251A">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5E4AA4A">
            <w:pPr>
              <w:widowControl/>
              <w:ind w:left="105" w:hanging="120" w:hangingChars="50"/>
              <w:jc w:val="center"/>
              <w:rPr>
                <w:kern w:val="0"/>
                <w:sz w:val="24"/>
                <w:szCs w:val="24"/>
              </w:rPr>
            </w:pPr>
            <w:r>
              <w:rPr>
                <w:kern w:val="0"/>
                <w:sz w:val="24"/>
                <w:szCs w:val="24"/>
              </w:rPr>
              <w:t>不平衡报价评审</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CB91808">
            <w:pPr>
              <w:widowControl/>
              <w:jc w:val="left"/>
              <w:rPr>
                <w:rFonts w:hint="eastAsia"/>
                <w:kern w:val="0"/>
                <w:sz w:val="24"/>
                <w:szCs w:val="24"/>
              </w:rPr>
            </w:pPr>
            <w:r>
              <w:rPr>
                <w:kern w:val="0"/>
                <w:sz w:val="24"/>
                <w:szCs w:val="24"/>
              </w:rPr>
              <w:t>对</w:t>
            </w:r>
            <w:r>
              <w:rPr>
                <w:rFonts w:hint="eastAsia"/>
                <w:kern w:val="0"/>
                <w:sz w:val="24"/>
                <w:szCs w:val="24"/>
              </w:rPr>
              <w:t>已标价的工程量清单报价书“分部分项工程量清单综合单价分析表”</w:t>
            </w:r>
            <w:r>
              <w:rPr>
                <w:kern w:val="0"/>
                <w:sz w:val="24"/>
                <w:szCs w:val="24"/>
              </w:rPr>
              <w:t>中</w:t>
            </w:r>
            <w:r>
              <w:rPr>
                <w:rFonts w:hint="eastAsia"/>
                <w:kern w:val="0"/>
                <w:sz w:val="24"/>
                <w:szCs w:val="24"/>
              </w:rPr>
              <w:t>的</w:t>
            </w:r>
            <w:r>
              <w:rPr>
                <w:kern w:val="0"/>
                <w:sz w:val="24"/>
                <w:szCs w:val="24"/>
              </w:rPr>
              <w:t>综合单价、主要材料价格、人工费（含工日数量及工日单价）、机械费</w:t>
            </w:r>
            <w:r>
              <w:rPr>
                <w:rFonts w:hint="eastAsia"/>
                <w:kern w:val="0"/>
                <w:sz w:val="24"/>
                <w:szCs w:val="24"/>
              </w:rPr>
              <w:t>，“措施项目清单与计价表”中的措施费明显高出最高投标限价（招标控制价）对应部分，或与最高投标限价（招标控制价）对应部分相比明显降幅过大的情况，评标委员会可认定为恶意不平衡报价，否决其投标。</w:t>
            </w:r>
          </w:p>
        </w:tc>
      </w:tr>
      <w:tr w14:paraId="66C030A9">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80314C9">
            <w:pPr>
              <w:pStyle w:val="78"/>
              <w:spacing w:line="360" w:lineRule="auto"/>
              <w:jc w:val="center"/>
              <w:rPr>
                <w:rFonts w:hint="eastAsia" w:ascii="宋体" w:hAnsi="宋体" w:eastAsia="宋体"/>
                <w:b w:val="0"/>
                <w:bCs/>
                <w:sz w:val="24"/>
                <w:szCs w:val="24"/>
                <w:lang w:eastAsia="zh-CN"/>
              </w:rPr>
            </w:pPr>
            <w:r>
              <w:rPr>
                <w:rFonts w:ascii="宋体" w:hAnsi="宋体" w:eastAsia="宋体"/>
                <w:b w:val="0"/>
                <w:bCs/>
                <w:sz w:val="24"/>
                <w:szCs w:val="24"/>
              </w:rPr>
              <w:t>不可</w:t>
            </w:r>
          </w:p>
          <w:p w14:paraId="1DA465A5">
            <w:pPr>
              <w:widowControl/>
              <w:ind w:left="105" w:hanging="120" w:hangingChars="50"/>
              <w:jc w:val="center"/>
              <w:rPr>
                <w:kern w:val="0"/>
                <w:sz w:val="24"/>
                <w:szCs w:val="24"/>
              </w:rPr>
            </w:pPr>
            <w:r>
              <w:rPr>
                <w:rFonts w:ascii="宋体" w:hAnsi="宋体" w:eastAsia="宋体"/>
                <w:b w:val="0"/>
                <w:bCs/>
                <w:sz w:val="24"/>
                <w:szCs w:val="24"/>
              </w:rPr>
              <w:t>竞争费</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0A154E8">
            <w:pPr>
              <w:pStyle w:val="78"/>
              <w:spacing w:line="360" w:lineRule="auto"/>
              <w:rPr>
                <w:rFonts w:hint="eastAsia" w:ascii="宋体" w:hAnsi="宋体" w:eastAsia="宋体"/>
                <w:sz w:val="24"/>
                <w:szCs w:val="24"/>
                <w:lang w:eastAsia="zh-CN"/>
              </w:rPr>
            </w:pPr>
            <w:r>
              <w:rPr>
                <w:rFonts w:hint="eastAsia" w:ascii="宋体" w:hAnsi="宋体" w:eastAsia="宋体" w:cs="宋体"/>
                <w:b w:val="0"/>
                <w:bCs/>
                <w:sz w:val="24"/>
                <w:szCs w:val="24"/>
              </w:rPr>
              <w:t>①单位工程</w:t>
            </w:r>
            <w:r>
              <w:rPr>
                <w:rFonts w:ascii="宋体" w:hAnsi="宋体" w:eastAsia="宋体"/>
                <w:b w:val="0"/>
                <w:bCs/>
                <w:sz w:val="24"/>
                <w:szCs w:val="24"/>
              </w:rPr>
              <w:t>环境保护、文明施工、安全施工、临时设施费</w:t>
            </w:r>
            <w:r>
              <w:rPr>
                <w:rFonts w:hint="eastAsia" w:ascii="宋体" w:hAnsi="宋体" w:eastAsia="宋体"/>
                <w:b w:val="0"/>
                <w:bCs/>
                <w:sz w:val="24"/>
                <w:szCs w:val="24"/>
                <w:lang w:eastAsia="zh-CN"/>
              </w:rPr>
              <w:t>、扬尘防治增加费</w:t>
            </w:r>
            <w:r>
              <w:rPr>
                <w:rFonts w:ascii="宋体" w:hAnsi="宋体" w:eastAsia="宋体"/>
                <w:b w:val="0"/>
                <w:bCs/>
                <w:sz w:val="24"/>
                <w:szCs w:val="24"/>
              </w:rPr>
              <w:t>报价</w:t>
            </w:r>
            <w:r>
              <w:rPr>
                <w:rFonts w:hint="eastAsia" w:ascii="宋体" w:hAnsi="宋体" w:eastAsia="宋体"/>
                <w:b w:val="0"/>
                <w:bCs/>
                <w:sz w:val="24"/>
                <w:szCs w:val="24"/>
                <w:lang w:eastAsia="zh-CN"/>
              </w:rPr>
              <w:t>费</w:t>
            </w:r>
            <w:r>
              <w:rPr>
                <w:rFonts w:hint="eastAsia" w:ascii="宋体" w:hAnsi="宋体" w:eastAsia="宋体" w:cs="宋体"/>
                <w:b w:val="0"/>
                <w:bCs/>
                <w:sz w:val="24"/>
                <w:szCs w:val="24"/>
              </w:rPr>
              <w:t>率低于招标文件规定的</w:t>
            </w:r>
            <w:r>
              <w:rPr>
                <w:rFonts w:hint="eastAsia" w:ascii="宋体" w:hAnsi="宋体" w:eastAsia="宋体" w:cs="宋体"/>
                <w:b w:val="0"/>
                <w:bCs/>
                <w:sz w:val="24"/>
                <w:szCs w:val="24"/>
                <w:lang w:eastAsia="zh-CN"/>
              </w:rPr>
              <w:t>，可</w:t>
            </w:r>
            <w:r>
              <w:rPr>
                <w:rFonts w:hint="eastAsia"/>
                <w:kern w:val="0"/>
                <w:sz w:val="24"/>
                <w:szCs w:val="24"/>
              </w:rPr>
              <w:t>否决其投标</w:t>
            </w:r>
            <w:r>
              <w:rPr>
                <w:rFonts w:hint="eastAsia" w:ascii="宋体" w:hAnsi="宋体" w:eastAsia="宋体" w:cs="宋体"/>
                <w:b w:val="0"/>
                <w:bCs/>
                <w:sz w:val="24"/>
                <w:szCs w:val="24"/>
              </w:rPr>
              <w:t>；</w:t>
            </w:r>
            <w:r>
              <w:rPr>
                <w:rFonts w:ascii="宋体" w:hAnsi="宋体" w:eastAsia="宋体"/>
                <w:sz w:val="24"/>
                <w:szCs w:val="24"/>
              </w:rPr>
              <w:t xml:space="preserve"> </w:t>
            </w:r>
          </w:p>
          <w:p w14:paraId="37D7883E">
            <w:pPr>
              <w:widowControl/>
              <w:jc w:val="left"/>
              <w:rPr>
                <w:kern w:val="0"/>
                <w:sz w:val="24"/>
                <w:szCs w:val="24"/>
              </w:rPr>
            </w:pPr>
            <w:r>
              <w:rPr>
                <w:rFonts w:hint="eastAsia" w:ascii="宋体" w:hAnsi="宋体" w:eastAsia="宋体"/>
                <w:sz w:val="24"/>
                <w:szCs w:val="24"/>
                <w:lang w:eastAsia="zh-CN"/>
              </w:rPr>
              <w:t>②</w:t>
            </w:r>
            <w:r>
              <w:rPr>
                <w:rFonts w:ascii="宋体" w:hAnsi="宋体" w:eastAsia="宋体"/>
                <w:sz w:val="24"/>
                <w:szCs w:val="24"/>
              </w:rPr>
              <w:t>投标报价中变更暂列金额</w:t>
            </w:r>
            <w:r>
              <w:rPr>
                <w:rFonts w:hint="eastAsia" w:ascii="宋体" w:hAnsi="宋体" w:eastAsia="宋体"/>
                <w:sz w:val="24"/>
                <w:szCs w:val="24"/>
                <w:lang w:eastAsia="zh-CN"/>
              </w:rPr>
              <w:t>（</w:t>
            </w:r>
            <w:r>
              <w:rPr>
                <w:rFonts w:ascii="宋体" w:hAnsi="宋体" w:eastAsia="宋体"/>
                <w:sz w:val="24"/>
                <w:szCs w:val="24"/>
              </w:rPr>
              <w:t>预留金</w:t>
            </w:r>
            <w:r>
              <w:rPr>
                <w:rFonts w:hint="eastAsia" w:ascii="宋体" w:hAnsi="宋体" w:eastAsia="宋体"/>
                <w:sz w:val="24"/>
                <w:szCs w:val="24"/>
                <w:lang w:eastAsia="zh-CN"/>
              </w:rPr>
              <w:t>）、</w:t>
            </w:r>
            <w:r>
              <w:rPr>
                <w:rFonts w:ascii="宋体" w:hAnsi="宋体" w:eastAsia="宋体"/>
                <w:sz w:val="24"/>
                <w:szCs w:val="24"/>
              </w:rPr>
              <w:t>招标人提供的暂估价的</w:t>
            </w:r>
            <w:r>
              <w:rPr>
                <w:rFonts w:hint="eastAsia" w:ascii="宋体" w:hAnsi="宋体" w:eastAsia="宋体"/>
                <w:sz w:val="24"/>
                <w:szCs w:val="24"/>
                <w:lang w:eastAsia="zh-CN"/>
              </w:rPr>
              <w:t>，可</w:t>
            </w:r>
            <w:r>
              <w:rPr>
                <w:rFonts w:hint="eastAsia"/>
                <w:kern w:val="0"/>
                <w:sz w:val="24"/>
                <w:szCs w:val="24"/>
              </w:rPr>
              <w:t>否决其投标</w:t>
            </w:r>
            <w:r>
              <w:rPr>
                <w:rFonts w:ascii="宋体" w:hAnsi="宋体" w:eastAsia="宋体"/>
                <w:sz w:val="24"/>
                <w:szCs w:val="24"/>
              </w:rPr>
              <w:t>。</w:t>
            </w:r>
          </w:p>
        </w:tc>
      </w:tr>
      <w:tr w14:paraId="27998E5D">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F2ED24F">
            <w:pPr>
              <w:widowControl/>
              <w:ind w:left="105" w:hanging="120" w:hangingChars="50"/>
              <w:jc w:val="center"/>
              <w:rPr>
                <w:rFonts w:hint="eastAsia" w:ascii="宋体" w:hAnsi="宋体" w:eastAsia="宋体"/>
                <w:b w:val="0"/>
                <w:bCs/>
                <w:sz w:val="24"/>
                <w:szCs w:val="24"/>
                <w:lang w:eastAsia="zh-CN"/>
              </w:rPr>
            </w:pPr>
            <w:r>
              <w:rPr>
                <w:rFonts w:hint="eastAsia" w:ascii="宋体" w:hAnsi="宋体" w:eastAsia="宋体"/>
                <w:b w:val="0"/>
                <w:bCs/>
                <w:sz w:val="24"/>
                <w:szCs w:val="24"/>
                <w:lang w:eastAsia="zh-CN"/>
              </w:rPr>
              <w:t>开标一览表</w:t>
            </w:r>
          </w:p>
        </w:tc>
        <w:tc>
          <w:tcPr>
            <w:tcW w:w="7006"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BB28724">
            <w:pPr>
              <w:widowControl/>
              <w:jc w:val="left"/>
              <w:rPr>
                <w:rFonts w:hint="eastAsia" w:ascii="宋体" w:hAnsi="宋体" w:eastAsia="宋体"/>
                <w:sz w:val="24"/>
                <w:szCs w:val="24"/>
                <w:lang w:eastAsia="zh-CN"/>
              </w:rPr>
            </w:pPr>
            <w:r>
              <w:rPr>
                <w:rFonts w:hint="eastAsia" w:ascii="宋体" w:hAnsi="宋体" w:eastAsia="宋体"/>
                <w:sz w:val="24"/>
                <w:szCs w:val="24"/>
                <w:lang w:eastAsia="zh-CN"/>
              </w:rPr>
              <w:t>详见第七章投标文件格式“开标一览表”</w:t>
            </w:r>
          </w:p>
        </w:tc>
      </w:tr>
    </w:tbl>
    <w:p w14:paraId="7B3A3B5F">
      <w:pPr>
        <w:pStyle w:val="95"/>
        <w:widowControl w:val="0"/>
        <w:tabs>
          <w:tab w:val="left" w:pos="3960"/>
        </w:tabs>
        <w:spacing w:before="0" w:beforeAutospacing="0" w:after="0" w:afterAutospacing="0" w:line="360" w:lineRule="auto"/>
        <w:rPr>
          <w:rFonts w:hint="eastAsia"/>
          <w:bCs/>
          <w:szCs w:val="24"/>
        </w:rPr>
      </w:pPr>
      <w:r>
        <w:rPr>
          <w:rFonts w:hint="eastAsia"/>
          <w:bCs/>
          <w:szCs w:val="24"/>
        </w:rPr>
        <w:t>说明：</w:t>
      </w:r>
    </w:p>
    <w:p w14:paraId="78E96613">
      <w:pPr>
        <w:pStyle w:val="95"/>
        <w:widowControl w:val="0"/>
        <w:tabs>
          <w:tab w:val="left" w:pos="3960"/>
        </w:tabs>
        <w:spacing w:before="0" w:beforeAutospacing="0" w:after="0" w:afterAutospacing="0" w:line="360" w:lineRule="auto"/>
        <w:outlineLvl w:val="2"/>
        <w:rPr>
          <w:rFonts w:hint="eastAsia"/>
          <w:bCs/>
          <w:szCs w:val="24"/>
        </w:rPr>
      </w:pPr>
      <w:r>
        <w:rPr>
          <w:rFonts w:hint="eastAsia"/>
          <w:bCs/>
          <w:szCs w:val="24"/>
        </w:rPr>
        <w:t>1.商务标评审采用定性方法。</w:t>
      </w:r>
    </w:p>
    <w:p w14:paraId="11C5430E">
      <w:pPr>
        <w:pStyle w:val="95"/>
        <w:widowControl w:val="0"/>
        <w:tabs>
          <w:tab w:val="left" w:pos="3960"/>
        </w:tabs>
        <w:spacing w:before="0" w:beforeAutospacing="0" w:after="0" w:afterAutospacing="0" w:line="360" w:lineRule="auto"/>
        <w:rPr>
          <w:rFonts w:hint="eastAsia"/>
          <w:bCs/>
          <w:szCs w:val="24"/>
        </w:rPr>
      </w:pPr>
      <w:r>
        <w:rPr>
          <w:rFonts w:hint="eastAsia"/>
          <w:bCs/>
          <w:szCs w:val="24"/>
        </w:rPr>
        <w:t>2.评标专家根据评审要求判断每项评审内容是否合格，并在投标人评审空格内用“√”、“×”表示。</w:t>
      </w:r>
    </w:p>
    <w:p w14:paraId="7BB8741A">
      <w:pPr>
        <w:pStyle w:val="95"/>
        <w:widowControl w:val="0"/>
        <w:tabs>
          <w:tab w:val="left" w:pos="3960"/>
        </w:tabs>
        <w:spacing w:before="0" w:beforeAutospacing="0" w:after="0" w:afterAutospacing="0" w:line="360" w:lineRule="auto"/>
        <w:outlineLvl w:val="2"/>
        <w:rPr>
          <w:rFonts w:hint="eastAsia" w:ascii="宋体" w:hAnsi="宋体"/>
          <w:color w:val="000000"/>
          <w:sz w:val="24"/>
          <w:szCs w:val="22"/>
        </w:rPr>
      </w:pPr>
      <w:r>
        <w:rPr>
          <w:rFonts w:hint="eastAsia"/>
          <w:bCs/>
          <w:szCs w:val="24"/>
          <w:lang w:val="en-US" w:eastAsia="zh-CN"/>
        </w:rPr>
        <w:t>3</w:t>
      </w:r>
      <w:r>
        <w:rPr>
          <w:rFonts w:hint="eastAsia"/>
          <w:bCs/>
          <w:szCs w:val="24"/>
        </w:rPr>
        <w:t>.</w:t>
      </w:r>
      <w:r>
        <w:rPr>
          <w:rFonts w:hint="eastAsia"/>
          <w:szCs w:val="24"/>
        </w:rPr>
        <w:t xml:space="preserve"> </w:t>
      </w:r>
      <w:r>
        <w:rPr>
          <w:rFonts w:hint="eastAsia"/>
          <w:bCs/>
          <w:szCs w:val="24"/>
        </w:rPr>
        <w:t>所有商务标详细评审选项必须全部通过方为合格。</w:t>
      </w:r>
    </w:p>
    <w:p w14:paraId="77A084CA">
      <w:pPr>
        <w:adjustRightInd w:val="0"/>
        <w:snapToGrid w:val="0"/>
        <w:spacing w:line="360" w:lineRule="auto"/>
        <w:ind w:right="-10" w:firstLine="420" w:firstLineChars="175"/>
        <w:rPr>
          <w:rFonts w:hint="eastAsia" w:ascii="宋体" w:hAnsi="宋体"/>
          <w:bCs/>
          <w:sz w:val="24"/>
        </w:rPr>
      </w:pPr>
      <w:r>
        <w:rPr>
          <w:rFonts w:hint="eastAsia" w:ascii="宋体" w:hAnsi="宋体"/>
          <w:b/>
          <w:bCs w:val="0"/>
          <w:sz w:val="24"/>
          <w:lang w:val="en-US" w:eastAsia="zh-CN"/>
        </w:rPr>
        <w:t>第九条</w:t>
      </w:r>
      <w:r>
        <w:rPr>
          <w:rFonts w:hint="eastAsia" w:ascii="宋体" w:hAnsi="宋体"/>
          <w:bCs/>
          <w:sz w:val="24"/>
          <w:lang w:val="en-US" w:eastAsia="zh-CN"/>
        </w:rPr>
        <w:t xml:space="preserve"> </w:t>
      </w:r>
      <w:r>
        <w:rPr>
          <w:rFonts w:hint="eastAsia" w:ascii="宋体" w:hAnsi="宋体"/>
          <w:bCs/>
          <w:sz w:val="24"/>
        </w:rPr>
        <w:t>评标委员会在评标过程中发现的问题，应当及时作出处理或者向招标人提出处理建议，并作书面记录。</w:t>
      </w:r>
    </w:p>
    <w:p w14:paraId="1DBC1A79">
      <w:pPr>
        <w:adjustRightInd w:val="0"/>
        <w:snapToGrid w:val="0"/>
        <w:spacing w:line="360" w:lineRule="auto"/>
        <w:ind w:right="-10" w:firstLine="420" w:firstLineChars="175"/>
        <w:rPr>
          <w:rFonts w:hint="eastAsia" w:ascii="宋体" w:hAnsi="宋体"/>
          <w:bCs/>
          <w:sz w:val="24"/>
        </w:rPr>
      </w:pPr>
      <w:r>
        <w:rPr>
          <w:rFonts w:hint="eastAsia" w:ascii="宋体" w:hAnsi="宋体"/>
          <w:b/>
          <w:bCs w:val="0"/>
          <w:sz w:val="24"/>
          <w:lang w:val="en-US" w:eastAsia="zh-CN"/>
        </w:rPr>
        <w:t>第十条</w:t>
      </w:r>
      <w:r>
        <w:rPr>
          <w:rFonts w:hint="eastAsia" w:ascii="宋体" w:hAnsi="宋体"/>
          <w:bCs/>
          <w:sz w:val="24"/>
          <w:lang w:val="en-US" w:eastAsia="zh-CN"/>
        </w:rPr>
        <w:t xml:space="preserve"> </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15DFC7B6">
      <w:pPr>
        <w:adjustRightInd w:val="0"/>
        <w:snapToGrid w:val="0"/>
        <w:spacing w:line="360" w:lineRule="auto"/>
        <w:ind w:right="-10" w:firstLine="420" w:firstLineChars="175"/>
        <w:rPr>
          <w:rFonts w:ascii="宋体" w:hAnsi="宋体"/>
          <w:bCs/>
          <w:sz w:val="24"/>
        </w:rPr>
      </w:pPr>
      <w:r>
        <w:rPr>
          <w:rFonts w:hint="eastAsia" w:ascii="宋体" w:hAnsi="宋体"/>
          <w:b/>
          <w:bCs w:val="0"/>
          <w:sz w:val="24"/>
          <w:lang w:val="en-US" w:eastAsia="zh-CN"/>
        </w:rPr>
        <w:t>第十一条</w:t>
      </w:r>
      <w:r>
        <w:rPr>
          <w:rFonts w:hint="eastAsia" w:ascii="宋体" w:hAnsi="宋体"/>
          <w:bCs/>
          <w:sz w:val="24"/>
          <w:lang w:val="en-US" w:eastAsia="zh-CN"/>
        </w:rPr>
        <w:t xml:space="preserve"> </w:t>
      </w:r>
      <w:r>
        <w:rPr>
          <w:rFonts w:hint="eastAsia" w:ascii="宋体" w:hAnsi="宋体"/>
          <w:bCs/>
          <w:sz w:val="24"/>
        </w:rPr>
        <w:t>评标委员会和评标工作人员应严格遵守国家的法律、法规和规章制度；严格按照本次招标文件进行评标；公正廉洁、不徇私情，不得损害国家利益；保护招、投标人的合法权益。</w:t>
      </w:r>
    </w:p>
    <w:p w14:paraId="2AC8BC76">
      <w:pPr>
        <w:pStyle w:val="22"/>
        <w:spacing w:line="360" w:lineRule="auto"/>
        <w:ind w:right="-10" w:firstLine="482"/>
        <w:rPr>
          <w:rFonts w:hint="eastAsia" w:ascii="宋体" w:hAnsi="宋体" w:eastAsia="宋体"/>
          <w:bCs/>
          <w:sz w:val="24"/>
        </w:rPr>
      </w:pPr>
      <w:r>
        <w:rPr>
          <w:rFonts w:hint="eastAsia" w:ascii="宋体" w:hAnsi="宋体" w:eastAsia="宋体"/>
          <w:b/>
          <w:bCs w:val="0"/>
          <w:sz w:val="24"/>
          <w:lang w:val="en-US" w:eastAsia="zh-CN"/>
        </w:rPr>
        <w:t>第十二条</w:t>
      </w:r>
      <w:r>
        <w:rPr>
          <w:rFonts w:hint="eastAsia" w:ascii="宋体" w:hAnsi="宋体" w:eastAsia="宋体"/>
          <w:bCs/>
          <w:sz w:val="24"/>
          <w:lang w:val="en-US" w:eastAsia="zh-CN"/>
        </w:rPr>
        <w:t xml:space="preserve"> </w:t>
      </w:r>
      <w:r>
        <w:rPr>
          <w:rFonts w:hint="eastAsia" w:ascii="宋体" w:hAnsi="宋体" w:eastAsia="宋体"/>
          <w:bCs/>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6E601AC3">
      <w:pPr>
        <w:snapToGrid w:val="0"/>
        <w:spacing w:line="560" w:lineRule="exact"/>
        <w:rPr>
          <w:rFonts w:hint="eastAsia"/>
          <w:b/>
          <w:sz w:val="28"/>
          <w:szCs w:val="28"/>
          <w:highlight w:val="none"/>
        </w:rPr>
      </w:pPr>
    </w:p>
    <w:p w14:paraId="7FFFF179">
      <w:pPr>
        <w:pStyle w:val="35"/>
        <w:rPr>
          <w:highlight w:val="none"/>
        </w:rPr>
      </w:pPr>
    </w:p>
    <w:p w14:paraId="6B439766">
      <w:pPr>
        <w:pStyle w:val="35"/>
        <w:rPr>
          <w:rFonts w:hint="eastAsia"/>
          <w:highlight w:val="none"/>
        </w:rPr>
      </w:pPr>
    </w:p>
    <w:p w14:paraId="4831AFF7">
      <w:pPr>
        <w:rPr>
          <w:rFonts w:hint="eastAsia" w:hAnsi="宋体"/>
          <w:color w:val="000000"/>
          <w:sz w:val="24"/>
          <w:szCs w:val="24"/>
          <w:highlight w:val="none"/>
        </w:rPr>
      </w:pPr>
      <w:bookmarkStart w:id="24" w:name="_Toc273602349"/>
      <w:bookmarkStart w:id="25" w:name="_Toc245714167"/>
      <w:bookmarkStart w:id="26" w:name="_Toc328559330"/>
      <w:bookmarkStart w:id="27" w:name="_Toc232819544"/>
      <w:bookmarkStart w:id="28" w:name="_Toc297563647"/>
      <w:r>
        <w:rPr>
          <w:rFonts w:hint="eastAsia" w:hAnsi="宋体"/>
          <w:color w:val="000000"/>
          <w:sz w:val="24"/>
          <w:szCs w:val="24"/>
          <w:highlight w:val="none"/>
        </w:rPr>
        <w:br w:type="page"/>
      </w:r>
    </w:p>
    <w:p w14:paraId="7BE72A3E">
      <w:pPr>
        <w:pStyle w:val="4"/>
        <w:spacing w:before="0" w:after="0"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第</w:t>
      </w:r>
      <w:r>
        <w:rPr>
          <w:rFonts w:hint="eastAsia" w:hAnsi="宋体"/>
          <w:color w:val="000000"/>
          <w:sz w:val="24"/>
          <w:szCs w:val="24"/>
          <w:highlight w:val="none"/>
          <w:lang w:eastAsia="zh-CN"/>
        </w:rPr>
        <w:t>四</w:t>
      </w:r>
      <w:r>
        <w:rPr>
          <w:rFonts w:hint="eastAsia" w:hAnsi="宋体"/>
          <w:color w:val="000000"/>
          <w:sz w:val="24"/>
          <w:szCs w:val="24"/>
          <w:highlight w:val="none"/>
        </w:rPr>
        <w:t>章 开标与评标</w:t>
      </w:r>
      <w:bookmarkEnd w:id="24"/>
      <w:bookmarkEnd w:id="25"/>
      <w:bookmarkEnd w:id="26"/>
      <w:bookmarkEnd w:id="27"/>
      <w:bookmarkEnd w:id="28"/>
    </w:p>
    <w:p w14:paraId="0B45EE55">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一、开标</w:t>
      </w:r>
    </w:p>
    <w:p w14:paraId="166F945D">
      <w:pPr>
        <w:spacing w:line="440" w:lineRule="exact"/>
        <w:ind w:firstLine="55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招标人</w:t>
      </w:r>
      <w:r>
        <w:rPr>
          <w:rFonts w:hint="eastAsia" w:ascii="宋体" w:hAnsi="宋体"/>
          <w:color w:val="000000"/>
          <w:sz w:val="24"/>
          <w:highlight w:val="none"/>
        </w:rPr>
        <w:t>将在投标</w:t>
      </w:r>
      <w:bookmarkStart w:id="29" w:name="_Hlt509649432"/>
      <w:bookmarkEnd w:id="29"/>
      <w:r>
        <w:rPr>
          <w:rFonts w:hint="eastAsia" w:ascii="宋体" w:hAnsi="宋体"/>
          <w:color w:val="000000"/>
          <w:sz w:val="24"/>
          <w:highlight w:val="none"/>
        </w:rPr>
        <w:t>人须知前附表规定的时间和地点组织公开开标。投标人授权代表应携带身份证明参加并签到。</w:t>
      </w:r>
    </w:p>
    <w:p w14:paraId="04C194DA">
      <w:pPr>
        <w:spacing w:line="440" w:lineRule="exact"/>
        <w:ind w:firstLine="550"/>
        <w:rPr>
          <w:rFonts w:hint="eastAsia" w:ascii="宋体" w:hAnsi="宋体"/>
          <w:bCs/>
          <w:color w:val="000000"/>
          <w:sz w:val="24"/>
          <w:highlight w:val="none"/>
        </w:rPr>
      </w:pPr>
      <w:r>
        <w:rPr>
          <w:rFonts w:hint="eastAsia" w:ascii="宋体" w:hAnsi="宋体"/>
          <w:bCs/>
          <w:color w:val="000000"/>
          <w:sz w:val="24"/>
          <w:highlight w:val="none"/>
        </w:rPr>
        <w:t>2、开标前，</w:t>
      </w:r>
      <w:r>
        <w:rPr>
          <w:rFonts w:hint="eastAsia" w:ascii="宋体" w:hAnsi="宋体"/>
          <w:bCs/>
          <w:color w:val="000000"/>
          <w:sz w:val="24"/>
          <w:highlight w:val="none"/>
          <w:lang w:eastAsia="zh-CN"/>
        </w:rPr>
        <w:t>招标人</w:t>
      </w:r>
      <w:r>
        <w:rPr>
          <w:rFonts w:hint="eastAsia" w:ascii="宋体" w:hAnsi="宋体"/>
          <w:bCs/>
          <w:color w:val="000000"/>
          <w:sz w:val="24"/>
          <w:highlight w:val="none"/>
        </w:rPr>
        <w:t>将会同监督人员或公证人员进行验标（检查投标文件密封情况），并宣布检查结果。确认无误后开标。</w:t>
      </w:r>
    </w:p>
    <w:p w14:paraId="4EA6FB1D">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、商务标开标时，</w:t>
      </w:r>
      <w:r>
        <w:rPr>
          <w:rFonts w:hint="eastAsia" w:ascii="宋体" w:hAnsi="宋体"/>
          <w:bCs/>
          <w:color w:val="000000"/>
          <w:sz w:val="24"/>
          <w:szCs w:val="24"/>
          <w:highlight w:val="none"/>
          <w:lang w:eastAsia="zh-CN"/>
        </w:rPr>
        <w:t>招标人</w:t>
      </w:r>
      <w:r>
        <w:rPr>
          <w:rFonts w:hint="eastAsia" w:ascii="宋体" w:hAnsi="宋体"/>
          <w:bCs/>
          <w:color w:val="000000"/>
          <w:sz w:val="24"/>
          <w:szCs w:val="24"/>
          <w:highlight w:val="none"/>
        </w:rPr>
        <w:t>将当众宣读投标人名称、投标价格、书面修改和撤回投标的通知，以及</w:t>
      </w:r>
      <w:r>
        <w:rPr>
          <w:rFonts w:hint="eastAsia" w:ascii="宋体" w:hAnsi="宋体"/>
          <w:bCs/>
          <w:color w:val="000000"/>
          <w:sz w:val="24"/>
          <w:szCs w:val="24"/>
          <w:highlight w:val="none"/>
          <w:lang w:eastAsia="zh-CN"/>
        </w:rPr>
        <w:t>招标人</w:t>
      </w:r>
      <w:r>
        <w:rPr>
          <w:rFonts w:hint="eastAsia" w:ascii="宋体" w:hAnsi="宋体"/>
          <w:bCs/>
          <w:color w:val="000000"/>
          <w:sz w:val="24"/>
          <w:szCs w:val="24"/>
          <w:highlight w:val="none"/>
        </w:rPr>
        <w:t>认为合适的其它详细内容。只有在开标时唱出的优惠，评标时才予以考虑。</w:t>
      </w:r>
    </w:p>
    <w:p w14:paraId="399A6915">
      <w:pPr>
        <w:spacing w:line="360" w:lineRule="auto"/>
        <w:ind w:firstLine="480" w:firstLineChars="200"/>
        <w:rPr>
          <w:rFonts w:hint="eastAsia" w:ascii="宋体" w:hAnsi="宋体"/>
          <w:color w:val="000000"/>
          <w:sz w:val="24"/>
          <w:szCs w:val="24"/>
          <w:highlight w:val="none"/>
        </w:rPr>
      </w:pPr>
      <w:r>
        <w:rPr>
          <w:rFonts w:hint="eastAsia" w:ascii="宋体" w:hAnsi="宋体"/>
          <w:bCs/>
          <w:color w:val="000000"/>
          <w:sz w:val="24"/>
          <w:szCs w:val="24"/>
          <w:highlight w:val="none"/>
          <w:lang w:val="en-US" w:eastAsia="zh-CN"/>
        </w:rPr>
        <w:t>4</w:t>
      </w:r>
      <w:r>
        <w:rPr>
          <w:rFonts w:hint="eastAsia" w:ascii="宋体" w:hAnsi="宋体"/>
          <w:bCs/>
          <w:color w:val="000000"/>
          <w:sz w:val="24"/>
          <w:szCs w:val="24"/>
          <w:highlight w:val="none"/>
        </w:rPr>
        <w:t>、在评审结束前，未得到</w:t>
      </w:r>
      <w:r>
        <w:rPr>
          <w:rFonts w:hint="eastAsia" w:ascii="宋体" w:hAnsi="宋体"/>
          <w:bCs/>
          <w:color w:val="000000"/>
          <w:sz w:val="24"/>
          <w:szCs w:val="24"/>
          <w:highlight w:val="none"/>
          <w:lang w:eastAsia="zh-CN"/>
        </w:rPr>
        <w:t>招标人</w:t>
      </w:r>
      <w:r>
        <w:rPr>
          <w:rFonts w:hint="eastAsia" w:ascii="宋体" w:hAnsi="宋体"/>
          <w:bCs/>
          <w:color w:val="000000"/>
          <w:sz w:val="24"/>
          <w:szCs w:val="24"/>
          <w:highlight w:val="none"/>
        </w:rPr>
        <w:t>允许，投标人授权代表不得离开开标现场。</w:t>
      </w:r>
    </w:p>
    <w:p w14:paraId="62CE2B16">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二、投标文件的澄清、说明或补正</w:t>
      </w:r>
    </w:p>
    <w:p w14:paraId="2217E3D4">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0AF1179C">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14:paraId="4A2A50F0">
      <w:pPr>
        <w:spacing w:line="360" w:lineRule="auto"/>
        <w:ind w:firstLine="480" w:firstLineChars="200"/>
        <w:rPr>
          <w:rFonts w:hint="eastAsia" w:ascii="宋体" w:hAnsi="宋体"/>
          <w:bCs/>
          <w:color w:val="000000"/>
          <w:sz w:val="24"/>
          <w:szCs w:val="24"/>
          <w:highlight w:val="none"/>
        </w:rPr>
      </w:pPr>
      <w:r>
        <w:rPr>
          <w:rFonts w:hint="eastAsia" w:ascii="宋体" w:hAnsi="宋体"/>
          <w:color w:val="000000"/>
          <w:sz w:val="24"/>
          <w:szCs w:val="24"/>
          <w:highlight w:val="none"/>
        </w:rPr>
        <w:t>3、</w:t>
      </w:r>
      <w:r>
        <w:rPr>
          <w:rFonts w:hint="eastAsia" w:ascii="宋体" w:hAnsi="宋体"/>
          <w:bCs/>
          <w:color w:val="000000"/>
          <w:sz w:val="24"/>
          <w:szCs w:val="24"/>
          <w:highlight w:val="none"/>
        </w:rPr>
        <w:t>开标一览表内容与投标文件中明细表内容不一致的，以开标一览表为准。</w:t>
      </w:r>
    </w:p>
    <w:p w14:paraId="24E362E0">
      <w:pPr>
        <w:spacing w:line="360" w:lineRule="auto"/>
        <w:ind w:firstLine="480" w:firstLineChars="200"/>
        <w:rPr>
          <w:rFonts w:hint="eastAsia" w:ascii="宋体" w:hAnsi="宋体"/>
          <w:color w:val="000000"/>
          <w:sz w:val="24"/>
          <w:szCs w:val="24"/>
          <w:highlight w:val="none"/>
        </w:rPr>
      </w:pPr>
      <w:r>
        <w:rPr>
          <w:rFonts w:hint="eastAsia" w:ascii="宋体" w:hAnsi="宋体"/>
          <w:b/>
          <w:color w:val="000000"/>
          <w:sz w:val="24"/>
          <w:szCs w:val="24"/>
          <w:highlight w:val="none"/>
        </w:rPr>
        <w:t>三、评标</w:t>
      </w:r>
    </w:p>
    <w:p w14:paraId="75882679">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1、评委会将按照招标文件规定的评标办法对投标人进行评审。</w:t>
      </w:r>
    </w:p>
    <w:p w14:paraId="1948AA53">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w:t>
      </w:r>
      <w:r>
        <w:rPr>
          <w:rFonts w:hint="eastAsia" w:ascii="宋体" w:hAnsi="宋体"/>
          <w:color w:val="000000"/>
          <w:sz w:val="24"/>
          <w:highlight w:val="none"/>
          <w:lang w:eastAsia="zh-CN"/>
        </w:rPr>
        <w:t>资格审核</w:t>
      </w:r>
      <w:r>
        <w:rPr>
          <w:rFonts w:hint="eastAsia" w:ascii="宋体" w:hAnsi="宋体"/>
          <w:color w:val="000000"/>
          <w:sz w:val="24"/>
          <w:highlight w:val="none"/>
        </w:rPr>
        <w:t>时，评委会将首先审查投标文件是否实质上响应招标文件的</w:t>
      </w:r>
      <w:r>
        <w:rPr>
          <w:rFonts w:hint="eastAsia" w:ascii="宋体" w:hAnsi="宋体"/>
          <w:color w:val="000000"/>
          <w:sz w:val="24"/>
          <w:highlight w:val="none"/>
          <w:lang w:eastAsia="zh-CN"/>
        </w:rPr>
        <w:t>资格审核</w:t>
      </w:r>
      <w:r>
        <w:rPr>
          <w:rFonts w:hint="eastAsia" w:ascii="宋体" w:hAnsi="宋体"/>
          <w:color w:val="000000"/>
          <w:sz w:val="24"/>
          <w:highlight w:val="none"/>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482100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3、如果投标文件未通过</w:t>
      </w:r>
      <w:r>
        <w:rPr>
          <w:rFonts w:hint="eastAsia" w:ascii="宋体" w:hAnsi="宋体"/>
          <w:color w:val="000000"/>
          <w:sz w:val="24"/>
          <w:highlight w:val="none"/>
          <w:lang w:eastAsia="zh-CN"/>
        </w:rPr>
        <w:t>资格审核</w:t>
      </w:r>
      <w:r>
        <w:rPr>
          <w:rFonts w:hint="eastAsia" w:ascii="宋体" w:hAnsi="宋体"/>
          <w:color w:val="000000"/>
          <w:sz w:val="24"/>
          <w:highlight w:val="none"/>
        </w:rPr>
        <w:t>，投标无效。</w:t>
      </w:r>
    </w:p>
    <w:p w14:paraId="3B933BCA">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4、评委会决定投标文件的响应性及符合性只根据投标文件本身的内容，而不寻求其他外部证据。</w:t>
      </w:r>
    </w:p>
    <w:p w14:paraId="3205C89E">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四、有下列情况之一者，投标文件无效</w:t>
      </w:r>
    </w:p>
    <w:p w14:paraId="782ACFC7">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延期送达标书的；</w:t>
      </w:r>
    </w:p>
    <w:p w14:paraId="6E6A572E">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商务报价文件有2个或以上报价的；</w:t>
      </w:r>
    </w:p>
    <w:p w14:paraId="7C0A08D5">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投标报价高于控制价的；</w:t>
      </w:r>
    </w:p>
    <w:p w14:paraId="643692C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企业资质条件或建造师（或相关专业项目经理）资质条件不符合招标文件要求的；</w:t>
      </w:r>
    </w:p>
    <w:p w14:paraId="070C149E">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明显低价又未能给出合理说明的；</w:t>
      </w:r>
    </w:p>
    <w:p w14:paraId="1B5A26CE">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未实质性响应招标文件要求的（包括工期、质量和质保期等重要条件）；</w:t>
      </w:r>
    </w:p>
    <w:p w14:paraId="349F1795">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未提供规范合理的施工组织设计；</w:t>
      </w:r>
    </w:p>
    <w:p w14:paraId="118F518B">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发现提供虚假资料、虚假承诺的一切弄虚作假行为的。</w:t>
      </w:r>
    </w:p>
    <w:p w14:paraId="2E5AB7D4">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其他未能实质性响应招标文件的。</w:t>
      </w:r>
    </w:p>
    <w:p w14:paraId="474D3395">
      <w:pPr>
        <w:spacing w:line="360" w:lineRule="auto"/>
        <w:ind w:firstLine="480" w:firstLineChars="200"/>
        <w:rPr>
          <w:rFonts w:hint="eastAsia" w:ascii="宋体" w:hAnsi="宋体"/>
          <w:b/>
          <w:bCs/>
          <w:color w:val="000000"/>
          <w:sz w:val="24"/>
          <w:szCs w:val="24"/>
          <w:highlight w:val="none"/>
        </w:rPr>
      </w:pPr>
      <w:r>
        <w:rPr>
          <w:rFonts w:hint="eastAsia" w:ascii="宋体" w:hAnsi="宋体"/>
          <w:b/>
          <w:bCs/>
          <w:color w:val="000000"/>
          <w:sz w:val="24"/>
          <w:szCs w:val="24"/>
          <w:highlight w:val="none"/>
        </w:rPr>
        <w:t>五、废标处理</w:t>
      </w:r>
    </w:p>
    <w:p w14:paraId="7F38747B">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在招标采购中，出现下列情形之一的，</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有权宣布废标：</w:t>
      </w:r>
    </w:p>
    <w:p w14:paraId="56A3AE5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1、符合专业条件的投标人或对招标文件作实质响应的投标人不足三家的；</w:t>
      </w:r>
    </w:p>
    <w:p w14:paraId="56EB555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2、投标人的报价均超过</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预算，招标人不能支付的；</w:t>
      </w:r>
    </w:p>
    <w:p w14:paraId="73B7CD3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3、出现影响采购公正的违法、违规行为的；</w:t>
      </w:r>
    </w:p>
    <w:p w14:paraId="0D25B373">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4、因重大变故，</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任务取消的。</w:t>
      </w:r>
    </w:p>
    <w:p w14:paraId="5C811EAA">
      <w:pPr>
        <w:spacing w:line="360" w:lineRule="auto"/>
        <w:ind w:firstLine="480" w:firstLineChars="200"/>
        <w:rPr>
          <w:rFonts w:hint="eastAsia" w:ascii="宋体" w:hAnsi="宋体"/>
          <w:color w:val="000000"/>
          <w:sz w:val="24"/>
          <w:szCs w:val="24"/>
          <w:highlight w:val="none"/>
        </w:rPr>
      </w:pPr>
    </w:p>
    <w:p w14:paraId="52885047">
      <w:pPr>
        <w:rPr>
          <w:rFonts w:hint="eastAsia" w:hAnsi="宋体"/>
          <w:color w:val="000000"/>
          <w:sz w:val="24"/>
          <w:szCs w:val="24"/>
          <w:highlight w:val="none"/>
        </w:rPr>
      </w:pPr>
      <w:bookmarkStart w:id="30" w:name="_Toc232819545"/>
      <w:bookmarkStart w:id="31" w:name="_Toc328559331"/>
      <w:bookmarkStart w:id="32" w:name="_Toc245714168"/>
      <w:bookmarkStart w:id="33" w:name="_Toc273602350"/>
      <w:bookmarkStart w:id="34" w:name="_Toc297563648"/>
      <w:bookmarkStart w:id="35" w:name="_Toc516969091"/>
      <w:r>
        <w:rPr>
          <w:rFonts w:hint="eastAsia" w:hAnsi="宋体"/>
          <w:color w:val="000000"/>
          <w:sz w:val="24"/>
          <w:szCs w:val="24"/>
          <w:highlight w:val="none"/>
        </w:rPr>
        <w:br w:type="page"/>
      </w:r>
    </w:p>
    <w:p w14:paraId="5C0BCA7D">
      <w:pPr>
        <w:pStyle w:val="4"/>
        <w:spacing w:before="0" w:after="0"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第</w:t>
      </w:r>
      <w:r>
        <w:rPr>
          <w:rFonts w:hint="eastAsia" w:hAnsi="宋体"/>
          <w:color w:val="000000"/>
          <w:sz w:val="24"/>
          <w:szCs w:val="24"/>
          <w:highlight w:val="none"/>
          <w:lang w:eastAsia="zh-CN"/>
        </w:rPr>
        <w:t>五</w:t>
      </w:r>
      <w:r>
        <w:rPr>
          <w:rFonts w:hint="eastAsia" w:hAnsi="宋体"/>
          <w:color w:val="000000"/>
          <w:sz w:val="24"/>
          <w:szCs w:val="24"/>
          <w:highlight w:val="none"/>
        </w:rPr>
        <w:t>章 定标与签订合同</w:t>
      </w:r>
      <w:bookmarkEnd w:id="30"/>
      <w:bookmarkEnd w:id="31"/>
      <w:bookmarkEnd w:id="32"/>
      <w:bookmarkEnd w:id="33"/>
      <w:bookmarkEnd w:id="34"/>
      <w:bookmarkEnd w:id="35"/>
    </w:p>
    <w:p w14:paraId="10A29471">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一、定标</w:t>
      </w:r>
    </w:p>
    <w:p w14:paraId="0A3B683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1、评委会按招标文件规定的评标办法排出中标候选人。</w:t>
      </w:r>
    </w:p>
    <w:p w14:paraId="43209F8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476EC382">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3、原则上把合同授予实质上响应招标文件要求的排名最前的中标候选人或通过上条资格审查的中标候选人。</w:t>
      </w:r>
    </w:p>
    <w:p w14:paraId="48C2563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 最低报价并不是被授予合同的保证。</w:t>
      </w:r>
    </w:p>
    <w:p w14:paraId="4F55156F">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二、中标通知书</w:t>
      </w:r>
    </w:p>
    <w:p w14:paraId="5A7C298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将以中标通知书形式通知中标人，其投标已被接受。</w:t>
      </w:r>
    </w:p>
    <w:p w14:paraId="178F2BF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对未中标的投标人不做未中标原因的解释。</w:t>
      </w:r>
    </w:p>
    <w:p w14:paraId="204C1498">
      <w:pPr>
        <w:spacing w:line="360" w:lineRule="auto"/>
        <w:ind w:firstLine="480" w:firstLineChars="200"/>
        <w:rPr>
          <w:rFonts w:hint="eastAsia" w:ascii="宋体" w:hAnsi="宋体"/>
          <w:b/>
          <w:color w:val="000000"/>
          <w:sz w:val="24"/>
          <w:szCs w:val="24"/>
          <w:highlight w:val="none"/>
        </w:rPr>
      </w:pPr>
      <w:r>
        <w:rPr>
          <w:rFonts w:hint="eastAsia" w:ascii="宋体" w:hAnsi="宋体"/>
          <w:b/>
          <w:sz w:val="24"/>
          <w:szCs w:val="24"/>
          <w:highlight w:val="none"/>
        </w:rPr>
        <w:t>三、</w:t>
      </w:r>
      <w:r>
        <w:rPr>
          <w:rFonts w:hint="eastAsia" w:ascii="宋体" w:hAnsi="宋体"/>
          <w:b/>
          <w:color w:val="000000"/>
          <w:sz w:val="24"/>
          <w:szCs w:val="24"/>
          <w:highlight w:val="none"/>
        </w:rPr>
        <w:t>签订合同</w:t>
      </w:r>
    </w:p>
    <w:p w14:paraId="07AB2A7E">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1、中标人应在中标通知书发出之日起三</w:t>
      </w:r>
      <w:r>
        <w:rPr>
          <w:rFonts w:hint="eastAsia" w:ascii="宋体" w:hAnsi="宋体"/>
          <w:color w:val="000000"/>
          <w:sz w:val="24"/>
          <w:szCs w:val="24"/>
          <w:highlight w:val="none"/>
          <w:lang w:eastAsia="zh-CN"/>
        </w:rPr>
        <w:t>十</w:t>
      </w:r>
      <w:r>
        <w:rPr>
          <w:rFonts w:hint="eastAsia" w:ascii="宋体" w:hAnsi="宋体"/>
          <w:color w:val="000000"/>
          <w:sz w:val="24"/>
          <w:szCs w:val="24"/>
          <w:highlight w:val="none"/>
        </w:rPr>
        <w:t>日内（具体时间、地点见中标通知书）与委托人签订合同。招标文件、中标人的投标文件及澄清文件等，均作为合同的附件。</w:t>
      </w:r>
    </w:p>
    <w:p w14:paraId="61F4C61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2、招标人保留以书面形式要求合同的卖方对其所投服务的地点及服务细则等作适当调整的权利。</w:t>
      </w:r>
    </w:p>
    <w:p w14:paraId="1E26B86B">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四、未尽事宜</w:t>
      </w:r>
    </w:p>
    <w:p w14:paraId="36E3C3AC">
      <w:pPr>
        <w:spacing w:line="360" w:lineRule="auto"/>
        <w:ind w:firstLine="480" w:firstLineChars="200"/>
        <w:rPr>
          <w:rFonts w:hint="eastAsia" w:ascii="宋体" w:hAnsi="宋体"/>
          <w:b/>
          <w:color w:val="000000"/>
          <w:sz w:val="24"/>
          <w:szCs w:val="24"/>
          <w:highlight w:val="none"/>
        </w:rPr>
      </w:pPr>
      <w:r>
        <w:rPr>
          <w:rFonts w:hint="eastAsia" w:ascii="宋体" w:hAnsi="宋体"/>
          <w:color w:val="000000"/>
          <w:sz w:val="24"/>
          <w:szCs w:val="24"/>
          <w:highlight w:val="none"/>
        </w:rPr>
        <w:t>按</w:t>
      </w:r>
      <w:r>
        <w:rPr>
          <w:rFonts w:hint="eastAsia" w:ascii="宋体" w:hAnsi="宋体" w:eastAsia="宋体"/>
          <w:bCs/>
          <w:sz w:val="24"/>
          <w:highlight w:val="none"/>
        </w:rPr>
        <w:t>《中华人民共和国招标投标法》</w:t>
      </w:r>
      <w:r>
        <w:rPr>
          <w:rFonts w:hint="eastAsia" w:ascii="宋体" w:hAnsi="宋体" w:eastAsia="宋体"/>
          <w:bCs/>
          <w:sz w:val="24"/>
          <w:highlight w:val="none"/>
          <w:lang w:eastAsia="zh-CN"/>
        </w:rPr>
        <w:t>、</w:t>
      </w:r>
      <w:r>
        <w:rPr>
          <w:rFonts w:hint="eastAsia" w:ascii="宋体" w:hAnsi="宋体"/>
          <w:color w:val="000000"/>
          <w:sz w:val="24"/>
          <w:szCs w:val="24"/>
          <w:highlight w:val="none"/>
        </w:rPr>
        <w:t>《中华人民共和国政府采购法》及其他有关法律法规的规定执行。</w:t>
      </w:r>
    </w:p>
    <w:p w14:paraId="7BCD78BF">
      <w:pPr>
        <w:spacing w:line="360" w:lineRule="auto"/>
        <w:ind w:firstLine="480" w:firstLineChars="200"/>
        <w:rPr>
          <w:rFonts w:hint="eastAsia" w:ascii="宋体" w:hAnsi="宋体"/>
          <w:b/>
          <w:color w:val="000000"/>
          <w:sz w:val="24"/>
          <w:szCs w:val="24"/>
          <w:highlight w:val="none"/>
        </w:rPr>
      </w:pPr>
      <w:r>
        <w:rPr>
          <w:rFonts w:hint="eastAsia" w:ascii="宋体" w:hAnsi="宋体"/>
          <w:b/>
          <w:color w:val="000000"/>
          <w:sz w:val="24"/>
          <w:szCs w:val="24"/>
          <w:highlight w:val="none"/>
        </w:rPr>
        <w:t>五、解释权</w:t>
      </w:r>
    </w:p>
    <w:p w14:paraId="45708DF6">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本招标文件的解释权属于</w:t>
      </w:r>
      <w:r>
        <w:rPr>
          <w:rFonts w:hint="eastAsia" w:ascii="宋体" w:hAnsi="宋体"/>
          <w:bCs/>
          <w:color w:val="000000"/>
          <w:sz w:val="24"/>
          <w:szCs w:val="24"/>
          <w:highlight w:val="none"/>
          <w:lang w:val="en-US" w:eastAsia="zh-CN"/>
        </w:rPr>
        <w:t>合肥合肥罍街文化旅游发展有限公司</w:t>
      </w:r>
      <w:r>
        <w:rPr>
          <w:rFonts w:hint="eastAsia" w:ascii="宋体" w:hAnsi="宋体"/>
          <w:bCs/>
          <w:color w:val="000000"/>
          <w:sz w:val="24"/>
          <w:szCs w:val="24"/>
          <w:highlight w:val="none"/>
        </w:rPr>
        <w:t>。</w:t>
      </w:r>
    </w:p>
    <w:p w14:paraId="09AC05E5">
      <w:pPr>
        <w:rPr>
          <w:rFonts w:hint="eastAsia" w:ascii="宋体" w:hAnsi="宋体" w:eastAsia="宋体"/>
          <w:szCs w:val="36"/>
          <w:highlight w:val="none"/>
        </w:rPr>
      </w:pPr>
      <w:bookmarkStart w:id="36" w:name="_Toc328559332"/>
      <w:bookmarkStart w:id="37" w:name="_Toc220232392"/>
      <w:bookmarkStart w:id="38" w:name="_Toc236562395"/>
      <w:r>
        <w:rPr>
          <w:rFonts w:hint="eastAsia" w:ascii="宋体" w:hAnsi="宋体" w:eastAsia="宋体"/>
          <w:szCs w:val="36"/>
          <w:highlight w:val="none"/>
        </w:rPr>
        <w:br w:type="page"/>
      </w:r>
    </w:p>
    <w:p w14:paraId="30111E23">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outlineLvl w:val="0"/>
        <w:rPr>
          <w:rFonts w:hint="eastAsia" w:ascii="宋体" w:hAnsi="宋体" w:eastAsia="宋体"/>
          <w:szCs w:val="36"/>
        </w:rPr>
      </w:pPr>
      <w:r>
        <w:rPr>
          <w:rFonts w:hint="eastAsia" w:ascii="宋体" w:hAnsi="宋体" w:eastAsia="宋体"/>
          <w:szCs w:val="36"/>
        </w:rPr>
        <w:t>第</w:t>
      </w:r>
      <w:r>
        <w:rPr>
          <w:rFonts w:hint="eastAsia" w:ascii="宋体" w:hAnsi="宋体" w:eastAsia="宋体"/>
          <w:szCs w:val="36"/>
          <w:lang w:eastAsia="zh-CN"/>
        </w:rPr>
        <w:t>六</w:t>
      </w:r>
      <w:r>
        <w:rPr>
          <w:rFonts w:hint="eastAsia" w:ascii="宋体" w:hAnsi="宋体" w:eastAsia="宋体"/>
          <w:szCs w:val="36"/>
        </w:rPr>
        <w:t xml:space="preserve">章 </w:t>
      </w:r>
      <w:r>
        <w:rPr>
          <w:rFonts w:ascii="宋体" w:hAnsi="宋体" w:eastAsia="宋体"/>
          <w:szCs w:val="36"/>
        </w:rPr>
        <w:t>合同</w:t>
      </w:r>
      <w:r>
        <w:rPr>
          <w:rFonts w:hint="eastAsia" w:ascii="宋体" w:hAnsi="宋体" w:eastAsia="宋体"/>
          <w:szCs w:val="36"/>
        </w:rPr>
        <w:t>文本及主要条款</w:t>
      </w:r>
    </w:p>
    <w:p w14:paraId="2D0ECDA3">
      <w:pPr>
        <w:pStyle w:val="96"/>
        <w:numPr>
          <w:ilvl w:val="0"/>
          <w:numId w:val="0"/>
        </w:numPr>
        <w:ind w:firstLine="3120" w:firstLineChars="1300"/>
        <w:jc w:val="both"/>
        <w:outlineLvl w:val="1"/>
        <w:rPr>
          <w:rFonts w:hint="eastAsia" w:ascii="宋体" w:hAnsi="宋体"/>
          <w:b w:val="0"/>
          <w:sz w:val="24"/>
          <w:szCs w:val="24"/>
        </w:rPr>
      </w:pPr>
      <w:bookmarkStart w:id="39" w:name="_Toc460227079"/>
      <w:bookmarkStart w:id="40" w:name="_Toc460660194"/>
      <w:bookmarkStart w:id="41" w:name="_Toc245714170"/>
      <w:bookmarkStart w:id="42" w:name="_Toc273602352"/>
      <w:bookmarkStart w:id="43" w:name="_Toc245028818"/>
      <w:r>
        <w:rPr>
          <w:rFonts w:hint="eastAsia" w:ascii="宋体" w:hAnsi="宋体"/>
          <w:b w:val="0"/>
          <w:sz w:val="24"/>
          <w:szCs w:val="24"/>
        </w:rPr>
        <w:t>第一部分  合同协议书</w:t>
      </w:r>
      <w:bookmarkEnd w:id="39"/>
      <w:bookmarkEnd w:id="40"/>
    </w:p>
    <w:p w14:paraId="21D78B1F">
      <w:pPr>
        <w:pStyle w:val="73"/>
        <w:spacing w:line="360" w:lineRule="auto"/>
        <w:ind w:firstLine="480" w:firstLineChars="200"/>
        <w:rPr>
          <w:rFonts w:hint="eastAsia" w:ascii="宋体" w:hAnsi="宋体"/>
          <w:b/>
          <w:sz w:val="24"/>
          <w:u w:val="single"/>
        </w:rPr>
      </w:pPr>
      <w:r>
        <w:rPr>
          <w:rFonts w:hint="eastAsia" w:ascii="宋体" w:hAnsi="宋体"/>
          <w:b/>
          <w:sz w:val="24"/>
        </w:rPr>
        <w:t>发包人（全称）：</w:t>
      </w:r>
      <w:r>
        <w:rPr>
          <w:rFonts w:hint="eastAsia" w:ascii="宋体" w:hAnsi="宋体"/>
          <w:b/>
          <w:sz w:val="24"/>
          <w:u w:val="single"/>
          <w:lang w:val="en-US" w:eastAsia="zh-CN"/>
        </w:rPr>
        <w:t xml:space="preserve">                                   </w:t>
      </w:r>
      <w:r>
        <w:rPr>
          <w:rFonts w:ascii="宋体" w:hAnsi="宋体" w:cs="宋体"/>
          <w:b/>
          <w:sz w:val="24"/>
          <w:u w:val="single"/>
        </w:rPr>
        <w:t></w:t>
      </w:r>
    </w:p>
    <w:p w14:paraId="232CED4F">
      <w:pPr>
        <w:pStyle w:val="73"/>
        <w:spacing w:line="360" w:lineRule="auto"/>
        <w:ind w:firstLine="480" w:firstLineChars="200"/>
        <w:rPr>
          <w:rFonts w:hint="eastAsia" w:ascii="宋体" w:hAnsi="宋体"/>
          <w:b/>
          <w:sz w:val="24"/>
          <w:u w:val="single"/>
        </w:rPr>
      </w:pPr>
      <w:r>
        <w:rPr>
          <w:rFonts w:hint="eastAsia" w:ascii="宋体" w:hAnsi="宋体"/>
          <w:b/>
          <w:sz w:val="24"/>
        </w:rPr>
        <w:t>承包人（全称）：</w:t>
      </w:r>
      <w:r>
        <w:rPr>
          <w:rFonts w:ascii="宋体" w:hAnsi="宋体" w:cs="宋体"/>
          <w:b/>
          <w:sz w:val="24"/>
          <w:u w:val="single"/>
        </w:rPr>
        <w:t></w:t>
      </w:r>
      <w:r>
        <w:rPr>
          <w:rFonts w:hint="eastAsia" w:ascii="宋体" w:hAnsi="宋体"/>
          <w:b/>
          <w:sz w:val="24"/>
          <w:u w:val="single"/>
        </w:rPr>
        <w:t xml:space="preserve">              </w:t>
      </w:r>
      <w:r>
        <w:rPr>
          <w:rFonts w:ascii="宋体" w:hAnsi="宋体" w:cs="宋体"/>
          <w:b/>
          <w:sz w:val="24"/>
          <w:u w:val="single"/>
        </w:rPr>
        <w:t></w:t>
      </w:r>
      <w:r>
        <w:rPr>
          <w:rFonts w:hint="eastAsia" w:ascii="宋体" w:hAnsi="宋体"/>
          <w:b/>
          <w:sz w:val="24"/>
          <w:u w:val="single"/>
        </w:rPr>
        <w:t xml:space="preserve">      </w:t>
      </w:r>
      <w:r>
        <w:rPr>
          <w:rFonts w:ascii="宋体" w:hAnsi="宋体" w:cs="宋体"/>
          <w:b/>
          <w:sz w:val="24"/>
          <w:u w:val="single"/>
        </w:rPr>
        <w:t></w:t>
      </w:r>
      <w:r>
        <w:rPr>
          <w:rFonts w:hint="eastAsia" w:ascii="宋体" w:hAnsi="宋体"/>
          <w:b/>
          <w:sz w:val="24"/>
          <w:u w:val="single"/>
        </w:rPr>
        <w:t xml:space="preserve">  </w:t>
      </w:r>
      <w:r>
        <w:rPr>
          <w:rFonts w:ascii="宋体" w:hAnsi="宋体" w:cs="宋体"/>
          <w:b/>
          <w:sz w:val="24"/>
          <w:u w:val="single"/>
        </w:rPr>
        <w:t></w:t>
      </w:r>
    </w:p>
    <w:p w14:paraId="1BC1CE96">
      <w:pPr>
        <w:pStyle w:val="73"/>
        <w:spacing w:line="360" w:lineRule="auto"/>
        <w:ind w:firstLine="480" w:firstLineChars="200"/>
        <w:rPr>
          <w:rFonts w:hint="eastAsia" w:ascii="宋体" w:hAnsi="宋体"/>
          <w:sz w:val="24"/>
        </w:rPr>
      </w:pPr>
      <w:r>
        <w:rPr>
          <w:rFonts w:hint="eastAsia" w:ascii="宋体" w:hAnsi="宋体"/>
          <w:sz w:val="24"/>
        </w:rPr>
        <w:t>根据《中华人民共和国合同法》、《中华人民共和国建筑法》及有关法律规定，遵循平等、自愿、公平和诚实信用的原则，双方就</w:t>
      </w:r>
      <w:r>
        <w:rPr>
          <w:rFonts w:hint="eastAsia" w:ascii="宋体" w:hAnsi="宋体"/>
          <w:sz w:val="24"/>
          <w:u w:val="single"/>
          <w:lang w:val="en-US" w:eastAsia="zh-CN"/>
        </w:rPr>
        <w:t xml:space="preserve">                       </w:t>
      </w:r>
      <w:r>
        <w:rPr>
          <w:rFonts w:hint="eastAsia" w:ascii="宋体" w:hAnsi="宋体"/>
          <w:sz w:val="24"/>
        </w:rPr>
        <w:t>工程施工及有关事项协商一致，共同达成如下协议：</w:t>
      </w:r>
    </w:p>
    <w:p w14:paraId="11D2AB14">
      <w:pPr>
        <w:pStyle w:val="73"/>
        <w:spacing w:line="360" w:lineRule="auto"/>
        <w:ind w:firstLine="480" w:firstLineChars="200"/>
        <w:outlineLvl w:val="2"/>
        <w:rPr>
          <w:rFonts w:hint="eastAsia" w:ascii="宋体" w:hAnsi="宋体"/>
          <w:b/>
          <w:sz w:val="24"/>
        </w:rPr>
      </w:pPr>
      <w:bookmarkStart w:id="44" w:name="_Toc351203481"/>
      <w:r>
        <w:rPr>
          <w:rFonts w:hint="eastAsia" w:ascii="宋体" w:hAnsi="宋体"/>
          <w:bCs/>
          <w:sz w:val="24"/>
        </w:rPr>
        <w:t>一、工程概况</w:t>
      </w:r>
      <w:bookmarkEnd w:id="44"/>
    </w:p>
    <w:p w14:paraId="006D346D">
      <w:pPr>
        <w:pStyle w:val="73"/>
        <w:spacing w:line="360" w:lineRule="auto"/>
        <w:ind w:firstLine="480" w:firstLineChars="200"/>
        <w:rPr>
          <w:rFonts w:hint="eastAsia" w:ascii="宋体" w:hAnsi="宋体"/>
          <w:sz w:val="24"/>
          <w:u w:val="single"/>
        </w:rPr>
      </w:pPr>
      <w:r>
        <w:rPr>
          <w:rFonts w:hint="eastAsia" w:ascii="宋体" w:hAnsi="宋体"/>
          <w:bCs/>
          <w:sz w:val="24"/>
        </w:rPr>
        <w:t>1.工程名称</w:t>
      </w:r>
      <w:r>
        <w:rPr>
          <w:rFonts w:hint="eastAsia" w:ascii="宋体" w:hAnsi="宋体"/>
          <w:sz w:val="24"/>
        </w:rPr>
        <w:t>：</w:t>
      </w:r>
      <w:r>
        <w:rPr>
          <w:rFonts w:hint="eastAsia" w:ascii="宋体" w:hAnsi="宋体" w:cs="宋体"/>
          <w:sz w:val="24"/>
          <w:u w:val="single"/>
          <w:lang w:val="en-US" w:eastAsia="zh-CN"/>
        </w:rPr>
        <w:t xml:space="preserve">                        </w:t>
      </w:r>
      <w:r>
        <w:rPr>
          <w:rFonts w:hint="eastAsia" w:ascii="宋体" w:hAnsi="宋体"/>
          <w:sz w:val="24"/>
        </w:rPr>
        <w:t>。</w:t>
      </w:r>
    </w:p>
    <w:p w14:paraId="25E75154">
      <w:pPr>
        <w:pStyle w:val="73"/>
        <w:spacing w:line="360" w:lineRule="auto"/>
        <w:ind w:firstLine="480" w:firstLineChars="200"/>
        <w:rPr>
          <w:rFonts w:hint="eastAsia" w:ascii="宋体" w:hAnsi="宋体"/>
          <w:bCs/>
          <w:sz w:val="24"/>
        </w:rPr>
      </w:pPr>
      <w:r>
        <w:rPr>
          <w:rFonts w:hint="eastAsia" w:ascii="宋体" w:hAnsi="宋体"/>
          <w:bCs/>
          <w:sz w:val="24"/>
        </w:rPr>
        <w:t>2.工程地点：</w:t>
      </w:r>
      <w:r>
        <w:rPr>
          <w:rFonts w:hint="eastAsia" w:ascii="宋体" w:hAnsi="宋体"/>
          <w:bCs/>
          <w:sz w:val="24"/>
          <w:u w:val="single"/>
          <w:lang w:val="en-US" w:eastAsia="zh-CN"/>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w:t>
      </w:r>
    </w:p>
    <w:p w14:paraId="4A7B58D8">
      <w:pPr>
        <w:pStyle w:val="73"/>
        <w:spacing w:line="360" w:lineRule="auto"/>
        <w:ind w:firstLine="480" w:firstLineChars="200"/>
        <w:rPr>
          <w:rFonts w:hint="eastAsia" w:ascii="宋体" w:hAnsi="宋体"/>
          <w:bCs/>
          <w:sz w:val="24"/>
        </w:rPr>
      </w:pPr>
      <w:r>
        <w:rPr>
          <w:rFonts w:hint="eastAsia" w:ascii="宋体" w:hAnsi="宋体"/>
          <w:bCs/>
          <w:sz w:val="24"/>
        </w:rPr>
        <w:t>3.工程立项批准文号：</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bCs/>
          <w:sz w:val="24"/>
        </w:rPr>
        <w:t>。</w:t>
      </w:r>
    </w:p>
    <w:p w14:paraId="5FB061B8">
      <w:pPr>
        <w:pStyle w:val="73"/>
        <w:spacing w:line="360" w:lineRule="auto"/>
        <w:ind w:firstLine="480" w:firstLineChars="200"/>
        <w:rPr>
          <w:rFonts w:hint="eastAsia" w:ascii="宋体" w:hAnsi="宋体"/>
          <w:bCs/>
          <w:sz w:val="24"/>
        </w:rPr>
      </w:pPr>
      <w:r>
        <w:rPr>
          <w:rFonts w:hint="eastAsia" w:ascii="宋体" w:hAnsi="宋体"/>
          <w:bCs/>
          <w:sz w:val="24"/>
        </w:rPr>
        <w:t>4.资金来源：</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bCs/>
          <w:sz w:val="24"/>
        </w:rPr>
        <w:t>。</w:t>
      </w:r>
    </w:p>
    <w:p w14:paraId="2ED3EA22">
      <w:pPr>
        <w:pStyle w:val="73"/>
        <w:spacing w:line="360" w:lineRule="auto"/>
        <w:ind w:firstLine="480" w:firstLineChars="200"/>
        <w:rPr>
          <w:rFonts w:hint="eastAsia" w:ascii="宋体" w:hAnsi="宋体"/>
          <w:bCs/>
          <w:sz w:val="24"/>
        </w:rPr>
      </w:pPr>
      <w:r>
        <w:rPr>
          <w:rFonts w:hint="eastAsia" w:ascii="宋体" w:hAnsi="宋体"/>
          <w:bCs/>
          <w:sz w:val="24"/>
        </w:rPr>
        <w:t>5.工程内容：</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bCs/>
          <w:sz w:val="24"/>
        </w:rPr>
        <w:t>。</w:t>
      </w:r>
    </w:p>
    <w:p w14:paraId="2F6EFA4A">
      <w:pPr>
        <w:pStyle w:val="73"/>
        <w:spacing w:line="360" w:lineRule="auto"/>
        <w:ind w:firstLine="480" w:firstLineChars="200"/>
        <w:rPr>
          <w:rFonts w:hint="eastAsia" w:ascii="宋体" w:hAnsi="宋体"/>
          <w:bCs/>
          <w:sz w:val="24"/>
        </w:rPr>
      </w:pPr>
      <w:r>
        <w:rPr>
          <w:rFonts w:hint="eastAsia" w:ascii="宋体" w:hAnsi="宋体"/>
          <w:sz w:val="24"/>
        </w:rPr>
        <w:t>群体工程应附《承包人承揽工程项目一览表》（附件1）。</w:t>
      </w:r>
    </w:p>
    <w:p w14:paraId="16D02D14">
      <w:pPr>
        <w:pStyle w:val="73"/>
        <w:spacing w:line="360" w:lineRule="auto"/>
        <w:ind w:firstLine="480" w:firstLineChars="200"/>
        <w:outlineLvl w:val="3"/>
        <w:rPr>
          <w:rFonts w:hint="eastAsia" w:ascii="宋体" w:hAnsi="宋体"/>
          <w:sz w:val="24"/>
        </w:rPr>
      </w:pPr>
      <w:r>
        <w:rPr>
          <w:rFonts w:hint="eastAsia" w:ascii="宋体" w:hAnsi="宋体"/>
          <w:bCs/>
          <w:sz w:val="24"/>
        </w:rPr>
        <w:t>6.工程承包范围：</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p>
    <w:p w14:paraId="4ABB9DAE">
      <w:pPr>
        <w:pStyle w:val="73"/>
        <w:spacing w:line="360" w:lineRule="auto"/>
        <w:ind w:firstLine="480" w:firstLineChars="200"/>
        <w:outlineLvl w:val="2"/>
        <w:rPr>
          <w:rFonts w:hint="eastAsia" w:ascii="宋体" w:hAnsi="宋体"/>
          <w:bCs/>
          <w:sz w:val="24"/>
        </w:rPr>
      </w:pPr>
      <w:bookmarkStart w:id="45" w:name="_Toc351203482"/>
      <w:r>
        <w:rPr>
          <w:rFonts w:hint="eastAsia" w:ascii="宋体" w:hAnsi="宋体"/>
          <w:bCs/>
          <w:sz w:val="24"/>
        </w:rPr>
        <w:t>二、合同工期</w:t>
      </w:r>
      <w:bookmarkEnd w:id="45"/>
    </w:p>
    <w:p w14:paraId="0A8044BD">
      <w:pPr>
        <w:pStyle w:val="73"/>
        <w:spacing w:line="360" w:lineRule="auto"/>
        <w:ind w:firstLine="480" w:firstLineChars="200"/>
        <w:rPr>
          <w:rFonts w:hint="eastAsia" w:ascii="宋体" w:hAnsi="宋体"/>
          <w:sz w:val="24"/>
        </w:rPr>
      </w:pPr>
      <w:r>
        <w:rPr>
          <w:rFonts w:hint="eastAsia" w:ascii="宋体" w:hAnsi="宋体"/>
          <w:sz w:val="24"/>
        </w:rPr>
        <w:t>计划开工日期：</w:t>
      </w:r>
      <w:r>
        <w:rPr>
          <w:rFonts w:ascii="宋体" w:hAnsi="宋体" w:cs="宋体"/>
          <w:sz w:val="24"/>
          <w:u w:val="single"/>
        </w:rPr>
        <w:t></w:t>
      </w:r>
      <w:r>
        <w:rPr>
          <w:rFonts w:hint="eastAsia" w:ascii="宋体" w:hAnsi="宋体"/>
          <w:sz w:val="24"/>
        </w:rPr>
        <w:t>年</w:t>
      </w:r>
      <w:r>
        <w:rPr>
          <w:rFonts w:ascii="宋体" w:hAnsi="宋体" w:cs="宋体"/>
          <w:sz w:val="24"/>
          <w:u w:val="single"/>
        </w:rPr>
        <w:t></w:t>
      </w:r>
      <w:r>
        <w:rPr>
          <w:rFonts w:hint="eastAsia" w:ascii="宋体" w:hAnsi="宋体"/>
          <w:sz w:val="24"/>
        </w:rPr>
        <w:t>月</w:t>
      </w:r>
      <w:r>
        <w:rPr>
          <w:rFonts w:ascii="宋体" w:hAnsi="宋体" w:cs="宋体"/>
          <w:sz w:val="24"/>
          <w:u w:val="single"/>
        </w:rPr>
        <w:t></w:t>
      </w:r>
      <w:r>
        <w:rPr>
          <w:rFonts w:hint="eastAsia" w:ascii="宋体" w:hAnsi="宋体"/>
          <w:sz w:val="24"/>
        </w:rPr>
        <w:t>日。</w:t>
      </w:r>
    </w:p>
    <w:p w14:paraId="59C6BC2B">
      <w:pPr>
        <w:pStyle w:val="73"/>
        <w:spacing w:line="360" w:lineRule="auto"/>
        <w:ind w:firstLine="480" w:firstLineChars="200"/>
        <w:rPr>
          <w:rFonts w:hint="eastAsia" w:ascii="宋体" w:hAnsi="宋体"/>
          <w:sz w:val="24"/>
        </w:rPr>
      </w:pPr>
      <w:r>
        <w:rPr>
          <w:rFonts w:hint="eastAsia" w:ascii="宋体" w:hAnsi="宋体"/>
          <w:sz w:val="24"/>
        </w:rPr>
        <w:t>计划竣工日期：</w:t>
      </w:r>
      <w:r>
        <w:rPr>
          <w:rFonts w:ascii="宋体" w:hAnsi="宋体" w:cs="宋体"/>
          <w:sz w:val="24"/>
          <w:u w:val="single"/>
        </w:rPr>
        <w:t></w:t>
      </w:r>
      <w:r>
        <w:rPr>
          <w:rFonts w:hint="eastAsia" w:ascii="宋体" w:hAnsi="宋体"/>
          <w:sz w:val="24"/>
        </w:rPr>
        <w:t>年</w:t>
      </w:r>
      <w:r>
        <w:rPr>
          <w:rFonts w:ascii="宋体" w:hAnsi="宋体" w:cs="宋体"/>
          <w:sz w:val="24"/>
          <w:u w:val="single"/>
        </w:rPr>
        <w:t></w:t>
      </w:r>
      <w:r>
        <w:rPr>
          <w:rFonts w:hint="eastAsia" w:ascii="宋体" w:hAnsi="宋体"/>
          <w:sz w:val="24"/>
        </w:rPr>
        <w:t>月</w:t>
      </w:r>
      <w:r>
        <w:rPr>
          <w:rFonts w:ascii="宋体" w:hAnsi="宋体" w:cs="宋体"/>
          <w:sz w:val="24"/>
          <w:u w:val="single"/>
        </w:rPr>
        <w:t></w:t>
      </w:r>
      <w:r>
        <w:rPr>
          <w:rFonts w:hint="eastAsia" w:ascii="宋体" w:hAnsi="宋体"/>
          <w:sz w:val="24"/>
        </w:rPr>
        <w:t>日。</w:t>
      </w:r>
    </w:p>
    <w:p w14:paraId="30EA3D1D">
      <w:pPr>
        <w:pStyle w:val="73"/>
        <w:spacing w:line="360" w:lineRule="auto"/>
        <w:ind w:firstLine="480" w:firstLineChars="200"/>
        <w:rPr>
          <w:rFonts w:hint="eastAsia" w:ascii="宋体" w:hAnsi="宋体"/>
          <w:sz w:val="24"/>
        </w:rPr>
      </w:pPr>
      <w:r>
        <w:rPr>
          <w:rFonts w:hint="eastAsia" w:ascii="宋体" w:hAnsi="宋体"/>
          <w:sz w:val="24"/>
        </w:rPr>
        <w:t>工期总日历天数：</w:t>
      </w:r>
      <w:r>
        <w:rPr>
          <w:rFonts w:ascii="宋体" w:hAnsi="宋体" w:cs="宋体"/>
          <w:sz w:val="24"/>
          <w:u w:val="single"/>
        </w:rPr>
        <w:t></w:t>
      </w:r>
      <w:r>
        <w:rPr>
          <w:rFonts w:hint="eastAsia" w:ascii="宋体" w:hAnsi="宋体"/>
          <w:sz w:val="24"/>
        </w:rPr>
        <w:t>天。</w:t>
      </w:r>
    </w:p>
    <w:p w14:paraId="0D9459A3">
      <w:pPr>
        <w:pStyle w:val="73"/>
        <w:spacing w:line="360" w:lineRule="auto"/>
        <w:ind w:firstLine="480" w:firstLineChars="200"/>
        <w:rPr>
          <w:rFonts w:hint="eastAsia" w:ascii="宋体" w:hAnsi="宋体"/>
          <w:sz w:val="24"/>
        </w:rPr>
      </w:pPr>
      <w:r>
        <w:rPr>
          <w:rFonts w:hint="eastAsia" w:ascii="宋体" w:hAnsi="宋体"/>
          <w:sz w:val="24"/>
        </w:rPr>
        <w:t>工期总日历天数与根据前述计划开竣工日期计算的工期天数不一致的，以工期总日历天数为准。</w:t>
      </w:r>
    </w:p>
    <w:p w14:paraId="459CE7FC">
      <w:pPr>
        <w:pStyle w:val="73"/>
        <w:spacing w:line="360" w:lineRule="auto"/>
        <w:ind w:firstLine="480" w:firstLineChars="200"/>
        <w:outlineLvl w:val="2"/>
        <w:rPr>
          <w:rFonts w:hint="eastAsia" w:ascii="宋体" w:hAnsi="宋体"/>
          <w:b/>
          <w:sz w:val="24"/>
        </w:rPr>
      </w:pPr>
      <w:bookmarkStart w:id="46" w:name="_Toc351203483"/>
      <w:r>
        <w:rPr>
          <w:rFonts w:hint="eastAsia" w:ascii="宋体" w:hAnsi="宋体"/>
          <w:bCs/>
          <w:sz w:val="24"/>
        </w:rPr>
        <w:t>三、质量标准</w:t>
      </w:r>
      <w:bookmarkEnd w:id="46"/>
    </w:p>
    <w:p w14:paraId="6B80CD32">
      <w:pPr>
        <w:pStyle w:val="73"/>
        <w:spacing w:line="360" w:lineRule="auto"/>
        <w:ind w:firstLine="480" w:firstLineChars="200"/>
        <w:rPr>
          <w:rFonts w:hint="eastAsia" w:ascii="宋体" w:hAnsi="宋体"/>
          <w:sz w:val="24"/>
        </w:rPr>
      </w:pPr>
      <w:r>
        <w:rPr>
          <w:rFonts w:hint="eastAsia" w:ascii="宋体" w:hAnsi="宋体"/>
          <w:sz w:val="24"/>
        </w:rPr>
        <w:t>工程质量符合</w:t>
      </w:r>
      <w:r>
        <w:rPr>
          <w:rFonts w:ascii="宋体" w:hAnsi="宋体" w:cs="宋体"/>
          <w:sz w:val="24"/>
          <w:u w:val="single"/>
        </w:rPr>
        <w:t></w:t>
      </w:r>
      <w:r>
        <w:rPr>
          <w:rFonts w:hint="eastAsia" w:ascii="宋体" w:hAnsi="宋体"/>
          <w:sz w:val="24"/>
        </w:rPr>
        <w:t>标准。</w:t>
      </w:r>
    </w:p>
    <w:p w14:paraId="6E96D062">
      <w:pPr>
        <w:pStyle w:val="73"/>
        <w:spacing w:line="360" w:lineRule="auto"/>
        <w:ind w:firstLine="480" w:firstLineChars="200"/>
        <w:outlineLvl w:val="2"/>
        <w:rPr>
          <w:rFonts w:hint="eastAsia" w:ascii="宋体" w:hAnsi="宋体"/>
          <w:b/>
          <w:sz w:val="24"/>
        </w:rPr>
      </w:pPr>
      <w:bookmarkStart w:id="47" w:name="_Toc351203484"/>
      <w:r>
        <w:rPr>
          <w:rFonts w:hint="eastAsia" w:ascii="宋体" w:hAnsi="宋体"/>
          <w:bCs/>
          <w:sz w:val="24"/>
        </w:rPr>
        <w:t>四、签约合同价与合同价格形式</w:t>
      </w:r>
      <w:bookmarkEnd w:id="47"/>
    </w:p>
    <w:p w14:paraId="5033B0B5">
      <w:pPr>
        <w:pStyle w:val="73"/>
        <w:spacing w:line="360" w:lineRule="auto"/>
        <w:ind w:firstLine="480" w:firstLineChars="200"/>
        <w:outlineLvl w:val="3"/>
        <w:rPr>
          <w:rFonts w:hint="eastAsia" w:ascii="宋体" w:hAnsi="宋体"/>
          <w:sz w:val="24"/>
        </w:rPr>
      </w:pPr>
      <w:r>
        <w:rPr>
          <w:rFonts w:hint="eastAsia" w:ascii="宋体" w:hAnsi="宋体"/>
          <w:sz w:val="24"/>
        </w:rPr>
        <w:t>1.签约合同价为：</w:t>
      </w:r>
    </w:p>
    <w:p w14:paraId="1447A2DC">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元)；</w:t>
      </w:r>
    </w:p>
    <w:p w14:paraId="46C42F0F">
      <w:pPr>
        <w:pStyle w:val="73"/>
        <w:spacing w:line="360" w:lineRule="auto"/>
        <w:ind w:firstLine="480" w:firstLineChars="200"/>
        <w:rPr>
          <w:rFonts w:hint="eastAsia" w:ascii="宋体" w:hAnsi="宋体"/>
          <w:sz w:val="24"/>
        </w:rPr>
      </w:pPr>
      <w:r>
        <w:rPr>
          <w:rFonts w:hint="eastAsia" w:ascii="宋体" w:hAnsi="宋体"/>
          <w:sz w:val="24"/>
        </w:rPr>
        <w:t>其中：</w:t>
      </w:r>
    </w:p>
    <w:p w14:paraId="2102EF4A">
      <w:pPr>
        <w:pStyle w:val="73"/>
        <w:spacing w:line="360" w:lineRule="auto"/>
        <w:ind w:firstLine="480" w:firstLineChars="200"/>
        <w:outlineLvl w:val="4"/>
        <w:rPr>
          <w:rFonts w:hint="eastAsia" w:ascii="宋体" w:hAnsi="宋体"/>
          <w:sz w:val="24"/>
        </w:rPr>
      </w:pPr>
      <w:r>
        <w:rPr>
          <w:rFonts w:hint="eastAsia" w:ascii="宋体" w:hAnsi="宋体"/>
          <w:sz w:val="24"/>
        </w:rPr>
        <w:t>（1）安全文明施工费：</w:t>
      </w:r>
    </w:p>
    <w:p w14:paraId="6AD31D1D">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5FF969D8">
      <w:pPr>
        <w:pStyle w:val="73"/>
        <w:spacing w:line="360" w:lineRule="auto"/>
        <w:ind w:firstLine="480" w:firstLineChars="200"/>
        <w:outlineLvl w:val="4"/>
        <w:rPr>
          <w:rFonts w:hint="eastAsia" w:ascii="宋体" w:hAnsi="宋体"/>
          <w:sz w:val="24"/>
        </w:rPr>
      </w:pPr>
      <w:r>
        <w:rPr>
          <w:rFonts w:hint="eastAsia" w:ascii="宋体" w:hAnsi="宋体"/>
          <w:sz w:val="24"/>
        </w:rPr>
        <w:t>（2）材料和工程设备暂估价金额：</w:t>
      </w:r>
    </w:p>
    <w:p w14:paraId="48DE00F8">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0D204931">
      <w:pPr>
        <w:pStyle w:val="73"/>
        <w:spacing w:line="360" w:lineRule="auto"/>
        <w:ind w:firstLine="480" w:firstLineChars="200"/>
        <w:outlineLvl w:val="4"/>
        <w:rPr>
          <w:rFonts w:hint="eastAsia" w:ascii="宋体" w:hAnsi="宋体"/>
          <w:sz w:val="24"/>
        </w:rPr>
      </w:pPr>
      <w:r>
        <w:rPr>
          <w:rFonts w:hint="eastAsia" w:ascii="宋体" w:hAnsi="宋体"/>
          <w:sz w:val="24"/>
        </w:rPr>
        <w:t>（3）专业工程暂估价金额：</w:t>
      </w:r>
    </w:p>
    <w:p w14:paraId="72D5FAC0">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0A1974D9">
      <w:pPr>
        <w:pStyle w:val="73"/>
        <w:spacing w:line="360" w:lineRule="auto"/>
        <w:ind w:firstLine="480" w:firstLineChars="200"/>
        <w:outlineLvl w:val="4"/>
        <w:rPr>
          <w:rFonts w:hint="eastAsia" w:ascii="宋体" w:hAnsi="宋体"/>
          <w:sz w:val="24"/>
        </w:rPr>
      </w:pPr>
      <w:r>
        <w:rPr>
          <w:rFonts w:hint="eastAsia" w:ascii="宋体" w:hAnsi="宋体"/>
          <w:sz w:val="24"/>
        </w:rPr>
        <w:t>（4）暂列金额：</w:t>
      </w:r>
    </w:p>
    <w:p w14:paraId="3C6440CD">
      <w:pPr>
        <w:pStyle w:val="73"/>
        <w:spacing w:line="360" w:lineRule="auto"/>
        <w:ind w:firstLine="480" w:firstLineChars="200"/>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14:paraId="7B3ED3EE">
      <w:pPr>
        <w:pStyle w:val="73"/>
        <w:spacing w:line="360" w:lineRule="auto"/>
        <w:ind w:firstLine="480" w:firstLineChars="200"/>
        <w:outlineLvl w:val="3"/>
        <w:rPr>
          <w:rFonts w:hint="eastAsia" w:ascii="宋体" w:hAnsi="宋体"/>
          <w:sz w:val="24"/>
        </w:rPr>
      </w:pPr>
      <w:r>
        <w:rPr>
          <w:rFonts w:hint="eastAsia" w:ascii="宋体" w:hAnsi="宋体"/>
          <w:sz w:val="24"/>
        </w:rPr>
        <w:t>2.合同价格形式：</w:t>
      </w:r>
      <w:r>
        <w:rPr>
          <w:rFonts w:ascii="宋体" w:hAnsi="宋体" w:cs="宋体"/>
          <w:b/>
          <w:sz w:val="24"/>
          <w:u w:val="single"/>
        </w:rPr>
        <w:t></w:t>
      </w:r>
      <w:r>
        <w:rPr>
          <w:rFonts w:hint="eastAsia" w:ascii="宋体" w:hAnsi="宋体"/>
          <w:b/>
          <w:sz w:val="24"/>
          <w:u w:val="single"/>
        </w:rPr>
        <w:t xml:space="preserve">总价合同       </w:t>
      </w:r>
      <w:r>
        <w:rPr>
          <w:rFonts w:ascii="宋体" w:hAnsi="宋体" w:cs="宋体"/>
          <w:b/>
          <w:sz w:val="24"/>
          <w:u w:val="single"/>
        </w:rPr>
        <w:t></w:t>
      </w:r>
      <w:r>
        <w:rPr>
          <w:rFonts w:hint="eastAsia" w:ascii="宋体" w:hAnsi="宋体"/>
          <w:sz w:val="24"/>
        </w:rPr>
        <w:t>。</w:t>
      </w:r>
    </w:p>
    <w:p w14:paraId="199C6586">
      <w:pPr>
        <w:pStyle w:val="73"/>
        <w:spacing w:line="360" w:lineRule="auto"/>
        <w:ind w:firstLine="480" w:firstLineChars="200"/>
        <w:outlineLvl w:val="2"/>
        <w:rPr>
          <w:rFonts w:hint="eastAsia" w:ascii="宋体" w:hAnsi="宋体"/>
          <w:bCs/>
          <w:sz w:val="24"/>
        </w:rPr>
      </w:pPr>
      <w:bookmarkStart w:id="48" w:name="_Toc351203485"/>
      <w:r>
        <w:rPr>
          <w:rFonts w:hint="eastAsia" w:ascii="宋体" w:hAnsi="宋体"/>
          <w:bCs/>
          <w:sz w:val="24"/>
        </w:rPr>
        <w:t>五、</w:t>
      </w:r>
      <w:bookmarkEnd w:id="48"/>
      <w:r>
        <w:rPr>
          <w:rFonts w:hint="eastAsia" w:ascii="宋体" w:hAnsi="宋体"/>
          <w:bCs/>
          <w:sz w:val="24"/>
        </w:rPr>
        <w:t>项目经理</w:t>
      </w:r>
    </w:p>
    <w:p w14:paraId="4DA9D49E">
      <w:pPr>
        <w:pStyle w:val="73"/>
        <w:spacing w:line="360" w:lineRule="auto"/>
        <w:ind w:firstLine="480" w:firstLineChars="200"/>
        <w:rPr>
          <w:rFonts w:hint="eastAsia" w:ascii="宋体" w:hAnsi="宋体"/>
          <w:sz w:val="24"/>
        </w:rPr>
      </w:pPr>
      <w:r>
        <w:rPr>
          <w:rFonts w:hint="eastAsia" w:ascii="宋体" w:hAnsi="宋体"/>
          <w:sz w:val="24"/>
        </w:rPr>
        <w:t>承包人项目经理：</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rPr>
        <w:t>。</w:t>
      </w:r>
    </w:p>
    <w:p w14:paraId="19A4EF26">
      <w:pPr>
        <w:pStyle w:val="73"/>
        <w:spacing w:line="360" w:lineRule="auto"/>
        <w:ind w:firstLine="480" w:firstLineChars="200"/>
        <w:outlineLvl w:val="2"/>
        <w:rPr>
          <w:rFonts w:hint="eastAsia" w:ascii="宋体" w:hAnsi="宋体"/>
          <w:b/>
          <w:sz w:val="24"/>
        </w:rPr>
      </w:pPr>
      <w:bookmarkStart w:id="49" w:name="_Toc351203486"/>
      <w:r>
        <w:rPr>
          <w:rFonts w:hint="eastAsia" w:ascii="宋体" w:hAnsi="宋体"/>
          <w:bCs/>
          <w:sz w:val="24"/>
        </w:rPr>
        <w:t>六、合同文件构成</w:t>
      </w:r>
      <w:bookmarkEnd w:id="49"/>
    </w:p>
    <w:p w14:paraId="6385AA53">
      <w:pPr>
        <w:pStyle w:val="73"/>
        <w:spacing w:line="360" w:lineRule="auto"/>
        <w:ind w:firstLine="480" w:firstLineChars="200"/>
        <w:rPr>
          <w:rFonts w:hint="eastAsia" w:ascii="宋体" w:hAnsi="宋体"/>
          <w:bCs/>
          <w:sz w:val="24"/>
        </w:rPr>
      </w:pPr>
      <w:r>
        <w:rPr>
          <w:rFonts w:hint="eastAsia" w:ascii="宋体" w:hAnsi="宋体"/>
          <w:bCs/>
          <w:sz w:val="24"/>
        </w:rPr>
        <w:t>本协议书与下列文件一起构成合同文件：</w:t>
      </w:r>
    </w:p>
    <w:p w14:paraId="127A7169">
      <w:pPr>
        <w:pStyle w:val="73"/>
        <w:spacing w:line="360" w:lineRule="auto"/>
        <w:ind w:firstLine="480" w:firstLineChars="200"/>
        <w:rPr>
          <w:rFonts w:hint="eastAsia" w:ascii="宋体" w:hAnsi="宋体"/>
          <w:sz w:val="24"/>
        </w:rPr>
      </w:pPr>
      <w:r>
        <w:rPr>
          <w:rFonts w:hint="eastAsia" w:ascii="宋体" w:hAnsi="宋体"/>
          <w:sz w:val="24"/>
        </w:rPr>
        <w:t>（1）中标通知书（如果有）；</w:t>
      </w:r>
    </w:p>
    <w:p w14:paraId="4D963A48">
      <w:pPr>
        <w:pStyle w:val="73"/>
        <w:spacing w:line="360" w:lineRule="auto"/>
        <w:ind w:firstLine="480" w:firstLineChars="200"/>
        <w:rPr>
          <w:rFonts w:hint="eastAsia" w:ascii="宋体" w:hAnsi="宋体"/>
          <w:sz w:val="24"/>
        </w:rPr>
      </w:pPr>
      <w:r>
        <w:rPr>
          <w:rFonts w:hint="eastAsia" w:ascii="宋体" w:hAnsi="宋体"/>
          <w:sz w:val="24"/>
        </w:rPr>
        <w:t xml:space="preserve">（2）投标函及其附录（如果有）； </w:t>
      </w:r>
    </w:p>
    <w:p w14:paraId="4A06089A">
      <w:pPr>
        <w:pStyle w:val="73"/>
        <w:spacing w:line="360" w:lineRule="auto"/>
        <w:ind w:firstLine="480" w:firstLineChars="200"/>
        <w:rPr>
          <w:rFonts w:hint="eastAsia" w:ascii="宋体" w:hAnsi="宋体"/>
          <w:sz w:val="24"/>
        </w:rPr>
      </w:pPr>
      <w:r>
        <w:rPr>
          <w:rFonts w:hint="eastAsia" w:ascii="宋体" w:hAnsi="宋体"/>
          <w:sz w:val="24"/>
        </w:rPr>
        <w:t>（3）专用合同条款及其附件；</w:t>
      </w:r>
    </w:p>
    <w:p w14:paraId="01791789">
      <w:pPr>
        <w:pStyle w:val="73"/>
        <w:spacing w:line="360" w:lineRule="auto"/>
        <w:ind w:firstLine="480" w:firstLineChars="200"/>
        <w:rPr>
          <w:rFonts w:hint="eastAsia" w:ascii="宋体" w:hAnsi="宋体"/>
          <w:sz w:val="24"/>
        </w:rPr>
      </w:pPr>
      <w:r>
        <w:rPr>
          <w:rFonts w:hint="eastAsia" w:ascii="宋体" w:hAnsi="宋体"/>
          <w:sz w:val="24"/>
        </w:rPr>
        <w:t>（4）通用合同条款；</w:t>
      </w:r>
    </w:p>
    <w:p w14:paraId="17DFE927">
      <w:pPr>
        <w:pStyle w:val="73"/>
        <w:spacing w:line="360" w:lineRule="auto"/>
        <w:ind w:firstLine="480" w:firstLineChars="200"/>
        <w:rPr>
          <w:rFonts w:hint="eastAsia" w:ascii="宋体" w:hAnsi="宋体"/>
          <w:sz w:val="24"/>
        </w:rPr>
      </w:pPr>
      <w:r>
        <w:rPr>
          <w:rFonts w:hint="eastAsia" w:ascii="宋体" w:hAnsi="宋体"/>
          <w:sz w:val="24"/>
        </w:rPr>
        <w:t>（5）技术标准和要求；</w:t>
      </w:r>
    </w:p>
    <w:p w14:paraId="75C3E3DA">
      <w:pPr>
        <w:pStyle w:val="73"/>
        <w:spacing w:line="360" w:lineRule="auto"/>
        <w:ind w:firstLine="480" w:firstLineChars="200"/>
        <w:rPr>
          <w:rFonts w:hint="eastAsia" w:ascii="宋体" w:hAnsi="宋体"/>
          <w:sz w:val="24"/>
        </w:rPr>
      </w:pPr>
      <w:r>
        <w:rPr>
          <w:rFonts w:hint="eastAsia" w:ascii="宋体" w:hAnsi="宋体"/>
          <w:sz w:val="24"/>
        </w:rPr>
        <w:t>（6）图纸；</w:t>
      </w:r>
    </w:p>
    <w:p w14:paraId="117B8E0F">
      <w:pPr>
        <w:pStyle w:val="73"/>
        <w:spacing w:line="360" w:lineRule="auto"/>
        <w:ind w:firstLine="480" w:firstLineChars="200"/>
        <w:rPr>
          <w:rFonts w:hint="eastAsia" w:ascii="宋体" w:hAnsi="宋体"/>
          <w:sz w:val="24"/>
        </w:rPr>
      </w:pPr>
      <w:r>
        <w:rPr>
          <w:rFonts w:hint="eastAsia" w:ascii="宋体" w:hAnsi="宋体"/>
          <w:sz w:val="24"/>
        </w:rPr>
        <w:t>（7）已标价工程量清单或预算书；</w:t>
      </w:r>
    </w:p>
    <w:p w14:paraId="04606EBD">
      <w:pPr>
        <w:pStyle w:val="73"/>
        <w:spacing w:line="360" w:lineRule="auto"/>
        <w:ind w:firstLine="480" w:firstLineChars="200"/>
        <w:rPr>
          <w:rFonts w:hint="eastAsia" w:ascii="宋体" w:hAnsi="宋体"/>
          <w:sz w:val="24"/>
        </w:rPr>
      </w:pPr>
      <w:r>
        <w:rPr>
          <w:rFonts w:hint="eastAsia" w:ascii="宋体" w:hAnsi="宋体"/>
          <w:sz w:val="24"/>
        </w:rPr>
        <w:t>（8）其他合同文件。</w:t>
      </w:r>
    </w:p>
    <w:p w14:paraId="398A04C2">
      <w:pPr>
        <w:pStyle w:val="73"/>
        <w:spacing w:line="360" w:lineRule="auto"/>
        <w:ind w:firstLine="480" w:firstLineChars="200"/>
        <w:rPr>
          <w:rFonts w:hint="eastAsia" w:ascii="宋体" w:hAnsi="宋体"/>
          <w:sz w:val="24"/>
        </w:rPr>
      </w:pPr>
      <w:r>
        <w:rPr>
          <w:rFonts w:hint="eastAsia" w:ascii="宋体" w:hAnsi="宋体"/>
          <w:sz w:val="24"/>
        </w:rPr>
        <w:t>在合同订立及履行过程中形成的与合同有关的文件均构成合同文件组成部分。</w:t>
      </w:r>
    </w:p>
    <w:p w14:paraId="280842DD">
      <w:pPr>
        <w:pStyle w:val="73"/>
        <w:spacing w:line="360" w:lineRule="auto"/>
        <w:ind w:firstLine="480" w:firstLineChars="200"/>
        <w:rPr>
          <w:rFonts w:hint="eastAsia" w:ascii="宋体" w:hAnsi="宋体"/>
          <w:sz w:val="24"/>
        </w:rPr>
      </w:pPr>
      <w:r>
        <w:rPr>
          <w:rFonts w:hint="eastAsia" w:ascii="宋体" w:hAnsi="宋体"/>
          <w:sz w:val="24"/>
        </w:rPr>
        <w:t>上述各项合同文件包括合同当事人就该项合同文件所作出的补充和修改，属于同一类内容的文件，应以最新签署的为准。专用合同条款及其附件须经合同当事人签字或盖章。</w:t>
      </w:r>
    </w:p>
    <w:p w14:paraId="3C10A254">
      <w:pPr>
        <w:pStyle w:val="73"/>
        <w:spacing w:line="360" w:lineRule="auto"/>
        <w:ind w:firstLine="480" w:firstLineChars="200"/>
        <w:outlineLvl w:val="2"/>
        <w:rPr>
          <w:rFonts w:hint="eastAsia" w:ascii="宋体" w:hAnsi="宋体"/>
          <w:sz w:val="24"/>
        </w:rPr>
      </w:pPr>
      <w:bookmarkStart w:id="50" w:name="_Toc351203487"/>
      <w:r>
        <w:rPr>
          <w:rFonts w:hint="eastAsia" w:ascii="宋体" w:hAnsi="宋体"/>
          <w:bCs/>
          <w:sz w:val="24"/>
        </w:rPr>
        <w:t>七、承诺</w:t>
      </w:r>
      <w:bookmarkEnd w:id="50"/>
    </w:p>
    <w:p w14:paraId="19108EA5">
      <w:pPr>
        <w:pStyle w:val="73"/>
        <w:spacing w:line="360" w:lineRule="auto"/>
        <w:ind w:firstLine="480" w:firstLineChars="200"/>
        <w:rPr>
          <w:rFonts w:hint="eastAsia" w:ascii="宋体" w:hAnsi="宋体"/>
          <w:bCs/>
          <w:sz w:val="24"/>
        </w:rPr>
      </w:pPr>
      <w:r>
        <w:rPr>
          <w:rFonts w:hint="eastAsia" w:ascii="宋体" w:hAnsi="宋体"/>
          <w:bCs/>
          <w:sz w:val="24"/>
        </w:rPr>
        <w:t>1.发包人承诺按照法律规定履行项目审批手续、筹集工程建设资金并按照合同约定的期限和方式支付合同价款。</w:t>
      </w:r>
    </w:p>
    <w:p w14:paraId="48B0A915">
      <w:pPr>
        <w:pStyle w:val="73"/>
        <w:spacing w:line="360" w:lineRule="auto"/>
        <w:ind w:firstLine="480" w:firstLineChars="200"/>
        <w:rPr>
          <w:rFonts w:hint="eastAsia" w:ascii="宋体" w:hAnsi="宋体"/>
          <w:bCs/>
          <w:sz w:val="24"/>
        </w:rPr>
      </w:pPr>
      <w:r>
        <w:rPr>
          <w:rFonts w:hint="eastAsia" w:ascii="宋体" w:hAnsi="宋体"/>
          <w:bCs/>
          <w:sz w:val="24"/>
        </w:rPr>
        <w:t>2.承包人承诺按照法律规定及合同约定组织完成工程施工，确保工程质量和安全，不进行转包及违法分包，并在缺陷责任期及保修期内承担相应的工程维修责任。</w:t>
      </w:r>
    </w:p>
    <w:p w14:paraId="7567EB43">
      <w:pPr>
        <w:pStyle w:val="73"/>
        <w:spacing w:line="360" w:lineRule="auto"/>
        <w:ind w:firstLine="480" w:firstLineChars="200"/>
        <w:rPr>
          <w:rFonts w:hint="eastAsia" w:ascii="宋体" w:hAnsi="宋体"/>
          <w:bCs/>
          <w:sz w:val="24"/>
        </w:rPr>
      </w:pPr>
      <w:r>
        <w:rPr>
          <w:rFonts w:hint="eastAsia" w:ascii="宋体" w:hAnsi="宋体"/>
          <w:bCs/>
          <w:sz w:val="24"/>
        </w:rPr>
        <w:t>3.发包人和承包人通过招投标形式签订合同的，双方理解并承诺不再就同一工程另行签订与合同实质性内容相背离的协议。</w:t>
      </w:r>
    </w:p>
    <w:p w14:paraId="1F01585D">
      <w:pPr>
        <w:pStyle w:val="73"/>
        <w:spacing w:line="360" w:lineRule="auto"/>
        <w:ind w:firstLine="480" w:firstLineChars="200"/>
        <w:outlineLvl w:val="2"/>
        <w:rPr>
          <w:rFonts w:hint="eastAsia" w:ascii="宋体" w:hAnsi="宋体"/>
          <w:bCs/>
          <w:sz w:val="24"/>
        </w:rPr>
      </w:pPr>
      <w:bookmarkStart w:id="51" w:name="_Toc351203488"/>
      <w:r>
        <w:rPr>
          <w:rFonts w:hint="eastAsia" w:ascii="宋体" w:hAnsi="宋体"/>
          <w:b/>
          <w:sz w:val="24"/>
        </w:rPr>
        <w:t>八、词语含义</w:t>
      </w:r>
      <w:bookmarkEnd w:id="51"/>
    </w:p>
    <w:p w14:paraId="42C27179">
      <w:pPr>
        <w:pStyle w:val="73"/>
        <w:spacing w:line="360" w:lineRule="auto"/>
        <w:ind w:firstLine="480" w:firstLineChars="200"/>
        <w:rPr>
          <w:rFonts w:hint="eastAsia" w:ascii="宋体" w:hAnsi="宋体"/>
          <w:bCs/>
          <w:sz w:val="24"/>
        </w:rPr>
      </w:pPr>
      <w:r>
        <w:rPr>
          <w:rFonts w:hint="eastAsia" w:ascii="宋体" w:hAnsi="宋体"/>
          <w:bCs/>
          <w:sz w:val="24"/>
        </w:rPr>
        <w:t>本协议书中词语含义与第二部分通用合同条款中赋予的含义相同。</w:t>
      </w:r>
    </w:p>
    <w:p w14:paraId="030B1E54">
      <w:pPr>
        <w:pStyle w:val="73"/>
        <w:spacing w:line="360" w:lineRule="auto"/>
        <w:ind w:firstLine="480" w:firstLineChars="200"/>
        <w:outlineLvl w:val="2"/>
        <w:rPr>
          <w:rFonts w:hint="eastAsia" w:ascii="宋体" w:hAnsi="宋体"/>
          <w:b/>
          <w:sz w:val="24"/>
        </w:rPr>
      </w:pPr>
      <w:bookmarkStart w:id="52" w:name="_Toc351203489"/>
      <w:r>
        <w:rPr>
          <w:rFonts w:hint="eastAsia" w:ascii="宋体" w:hAnsi="宋体"/>
          <w:bCs/>
          <w:sz w:val="24"/>
        </w:rPr>
        <w:t>九、签订时间</w:t>
      </w:r>
      <w:bookmarkEnd w:id="52"/>
    </w:p>
    <w:p w14:paraId="05072E42">
      <w:pPr>
        <w:pStyle w:val="73"/>
        <w:spacing w:line="360" w:lineRule="auto"/>
        <w:ind w:firstLine="480" w:firstLineChars="200"/>
        <w:rPr>
          <w:rFonts w:hint="eastAsia" w:ascii="宋体" w:hAnsi="宋体"/>
          <w:bCs/>
          <w:sz w:val="24"/>
        </w:rPr>
      </w:pPr>
      <w:r>
        <w:rPr>
          <w:rFonts w:hint="eastAsia" w:ascii="宋体" w:hAnsi="宋体"/>
          <w:bCs/>
          <w:sz w:val="24"/>
        </w:rPr>
        <w:t>本合同于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日签订。</w:t>
      </w:r>
    </w:p>
    <w:p w14:paraId="19E1BA80">
      <w:pPr>
        <w:pStyle w:val="73"/>
        <w:spacing w:line="360" w:lineRule="auto"/>
        <w:ind w:firstLine="480" w:firstLineChars="200"/>
        <w:outlineLvl w:val="2"/>
        <w:rPr>
          <w:rFonts w:hint="eastAsia" w:ascii="宋体" w:hAnsi="宋体"/>
          <w:b/>
          <w:sz w:val="24"/>
        </w:rPr>
      </w:pPr>
      <w:bookmarkStart w:id="53" w:name="_Toc351203490"/>
      <w:r>
        <w:rPr>
          <w:rFonts w:hint="eastAsia" w:ascii="宋体" w:hAnsi="宋体"/>
          <w:bCs/>
          <w:sz w:val="24"/>
        </w:rPr>
        <w:t>十、签订地点</w:t>
      </w:r>
      <w:bookmarkEnd w:id="53"/>
    </w:p>
    <w:p w14:paraId="7B1EEEF4">
      <w:pPr>
        <w:pStyle w:val="73"/>
        <w:spacing w:line="360" w:lineRule="auto"/>
        <w:ind w:firstLine="480" w:firstLineChars="200"/>
        <w:rPr>
          <w:rFonts w:hint="eastAsia" w:ascii="宋体" w:hAnsi="宋体"/>
          <w:bCs/>
          <w:sz w:val="24"/>
        </w:rPr>
      </w:pPr>
      <w:r>
        <w:rPr>
          <w:rFonts w:hint="eastAsia" w:ascii="宋体" w:hAnsi="宋体"/>
          <w:bCs/>
          <w:sz w:val="24"/>
        </w:rPr>
        <w:t>本合同在</w:t>
      </w:r>
      <w:r>
        <w:rPr>
          <w:rFonts w:hint="eastAsia" w:ascii="宋体" w:hAnsi="宋体"/>
          <w:bCs/>
          <w:sz w:val="24"/>
          <w:u w:val="single"/>
        </w:rPr>
        <w:t xml:space="preserve">                                    </w:t>
      </w:r>
      <w:r>
        <w:rPr>
          <w:rFonts w:hint="eastAsia" w:ascii="宋体" w:hAnsi="宋体"/>
          <w:bCs/>
          <w:sz w:val="24"/>
        </w:rPr>
        <w:t>签订。</w:t>
      </w:r>
    </w:p>
    <w:p w14:paraId="2BE10328">
      <w:pPr>
        <w:pStyle w:val="73"/>
        <w:spacing w:line="360" w:lineRule="auto"/>
        <w:ind w:firstLine="480" w:firstLineChars="200"/>
        <w:outlineLvl w:val="2"/>
        <w:rPr>
          <w:rFonts w:hint="eastAsia" w:ascii="宋体" w:hAnsi="宋体"/>
          <w:b/>
          <w:sz w:val="24"/>
        </w:rPr>
      </w:pPr>
      <w:bookmarkStart w:id="54" w:name="_Toc351203491"/>
      <w:r>
        <w:rPr>
          <w:rFonts w:hint="eastAsia" w:ascii="宋体" w:hAnsi="宋体"/>
          <w:bCs/>
          <w:sz w:val="24"/>
        </w:rPr>
        <w:t>十一、补充协议</w:t>
      </w:r>
      <w:bookmarkEnd w:id="54"/>
    </w:p>
    <w:p w14:paraId="33479EF1">
      <w:pPr>
        <w:pStyle w:val="73"/>
        <w:spacing w:line="360" w:lineRule="auto"/>
        <w:ind w:firstLine="480" w:firstLineChars="200"/>
        <w:rPr>
          <w:rFonts w:hint="eastAsia" w:ascii="宋体" w:hAnsi="宋体"/>
          <w:b/>
          <w:bCs/>
          <w:sz w:val="24"/>
        </w:rPr>
      </w:pPr>
      <w:r>
        <w:rPr>
          <w:rFonts w:hint="eastAsia" w:ascii="宋体" w:hAnsi="宋体"/>
          <w:bCs/>
          <w:sz w:val="24"/>
        </w:rPr>
        <w:t>合同未尽事宜，合同当事人另行签订补充协议，补充协议是合同的组成部分。</w:t>
      </w:r>
    </w:p>
    <w:p w14:paraId="6659CEAF">
      <w:pPr>
        <w:pStyle w:val="73"/>
        <w:spacing w:line="360" w:lineRule="auto"/>
        <w:ind w:firstLine="480" w:firstLineChars="200"/>
        <w:outlineLvl w:val="2"/>
        <w:rPr>
          <w:rFonts w:hint="eastAsia" w:ascii="宋体" w:hAnsi="宋体"/>
          <w:b/>
          <w:sz w:val="24"/>
        </w:rPr>
      </w:pPr>
      <w:bookmarkStart w:id="55" w:name="_Toc351203492"/>
      <w:r>
        <w:rPr>
          <w:rFonts w:hint="eastAsia" w:ascii="宋体" w:hAnsi="宋体"/>
          <w:bCs/>
          <w:sz w:val="24"/>
        </w:rPr>
        <w:t>十二、合同生效</w:t>
      </w:r>
      <w:bookmarkEnd w:id="55"/>
    </w:p>
    <w:p w14:paraId="34E8875C">
      <w:pPr>
        <w:pStyle w:val="73"/>
        <w:spacing w:line="360" w:lineRule="auto"/>
        <w:ind w:firstLine="480" w:firstLineChars="200"/>
        <w:rPr>
          <w:rFonts w:hint="eastAsia" w:ascii="宋体" w:hAnsi="宋体"/>
          <w:bCs/>
          <w:sz w:val="24"/>
        </w:rPr>
      </w:pPr>
      <w:r>
        <w:rPr>
          <w:rFonts w:hint="eastAsia" w:ascii="宋体" w:hAnsi="宋体"/>
          <w:bCs/>
          <w:sz w:val="24"/>
        </w:rPr>
        <w:t>本合同自</w:t>
      </w:r>
      <w:r>
        <w:rPr>
          <w:rFonts w:hint="eastAsia" w:ascii="宋体" w:hAnsi="宋体"/>
          <w:bCs/>
          <w:sz w:val="24"/>
          <w:u w:val="single"/>
        </w:rPr>
        <w:t xml:space="preserve">                                   </w:t>
      </w:r>
      <w:r>
        <w:rPr>
          <w:rFonts w:hint="eastAsia" w:ascii="宋体" w:hAnsi="宋体"/>
          <w:bCs/>
          <w:sz w:val="24"/>
        </w:rPr>
        <w:t>生效。</w:t>
      </w:r>
    </w:p>
    <w:p w14:paraId="375B6BBF">
      <w:pPr>
        <w:pStyle w:val="73"/>
        <w:spacing w:line="360" w:lineRule="auto"/>
        <w:ind w:firstLine="480" w:firstLineChars="200"/>
        <w:outlineLvl w:val="2"/>
        <w:rPr>
          <w:rFonts w:hint="eastAsia" w:ascii="宋体" w:hAnsi="宋体"/>
          <w:b/>
          <w:sz w:val="24"/>
        </w:rPr>
      </w:pPr>
      <w:bookmarkStart w:id="56" w:name="_Toc351203493"/>
      <w:r>
        <w:rPr>
          <w:rFonts w:hint="eastAsia" w:ascii="宋体" w:hAnsi="宋体"/>
          <w:bCs/>
          <w:sz w:val="24"/>
        </w:rPr>
        <w:t>十三、合同份数</w:t>
      </w:r>
      <w:bookmarkEnd w:id="56"/>
    </w:p>
    <w:p w14:paraId="49E1C591">
      <w:pPr>
        <w:pStyle w:val="73"/>
        <w:spacing w:line="360" w:lineRule="auto"/>
        <w:ind w:firstLine="480" w:firstLineChars="200"/>
        <w:rPr>
          <w:rFonts w:hint="eastAsia" w:ascii="宋体" w:hAnsi="宋体"/>
          <w:bCs/>
          <w:sz w:val="24"/>
        </w:rPr>
      </w:pPr>
      <w:r>
        <w:rPr>
          <w:rFonts w:hint="eastAsia" w:ascii="宋体" w:hAnsi="宋体"/>
          <w:bCs/>
          <w:sz w:val="24"/>
        </w:rPr>
        <w:t>本合同一式</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份，均具有同等法律效力，发包人执</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份，承包人执</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份。</w:t>
      </w:r>
    </w:p>
    <w:p w14:paraId="4F0328E5">
      <w:pPr>
        <w:pStyle w:val="73"/>
        <w:spacing w:line="360" w:lineRule="auto"/>
        <w:rPr>
          <w:rFonts w:hint="eastAsia" w:ascii="宋体" w:hAnsi="宋体"/>
          <w:sz w:val="24"/>
        </w:rPr>
      </w:pPr>
      <w:r>
        <w:rPr>
          <w:rFonts w:hint="eastAsia" w:ascii="宋体" w:hAnsi="宋体"/>
          <w:sz w:val="24"/>
        </w:rPr>
        <w:t>发包人：  (公章)                           承包人：  (公章)</w:t>
      </w:r>
    </w:p>
    <w:p w14:paraId="7B0C9360">
      <w:pPr>
        <w:pStyle w:val="73"/>
        <w:spacing w:line="360" w:lineRule="auto"/>
        <w:rPr>
          <w:rFonts w:hint="eastAsia" w:ascii="宋体" w:hAnsi="宋体"/>
          <w:sz w:val="24"/>
        </w:rPr>
      </w:pPr>
      <w:r>
        <w:rPr>
          <w:rFonts w:hint="eastAsia" w:ascii="宋体" w:hAnsi="宋体"/>
          <w:sz w:val="24"/>
        </w:rPr>
        <w:t>法定代表人或其委托代理人：                 法定代表人或其委托代理人：</w:t>
      </w:r>
    </w:p>
    <w:p w14:paraId="46370D28">
      <w:pPr>
        <w:pStyle w:val="73"/>
        <w:spacing w:line="360" w:lineRule="auto"/>
        <w:rPr>
          <w:rFonts w:hint="eastAsia" w:ascii="宋体" w:hAnsi="宋体"/>
          <w:sz w:val="24"/>
        </w:rPr>
      </w:pPr>
      <w:r>
        <w:rPr>
          <w:rFonts w:hint="eastAsia" w:ascii="宋体" w:hAnsi="宋体"/>
          <w:sz w:val="24"/>
        </w:rPr>
        <w:t>（签字）                                  （签字）</w:t>
      </w:r>
    </w:p>
    <w:p w14:paraId="717A4E18">
      <w:pPr>
        <w:pStyle w:val="73"/>
        <w:spacing w:line="360" w:lineRule="auto"/>
        <w:rPr>
          <w:rFonts w:hint="eastAsia" w:ascii="宋体" w:hAnsi="宋体"/>
          <w:sz w:val="24"/>
        </w:rPr>
      </w:pPr>
      <w:r>
        <w:rPr>
          <w:rFonts w:hint="eastAsia" w:ascii="宋体" w:hAnsi="宋体"/>
          <w:sz w:val="24"/>
        </w:rPr>
        <w:t>组织机构代码：</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组织机构代码：</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w:t>
      </w:r>
    </w:p>
    <w:p w14:paraId="17DAFCDC">
      <w:pPr>
        <w:pStyle w:val="73"/>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地  址：</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p>
    <w:p w14:paraId="211CDCF4">
      <w:pPr>
        <w:pStyle w:val="73"/>
        <w:spacing w:line="360" w:lineRule="auto"/>
        <w:rPr>
          <w:rFonts w:hint="eastAsia" w:ascii="宋体" w:hAnsi="宋体"/>
          <w:sz w:val="24"/>
        </w:rPr>
      </w:pPr>
      <w:r>
        <w:rPr>
          <w:rFonts w:hint="eastAsia" w:ascii="宋体" w:hAnsi="宋体"/>
          <w:sz w:val="24"/>
        </w:rPr>
        <w:t>邮政编码：</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邮政编码：</w:t>
      </w:r>
      <w:r>
        <w:rPr>
          <w:rFonts w:ascii="宋体" w:hAnsi="宋体" w:cs="宋体"/>
          <w:sz w:val="24"/>
          <w:u w:val="single"/>
        </w:rPr>
        <w:t></w:t>
      </w:r>
      <w:r>
        <w:rPr>
          <w:rFonts w:hint="eastAsia" w:ascii="宋体" w:hAnsi="宋体"/>
          <w:sz w:val="24"/>
          <w:u w:val="single"/>
        </w:rPr>
        <w:t xml:space="preserve">   </w:t>
      </w:r>
    </w:p>
    <w:p w14:paraId="24899C10">
      <w:pPr>
        <w:pStyle w:val="73"/>
        <w:spacing w:line="360" w:lineRule="auto"/>
        <w:rPr>
          <w:rFonts w:hint="eastAsia" w:ascii="宋体" w:hAnsi="宋体"/>
          <w:sz w:val="24"/>
        </w:rPr>
      </w:pPr>
      <w:r>
        <w:rPr>
          <w:rFonts w:hint="eastAsia" w:ascii="宋体" w:hAnsi="宋体"/>
          <w:sz w:val="24"/>
        </w:rPr>
        <w:t>法定代表人：</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法定代表人：</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p>
    <w:p w14:paraId="0566BE7A">
      <w:pPr>
        <w:pStyle w:val="73"/>
        <w:spacing w:line="360" w:lineRule="auto"/>
        <w:rPr>
          <w:rFonts w:hint="eastAsia" w:ascii="宋体" w:hAnsi="宋体"/>
          <w:sz w:val="24"/>
        </w:rPr>
      </w:pPr>
      <w:r>
        <w:rPr>
          <w:rFonts w:hint="eastAsia" w:ascii="宋体" w:hAnsi="宋体"/>
          <w:sz w:val="24"/>
        </w:rPr>
        <w:t>委托代理人：</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委托代理人：</w:t>
      </w:r>
      <w:r>
        <w:rPr>
          <w:rFonts w:ascii="宋体" w:hAnsi="宋体" w:cs="宋体"/>
          <w:sz w:val="24"/>
          <w:u w:val="single"/>
        </w:rPr>
        <w:t></w:t>
      </w:r>
      <w:r>
        <w:rPr>
          <w:rFonts w:hint="eastAsia" w:ascii="宋体" w:hAnsi="宋体"/>
          <w:sz w:val="24"/>
          <w:u w:val="single"/>
        </w:rPr>
        <w:t xml:space="preserve">             </w:t>
      </w:r>
    </w:p>
    <w:p w14:paraId="2F0E8F06">
      <w:pPr>
        <w:pStyle w:val="73"/>
        <w:spacing w:line="360" w:lineRule="auto"/>
        <w:rPr>
          <w:rFonts w:hint="eastAsia" w:ascii="宋体" w:hAnsi="宋体"/>
          <w:sz w:val="24"/>
        </w:rPr>
      </w:pPr>
      <w:r>
        <w:rPr>
          <w:rFonts w:hint="eastAsia" w:ascii="宋体" w:hAnsi="宋体"/>
          <w:sz w:val="24"/>
        </w:rPr>
        <w:t>电  话：</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电  话：</w:t>
      </w:r>
      <w:r>
        <w:rPr>
          <w:rFonts w:ascii="宋体" w:hAnsi="宋体" w:cs="宋体"/>
          <w:sz w:val="24"/>
          <w:u w:val="single"/>
        </w:rPr>
        <w:t></w:t>
      </w:r>
      <w:r>
        <w:rPr>
          <w:rFonts w:hint="eastAsia" w:ascii="宋体" w:hAnsi="宋体"/>
          <w:sz w:val="24"/>
          <w:u w:val="single"/>
        </w:rPr>
        <w:t xml:space="preserve">     </w:t>
      </w:r>
    </w:p>
    <w:p w14:paraId="603FE592">
      <w:pPr>
        <w:pStyle w:val="73"/>
        <w:spacing w:line="360" w:lineRule="auto"/>
        <w:rPr>
          <w:rFonts w:hint="eastAsia" w:ascii="宋体" w:hAnsi="宋体"/>
          <w:sz w:val="24"/>
        </w:rPr>
      </w:pPr>
      <w:r>
        <w:rPr>
          <w:rFonts w:hint="eastAsia" w:ascii="宋体" w:hAnsi="宋体"/>
          <w:sz w:val="24"/>
        </w:rPr>
        <w:t>传  真：</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传  真：</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p>
    <w:p w14:paraId="2F824BE4">
      <w:pPr>
        <w:pStyle w:val="73"/>
        <w:spacing w:line="360" w:lineRule="auto"/>
        <w:rPr>
          <w:rFonts w:hint="eastAsia" w:ascii="宋体" w:hAnsi="宋体"/>
          <w:sz w:val="24"/>
        </w:rPr>
      </w:pPr>
      <w:r>
        <w:rPr>
          <w:rFonts w:hint="eastAsia" w:ascii="宋体" w:hAnsi="宋体"/>
          <w:sz w:val="24"/>
        </w:rPr>
        <w:t>电子信箱：</w:t>
      </w:r>
      <w:r>
        <w:rPr>
          <w:rFonts w:hint="eastAsia" w:ascii="宋体" w:hAnsi="宋体"/>
          <w:sz w:val="24"/>
          <w:u w:val="single"/>
        </w:rPr>
        <w:t xml:space="preserve">                 </w:t>
      </w:r>
      <w:r>
        <w:rPr>
          <w:rFonts w:hint="eastAsia" w:ascii="宋体" w:hAnsi="宋体"/>
          <w:sz w:val="24"/>
        </w:rPr>
        <w:t xml:space="preserve">                电子信箱：</w:t>
      </w:r>
      <w:r>
        <w:rPr>
          <w:rFonts w:ascii="宋体" w:hAnsi="宋体" w:cs="宋体"/>
          <w:sz w:val="24"/>
          <w:u w:val="single"/>
        </w:rPr>
        <w:t></w:t>
      </w:r>
      <w:r>
        <w:rPr>
          <w:rFonts w:hint="eastAsia" w:ascii="宋体" w:hAnsi="宋体"/>
          <w:sz w:val="24"/>
          <w:u w:val="single"/>
        </w:rPr>
        <w:t xml:space="preserve">   </w:t>
      </w:r>
    </w:p>
    <w:p w14:paraId="101EE213">
      <w:pPr>
        <w:pStyle w:val="73"/>
        <w:spacing w:line="360" w:lineRule="auto"/>
        <w:rPr>
          <w:rFonts w:hint="eastAsia" w:ascii="宋体" w:hAnsi="宋体"/>
          <w:sz w:val="24"/>
        </w:rPr>
      </w:pPr>
      <w:r>
        <w:rPr>
          <w:rFonts w:hint="eastAsia" w:ascii="宋体" w:hAnsi="宋体"/>
          <w:sz w:val="24"/>
        </w:rPr>
        <w:t>开户银行：</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开户银行：</w:t>
      </w:r>
      <w:r>
        <w:rPr>
          <w:rFonts w:ascii="宋体" w:hAnsi="宋体" w:cs="宋体"/>
          <w:sz w:val="24"/>
          <w:u w:val="single"/>
        </w:rPr>
        <w:t></w:t>
      </w:r>
      <w:r>
        <w:rPr>
          <w:rFonts w:hint="eastAsia" w:ascii="宋体" w:hAnsi="宋体"/>
          <w:sz w:val="24"/>
          <w:u w:val="single"/>
        </w:rPr>
        <w:t xml:space="preserve">   </w:t>
      </w:r>
    </w:p>
    <w:p w14:paraId="03AEDFBC">
      <w:pPr>
        <w:pStyle w:val="73"/>
        <w:spacing w:line="360" w:lineRule="auto"/>
        <w:rPr>
          <w:rFonts w:hint="eastAsia" w:ascii="宋体" w:hAnsi="宋体"/>
          <w:sz w:val="24"/>
        </w:rPr>
      </w:pPr>
      <w:r>
        <w:rPr>
          <w:rFonts w:hint="eastAsia" w:ascii="宋体" w:hAnsi="宋体"/>
          <w:sz w:val="24"/>
        </w:rPr>
        <w:t>账  号：</w:t>
      </w:r>
      <w:r>
        <w:rPr>
          <w:rFonts w:ascii="宋体" w:hAnsi="宋体" w:cs="宋体"/>
          <w:sz w:val="24"/>
          <w:u w:val="single"/>
        </w:rPr>
        <w:t></w:t>
      </w:r>
      <w:r>
        <w:rPr>
          <w:rFonts w:hint="eastAsia" w:ascii="宋体" w:hAnsi="宋体"/>
          <w:sz w:val="24"/>
          <w:u w:val="single"/>
        </w:rPr>
        <w:t xml:space="preserve"> </w:t>
      </w:r>
      <w:r>
        <w:rPr>
          <w:rFonts w:ascii="宋体" w:hAnsi="宋体" w:cs="宋体"/>
          <w:sz w:val="24"/>
          <w:u w:val="single"/>
        </w:rPr>
        <w:t></w:t>
      </w:r>
      <w:r>
        <w:rPr>
          <w:rFonts w:hint="eastAsia" w:ascii="宋体" w:hAnsi="宋体"/>
          <w:sz w:val="24"/>
          <w:u w:val="single"/>
        </w:rPr>
        <w:t xml:space="preserve">      </w:t>
      </w:r>
      <w:r>
        <w:rPr>
          <w:rFonts w:hint="eastAsia" w:ascii="宋体" w:hAnsi="宋体"/>
          <w:sz w:val="24"/>
        </w:rPr>
        <w:t xml:space="preserve">                账  号：</w:t>
      </w:r>
      <w:r>
        <w:rPr>
          <w:rFonts w:ascii="宋体" w:hAnsi="宋体" w:cs="宋体"/>
          <w:sz w:val="24"/>
          <w:u w:val="single"/>
        </w:rPr>
        <w:t></w:t>
      </w:r>
      <w:r>
        <w:rPr>
          <w:rFonts w:hint="eastAsia" w:ascii="宋体" w:hAnsi="宋体"/>
          <w:sz w:val="24"/>
          <w:u w:val="single"/>
        </w:rPr>
        <w:t xml:space="preserve">     </w:t>
      </w:r>
    </w:p>
    <w:p w14:paraId="52FF4DED">
      <w:pPr>
        <w:pStyle w:val="72"/>
        <w:spacing w:line="360" w:lineRule="auto"/>
        <w:ind w:left="250" w:right="0"/>
        <w:rPr>
          <w:rFonts w:hint="eastAsia" w:ascii="宋体" w:hAnsi="宋体"/>
          <w:szCs w:val="24"/>
        </w:rPr>
      </w:pPr>
    </w:p>
    <w:p w14:paraId="7ADAB7FB">
      <w:pPr>
        <w:pStyle w:val="72"/>
        <w:spacing w:line="360" w:lineRule="auto"/>
        <w:ind w:left="0" w:right="0"/>
        <w:rPr>
          <w:rFonts w:hint="eastAsia" w:ascii="宋体" w:hAnsi="宋体"/>
          <w:szCs w:val="24"/>
          <w:lang w:eastAsia="zh-CN"/>
        </w:rPr>
      </w:pPr>
    </w:p>
    <w:p w14:paraId="4A6262F0">
      <w:pPr>
        <w:pStyle w:val="72"/>
        <w:spacing w:line="360" w:lineRule="auto"/>
        <w:ind w:left="0" w:right="0"/>
        <w:rPr>
          <w:rFonts w:hint="eastAsia" w:ascii="宋体" w:hAnsi="宋体"/>
          <w:szCs w:val="24"/>
          <w:lang w:eastAsia="zh-CN"/>
        </w:rPr>
      </w:pPr>
    </w:p>
    <w:p w14:paraId="6CF5C4CD">
      <w:pPr>
        <w:pStyle w:val="72"/>
        <w:spacing w:line="360" w:lineRule="auto"/>
        <w:ind w:left="0" w:right="0"/>
        <w:rPr>
          <w:rFonts w:hint="eastAsia" w:ascii="宋体" w:hAnsi="宋体"/>
          <w:szCs w:val="24"/>
          <w:lang w:eastAsia="zh-CN"/>
        </w:rPr>
      </w:pPr>
    </w:p>
    <w:p w14:paraId="2C12FCF5">
      <w:pPr>
        <w:pStyle w:val="96"/>
        <w:numPr>
          <w:ilvl w:val="0"/>
          <w:numId w:val="0"/>
        </w:numPr>
        <w:outlineLvl w:val="1"/>
        <w:rPr>
          <w:rFonts w:hint="eastAsia" w:ascii="宋体" w:hAnsi="宋体"/>
          <w:b w:val="0"/>
          <w:sz w:val="24"/>
          <w:szCs w:val="24"/>
        </w:rPr>
      </w:pPr>
      <w:bookmarkStart w:id="57" w:name="_Toc460660195"/>
      <w:bookmarkStart w:id="58" w:name="_Toc416787470"/>
      <w:bookmarkStart w:id="59" w:name="_Toc460226810"/>
      <w:bookmarkStart w:id="60" w:name="_Toc460227080"/>
      <w:bookmarkStart w:id="61" w:name="_Toc351203494"/>
      <w:r>
        <w:rPr>
          <w:rFonts w:hint="eastAsia" w:ascii="宋体" w:hAnsi="宋体"/>
          <w:b w:val="0"/>
          <w:sz w:val="24"/>
          <w:szCs w:val="24"/>
        </w:rPr>
        <w:t>第二部分  通用合同条款</w:t>
      </w:r>
      <w:bookmarkEnd w:id="57"/>
      <w:bookmarkEnd w:id="58"/>
      <w:bookmarkEnd w:id="59"/>
      <w:bookmarkEnd w:id="60"/>
      <w:bookmarkEnd w:id="61"/>
      <w:bookmarkStart w:id="62" w:name="_Toc337558727"/>
    </w:p>
    <w:p w14:paraId="3375B1E9">
      <w:pPr>
        <w:pStyle w:val="80"/>
        <w:spacing w:line="360" w:lineRule="auto"/>
        <w:ind w:firstLine="1320" w:firstLineChars="550"/>
        <w:rPr>
          <w:rFonts w:hint="eastAsia" w:ascii="宋体" w:hAnsi="宋体"/>
          <w:sz w:val="24"/>
          <w:szCs w:val="24"/>
        </w:rPr>
      </w:pPr>
      <w:r>
        <w:rPr>
          <w:rFonts w:hint="eastAsia" w:ascii="宋体" w:hAnsi="宋体"/>
          <w:sz w:val="24"/>
          <w:szCs w:val="24"/>
        </w:rPr>
        <w:t>详见《建设工程施工合同(示范文本) 》(GF-2013-0201)中通用合同条款</w:t>
      </w:r>
      <w:bookmarkEnd w:id="62"/>
    </w:p>
    <w:p w14:paraId="5A979760">
      <w:pPr>
        <w:pStyle w:val="96"/>
        <w:numPr>
          <w:ilvl w:val="0"/>
          <w:numId w:val="0"/>
        </w:numPr>
        <w:outlineLvl w:val="1"/>
        <w:rPr>
          <w:rFonts w:hint="eastAsia" w:ascii="宋体" w:hAnsi="宋体"/>
          <w:b w:val="0"/>
          <w:sz w:val="24"/>
          <w:szCs w:val="24"/>
          <w:lang w:eastAsia="zh-CN"/>
        </w:rPr>
      </w:pPr>
      <w:bookmarkStart w:id="63" w:name="_Toc460226811"/>
      <w:bookmarkStart w:id="64" w:name="_Toc416787471"/>
      <w:bookmarkStart w:id="65" w:name="_Toc460227081"/>
      <w:bookmarkStart w:id="66" w:name="_Toc460660196"/>
      <w:r>
        <w:rPr>
          <w:rFonts w:hint="eastAsia" w:ascii="宋体" w:hAnsi="宋体"/>
          <w:b w:val="0"/>
          <w:sz w:val="24"/>
          <w:szCs w:val="24"/>
        </w:rPr>
        <w:t>第三部分　专用合同条款</w:t>
      </w:r>
      <w:bookmarkEnd w:id="63"/>
      <w:bookmarkEnd w:id="64"/>
      <w:bookmarkEnd w:id="65"/>
      <w:bookmarkEnd w:id="66"/>
    </w:p>
    <w:p w14:paraId="28931ADC">
      <w:pPr>
        <w:pStyle w:val="5"/>
        <w:adjustRightInd w:val="0"/>
        <w:snapToGrid w:val="0"/>
        <w:spacing w:before="0" w:after="0" w:line="360" w:lineRule="auto"/>
        <w:outlineLvl w:val="2"/>
        <w:rPr>
          <w:rFonts w:ascii="宋体" w:hAnsi="宋体" w:eastAsia="宋体"/>
          <w:b w:val="0"/>
          <w:sz w:val="24"/>
          <w:szCs w:val="24"/>
        </w:rPr>
      </w:pPr>
      <w:bookmarkStart w:id="67" w:name="_Toc460660197"/>
      <w:bookmarkStart w:id="68" w:name="_Toc460226812"/>
      <w:bookmarkStart w:id="69" w:name="_Toc460227082"/>
      <w:r>
        <w:rPr>
          <w:rFonts w:ascii="宋体" w:hAnsi="宋体" w:eastAsia="宋体"/>
          <w:b w:val="0"/>
          <w:sz w:val="24"/>
          <w:szCs w:val="24"/>
        </w:rPr>
        <w:t>1. 一般约定</w:t>
      </w:r>
      <w:bookmarkEnd w:id="67"/>
      <w:bookmarkEnd w:id="68"/>
      <w:bookmarkEnd w:id="69"/>
    </w:p>
    <w:p w14:paraId="5AADB212">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bookmarkStart w:id="70" w:name="_Toc351203633"/>
      <w:bookmarkStart w:id="71" w:name="_Toc351203652"/>
      <w:r>
        <w:rPr>
          <w:rFonts w:hint="eastAsia" w:ascii="宋体" w:hAnsi="宋体"/>
          <w:sz w:val="24"/>
        </w:rPr>
        <w:t>1.1 词语定义</w:t>
      </w:r>
    </w:p>
    <w:p w14:paraId="35880AD4">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1.1.1合同</w:t>
      </w:r>
    </w:p>
    <w:p w14:paraId="08624774">
      <w:pPr>
        <w:pStyle w:val="91"/>
        <w:tabs>
          <w:tab w:val="left" w:pos="360"/>
        </w:tabs>
        <w:snapToGrid w:val="0"/>
        <w:spacing w:before="0" w:after="0" w:line="360" w:lineRule="auto"/>
        <w:ind w:left="250" w:leftChars="119" w:right="178" w:rightChars="85" w:firstLine="480" w:firstLineChars="200"/>
        <w:rPr>
          <w:rFonts w:hint="eastAsia" w:ascii="宋体" w:hAnsi="宋体"/>
          <w:szCs w:val="24"/>
        </w:rPr>
      </w:pPr>
      <w:r>
        <w:rPr>
          <w:rFonts w:hint="eastAsia" w:ascii="宋体" w:hAnsi="宋体"/>
          <w:szCs w:val="24"/>
        </w:rPr>
        <w:t>1.1.1.10其他合同文件包括：</w:t>
      </w:r>
      <w:r>
        <w:rPr>
          <w:rFonts w:hint="eastAsia" w:ascii="宋体" w:hAnsi="宋体"/>
          <w:szCs w:val="24"/>
          <w:u w:val="single"/>
        </w:rPr>
        <w:t>合同履行过程中双方就有关工程的洽商、变更等书面协议或文件视为本合同的组成部分。</w:t>
      </w:r>
    </w:p>
    <w:p w14:paraId="55AF8D8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1.1.2 合同当事人及其他相关方</w:t>
      </w:r>
    </w:p>
    <w:p w14:paraId="136DC18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1.1.2.4监理人：</w:t>
      </w:r>
    </w:p>
    <w:p w14:paraId="4ABDCE9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名称：</w:t>
      </w:r>
      <w:r>
        <w:rPr>
          <w:rFonts w:hint="eastAsia" w:ascii="宋体" w:hAnsi="宋体"/>
          <w:sz w:val="24"/>
          <w:u w:val="single"/>
        </w:rPr>
        <w:t xml:space="preserve">            </w:t>
      </w:r>
      <w:r>
        <w:rPr>
          <w:rFonts w:hint="eastAsia" w:ascii="宋体" w:hAnsi="宋体"/>
          <w:sz w:val="24"/>
        </w:rPr>
        <w:t>；</w:t>
      </w:r>
    </w:p>
    <w:p w14:paraId="24387FC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资质类别和等级：</w:t>
      </w:r>
      <w:r>
        <w:rPr>
          <w:rFonts w:hint="eastAsia" w:ascii="宋体" w:hAnsi="宋体"/>
          <w:sz w:val="24"/>
          <w:u w:val="single"/>
        </w:rPr>
        <w:t>            </w:t>
      </w:r>
      <w:r>
        <w:rPr>
          <w:rFonts w:hint="eastAsia" w:ascii="宋体" w:hAnsi="宋体"/>
          <w:sz w:val="24"/>
        </w:rPr>
        <w:t>；</w:t>
      </w:r>
    </w:p>
    <w:p w14:paraId="65B0DB5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w:t>
      </w:r>
      <w:r>
        <w:rPr>
          <w:rFonts w:hint="eastAsia" w:ascii="宋体" w:hAnsi="宋体"/>
          <w:sz w:val="24"/>
        </w:rPr>
        <w:t>；电子信箱：</w:t>
      </w:r>
      <w:r>
        <w:rPr>
          <w:rFonts w:hint="eastAsia" w:ascii="宋体" w:hAnsi="宋体"/>
          <w:sz w:val="24"/>
          <w:u w:val="single"/>
        </w:rPr>
        <w:t> /</w:t>
      </w:r>
      <w:r>
        <w:rPr>
          <w:rFonts w:hint="eastAsia" w:ascii="宋体" w:hAnsi="宋体"/>
          <w:sz w:val="24"/>
        </w:rPr>
        <w:t>；通信地址：</w:t>
      </w:r>
      <w:r>
        <w:rPr>
          <w:rFonts w:hint="eastAsia" w:ascii="宋体" w:hAnsi="宋体"/>
          <w:sz w:val="24"/>
          <w:u w:val="single"/>
        </w:rPr>
        <w:t> /</w:t>
      </w:r>
      <w:r>
        <w:rPr>
          <w:rFonts w:hint="eastAsia" w:ascii="宋体" w:hAnsi="宋体"/>
          <w:sz w:val="24"/>
        </w:rPr>
        <w:t>；</w:t>
      </w:r>
    </w:p>
    <w:p w14:paraId="3DCCE61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1.1.2.5 设计人：</w:t>
      </w:r>
    </w:p>
    <w:p w14:paraId="5E64DF7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名称：</w:t>
      </w:r>
      <w:r>
        <w:rPr>
          <w:rFonts w:hint="eastAsia" w:ascii="宋体" w:hAnsi="宋体"/>
          <w:sz w:val="24"/>
          <w:u w:val="single"/>
        </w:rPr>
        <w:t xml:space="preserve">                </w:t>
      </w:r>
      <w:r>
        <w:rPr>
          <w:rFonts w:hint="eastAsia" w:ascii="宋体" w:hAnsi="宋体"/>
          <w:sz w:val="24"/>
        </w:rPr>
        <w:t>；</w:t>
      </w:r>
    </w:p>
    <w:p w14:paraId="262069C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资质类别和等级：</w:t>
      </w:r>
      <w:r>
        <w:rPr>
          <w:rFonts w:hint="eastAsia" w:ascii="宋体" w:hAnsi="宋体"/>
          <w:sz w:val="24"/>
          <w:u w:val="single"/>
        </w:rPr>
        <w:t>        </w:t>
      </w:r>
      <w:r>
        <w:rPr>
          <w:rFonts w:hint="eastAsia" w:ascii="宋体" w:hAnsi="宋体"/>
          <w:sz w:val="24"/>
        </w:rPr>
        <w:t>；</w:t>
      </w:r>
    </w:p>
    <w:p w14:paraId="698F28C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w:t>
      </w:r>
      <w:r>
        <w:rPr>
          <w:rFonts w:hint="eastAsia" w:ascii="宋体" w:hAnsi="宋体"/>
          <w:sz w:val="24"/>
        </w:rPr>
        <w:t>；电子信箱：</w:t>
      </w:r>
      <w:r>
        <w:rPr>
          <w:rFonts w:hint="eastAsia" w:ascii="宋体" w:hAnsi="宋体"/>
          <w:sz w:val="24"/>
          <w:u w:val="single"/>
        </w:rPr>
        <w:t> /</w:t>
      </w:r>
      <w:r>
        <w:rPr>
          <w:rFonts w:hint="eastAsia" w:ascii="宋体" w:hAnsi="宋体"/>
          <w:sz w:val="24"/>
        </w:rPr>
        <w:t>；通信地址：</w:t>
      </w:r>
      <w:r>
        <w:rPr>
          <w:rFonts w:hint="eastAsia" w:ascii="宋体" w:hAnsi="宋体"/>
          <w:sz w:val="24"/>
          <w:u w:val="single"/>
        </w:rPr>
        <w:t> /</w:t>
      </w:r>
      <w:r>
        <w:rPr>
          <w:rFonts w:hint="eastAsia" w:ascii="宋体" w:hAnsi="宋体"/>
          <w:sz w:val="24"/>
        </w:rPr>
        <w:t>；</w:t>
      </w:r>
    </w:p>
    <w:p w14:paraId="1C6723F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1.1.3 工程和设备</w:t>
      </w:r>
    </w:p>
    <w:p w14:paraId="15B35267">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1.1.3.7 作为施工现场组成部分的其他场所包括：</w:t>
      </w:r>
      <w:r>
        <w:rPr>
          <w:rFonts w:hint="eastAsia" w:ascii="宋体" w:hAnsi="宋体"/>
          <w:sz w:val="24"/>
          <w:u w:val="single"/>
        </w:rPr>
        <w:t> /</w:t>
      </w:r>
    </w:p>
    <w:p w14:paraId="6483FA8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1.1.3.9 永久占地包括：</w:t>
      </w:r>
      <w:r>
        <w:rPr>
          <w:rFonts w:hint="eastAsia" w:ascii="宋体" w:hAnsi="宋体"/>
          <w:sz w:val="24"/>
          <w:u w:val="single"/>
        </w:rPr>
        <w:t xml:space="preserve"> / </w:t>
      </w:r>
    </w:p>
    <w:p w14:paraId="199F459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1.1.3.10 临时占地包括：</w:t>
      </w:r>
      <w:r>
        <w:rPr>
          <w:rFonts w:hint="eastAsia" w:ascii="宋体" w:hAnsi="宋体"/>
          <w:sz w:val="24"/>
          <w:u w:val="single"/>
        </w:rPr>
        <w:t> /</w:t>
      </w:r>
    </w:p>
    <w:p w14:paraId="5DD23DF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 xml:space="preserve">1.3法律 </w:t>
      </w:r>
    </w:p>
    <w:p w14:paraId="03124E5F">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适用于合同的其他规范性文件：</w:t>
      </w:r>
      <w:r>
        <w:rPr>
          <w:rFonts w:hint="eastAsia" w:ascii="宋体" w:hAnsi="宋体"/>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C5D80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 标准和规范</w:t>
      </w:r>
    </w:p>
    <w:p w14:paraId="615DFBF8">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1.4.1适用于工程的标准规范包括：</w:t>
      </w:r>
      <w:r>
        <w:rPr>
          <w:rFonts w:hint="eastAsia" w:ascii="宋体" w:hAnsi="宋体"/>
          <w:sz w:val="24"/>
          <w:u w:val="single"/>
        </w:rPr>
        <w:t>执行通用条款。</w:t>
      </w:r>
    </w:p>
    <w:p w14:paraId="62B6B7A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1.4.2 发包人提供国外标准、规范的名称：</w:t>
      </w:r>
      <w:r>
        <w:rPr>
          <w:rFonts w:hint="eastAsia" w:ascii="宋体" w:hAnsi="宋体"/>
          <w:kern w:val="0"/>
          <w:sz w:val="24"/>
          <w:u w:val="single"/>
        </w:rPr>
        <w:t xml:space="preserve">  不采用。   </w:t>
      </w:r>
      <w:r>
        <w:rPr>
          <w:rFonts w:hint="eastAsia" w:ascii="宋体" w:hAnsi="宋体"/>
          <w:kern w:val="0"/>
          <w:sz w:val="24"/>
        </w:rPr>
        <w:t xml:space="preserve"> </w:t>
      </w:r>
    </w:p>
    <w:p w14:paraId="05C50FD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发包人提供国外标准、规范的份数：</w:t>
      </w:r>
      <w:r>
        <w:rPr>
          <w:rFonts w:hint="eastAsia" w:ascii="宋体" w:hAnsi="宋体"/>
          <w:kern w:val="0"/>
          <w:sz w:val="24"/>
          <w:u w:val="single"/>
        </w:rPr>
        <w:t xml:space="preserve">  不采用。  </w:t>
      </w:r>
    </w:p>
    <w:p w14:paraId="546F82A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发包人提供国外标准、规范的名称：</w:t>
      </w:r>
      <w:r>
        <w:rPr>
          <w:rFonts w:hint="eastAsia" w:ascii="宋体" w:hAnsi="宋体"/>
          <w:kern w:val="0"/>
          <w:sz w:val="24"/>
          <w:u w:val="single"/>
        </w:rPr>
        <w:t xml:space="preserve"> 不采用。  </w:t>
      </w:r>
    </w:p>
    <w:p w14:paraId="4F1ABFF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1.4.3发包人对工程的技术标准和功能要求的特殊要求：</w:t>
      </w:r>
      <w:r>
        <w:rPr>
          <w:rFonts w:hint="eastAsia" w:ascii="宋体" w:hAnsi="宋体"/>
          <w:sz w:val="24"/>
          <w:u w:val="single"/>
        </w:rPr>
        <w:t> /</w:t>
      </w:r>
    </w:p>
    <w:p w14:paraId="0179EEA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 合同文件的优先顺序</w:t>
      </w:r>
    </w:p>
    <w:p w14:paraId="23268067">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合同文件组成及优先顺序为：</w:t>
      </w:r>
      <w:r>
        <w:rPr>
          <w:rFonts w:hint="eastAsia" w:ascii="宋体" w:hAnsi="宋体"/>
          <w:sz w:val="24"/>
          <w:u w:val="single"/>
        </w:rPr>
        <w:t xml:space="preserve">本合同协议书→中标通知书→投标书及其附件→本合同专用条款→本合同通用条款→技术标准和要求→图纸→已标价工程量清单→其他合同文件。 </w:t>
      </w:r>
    </w:p>
    <w:p w14:paraId="7DB8E96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1.6 图纸和承包人文件</w:t>
      </w:r>
    </w:p>
    <w:p w14:paraId="43DB3AA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1.6.1 图纸的提供</w:t>
      </w:r>
    </w:p>
    <w:p w14:paraId="6D696E1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发包人向承包人提供图纸的期限：</w:t>
      </w:r>
      <w:r>
        <w:rPr>
          <w:rFonts w:hint="eastAsia" w:ascii="宋体" w:hAnsi="宋体"/>
          <w:sz w:val="24"/>
          <w:u w:val="single"/>
        </w:rPr>
        <w:t>执行通用条款。</w:t>
      </w:r>
    </w:p>
    <w:p w14:paraId="48CF196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发包人向承包人提供图纸的数量：</w:t>
      </w:r>
      <w:r>
        <w:rPr>
          <w:rFonts w:hint="eastAsia" w:ascii="宋体" w:hAnsi="宋体"/>
          <w:sz w:val="24"/>
          <w:u w:val="single"/>
        </w:rPr>
        <w:t>提供 五套施工图蓝图（含竣工图两套），不足的由承包人自行复制，费用自理。</w:t>
      </w:r>
    </w:p>
    <w:p w14:paraId="119D4F1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发包人向承包人提供图纸的内容：</w:t>
      </w:r>
      <w:r>
        <w:rPr>
          <w:rFonts w:hint="eastAsia" w:ascii="宋体" w:hAnsi="宋体"/>
          <w:sz w:val="24"/>
          <w:u w:val="single"/>
        </w:rPr>
        <w:t> 设计施工图、施工图审查资料、施工图消防专项审查资料、人防施工图审查资料、在本项目投标截止日期之前的所有施工图设计变更资料、岩土工程勘察报告等。</w:t>
      </w:r>
    </w:p>
    <w:p w14:paraId="2C04CB2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1.6.4 承包人文件</w:t>
      </w:r>
    </w:p>
    <w:p w14:paraId="6A4C44D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需要由承包人提供的文件，包括：</w:t>
      </w:r>
      <w:r>
        <w:rPr>
          <w:rFonts w:hint="eastAsia" w:ascii="宋体" w:hAnsi="宋体"/>
          <w:sz w:val="24"/>
          <w:u w:val="single"/>
        </w:rPr>
        <w:t>执行通用条款。</w:t>
      </w:r>
    </w:p>
    <w:p w14:paraId="647EAF2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承包人提供的文件的期限为：</w:t>
      </w:r>
      <w:r>
        <w:rPr>
          <w:rFonts w:hint="eastAsia" w:ascii="宋体" w:hAnsi="宋体"/>
          <w:sz w:val="24"/>
          <w:u w:val="single"/>
        </w:rPr>
        <w:t>执行通用条款。</w:t>
      </w:r>
    </w:p>
    <w:p w14:paraId="45C33A4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承包人提供的文件的数量为：</w:t>
      </w:r>
      <w:r>
        <w:rPr>
          <w:rFonts w:hint="eastAsia" w:ascii="宋体" w:hAnsi="宋体"/>
          <w:sz w:val="24"/>
          <w:u w:val="single"/>
        </w:rPr>
        <w:t>执行通用条款。</w:t>
      </w:r>
    </w:p>
    <w:p w14:paraId="785C935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承包人提供的文件的形式为：</w:t>
      </w:r>
      <w:r>
        <w:rPr>
          <w:rFonts w:hint="eastAsia" w:ascii="宋体" w:hAnsi="宋体"/>
          <w:sz w:val="24"/>
          <w:u w:val="single"/>
        </w:rPr>
        <w:t>执行通用条款。</w:t>
      </w:r>
    </w:p>
    <w:p w14:paraId="093B2A1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发包人审批承包人文件的期限：</w:t>
      </w:r>
      <w:r>
        <w:rPr>
          <w:rFonts w:hint="eastAsia" w:ascii="宋体" w:hAnsi="宋体"/>
          <w:sz w:val="24"/>
          <w:u w:val="single"/>
        </w:rPr>
        <w:t>执行通用条款。</w:t>
      </w:r>
    </w:p>
    <w:p w14:paraId="414CB18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1.6.5 现场图纸准备</w:t>
      </w:r>
    </w:p>
    <w:p w14:paraId="1B2BE4D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关于现场图纸准备的约定：</w:t>
      </w:r>
      <w:r>
        <w:rPr>
          <w:rFonts w:hint="eastAsia" w:ascii="宋体" w:hAnsi="宋体"/>
          <w:sz w:val="24"/>
          <w:u w:val="single"/>
        </w:rPr>
        <w:t>执行通用条款。</w:t>
      </w:r>
    </w:p>
    <w:p w14:paraId="7DD6C3C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1.7 联络</w:t>
      </w:r>
    </w:p>
    <w:p w14:paraId="79C672A7">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1.7.1发包人和承包人应当在</w:t>
      </w:r>
      <w:r>
        <w:rPr>
          <w:rFonts w:hint="eastAsia" w:ascii="宋体" w:hAnsi="宋体"/>
          <w:sz w:val="24"/>
          <w:u w:val="single"/>
        </w:rPr>
        <w:t xml:space="preserve"> 7  </w:t>
      </w:r>
      <w:r>
        <w:rPr>
          <w:rFonts w:hint="eastAsia" w:ascii="宋体" w:hAnsi="宋体"/>
          <w:kern w:val="0"/>
          <w:sz w:val="24"/>
        </w:rPr>
        <w:t>天内将与合同有关的通知、批准、证明、证书、指示、指令、要求、请求、同意、意见、确定和决定等书面函件送达对方当事人。</w:t>
      </w:r>
    </w:p>
    <w:p w14:paraId="46939BA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1.7.2 发包人接收文件的地点、发包人指定的接收人为、承包人接收文件的地点、</w:t>
      </w:r>
    </w:p>
    <w:p w14:paraId="22672209">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承包人指定的接收人为、监理人接收文件的地点、监理人指定的接收人为：</w:t>
      </w:r>
      <w:r>
        <w:rPr>
          <w:rFonts w:hint="eastAsia" w:ascii="宋体" w:hAnsi="宋体"/>
          <w:sz w:val="24"/>
          <w:u w:val="single"/>
        </w:rPr>
        <w:t>履行约定。</w:t>
      </w:r>
    </w:p>
    <w:p w14:paraId="4E2D687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1.10 交通运输</w:t>
      </w:r>
    </w:p>
    <w:p w14:paraId="585DE25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w:t>
      </w:r>
      <w:bookmarkStart w:id="72" w:name="_Toc318581155"/>
      <w:bookmarkStart w:id="73" w:name="_Toc304295521"/>
      <w:bookmarkStart w:id="74" w:name="_Toc300934943"/>
      <w:bookmarkStart w:id="75" w:name="_Toc312677986"/>
      <w:bookmarkStart w:id="76" w:name="_Toc303539100"/>
      <w:r>
        <w:rPr>
          <w:rFonts w:hint="eastAsia" w:ascii="宋体" w:hAnsi="宋体"/>
          <w:sz w:val="24"/>
        </w:rPr>
        <w:t>.10.1 出入现场的权利</w:t>
      </w:r>
    </w:p>
    <w:p w14:paraId="1D4F730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关于出入现场的权利的约定：</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w:t>
      </w:r>
      <w:r>
        <w:rPr>
          <w:rFonts w:hint="eastAsia" w:ascii="宋体" w:hAnsi="宋体"/>
          <w:sz w:val="24"/>
        </w:rPr>
        <w:t>。</w:t>
      </w:r>
    </w:p>
    <w:bookmarkEnd w:id="72"/>
    <w:bookmarkEnd w:id="73"/>
    <w:bookmarkEnd w:id="74"/>
    <w:bookmarkEnd w:id="75"/>
    <w:bookmarkEnd w:id="76"/>
    <w:p w14:paraId="3C1F4DDA">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w:t>
      </w:r>
      <w:bookmarkStart w:id="77" w:name="_Toc300934944"/>
      <w:bookmarkStart w:id="78" w:name="_Toc312677987"/>
      <w:bookmarkStart w:id="79" w:name="_Toc318581156"/>
      <w:bookmarkStart w:id="80" w:name="_Toc304295522"/>
      <w:bookmarkStart w:id="81" w:name="_Toc303539101"/>
      <w:r>
        <w:rPr>
          <w:rFonts w:hint="eastAsia" w:ascii="宋体" w:hAnsi="宋体"/>
          <w:sz w:val="24"/>
        </w:rPr>
        <w:t>.10.3 场内交通</w:t>
      </w:r>
    </w:p>
    <w:p w14:paraId="4141614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关于场外交通和场内交通的边界的约定：</w:t>
      </w:r>
      <w:r>
        <w:rPr>
          <w:rFonts w:hint="eastAsia" w:ascii="宋体" w:hAnsi="宋体"/>
          <w:sz w:val="24"/>
          <w:u w:val="single"/>
        </w:rPr>
        <w:t xml:space="preserve"> </w:t>
      </w:r>
      <w:r>
        <w:rPr>
          <w:rFonts w:hint="eastAsia" w:ascii="宋体" w:hAnsi="宋体"/>
          <w:kern w:val="0"/>
          <w:sz w:val="24"/>
          <w:u w:val="single"/>
        </w:rPr>
        <w:t xml:space="preserve">以本项目用地红线作为场内外交通边界线。   </w:t>
      </w:r>
    </w:p>
    <w:p w14:paraId="33D185E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关于发包人向承包人免费提供满足工程施工需要的场内道路和交通设施的约定：</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 xml:space="preserve"> </w:t>
      </w:r>
      <w:bookmarkEnd w:id="77"/>
      <w:bookmarkEnd w:id="78"/>
      <w:bookmarkEnd w:id="79"/>
      <w:bookmarkEnd w:id="80"/>
      <w:bookmarkEnd w:id="81"/>
      <w:bookmarkStart w:id="82" w:name="_Toc318581157"/>
    </w:p>
    <w:p w14:paraId="57A687A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1.10.4超大件和超重件的运输运输超大件或超重件所需的道路和桥梁临时加固改造费用和其他有关费用由</w:t>
      </w:r>
      <w:r>
        <w:rPr>
          <w:rFonts w:hint="eastAsia" w:ascii="宋体" w:hAnsi="宋体"/>
          <w:sz w:val="24"/>
          <w:u w:val="single"/>
        </w:rPr>
        <w:t xml:space="preserve">  /</w:t>
      </w:r>
      <w:r>
        <w:rPr>
          <w:rFonts w:hint="eastAsia" w:ascii="宋体" w:hAnsi="宋体"/>
          <w:sz w:val="24"/>
        </w:rPr>
        <w:t>承担。</w:t>
      </w:r>
    </w:p>
    <w:bookmarkEnd w:id="82"/>
    <w:p w14:paraId="3634E8F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1.11 知识产权</w:t>
      </w:r>
    </w:p>
    <w:p w14:paraId="04DBFEC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 xml:space="preserve">发包人。 </w:t>
      </w:r>
    </w:p>
    <w:p w14:paraId="516F602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关于发包人提供的上述文件的使用限制的要求：</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4D4FEDBF">
      <w:pPr>
        <w:pStyle w:val="77"/>
        <w:tabs>
          <w:tab w:val="left" w:pos="360"/>
        </w:tabs>
        <w:adjustRightInd w:val="0"/>
        <w:snapToGrid w:val="0"/>
        <w:spacing w:line="360" w:lineRule="auto"/>
        <w:ind w:right="178" w:rightChars="85"/>
        <w:rPr>
          <w:rFonts w:hint="eastAsia" w:ascii="宋体" w:hAnsi="宋体"/>
          <w:sz w:val="24"/>
        </w:rPr>
      </w:pPr>
      <w:r>
        <w:rPr>
          <w:rFonts w:hint="eastAsia" w:ascii="宋体" w:hAnsi="宋体"/>
          <w:sz w:val="24"/>
        </w:rPr>
        <w:t>1.11.2 关于承包人为实施工程所编制文件的著作权的归属：</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33C819C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关于承包人提供的上述文件的使用限制的要求：</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6D05ACA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1.11.4 承包人在施工过程中所采用的专利、专有技术、技术秘密的使用费的承担方式：</w:t>
      </w:r>
      <w:r>
        <w:rPr>
          <w:rFonts w:hint="eastAsia" w:ascii="宋体" w:hAnsi="宋体"/>
          <w:kern w:val="0"/>
          <w:sz w:val="24"/>
          <w:u w:val="single"/>
        </w:rPr>
        <w:t>执行通用条款。</w:t>
      </w:r>
      <w:r>
        <w:rPr>
          <w:rFonts w:hint="eastAsia" w:ascii="宋体" w:hAnsi="宋体"/>
          <w:sz w:val="24"/>
          <w:u w:val="single"/>
        </w:rPr>
        <w:t xml:space="preserve"> </w:t>
      </w:r>
    </w:p>
    <w:p w14:paraId="339C356C">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1.13工程量清单错误的修正</w:t>
      </w:r>
    </w:p>
    <w:p w14:paraId="53B1693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出现工程量清单错误时，是否调整合同价格：</w:t>
      </w:r>
      <w:r>
        <w:rPr>
          <w:rFonts w:hint="eastAsia" w:ascii="宋体" w:hAnsi="宋体"/>
          <w:sz w:val="24"/>
          <w:u w:val="single"/>
        </w:rPr>
        <w:t xml:space="preserve">  不采用通用条款，按下列规定办理：</w:t>
      </w:r>
      <w:r>
        <w:rPr>
          <w:rFonts w:hint="eastAsia" w:ascii="宋体" w:hAnsi="宋体" w:cs="Courier New"/>
          <w:sz w:val="24"/>
          <w:u w:val="single"/>
        </w:rPr>
        <w:t xml:space="preserve">除本补充条款另有规定外，工程总造价在招标范围内一次性包死。  </w:t>
      </w:r>
    </w:p>
    <w:p w14:paraId="1C638AA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允许调整合同价格的工程量偏差范围：</w:t>
      </w:r>
      <w:r>
        <w:rPr>
          <w:rFonts w:hint="eastAsia" w:ascii="宋体" w:hAnsi="宋体"/>
          <w:sz w:val="24"/>
          <w:u w:val="single"/>
        </w:rPr>
        <w:t> /</w:t>
      </w:r>
    </w:p>
    <w:p w14:paraId="07713152">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r>
        <w:rPr>
          <w:rFonts w:hint="eastAsia" w:ascii="宋体" w:hAnsi="宋体"/>
          <w:kern w:val="0"/>
          <w:sz w:val="24"/>
        </w:rPr>
        <w:t>2. 发包人</w:t>
      </w:r>
    </w:p>
    <w:p w14:paraId="6188345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2.2 发包人代表</w:t>
      </w:r>
    </w:p>
    <w:p w14:paraId="4286D03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发包人代表：</w:t>
      </w:r>
    </w:p>
    <w:p w14:paraId="4C73F33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 xml:space="preserve">； </w:t>
      </w:r>
    </w:p>
    <w:p w14:paraId="07CAA96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发包人对发包人代表的授权范围如下：</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 xml:space="preserve">   </w:t>
      </w:r>
    </w:p>
    <w:p w14:paraId="56C2C80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2.4 施工现场、施工条件和基础资料的提供</w:t>
      </w:r>
    </w:p>
    <w:p w14:paraId="6426F5D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2.4.1 提供施工现场</w:t>
      </w:r>
    </w:p>
    <w:p w14:paraId="685B29C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关于发包人移交施工现场的期限要求：</w:t>
      </w:r>
      <w:r>
        <w:rPr>
          <w:rFonts w:hint="eastAsia" w:ascii="宋体" w:hAnsi="宋体"/>
          <w:sz w:val="24"/>
          <w:u w:val="single"/>
        </w:rPr>
        <w:t>开工日期7天前（</w:t>
      </w:r>
      <w:r>
        <w:rPr>
          <w:rFonts w:hint="eastAsia" w:ascii="宋体" w:hAnsi="宋体"/>
          <w:kern w:val="0"/>
          <w:sz w:val="24"/>
          <w:u w:val="single"/>
        </w:rPr>
        <w:t>执行通用条款）。</w:t>
      </w:r>
      <w:r>
        <w:rPr>
          <w:rFonts w:hint="eastAsia" w:ascii="宋体" w:hAnsi="宋体"/>
          <w:sz w:val="24"/>
          <w:u w:val="single"/>
        </w:rPr>
        <w:t xml:space="preserve"> </w:t>
      </w:r>
    </w:p>
    <w:p w14:paraId="41C6544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2.4.2 提供施工条件</w:t>
      </w:r>
    </w:p>
    <w:p w14:paraId="600A4160">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关于发包人应负责提供施工所需要的条件，包括：</w:t>
      </w:r>
      <w:r>
        <w:rPr>
          <w:rFonts w:hint="eastAsia" w:ascii="宋体" w:hAnsi="宋体"/>
          <w:sz w:val="24"/>
          <w:u w:val="single"/>
        </w:rPr>
        <w:t xml:space="preserve">  执行通用条款。  </w:t>
      </w:r>
    </w:p>
    <w:p w14:paraId="70B9015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2.5 资金来源证明及支付担保</w:t>
      </w:r>
    </w:p>
    <w:p w14:paraId="29BCAA8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发包人提供资金来源证明的期限要求：</w:t>
      </w:r>
      <w:r>
        <w:rPr>
          <w:rFonts w:hint="eastAsia" w:ascii="宋体" w:hAnsi="宋体"/>
          <w:sz w:val="24"/>
          <w:u w:val="single"/>
        </w:rPr>
        <w:t xml:space="preserve">不采用。   </w:t>
      </w:r>
    </w:p>
    <w:p w14:paraId="4FFCC0E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发包人是否提供支付担保：</w:t>
      </w:r>
      <w:r>
        <w:rPr>
          <w:rFonts w:hint="eastAsia" w:ascii="宋体" w:hAnsi="宋体"/>
          <w:sz w:val="24"/>
          <w:u w:val="single"/>
        </w:rPr>
        <w:t xml:space="preserve">不采用。   </w:t>
      </w:r>
    </w:p>
    <w:p w14:paraId="1B8A267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发包人提供支付担保的形式：</w:t>
      </w:r>
      <w:r>
        <w:rPr>
          <w:rFonts w:hint="eastAsia" w:ascii="宋体" w:hAnsi="宋体"/>
          <w:sz w:val="24"/>
          <w:u w:val="single"/>
        </w:rPr>
        <w:t xml:space="preserve">不采用。   </w:t>
      </w:r>
    </w:p>
    <w:p w14:paraId="7B07A63D">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83" w:name="_Toc351203635"/>
      <w:r>
        <w:rPr>
          <w:rFonts w:hint="eastAsia" w:ascii="宋体" w:hAnsi="宋体"/>
          <w:kern w:val="0"/>
          <w:sz w:val="24"/>
        </w:rPr>
        <w:t>3</w:t>
      </w:r>
      <w:bookmarkStart w:id="84" w:name="_Toc296347157"/>
      <w:bookmarkStart w:id="85" w:name="_Toc297048344"/>
      <w:bookmarkStart w:id="86" w:name="_Toc296890986"/>
      <w:bookmarkStart w:id="87" w:name="_Toc296891198"/>
      <w:bookmarkStart w:id="88" w:name="_Toc296346659"/>
      <w:bookmarkStart w:id="89" w:name="_Toc297120458"/>
      <w:bookmarkStart w:id="90" w:name="_Toc292559868"/>
      <w:bookmarkStart w:id="91" w:name="_Toc296503158"/>
      <w:bookmarkStart w:id="92" w:name="_Toc292559363"/>
      <w:bookmarkStart w:id="93" w:name="_Toc296944497"/>
      <w:r>
        <w:rPr>
          <w:rFonts w:hint="eastAsia" w:ascii="宋体" w:hAnsi="宋体"/>
          <w:kern w:val="0"/>
          <w:sz w:val="24"/>
        </w:rPr>
        <w:t>. 承包人</w:t>
      </w:r>
      <w:bookmarkEnd w:id="83"/>
    </w:p>
    <w:bookmarkEnd w:id="84"/>
    <w:bookmarkEnd w:id="85"/>
    <w:bookmarkEnd w:id="86"/>
    <w:bookmarkEnd w:id="87"/>
    <w:bookmarkEnd w:id="88"/>
    <w:bookmarkEnd w:id="89"/>
    <w:bookmarkEnd w:id="90"/>
    <w:bookmarkEnd w:id="91"/>
    <w:bookmarkEnd w:id="92"/>
    <w:bookmarkEnd w:id="93"/>
    <w:p w14:paraId="1C357C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3.1 承包人的一般义务</w:t>
      </w:r>
    </w:p>
    <w:p w14:paraId="3F007D8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（5）</w:t>
      </w:r>
      <w:r>
        <w:rPr>
          <w:rFonts w:hint="eastAsia" w:ascii="宋体" w:hAnsi="宋体"/>
          <w:sz w:val="24"/>
        </w:rPr>
        <w:t>承包人提交的竣工资料的内容：</w:t>
      </w:r>
      <w:r>
        <w:rPr>
          <w:rFonts w:hint="eastAsia" w:ascii="宋体" w:hAnsi="宋体"/>
          <w:sz w:val="24"/>
          <w:u w:val="single"/>
        </w:rPr>
        <w:t xml:space="preserve">   承包人提供全套竣工图，所有竣工图应为新晒蓝图。  </w:t>
      </w:r>
    </w:p>
    <w:p w14:paraId="0018595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承包人需要提交的竣工资料套数：</w:t>
      </w:r>
      <w:r>
        <w:rPr>
          <w:rFonts w:hint="eastAsia" w:ascii="宋体" w:hAnsi="宋体"/>
          <w:sz w:val="24"/>
          <w:u w:val="single"/>
        </w:rPr>
        <w:t xml:space="preserve">    两套。  </w:t>
      </w:r>
    </w:p>
    <w:p w14:paraId="1EECA8A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承包人提交的竣工资料的费用承担：</w:t>
      </w:r>
      <w:r>
        <w:rPr>
          <w:rFonts w:hint="eastAsia" w:ascii="宋体" w:hAnsi="宋体"/>
          <w:sz w:val="24"/>
          <w:u w:val="single"/>
        </w:rPr>
        <w:t xml:space="preserve">  此项费用由承包人承担。   </w:t>
      </w:r>
    </w:p>
    <w:p w14:paraId="60BDC51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承包人提交的竣工资料移交时间：</w:t>
      </w:r>
      <w:r>
        <w:rPr>
          <w:rFonts w:hint="eastAsia" w:ascii="宋体" w:hAnsi="宋体"/>
          <w:sz w:val="24"/>
          <w:u w:val="single"/>
        </w:rPr>
        <w:t xml:space="preserve">  单位工程办理竣工初验之前两周内。   </w:t>
      </w:r>
    </w:p>
    <w:p w14:paraId="1360091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承包人提交的竣工资料形式要求：</w:t>
      </w:r>
      <w:r>
        <w:rPr>
          <w:rFonts w:hint="eastAsia" w:ascii="宋体" w:hAnsi="宋体"/>
          <w:sz w:val="24"/>
          <w:u w:val="single"/>
        </w:rPr>
        <w:t xml:space="preserve">  纸介版及其电子版。   </w:t>
      </w:r>
    </w:p>
    <w:p w14:paraId="682A77A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（6）承包人应履行的其他义务：</w:t>
      </w:r>
      <w:r>
        <w:rPr>
          <w:rFonts w:hint="eastAsia" w:ascii="宋体" w:hAnsi="宋体"/>
          <w:sz w:val="24"/>
          <w:u w:val="single"/>
        </w:rPr>
        <w:t xml:space="preserve"> 每月25日提交本月工程报表和下月工程计划表，（报表和计划表应包括质量、进度、安全、投资、材料计划等内容，反映存在的问题和应对措施；一式叁份提交发包人)。  </w:t>
      </w:r>
    </w:p>
    <w:p w14:paraId="43483A4C">
      <w:pPr>
        <w:pStyle w:val="77"/>
        <w:tabs>
          <w:tab w:val="left" w:pos="360"/>
        </w:tabs>
        <w:adjustRightInd w:val="0"/>
        <w:snapToGrid w:val="0"/>
        <w:spacing w:line="360" w:lineRule="auto"/>
        <w:ind w:right="178" w:rightChars="85" w:firstLine="480" w:firstLineChars="200"/>
        <w:rPr>
          <w:rFonts w:hint="eastAsia" w:ascii="宋体" w:hAnsi="宋体"/>
          <w:bCs/>
          <w:sz w:val="24"/>
          <w:u w:val="single"/>
        </w:rPr>
      </w:pPr>
      <w:r>
        <w:rPr>
          <w:rFonts w:hint="eastAsia" w:ascii="宋体" w:hAnsi="宋体"/>
          <w:sz w:val="24"/>
        </w:rPr>
        <w:t>承包人向发包人提供办公和生活房屋及设施的要求：</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Cs/>
          <w:sz w:val="24"/>
          <w:u w:val="single"/>
        </w:rPr>
        <w:t xml:space="preserve">。 </w:t>
      </w:r>
    </w:p>
    <w:p w14:paraId="5B5E5C7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施工现场清洁卫生的要求：</w:t>
      </w:r>
      <w:r>
        <w:rPr>
          <w:rFonts w:hint="eastAsia" w:ascii="宋体" w:hAnsi="宋体"/>
          <w:sz w:val="24"/>
          <w:u w:val="single"/>
          <w:lang w:val="en-US" w:eastAsia="zh-CN"/>
        </w:rPr>
        <w:t xml:space="preserve">                </w:t>
      </w:r>
      <w:r>
        <w:rPr>
          <w:rFonts w:hint="eastAsia" w:ascii="宋体" w:hAnsi="宋体"/>
          <w:sz w:val="24"/>
          <w:u w:val="single"/>
        </w:rPr>
        <w:t xml:space="preserve">。  </w:t>
      </w:r>
    </w:p>
    <w:p w14:paraId="273F25E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3.2 项目经理</w:t>
      </w:r>
    </w:p>
    <w:p w14:paraId="29B18B6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kern w:val="0"/>
          <w:sz w:val="24"/>
        </w:rPr>
        <w:t xml:space="preserve">3.2.1 </w:t>
      </w:r>
      <w:r>
        <w:rPr>
          <w:rFonts w:hint="eastAsia" w:ascii="宋体" w:hAnsi="宋体"/>
          <w:sz w:val="24"/>
        </w:rPr>
        <w:t>项目经理：</w:t>
      </w:r>
    </w:p>
    <w:p w14:paraId="22A07CF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w:t>
      </w:r>
    </w:p>
    <w:p w14:paraId="7B30156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身份证号：</w:t>
      </w:r>
      <w:r>
        <w:rPr>
          <w:rFonts w:hint="eastAsia" w:ascii="宋体" w:hAnsi="宋体"/>
          <w:sz w:val="24"/>
          <w:u w:val="single"/>
        </w:rPr>
        <w:t>    </w:t>
      </w:r>
      <w:r>
        <w:rPr>
          <w:rFonts w:hint="eastAsia" w:ascii="宋体" w:hAnsi="宋体"/>
          <w:sz w:val="24"/>
        </w:rPr>
        <w:t>；</w:t>
      </w:r>
    </w:p>
    <w:p w14:paraId="2E05D9E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建造师执业资格等级：</w:t>
      </w:r>
      <w:r>
        <w:rPr>
          <w:rFonts w:hint="eastAsia" w:ascii="宋体" w:hAnsi="宋体"/>
          <w:sz w:val="24"/>
          <w:u w:val="single"/>
        </w:rPr>
        <w:t> </w:t>
      </w:r>
      <w:r>
        <w:rPr>
          <w:rFonts w:hint="eastAsia" w:ascii="宋体" w:hAnsi="宋体"/>
          <w:sz w:val="24"/>
        </w:rPr>
        <w:t>；</w:t>
      </w:r>
    </w:p>
    <w:p w14:paraId="29E98F2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建造师注册证书号：</w:t>
      </w:r>
      <w:r>
        <w:rPr>
          <w:rFonts w:hint="eastAsia" w:ascii="宋体" w:hAnsi="宋体"/>
          <w:sz w:val="24"/>
          <w:u w:val="single"/>
        </w:rPr>
        <w:t>  </w:t>
      </w:r>
      <w:r>
        <w:rPr>
          <w:rFonts w:hint="eastAsia" w:ascii="宋体" w:hAnsi="宋体"/>
          <w:sz w:val="24"/>
        </w:rPr>
        <w:t xml:space="preserve">； </w:t>
      </w:r>
    </w:p>
    <w:p w14:paraId="50E446F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承包人对项目经理的授权范围如下：</w:t>
      </w:r>
      <w:r>
        <w:rPr>
          <w:rFonts w:hint="eastAsia" w:ascii="宋体" w:hAnsi="宋体"/>
          <w:sz w:val="24"/>
          <w:u w:val="single"/>
        </w:rPr>
        <w:t xml:space="preserve">   详见承包人对本工程项目经理授权委托书。   </w:t>
      </w:r>
    </w:p>
    <w:p w14:paraId="485DFC4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关于项目经理每月在施工现场的时间要求：</w:t>
      </w:r>
      <w:r>
        <w:rPr>
          <w:rFonts w:hint="eastAsia" w:ascii="宋体" w:hAnsi="宋体"/>
          <w:sz w:val="24"/>
          <w:u w:val="single"/>
        </w:rPr>
        <w:t xml:space="preserve">   驻场时间每月不少于 25天，每天在岗工作时间不得少于8小时。 </w:t>
      </w:r>
    </w:p>
    <w:p w14:paraId="64DF755B">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承包人未提交劳动合同，以及没有为项目经理缴纳社会保险证明的违约责任：</w:t>
      </w:r>
      <w:r>
        <w:rPr>
          <w:rFonts w:hint="eastAsia" w:ascii="宋体" w:hAnsi="宋体"/>
          <w:kern w:val="0"/>
          <w:sz w:val="24"/>
          <w:u w:val="single"/>
        </w:rPr>
        <w:t xml:space="preserve">   </w:t>
      </w:r>
      <w:r>
        <w:rPr>
          <w:rFonts w:hint="eastAsia" w:ascii="宋体" w:hAnsi="宋体"/>
          <w:sz w:val="24"/>
          <w:u w:val="single"/>
        </w:rPr>
        <w:t xml:space="preserve">执行行业管理有关处罚规定。   </w:t>
      </w:r>
    </w:p>
    <w:p w14:paraId="555E1AC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kern w:val="0"/>
          <w:sz w:val="24"/>
        </w:rPr>
        <w:t>项目经理未经批准，擅自离开施工现场的违约责任：</w:t>
      </w:r>
      <w:r>
        <w:rPr>
          <w:rFonts w:hint="eastAsia" w:ascii="宋体" w:hAnsi="宋体"/>
          <w:sz w:val="24"/>
          <w:u w:val="single"/>
        </w:rPr>
        <w:t xml:space="preserve">   责令改正，并承包人须支付发包人每天￥0.5万元/人次违约金。    </w:t>
      </w:r>
    </w:p>
    <w:p w14:paraId="48FAD67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3.2.3 承包人擅自更换项目经理的违约责任：</w:t>
      </w:r>
      <w:r>
        <w:rPr>
          <w:rFonts w:hint="eastAsia" w:ascii="宋体" w:hAnsi="宋体"/>
          <w:sz w:val="24"/>
          <w:u w:val="single"/>
        </w:rPr>
        <w:t xml:space="preserve">   承包人须支付发包人￥</w:t>
      </w:r>
      <w:r>
        <w:rPr>
          <w:rFonts w:hint="eastAsia" w:ascii="宋体" w:hAnsi="宋体"/>
          <w:sz w:val="24"/>
          <w:u w:val="single"/>
          <w:lang w:val="en-US" w:eastAsia="zh-CN"/>
        </w:rPr>
        <w:t>1</w:t>
      </w:r>
      <w:r>
        <w:rPr>
          <w:rFonts w:hint="eastAsia" w:ascii="宋体" w:hAnsi="宋体"/>
          <w:sz w:val="24"/>
          <w:u w:val="single"/>
        </w:rPr>
        <w:t xml:space="preserve">.00万元违约金，并且更换后的项目经理资历、业务水平不得降低。   </w:t>
      </w:r>
    </w:p>
    <w:p w14:paraId="2901426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3.2.4 承包人无正当理由拒绝更换项目经理的违约责任：</w:t>
      </w:r>
      <w:r>
        <w:rPr>
          <w:rFonts w:hint="eastAsia" w:ascii="宋体" w:hAnsi="宋体"/>
          <w:sz w:val="24"/>
          <w:u w:val="single"/>
        </w:rPr>
        <w:t xml:space="preserve">   责令改正，并承包人须支付发包人￥</w:t>
      </w:r>
      <w:r>
        <w:rPr>
          <w:rFonts w:hint="eastAsia" w:ascii="宋体" w:hAnsi="宋体"/>
          <w:sz w:val="24"/>
          <w:u w:val="single"/>
          <w:lang w:val="en-US" w:eastAsia="zh-CN"/>
        </w:rPr>
        <w:t>1</w:t>
      </w:r>
      <w:r>
        <w:rPr>
          <w:rFonts w:hint="eastAsia" w:ascii="宋体" w:hAnsi="宋体"/>
          <w:sz w:val="24"/>
          <w:u w:val="single"/>
        </w:rPr>
        <w:t xml:space="preserve">.00万元违约金。   </w:t>
      </w:r>
    </w:p>
    <w:p w14:paraId="5FB356DD">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3.3 承包人人员</w:t>
      </w:r>
    </w:p>
    <w:p w14:paraId="664587B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3.3.1 承包人提交项目管理机构及施工现场管理人员名单的期限：</w:t>
      </w:r>
      <w:r>
        <w:rPr>
          <w:rFonts w:hint="eastAsia" w:ascii="宋体" w:hAnsi="宋体"/>
          <w:sz w:val="24"/>
          <w:u w:val="single"/>
        </w:rPr>
        <w:t xml:space="preserve">  执行通用条款。 </w:t>
      </w:r>
    </w:p>
    <w:p w14:paraId="541AF1D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3.3.3 承包人无正当理由拒绝撤换主要施工管理人员的违约责任：</w:t>
      </w:r>
      <w:r>
        <w:rPr>
          <w:rFonts w:hint="eastAsia" w:ascii="宋体" w:hAnsi="宋体"/>
          <w:sz w:val="24"/>
          <w:u w:val="single"/>
        </w:rPr>
        <w:t xml:space="preserve">   责令改正，并承包人须支付发包人￥</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5</w:t>
      </w:r>
      <w:r>
        <w:rPr>
          <w:rFonts w:hint="eastAsia" w:ascii="宋体" w:hAnsi="宋体"/>
          <w:sz w:val="24"/>
          <w:u w:val="single"/>
        </w:rPr>
        <w:t xml:space="preserve">0万元/人次违约金。   </w:t>
      </w:r>
    </w:p>
    <w:p w14:paraId="64711B0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3.3.4 承包人主要施工管理人员离开施工现场的批准要求：</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036BB15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3.3.5承包人擅自更换主要施工管理人员的违约责任：</w:t>
      </w:r>
      <w:r>
        <w:rPr>
          <w:rFonts w:hint="eastAsia" w:ascii="宋体" w:hAnsi="宋体"/>
          <w:sz w:val="24"/>
          <w:u w:val="single"/>
        </w:rPr>
        <w:t xml:space="preserve">    责令改正，并承包人须支付发包人￥</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5</w:t>
      </w:r>
      <w:r>
        <w:rPr>
          <w:rFonts w:hint="eastAsia" w:ascii="宋体" w:hAnsi="宋体"/>
          <w:sz w:val="24"/>
          <w:u w:val="single"/>
        </w:rPr>
        <w:t xml:space="preserve">0万元/人次违约金。   </w:t>
      </w:r>
    </w:p>
    <w:p w14:paraId="587AB32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承包人主要施工管理人员擅自离开施工现场的违约责任：</w:t>
      </w:r>
      <w:r>
        <w:rPr>
          <w:rFonts w:hint="eastAsia" w:ascii="宋体" w:hAnsi="宋体"/>
          <w:sz w:val="24"/>
          <w:u w:val="single"/>
        </w:rPr>
        <w:t xml:space="preserve">   责令改正，并承包人须支付发包人每天￥0.20万元/人次违约金。  </w:t>
      </w:r>
    </w:p>
    <w:p w14:paraId="6FFD4E6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w:t>
      </w:r>
      <w:bookmarkStart w:id="94" w:name="_Toc297048345"/>
      <w:bookmarkStart w:id="95" w:name="_Toc297123492"/>
      <w:bookmarkStart w:id="96" w:name="_Toc296891199"/>
      <w:bookmarkStart w:id="97" w:name="_Toc300934945"/>
      <w:bookmarkStart w:id="98" w:name="_Toc296890987"/>
      <w:bookmarkStart w:id="99" w:name="_Toc303539102"/>
      <w:bookmarkStart w:id="100" w:name="_Toc296347158"/>
      <w:bookmarkStart w:id="101" w:name="_Toc296944498"/>
      <w:bookmarkStart w:id="102" w:name="_Toc304295523"/>
      <w:bookmarkStart w:id="103" w:name="_Toc292559364"/>
      <w:bookmarkStart w:id="104" w:name="_Toc297216151"/>
      <w:bookmarkStart w:id="105" w:name="_Toc292559869"/>
      <w:bookmarkStart w:id="106" w:name="_Toc297120459"/>
      <w:bookmarkStart w:id="107" w:name="_Toc312677988"/>
      <w:bookmarkStart w:id="108" w:name="_Toc296503159"/>
      <w:bookmarkStart w:id="109" w:name="_Toc296346660"/>
      <w:r>
        <w:rPr>
          <w:rFonts w:hint="eastAsia" w:ascii="宋体" w:hAnsi="宋体"/>
          <w:sz w:val="24"/>
        </w:rPr>
        <w:t>.5 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0FCBA86D">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3.5.1 分包的一般约定</w:t>
      </w:r>
    </w:p>
    <w:p w14:paraId="6093DF5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禁止分包的工程包括：</w:t>
      </w:r>
      <w:r>
        <w:rPr>
          <w:rFonts w:hint="eastAsia" w:ascii="宋体" w:hAnsi="宋体"/>
          <w:sz w:val="24"/>
          <w:u w:val="single"/>
        </w:rPr>
        <w:t xml:space="preserve">执行通用条款。    </w:t>
      </w:r>
    </w:p>
    <w:p w14:paraId="3CC2060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主体结构、关键性工作的范围：</w:t>
      </w:r>
      <w:r>
        <w:rPr>
          <w:rFonts w:hint="eastAsia" w:ascii="宋体" w:hAnsi="宋体"/>
          <w:sz w:val="24"/>
          <w:u w:val="single"/>
        </w:rPr>
        <w:t xml:space="preserve"> 执行通用条款。   </w:t>
      </w:r>
      <w:bookmarkStart w:id="110" w:name="_Toc296944500"/>
      <w:bookmarkStart w:id="111" w:name="_Toc296890989"/>
      <w:bookmarkStart w:id="112" w:name="_Toc296347160"/>
      <w:bookmarkStart w:id="113" w:name="_Toc303539104"/>
      <w:bookmarkStart w:id="114" w:name="_Toc296346662"/>
      <w:bookmarkStart w:id="115" w:name="_Toc297120461"/>
      <w:bookmarkStart w:id="116" w:name="_Toc297216153"/>
      <w:bookmarkStart w:id="117" w:name="_Toc297048347"/>
      <w:bookmarkStart w:id="118" w:name="_Toc304295525"/>
      <w:bookmarkStart w:id="119" w:name="_Toc300934947"/>
      <w:bookmarkStart w:id="120" w:name="_Toc297123494"/>
      <w:bookmarkStart w:id="121" w:name="_Toc296503161"/>
      <w:bookmarkStart w:id="122" w:name="_Toc296891201"/>
    </w:p>
    <w:bookmarkEnd w:id="110"/>
    <w:bookmarkEnd w:id="111"/>
    <w:bookmarkEnd w:id="112"/>
    <w:bookmarkEnd w:id="113"/>
    <w:bookmarkEnd w:id="114"/>
    <w:bookmarkEnd w:id="115"/>
    <w:bookmarkEnd w:id="116"/>
    <w:bookmarkEnd w:id="117"/>
    <w:bookmarkEnd w:id="118"/>
    <w:bookmarkEnd w:id="119"/>
    <w:bookmarkEnd w:id="120"/>
    <w:bookmarkEnd w:id="121"/>
    <w:bookmarkEnd w:id="122"/>
    <w:p w14:paraId="6506BACF">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 xml:space="preserve">    3</w:t>
      </w:r>
      <w:bookmarkStart w:id="123" w:name="_Toc318581159"/>
      <w:bookmarkStart w:id="124" w:name="_Toc312677990"/>
      <w:r>
        <w:rPr>
          <w:rFonts w:hint="eastAsia" w:ascii="宋体" w:hAnsi="宋体"/>
          <w:sz w:val="24"/>
        </w:rPr>
        <w:t>.5.2分包的确定</w:t>
      </w:r>
    </w:p>
    <w:p w14:paraId="08149F2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允许分包的专业工程包括：</w:t>
      </w:r>
      <w:r>
        <w:rPr>
          <w:rFonts w:hint="eastAsia" w:ascii="宋体" w:hAnsi="宋体"/>
          <w:sz w:val="24"/>
          <w:u w:val="single"/>
        </w:rPr>
        <w:t xml:space="preserve">执行通用条款，并且按照投标文件有关承诺确定。   </w:t>
      </w:r>
    </w:p>
    <w:p w14:paraId="2562580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其他关于分包的约定：</w:t>
      </w:r>
      <w:r>
        <w:rPr>
          <w:rFonts w:hint="eastAsia" w:ascii="宋体" w:hAnsi="宋体"/>
          <w:sz w:val="24"/>
          <w:u w:val="single"/>
        </w:rPr>
        <w:t xml:space="preserve">  / </w:t>
      </w:r>
    </w:p>
    <w:p w14:paraId="58B96F1F">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3.5.4 分包合同价款</w:t>
      </w:r>
    </w:p>
    <w:p w14:paraId="1F85684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关于分包合同价款支付的约定：</w:t>
      </w:r>
      <w:r>
        <w:rPr>
          <w:rFonts w:hint="eastAsia" w:ascii="宋体" w:hAnsi="宋体"/>
          <w:sz w:val="24"/>
          <w:u w:val="single"/>
        </w:rPr>
        <w:t></w:t>
      </w:r>
      <w:r>
        <w:rPr>
          <w:rFonts w:hint="eastAsia" w:ascii="宋体" w:hAnsi="宋体"/>
          <w:kern w:val="0"/>
          <w:sz w:val="24"/>
          <w:u w:val="single"/>
        </w:rPr>
        <w:t>执行通用条款。</w:t>
      </w:r>
      <w:r>
        <w:rPr>
          <w:rFonts w:hint="eastAsia" w:ascii="宋体" w:hAnsi="宋体"/>
          <w:sz w:val="24"/>
          <w:u w:val="single"/>
        </w:rPr>
        <w:t xml:space="preserve">    </w:t>
      </w:r>
    </w:p>
    <w:bookmarkEnd w:id="123"/>
    <w:bookmarkEnd w:id="124"/>
    <w:p w14:paraId="431FB223">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3.6 工程照管与成品、半成品保护</w:t>
      </w:r>
    </w:p>
    <w:p w14:paraId="644516F3">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kern w:val="0"/>
          <w:sz w:val="24"/>
        </w:rPr>
        <w:t>承包人负责照管工程及工程相关的材料、工程设备的起始时间：</w:t>
      </w:r>
      <w:r>
        <w:rPr>
          <w:rFonts w:hint="eastAsia" w:ascii="宋体" w:hAnsi="宋体"/>
          <w:kern w:val="0"/>
          <w:sz w:val="24"/>
          <w:u w:val="single"/>
        </w:rPr>
        <w:t xml:space="preserve">  自发包人向承包人移交施工现场之日起，承包人应负责照管工程及工程相关的材料、工程设备，直到颁发工程接收证书之日止。    </w:t>
      </w:r>
    </w:p>
    <w:p w14:paraId="5FBDDE7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3.7 履约担保</w:t>
      </w:r>
    </w:p>
    <w:p w14:paraId="0426B41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承包人是否提供履约担保：</w:t>
      </w:r>
      <w:r>
        <w:rPr>
          <w:rFonts w:hint="eastAsia" w:ascii="宋体" w:hAnsi="宋体"/>
          <w:sz w:val="24"/>
          <w:u w:val="single"/>
        </w:rPr>
        <w:t xml:space="preserve">  见第二章投标人须知前附表  </w:t>
      </w:r>
    </w:p>
    <w:p w14:paraId="18546974">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25" w:name="_Toc351203636"/>
      <w:r>
        <w:rPr>
          <w:rFonts w:hint="eastAsia" w:ascii="宋体" w:hAnsi="宋体"/>
          <w:kern w:val="0"/>
          <w:sz w:val="24"/>
        </w:rPr>
        <w:t>4</w:t>
      </w:r>
      <w:bookmarkStart w:id="126" w:name="_Toc296503162"/>
      <w:bookmarkStart w:id="127" w:name="_Toc297048348"/>
      <w:bookmarkStart w:id="128" w:name="_Toc296891202"/>
      <w:bookmarkStart w:id="129" w:name="_Toc296346663"/>
      <w:bookmarkStart w:id="130" w:name="_Toc296890990"/>
      <w:bookmarkStart w:id="131" w:name="_Toc292559871"/>
      <w:bookmarkStart w:id="132" w:name="_Toc292559366"/>
      <w:bookmarkStart w:id="133" w:name="_Toc267251413"/>
      <w:bookmarkStart w:id="134" w:name="_Toc297120462"/>
      <w:bookmarkStart w:id="135" w:name="_Toc296944501"/>
      <w:bookmarkStart w:id="136" w:name="_Toc296347161"/>
      <w:r>
        <w:rPr>
          <w:rFonts w:hint="eastAsia" w:ascii="宋体" w:hAnsi="宋体"/>
          <w:kern w:val="0"/>
          <w:sz w:val="24"/>
        </w:rPr>
        <w:t>. 监</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kern w:val="0"/>
          <w:sz w:val="24"/>
        </w:rPr>
        <w:t>理人</w:t>
      </w:r>
      <w:bookmarkEnd w:id="125"/>
    </w:p>
    <w:p w14:paraId="028C950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4.1监理人的一般规定</w:t>
      </w:r>
    </w:p>
    <w:p w14:paraId="57F54E5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关于监理人的监理内容：</w:t>
      </w:r>
      <w:r>
        <w:rPr>
          <w:rFonts w:hint="eastAsia" w:ascii="宋体" w:hAnsi="宋体"/>
          <w:sz w:val="24"/>
          <w:u w:val="single"/>
        </w:rPr>
        <w:t xml:space="preserve">   </w:t>
      </w:r>
      <w:r>
        <w:rPr>
          <w:rFonts w:hint="eastAsia" w:ascii="宋体" w:hAnsi="宋体"/>
          <w:kern w:val="0"/>
          <w:sz w:val="24"/>
          <w:u w:val="single"/>
        </w:rPr>
        <w:t>执行监理合同。</w:t>
      </w:r>
      <w:r>
        <w:rPr>
          <w:rFonts w:hint="eastAsia" w:ascii="宋体" w:hAnsi="宋体"/>
          <w:sz w:val="24"/>
          <w:u w:val="single"/>
        </w:rPr>
        <w:t xml:space="preserve">   </w:t>
      </w:r>
    </w:p>
    <w:p w14:paraId="5D88B77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关于监理人的监理权限：</w:t>
      </w:r>
      <w:r>
        <w:rPr>
          <w:rFonts w:hint="eastAsia" w:ascii="宋体" w:hAnsi="宋体"/>
          <w:sz w:val="24"/>
          <w:u w:val="single"/>
        </w:rPr>
        <w:t xml:space="preserve">   </w:t>
      </w:r>
      <w:r>
        <w:rPr>
          <w:rFonts w:hint="eastAsia" w:ascii="宋体" w:hAnsi="宋体"/>
          <w:kern w:val="0"/>
          <w:sz w:val="24"/>
          <w:u w:val="single"/>
        </w:rPr>
        <w:t>执行监理合同。</w:t>
      </w:r>
      <w:r>
        <w:rPr>
          <w:rFonts w:hint="eastAsia" w:ascii="宋体" w:hAnsi="宋体"/>
          <w:sz w:val="24"/>
          <w:u w:val="single"/>
        </w:rPr>
        <w:t xml:space="preserve">   </w:t>
      </w:r>
    </w:p>
    <w:p w14:paraId="6E35020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关于监理人在施工现场的办公场所、生活场所的提供和费用承担的约定：</w:t>
      </w:r>
      <w:r>
        <w:rPr>
          <w:rFonts w:hint="eastAsia" w:ascii="宋体" w:hAnsi="宋体"/>
          <w:kern w:val="0"/>
          <w:sz w:val="24"/>
          <w:u w:val="single"/>
        </w:rPr>
        <w:t>执行监理合同。</w:t>
      </w:r>
      <w:r>
        <w:rPr>
          <w:rFonts w:hint="eastAsia" w:ascii="宋体" w:hAnsi="宋体"/>
          <w:sz w:val="24"/>
          <w:u w:val="single"/>
        </w:rPr>
        <w:t xml:space="preserve"> </w:t>
      </w:r>
    </w:p>
    <w:p w14:paraId="55B0327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4.2 监理人员</w:t>
      </w:r>
    </w:p>
    <w:p w14:paraId="6F698BC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总监理工程师：</w:t>
      </w:r>
    </w:p>
    <w:p w14:paraId="1A92D9B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姓名：</w:t>
      </w:r>
      <w:r>
        <w:rPr>
          <w:rFonts w:hint="eastAsia" w:ascii="宋体" w:hAnsi="宋体"/>
          <w:sz w:val="24"/>
          <w:u w:val="single"/>
        </w:rPr>
        <w:t>   </w:t>
      </w:r>
      <w:r>
        <w:rPr>
          <w:rFonts w:hint="eastAsia" w:ascii="宋体" w:hAnsi="宋体"/>
          <w:sz w:val="24"/>
        </w:rPr>
        <w:t>；</w:t>
      </w:r>
    </w:p>
    <w:p w14:paraId="7D28B4E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职务：</w:t>
      </w:r>
      <w:r>
        <w:rPr>
          <w:rFonts w:hint="eastAsia" w:ascii="宋体" w:hAnsi="宋体"/>
          <w:sz w:val="24"/>
          <w:u w:val="single"/>
        </w:rPr>
        <w:t xml:space="preserve">       </w:t>
      </w:r>
      <w:r>
        <w:rPr>
          <w:rFonts w:hint="eastAsia" w:ascii="宋体" w:hAnsi="宋体"/>
          <w:sz w:val="24"/>
        </w:rPr>
        <w:t>；</w:t>
      </w:r>
    </w:p>
    <w:p w14:paraId="5DD0314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监理工程师执业资格证书号：</w:t>
      </w:r>
      <w:r>
        <w:rPr>
          <w:rFonts w:hint="eastAsia" w:ascii="宋体" w:hAnsi="宋体"/>
          <w:sz w:val="24"/>
          <w:u w:val="single"/>
        </w:rPr>
        <w:t>   </w:t>
      </w:r>
      <w:r>
        <w:rPr>
          <w:rFonts w:hint="eastAsia" w:ascii="宋体" w:hAnsi="宋体"/>
          <w:sz w:val="24"/>
        </w:rPr>
        <w:t>；</w:t>
      </w:r>
    </w:p>
    <w:p w14:paraId="1835BF8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w:t>
      </w:r>
      <w:r>
        <w:rPr>
          <w:rFonts w:hint="eastAsia" w:ascii="宋体" w:hAnsi="宋体"/>
          <w:sz w:val="24"/>
        </w:rPr>
        <w:t>；</w:t>
      </w:r>
    </w:p>
    <w:p w14:paraId="2687BE6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电子信箱：</w:t>
      </w:r>
      <w:r>
        <w:rPr>
          <w:rFonts w:hint="eastAsia" w:ascii="宋体" w:hAnsi="宋体"/>
          <w:sz w:val="24"/>
          <w:u w:val="single"/>
        </w:rPr>
        <w:t xml:space="preserve">        </w:t>
      </w:r>
      <w:r>
        <w:rPr>
          <w:rFonts w:hint="eastAsia" w:ascii="宋体" w:hAnsi="宋体"/>
          <w:sz w:val="24"/>
        </w:rPr>
        <w:t>；</w:t>
      </w:r>
    </w:p>
    <w:p w14:paraId="1544EA5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通信地址：</w:t>
      </w:r>
      <w:r>
        <w:rPr>
          <w:rFonts w:hint="eastAsia" w:ascii="宋体" w:hAnsi="宋体"/>
          <w:sz w:val="24"/>
          <w:u w:val="single"/>
        </w:rPr>
        <w:t xml:space="preserve">        </w:t>
      </w:r>
      <w:r>
        <w:rPr>
          <w:rFonts w:hint="eastAsia" w:ascii="宋体" w:hAnsi="宋体"/>
          <w:sz w:val="24"/>
        </w:rPr>
        <w:t>；</w:t>
      </w:r>
    </w:p>
    <w:p w14:paraId="07A2B9E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关于监理人的其他约定：</w:t>
      </w:r>
      <w:r>
        <w:rPr>
          <w:rFonts w:hint="eastAsia" w:ascii="宋体" w:hAnsi="宋体"/>
          <w:sz w:val="24"/>
          <w:u w:val="single"/>
        </w:rPr>
        <w:t xml:space="preserve">        </w:t>
      </w:r>
      <w:r>
        <w:rPr>
          <w:rFonts w:hint="eastAsia" w:ascii="宋体" w:hAnsi="宋体"/>
          <w:sz w:val="24"/>
        </w:rPr>
        <w:t>。</w:t>
      </w:r>
    </w:p>
    <w:p w14:paraId="0738EE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4.4 商定或确定</w:t>
      </w:r>
    </w:p>
    <w:p w14:paraId="26E2D646">
      <w:pPr>
        <w:pStyle w:val="77"/>
        <w:tabs>
          <w:tab w:val="left" w:pos="360"/>
        </w:tabs>
        <w:adjustRightInd w:val="0"/>
        <w:snapToGrid w:val="0"/>
        <w:spacing w:line="360" w:lineRule="auto"/>
        <w:ind w:right="178" w:rightChars="85" w:firstLine="480" w:firstLineChars="200"/>
        <w:rPr>
          <w:rFonts w:hint="eastAsia" w:ascii="宋体" w:hAnsi="宋体"/>
          <w:sz w:val="24"/>
        </w:rPr>
      </w:pPr>
      <w:bookmarkStart w:id="137" w:name="_Toc267251418"/>
      <w:r>
        <w:rPr>
          <w:rFonts w:hint="eastAsia" w:ascii="宋体" w:hAnsi="宋体"/>
          <w:sz w:val="24"/>
        </w:rPr>
        <w:t>在发包人和承包人不能通过协商达成一致意见时，发包人授权监理人对以下事项进行确定：</w:t>
      </w:r>
      <w:r>
        <w:rPr>
          <w:rFonts w:hint="eastAsia" w:ascii="宋体" w:hAnsi="宋体"/>
          <w:sz w:val="24"/>
          <w:u w:val="single"/>
        </w:rPr>
        <w:t xml:space="preserve">  若在本合同履行过程中发生此类情况时，双方就具体争议事项另行委托监理人协助解决，如仍不能达成一致意见，则按照本专用条款第20条（争议解决条款）执行。  </w:t>
      </w:r>
    </w:p>
    <w:p w14:paraId="4CAF5CB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r>
        <w:rPr>
          <w:rFonts w:hint="eastAsia" w:ascii="宋体" w:hAnsi="宋体"/>
          <w:kern w:val="0"/>
          <w:sz w:val="24"/>
        </w:rPr>
        <w:t>5</w:t>
      </w:r>
      <w:bookmarkEnd w:id="137"/>
      <w:bookmarkStart w:id="138" w:name="_Toc296944502"/>
      <w:bookmarkStart w:id="139" w:name="_Toc296347162"/>
      <w:bookmarkStart w:id="140" w:name="_Toc296890991"/>
      <w:bookmarkStart w:id="141" w:name="_Toc297120463"/>
      <w:bookmarkStart w:id="142" w:name="_Toc292559872"/>
      <w:bookmarkStart w:id="143" w:name="_Toc296346664"/>
      <w:bookmarkStart w:id="144" w:name="_Toc297048349"/>
      <w:bookmarkStart w:id="145" w:name="_Toc296503163"/>
      <w:bookmarkStart w:id="146" w:name="_Toc292559367"/>
      <w:bookmarkStart w:id="147" w:name="_Toc296891203"/>
      <w:r>
        <w:rPr>
          <w:rFonts w:hint="eastAsia" w:ascii="宋体" w:hAnsi="宋体"/>
          <w:kern w:val="0"/>
          <w:sz w:val="24"/>
        </w:rPr>
        <w:t>. 工程质量</w:t>
      </w:r>
    </w:p>
    <w:p w14:paraId="21FCB2C2">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5.1 质量要求</w:t>
      </w:r>
    </w:p>
    <w:p w14:paraId="5C3C1616">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5</w:t>
      </w:r>
      <w:bookmarkStart w:id="148" w:name="_Toc297216155"/>
      <w:bookmarkStart w:id="149" w:name="_Toc304295527"/>
      <w:bookmarkStart w:id="150" w:name="_Toc297123496"/>
      <w:bookmarkStart w:id="151" w:name="_Toc318581164"/>
      <w:bookmarkStart w:id="152" w:name="_Toc312677997"/>
      <w:bookmarkStart w:id="153" w:name="_Toc300934949"/>
      <w:bookmarkStart w:id="154" w:name="_Toc303539106"/>
      <w:r>
        <w:rPr>
          <w:rFonts w:hint="eastAsia" w:ascii="宋体" w:hAnsi="宋体"/>
          <w:sz w:val="24"/>
        </w:rPr>
        <w:t>.1.1 特殊质量标准和要求：</w:t>
      </w:r>
      <w:r>
        <w:rPr>
          <w:rFonts w:hint="eastAsia" w:ascii="宋体" w:hAnsi="宋体"/>
          <w:sz w:val="24"/>
          <w:u w:val="single"/>
        </w:rPr>
        <w:t xml:space="preserve">  不采用。  </w:t>
      </w:r>
    </w:p>
    <w:p w14:paraId="69CA88C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关于工程奖项的约定：</w:t>
      </w:r>
      <w:r>
        <w:rPr>
          <w:rFonts w:hint="eastAsia" w:ascii="宋体" w:hAnsi="宋体"/>
          <w:sz w:val="24"/>
          <w:u w:val="single"/>
        </w:rPr>
        <w:t xml:space="preserve">  不采用。  </w:t>
      </w:r>
    </w:p>
    <w:p w14:paraId="13061612">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5.3 隐蔽工程检查</w:t>
      </w:r>
    </w:p>
    <w:p w14:paraId="431264A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5.3.2承包人提前通知监理人隐蔽工程检查的期限的约定：</w:t>
      </w:r>
      <w:r>
        <w:rPr>
          <w:rFonts w:hint="eastAsia" w:ascii="宋体" w:hAnsi="宋体"/>
          <w:sz w:val="24"/>
          <w:u w:val="single"/>
        </w:rPr>
        <w:t xml:space="preserve">   共同检查前48小时（</w:t>
      </w:r>
      <w:r>
        <w:rPr>
          <w:rFonts w:hint="eastAsia" w:ascii="宋体" w:hAnsi="宋体"/>
          <w:kern w:val="0"/>
          <w:sz w:val="24"/>
          <w:u w:val="single"/>
        </w:rPr>
        <w:t xml:space="preserve">执行通用条款）。   </w:t>
      </w:r>
    </w:p>
    <w:p w14:paraId="06421D8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监理人不能按时进行检查时，应提前</w:t>
      </w:r>
      <w:r>
        <w:rPr>
          <w:rFonts w:hint="eastAsia" w:ascii="宋体" w:hAnsi="宋体"/>
          <w:sz w:val="24"/>
          <w:u w:val="single"/>
        </w:rPr>
        <w:t xml:space="preserve">   24小时（</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小时提交书面延期要求。</w:t>
      </w:r>
    </w:p>
    <w:p w14:paraId="2152AFC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关于延期最长不得超过：</w:t>
      </w:r>
      <w:r>
        <w:rPr>
          <w:rFonts w:hint="eastAsia" w:ascii="宋体" w:hAnsi="宋体"/>
          <w:sz w:val="24"/>
          <w:u w:val="single"/>
        </w:rPr>
        <w:t xml:space="preserve">  48（</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小时。</w:t>
      </w:r>
    </w:p>
    <w:p w14:paraId="02E2CAA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55" w:name="_Toc351203638"/>
      <w:r>
        <w:rPr>
          <w:rFonts w:hint="eastAsia" w:ascii="宋体" w:hAnsi="宋体"/>
          <w:kern w:val="0"/>
          <w:sz w:val="24"/>
        </w:rPr>
        <w:t>6. 安全文明施工与环境保护</w:t>
      </w:r>
      <w:bookmarkEnd w:id="155"/>
    </w:p>
    <w:p w14:paraId="13D0E5C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6.1安全文明施工</w:t>
      </w:r>
    </w:p>
    <w:p w14:paraId="277A2061">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6.1.1 项目安全生产的达标目标及相应事项的约定：</w:t>
      </w:r>
      <w:r>
        <w:rPr>
          <w:rFonts w:hint="eastAsia" w:ascii="宋体" w:hAnsi="宋体"/>
          <w:sz w:val="24"/>
          <w:u w:val="single"/>
        </w:rPr>
        <w:t xml:space="preserve"> 应通过合肥市建筑业协会依照《建筑施工安全检查标准》（JGJ59-2011）检查验评得分为85分及以上，综合验评为合格。  </w:t>
      </w:r>
    </w:p>
    <w:p w14:paraId="356BC2C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6.1.4 关于治安保卫的特别约定：</w:t>
      </w:r>
      <w:r>
        <w:rPr>
          <w:rFonts w:hint="eastAsia" w:ascii="宋体" w:hAnsi="宋体"/>
          <w:sz w:val="24"/>
          <w:u w:val="single"/>
        </w:rPr>
        <w:t xml:space="preserve">  </w:t>
      </w:r>
      <w:r>
        <w:rPr>
          <w:rFonts w:hint="eastAsia" w:ascii="宋体" w:hAnsi="宋体"/>
          <w:kern w:val="0"/>
          <w:sz w:val="24"/>
          <w:u w:val="single"/>
        </w:rPr>
        <w:t>执行通用条款及</w:t>
      </w:r>
      <w:r>
        <w:rPr>
          <w:rFonts w:hint="eastAsia" w:ascii="宋体" w:hAnsi="宋体"/>
          <w:sz w:val="24"/>
          <w:u w:val="single"/>
        </w:rPr>
        <w:t>满足合肥市相关行业管理部门相关规定</w:t>
      </w:r>
      <w:r>
        <w:rPr>
          <w:rFonts w:hint="eastAsia" w:ascii="宋体" w:hAnsi="宋体"/>
          <w:kern w:val="0"/>
          <w:sz w:val="24"/>
          <w:u w:val="single"/>
        </w:rPr>
        <w:t xml:space="preserve">。 </w:t>
      </w:r>
    </w:p>
    <w:p w14:paraId="77FFB66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关于编制施工场地治安管理计划的约定：</w:t>
      </w:r>
      <w:r>
        <w:rPr>
          <w:rFonts w:hint="eastAsia" w:ascii="宋体" w:hAnsi="宋体"/>
          <w:sz w:val="24"/>
          <w:u w:val="single"/>
        </w:rPr>
        <w:t xml:space="preserve">  </w:t>
      </w:r>
      <w:r>
        <w:rPr>
          <w:rFonts w:hint="eastAsia" w:ascii="宋体" w:hAnsi="宋体"/>
          <w:kern w:val="0"/>
          <w:sz w:val="24"/>
          <w:u w:val="single"/>
        </w:rPr>
        <w:t xml:space="preserve">执行通用条款。 </w:t>
      </w:r>
      <w:r>
        <w:rPr>
          <w:rFonts w:hint="eastAsia" w:ascii="宋体" w:hAnsi="宋体"/>
          <w:sz w:val="24"/>
          <w:u w:val="single"/>
        </w:rPr>
        <w:t xml:space="preserve">   </w:t>
      </w:r>
    </w:p>
    <w:p w14:paraId="7300FFFA">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6.1.5 文明施工</w:t>
      </w:r>
    </w:p>
    <w:p w14:paraId="59D97F8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合同当事人对文明施工的要求：</w:t>
      </w:r>
      <w:r>
        <w:rPr>
          <w:rFonts w:hint="eastAsia" w:ascii="宋体" w:hAnsi="宋体"/>
          <w:sz w:val="24"/>
          <w:u w:val="single"/>
        </w:rPr>
        <w:t xml:space="preserve">  </w:t>
      </w:r>
      <w:r>
        <w:rPr>
          <w:rFonts w:hint="eastAsia" w:ascii="宋体" w:hAnsi="宋体"/>
          <w:kern w:val="0"/>
          <w:sz w:val="24"/>
          <w:u w:val="single"/>
        </w:rPr>
        <w:t>执行通用条款及</w:t>
      </w:r>
      <w:r>
        <w:rPr>
          <w:rFonts w:hint="eastAsia" w:ascii="宋体" w:hAnsi="宋体"/>
          <w:sz w:val="24"/>
          <w:u w:val="single"/>
        </w:rPr>
        <w:t xml:space="preserve">满足合肥市相关行业管理部门相关规定。  </w:t>
      </w:r>
    </w:p>
    <w:p w14:paraId="4C3859E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6.1.6 关于安全文明施工费支付比例和支付期限的约定：</w:t>
      </w:r>
      <w:r>
        <w:rPr>
          <w:rFonts w:hint="eastAsia" w:ascii="宋体" w:hAnsi="宋体"/>
          <w:sz w:val="24"/>
          <w:u w:val="single"/>
        </w:rPr>
        <w:t xml:space="preserve">  参照本专用条款第12条第4款（工程进度款支付）执行。   </w:t>
      </w:r>
    </w:p>
    <w:bookmarkEnd w:id="148"/>
    <w:bookmarkEnd w:id="149"/>
    <w:bookmarkEnd w:id="150"/>
    <w:bookmarkEnd w:id="151"/>
    <w:bookmarkEnd w:id="152"/>
    <w:bookmarkEnd w:id="153"/>
    <w:bookmarkEnd w:id="154"/>
    <w:p w14:paraId="18E99A9A">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56" w:name="_Toc351203639"/>
      <w:r>
        <w:rPr>
          <w:rFonts w:hint="eastAsia" w:ascii="宋体" w:hAnsi="宋体"/>
          <w:kern w:val="0"/>
          <w:sz w:val="24"/>
        </w:rPr>
        <w:t>7. 工期和进度</w:t>
      </w:r>
      <w:bookmarkEnd w:id="156"/>
    </w:p>
    <w:p w14:paraId="4EA78EB5">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7.1 施工组织设计</w:t>
      </w:r>
    </w:p>
    <w:p w14:paraId="5E8D178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eastAsia="宋体"/>
          <w:kern w:val="0"/>
          <w:sz w:val="24"/>
          <w:lang w:eastAsia="zh-CN"/>
        </w:rPr>
      </w:pPr>
      <w:r>
        <w:rPr>
          <w:rFonts w:hint="eastAsia" w:ascii="宋体" w:hAnsi="宋体"/>
          <w:sz w:val="24"/>
        </w:rPr>
        <w:t>7.1.1 合</w:t>
      </w:r>
      <w:r>
        <w:rPr>
          <w:rFonts w:hint="eastAsia" w:ascii="宋体" w:hAnsi="宋体"/>
          <w:kern w:val="0"/>
          <w:sz w:val="24"/>
        </w:rPr>
        <w:t>同当事人约定的施工组织设计应包括的其他内容：</w:t>
      </w:r>
      <w:r>
        <w:rPr>
          <w:rFonts w:hint="eastAsia" w:ascii="宋体" w:hAnsi="宋体"/>
          <w:kern w:val="0"/>
          <w:sz w:val="24"/>
          <w:u w:val="single"/>
        </w:rPr>
        <w:t xml:space="preserve">  </w:t>
      </w:r>
      <w:r>
        <w:rPr>
          <w:rFonts w:hint="eastAsia" w:ascii="宋体" w:hAnsi="宋体"/>
          <w:sz w:val="24"/>
          <w:u w:val="single"/>
        </w:rPr>
        <w:t xml:space="preserve">总进度计划需包含网络图、横道图。  </w:t>
      </w:r>
    </w:p>
    <w:p w14:paraId="52F9BABF">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sz w:val="24"/>
        </w:rPr>
        <w:t xml:space="preserve">7.1.2 </w:t>
      </w:r>
      <w:r>
        <w:rPr>
          <w:rFonts w:hint="eastAsia" w:ascii="宋体" w:hAnsi="宋体"/>
          <w:kern w:val="0"/>
          <w:sz w:val="24"/>
        </w:rPr>
        <w:t>施工组织设计的提交和修改</w:t>
      </w:r>
    </w:p>
    <w:p w14:paraId="6E0E796D">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承包人提交详细施工组织设计的期限的约定：</w:t>
      </w:r>
      <w:r>
        <w:rPr>
          <w:rFonts w:hint="eastAsia" w:ascii="宋体" w:hAnsi="宋体"/>
          <w:sz w:val="24"/>
          <w:u w:val="single"/>
        </w:rPr>
        <w:t xml:space="preserve">  合同签订后14天内，并不得迟于第7.3.2项〔开工通知〕载明的开工日期前7天</w:t>
      </w:r>
      <w:r>
        <w:rPr>
          <w:rFonts w:hint="eastAsia" w:ascii="宋体" w:hAnsi="宋体"/>
          <w:kern w:val="0"/>
          <w:sz w:val="24"/>
          <w:u w:val="single"/>
        </w:rPr>
        <w:t xml:space="preserve">(执行通用条款)。 </w:t>
      </w:r>
      <w:r>
        <w:rPr>
          <w:rFonts w:hint="eastAsia" w:ascii="宋体" w:hAnsi="宋体"/>
          <w:sz w:val="24"/>
          <w:u w:val="single"/>
        </w:rPr>
        <w:t xml:space="preserve">  </w:t>
      </w:r>
    </w:p>
    <w:p w14:paraId="0F7196D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发包人和监理人在收到详细的施工组织设计后确认或提出修改意见的期限：</w:t>
      </w:r>
      <w:r>
        <w:rPr>
          <w:rFonts w:hint="eastAsia" w:ascii="宋体" w:hAnsi="宋体"/>
          <w:sz w:val="24"/>
          <w:u w:val="single"/>
        </w:rPr>
        <w:t xml:space="preserve">  收到施工组织设计后7天内（</w:t>
      </w:r>
      <w:r>
        <w:rPr>
          <w:rFonts w:hint="eastAsia" w:ascii="宋体" w:hAnsi="宋体"/>
          <w:kern w:val="0"/>
          <w:sz w:val="24"/>
          <w:u w:val="single"/>
        </w:rPr>
        <w:t xml:space="preserve">执行通用条款）。 </w:t>
      </w:r>
      <w:r>
        <w:rPr>
          <w:rFonts w:hint="eastAsia" w:ascii="宋体" w:hAnsi="宋体"/>
          <w:sz w:val="24"/>
          <w:u w:val="single"/>
        </w:rPr>
        <w:t xml:space="preserve">  </w:t>
      </w:r>
    </w:p>
    <w:p w14:paraId="606D4D2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w:t>
      </w:r>
      <w:bookmarkStart w:id="157" w:name="_Toc304295541"/>
      <w:bookmarkStart w:id="158" w:name="_Toc297123514"/>
      <w:bookmarkStart w:id="159" w:name="_Toc300934966"/>
      <w:bookmarkStart w:id="160" w:name="_Toc312677479"/>
      <w:bookmarkStart w:id="161" w:name="_Toc297216173"/>
      <w:bookmarkStart w:id="162" w:name="_Toc303539123"/>
      <w:bookmarkStart w:id="163" w:name="_Toc312678005"/>
      <w:r>
        <w:rPr>
          <w:rFonts w:hint="eastAsia" w:ascii="宋体" w:hAnsi="宋体"/>
          <w:sz w:val="24"/>
        </w:rPr>
        <w:t>.2 施工进度计划</w:t>
      </w:r>
    </w:p>
    <w:p w14:paraId="31A7A0D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7.2.2 施工进度计划的修订</w:t>
      </w:r>
    </w:p>
    <w:p w14:paraId="26A875E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发包人和监理人在收到修订的施工进度计划后确认或提出修改意见的期限：</w:t>
      </w:r>
      <w:r>
        <w:rPr>
          <w:rFonts w:hint="eastAsia" w:ascii="宋体" w:hAnsi="宋体"/>
          <w:sz w:val="24"/>
          <w:u w:val="single"/>
        </w:rPr>
        <w:t xml:space="preserve">  收到修订的施工进度计划后7天内(</w:t>
      </w:r>
      <w:r>
        <w:rPr>
          <w:rFonts w:hint="eastAsia" w:ascii="宋体" w:hAnsi="宋体"/>
          <w:kern w:val="0"/>
          <w:sz w:val="24"/>
          <w:u w:val="single"/>
        </w:rPr>
        <w:t>执行通用条款)</w:t>
      </w:r>
      <w:r>
        <w:rPr>
          <w:rFonts w:hint="eastAsia" w:ascii="宋体" w:hAnsi="宋体"/>
          <w:kern w:val="0"/>
          <w:sz w:val="24"/>
        </w:rPr>
        <w:t xml:space="preserve">。 </w:t>
      </w:r>
      <w:r>
        <w:rPr>
          <w:rFonts w:hint="eastAsia" w:ascii="宋体" w:hAnsi="宋体"/>
          <w:sz w:val="24"/>
        </w:rPr>
        <w:t xml:space="preserve">   </w:t>
      </w:r>
    </w:p>
    <w:p w14:paraId="1AA300A4">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7.3 开工</w:t>
      </w:r>
    </w:p>
    <w:p w14:paraId="0D510DD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7.3.1 开工准备</w:t>
      </w:r>
    </w:p>
    <w:p w14:paraId="4BED7814">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关于承包人提交</w:t>
      </w:r>
      <w:r>
        <w:rPr>
          <w:rFonts w:hint="eastAsia" w:ascii="宋体" w:hAnsi="宋体"/>
          <w:kern w:val="0"/>
          <w:sz w:val="24"/>
        </w:rPr>
        <w:t>工程开工报审表的期限：</w:t>
      </w:r>
      <w:r>
        <w:rPr>
          <w:rFonts w:hint="eastAsia" w:ascii="宋体" w:hAnsi="宋体"/>
          <w:sz w:val="24"/>
          <w:u w:val="single"/>
        </w:rPr>
        <w:t xml:space="preserve">  开工前7天内。   </w:t>
      </w:r>
    </w:p>
    <w:p w14:paraId="7968900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关于发包人应完成的其他开工准备工作及期限：</w:t>
      </w:r>
      <w:r>
        <w:rPr>
          <w:rFonts w:hint="eastAsia" w:ascii="宋体" w:hAnsi="宋体"/>
          <w:sz w:val="24"/>
          <w:u w:val="single"/>
        </w:rPr>
        <w:t xml:space="preserve">  开工前7天内。    </w:t>
      </w:r>
    </w:p>
    <w:p w14:paraId="62263F4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关于承包人应完成的其他开工准备工作及期限：</w:t>
      </w:r>
      <w:r>
        <w:rPr>
          <w:rFonts w:hint="eastAsia" w:ascii="宋体" w:hAnsi="宋体"/>
          <w:sz w:val="24"/>
          <w:u w:val="single"/>
        </w:rPr>
        <w:t xml:space="preserve">  开工前7天内。</w:t>
      </w:r>
      <w:r>
        <w:rPr>
          <w:rFonts w:hint="eastAsia" w:ascii="宋体" w:hAnsi="宋体"/>
          <w:kern w:val="0"/>
          <w:sz w:val="24"/>
          <w:u w:val="single"/>
        </w:rPr>
        <w:t xml:space="preserve"> </w:t>
      </w:r>
      <w:r>
        <w:rPr>
          <w:rFonts w:hint="eastAsia" w:ascii="宋体" w:hAnsi="宋体"/>
          <w:sz w:val="24"/>
          <w:u w:val="single"/>
        </w:rPr>
        <w:t xml:space="preserve">   </w:t>
      </w:r>
    </w:p>
    <w:p w14:paraId="56E579C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7.3.2开工通知</w:t>
      </w:r>
    </w:p>
    <w:p w14:paraId="0F2410E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因发包人原因造成监理人未能在计划开工日期之日起</w:t>
      </w:r>
      <w:r>
        <w:rPr>
          <w:rFonts w:hint="eastAsia" w:ascii="宋体" w:hAnsi="宋体"/>
          <w:sz w:val="24"/>
          <w:u w:val="single"/>
        </w:rPr>
        <w:t xml:space="preserve">  90（</w:t>
      </w:r>
      <w:r>
        <w:rPr>
          <w:rFonts w:hint="eastAsia" w:ascii="宋体" w:hAnsi="宋体"/>
          <w:kern w:val="0"/>
          <w:sz w:val="24"/>
          <w:u w:val="single"/>
        </w:rPr>
        <w:t xml:space="preserve">执行通用条款） </w:t>
      </w:r>
      <w:r>
        <w:rPr>
          <w:rFonts w:hint="eastAsia" w:ascii="宋体" w:hAnsi="宋体"/>
          <w:sz w:val="24"/>
          <w:u w:val="single"/>
        </w:rPr>
        <w:t xml:space="preserve"> </w:t>
      </w:r>
      <w:r>
        <w:rPr>
          <w:rFonts w:hint="eastAsia" w:ascii="宋体" w:hAnsi="宋体"/>
          <w:sz w:val="24"/>
        </w:rPr>
        <w:t>天内发出开工通知的，承包人有权提出价格调整要求，或者解除合同。</w:t>
      </w:r>
    </w:p>
    <w:bookmarkEnd w:id="157"/>
    <w:bookmarkEnd w:id="158"/>
    <w:bookmarkEnd w:id="159"/>
    <w:bookmarkEnd w:id="160"/>
    <w:bookmarkEnd w:id="161"/>
    <w:bookmarkEnd w:id="162"/>
    <w:bookmarkEnd w:id="163"/>
    <w:p w14:paraId="6F4F2F8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7.4 测量放线</w:t>
      </w:r>
    </w:p>
    <w:p w14:paraId="6943AA21">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7.4.1发包人通过监理人向承包人提供测量基准点、基准线和水准点及其书面资料的期限：</w:t>
      </w:r>
      <w:r>
        <w:rPr>
          <w:rFonts w:hint="eastAsia" w:ascii="宋体" w:hAnsi="宋体"/>
          <w:sz w:val="24"/>
          <w:u w:val="single"/>
        </w:rPr>
        <w:t xml:space="preserve">  开工前21天内</w:t>
      </w:r>
      <w:r>
        <w:rPr>
          <w:rFonts w:hint="eastAsia" w:ascii="宋体" w:hAnsi="宋体"/>
          <w:kern w:val="0"/>
          <w:sz w:val="24"/>
          <w:u w:val="single"/>
        </w:rPr>
        <w:t xml:space="preserve">(执行通用条款)。 </w:t>
      </w:r>
      <w:r>
        <w:rPr>
          <w:rFonts w:hint="eastAsia" w:ascii="宋体" w:hAnsi="宋体"/>
          <w:sz w:val="24"/>
          <w:u w:val="single"/>
        </w:rPr>
        <w:t xml:space="preserve">  </w:t>
      </w:r>
    </w:p>
    <w:p w14:paraId="706ED69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w:t>
      </w:r>
      <w:bookmarkStart w:id="164" w:name="_Toc300934968"/>
      <w:bookmarkStart w:id="165" w:name="_Toc312677484"/>
      <w:bookmarkStart w:id="166" w:name="_Toc297123516"/>
      <w:bookmarkStart w:id="167" w:name="_Toc297216175"/>
      <w:bookmarkStart w:id="168" w:name="_Toc312678010"/>
      <w:bookmarkStart w:id="169" w:name="_Toc304295546"/>
      <w:bookmarkStart w:id="170" w:name="_Toc303539125"/>
      <w:r>
        <w:rPr>
          <w:rFonts w:hint="eastAsia" w:ascii="宋体" w:hAnsi="宋体"/>
          <w:sz w:val="24"/>
        </w:rPr>
        <w:t>.5 工期延误</w:t>
      </w:r>
    </w:p>
    <w:bookmarkEnd w:id="164"/>
    <w:bookmarkEnd w:id="165"/>
    <w:bookmarkEnd w:id="166"/>
    <w:bookmarkEnd w:id="167"/>
    <w:bookmarkEnd w:id="168"/>
    <w:bookmarkEnd w:id="169"/>
    <w:bookmarkEnd w:id="170"/>
    <w:p w14:paraId="4991167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7.5.1 因发包人原因导致工期延误</w:t>
      </w:r>
    </w:p>
    <w:p w14:paraId="747855D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（7）因发包人原因导致工期延误的其他情形：</w:t>
      </w:r>
      <w:r>
        <w:rPr>
          <w:rFonts w:hint="eastAsia" w:ascii="宋体" w:hAnsi="宋体"/>
          <w:sz w:val="24"/>
          <w:u w:val="single"/>
        </w:rPr>
        <w:t xml:space="preserve">   /     </w:t>
      </w:r>
    </w:p>
    <w:p w14:paraId="238A86B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7.5.2 因承包人原因导致工期延误</w:t>
      </w:r>
    </w:p>
    <w:p w14:paraId="55F4591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因承包人原因造成工期延误，逾期竣工违约金的计算方法为：</w:t>
      </w:r>
      <w:r>
        <w:rPr>
          <w:rFonts w:hint="eastAsia" w:ascii="宋体" w:hAnsi="宋体"/>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00D5E361">
      <w:pPr>
        <w:adjustRightInd w:val="0"/>
        <w:snapToGrid w:val="0"/>
        <w:spacing w:line="360" w:lineRule="auto"/>
        <w:ind w:firstLine="480" w:firstLineChars="200"/>
        <w:rPr>
          <w:rFonts w:hint="eastAsia" w:ascii="宋体" w:hAnsi="宋体"/>
          <w:sz w:val="24"/>
          <w:szCs w:val="24"/>
          <w:u w:val="single"/>
        </w:rPr>
      </w:pPr>
      <w:r>
        <w:rPr>
          <w:rFonts w:hint="eastAsia" w:ascii="宋体" w:hAnsi="宋体"/>
          <w:sz w:val="24"/>
          <w:szCs w:val="24"/>
        </w:rPr>
        <w:t>因承包人原因造成工期延误，逾期竣工违约金的上限：</w:t>
      </w:r>
      <w:r>
        <w:rPr>
          <w:rFonts w:hint="eastAsia" w:ascii="宋体" w:hAnsi="宋体"/>
          <w:sz w:val="24"/>
          <w:szCs w:val="24"/>
          <w:u w:val="single"/>
        </w:rPr>
        <w:t xml:space="preserve">  违约金最高限额为合同价款的4% 。</w:t>
      </w:r>
    </w:p>
    <w:p w14:paraId="2A7892FC">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7.6 不利物质条件</w:t>
      </w:r>
    </w:p>
    <w:p w14:paraId="026EAAC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不利物质条件的其他情形和有关约定：</w:t>
      </w:r>
      <w:r>
        <w:rPr>
          <w:rFonts w:hint="eastAsia" w:ascii="宋体" w:hAnsi="宋体"/>
          <w:sz w:val="24"/>
          <w:u w:val="single"/>
        </w:rPr>
        <w:t xml:space="preserve">  </w:t>
      </w:r>
      <w:r>
        <w:rPr>
          <w:rFonts w:hint="eastAsia" w:ascii="宋体" w:hAnsi="宋体"/>
          <w:kern w:val="0"/>
          <w:sz w:val="24"/>
          <w:u w:val="single"/>
        </w:rPr>
        <w:t xml:space="preserve">执行通用条款。 </w:t>
      </w:r>
      <w:r>
        <w:rPr>
          <w:rFonts w:hint="eastAsia" w:ascii="宋体" w:hAnsi="宋体"/>
          <w:sz w:val="24"/>
          <w:u w:val="single"/>
        </w:rPr>
        <w:t xml:space="preserve">   </w:t>
      </w:r>
    </w:p>
    <w:p w14:paraId="1059C49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7.7异常恶劣的气候条件</w:t>
      </w:r>
    </w:p>
    <w:p w14:paraId="0AFE1EA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发包人和承包人同意以下情形视为异常恶劣的气候条件：</w:t>
      </w:r>
      <w:r>
        <w:rPr>
          <w:rFonts w:hint="eastAsia" w:ascii="宋体" w:hAnsi="宋体"/>
          <w:sz w:val="24"/>
          <w:u w:val="single"/>
        </w:rPr>
        <w:t xml:space="preserve">  执行通用条款。   </w:t>
      </w:r>
    </w:p>
    <w:p w14:paraId="511336D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7.9 提前竣工的奖励</w:t>
      </w:r>
    </w:p>
    <w:p w14:paraId="7CE1452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7.9.2提前竣工的奖励：</w:t>
      </w:r>
      <w:r>
        <w:rPr>
          <w:rFonts w:hint="eastAsia" w:ascii="宋体" w:hAnsi="宋体"/>
          <w:sz w:val="24"/>
          <w:u w:val="single"/>
        </w:rPr>
        <w:t xml:space="preserve">  不采用。    </w:t>
      </w:r>
    </w:p>
    <w:p w14:paraId="5C2F6E59">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71" w:name="_Toc351203640"/>
      <w:r>
        <w:rPr>
          <w:rFonts w:hint="eastAsia" w:ascii="宋体" w:hAnsi="宋体"/>
          <w:kern w:val="0"/>
          <w:sz w:val="24"/>
        </w:rPr>
        <w:t>8. 材料与设备</w:t>
      </w:r>
      <w:bookmarkEnd w:id="171"/>
    </w:p>
    <w:bookmarkEnd w:id="138"/>
    <w:bookmarkEnd w:id="139"/>
    <w:bookmarkEnd w:id="140"/>
    <w:bookmarkEnd w:id="141"/>
    <w:bookmarkEnd w:id="142"/>
    <w:bookmarkEnd w:id="143"/>
    <w:bookmarkEnd w:id="144"/>
    <w:bookmarkEnd w:id="145"/>
    <w:bookmarkEnd w:id="146"/>
    <w:bookmarkEnd w:id="147"/>
    <w:p w14:paraId="52F19A46">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8</w:t>
      </w:r>
      <w:bookmarkStart w:id="172" w:name="_Toc280868655"/>
      <w:bookmarkStart w:id="173" w:name="_Toc280868656"/>
      <w:bookmarkStart w:id="174" w:name="_Toc267251424"/>
      <w:r>
        <w:rPr>
          <w:rFonts w:hint="eastAsia" w:ascii="宋体" w:hAnsi="宋体"/>
          <w:sz w:val="24"/>
        </w:rPr>
        <w:t>.4材料与工程设备的保管与使用</w:t>
      </w:r>
    </w:p>
    <w:p w14:paraId="1958C91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8</w:t>
      </w:r>
      <w:bookmarkStart w:id="175" w:name="_Toc304295557"/>
      <w:bookmarkStart w:id="176" w:name="_Toc300934980"/>
      <w:bookmarkStart w:id="177" w:name="_Toc296944507"/>
      <w:bookmarkStart w:id="178" w:name="_Toc296346669"/>
      <w:bookmarkStart w:id="179" w:name="_Toc297120468"/>
      <w:bookmarkStart w:id="180" w:name="_Toc296890996"/>
      <w:bookmarkStart w:id="181" w:name="_Toc297048354"/>
      <w:bookmarkStart w:id="182" w:name="_Toc296503168"/>
      <w:bookmarkStart w:id="183" w:name="_Toc297123528"/>
      <w:bookmarkStart w:id="184" w:name="_Toc318581173"/>
      <w:bookmarkStart w:id="185" w:name="_Toc303539137"/>
      <w:bookmarkStart w:id="186" w:name="_Toc312678020"/>
      <w:bookmarkStart w:id="187" w:name="_Toc296891208"/>
      <w:bookmarkStart w:id="188" w:name="_Toc297216187"/>
      <w:bookmarkStart w:id="189" w:name="_Toc312677494"/>
      <w:bookmarkStart w:id="190" w:name="_Toc296347167"/>
      <w:r>
        <w:rPr>
          <w:rFonts w:hint="eastAsia" w:ascii="宋体" w:hAnsi="宋体"/>
          <w:sz w:val="24"/>
        </w:rPr>
        <w:t>.4.1发包人供应的材料设备的保管费用的承担：</w:t>
      </w:r>
    </w:p>
    <w:p w14:paraId="542C49B7">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1）</w:t>
      </w:r>
      <w:r>
        <w:rPr>
          <w:rFonts w:hint="eastAsia" w:ascii="宋体" w:hAnsi="宋体"/>
          <w:sz w:val="24"/>
          <w:u w:val="single"/>
        </w:rPr>
        <w:t>材料按照总价</w:t>
      </w:r>
      <w:r>
        <w:rPr>
          <w:rFonts w:hint="eastAsia" w:ascii="宋体" w:hAnsi="宋体"/>
          <w:sz w:val="24"/>
          <w:u w:val="single"/>
          <w:lang w:val="en-US" w:eastAsia="zh-CN"/>
        </w:rPr>
        <w:t xml:space="preserve">   </w:t>
      </w:r>
      <w:r>
        <w:rPr>
          <w:rFonts w:hint="eastAsia" w:ascii="宋体" w:hAnsi="宋体"/>
          <w:sz w:val="24"/>
          <w:u w:val="single"/>
        </w:rPr>
        <w:t>%计取保管费（材料数量最多不超过设计文件的用量（可以计算定额损耗））；设备按照总价</w:t>
      </w:r>
      <w:r>
        <w:rPr>
          <w:rFonts w:hint="eastAsia" w:ascii="宋体" w:hAnsi="宋体"/>
          <w:sz w:val="24"/>
          <w:u w:val="single"/>
          <w:lang w:val="en-US" w:eastAsia="zh-CN"/>
        </w:rPr>
        <w:t xml:space="preserve">   </w:t>
      </w:r>
      <w:r>
        <w:rPr>
          <w:rFonts w:hint="eastAsia" w:ascii="宋体" w:hAnsi="宋体"/>
          <w:sz w:val="24"/>
          <w:u w:val="single"/>
        </w:rPr>
        <w:t>%计取保管费；此费用仅计取税金。</w:t>
      </w:r>
    </w:p>
    <w:p w14:paraId="723B0E28">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2）</w:t>
      </w:r>
      <w:r>
        <w:rPr>
          <w:rFonts w:hint="eastAsia" w:ascii="宋体" w:hAnsi="宋体"/>
          <w:sz w:val="24"/>
          <w:u w:val="single"/>
        </w:rPr>
        <w:t xml:space="preserve">到货时间与《发包人供应材料设备一览表》不一致的，保管费用不予调整。  </w:t>
      </w:r>
    </w:p>
    <w:p w14:paraId="4B736EF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3）</w:t>
      </w:r>
      <w:r>
        <w:rPr>
          <w:rFonts w:hint="eastAsia" w:ascii="宋体" w:hAnsi="宋体"/>
          <w:sz w:val="24"/>
          <w:u w:val="single"/>
        </w:rPr>
        <w:t>开工前承包人提交材料需求明细计划；每种材料进场批次不超过2批。</w:t>
      </w:r>
    </w:p>
    <w:p w14:paraId="4EB6AD3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4）</w:t>
      </w:r>
      <w:r>
        <w:rPr>
          <w:rFonts w:hint="eastAsia" w:ascii="宋体" w:hAnsi="宋体"/>
          <w:sz w:val="24"/>
          <w:u w:val="single"/>
        </w:rPr>
        <w:t xml:space="preserve">发包人按照承包人提交的计划供应材料；当材料出现短缺时，承包人必须至少提前一周以书面通知发包人； </w:t>
      </w:r>
    </w:p>
    <w:p w14:paraId="37226A39">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5）</w:t>
      </w:r>
      <w:r>
        <w:rPr>
          <w:rFonts w:hint="eastAsia" w:ascii="宋体" w:hAnsi="宋体"/>
          <w:sz w:val="24"/>
          <w:u w:val="single"/>
        </w:rPr>
        <w:t>发包人供应的材料由承包人负责按相关规定检验，合格后方可用于工程；承包人未按规定检验造成的后果由承包人负责。</w:t>
      </w:r>
    </w:p>
    <w:p w14:paraId="608F9B26">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6）</w:t>
      </w:r>
      <w:r>
        <w:rPr>
          <w:rFonts w:hint="eastAsia" w:ascii="宋体" w:hAnsi="宋体"/>
          <w:sz w:val="24"/>
          <w:u w:val="single"/>
        </w:rPr>
        <w:t xml:space="preserve">发包人供应材料的检验检测费用由承包人在合同价款的投标报价中考虑，不再另行计取。若发包人自行检验的，须提供检验报告，检验费用从合同价款中扣除。 </w:t>
      </w:r>
    </w:p>
    <w:p w14:paraId="07D25E7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7）</w:t>
      </w:r>
      <w:r>
        <w:rPr>
          <w:rFonts w:hint="eastAsia" w:ascii="宋体" w:hAnsi="宋体"/>
          <w:sz w:val="24"/>
          <w:u w:val="single"/>
        </w:rPr>
        <w:t>因承包人计划不周造成增加费用由承包人承担，工期不予顺延。</w:t>
      </w:r>
    </w:p>
    <w:p w14:paraId="2BBFB48B">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8）</w:t>
      </w:r>
      <w:r>
        <w:rPr>
          <w:rFonts w:hint="eastAsia" w:ascii="宋体" w:hAnsi="宋体"/>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631CEB72">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9）</w:t>
      </w:r>
      <w:r>
        <w:rPr>
          <w:rFonts w:hint="eastAsia" w:ascii="宋体" w:hAnsi="宋体"/>
          <w:sz w:val="24"/>
          <w:u w:val="single"/>
        </w:rPr>
        <w:t>发包人供应的材料数量为图纸用量。</w:t>
      </w:r>
    </w:p>
    <w:p w14:paraId="1746F699">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10）</w:t>
      </w:r>
      <w:r>
        <w:rPr>
          <w:rFonts w:hint="eastAsia" w:ascii="宋体" w:hAnsi="宋体"/>
          <w:sz w:val="24"/>
          <w:u w:val="single"/>
        </w:rPr>
        <w:t>发包人材料供应不及时影响关键线路工程施工的，工期顺延。</w:t>
      </w:r>
    </w:p>
    <w:p w14:paraId="70DD247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11）</w:t>
      </w:r>
      <w:r>
        <w:rPr>
          <w:rFonts w:hint="eastAsia" w:ascii="宋体" w:hAnsi="宋体"/>
          <w:sz w:val="24"/>
          <w:u w:val="single"/>
        </w:rPr>
        <w:t>发包人供应的材料进入现场即视为供应到位，由承包人负责卸货入库等其他工作，费用由承包人在合同价款中考虑，不再另行计取。</w:t>
      </w:r>
    </w:p>
    <w:p w14:paraId="0D60CCC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8.6 样品</w:t>
      </w:r>
    </w:p>
    <w:p w14:paraId="7E86335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8.6.1样品的报送与封存</w:t>
      </w:r>
    </w:p>
    <w:p w14:paraId="343C71E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需要承包人报送样品的材料或工程设备，样品的种类、名称、规格、数量要求：</w:t>
      </w:r>
      <w:r>
        <w:rPr>
          <w:rFonts w:hint="eastAsia" w:ascii="宋体" w:hAnsi="宋体"/>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w:t>
      </w:r>
      <w:r>
        <w:rPr>
          <w:rFonts w:hint="eastAsia" w:ascii="宋体" w:hAnsi="宋体"/>
          <w:kern w:val="0"/>
          <w:sz w:val="24"/>
          <w:u w:val="single"/>
        </w:rPr>
        <w:t>承包人报送给发包人本工程所用主要材料或工程设备样品的具体种类、名称、规格、数量，在工程开工前</w:t>
      </w:r>
      <w:r>
        <w:rPr>
          <w:rFonts w:hint="eastAsia" w:ascii="宋体" w:hAnsi="宋体"/>
          <w:sz w:val="24"/>
          <w:u w:val="single"/>
        </w:rPr>
        <w:t xml:space="preserve">由发包人、承包人与监理人另行商定确定。   </w:t>
      </w:r>
    </w:p>
    <w:p w14:paraId="4E1B9158">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8.8 施工设备和临时设施</w:t>
      </w:r>
    </w:p>
    <w:p w14:paraId="0406ED4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8.8.1 承包人提供的施工设备和临时设施</w:t>
      </w:r>
    </w:p>
    <w:p w14:paraId="7D2230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关于修建临时设施费用承担的约定：</w:t>
      </w:r>
      <w:r>
        <w:rPr>
          <w:rFonts w:hint="eastAsia" w:ascii="宋体" w:hAnsi="宋体"/>
          <w:sz w:val="24"/>
          <w:u w:val="single"/>
        </w:rPr>
        <w:t xml:space="preserve">  承包人承担此费用，该费用已包含在投标报价</w:t>
      </w:r>
      <w:r>
        <w:rPr>
          <w:rFonts w:hint="eastAsia" w:ascii="宋体" w:hAnsi="宋体"/>
          <w:kern w:val="0"/>
          <w:sz w:val="24"/>
          <w:u w:val="single"/>
        </w:rPr>
        <w:t>。</w:t>
      </w:r>
      <w:r>
        <w:rPr>
          <w:rFonts w:hint="eastAsia" w:ascii="宋体" w:hAnsi="宋体"/>
          <w:sz w:val="24"/>
          <w:u w:val="single"/>
        </w:rPr>
        <w:t xml:space="preserve">   </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14:paraId="14F149A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191" w:name="_Toc351203641"/>
      <w:r>
        <w:rPr>
          <w:rFonts w:hint="eastAsia" w:ascii="宋体" w:hAnsi="宋体"/>
          <w:kern w:val="0"/>
          <w:sz w:val="24"/>
        </w:rPr>
        <w:t>9</w:t>
      </w:r>
      <w:bookmarkEnd w:id="172"/>
      <w:bookmarkEnd w:id="173"/>
      <w:bookmarkEnd w:id="174"/>
      <w:bookmarkStart w:id="192" w:name="_Toc312678021"/>
      <w:bookmarkStart w:id="193" w:name="_Toc304295559"/>
      <w:bookmarkStart w:id="194" w:name="_Toc297123533"/>
      <w:bookmarkStart w:id="195" w:name="_Toc297216192"/>
      <w:bookmarkStart w:id="196" w:name="_Toc303539139"/>
      <w:bookmarkStart w:id="197" w:name="_Toc312677495"/>
      <w:bookmarkStart w:id="198" w:name="_Toc300934982"/>
      <w:bookmarkStart w:id="199" w:name="_Toc296944512"/>
      <w:bookmarkStart w:id="200" w:name="_Toc297048359"/>
      <w:bookmarkStart w:id="201" w:name="_Toc296347172"/>
      <w:bookmarkStart w:id="202" w:name="_Toc296891213"/>
      <w:bookmarkStart w:id="203" w:name="_Toc292559378"/>
      <w:bookmarkStart w:id="204" w:name="_Toc267251428"/>
      <w:bookmarkStart w:id="205" w:name="_Toc296891001"/>
      <w:bookmarkStart w:id="206" w:name="_Toc267251427"/>
      <w:bookmarkStart w:id="207" w:name="_Toc296503173"/>
      <w:bookmarkStart w:id="208" w:name="_Toc297120473"/>
      <w:bookmarkStart w:id="209" w:name="_Toc296346674"/>
      <w:bookmarkStart w:id="210" w:name="_Toc292559883"/>
      <w:r>
        <w:rPr>
          <w:rFonts w:hint="eastAsia" w:ascii="宋体" w:hAnsi="宋体"/>
          <w:kern w:val="0"/>
          <w:sz w:val="24"/>
        </w:rPr>
        <w:t>. 试验与检验</w:t>
      </w:r>
      <w:bookmarkEnd w:id="191"/>
    </w:p>
    <w:bookmarkEnd w:id="192"/>
    <w:bookmarkEnd w:id="193"/>
    <w:bookmarkEnd w:id="194"/>
    <w:bookmarkEnd w:id="195"/>
    <w:bookmarkEnd w:id="196"/>
    <w:bookmarkEnd w:id="197"/>
    <w:bookmarkEnd w:id="198"/>
    <w:p w14:paraId="260E9458">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9</w:t>
      </w:r>
      <w:bookmarkStart w:id="211" w:name="_Toc297216193"/>
      <w:bookmarkStart w:id="212" w:name="_Toc312677496"/>
      <w:bookmarkStart w:id="213" w:name="_Toc297123534"/>
      <w:bookmarkStart w:id="214" w:name="_Toc303539140"/>
      <w:bookmarkStart w:id="215" w:name="_Toc312678022"/>
      <w:bookmarkStart w:id="216" w:name="_Toc304295560"/>
      <w:bookmarkStart w:id="217" w:name="_Toc300934983"/>
      <w:r>
        <w:rPr>
          <w:rFonts w:hint="eastAsia" w:ascii="宋体" w:hAnsi="宋体"/>
          <w:sz w:val="24"/>
        </w:rPr>
        <w:t>.1试验设备与试验人员</w:t>
      </w:r>
    </w:p>
    <w:bookmarkEnd w:id="211"/>
    <w:bookmarkEnd w:id="212"/>
    <w:bookmarkEnd w:id="213"/>
    <w:bookmarkEnd w:id="214"/>
    <w:bookmarkEnd w:id="215"/>
    <w:bookmarkEnd w:id="216"/>
    <w:bookmarkEnd w:id="217"/>
    <w:p w14:paraId="5D74B15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9</w:t>
      </w:r>
      <w:bookmarkStart w:id="218" w:name="_Toc318581174"/>
      <w:r>
        <w:rPr>
          <w:rFonts w:hint="eastAsia" w:ascii="宋体" w:hAnsi="宋体"/>
          <w:sz w:val="24"/>
        </w:rPr>
        <w:t>.1.2 试验设备</w:t>
      </w:r>
    </w:p>
    <w:p w14:paraId="5383437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施工现场需要配置的试验场所：</w:t>
      </w:r>
      <w:bookmarkStart w:id="219" w:name="_Toc300934985"/>
      <w:bookmarkStart w:id="220" w:name="_Toc312677498"/>
      <w:bookmarkStart w:id="221" w:name="_Toc303539142"/>
      <w:bookmarkStart w:id="222" w:name="_Toc312678024"/>
      <w:bookmarkStart w:id="223" w:name="_Toc304295562"/>
      <w:bookmarkStart w:id="224" w:name="_Toc297123536"/>
      <w:bookmarkStart w:id="225" w:name="_Toc297216195"/>
      <w:r>
        <w:rPr>
          <w:rFonts w:hint="eastAsia" w:ascii="宋体" w:hAnsi="宋体"/>
          <w:sz w:val="24"/>
          <w:u w:val="single"/>
        </w:rPr>
        <w:t xml:space="preserve">  满足现场施工质量检验要求。    </w:t>
      </w:r>
    </w:p>
    <w:p w14:paraId="15AE109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施工现场需要配备的试验设备：</w:t>
      </w:r>
      <w:r>
        <w:rPr>
          <w:rFonts w:hint="eastAsia" w:ascii="宋体" w:hAnsi="宋体"/>
          <w:sz w:val="24"/>
          <w:u w:val="single"/>
        </w:rPr>
        <w:t xml:space="preserve">  满足现场施工质量检验要求。    </w:t>
      </w:r>
    </w:p>
    <w:p w14:paraId="6C2DAB5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施工现场需要具备的其他试验条件：</w:t>
      </w:r>
      <w:r>
        <w:rPr>
          <w:rFonts w:hint="eastAsia" w:ascii="宋体" w:hAnsi="宋体"/>
          <w:sz w:val="24"/>
          <w:u w:val="single"/>
        </w:rPr>
        <w:t xml:space="preserve">  满足现场施工质量检验要求。    </w:t>
      </w:r>
    </w:p>
    <w:p w14:paraId="6612FA73">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 xml:space="preserve">9.4 现场工艺试验 </w:t>
      </w:r>
    </w:p>
    <w:p w14:paraId="3ED53132">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现场工艺试验的有关约定：</w:t>
      </w:r>
    </w:p>
    <w:p w14:paraId="705F14A3">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highlight w:val="none"/>
          <w:u w:val="single"/>
          <w:lang w:val="en-US" w:eastAsia="zh-CN"/>
        </w:rPr>
        <w:t xml:space="preserve">     </w:t>
      </w:r>
      <w:r>
        <w:rPr>
          <w:rFonts w:hint="eastAsia" w:ascii="宋体" w:hAnsi="宋体"/>
          <w:kern w:val="0"/>
          <w:sz w:val="24"/>
          <w:highlight w:val="none"/>
          <w:u w:val="single"/>
        </w:rPr>
        <w:t xml:space="preserve">  </w:t>
      </w:r>
      <w:r>
        <w:rPr>
          <w:rFonts w:hint="eastAsia" w:ascii="宋体" w:hAnsi="宋体"/>
          <w:kern w:val="0"/>
          <w:sz w:val="24"/>
          <w:u w:val="single"/>
        </w:rPr>
        <w:t xml:space="preserve"> </w:t>
      </w:r>
    </w:p>
    <w:bookmarkEnd w:id="218"/>
    <w:bookmarkEnd w:id="219"/>
    <w:bookmarkEnd w:id="220"/>
    <w:bookmarkEnd w:id="221"/>
    <w:bookmarkEnd w:id="222"/>
    <w:bookmarkEnd w:id="223"/>
    <w:bookmarkEnd w:id="224"/>
    <w:bookmarkEnd w:id="225"/>
    <w:p w14:paraId="1F3BA285">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226" w:name="_Toc351203642"/>
      <w:r>
        <w:rPr>
          <w:rFonts w:hint="eastAsia" w:ascii="宋体" w:hAnsi="宋体"/>
          <w:kern w:val="0"/>
          <w:sz w:val="24"/>
        </w:rPr>
        <w:t>1</w:t>
      </w:r>
      <w:bookmarkEnd w:id="199"/>
      <w:bookmarkEnd w:id="200"/>
      <w:bookmarkEnd w:id="201"/>
      <w:bookmarkEnd w:id="202"/>
      <w:bookmarkEnd w:id="203"/>
      <w:bookmarkEnd w:id="204"/>
      <w:bookmarkEnd w:id="205"/>
      <w:bookmarkEnd w:id="206"/>
      <w:bookmarkEnd w:id="207"/>
      <w:bookmarkEnd w:id="208"/>
      <w:bookmarkEnd w:id="209"/>
      <w:bookmarkEnd w:id="210"/>
      <w:bookmarkStart w:id="227" w:name="_Toc296346694"/>
      <w:bookmarkStart w:id="228" w:name="_Toc296891233"/>
      <w:bookmarkStart w:id="229" w:name="_Toc296503193"/>
      <w:bookmarkStart w:id="230" w:name="_Toc292559398"/>
      <w:bookmarkStart w:id="231" w:name="_Toc297216199"/>
      <w:bookmarkStart w:id="232" w:name="_Toc300934989"/>
      <w:bookmarkStart w:id="233" w:name="_Toc296891021"/>
      <w:bookmarkStart w:id="234" w:name="_Toc296944532"/>
      <w:bookmarkStart w:id="235" w:name="_Toc292559903"/>
      <w:bookmarkStart w:id="236" w:name="_Toc297123540"/>
      <w:bookmarkStart w:id="237" w:name="_Toc296347192"/>
      <w:bookmarkStart w:id="238" w:name="_Toc304295566"/>
      <w:bookmarkStart w:id="239" w:name="_Toc297120493"/>
      <w:bookmarkStart w:id="240" w:name="_Toc303539146"/>
      <w:bookmarkStart w:id="241" w:name="_Toc297048379"/>
      <w:bookmarkStart w:id="242" w:name="_Toc312677499"/>
      <w:bookmarkStart w:id="243" w:name="_Toc312678025"/>
      <w:bookmarkStart w:id="244" w:name="_Toc267251440"/>
      <w:bookmarkStart w:id="245" w:name="_Toc267251439"/>
      <w:bookmarkStart w:id="246" w:name="_Toc267251435"/>
      <w:bookmarkStart w:id="247" w:name="_Toc267251441"/>
      <w:bookmarkStart w:id="248" w:name="_Toc267251437"/>
      <w:bookmarkStart w:id="249" w:name="_Toc267251433"/>
      <w:bookmarkStart w:id="250" w:name="_Toc267251442"/>
      <w:r>
        <w:rPr>
          <w:rFonts w:hint="eastAsia" w:ascii="宋体" w:hAnsi="宋体"/>
          <w:kern w:val="0"/>
          <w:sz w:val="24"/>
        </w:rPr>
        <w:t>0. 变更</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bookmarkEnd w:id="242"/>
    <w:bookmarkEnd w:id="243"/>
    <w:p w14:paraId="73356CB9">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w:t>
      </w:r>
      <w:bookmarkStart w:id="251" w:name="_Toc292559904"/>
      <w:bookmarkStart w:id="252" w:name="_Toc297123541"/>
      <w:bookmarkStart w:id="253" w:name="_Toc292559399"/>
      <w:bookmarkStart w:id="254" w:name="_Toc300934990"/>
      <w:bookmarkStart w:id="255" w:name="_Toc312678026"/>
      <w:bookmarkStart w:id="256" w:name="_Toc312677500"/>
      <w:bookmarkStart w:id="257" w:name="_Toc297216200"/>
      <w:bookmarkStart w:id="258" w:name="_Toc296347193"/>
      <w:bookmarkStart w:id="259" w:name="_Toc296891022"/>
      <w:bookmarkStart w:id="260" w:name="_Toc296503194"/>
      <w:bookmarkStart w:id="261" w:name="_Toc297048380"/>
      <w:bookmarkStart w:id="262" w:name="_Toc296891234"/>
      <w:bookmarkStart w:id="263" w:name="_Toc296944533"/>
      <w:bookmarkStart w:id="264" w:name="_Toc297120494"/>
      <w:bookmarkStart w:id="265" w:name="_Toc296346695"/>
      <w:bookmarkStart w:id="266" w:name="_Toc304295567"/>
      <w:bookmarkStart w:id="267" w:name="_Toc303539147"/>
      <w:r>
        <w:rPr>
          <w:rFonts w:hint="eastAsia" w:ascii="宋体" w:hAnsi="宋体"/>
          <w:sz w:val="24"/>
        </w:rPr>
        <w:t>0.1变更的范围</w:t>
      </w:r>
    </w:p>
    <w:p w14:paraId="66DD6DB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关于变更的范围的约定：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931749F">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10.4 变更估价</w:t>
      </w:r>
    </w:p>
    <w:p w14:paraId="27158721">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10.4.1 变更估价原则</w:t>
      </w:r>
    </w:p>
    <w:p w14:paraId="4786167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关于变更估价的约定: </w:t>
      </w:r>
    </w:p>
    <w:p w14:paraId="7AF946FD">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10.4.1.1因工程变更引起已标价工程量清单项目或其工程数量发生变化时，按下列规定调整：</w:t>
      </w:r>
    </w:p>
    <w:p w14:paraId="08DCB5C5">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1）</w:t>
      </w:r>
      <w:r>
        <w:rPr>
          <w:rFonts w:hint="eastAsia" w:ascii="宋体" w:hAnsi="宋体"/>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579E3FB5">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2）</w:t>
      </w:r>
      <w:r>
        <w:rPr>
          <w:rFonts w:hint="eastAsia" w:ascii="宋体" w:hAnsi="宋体"/>
          <w:sz w:val="24"/>
          <w:u w:val="single"/>
        </w:rPr>
        <w:t>已标价工程量清单中没有适用但有类似于变更工程项目的，可在合理范围内参照类似项目的单价。</w:t>
      </w:r>
    </w:p>
    <w:p w14:paraId="7B975AC4">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3）</w:t>
      </w:r>
      <w:r>
        <w:rPr>
          <w:rFonts w:hint="eastAsia" w:ascii="宋体" w:hAnsi="宋体"/>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25D7623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  4）</w:t>
      </w:r>
      <w:r>
        <w:rPr>
          <w:rFonts w:hint="eastAsia" w:ascii="宋体" w:hAnsi="宋体"/>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3F3BDB47">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1E76C4C">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 xml:space="preserve"> 1）</w:t>
      </w:r>
      <w:r>
        <w:rPr>
          <w:rFonts w:hint="eastAsia" w:ascii="宋体" w:hAnsi="宋体"/>
          <w:sz w:val="24"/>
          <w:u w:val="single"/>
        </w:rPr>
        <w:t xml:space="preserve">安全文明施工费应按照实际发生变化的措施项目依据原招标文件规定的费率计算；  </w:t>
      </w:r>
    </w:p>
    <w:p w14:paraId="5E84E159">
      <w:pPr>
        <w:pStyle w:val="77"/>
        <w:tabs>
          <w:tab w:val="left" w:pos="360"/>
        </w:tabs>
        <w:adjustRightInd w:val="0"/>
        <w:snapToGrid w:val="0"/>
        <w:spacing w:line="360" w:lineRule="auto"/>
        <w:ind w:right="178" w:rightChars="85" w:firstLine="480" w:firstLineChars="200"/>
        <w:jc w:val="left"/>
        <w:rPr>
          <w:rFonts w:hint="eastAsia" w:ascii="宋体" w:hAnsi="宋体"/>
          <w:sz w:val="24"/>
          <w:u w:val="single"/>
        </w:rPr>
      </w:pPr>
      <w:r>
        <w:rPr>
          <w:rFonts w:hint="eastAsia" w:ascii="宋体" w:hAnsi="宋体"/>
          <w:sz w:val="24"/>
        </w:rPr>
        <w:t xml:space="preserve"> 2）</w:t>
      </w:r>
      <w:r>
        <w:rPr>
          <w:rFonts w:hint="eastAsia" w:ascii="宋体" w:hAnsi="宋体"/>
          <w:sz w:val="24"/>
          <w:u w:val="single"/>
        </w:rPr>
        <w:t>按照单价计算的措施项目费，应按照实际发生变化的措施项目，按本合同专业条款第</w:t>
      </w:r>
      <w:r>
        <w:rPr>
          <w:rFonts w:hint="eastAsia" w:ascii="宋体" w:hAnsi="宋体"/>
          <w:kern w:val="0"/>
          <w:sz w:val="24"/>
          <w:u w:val="single"/>
        </w:rPr>
        <w:t xml:space="preserve">10.4.1.1条计算；   </w:t>
      </w:r>
    </w:p>
    <w:p w14:paraId="0F726F1E">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u w:val="single"/>
        </w:rPr>
        <w:t xml:space="preserve"> 3）按总价（或系数）计算的措施项目费，应按照实际发生变化的措施项目和承包人投标总价降幅同比下浮标准，提出新的措施项目费，作为结算的依据；  </w:t>
      </w:r>
    </w:p>
    <w:p w14:paraId="5D2B1BEF">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u w:val="single"/>
        </w:rPr>
        <w:t xml:space="preserve"> 4）如果承包人未事前将拟实施的方案提交给发包人确认，则应视为工程变更不引起措施项目费的调整或承包人放弃调整措施项目费的权利。  </w:t>
      </w:r>
    </w:p>
    <w:p w14:paraId="7CCC0534">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sz w:val="24"/>
        </w:rPr>
        <w:t>0.5承包人的合理化建议</w:t>
      </w:r>
    </w:p>
    <w:p w14:paraId="1D22BD4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监理人审查承包人合理化建议的期限：</w:t>
      </w:r>
      <w:r>
        <w:rPr>
          <w:rFonts w:hint="eastAsia" w:ascii="宋体" w:hAnsi="宋体"/>
          <w:sz w:val="24"/>
          <w:u w:val="single"/>
        </w:rPr>
        <w:t xml:space="preserve">   收到承包人提交的合理化建议后7天内审查完毕(</w:t>
      </w:r>
      <w:r>
        <w:rPr>
          <w:rFonts w:hint="eastAsia" w:ascii="宋体" w:hAnsi="宋体"/>
          <w:kern w:val="0"/>
          <w:sz w:val="24"/>
          <w:u w:val="single"/>
        </w:rPr>
        <w:t>执行通用条款)。</w:t>
      </w:r>
      <w:r>
        <w:rPr>
          <w:rFonts w:hint="eastAsia" w:ascii="宋体" w:hAnsi="宋体"/>
          <w:sz w:val="24"/>
          <w:u w:val="single"/>
        </w:rPr>
        <w:t xml:space="preserve">    </w:t>
      </w:r>
    </w:p>
    <w:p w14:paraId="795860A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发包人审批承包人合理化建议的期限：</w:t>
      </w:r>
      <w:r>
        <w:rPr>
          <w:rFonts w:hint="eastAsia" w:ascii="宋体" w:hAnsi="宋体"/>
          <w:sz w:val="24"/>
          <w:u w:val="single"/>
        </w:rPr>
        <w:t xml:space="preserve">   收到监理人报送的合理化建议后7天内审批完毕(</w:t>
      </w:r>
      <w:r>
        <w:rPr>
          <w:rFonts w:hint="eastAsia" w:ascii="宋体" w:hAnsi="宋体"/>
          <w:kern w:val="0"/>
          <w:sz w:val="24"/>
          <w:u w:val="single"/>
        </w:rPr>
        <w:t>执行通用条款)。</w:t>
      </w:r>
      <w:r>
        <w:rPr>
          <w:rFonts w:hint="eastAsia" w:ascii="宋体" w:hAnsi="宋体"/>
          <w:sz w:val="24"/>
          <w:u w:val="single"/>
        </w:rPr>
        <w:t xml:space="preserve">    </w:t>
      </w:r>
    </w:p>
    <w:p w14:paraId="7C506D9D">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承</w:t>
      </w:r>
      <w:bookmarkStart w:id="268" w:name="_Toc296944543"/>
      <w:bookmarkStart w:id="269" w:name="_Toc296346705"/>
      <w:bookmarkStart w:id="270" w:name="_Toc297216205"/>
      <w:bookmarkStart w:id="271" w:name="_Toc296891244"/>
      <w:bookmarkStart w:id="272" w:name="_Toc297123546"/>
      <w:bookmarkStart w:id="273" w:name="_Toc312678030"/>
      <w:bookmarkStart w:id="274" w:name="_Toc296347203"/>
      <w:bookmarkStart w:id="275" w:name="_Toc303539152"/>
      <w:bookmarkStart w:id="276" w:name="_Toc296891032"/>
      <w:bookmarkStart w:id="277" w:name="_Toc318581175"/>
      <w:bookmarkStart w:id="278" w:name="_Toc304295571"/>
      <w:bookmarkStart w:id="279" w:name="_Toc297048390"/>
      <w:bookmarkStart w:id="280" w:name="_Toc292559409"/>
      <w:bookmarkStart w:id="281" w:name="_Toc297120504"/>
      <w:bookmarkStart w:id="282" w:name="_Toc300934995"/>
      <w:bookmarkStart w:id="283" w:name="_Toc296503204"/>
      <w:bookmarkStart w:id="284" w:name="_Toc292559914"/>
      <w:bookmarkStart w:id="285" w:name="_Toc312677504"/>
      <w:r>
        <w:rPr>
          <w:rFonts w:hint="eastAsia" w:ascii="宋体" w:hAnsi="宋体"/>
          <w:sz w:val="24"/>
        </w:rPr>
        <w:t>包人提出的合理化建议降低了合同价格或者提高了工程经济效益的奖励的方法和金额为：</w:t>
      </w:r>
      <w:r>
        <w:rPr>
          <w:rFonts w:hint="eastAsia" w:ascii="宋体" w:hAnsi="宋体"/>
          <w:sz w:val="24"/>
          <w:u w:val="single"/>
        </w:rPr>
        <w:t xml:space="preserve">  /   </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32A8332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w:t>
      </w:r>
      <w:bookmarkStart w:id="286" w:name="_Toc312677507"/>
      <w:bookmarkStart w:id="287" w:name="_Toc296346700"/>
      <w:bookmarkStart w:id="288" w:name="_Toc303539154"/>
      <w:bookmarkStart w:id="289" w:name="_Toc300934997"/>
      <w:bookmarkStart w:id="290" w:name="_Toc296503199"/>
      <w:bookmarkStart w:id="291" w:name="_Toc296347198"/>
      <w:bookmarkStart w:id="292" w:name="_Toc296891027"/>
      <w:bookmarkStart w:id="293" w:name="_Toc297216207"/>
      <w:bookmarkStart w:id="294" w:name="_Toc292559404"/>
      <w:bookmarkStart w:id="295" w:name="_Toc297048385"/>
      <w:bookmarkStart w:id="296" w:name="_Toc292559909"/>
      <w:bookmarkStart w:id="297" w:name="_Toc304295574"/>
      <w:bookmarkStart w:id="298" w:name="_Toc297123548"/>
      <w:bookmarkStart w:id="299" w:name="_Toc312678033"/>
      <w:bookmarkStart w:id="300" w:name="_Toc296944538"/>
      <w:bookmarkStart w:id="301" w:name="_Toc297120499"/>
      <w:bookmarkStart w:id="302" w:name="_Toc296891239"/>
      <w:r>
        <w:rPr>
          <w:rFonts w:hint="eastAsia" w:ascii="宋体" w:hAnsi="宋体"/>
          <w:sz w:val="24"/>
        </w:rPr>
        <w:t>0.7 暂估价</w:t>
      </w: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14:paraId="7F249D6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暂</w:t>
      </w:r>
      <w:bookmarkStart w:id="303" w:name="_Toc312678034"/>
      <w:bookmarkStart w:id="304" w:name="_Toc318581176"/>
      <w:bookmarkStart w:id="305" w:name="_Toc312677508"/>
      <w:r>
        <w:rPr>
          <w:rFonts w:hint="eastAsia" w:ascii="宋体" w:hAnsi="宋体"/>
          <w:kern w:val="0"/>
          <w:sz w:val="24"/>
        </w:rPr>
        <w:t>估价材料和工程设备的明细详见附件11：《</w:t>
      </w:r>
      <w:r>
        <w:rPr>
          <w:rFonts w:hint="eastAsia" w:ascii="宋体" w:hAnsi="宋体"/>
          <w:sz w:val="24"/>
        </w:rPr>
        <w:t>暂估价一览表》</w:t>
      </w:r>
      <w:r>
        <w:rPr>
          <w:rFonts w:hint="eastAsia" w:ascii="宋体" w:hAnsi="宋体"/>
          <w:kern w:val="0"/>
          <w:sz w:val="24"/>
        </w:rPr>
        <w:t>。</w:t>
      </w:r>
    </w:p>
    <w:bookmarkEnd w:id="303"/>
    <w:bookmarkEnd w:id="304"/>
    <w:bookmarkEnd w:id="305"/>
    <w:p w14:paraId="163F7EC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10.7.1 依法必须招标的暂估价项目</w:t>
      </w:r>
    </w:p>
    <w:p w14:paraId="23A5414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对于依法必须招标的暂估价项目的确认和批准采取第</w:t>
      </w:r>
      <w:r>
        <w:rPr>
          <w:rFonts w:hint="eastAsia" w:ascii="宋体" w:hAnsi="宋体"/>
          <w:sz w:val="24"/>
          <w:u w:val="single"/>
        </w:rPr>
        <w:t xml:space="preserve">  2  </w:t>
      </w:r>
      <w:r>
        <w:rPr>
          <w:rFonts w:hint="eastAsia" w:ascii="宋体" w:hAnsi="宋体"/>
          <w:sz w:val="24"/>
        </w:rPr>
        <w:t>种方式确定,</w:t>
      </w:r>
      <w:r>
        <w:rPr>
          <w:rFonts w:hint="eastAsia" w:ascii="宋体" w:hAnsi="宋体"/>
          <w:sz w:val="24"/>
          <w:u w:val="single"/>
        </w:rPr>
        <w:t xml:space="preserve">并应按相关规定在安徽合肥公共资源交易中心进行二次招标。    </w:t>
      </w:r>
    </w:p>
    <w:p w14:paraId="164AC1B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10.7.2 不属于依法必须招标的暂估价项目</w:t>
      </w:r>
    </w:p>
    <w:p w14:paraId="4567B30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对于不属于依法必须招标的暂估价项目的确认和批准采取第</w:t>
      </w:r>
      <w:r>
        <w:rPr>
          <w:rFonts w:hint="eastAsia" w:ascii="宋体" w:hAnsi="宋体"/>
          <w:sz w:val="24"/>
          <w:u w:val="single"/>
        </w:rPr>
        <w:t xml:space="preserve">  1 </w:t>
      </w:r>
      <w:r>
        <w:rPr>
          <w:rFonts w:hint="eastAsia" w:ascii="宋体" w:hAnsi="宋体"/>
          <w:sz w:val="24"/>
        </w:rPr>
        <w:t xml:space="preserve"> 种方式确定。</w:t>
      </w:r>
    </w:p>
    <w:p w14:paraId="3DFC07E4">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第3种方式：</w:t>
      </w:r>
      <w:r>
        <w:rPr>
          <w:rFonts w:hint="eastAsia" w:ascii="宋体" w:hAnsi="宋体"/>
          <w:kern w:val="0"/>
          <w:sz w:val="24"/>
        </w:rPr>
        <w:t>承包人直接实施的暂估价项目</w:t>
      </w:r>
    </w:p>
    <w:p w14:paraId="32E313C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承包人直接实施的暂估价项目的约定：</w:t>
      </w:r>
      <w:r>
        <w:rPr>
          <w:rFonts w:hint="eastAsia" w:ascii="宋体" w:hAnsi="宋体"/>
          <w:sz w:val="24"/>
          <w:u w:val="single"/>
        </w:rPr>
        <w:t xml:space="preserve">    /    </w:t>
      </w:r>
    </w:p>
    <w:p w14:paraId="54E81CCD">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10.8 暂列金额</w:t>
      </w:r>
    </w:p>
    <w:p w14:paraId="54E21DF3">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7BD115C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06" w:name="_Toc351203643"/>
      <w:r>
        <w:rPr>
          <w:rFonts w:hint="eastAsia" w:ascii="宋体" w:hAnsi="宋体"/>
          <w:kern w:val="0"/>
          <w:sz w:val="24"/>
        </w:rPr>
        <w:t>11. 价格调整</w:t>
      </w:r>
      <w:bookmarkEnd w:id="306"/>
    </w:p>
    <w:p w14:paraId="6D3815E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11.1 市场价格波动引起的调整</w:t>
      </w:r>
    </w:p>
    <w:p w14:paraId="04AD1356">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kern w:val="0"/>
          <w:sz w:val="24"/>
        </w:rPr>
        <w:t>市场价格波动是否调整合同价格的约定：</w:t>
      </w:r>
      <w:r>
        <w:rPr>
          <w:rFonts w:hint="eastAsia" w:ascii="宋体" w:hAnsi="宋体"/>
          <w:sz w:val="24"/>
          <w:u w:val="single"/>
        </w:rPr>
        <w:t xml:space="preserve">  在本合同履行期间，</w:t>
      </w:r>
      <w:r>
        <w:rPr>
          <w:rFonts w:hint="eastAsia" w:ascii="宋体" w:hAnsi="宋体"/>
          <w:kern w:val="0"/>
          <w:sz w:val="24"/>
          <w:u w:val="single"/>
        </w:rPr>
        <w:t>市场价格波动时合同价格</w:t>
      </w:r>
      <w:r>
        <w:rPr>
          <w:rFonts w:hint="eastAsia" w:ascii="宋体" w:hAnsi="宋体"/>
          <w:sz w:val="24"/>
          <w:u w:val="single"/>
        </w:rPr>
        <w:t xml:space="preserve">不予调整。  </w:t>
      </w:r>
    </w:p>
    <w:p w14:paraId="0CFA8D7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因市场价格波动调整合同价格，采用以下第</w:t>
      </w:r>
      <w:r>
        <w:rPr>
          <w:rFonts w:hint="eastAsia" w:ascii="宋体" w:hAnsi="宋体"/>
          <w:sz w:val="24"/>
          <w:u w:val="single"/>
        </w:rPr>
        <w:t xml:space="preserve">  不采用  </w:t>
      </w:r>
      <w:r>
        <w:rPr>
          <w:rFonts w:hint="eastAsia" w:ascii="宋体" w:hAnsi="宋体"/>
          <w:sz w:val="24"/>
        </w:rPr>
        <w:t>种方式对合同价格进行调整：</w:t>
      </w:r>
    </w:p>
    <w:p w14:paraId="6703E38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第1种方式：采用价格指数进行价格调整。</w:t>
      </w:r>
    </w:p>
    <w:p w14:paraId="1A02EBCA">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关于各可调因子、定值和变值权重，以及基本价格指数及其来源的约定：</w:t>
      </w:r>
      <w:r>
        <w:rPr>
          <w:rFonts w:hint="eastAsia" w:ascii="宋体" w:hAnsi="宋体"/>
          <w:sz w:val="24"/>
          <w:u w:val="single"/>
        </w:rPr>
        <w:t xml:space="preserve">  不采用。 </w:t>
      </w:r>
    </w:p>
    <w:p w14:paraId="43D6E68F">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第2种方式：采用造价信息进行价格调整。</w:t>
      </w:r>
    </w:p>
    <w:p w14:paraId="54FC8CC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（2）关于基准价格的约定：</w:t>
      </w:r>
      <w:r>
        <w:rPr>
          <w:rFonts w:hint="eastAsia" w:ascii="宋体" w:hAnsi="宋体"/>
          <w:sz w:val="24"/>
          <w:u w:val="single"/>
        </w:rPr>
        <w:t xml:space="preserve">  不采用。   </w:t>
      </w:r>
    </w:p>
    <w:p w14:paraId="564EA42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专用合同条款</w:t>
      </w:r>
      <w:r>
        <w:rPr>
          <w:rFonts w:hint="eastAsia" w:ascii="宋体" w:hAnsi="宋体" w:cs="宋体"/>
          <w:sz w:val="24"/>
        </w:rPr>
        <w:t>①</w:t>
      </w:r>
      <w:r>
        <w:rPr>
          <w:rFonts w:hint="eastAsia" w:ascii="宋体" w:hAnsi="宋体"/>
          <w:sz w:val="24"/>
        </w:rPr>
        <w:t>承包人在已标价工程量清单或预算书中载明的材料单价低于基准价格的：专用合同条款合同履行期间材料单价涨幅以基准价格为基础超过</w:t>
      </w:r>
      <w:r>
        <w:rPr>
          <w:rFonts w:hint="eastAsia" w:ascii="宋体" w:hAnsi="宋体"/>
          <w:sz w:val="24"/>
          <w:u w:val="single"/>
        </w:rPr>
        <w:t xml:space="preserve">   </w:t>
      </w:r>
      <w:r>
        <w:rPr>
          <w:rFonts w:hint="eastAsia" w:ascii="宋体" w:hAnsi="宋体"/>
          <w:sz w:val="24"/>
        </w:rPr>
        <w:t>%时，或材料单价跌幅以已标价工程量清单或预算书中载明材料单价为基础超过</w:t>
      </w:r>
      <w:r>
        <w:rPr>
          <w:rFonts w:hint="eastAsia" w:ascii="宋体" w:hAnsi="宋体"/>
          <w:sz w:val="24"/>
          <w:u w:val="single"/>
        </w:rPr>
        <w:t xml:space="preserve">   </w:t>
      </w:r>
      <w:r>
        <w:rPr>
          <w:rFonts w:hint="eastAsia" w:ascii="宋体" w:hAnsi="宋体"/>
          <w:sz w:val="24"/>
        </w:rPr>
        <w:t>%时，其超过部分据实调整。</w:t>
      </w:r>
    </w:p>
    <w:p w14:paraId="102752B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cs="宋体"/>
          <w:sz w:val="24"/>
        </w:rPr>
        <w:t>②</w:t>
      </w:r>
      <w:r>
        <w:rPr>
          <w:rFonts w:hint="eastAsia"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 xml:space="preserve">   </w:t>
      </w:r>
      <w:r>
        <w:rPr>
          <w:rFonts w:hint="eastAsia" w:ascii="宋体" w:hAnsi="宋体"/>
          <w:sz w:val="24"/>
        </w:rPr>
        <w:t>%时，材料单价涨幅以已标价工程量清单或预算书中载明材料单价为基础超过</w:t>
      </w:r>
      <w:r>
        <w:rPr>
          <w:rFonts w:hint="eastAsia" w:ascii="宋体" w:hAnsi="宋体"/>
          <w:sz w:val="24"/>
          <w:u w:val="single"/>
        </w:rPr>
        <w:t xml:space="preserve">   </w:t>
      </w:r>
      <w:r>
        <w:rPr>
          <w:rFonts w:hint="eastAsia" w:ascii="宋体" w:hAnsi="宋体"/>
          <w:sz w:val="24"/>
        </w:rPr>
        <w:t>%时，其超过部分据实调整。</w:t>
      </w:r>
    </w:p>
    <w:p w14:paraId="03618A5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cs="宋体"/>
          <w:sz w:val="24"/>
        </w:rPr>
        <w:t>③</w:t>
      </w:r>
      <w:r>
        <w:rPr>
          <w:rFonts w:hint="eastAsia"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 xml:space="preserve">   </w:t>
      </w:r>
      <w:r>
        <w:rPr>
          <w:rFonts w:hint="eastAsia" w:ascii="宋体" w:hAnsi="宋体"/>
          <w:sz w:val="24"/>
        </w:rPr>
        <w:t>%时，其超过部分据实调整。</w:t>
      </w:r>
    </w:p>
    <w:p w14:paraId="364E70E9">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第3种方式：其他价格调整方式：</w:t>
      </w:r>
      <w:r>
        <w:rPr>
          <w:rFonts w:hint="eastAsia" w:ascii="宋体" w:hAnsi="宋体"/>
          <w:sz w:val="24"/>
          <w:u w:val="single"/>
        </w:rPr>
        <w:t xml:space="preserve">  /     </w:t>
      </w:r>
    </w:p>
    <w:bookmarkEnd w:id="244"/>
    <w:bookmarkEnd w:id="245"/>
    <w:bookmarkEnd w:id="246"/>
    <w:bookmarkEnd w:id="247"/>
    <w:bookmarkEnd w:id="248"/>
    <w:bookmarkEnd w:id="249"/>
    <w:p w14:paraId="126E559F">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07" w:name="_Toc296891245"/>
      <w:bookmarkStart w:id="308" w:name="_Toc296891033"/>
      <w:bookmarkStart w:id="309" w:name="_Toc296346706"/>
      <w:bookmarkStart w:id="310" w:name="_Toc297120505"/>
      <w:bookmarkStart w:id="311" w:name="_Toc296944544"/>
      <w:bookmarkStart w:id="312" w:name="_Toc296503205"/>
      <w:bookmarkStart w:id="313" w:name="_Toc297048391"/>
      <w:bookmarkStart w:id="314" w:name="_Toc292559410"/>
      <w:bookmarkStart w:id="315" w:name="_Toc296347204"/>
      <w:bookmarkStart w:id="316" w:name="_Toc292559915"/>
      <w:bookmarkStart w:id="317" w:name="_Toc351203644"/>
      <w:bookmarkStart w:id="318" w:name="_Toc297216211"/>
      <w:bookmarkStart w:id="319" w:name="_Toc300935002"/>
      <w:bookmarkStart w:id="320" w:name="_Toc312678040"/>
      <w:bookmarkStart w:id="321" w:name="_Toc304295579"/>
      <w:bookmarkStart w:id="322" w:name="_Toc303539159"/>
      <w:bookmarkStart w:id="323" w:name="_Toc297123552"/>
      <w:r>
        <w:rPr>
          <w:rFonts w:hint="eastAsia" w:ascii="宋体" w:hAnsi="宋体"/>
          <w:kern w:val="0"/>
          <w:sz w:val="24"/>
        </w:rPr>
        <w:t xml:space="preserve">12. </w:t>
      </w:r>
      <w:bookmarkEnd w:id="307"/>
      <w:bookmarkEnd w:id="308"/>
      <w:bookmarkEnd w:id="309"/>
      <w:bookmarkEnd w:id="310"/>
      <w:bookmarkEnd w:id="311"/>
      <w:bookmarkEnd w:id="312"/>
      <w:bookmarkEnd w:id="313"/>
      <w:bookmarkEnd w:id="314"/>
      <w:bookmarkEnd w:id="315"/>
      <w:bookmarkEnd w:id="316"/>
      <w:r>
        <w:rPr>
          <w:rFonts w:hint="eastAsia" w:ascii="宋体" w:hAnsi="宋体"/>
          <w:kern w:val="0"/>
          <w:sz w:val="24"/>
        </w:rPr>
        <w:t>合同价格、计量与支付</w:t>
      </w:r>
      <w:bookmarkEnd w:id="317"/>
    </w:p>
    <w:bookmarkEnd w:id="318"/>
    <w:bookmarkEnd w:id="319"/>
    <w:bookmarkEnd w:id="320"/>
    <w:bookmarkEnd w:id="321"/>
    <w:bookmarkEnd w:id="322"/>
    <w:bookmarkEnd w:id="323"/>
    <w:p w14:paraId="5095CAC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12.1 合同价格形式：</w:t>
      </w:r>
      <w:r>
        <w:rPr>
          <w:rFonts w:hint="eastAsia" w:ascii="宋体" w:hAnsi="宋体"/>
          <w:b/>
          <w:sz w:val="24"/>
          <w:u w:val="single"/>
        </w:rPr>
        <w:t xml:space="preserve">  总价合同。 </w:t>
      </w:r>
    </w:p>
    <w:p w14:paraId="45D52332">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1、单价合同。</w:t>
      </w:r>
    </w:p>
    <w:p w14:paraId="4337E39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综合单价包含的风险范围：</w:t>
      </w:r>
      <w:r>
        <w:rPr>
          <w:rFonts w:hint="eastAsia" w:ascii="宋体" w:hAnsi="宋体"/>
          <w:sz w:val="24"/>
          <w:u w:val="single"/>
        </w:rPr>
        <w:t xml:space="preserve">  /     </w:t>
      </w:r>
    </w:p>
    <w:p w14:paraId="0863EA7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风险费用的计算方法：</w:t>
      </w:r>
      <w:r>
        <w:rPr>
          <w:rFonts w:hint="eastAsia" w:ascii="宋体" w:hAnsi="宋体"/>
          <w:sz w:val="24"/>
          <w:u w:val="single"/>
        </w:rPr>
        <w:t xml:space="preserve">  /     </w:t>
      </w:r>
    </w:p>
    <w:p w14:paraId="4B2439D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风险范围以外合同价格的调整方法：</w:t>
      </w:r>
      <w:r>
        <w:rPr>
          <w:rFonts w:hint="eastAsia" w:ascii="宋体" w:hAnsi="宋体"/>
          <w:sz w:val="24"/>
          <w:u w:val="single"/>
        </w:rPr>
        <w:t xml:space="preserve">  /     </w:t>
      </w:r>
    </w:p>
    <w:p w14:paraId="5738CB4D">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2、总价合同。</w:t>
      </w:r>
    </w:p>
    <w:p w14:paraId="0483C20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总价包含的风险范围：</w:t>
      </w:r>
      <w:r>
        <w:rPr>
          <w:rFonts w:hint="eastAsia" w:ascii="宋体" w:hAnsi="宋体"/>
          <w:sz w:val="24"/>
          <w:u w:val="single"/>
        </w:rPr>
        <w:t xml:space="preserve">  人工、材料、机械费用的市场价格变化，以及除不可抗力以外的其它风险。  </w:t>
      </w:r>
    </w:p>
    <w:p w14:paraId="3C78095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风险费用的计算方法：</w:t>
      </w:r>
      <w:r>
        <w:rPr>
          <w:rFonts w:hint="eastAsia" w:ascii="宋体" w:hAnsi="宋体"/>
          <w:sz w:val="24"/>
          <w:u w:val="single"/>
        </w:rPr>
        <w:t xml:space="preserve">  承包人在投标报价时已经考虑风险费用，不再另行计取。 </w:t>
      </w:r>
    </w:p>
    <w:p w14:paraId="4E0D457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风险范围以外合同价格的调整方法：</w:t>
      </w:r>
      <w:r>
        <w:rPr>
          <w:rFonts w:hint="eastAsia" w:ascii="宋体" w:hAnsi="宋体"/>
          <w:sz w:val="24"/>
          <w:u w:val="single"/>
        </w:rPr>
        <w:t xml:space="preserve">   见补充条款。   </w:t>
      </w:r>
    </w:p>
    <w:p w14:paraId="5598ACF6">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3、其他价格方式：</w:t>
      </w:r>
      <w:r>
        <w:rPr>
          <w:rFonts w:hint="eastAsia" w:ascii="宋体" w:hAnsi="宋体"/>
          <w:sz w:val="24"/>
          <w:u w:val="single"/>
        </w:rPr>
        <w:t xml:space="preserve">  /     </w:t>
      </w:r>
    </w:p>
    <w:p w14:paraId="7B3EA6F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bookmarkStart w:id="324" w:name="_Toc296503207"/>
      <w:bookmarkStart w:id="325" w:name="_Toc292559412"/>
      <w:bookmarkStart w:id="326" w:name="_Toc296891247"/>
      <w:bookmarkStart w:id="327" w:name="_Toc296346708"/>
      <w:bookmarkStart w:id="328" w:name="_Toc296347206"/>
      <w:bookmarkStart w:id="329" w:name="_Toc297048393"/>
      <w:bookmarkStart w:id="330" w:name="_Toc297120507"/>
      <w:bookmarkStart w:id="331" w:name="_Toc296944546"/>
      <w:bookmarkStart w:id="332" w:name="_Toc296891035"/>
      <w:bookmarkStart w:id="333" w:name="_Toc292559917"/>
      <w:r>
        <w:rPr>
          <w:rFonts w:hint="eastAsia" w:ascii="宋体" w:hAnsi="宋体"/>
          <w:sz w:val="24"/>
        </w:rPr>
        <w:t>12.2 预付款</w:t>
      </w:r>
    </w:p>
    <w:p w14:paraId="2D38B84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12.2.1 预付款的支付</w:t>
      </w:r>
    </w:p>
    <w:p w14:paraId="46A5B66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预付款支付比例或金额：</w:t>
      </w:r>
      <w:r>
        <w:rPr>
          <w:rFonts w:hint="eastAsia" w:ascii="宋体" w:hAnsi="宋体"/>
          <w:sz w:val="24"/>
          <w:u w:val="single"/>
        </w:rPr>
        <w:t xml:space="preserve">  不采用。   </w:t>
      </w:r>
    </w:p>
    <w:p w14:paraId="6B69C3B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预付款支付期限：</w:t>
      </w:r>
      <w:r>
        <w:rPr>
          <w:rFonts w:hint="eastAsia" w:ascii="宋体" w:hAnsi="宋体"/>
          <w:sz w:val="24"/>
          <w:u w:val="single"/>
        </w:rPr>
        <w:t xml:space="preserve">  不采用。   </w:t>
      </w:r>
    </w:p>
    <w:p w14:paraId="3D8616B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预付款扣回的方式：</w:t>
      </w:r>
      <w:r>
        <w:rPr>
          <w:rFonts w:hint="eastAsia" w:ascii="宋体" w:hAnsi="宋体"/>
          <w:sz w:val="24"/>
          <w:u w:val="single"/>
        </w:rPr>
        <w:t xml:space="preserve">  不采用。   </w:t>
      </w:r>
    </w:p>
    <w:p w14:paraId="58A172A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12.2.2 预付款担保</w:t>
      </w:r>
    </w:p>
    <w:p w14:paraId="7A3A257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承包人提交预付款担保的期限：</w:t>
      </w:r>
      <w:r>
        <w:rPr>
          <w:rFonts w:hint="eastAsia" w:ascii="宋体" w:hAnsi="宋体"/>
          <w:sz w:val="24"/>
          <w:u w:val="single"/>
        </w:rPr>
        <w:t xml:space="preserve">  不采用。   </w:t>
      </w:r>
    </w:p>
    <w:p w14:paraId="49BE033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预付款担保的形式为：</w:t>
      </w:r>
      <w:r>
        <w:rPr>
          <w:rFonts w:hint="eastAsia" w:ascii="宋体" w:hAnsi="宋体"/>
          <w:sz w:val="24"/>
          <w:u w:val="single"/>
        </w:rPr>
        <w:t xml:space="preserve">  不采用。   </w:t>
      </w:r>
    </w:p>
    <w:bookmarkEnd w:id="324"/>
    <w:bookmarkEnd w:id="325"/>
    <w:bookmarkEnd w:id="326"/>
    <w:bookmarkEnd w:id="327"/>
    <w:bookmarkEnd w:id="328"/>
    <w:bookmarkEnd w:id="329"/>
    <w:bookmarkEnd w:id="330"/>
    <w:bookmarkEnd w:id="331"/>
    <w:bookmarkEnd w:id="332"/>
    <w:bookmarkEnd w:id="333"/>
    <w:p w14:paraId="30DDB9EE">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12.3 计量</w:t>
      </w:r>
    </w:p>
    <w:p w14:paraId="7E4AEC3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12.3.1 计量原则</w:t>
      </w:r>
    </w:p>
    <w:p w14:paraId="06D6381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工程量计算规则：</w:t>
      </w:r>
      <w:r>
        <w:rPr>
          <w:rFonts w:hint="eastAsia" w:ascii="宋体" w:hAnsi="宋体"/>
          <w:sz w:val="24"/>
          <w:u w:val="single"/>
        </w:rPr>
        <w:t xml:space="preserve">  按招标文件、招标工程量清单及控制价所采用的工程量清单计价规范及配套文件等执行。  </w:t>
      </w:r>
    </w:p>
    <w:p w14:paraId="0EF840A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12.3.2 计量周期</w:t>
      </w:r>
    </w:p>
    <w:p w14:paraId="2AE9036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关于计量周期的约定：</w:t>
      </w:r>
      <w:r>
        <w:rPr>
          <w:rFonts w:hint="eastAsia" w:ascii="宋体" w:hAnsi="宋体"/>
          <w:sz w:val="24"/>
          <w:u w:val="single"/>
        </w:rPr>
        <w:t xml:space="preserve">  工程量的计量按月进行(</w:t>
      </w:r>
      <w:r>
        <w:rPr>
          <w:rFonts w:hint="eastAsia" w:ascii="宋体" w:hAnsi="宋体"/>
          <w:kern w:val="0"/>
          <w:sz w:val="24"/>
          <w:u w:val="single"/>
        </w:rPr>
        <w:t>执行通用条款)。</w:t>
      </w:r>
      <w:r>
        <w:rPr>
          <w:rFonts w:hint="eastAsia" w:ascii="宋体" w:hAnsi="宋体"/>
          <w:sz w:val="24"/>
          <w:u w:val="single"/>
        </w:rPr>
        <w:t xml:space="preserve">   </w:t>
      </w:r>
    </w:p>
    <w:p w14:paraId="759DCC2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12.3.3 单价合同的计量</w:t>
      </w:r>
    </w:p>
    <w:p w14:paraId="7A28CFD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关于单价合同计量的约定：</w:t>
      </w:r>
      <w:r>
        <w:rPr>
          <w:rFonts w:hint="eastAsia" w:ascii="宋体" w:hAnsi="宋体"/>
          <w:sz w:val="24"/>
          <w:u w:val="single"/>
        </w:rPr>
        <w:t xml:space="preserve">  /     </w:t>
      </w:r>
    </w:p>
    <w:p w14:paraId="6CE2F93B">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12.3.4 总价合同的计量</w:t>
      </w:r>
    </w:p>
    <w:p w14:paraId="0429736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关于总价合同计量的约定：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14D6E1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12.3.5总价合同采用支付分解表计量支付的，是否适用第</w:t>
      </w:r>
      <w:r>
        <w:rPr>
          <w:rFonts w:hint="eastAsia" w:ascii="宋体" w:hAnsi="宋体"/>
          <w:kern w:val="0"/>
          <w:sz w:val="24"/>
        </w:rPr>
        <w:t xml:space="preserve">12.3.4 </w:t>
      </w:r>
      <w:r>
        <w:rPr>
          <w:rFonts w:hint="eastAsia" w:ascii="宋体" w:hAnsi="宋体"/>
          <w:sz w:val="24"/>
        </w:rPr>
        <w:t>项</w:t>
      </w:r>
      <w:r>
        <w:rPr>
          <w:rFonts w:hint="eastAsia" w:ascii="宋体" w:hAnsi="宋体"/>
          <w:kern w:val="0"/>
          <w:sz w:val="24"/>
        </w:rPr>
        <w:t>〔总价合同的计量〕</w:t>
      </w:r>
      <w:r>
        <w:rPr>
          <w:rFonts w:hint="eastAsia" w:ascii="宋体" w:hAnsi="宋体"/>
          <w:sz w:val="24"/>
        </w:rPr>
        <w:t>约定进行计量：</w:t>
      </w:r>
      <w:r>
        <w:rPr>
          <w:rFonts w:hint="eastAsia" w:ascii="宋体" w:hAnsi="宋体"/>
          <w:sz w:val="24"/>
          <w:u w:val="single"/>
        </w:rPr>
        <w:t xml:space="preserve">  不采用。  </w:t>
      </w:r>
    </w:p>
    <w:p w14:paraId="3567238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12.3.6 其他价格形式合同的计量</w:t>
      </w:r>
    </w:p>
    <w:p w14:paraId="512B56B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其他价格形式的计量方式和程序：</w:t>
      </w:r>
      <w:r>
        <w:rPr>
          <w:rFonts w:hint="eastAsia" w:ascii="宋体" w:hAnsi="宋体"/>
          <w:sz w:val="24"/>
          <w:u w:val="single"/>
        </w:rPr>
        <w:t xml:space="preserve">  不采用。   </w:t>
      </w:r>
    </w:p>
    <w:p w14:paraId="3B3F9CFD">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12.4 工程进度款支付</w:t>
      </w:r>
    </w:p>
    <w:p w14:paraId="500AB7F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bookmarkStart w:id="334" w:name="_Toc296346712"/>
      <w:bookmarkStart w:id="335" w:name="_Toc296891251"/>
      <w:bookmarkStart w:id="336" w:name="_Toc297216215"/>
      <w:bookmarkStart w:id="337" w:name="_Toc292559416"/>
      <w:bookmarkStart w:id="338" w:name="_Toc297123556"/>
      <w:bookmarkStart w:id="339" w:name="_Toc297120511"/>
      <w:bookmarkStart w:id="340" w:name="_Toc296891039"/>
      <w:bookmarkStart w:id="341" w:name="_Toc292559921"/>
      <w:bookmarkStart w:id="342" w:name="_Toc296503211"/>
      <w:bookmarkStart w:id="343" w:name="_Toc296944550"/>
      <w:bookmarkStart w:id="344" w:name="_Toc300935006"/>
      <w:bookmarkStart w:id="345" w:name="_Toc296347210"/>
      <w:bookmarkStart w:id="346" w:name="_Toc303539163"/>
      <w:bookmarkStart w:id="347" w:name="_Toc297048397"/>
      <w:r>
        <w:rPr>
          <w:rFonts w:hint="eastAsia" w:ascii="宋体" w:hAnsi="宋体"/>
          <w:sz w:val="24"/>
        </w:rPr>
        <w:t>12.4.1 付款周期</w:t>
      </w:r>
    </w:p>
    <w:p w14:paraId="3BEC6E03">
      <w:pPr>
        <w:pStyle w:val="77"/>
        <w:tabs>
          <w:tab w:val="left" w:pos="360"/>
        </w:tabs>
        <w:adjustRightInd w:val="0"/>
        <w:snapToGrid w:val="0"/>
        <w:spacing w:line="360" w:lineRule="auto"/>
        <w:ind w:right="178" w:rightChars="85" w:firstLine="480" w:firstLineChars="200"/>
        <w:rPr>
          <w:rFonts w:hint="eastAsia" w:ascii="宋体" w:hAnsi="宋体"/>
          <w:b/>
          <w:sz w:val="24"/>
          <w:highlight w:val="yellow"/>
          <w:lang w:val="en-US" w:eastAsia="zh-CN"/>
        </w:rPr>
      </w:pPr>
      <w:r>
        <w:rPr>
          <w:rFonts w:hint="eastAsia" w:ascii="宋体" w:hAnsi="宋体"/>
          <w:sz w:val="24"/>
        </w:rPr>
        <w:t>关于付款周期的约定：</w:t>
      </w:r>
    </w:p>
    <w:p w14:paraId="47D65412">
      <w:pPr>
        <w:adjustRightInd w:val="0"/>
        <w:snapToGrid w:val="0"/>
        <w:ind w:firstLine="961" w:firstLineChars="400"/>
        <w:jc w:val="left"/>
        <w:rPr>
          <w:rFonts w:hint="eastAsia" w:ascii="宋体" w:hAnsi="宋体" w:eastAsia="宋体" w:cs="宋体"/>
          <w:b/>
          <w:bCs w:val="0"/>
          <w:sz w:val="28"/>
          <w:szCs w:val="28"/>
        </w:rPr>
      </w:pPr>
      <w:r>
        <w:rPr>
          <w:rFonts w:hint="eastAsia" w:ascii="宋体" w:hAnsi="宋体" w:eastAsia="宋体" w:cs="宋体"/>
          <w:b/>
          <w:bCs w:val="0"/>
          <w:sz w:val="24"/>
          <w:szCs w:val="24"/>
        </w:rPr>
        <w:t>工程竣工验收合格后付至</w:t>
      </w:r>
      <w:r>
        <w:rPr>
          <w:rFonts w:hint="eastAsia" w:ascii="宋体" w:hAnsi="宋体" w:eastAsia="宋体" w:cs="宋体"/>
          <w:b/>
          <w:bCs w:val="0"/>
          <w:sz w:val="24"/>
          <w:szCs w:val="24"/>
          <w:lang w:val="en-US" w:eastAsia="zh-CN"/>
        </w:rPr>
        <w:t>已完工程量</w:t>
      </w:r>
      <w:r>
        <w:rPr>
          <w:rFonts w:hint="eastAsia" w:ascii="宋体" w:hAnsi="宋体" w:eastAsia="宋体" w:cs="宋体"/>
          <w:b/>
          <w:bCs w:val="0"/>
          <w:sz w:val="24"/>
          <w:szCs w:val="24"/>
        </w:rPr>
        <w:t>的8</w:t>
      </w:r>
      <w:r>
        <w:rPr>
          <w:rFonts w:hint="eastAsia" w:ascii="宋体" w:hAnsi="宋体" w:eastAsia="宋体" w:cs="宋体"/>
          <w:b/>
          <w:bCs w:val="0"/>
          <w:sz w:val="24"/>
          <w:szCs w:val="24"/>
          <w:lang w:val="en-US" w:eastAsia="zh-CN"/>
        </w:rPr>
        <w:t>5</w:t>
      </w:r>
      <w:r>
        <w:rPr>
          <w:rFonts w:hint="eastAsia" w:ascii="宋体" w:hAnsi="宋体" w:eastAsia="宋体" w:cs="宋体"/>
          <w:b/>
          <w:bCs w:val="0"/>
          <w:sz w:val="24"/>
          <w:szCs w:val="24"/>
        </w:rPr>
        <w:t>%，最终审核完成后三个月内支付至最终审定价款的97%；余款3%作为质保金，待质量缺陷责任期（2年）满且中标人完全履行了保修义务质量回访合格后一次付清(无息)</w:t>
      </w:r>
      <w:r>
        <w:rPr>
          <w:rFonts w:hint="eastAsia" w:ascii="宋体" w:hAnsi="宋体" w:eastAsia="宋体" w:cs="宋体"/>
          <w:b/>
          <w:bCs w:val="0"/>
          <w:sz w:val="28"/>
          <w:szCs w:val="28"/>
        </w:rPr>
        <w:t>。</w:t>
      </w:r>
    </w:p>
    <w:p w14:paraId="6A29A4F0">
      <w:pPr>
        <w:pStyle w:val="77"/>
        <w:tabs>
          <w:tab w:val="left" w:pos="360"/>
        </w:tabs>
        <w:adjustRightInd w:val="0"/>
        <w:snapToGrid w:val="0"/>
        <w:spacing w:line="360" w:lineRule="auto"/>
        <w:ind w:right="178" w:rightChars="85" w:firstLine="471" w:firstLineChars="196"/>
        <w:rPr>
          <w:rFonts w:hint="eastAsia" w:ascii="宋体" w:hAnsi="宋体"/>
          <w:b/>
          <w:sz w:val="24"/>
          <w:highlight w:val="yellow"/>
          <w:lang w:val="en-US" w:eastAsia="zh-CN"/>
        </w:rPr>
      </w:pPr>
    </w:p>
    <w:p w14:paraId="602F4CE1">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12.4.2 进度付款申请单的编制</w:t>
      </w:r>
    </w:p>
    <w:p w14:paraId="593DFBA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关于进度付款申请单编制的约定：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3E2EFF5E">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sz w:val="24"/>
        </w:rPr>
        <w:t>2.4.3 进度付款申请单的提交</w:t>
      </w:r>
    </w:p>
    <w:p w14:paraId="7AF0FDA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（1）单价合同进度付款申请单提交的约定：</w:t>
      </w:r>
      <w:r>
        <w:rPr>
          <w:rFonts w:hint="eastAsia" w:ascii="宋体" w:hAnsi="宋体"/>
          <w:sz w:val="24"/>
          <w:u w:val="single"/>
        </w:rPr>
        <w:t xml:space="preserve">   /     </w:t>
      </w:r>
    </w:p>
    <w:p w14:paraId="3A86E87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（2）总价合同进度付款申请单提交的约定：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F2F2C7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（3）其他价格形式合同进度付款申请单提交的约定：</w:t>
      </w:r>
      <w:r>
        <w:rPr>
          <w:rFonts w:hint="eastAsia" w:ascii="宋体" w:hAnsi="宋体"/>
          <w:sz w:val="24"/>
          <w:u w:val="single"/>
        </w:rPr>
        <w:t xml:space="preserve">   /     </w:t>
      </w:r>
    </w:p>
    <w:p w14:paraId="5EB09311">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12.4.4 进度款审核和支付</w:t>
      </w:r>
    </w:p>
    <w:p w14:paraId="33C598D0">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（1）监理人审查并报送发包人的期限：</w:t>
      </w:r>
      <w:r>
        <w:rPr>
          <w:rFonts w:hint="eastAsia" w:ascii="宋体" w:hAnsi="宋体"/>
          <w:sz w:val="24"/>
          <w:u w:val="single"/>
        </w:rPr>
        <w:t xml:space="preserve">  收到承包人进度付款申请单以及相关资料后7天内完成审查并报送发包人(</w:t>
      </w:r>
      <w:r>
        <w:rPr>
          <w:rFonts w:hint="eastAsia" w:ascii="宋体" w:hAnsi="宋体"/>
          <w:kern w:val="0"/>
          <w:sz w:val="24"/>
          <w:u w:val="single"/>
        </w:rPr>
        <w:t>执行通用条款)。</w:t>
      </w:r>
      <w:r>
        <w:rPr>
          <w:rFonts w:hint="eastAsia" w:ascii="宋体" w:hAnsi="宋体"/>
          <w:sz w:val="24"/>
          <w:u w:val="single"/>
        </w:rPr>
        <w:t xml:space="preserve">    </w:t>
      </w:r>
    </w:p>
    <w:p w14:paraId="0B55C20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发包人完成审批并签发进度款支付证书的期限：</w:t>
      </w:r>
      <w:r>
        <w:rPr>
          <w:rFonts w:hint="eastAsia" w:ascii="宋体" w:hAnsi="宋体"/>
          <w:sz w:val="24"/>
          <w:u w:val="single"/>
        </w:rPr>
        <w:t xml:space="preserve">  应在收到监理人报送的进度付款申请单及相关资料后7天内</w:t>
      </w:r>
      <w:r>
        <w:rPr>
          <w:rFonts w:hint="eastAsia" w:ascii="宋体" w:hAnsi="宋体"/>
          <w:kern w:val="0"/>
          <w:sz w:val="24"/>
          <w:u w:val="single"/>
        </w:rPr>
        <w:t>（执行通用条款）。</w:t>
      </w:r>
      <w:r>
        <w:rPr>
          <w:rFonts w:hint="eastAsia" w:ascii="宋体" w:hAnsi="宋体"/>
          <w:sz w:val="24"/>
          <w:u w:val="single"/>
        </w:rPr>
        <w:t xml:space="preserve">   </w:t>
      </w:r>
    </w:p>
    <w:p w14:paraId="70254EE2">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（2）发包人支付进度款的期限：</w:t>
      </w:r>
      <w:r>
        <w:rPr>
          <w:rFonts w:hint="eastAsia" w:ascii="宋体" w:hAnsi="宋体"/>
          <w:sz w:val="24"/>
          <w:u w:val="single"/>
        </w:rPr>
        <w:t xml:space="preserve">  发包人应在进度款支付证书或临时进度款支付证书签发后14天内完成支付(执行通用条款)。   </w:t>
      </w:r>
    </w:p>
    <w:p w14:paraId="6A92AB8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发包人逾期支付进度款的违约金的计算方式：</w:t>
      </w:r>
      <w:r>
        <w:rPr>
          <w:rFonts w:hint="eastAsia" w:ascii="宋体" w:hAnsi="宋体"/>
          <w:sz w:val="24"/>
          <w:u w:val="single"/>
        </w:rPr>
        <w:t xml:space="preserve">  应按照中国人民银行发布的同期同类贷款基准利率支付违约金(执行通用条款)。   </w:t>
      </w:r>
    </w:p>
    <w:p w14:paraId="668D3C7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12.4.6 支付分解表的编制</w:t>
      </w:r>
    </w:p>
    <w:p w14:paraId="4A6EED8F">
      <w:pPr>
        <w:pStyle w:val="77"/>
        <w:tabs>
          <w:tab w:val="left" w:pos="360"/>
        </w:tabs>
        <w:adjustRightInd w:val="0"/>
        <w:snapToGrid w:val="0"/>
        <w:spacing w:line="360" w:lineRule="auto"/>
        <w:ind w:right="178" w:rightChars="85" w:firstLine="480" w:firstLineChars="200"/>
        <w:outlineLvl w:val="2"/>
        <w:rPr>
          <w:rFonts w:hint="eastAsia" w:ascii="宋体" w:hAnsi="宋体"/>
          <w:sz w:val="24"/>
        </w:rPr>
      </w:pPr>
      <w:r>
        <w:rPr>
          <w:rFonts w:hint="eastAsia" w:ascii="宋体" w:hAnsi="宋体"/>
          <w:sz w:val="24"/>
        </w:rPr>
        <w:t>2、总价合同支付分解表的编制与审批：</w:t>
      </w:r>
      <w:r>
        <w:rPr>
          <w:rFonts w:hint="eastAsia" w:ascii="宋体" w:hAnsi="宋体"/>
          <w:sz w:val="24"/>
          <w:u w:val="single"/>
        </w:rPr>
        <w:t xml:space="preserve">    /     </w:t>
      </w:r>
    </w:p>
    <w:p w14:paraId="4CAE89B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3、单价合同的总价项目支付分解表的编制与审批：</w:t>
      </w:r>
      <w:r>
        <w:rPr>
          <w:rFonts w:hint="eastAsia" w:ascii="宋体" w:hAnsi="宋体"/>
          <w:sz w:val="24"/>
          <w:u w:val="single"/>
        </w:rPr>
        <w:t xml:space="preserve">    /     </w:t>
      </w:r>
    </w:p>
    <w:p w14:paraId="0644AF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12.4.7农民工工资管理</w:t>
      </w:r>
    </w:p>
    <w:p w14:paraId="01A84C1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1、本工程农民工工资实行专用账户管理，承包人设立的专用账户开户行为：</w:t>
      </w:r>
      <w:r>
        <w:rPr>
          <w:rFonts w:hint="eastAsia" w:ascii="宋体" w:hAnsi="宋体"/>
          <w:sz w:val="24"/>
          <w:u w:val="single"/>
        </w:rPr>
        <w:t xml:space="preserve">         </w:t>
      </w:r>
      <w:r>
        <w:rPr>
          <w:rFonts w:hint="eastAsia" w:ascii="宋体" w:hAnsi="宋体"/>
          <w:sz w:val="24"/>
        </w:rPr>
        <w:t>，账号：</w:t>
      </w:r>
      <w:r>
        <w:rPr>
          <w:rFonts w:hint="eastAsia" w:ascii="宋体" w:hAnsi="宋体"/>
          <w:sz w:val="24"/>
          <w:u w:val="single"/>
        </w:rPr>
        <w:t xml:space="preserve">        </w:t>
      </w:r>
      <w:r>
        <w:rPr>
          <w:rFonts w:hint="eastAsia" w:ascii="宋体" w:hAnsi="宋体"/>
          <w:sz w:val="24"/>
        </w:rPr>
        <w:t>。</w:t>
      </w:r>
    </w:p>
    <w:p w14:paraId="56F925A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2、本工程工资性工程款</w:t>
      </w:r>
      <w:r>
        <w:rPr>
          <w:rFonts w:hint="eastAsia" w:ascii="宋体" w:hAnsi="宋体"/>
          <w:sz w:val="24"/>
          <w:u w:val="single"/>
        </w:rPr>
        <w:t xml:space="preserve">       </w:t>
      </w:r>
      <w:r>
        <w:rPr>
          <w:rFonts w:hint="eastAsia" w:ascii="宋体" w:hAnsi="宋体"/>
          <w:sz w:val="24"/>
        </w:rPr>
        <w:t>元（相应的最低工资标准乘建筑面积）；其中工资性工程预付款</w:t>
      </w:r>
      <w:r>
        <w:rPr>
          <w:rFonts w:hint="eastAsia" w:ascii="宋体" w:hAnsi="宋体"/>
          <w:sz w:val="24"/>
          <w:u w:val="single"/>
        </w:rPr>
        <w:t xml:space="preserve">       </w:t>
      </w:r>
      <w:r>
        <w:rPr>
          <w:rFonts w:hint="eastAsia" w:ascii="宋体" w:hAnsi="宋体"/>
          <w:sz w:val="24"/>
        </w:rPr>
        <w:t>元。(工资性工程款除月工期)</w:t>
      </w:r>
    </w:p>
    <w:p w14:paraId="35B3B13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3、发包人在监理人签发开工报告前，将工资性工程预付款转入承包人开立的农民工工资专用账户。工程开工后第一个月支付工资性工程进度款起，分三个月扣回工资性工程预付款。</w:t>
      </w:r>
    </w:p>
    <w:p w14:paraId="129000C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4、发包人于每月25日前将工资性工程进度款转入农民工工资专用账户。 </w:t>
      </w:r>
    </w:p>
    <w:p w14:paraId="54BE31A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 xml:space="preserve">5、承包人每月25日前上报本工程农民工工资清单，每月10日前委托开设农民工工资专用账户的银行支付农民工工资。 </w:t>
      </w:r>
    </w:p>
    <w:p w14:paraId="09154D0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6、工程竣工后，经项目部农民工维权组确认无农民工工资拖欠后，发、承双方办理农民工工资专用账户撤销手续，农民工工资专用账户余额划至本合同约定的承包人账户。</w:t>
      </w:r>
    </w:p>
    <w:bookmarkEnd w:id="250"/>
    <w:p w14:paraId="0435673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48" w:name="_Toc351203645"/>
      <w:bookmarkStart w:id="349" w:name="_Toc296944558"/>
      <w:bookmarkStart w:id="350" w:name="_Toc296891259"/>
      <w:bookmarkStart w:id="351" w:name="_Toc297120519"/>
      <w:bookmarkStart w:id="352" w:name="_Toc304295593"/>
      <w:bookmarkStart w:id="353" w:name="_Toc296891047"/>
      <w:bookmarkStart w:id="354" w:name="_Toc296503219"/>
      <w:bookmarkStart w:id="355" w:name="_Toc300935015"/>
      <w:bookmarkStart w:id="356" w:name="_Toc303539172"/>
      <w:bookmarkStart w:id="357" w:name="_Toc312678053"/>
      <w:bookmarkStart w:id="358" w:name="_Toc292559929"/>
      <w:bookmarkStart w:id="359" w:name="_Toc296346720"/>
      <w:bookmarkStart w:id="360" w:name="_Toc297216223"/>
      <w:bookmarkStart w:id="361" w:name="_Toc292559424"/>
      <w:bookmarkStart w:id="362" w:name="_Toc297123564"/>
      <w:bookmarkStart w:id="363" w:name="_Toc297048405"/>
      <w:bookmarkStart w:id="364" w:name="_Toc296347218"/>
      <w:r>
        <w:rPr>
          <w:rFonts w:hint="eastAsia" w:ascii="宋体" w:hAnsi="宋体"/>
          <w:kern w:val="0"/>
          <w:sz w:val="24"/>
        </w:rPr>
        <w:t>13. 验收和工程试车</w:t>
      </w:r>
      <w:bookmarkEnd w:id="348"/>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5C42D28">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13.1 分部分项工程验收</w:t>
      </w:r>
    </w:p>
    <w:p w14:paraId="40D15FB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13.1.2监理人不能按时进行验收时，应提前</w:t>
      </w:r>
      <w:r>
        <w:rPr>
          <w:rFonts w:hint="eastAsia" w:ascii="宋体" w:hAnsi="宋体"/>
          <w:sz w:val="24"/>
          <w:u w:val="single"/>
        </w:rPr>
        <w:t xml:space="preserve">  24(</w:t>
      </w:r>
      <w:r>
        <w:rPr>
          <w:rFonts w:hint="eastAsia" w:ascii="宋体" w:hAnsi="宋体"/>
          <w:kern w:val="0"/>
          <w:sz w:val="24"/>
          <w:u w:val="single"/>
        </w:rPr>
        <w:t xml:space="preserve">执行通用条款) </w:t>
      </w:r>
      <w:r>
        <w:rPr>
          <w:rFonts w:hint="eastAsia" w:ascii="宋体" w:hAnsi="宋体"/>
          <w:sz w:val="24"/>
          <w:u w:val="single"/>
        </w:rPr>
        <w:t xml:space="preserve"> </w:t>
      </w:r>
      <w:r>
        <w:rPr>
          <w:rFonts w:hint="eastAsia" w:ascii="宋体" w:hAnsi="宋体"/>
          <w:sz w:val="24"/>
        </w:rPr>
        <w:t>小时提交书面延期要求。</w:t>
      </w:r>
    </w:p>
    <w:p w14:paraId="0A1CC588">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关于延期最长不得超过：</w:t>
      </w:r>
      <w:r>
        <w:rPr>
          <w:rFonts w:hint="eastAsia" w:ascii="宋体" w:hAnsi="宋体"/>
          <w:sz w:val="24"/>
          <w:u w:val="single"/>
        </w:rPr>
        <w:t xml:space="preserve">  48(</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小时。</w:t>
      </w:r>
    </w:p>
    <w:p w14:paraId="5B6D172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bookmarkStart w:id="365" w:name="_Toc297120523"/>
      <w:bookmarkStart w:id="366" w:name="_Toc296891051"/>
      <w:bookmarkStart w:id="367" w:name="_Toc296503223"/>
      <w:bookmarkStart w:id="368" w:name="_Toc292559933"/>
      <w:bookmarkStart w:id="369" w:name="_Toc296347222"/>
      <w:bookmarkStart w:id="370" w:name="_Toc304295596"/>
      <w:bookmarkStart w:id="371" w:name="_Toc297216224"/>
      <w:bookmarkStart w:id="372" w:name="_Toc312678056"/>
      <w:bookmarkStart w:id="373" w:name="_Toc296944562"/>
      <w:bookmarkStart w:id="374" w:name="_Toc297048409"/>
      <w:bookmarkStart w:id="375" w:name="_Toc297123565"/>
      <w:bookmarkStart w:id="376" w:name="_Toc300935016"/>
      <w:bookmarkStart w:id="377" w:name="_Toc303539173"/>
      <w:bookmarkStart w:id="378" w:name="_Toc292559428"/>
      <w:bookmarkStart w:id="379" w:name="_Toc296346724"/>
      <w:bookmarkStart w:id="380" w:name="_Toc296891263"/>
      <w:bookmarkStart w:id="381" w:name="_Toc267251475"/>
      <w:bookmarkStart w:id="382" w:name="_Toc267251471"/>
      <w:bookmarkStart w:id="383" w:name="_Toc267251474"/>
      <w:bookmarkStart w:id="384" w:name="_Toc267251470"/>
      <w:bookmarkStart w:id="385" w:name="_Toc267251476"/>
      <w:bookmarkStart w:id="386" w:name="_Toc267251472"/>
      <w:bookmarkStart w:id="387" w:name="_Toc267251473"/>
      <w:r>
        <w:rPr>
          <w:rFonts w:hint="eastAsia" w:ascii="宋体" w:hAnsi="宋体"/>
          <w:sz w:val="24"/>
        </w:rPr>
        <w:t>13.2 竣工验收</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37A5E70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bookmarkStart w:id="388" w:name="_Toc280868705"/>
      <w:bookmarkStart w:id="389" w:name="_Toc280868706"/>
      <w:bookmarkStart w:id="390" w:name="_Toc280868707"/>
      <w:bookmarkStart w:id="391" w:name="_Toc280868708"/>
      <w:bookmarkStart w:id="392" w:name="_Toc280868709"/>
      <w:r>
        <w:rPr>
          <w:rFonts w:hint="eastAsia" w:ascii="宋体" w:hAnsi="宋体"/>
          <w:sz w:val="24"/>
        </w:rPr>
        <w:t>13.2.2竣工验收程序</w:t>
      </w:r>
    </w:p>
    <w:p w14:paraId="3B00902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关于竣工验收程序的约定：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6C20C6B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发包人不按照本项约定组织竣工验收、颁发工程接收证书的违约金的计算方法：</w:t>
      </w:r>
      <w:r>
        <w:rPr>
          <w:rFonts w:hint="eastAsia" w:ascii="宋体" w:hAnsi="宋体"/>
          <w:sz w:val="24"/>
          <w:u w:val="single"/>
        </w:rPr>
        <w:t xml:space="preserve"> 每逾期一天，应以签约合同价为基数，按照中国人民银行发布的同期同类贷款基准利率支付违约金（</w:t>
      </w:r>
      <w:r>
        <w:rPr>
          <w:rFonts w:hint="eastAsia" w:ascii="宋体" w:hAnsi="宋体"/>
          <w:kern w:val="0"/>
          <w:sz w:val="24"/>
          <w:u w:val="single"/>
        </w:rPr>
        <w:t>执行通用条款）。</w:t>
      </w:r>
      <w:r>
        <w:rPr>
          <w:rFonts w:hint="eastAsia" w:ascii="宋体" w:hAnsi="宋体"/>
          <w:sz w:val="24"/>
          <w:u w:val="single"/>
        </w:rPr>
        <w:t xml:space="preserve">  </w:t>
      </w:r>
    </w:p>
    <w:bookmarkEnd w:id="388"/>
    <w:p w14:paraId="42D8A0A5">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13.2.5移交、接收全部与部分工程</w:t>
      </w:r>
    </w:p>
    <w:bookmarkEnd w:id="389"/>
    <w:p w14:paraId="62BFD0F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承包人向发包人移交工程的期限：</w:t>
      </w:r>
      <w:r>
        <w:rPr>
          <w:rFonts w:hint="eastAsia" w:ascii="宋体" w:hAnsi="宋体"/>
          <w:sz w:val="24"/>
          <w:u w:val="single"/>
        </w:rPr>
        <w:t xml:space="preserve">  颁发工程接收证书后7天内完成工程的移交</w:t>
      </w:r>
      <w:r>
        <w:rPr>
          <w:rFonts w:hint="eastAsia" w:ascii="宋体" w:hAnsi="宋体"/>
          <w:kern w:val="0"/>
          <w:sz w:val="24"/>
          <w:u w:val="single"/>
        </w:rPr>
        <w:t>（执行通用条款）。</w:t>
      </w:r>
      <w:r>
        <w:rPr>
          <w:rFonts w:hint="eastAsia" w:ascii="宋体" w:hAnsi="宋体"/>
          <w:sz w:val="24"/>
          <w:u w:val="single"/>
        </w:rPr>
        <w:t xml:space="preserve">   </w:t>
      </w:r>
    </w:p>
    <w:p w14:paraId="7B000E12">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kern w:val="0"/>
          <w:sz w:val="24"/>
        </w:rPr>
        <w:t>发包人未按本合同约定接收全部或部分工程的，违约金的计算方法为：</w:t>
      </w:r>
      <w:r>
        <w:rPr>
          <w:rFonts w:hint="eastAsia" w:ascii="宋体" w:hAnsi="宋体"/>
          <w:kern w:val="0"/>
          <w:sz w:val="24"/>
          <w:u w:val="single"/>
        </w:rPr>
        <w:t xml:space="preserve">  </w:t>
      </w:r>
      <w:r>
        <w:rPr>
          <w:rFonts w:hint="eastAsia" w:ascii="宋体" w:hAnsi="宋体"/>
          <w:sz w:val="24"/>
          <w:u w:val="single"/>
        </w:rPr>
        <w:t>发包人自应当接收工程之日起，承担工程照管、成品保护、保管等与工程有关的各项费用</w:t>
      </w:r>
      <w:r>
        <w:rPr>
          <w:rFonts w:hint="eastAsia" w:ascii="宋体" w:hAnsi="宋体"/>
          <w:kern w:val="0"/>
          <w:sz w:val="24"/>
          <w:u w:val="single"/>
        </w:rPr>
        <w:t>（执行通用条款）。</w:t>
      </w:r>
      <w:r>
        <w:rPr>
          <w:rFonts w:hint="eastAsia" w:ascii="宋体" w:hAnsi="宋体"/>
          <w:sz w:val="24"/>
          <w:u w:val="single"/>
        </w:rPr>
        <w:t xml:space="preserve">  </w:t>
      </w:r>
    </w:p>
    <w:bookmarkEnd w:id="390"/>
    <w:p w14:paraId="01BE7C7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承包人未按时移交工程的，违约金的计算方法为：</w:t>
      </w:r>
      <w:r>
        <w:rPr>
          <w:rFonts w:hint="eastAsia" w:ascii="宋体" w:hAnsi="宋体"/>
          <w:sz w:val="24"/>
          <w:u w:val="single"/>
        </w:rPr>
        <w:t xml:space="preserve">  承包人应承担工程照管、成品保护、保管等与工程有关的各项费用</w:t>
      </w:r>
      <w:r>
        <w:rPr>
          <w:rFonts w:hint="eastAsia" w:ascii="宋体" w:hAnsi="宋体"/>
          <w:kern w:val="0"/>
          <w:sz w:val="24"/>
          <w:u w:val="single"/>
        </w:rPr>
        <w:t>（执行通用条款）。</w:t>
      </w:r>
      <w:r>
        <w:rPr>
          <w:rFonts w:hint="eastAsia" w:ascii="宋体" w:hAnsi="宋体"/>
          <w:sz w:val="24"/>
          <w:u w:val="single"/>
        </w:rPr>
        <w:t xml:space="preserve">   </w:t>
      </w:r>
    </w:p>
    <w:p w14:paraId="7255FF2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13.3 工程试车</w:t>
      </w:r>
    </w:p>
    <w:bookmarkEnd w:id="391"/>
    <w:p w14:paraId="6AD4F4AB">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13.3.1 试车程序</w:t>
      </w:r>
    </w:p>
    <w:p w14:paraId="6A979DB0">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工程试车内容：</w:t>
      </w:r>
      <w:r>
        <w:rPr>
          <w:rFonts w:hint="eastAsia" w:ascii="宋体" w:hAnsi="宋体"/>
          <w:sz w:val="24"/>
          <w:u w:val="single"/>
        </w:rPr>
        <w:t xml:space="preserve">   /    </w:t>
      </w:r>
    </w:p>
    <w:p w14:paraId="00E67866">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（1）单机无负荷试车费用由</w:t>
      </w:r>
      <w:r>
        <w:rPr>
          <w:rFonts w:hint="eastAsia" w:ascii="宋体" w:hAnsi="宋体"/>
          <w:sz w:val="24"/>
          <w:u w:val="single"/>
        </w:rPr>
        <w:t xml:space="preserve">   /  </w:t>
      </w:r>
      <w:r>
        <w:rPr>
          <w:rFonts w:hint="eastAsia" w:ascii="宋体" w:hAnsi="宋体"/>
          <w:kern w:val="0"/>
          <w:sz w:val="24"/>
        </w:rPr>
        <w:t>承担；</w:t>
      </w:r>
    </w:p>
    <w:p w14:paraId="2738716F">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（2）无负荷联动试车费用由</w:t>
      </w:r>
      <w:r>
        <w:rPr>
          <w:rFonts w:hint="eastAsia" w:ascii="宋体" w:hAnsi="宋体"/>
          <w:sz w:val="24"/>
          <w:u w:val="single"/>
        </w:rPr>
        <w:t xml:space="preserve">   /   </w:t>
      </w:r>
      <w:r>
        <w:rPr>
          <w:rFonts w:hint="eastAsia" w:ascii="宋体" w:hAnsi="宋体"/>
          <w:kern w:val="0"/>
          <w:sz w:val="24"/>
        </w:rPr>
        <w:t>承担。</w:t>
      </w:r>
    </w:p>
    <w:p w14:paraId="1423B44E">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13.3.3 投料试车</w:t>
      </w:r>
    </w:p>
    <w:p w14:paraId="10721345">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   </w:t>
      </w:r>
    </w:p>
    <w:p w14:paraId="15CAE59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13.6 竣工退场</w:t>
      </w:r>
    </w:p>
    <w:p w14:paraId="2BF681AC">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13.6.1 竣工退场</w:t>
      </w:r>
    </w:p>
    <w:p w14:paraId="0DB89E5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承包人完成竣工退场的期限：</w:t>
      </w:r>
      <w:r>
        <w:rPr>
          <w:rFonts w:hint="eastAsia" w:ascii="宋体" w:hAnsi="宋体"/>
          <w:sz w:val="24"/>
          <w:u w:val="single"/>
        </w:rPr>
        <w:t xml:space="preserve">  工程竣工验收合格后一周内完成竣工退场。    </w:t>
      </w:r>
    </w:p>
    <w:p w14:paraId="12AA04DE">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93" w:name="_Toc351203646"/>
      <w:r>
        <w:rPr>
          <w:rFonts w:hint="eastAsia" w:ascii="宋体" w:hAnsi="宋体"/>
          <w:kern w:val="0"/>
          <w:sz w:val="24"/>
        </w:rPr>
        <w:t>14. 竣工结算</w:t>
      </w:r>
      <w:bookmarkEnd w:id="393"/>
    </w:p>
    <w:p w14:paraId="3D1227DB">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14.1 竣工付款申请</w:t>
      </w:r>
    </w:p>
    <w:p w14:paraId="158839A4">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承包人提交竣工付款申请单的期限：</w:t>
      </w:r>
      <w:r>
        <w:rPr>
          <w:rFonts w:hint="eastAsia" w:ascii="宋体" w:hAnsi="宋体"/>
          <w:sz w:val="24"/>
          <w:u w:val="single"/>
        </w:rPr>
        <w:t xml:space="preserve">  承包人应在工程竣工验收合格后28天内（</w:t>
      </w:r>
      <w:r>
        <w:rPr>
          <w:rFonts w:hint="eastAsia" w:ascii="宋体" w:hAnsi="宋体"/>
          <w:kern w:val="0"/>
          <w:sz w:val="24"/>
          <w:u w:val="single"/>
        </w:rPr>
        <w:t>执行通用条款</w:t>
      </w:r>
      <w:r>
        <w:rPr>
          <w:rFonts w:hint="eastAsia" w:ascii="宋体" w:hAnsi="宋体"/>
          <w:sz w:val="24"/>
          <w:u w:val="single"/>
        </w:rPr>
        <w:t xml:space="preserve">）。   </w:t>
      </w:r>
    </w:p>
    <w:p w14:paraId="00DE6D8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竣工付款申请单应包括的内容：</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3F225FF4">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14.2 竣工结算审核</w:t>
      </w:r>
    </w:p>
    <w:p w14:paraId="60CF4AE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发包人审批竣工付款申请单的期限：</w:t>
      </w:r>
      <w:r>
        <w:rPr>
          <w:rFonts w:hint="eastAsia" w:ascii="宋体" w:hAnsi="宋体"/>
          <w:sz w:val="24"/>
          <w:u w:val="single"/>
        </w:rPr>
        <w:t xml:space="preserve">  发包人应在收到监理人提交的经审核的竣工结算申请单后14天内完成审批 </w:t>
      </w:r>
      <w:r>
        <w:rPr>
          <w:rFonts w:hint="eastAsia" w:ascii="宋体" w:hAnsi="宋体"/>
          <w:kern w:val="0"/>
          <w:sz w:val="24"/>
          <w:u w:val="single"/>
        </w:rPr>
        <w:t>（执行通用条款）。</w:t>
      </w:r>
      <w:r>
        <w:rPr>
          <w:rFonts w:hint="eastAsia" w:ascii="宋体" w:hAnsi="宋体"/>
          <w:sz w:val="24"/>
          <w:u w:val="single"/>
        </w:rPr>
        <w:t xml:space="preserve">   </w:t>
      </w:r>
    </w:p>
    <w:p w14:paraId="2938833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发包人完成竣工付款的期限：</w:t>
      </w:r>
      <w:r>
        <w:rPr>
          <w:rFonts w:hint="eastAsia" w:ascii="宋体" w:hAnsi="宋体"/>
          <w:sz w:val="24"/>
          <w:u w:val="single"/>
        </w:rPr>
        <w:t xml:space="preserve">  发包人应在签发竣工付款证书后的14 天内，完成对承包人的竣工付款。</w:t>
      </w:r>
      <w:r>
        <w:rPr>
          <w:rFonts w:hint="eastAsia" w:ascii="宋体" w:hAnsi="宋体"/>
          <w:kern w:val="0"/>
          <w:sz w:val="24"/>
          <w:u w:val="single"/>
        </w:rPr>
        <w:t>（执行通用条款）。</w:t>
      </w:r>
      <w:r>
        <w:rPr>
          <w:rFonts w:hint="eastAsia" w:ascii="宋体" w:hAnsi="宋体"/>
          <w:sz w:val="24"/>
          <w:u w:val="single"/>
        </w:rPr>
        <w:t xml:space="preserve">   </w:t>
      </w:r>
    </w:p>
    <w:p w14:paraId="48E1D84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关于竣工付款证书异议部分复核的方式和程序：</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p w14:paraId="1BFB20F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14.4 最终结清</w:t>
      </w:r>
    </w:p>
    <w:p w14:paraId="298F00BF">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14.4.1 最终结清申请单</w:t>
      </w:r>
    </w:p>
    <w:p w14:paraId="5510456D">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承包人提交最终结清申请单的份数：</w:t>
      </w:r>
      <w:r>
        <w:rPr>
          <w:rFonts w:hint="eastAsia" w:ascii="宋体" w:hAnsi="宋体"/>
          <w:sz w:val="24"/>
          <w:u w:val="single"/>
        </w:rPr>
        <w:t xml:space="preserve">  叁份。   </w:t>
      </w:r>
    </w:p>
    <w:p w14:paraId="3951328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承包人提交最终结算申请单的期限：</w:t>
      </w:r>
      <w:r>
        <w:rPr>
          <w:rFonts w:hint="eastAsia" w:ascii="宋体" w:hAnsi="宋体"/>
          <w:sz w:val="24"/>
          <w:u w:val="single"/>
        </w:rPr>
        <w:t xml:space="preserve">  缺陷责任期终止证书颁发后7天内</w:t>
      </w:r>
      <w:r>
        <w:rPr>
          <w:rFonts w:hint="eastAsia" w:ascii="宋体" w:hAnsi="宋体"/>
          <w:kern w:val="0"/>
          <w:sz w:val="24"/>
          <w:u w:val="single"/>
        </w:rPr>
        <w:t>（执行通用条款）。</w:t>
      </w:r>
      <w:r>
        <w:rPr>
          <w:rFonts w:hint="eastAsia" w:ascii="宋体" w:hAnsi="宋体"/>
          <w:sz w:val="24"/>
          <w:u w:val="single"/>
        </w:rPr>
        <w:t xml:space="preserve">   </w:t>
      </w:r>
    </w:p>
    <w:p w14:paraId="59E66A2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14.4.2 最终结清证书和支付</w:t>
      </w:r>
    </w:p>
    <w:p w14:paraId="62119B17">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（1）发包人完成最终结清申请单的审批并颁发最终结清证书的期限：</w:t>
      </w:r>
      <w:r>
        <w:rPr>
          <w:rFonts w:hint="eastAsia" w:ascii="宋体" w:hAnsi="宋体"/>
          <w:sz w:val="24"/>
          <w:u w:val="single"/>
        </w:rPr>
        <w:t xml:space="preserve">  收到承包人提交的最终结清申请单后14天内</w:t>
      </w:r>
      <w:r>
        <w:rPr>
          <w:rFonts w:hint="eastAsia" w:ascii="宋体" w:hAnsi="宋体"/>
          <w:kern w:val="0"/>
          <w:sz w:val="24"/>
          <w:u w:val="single"/>
        </w:rPr>
        <w:t>（执行通用条款）。</w:t>
      </w:r>
      <w:r>
        <w:rPr>
          <w:rFonts w:hint="eastAsia" w:ascii="宋体" w:hAnsi="宋体"/>
          <w:sz w:val="24"/>
          <w:u w:val="single"/>
        </w:rPr>
        <w:t xml:space="preserve">    </w:t>
      </w:r>
    </w:p>
    <w:p w14:paraId="72C8D05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（2）发包人完成支付的期限：</w:t>
      </w:r>
      <w:r>
        <w:rPr>
          <w:rFonts w:hint="eastAsia" w:ascii="宋体" w:hAnsi="宋体"/>
          <w:sz w:val="24"/>
          <w:u w:val="single"/>
        </w:rPr>
        <w:t xml:space="preserve">  颁发最终结清证书后7天内完成支付</w:t>
      </w:r>
      <w:r>
        <w:rPr>
          <w:rFonts w:hint="eastAsia" w:ascii="宋体" w:hAnsi="宋体"/>
          <w:kern w:val="0"/>
          <w:sz w:val="24"/>
          <w:u w:val="single"/>
        </w:rPr>
        <w:t>（执行通用条款）。</w:t>
      </w:r>
      <w:r>
        <w:rPr>
          <w:rFonts w:hint="eastAsia" w:ascii="宋体" w:hAnsi="宋体"/>
          <w:sz w:val="24"/>
          <w:u w:val="single"/>
        </w:rPr>
        <w:t xml:space="preserve">    </w:t>
      </w:r>
    </w:p>
    <w:bookmarkEnd w:id="381"/>
    <w:bookmarkEnd w:id="382"/>
    <w:bookmarkEnd w:id="383"/>
    <w:bookmarkEnd w:id="384"/>
    <w:bookmarkEnd w:id="385"/>
    <w:bookmarkEnd w:id="386"/>
    <w:bookmarkEnd w:id="387"/>
    <w:bookmarkEnd w:id="392"/>
    <w:p w14:paraId="40D8B441">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394" w:name="_Toc351203647"/>
      <w:bookmarkStart w:id="395" w:name="_Toc267251483"/>
      <w:bookmarkStart w:id="396" w:name="_Toc267251484"/>
      <w:bookmarkStart w:id="397" w:name="_Toc267251482"/>
      <w:bookmarkStart w:id="398" w:name="_Toc267251485"/>
      <w:bookmarkStart w:id="399" w:name="_Toc267251490"/>
      <w:bookmarkStart w:id="400" w:name="_Toc267251486"/>
      <w:bookmarkStart w:id="401" w:name="_Toc267251489"/>
      <w:bookmarkStart w:id="402" w:name="_Toc267251488"/>
      <w:bookmarkStart w:id="403" w:name="_Toc267251502"/>
      <w:bookmarkStart w:id="404" w:name="_Toc267251494"/>
      <w:bookmarkStart w:id="405" w:name="_Toc267251499"/>
      <w:bookmarkStart w:id="406" w:name="_Toc267251492"/>
      <w:bookmarkStart w:id="407" w:name="_Toc267251501"/>
      <w:bookmarkStart w:id="408" w:name="_Toc267251496"/>
      <w:bookmarkStart w:id="409" w:name="_Toc267251491"/>
      <w:bookmarkStart w:id="410" w:name="_Toc267251495"/>
      <w:bookmarkStart w:id="411" w:name="_Toc267251503"/>
      <w:bookmarkStart w:id="412" w:name="_Toc267251497"/>
      <w:bookmarkStart w:id="413" w:name="_Toc267251493"/>
      <w:bookmarkStart w:id="414" w:name="_Toc267251498"/>
      <w:bookmarkStart w:id="415" w:name="_Toc267251504"/>
      <w:bookmarkStart w:id="416" w:name="_Toc267251506"/>
      <w:bookmarkStart w:id="417" w:name="_Toc267251507"/>
      <w:bookmarkStart w:id="418" w:name="_Toc267251508"/>
      <w:bookmarkStart w:id="419" w:name="_Toc267251511"/>
      <w:bookmarkStart w:id="420" w:name="_Toc267251510"/>
      <w:bookmarkStart w:id="421" w:name="_Toc267251515"/>
      <w:bookmarkStart w:id="422" w:name="_Toc267251509"/>
      <w:bookmarkStart w:id="423" w:name="_Toc267251514"/>
      <w:bookmarkStart w:id="424" w:name="_Toc267251513"/>
      <w:r>
        <w:rPr>
          <w:rFonts w:hint="eastAsia" w:ascii="宋体" w:hAnsi="宋体"/>
          <w:kern w:val="0"/>
          <w:sz w:val="24"/>
        </w:rPr>
        <w:t>15. 缺陷责任期与保修</w:t>
      </w:r>
      <w:bookmarkEnd w:id="394"/>
    </w:p>
    <w:p w14:paraId="78B172CE">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15.2缺陷责任期</w:t>
      </w:r>
      <w:bookmarkEnd w:id="395"/>
    </w:p>
    <w:p w14:paraId="6D850B0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缺陷责任期的具体期限：</w:t>
      </w:r>
      <w:r>
        <w:rPr>
          <w:rFonts w:hint="eastAsia" w:ascii="宋体" w:hAnsi="宋体"/>
          <w:sz w:val="24"/>
          <w:u w:val="single"/>
        </w:rPr>
        <w:t xml:space="preserve">  24个月。   </w:t>
      </w:r>
    </w:p>
    <w:p w14:paraId="1FC1F7B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15.3 质量保证金</w:t>
      </w:r>
    </w:p>
    <w:p w14:paraId="513B9FEE">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关于是否扣留质量保证金的约定：</w:t>
      </w:r>
      <w:r>
        <w:rPr>
          <w:rFonts w:hint="eastAsia" w:ascii="宋体" w:hAnsi="宋体"/>
          <w:sz w:val="24"/>
          <w:u w:val="single"/>
        </w:rPr>
        <w:t xml:space="preserve">  扣留质量保证金。   </w:t>
      </w:r>
    </w:p>
    <w:p w14:paraId="14E0E783">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15.3.1 承包人提供质量保证金的方式</w:t>
      </w:r>
    </w:p>
    <w:p w14:paraId="2BCAAE3D">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质量保证金采用以下第</w:t>
      </w:r>
      <w:r>
        <w:rPr>
          <w:rFonts w:hint="eastAsia" w:ascii="宋体" w:hAnsi="宋体"/>
          <w:sz w:val="24"/>
          <w:u w:val="single"/>
        </w:rPr>
        <w:t xml:space="preserve">  ( 2 )  </w:t>
      </w:r>
      <w:r>
        <w:rPr>
          <w:rFonts w:hint="eastAsia" w:ascii="宋体" w:hAnsi="宋体"/>
          <w:sz w:val="24"/>
        </w:rPr>
        <w:t>种方式：</w:t>
      </w:r>
    </w:p>
    <w:p w14:paraId="2D7FFA1B">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（1）质量保证金保函，保证金额为：</w:t>
      </w:r>
      <w:r>
        <w:rPr>
          <w:rFonts w:hint="eastAsia" w:ascii="宋体" w:hAnsi="宋体"/>
          <w:sz w:val="24"/>
          <w:u w:val="single"/>
        </w:rPr>
        <w:t xml:space="preserve">   /     </w:t>
      </w:r>
    </w:p>
    <w:p w14:paraId="49E44C17">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w:t>
      </w:r>
      <w:r>
        <w:rPr>
          <w:rFonts w:hint="eastAsia" w:ascii="宋体" w:hAnsi="宋体"/>
          <w:kern w:val="0"/>
          <w:sz w:val="24"/>
          <w:u w:val="single"/>
        </w:rPr>
        <w:t xml:space="preserve">  3  </w:t>
      </w:r>
      <w:r>
        <w:rPr>
          <w:rFonts w:hint="eastAsia" w:ascii="宋体" w:hAnsi="宋体"/>
          <w:kern w:val="0"/>
          <w:sz w:val="24"/>
        </w:rPr>
        <w:t>%的工程款；</w:t>
      </w:r>
    </w:p>
    <w:p w14:paraId="7BD517F8">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（3）其他方式:</w:t>
      </w:r>
      <w:r>
        <w:rPr>
          <w:rFonts w:hint="eastAsia" w:ascii="宋体" w:hAnsi="宋体"/>
          <w:sz w:val="24"/>
          <w:u w:val="single"/>
        </w:rPr>
        <w:t xml:space="preserve">   /     </w:t>
      </w:r>
    </w:p>
    <w:p w14:paraId="2BD62A26">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 xml:space="preserve">15.3.2 质量保证金的扣留 </w:t>
      </w:r>
    </w:p>
    <w:p w14:paraId="24A162E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质量保证金的扣留采取以下第</w:t>
      </w:r>
      <w:r>
        <w:rPr>
          <w:rFonts w:hint="eastAsia" w:ascii="宋体" w:hAnsi="宋体"/>
          <w:sz w:val="24"/>
          <w:u w:val="single"/>
        </w:rPr>
        <w:t xml:space="preserve"> ( 2 ) </w:t>
      </w:r>
      <w:r>
        <w:rPr>
          <w:rFonts w:hint="eastAsia" w:ascii="宋体" w:hAnsi="宋体"/>
          <w:sz w:val="24"/>
        </w:rPr>
        <w:t>种方式：</w:t>
      </w:r>
    </w:p>
    <w:p w14:paraId="1DED493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（1）在支付工程进度款时逐次扣留，在此情形下，质量保证金的计算基数不包括预付款的支付、扣回以及价格调整的金额；</w:t>
      </w:r>
    </w:p>
    <w:p w14:paraId="1B8B248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（2）工程竣工结算时一次性扣留质量保证金；</w:t>
      </w:r>
    </w:p>
    <w:p w14:paraId="10380C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（3）其他扣留方式:</w:t>
      </w:r>
      <w:r>
        <w:rPr>
          <w:rFonts w:hint="eastAsia" w:ascii="宋体" w:hAnsi="宋体"/>
          <w:sz w:val="24"/>
          <w:u w:val="single"/>
        </w:rPr>
        <w:t xml:space="preserve">   /     </w:t>
      </w:r>
    </w:p>
    <w:p w14:paraId="32DC5AC3">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关于质量保证金的补充约定：</w:t>
      </w:r>
      <w:r>
        <w:rPr>
          <w:rFonts w:hint="eastAsia" w:ascii="宋体" w:hAnsi="宋体"/>
          <w:kern w:val="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bookmarkEnd w:id="396"/>
    <w:bookmarkEnd w:id="397"/>
    <w:p w14:paraId="7A77907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15.4保修</w:t>
      </w:r>
    </w:p>
    <w:bookmarkEnd w:id="398"/>
    <w:p w14:paraId="752CBCCA">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15.4.1 保修责任</w:t>
      </w:r>
    </w:p>
    <w:p w14:paraId="3D468AE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工程保修期为：</w:t>
      </w:r>
      <w:r>
        <w:rPr>
          <w:rFonts w:hint="eastAsia" w:ascii="宋体" w:hAnsi="宋体"/>
          <w:kern w:val="0"/>
          <w:sz w:val="24"/>
          <w:u w:val="single"/>
        </w:rPr>
        <w:t xml:space="preserve">  </w:t>
      </w:r>
      <w:r>
        <w:rPr>
          <w:rFonts w:hint="eastAsia" w:ascii="宋体" w:hAnsi="宋体"/>
          <w:sz w:val="24"/>
          <w:u w:val="single"/>
        </w:rPr>
        <w:t xml:space="preserve">执行《工程质量保修书》规定。 </w:t>
      </w:r>
      <w:r>
        <w:rPr>
          <w:rFonts w:hint="eastAsia" w:ascii="宋体" w:hAnsi="宋体"/>
          <w:kern w:val="0"/>
          <w:sz w:val="24"/>
          <w:u w:val="single"/>
        </w:rPr>
        <w:t xml:space="preserve">   </w:t>
      </w:r>
    </w:p>
    <w:p w14:paraId="37F7906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15.4.3 修复通知</w:t>
      </w:r>
    </w:p>
    <w:p w14:paraId="4960C72F">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承包人收到保修通知并到达工程现场的合理时间：</w:t>
      </w:r>
      <w:r>
        <w:rPr>
          <w:rFonts w:hint="eastAsia" w:ascii="宋体" w:hAnsi="宋体"/>
          <w:kern w:val="0"/>
          <w:sz w:val="24"/>
          <w:u w:val="single"/>
        </w:rPr>
        <w:t xml:space="preserve">  24小时内。  </w:t>
      </w:r>
    </w:p>
    <w:bookmarkEnd w:id="399"/>
    <w:bookmarkEnd w:id="400"/>
    <w:bookmarkEnd w:id="401"/>
    <w:bookmarkEnd w:id="402"/>
    <w:p w14:paraId="6E2F0D46">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25" w:name="_Toc351203648"/>
      <w:bookmarkStart w:id="426" w:name="_Toc280868717"/>
      <w:bookmarkStart w:id="427" w:name="_Toc280868718"/>
      <w:r>
        <w:rPr>
          <w:rFonts w:hint="eastAsia" w:ascii="宋体" w:hAnsi="宋体"/>
          <w:kern w:val="0"/>
          <w:sz w:val="24"/>
        </w:rPr>
        <w:t>16. 违约</w:t>
      </w:r>
      <w:bookmarkEnd w:id="425"/>
    </w:p>
    <w:p w14:paraId="109D4CD9">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16.1 发包人违约</w:t>
      </w:r>
    </w:p>
    <w:p w14:paraId="0B309B57">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16.1.1发包人违约的情形</w:t>
      </w:r>
    </w:p>
    <w:p w14:paraId="565DF518">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发包人违约的其他情形：</w:t>
      </w:r>
      <w:r>
        <w:rPr>
          <w:rFonts w:hint="eastAsia" w:ascii="宋体" w:hAnsi="宋体"/>
          <w:sz w:val="24"/>
          <w:u w:val="single"/>
        </w:rPr>
        <w:t xml:space="preserve">    /     </w:t>
      </w:r>
    </w:p>
    <w:p w14:paraId="1979EC3C">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16.1.2 发包人违约的责任</w:t>
      </w:r>
    </w:p>
    <w:p w14:paraId="35E9104B">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发包人违约责任的承担方式和计算方法：</w:t>
      </w:r>
    </w:p>
    <w:p w14:paraId="2DFB223B">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kern w:val="0"/>
          <w:sz w:val="24"/>
        </w:rPr>
        <w:t>（1）因发包人原因未能在计划开工日期前7天内下达开工通知的违约责任：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7AF75837">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（2）因发包人原因未能按合同约定支付合同价款的违约责任：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73AFFACC">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（3）发包人违反第10.1款〔变更的范围〕第（2）项约定，自行实施被取消的工作或转由他人实施的违约责任：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39E7E6C0">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4CA71BFE">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（5）因发包人违反合同约定造成暂停施工的违约责任：</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0B7E0CA3">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（6）发包人无正当理由没有在约定期限内发出复工指示，导致承包人无法复工的违约责任：</w:t>
      </w:r>
      <w:r>
        <w:rPr>
          <w:rFonts w:hint="eastAsia" w:ascii="宋体" w:hAnsi="宋体"/>
          <w:kern w:val="0"/>
          <w:sz w:val="24"/>
          <w:u w:val="single"/>
        </w:rPr>
        <w:t xml:space="preserve">  </w:t>
      </w:r>
      <w:r>
        <w:rPr>
          <w:rFonts w:hint="eastAsia" w:ascii="宋体" w:hAnsi="宋体"/>
          <w:sz w:val="24"/>
          <w:u w:val="single"/>
        </w:rPr>
        <w:t xml:space="preserve">双方协商解决。  </w:t>
      </w:r>
      <w:r>
        <w:rPr>
          <w:rFonts w:hint="eastAsia" w:ascii="宋体" w:hAnsi="宋体"/>
          <w:kern w:val="0"/>
          <w:sz w:val="24"/>
          <w:u w:val="single"/>
        </w:rPr>
        <w:t xml:space="preserve"> </w:t>
      </w:r>
    </w:p>
    <w:p w14:paraId="6A84CBA6">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（7）其他：</w:t>
      </w:r>
      <w:r>
        <w:rPr>
          <w:rFonts w:hint="eastAsia" w:ascii="宋体" w:hAnsi="宋体"/>
          <w:kern w:val="0"/>
          <w:sz w:val="24"/>
          <w:u w:val="single"/>
        </w:rPr>
        <w:t xml:space="preserve">  </w:t>
      </w:r>
      <w:r>
        <w:rPr>
          <w:rFonts w:hint="eastAsia" w:ascii="宋体" w:hAnsi="宋体"/>
          <w:sz w:val="24"/>
          <w:u w:val="single"/>
        </w:rPr>
        <w:t>双方协商解决。</w:t>
      </w:r>
      <w:r>
        <w:rPr>
          <w:rFonts w:hint="eastAsia" w:ascii="宋体" w:hAnsi="宋体"/>
          <w:kern w:val="0"/>
          <w:sz w:val="24"/>
          <w:u w:val="single"/>
        </w:rPr>
        <w:t xml:space="preserve">   </w:t>
      </w:r>
    </w:p>
    <w:p w14:paraId="42B2BE7D">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16.1.3 因发包人违约解除合同</w:t>
      </w:r>
    </w:p>
    <w:p w14:paraId="0E876521">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承包人按16.1.1项〔发包人违约的情形〕约定暂停施工满</w:t>
      </w:r>
      <w:r>
        <w:rPr>
          <w:rFonts w:hint="eastAsia" w:ascii="宋体" w:hAnsi="宋体"/>
          <w:kern w:val="0"/>
          <w:sz w:val="24"/>
          <w:u w:val="single"/>
        </w:rPr>
        <w:t xml:space="preserve">  28（执行通用条款） </w:t>
      </w:r>
      <w:r>
        <w:rPr>
          <w:rFonts w:hint="eastAsia" w:ascii="宋体" w:hAnsi="宋体"/>
          <w:kern w:val="0"/>
          <w:sz w:val="24"/>
        </w:rPr>
        <w:t>天后发包人仍不纠正其违约行为并致使合同目的不能实现的，承包人有权解除合同。</w:t>
      </w:r>
    </w:p>
    <w:p w14:paraId="4F0BA526">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16.2 承包人违约</w:t>
      </w:r>
    </w:p>
    <w:p w14:paraId="1E361730">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16.2.1 承包人违约的情形</w:t>
      </w:r>
    </w:p>
    <w:p w14:paraId="1DBCE07D">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承包人违约的其他情形：</w:t>
      </w:r>
      <w:r>
        <w:rPr>
          <w:rFonts w:hint="eastAsia" w:ascii="宋体" w:hAnsi="宋体"/>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22704C21">
      <w:pPr>
        <w:pStyle w:val="77"/>
        <w:tabs>
          <w:tab w:val="left" w:pos="360"/>
        </w:tabs>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16.2.2承包人违约的责任</w:t>
      </w:r>
    </w:p>
    <w:p w14:paraId="3BA0016C">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kern w:val="0"/>
          <w:sz w:val="24"/>
        </w:rPr>
        <w:t>承包人违约责任的承担方式和计算方法：</w:t>
      </w:r>
      <w:r>
        <w:rPr>
          <w:rFonts w:hint="eastAsia" w:ascii="宋体" w:hAnsi="宋体"/>
          <w:kern w:val="0"/>
          <w:sz w:val="24"/>
          <w:u w:val="single"/>
        </w:rPr>
        <w:t xml:space="preserve">  </w:t>
      </w:r>
      <w:r>
        <w:rPr>
          <w:rFonts w:hint="eastAsia" w:ascii="宋体" w:hAnsi="宋体"/>
          <w:sz w:val="24"/>
          <w:u w:val="single"/>
        </w:rPr>
        <w:t xml:space="preserve">因承包人原因造成工程质量不合格的，承包人应无条件修复达到合同约定的质量标准；无法维修的，双方协商处理。发生该条违约时，发包人有权停止支付所有工程款项，不退还履约担保。  </w:t>
      </w:r>
      <w:r>
        <w:rPr>
          <w:rFonts w:hint="eastAsia" w:ascii="宋体" w:hAnsi="宋体"/>
          <w:kern w:val="0"/>
          <w:sz w:val="24"/>
          <w:u w:val="single"/>
        </w:rPr>
        <w:t xml:space="preserve"> </w:t>
      </w:r>
    </w:p>
    <w:p w14:paraId="186C8954">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16.2.3 因承包人违约解除合同</w:t>
      </w:r>
    </w:p>
    <w:p w14:paraId="3C5DA6CD">
      <w:pPr>
        <w:adjustRightInd w:val="0"/>
        <w:snapToGrid w:val="0"/>
        <w:spacing w:line="360" w:lineRule="auto"/>
        <w:ind w:firstLine="480" w:firstLineChars="200"/>
        <w:rPr>
          <w:rFonts w:hint="eastAsia" w:ascii="宋体" w:hAnsi="宋体"/>
          <w:sz w:val="24"/>
          <w:szCs w:val="24"/>
          <w:u w:val="single"/>
        </w:rPr>
      </w:pPr>
      <w:r>
        <w:rPr>
          <w:rFonts w:hint="eastAsia" w:ascii="宋体" w:hAnsi="宋体"/>
          <w:sz w:val="24"/>
          <w:szCs w:val="24"/>
        </w:rPr>
        <w:t>关于承包人违约解除合同的特别约定：</w:t>
      </w:r>
      <w:r>
        <w:rPr>
          <w:rFonts w:hint="eastAsia" w:ascii="宋体" w:hAnsi="宋体"/>
          <w:sz w:val="24"/>
          <w:szCs w:val="24"/>
          <w:u w:val="single"/>
        </w:rPr>
        <w:t xml:space="preserve">            </w:t>
      </w:r>
    </w:p>
    <w:p w14:paraId="3F00EBC2">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kern w:val="0"/>
          <w:sz w:val="24"/>
        </w:rPr>
        <w:t>发包人继续使用承包人在施工现场的材料、设备、临时工程、承包人文件和由承包人或以其名义编制的其他文件的费用承担方式：</w:t>
      </w:r>
      <w:r>
        <w:rPr>
          <w:rFonts w:hint="eastAsia" w:ascii="宋体" w:hAnsi="宋体"/>
          <w:sz w:val="24"/>
          <w:u w:val="single"/>
        </w:rPr>
        <w:t xml:space="preserve">  如实际发生时，双方另行协商确定。</w:t>
      </w:r>
    </w:p>
    <w:p w14:paraId="4FE1FD6C">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28" w:name="_Toc351203649"/>
      <w:r>
        <w:rPr>
          <w:rFonts w:hint="eastAsia" w:ascii="宋体" w:hAnsi="宋体"/>
          <w:kern w:val="0"/>
          <w:sz w:val="24"/>
        </w:rPr>
        <w:t>17. 不可抗力</w:t>
      </w:r>
      <w:bookmarkEnd w:id="426"/>
      <w:bookmarkEnd w:id="428"/>
    </w:p>
    <w:p w14:paraId="4A55EC73">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17.1 不可抗力的确认</w:t>
      </w:r>
    </w:p>
    <w:p w14:paraId="4C6BF496">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sz w:val="24"/>
        </w:rPr>
        <w:t>除通用合同条款约定的不可抗力事件之外，视为不可抗力的其他情形：</w:t>
      </w:r>
      <w:r>
        <w:rPr>
          <w:rFonts w:hint="eastAsia" w:ascii="宋体" w:hAnsi="宋体"/>
          <w:sz w:val="24"/>
          <w:u w:val="single"/>
        </w:rPr>
        <w:t xml:space="preserve">  执行通用条款；发生不可抗力影响时，承包人有义务采取措施减小损失，否则扩大的损失由承包人承担。  </w:t>
      </w:r>
    </w:p>
    <w:p w14:paraId="32E0A699">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17.4 因不可抗力解除合同</w:t>
      </w:r>
    </w:p>
    <w:p w14:paraId="108A9E2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合同解除后，发包人应在商定或确定发包人应支付款项后</w:t>
      </w:r>
      <w:r>
        <w:rPr>
          <w:rFonts w:hint="eastAsia" w:ascii="宋体" w:hAnsi="宋体"/>
          <w:sz w:val="24"/>
          <w:u w:val="single"/>
        </w:rPr>
        <w:t xml:space="preserve">  28</w:t>
      </w:r>
      <w:r>
        <w:rPr>
          <w:rFonts w:hint="eastAsia" w:ascii="宋体" w:hAnsi="宋体"/>
          <w:kern w:val="0"/>
          <w:sz w:val="24"/>
          <w:u w:val="single"/>
        </w:rPr>
        <w:t>（执行通用条款）</w:t>
      </w:r>
      <w:r>
        <w:rPr>
          <w:rFonts w:hint="eastAsia" w:ascii="宋体" w:hAnsi="宋体"/>
          <w:sz w:val="24"/>
          <w:u w:val="single"/>
        </w:rPr>
        <w:t xml:space="preserve"> </w:t>
      </w:r>
      <w:r>
        <w:rPr>
          <w:rFonts w:hint="eastAsia" w:ascii="宋体" w:hAnsi="宋体"/>
          <w:sz w:val="24"/>
        </w:rPr>
        <w:t>天内完成款项的支付。</w:t>
      </w:r>
    </w:p>
    <w:p w14:paraId="2D424E6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29" w:name="_Toc351203650"/>
      <w:r>
        <w:rPr>
          <w:rFonts w:hint="eastAsia" w:ascii="宋体" w:hAnsi="宋体"/>
          <w:kern w:val="0"/>
          <w:sz w:val="24"/>
        </w:rPr>
        <w:t>18. 保险</w:t>
      </w:r>
      <w:bookmarkEnd w:id="429"/>
    </w:p>
    <w:bookmarkEnd w:id="427"/>
    <w:p w14:paraId="62EC672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18.1 工程保险</w:t>
      </w:r>
    </w:p>
    <w:p w14:paraId="135EABE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关于工程保险的特别约定：</w:t>
      </w:r>
      <w:r>
        <w:rPr>
          <w:rFonts w:hint="eastAsia" w:ascii="宋体" w:hAnsi="宋体"/>
          <w:kern w:val="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7FD65497">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18.3 其他保险</w:t>
      </w:r>
    </w:p>
    <w:p w14:paraId="34AF9819">
      <w:pPr>
        <w:pStyle w:val="77"/>
        <w:tabs>
          <w:tab w:val="left" w:pos="360"/>
        </w:tabs>
        <w:adjustRightInd w:val="0"/>
        <w:snapToGrid w:val="0"/>
        <w:spacing w:line="360" w:lineRule="auto"/>
        <w:ind w:right="178" w:rightChars="85" w:firstLine="480" w:firstLineChars="200"/>
        <w:rPr>
          <w:rFonts w:hint="eastAsia" w:ascii="宋体" w:hAnsi="宋体"/>
          <w:kern w:val="0"/>
          <w:sz w:val="24"/>
          <w:u w:val="single"/>
        </w:rPr>
      </w:pPr>
      <w:r>
        <w:rPr>
          <w:rFonts w:hint="eastAsia" w:ascii="宋体" w:hAnsi="宋体"/>
          <w:sz w:val="24"/>
        </w:rPr>
        <w:t>关于其他保险的约定：</w:t>
      </w:r>
      <w:r>
        <w:rPr>
          <w:rFonts w:hint="eastAsia" w:ascii="宋体" w:hAnsi="宋体"/>
          <w:kern w:val="0"/>
          <w:sz w:val="24"/>
          <w:u w:val="single"/>
        </w:rPr>
        <w:t xml:space="preserve">   /    </w:t>
      </w:r>
    </w:p>
    <w:p w14:paraId="3B0D12D8">
      <w:pPr>
        <w:pStyle w:val="77"/>
        <w:tabs>
          <w:tab w:val="left" w:pos="360"/>
        </w:tabs>
        <w:adjustRightInd w:val="0"/>
        <w:snapToGrid w:val="0"/>
        <w:spacing w:line="360" w:lineRule="auto"/>
        <w:ind w:right="178" w:rightChars="85" w:firstLine="480" w:firstLineChars="200"/>
        <w:rPr>
          <w:rFonts w:hint="eastAsia" w:ascii="宋体" w:hAnsi="宋体"/>
          <w:kern w:val="0"/>
          <w:sz w:val="24"/>
        </w:rPr>
      </w:pPr>
      <w:r>
        <w:rPr>
          <w:rFonts w:hint="eastAsia" w:ascii="宋体" w:hAnsi="宋体"/>
          <w:sz w:val="24"/>
        </w:rPr>
        <w:t>承包人是否应为其施工设备等办理财产保险：</w:t>
      </w:r>
      <w:r>
        <w:rPr>
          <w:rFonts w:hint="eastAsia" w:ascii="宋体" w:hAnsi="宋体"/>
          <w:sz w:val="24"/>
          <w:u w:val="single"/>
        </w:rPr>
        <w:t xml:space="preserve">  由承包人自行决定。   </w:t>
      </w:r>
    </w:p>
    <w:p w14:paraId="1DF0A5B0">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18.7 通知义务</w:t>
      </w:r>
    </w:p>
    <w:p w14:paraId="79CFD50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kern w:val="0"/>
          <w:sz w:val="24"/>
        </w:rPr>
        <w:t>关于变更保险合同时的通知义务的约定：</w:t>
      </w:r>
      <w:r>
        <w:rPr>
          <w:rFonts w:hint="eastAsia" w:ascii="宋体" w:hAnsi="宋体"/>
          <w:sz w:val="24"/>
          <w:u w:val="single"/>
        </w:rPr>
        <w:t xml:space="preserve">  </w:t>
      </w:r>
      <w:r>
        <w:rPr>
          <w:rFonts w:hint="eastAsia" w:ascii="宋体" w:hAnsi="宋体"/>
          <w:kern w:val="0"/>
          <w:sz w:val="24"/>
          <w:u w:val="single"/>
        </w:rPr>
        <w:t>执行通用条款。</w:t>
      </w:r>
      <w:r>
        <w:rPr>
          <w:rFonts w:hint="eastAsia" w:ascii="宋体" w:hAnsi="宋体"/>
          <w:sz w:val="24"/>
          <w:u w:val="single"/>
        </w:rPr>
        <w:t xml:space="preserve">   </w:t>
      </w:r>
    </w:p>
    <w:bookmarkEnd w:id="403"/>
    <w:bookmarkEnd w:id="404"/>
    <w:bookmarkEnd w:id="405"/>
    <w:bookmarkEnd w:id="406"/>
    <w:bookmarkEnd w:id="407"/>
    <w:bookmarkEnd w:id="408"/>
    <w:bookmarkEnd w:id="409"/>
    <w:bookmarkEnd w:id="410"/>
    <w:bookmarkEnd w:id="411"/>
    <w:bookmarkEnd w:id="412"/>
    <w:bookmarkEnd w:id="413"/>
    <w:bookmarkEnd w:id="414"/>
    <w:p w14:paraId="46CF458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kern w:val="0"/>
          <w:sz w:val="24"/>
        </w:rPr>
      </w:pPr>
      <w:bookmarkStart w:id="430" w:name="_Toc351203651"/>
      <w:r>
        <w:rPr>
          <w:rFonts w:hint="eastAsia" w:ascii="宋体" w:hAnsi="宋体"/>
          <w:kern w:val="0"/>
          <w:sz w:val="24"/>
        </w:rPr>
        <w:t>20. 争议解决</w:t>
      </w:r>
      <w:bookmarkEnd w:id="430"/>
    </w:p>
    <w:bookmarkEnd w:id="415"/>
    <w:bookmarkEnd w:id="416"/>
    <w:p w14:paraId="45FF34E1">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20.3 争</w:t>
      </w:r>
      <w:bookmarkEnd w:id="417"/>
      <w:r>
        <w:rPr>
          <w:rFonts w:hint="eastAsia" w:ascii="宋体" w:hAnsi="宋体"/>
          <w:sz w:val="24"/>
        </w:rPr>
        <w:t>议评审</w:t>
      </w:r>
    </w:p>
    <w:p w14:paraId="0AC0D797">
      <w:pPr>
        <w:pStyle w:val="77"/>
        <w:tabs>
          <w:tab w:val="left" w:pos="360"/>
        </w:tabs>
        <w:adjustRightInd w:val="0"/>
        <w:snapToGrid w:val="0"/>
        <w:spacing w:line="360" w:lineRule="auto"/>
        <w:ind w:left="149" w:leftChars="71" w:right="178" w:rightChars="85" w:firstLine="480" w:firstLineChars="200"/>
        <w:rPr>
          <w:rFonts w:hint="eastAsia" w:ascii="宋体" w:hAnsi="宋体"/>
          <w:sz w:val="24"/>
        </w:rPr>
      </w:pPr>
      <w:r>
        <w:rPr>
          <w:rFonts w:hint="eastAsia" w:ascii="宋体" w:hAnsi="宋体"/>
          <w:sz w:val="24"/>
        </w:rPr>
        <w:t>合同当事人是否同意将工程争议提交争议评审小组决定：</w:t>
      </w:r>
      <w:r>
        <w:rPr>
          <w:rFonts w:hint="eastAsia" w:ascii="宋体" w:hAnsi="宋体"/>
          <w:sz w:val="24"/>
          <w:u w:val="single"/>
        </w:rPr>
        <w:t xml:space="preserve">  不采用。   </w:t>
      </w:r>
    </w:p>
    <w:p w14:paraId="1FE84B32">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20.3.1 争议评审小组的确定</w:t>
      </w:r>
    </w:p>
    <w:p w14:paraId="0DFC8C75">
      <w:pPr>
        <w:pStyle w:val="77"/>
        <w:tabs>
          <w:tab w:val="left" w:pos="360"/>
        </w:tabs>
        <w:adjustRightInd w:val="0"/>
        <w:snapToGrid w:val="0"/>
        <w:spacing w:line="360" w:lineRule="auto"/>
        <w:ind w:right="178" w:rightChars="85" w:firstLine="480" w:firstLineChars="200"/>
        <w:rPr>
          <w:rFonts w:hint="eastAsia" w:ascii="宋体" w:hAnsi="宋体"/>
          <w:sz w:val="24"/>
          <w:u w:val="single"/>
        </w:rPr>
      </w:pPr>
      <w:r>
        <w:rPr>
          <w:rFonts w:hint="eastAsia" w:ascii="宋体" w:hAnsi="宋体"/>
          <w:sz w:val="24"/>
        </w:rPr>
        <w:t>争议评审小组成员的确定：</w:t>
      </w:r>
      <w:r>
        <w:rPr>
          <w:rFonts w:hint="eastAsia" w:ascii="宋体" w:hAnsi="宋体"/>
          <w:sz w:val="24"/>
          <w:u w:val="single"/>
        </w:rPr>
        <w:t xml:space="preserve">  不采用。   </w:t>
      </w:r>
    </w:p>
    <w:p w14:paraId="0A1B5865">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选定争议评审员的期限：</w:t>
      </w:r>
      <w:r>
        <w:rPr>
          <w:rFonts w:hint="eastAsia" w:ascii="宋体" w:hAnsi="宋体"/>
          <w:sz w:val="24"/>
          <w:u w:val="single"/>
        </w:rPr>
        <w:t xml:space="preserve">  不采用。   </w:t>
      </w:r>
    </w:p>
    <w:p w14:paraId="65F50651">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争议评审小组成员的报酬承担方式：</w:t>
      </w:r>
      <w:r>
        <w:rPr>
          <w:rFonts w:hint="eastAsia" w:ascii="宋体" w:hAnsi="宋体"/>
          <w:sz w:val="24"/>
          <w:u w:val="single"/>
        </w:rPr>
        <w:t xml:space="preserve">  不采用。   </w:t>
      </w:r>
    </w:p>
    <w:p w14:paraId="31A5654F">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其他事项的约定：</w:t>
      </w:r>
      <w:r>
        <w:rPr>
          <w:rFonts w:hint="eastAsia" w:ascii="宋体" w:hAnsi="宋体"/>
          <w:sz w:val="24"/>
          <w:u w:val="single"/>
        </w:rPr>
        <w:t xml:space="preserve">  不采用。   </w:t>
      </w:r>
    </w:p>
    <w:p w14:paraId="7FAC103D">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kern w:val="0"/>
          <w:sz w:val="24"/>
        </w:rPr>
      </w:pPr>
      <w:r>
        <w:rPr>
          <w:rFonts w:hint="eastAsia" w:ascii="宋体" w:hAnsi="宋体"/>
          <w:kern w:val="0"/>
          <w:sz w:val="24"/>
        </w:rPr>
        <w:t>20.3.2 争议评审小组的决定</w:t>
      </w:r>
    </w:p>
    <w:p w14:paraId="0BDD74B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合同当事人关于本项的约定：</w:t>
      </w:r>
      <w:r>
        <w:rPr>
          <w:rFonts w:hint="eastAsia" w:ascii="宋体" w:hAnsi="宋体"/>
          <w:sz w:val="24"/>
          <w:u w:val="single"/>
        </w:rPr>
        <w:t xml:space="preserve">  不采用。   </w:t>
      </w:r>
    </w:p>
    <w:p w14:paraId="3BF0081A">
      <w:pPr>
        <w:pStyle w:val="77"/>
        <w:tabs>
          <w:tab w:val="left" w:pos="360"/>
        </w:tabs>
        <w:adjustRightInd w:val="0"/>
        <w:snapToGrid w:val="0"/>
        <w:spacing w:line="360" w:lineRule="auto"/>
        <w:ind w:right="178" w:rightChars="85" w:firstLine="480" w:firstLineChars="200"/>
        <w:outlineLvl w:val="3"/>
        <w:rPr>
          <w:rFonts w:hint="eastAsia" w:ascii="宋体" w:hAnsi="宋体"/>
          <w:sz w:val="24"/>
        </w:rPr>
      </w:pPr>
      <w:r>
        <w:rPr>
          <w:rFonts w:hint="eastAsia" w:ascii="宋体" w:hAnsi="宋体"/>
          <w:sz w:val="24"/>
        </w:rPr>
        <w:t>20.4仲裁或诉讼</w:t>
      </w:r>
      <w:bookmarkEnd w:id="418"/>
    </w:p>
    <w:p w14:paraId="6A603EB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因合同及合同有关事项发生的争议，按下列第</w:t>
      </w:r>
      <w:r>
        <w:rPr>
          <w:rFonts w:hint="eastAsia" w:ascii="宋体" w:hAnsi="宋体"/>
          <w:sz w:val="24"/>
          <w:u w:val="single"/>
        </w:rPr>
        <w:t xml:space="preserve"> ( 2 ) </w:t>
      </w:r>
      <w:r>
        <w:rPr>
          <w:rFonts w:hint="eastAsia" w:ascii="宋体" w:hAnsi="宋体"/>
          <w:sz w:val="24"/>
        </w:rPr>
        <w:t>种方式解决：</w:t>
      </w:r>
    </w:p>
    <w:p w14:paraId="37D68C1B">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（1）向</w:t>
      </w:r>
      <w:r>
        <w:rPr>
          <w:rFonts w:hint="eastAsia" w:ascii="宋体" w:hAnsi="宋体"/>
          <w:sz w:val="24"/>
          <w:u w:val="single"/>
        </w:rPr>
        <w:t xml:space="preserve">  合肥   </w:t>
      </w:r>
      <w:r>
        <w:rPr>
          <w:rFonts w:hint="eastAsia" w:ascii="宋体" w:hAnsi="宋体"/>
          <w:sz w:val="24"/>
        </w:rPr>
        <w:t>仲裁委员会申请仲裁；</w:t>
      </w:r>
    </w:p>
    <w:p w14:paraId="67CA5DE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（2）向</w:t>
      </w:r>
      <w:r>
        <w:rPr>
          <w:rFonts w:hint="eastAsia" w:ascii="宋体" w:hAnsi="宋体"/>
          <w:sz w:val="24"/>
          <w:u w:val="single"/>
        </w:rPr>
        <w:t xml:space="preserve">  工程所在地   </w:t>
      </w:r>
      <w:r>
        <w:rPr>
          <w:rFonts w:hint="eastAsia" w:ascii="宋体" w:hAnsi="宋体"/>
          <w:sz w:val="24"/>
        </w:rPr>
        <w:t>人民法院起诉。</w:t>
      </w:r>
      <w:bookmarkEnd w:id="419"/>
      <w:bookmarkEnd w:id="420"/>
      <w:bookmarkEnd w:id="421"/>
      <w:bookmarkEnd w:id="422"/>
      <w:bookmarkEnd w:id="423"/>
      <w:bookmarkEnd w:id="424"/>
    </w:p>
    <w:bookmarkEnd w:id="70"/>
    <w:p w14:paraId="4794586D">
      <w:pPr>
        <w:pStyle w:val="77"/>
        <w:tabs>
          <w:tab w:val="left" w:pos="360"/>
        </w:tabs>
        <w:autoSpaceDE w:val="0"/>
        <w:autoSpaceDN w:val="0"/>
        <w:adjustRightInd w:val="0"/>
        <w:snapToGrid w:val="0"/>
        <w:spacing w:line="360" w:lineRule="auto"/>
        <w:ind w:right="178" w:rightChars="85" w:firstLine="480" w:firstLineChars="200"/>
        <w:outlineLvl w:val="2"/>
        <w:rPr>
          <w:rFonts w:hint="eastAsia" w:ascii="宋体" w:hAnsi="宋体"/>
          <w:kern w:val="0"/>
          <w:sz w:val="24"/>
        </w:rPr>
      </w:pPr>
      <w:r>
        <w:rPr>
          <w:rFonts w:hint="eastAsia" w:ascii="宋体" w:hAnsi="宋体"/>
          <w:kern w:val="0"/>
          <w:sz w:val="24"/>
        </w:rPr>
        <w:t>21.补充条款</w:t>
      </w:r>
    </w:p>
    <w:p w14:paraId="0E2843A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本补充条款是专用条款的一部分，其解释顺序优先于专用条款内的其他条款。</w:t>
      </w:r>
    </w:p>
    <w:p w14:paraId="736A0E2F">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1.1人员及职责</w:t>
      </w:r>
    </w:p>
    <w:p w14:paraId="51620C7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1.1.1发包人委派的发包人代表或监理发包人代表（以下简称“发包人代表”）无权更改合同，也无权解除发包人和承包人的义务和责任。</w:t>
      </w:r>
    </w:p>
    <w:p w14:paraId="74F1CFA3">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1.1.2发包人代表的任何批准、检查、证书、同意、通知、建议、检验、指令和要求等不解除承包人在合同中的责任。</w:t>
      </w:r>
    </w:p>
    <w:p w14:paraId="0B5359CF">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1.1.3承包人只能从发包人代表或其授权代表处接受指令。</w:t>
      </w:r>
    </w:p>
    <w:p w14:paraId="1D618F5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1.1.4发包人如需更换发包人代表须提前7天通知承包人。</w:t>
      </w:r>
    </w:p>
    <w:p w14:paraId="0056195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1.1.5承包人的项目经理离开现场的，须经发包人代表同意，并书面指定临时代表，代为行使项目经理的权力；该临时代表的一切行为，甲方均认为是项目经理的行为。</w:t>
      </w:r>
    </w:p>
    <w:p w14:paraId="1991CDF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1.1.6承包人委派</w:t>
      </w:r>
      <w:r>
        <w:rPr>
          <w:rFonts w:hint="eastAsia" w:ascii="宋体" w:hAnsi="宋体"/>
          <w:kern w:val="0"/>
          <w:sz w:val="24"/>
          <w:u w:val="single"/>
        </w:rPr>
        <w:t xml:space="preserve">      </w:t>
      </w:r>
      <w:r>
        <w:rPr>
          <w:rFonts w:hint="eastAsia" w:ascii="宋体" w:hAnsi="宋体"/>
          <w:kern w:val="0"/>
          <w:sz w:val="24"/>
        </w:rPr>
        <w:t>经办人，负责工程施工过程中来往文件接收传递。</w:t>
      </w:r>
    </w:p>
    <w:p w14:paraId="166378C9">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1.1.7承包人提交发包人的任何文件，发包人都认为该文件已经承包人内部程序批准；承包人提交的文件发生修改的，应及时将最新版本提交发包人代表。</w:t>
      </w:r>
    </w:p>
    <w:p w14:paraId="25203CCC">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1.1.8承包人应始终采取一切合理防范措施来避免在项目人员内部发生违法、动乱或妨碍治安的行为，保持项目的安定；并保护好现场和周围的人员和财产安全。</w:t>
      </w:r>
    </w:p>
    <w:p w14:paraId="1F0AFFA0">
      <w:pPr>
        <w:pStyle w:val="77"/>
        <w:tabs>
          <w:tab w:val="left" w:pos="360"/>
        </w:tabs>
        <w:adjustRightInd w:val="0"/>
        <w:snapToGrid w:val="0"/>
        <w:spacing w:line="360" w:lineRule="auto"/>
        <w:ind w:right="178" w:rightChars="85" w:firstLine="480" w:firstLineChars="200"/>
        <w:outlineLvl w:val="4"/>
        <w:rPr>
          <w:rFonts w:hint="eastAsia" w:ascii="宋体" w:hAnsi="宋体"/>
          <w:sz w:val="24"/>
        </w:rPr>
      </w:pPr>
      <w:r>
        <w:rPr>
          <w:rFonts w:hint="eastAsia" w:ascii="宋体" w:hAnsi="宋体"/>
          <w:sz w:val="24"/>
        </w:rPr>
        <w:t>1.1.9承包人雇佣职员或工人应遵守相关法律法规的规定。</w:t>
      </w:r>
    </w:p>
    <w:p w14:paraId="4D440460">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6C3289F6">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1.1.11承包人更换项目经理的，须提前14天通知发包人，并征得发包人同意；该行为视为违约，承包人须支付发包人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万元违约金。更换后的项目经理资历、水平不得降低。</w:t>
      </w:r>
    </w:p>
    <w:p w14:paraId="0087933A">
      <w:pPr>
        <w:pStyle w:val="77"/>
        <w:tabs>
          <w:tab w:val="left" w:pos="360"/>
        </w:tabs>
        <w:adjustRightInd w:val="0"/>
        <w:snapToGrid w:val="0"/>
        <w:spacing w:line="360" w:lineRule="auto"/>
        <w:ind w:right="178" w:rightChars="85" w:firstLine="480" w:firstLineChars="200"/>
        <w:rPr>
          <w:rFonts w:hint="eastAsia" w:ascii="宋体" w:hAnsi="宋体"/>
          <w:sz w:val="24"/>
        </w:rPr>
      </w:pPr>
      <w:r>
        <w:rPr>
          <w:rFonts w:hint="eastAsia" w:ascii="宋体" w:hAnsi="宋体"/>
          <w:sz w:val="24"/>
        </w:rPr>
        <w:t>1.1.12承包人提交发包人的任何文件，都被认为该文件已经承包人内部程序批准；承包人提交的文件发生修改的，应及时将最新版本提交发包人代表。</w:t>
      </w:r>
    </w:p>
    <w:p w14:paraId="44069495">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1.2变更与调整</w:t>
      </w:r>
    </w:p>
    <w:p w14:paraId="710122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1.2.1在工程移交前，发包人代表有权签发变更指令，承包人应按照指令来实施变更，并进行工期和费用的估算，提交发包人代表。</w:t>
      </w:r>
    </w:p>
    <w:p w14:paraId="69796A7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1.2.2发包人代表收到承包人的估算后，可以决定撤销、修改或确认实施该项变更。</w:t>
      </w:r>
    </w:p>
    <w:p w14:paraId="3D7C7FA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1.2.3如果承包人认为自己的建议能缩短工期、降低工程实施或运营成本，或对业主产生其他利益，可以向发包人代表提交建议书；建议书的编制费用自理。</w:t>
      </w:r>
    </w:p>
    <w:p w14:paraId="1665E7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1.2.4如果发包人采纳承包人的建议节省了工程费用，将给予承包人节约费用适当比例的奖励。</w:t>
      </w:r>
    </w:p>
    <w:p w14:paraId="2D9FD87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1.2.5上一款中节省费用的计算方法为：降低的合同额度减去因变更而引起在工程质量、寿命、以及运营效率等方面为发包人带来的潜在损失。</w:t>
      </w:r>
    </w:p>
    <w:p w14:paraId="5B793F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1.2.6任何变更指令都应由发包人代表签发给承包人，承包人收到后应回函说明；涉及到费用调整的，按照相关条款执行。</w:t>
      </w:r>
    </w:p>
    <w:p w14:paraId="72BDF2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A120347">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kern w:val="0"/>
          <w:sz w:val="24"/>
        </w:rPr>
      </w:pPr>
      <w:r>
        <w:rPr>
          <w:rFonts w:hint="eastAsia" w:ascii="宋体" w:hAnsi="宋体"/>
          <w:kern w:val="0"/>
          <w:sz w:val="24"/>
        </w:rPr>
        <w:t>1.2.8未经发包人代表批准，承包人不得对工程进行任何变更。</w:t>
      </w:r>
    </w:p>
    <w:p w14:paraId="19E24297">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1.3分包与配合</w:t>
      </w:r>
    </w:p>
    <w:p w14:paraId="239914C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1ED9287A">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1.4结算</w:t>
      </w:r>
    </w:p>
    <w:p w14:paraId="13854B0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1.4.1承包人的投标报价（合同价款）是承包人基于业主提供的资料和现场数据及承包人的解释和现场考察计算出来的，覆盖了完成合同义务所包括的一切工作，不得以漏项或考虑不周提出索赔。</w:t>
      </w:r>
    </w:p>
    <w:p w14:paraId="68EA6F76">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kern w:val="0"/>
          <w:sz w:val="24"/>
        </w:rPr>
      </w:pPr>
      <w:r>
        <w:rPr>
          <w:rFonts w:hint="eastAsia" w:ascii="宋体" w:hAnsi="宋体"/>
          <w:kern w:val="0"/>
          <w:sz w:val="24"/>
        </w:rPr>
        <w:t>1.4.2水电费的结算：</w:t>
      </w:r>
    </w:p>
    <w:p w14:paraId="0534B94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（1）发包人在现场安装计量装置，承包人负责施工期间的保护，并在工程移交的同时完好地移交给发包人。</w:t>
      </w:r>
    </w:p>
    <w:p w14:paraId="73FA3BE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（2）承包人投标报价已经包含水电费用，工程结算时按照发包人实际缴纳的水电费在结算价（税前）中扣除。</w:t>
      </w:r>
    </w:p>
    <w:p w14:paraId="0D1622D9">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（3）因承包人保护不善造成计量装置损坏，承包人负责修复，并承担由此造成的增加费用（包括修复费用和水电损失费用以及可能发生的罚款或其他费用）。</w:t>
      </w:r>
    </w:p>
    <w:p w14:paraId="3369EDE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u w:val="single" w:color="FFFFFF"/>
        </w:rPr>
      </w:pPr>
      <w:r>
        <w:rPr>
          <w:rFonts w:hint="eastAsia" w:ascii="宋体" w:hAnsi="宋体"/>
          <w:kern w:val="0"/>
          <w:sz w:val="24"/>
          <w:u w:val="single" w:color="FFFFFF"/>
        </w:rPr>
        <w:t>1.4.3发包人供应材料设备的结算：材料按照总价的</w:t>
      </w:r>
      <w:r>
        <w:rPr>
          <w:rFonts w:hint="eastAsia" w:ascii="宋体" w:hAnsi="宋体"/>
          <w:kern w:val="0"/>
          <w:sz w:val="24"/>
          <w:u w:val="single"/>
        </w:rPr>
        <w:t xml:space="preserve">   /   </w:t>
      </w:r>
      <w:r>
        <w:rPr>
          <w:rFonts w:hint="eastAsia" w:ascii="宋体" w:hAnsi="宋体"/>
          <w:kern w:val="0"/>
          <w:sz w:val="24"/>
          <w:u w:val="single" w:color="FFFFFF"/>
        </w:rPr>
        <w:t>计取保管费（材料数量最多不超过设计文件的用量（可以计算定额损耗））；设备按照总价的</w:t>
      </w:r>
      <w:r>
        <w:rPr>
          <w:rFonts w:hint="eastAsia" w:ascii="宋体" w:hAnsi="宋体"/>
          <w:kern w:val="0"/>
          <w:sz w:val="24"/>
          <w:u w:val="single"/>
        </w:rPr>
        <w:t xml:space="preserve">   /   </w:t>
      </w:r>
      <w:r>
        <w:rPr>
          <w:rFonts w:hint="eastAsia" w:ascii="宋体" w:hAnsi="宋体"/>
          <w:kern w:val="0"/>
          <w:sz w:val="24"/>
          <w:u w:val="single" w:color="FFFFFF"/>
        </w:rPr>
        <w:t>计取保管费；此费用仅计取税金。</w:t>
      </w:r>
    </w:p>
    <w:p w14:paraId="2468210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3341B8B4">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kern w:val="0"/>
          <w:sz w:val="24"/>
        </w:rPr>
      </w:pPr>
      <w:r>
        <w:rPr>
          <w:rFonts w:hint="eastAsia" w:ascii="宋体" w:hAnsi="宋体"/>
          <w:kern w:val="0"/>
          <w:sz w:val="24"/>
        </w:rPr>
        <w:t>1.4.5对于发包人提供的工程量</w:t>
      </w:r>
    </w:p>
    <w:p w14:paraId="71E1030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清单中工程量的错误，承包人未在招标文件规定的异议截止日期前提出异议并附计算书的，工程结算时不再调整。</w:t>
      </w:r>
    </w:p>
    <w:p w14:paraId="1C6D531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20920678">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1.4.7对于发包人提供的工程量清单中的单项子目，承包人没有报价的，发包人认为视同该项价格已经包括在其他项目中。</w:t>
      </w:r>
    </w:p>
    <w:p w14:paraId="04053CA0">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kern w:val="0"/>
          <w:sz w:val="24"/>
        </w:rPr>
      </w:pPr>
      <w:r>
        <w:rPr>
          <w:rFonts w:hint="eastAsia" w:ascii="宋体" w:hAnsi="宋体"/>
          <w:kern w:val="0"/>
          <w:sz w:val="24"/>
        </w:rPr>
        <w:t>1.5其它补充条款：</w:t>
      </w:r>
    </w:p>
    <w:p w14:paraId="600676D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kern w:val="0"/>
          <w:sz w:val="24"/>
        </w:rPr>
      </w:pPr>
      <w:r>
        <w:rPr>
          <w:rFonts w:hint="eastAsia" w:ascii="宋体" w:hAnsi="宋体"/>
          <w:kern w:val="0"/>
          <w:sz w:val="24"/>
        </w:rPr>
        <w:t>在工程施工工程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27A2EF81">
      <w:pPr>
        <w:pStyle w:val="91"/>
        <w:spacing w:line="360" w:lineRule="auto"/>
        <w:ind w:left="250" w:leftChars="119" w:right="0" w:firstLine="118" w:firstLineChars="49"/>
        <w:outlineLvl w:val="3"/>
        <w:rPr>
          <w:rFonts w:hint="eastAsia" w:ascii="宋体" w:hAnsi="宋体"/>
          <w:b/>
          <w:szCs w:val="24"/>
        </w:rPr>
      </w:pPr>
      <w:r>
        <w:rPr>
          <w:rFonts w:hint="eastAsia" w:ascii="宋体" w:hAnsi="宋体"/>
          <w:b/>
          <w:szCs w:val="24"/>
        </w:rPr>
        <w:t>1.6其他：</w:t>
      </w:r>
    </w:p>
    <w:p w14:paraId="65EB4394">
      <w:pPr>
        <w:pStyle w:val="91"/>
        <w:spacing w:line="360" w:lineRule="auto"/>
        <w:ind w:left="250" w:leftChars="119" w:right="0" w:firstLine="118" w:firstLineChars="49"/>
        <w:rPr>
          <w:rFonts w:hint="eastAsia" w:ascii="宋体" w:hAnsi="宋体"/>
          <w:b/>
          <w:szCs w:val="24"/>
        </w:rPr>
      </w:pPr>
      <w:r>
        <w:rPr>
          <w:rFonts w:hint="eastAsia" w:ascii="宋体" w:hAnsi="宋体"/>
          <w:b/>
          <w:szCs w:val="24"/>
        </w:rPr>
        <w:t>1、中标人需在本项目建筑服务发生地主管国税机关办理《外出经营活动税收管理证明》报验备案，并依法预缴增值税、城市维护建设税及教育附加等相关税费（仅针对外地来肥建筑安装企业）。</w:t>
      </w:r>
    </w:p>
    <w:p w14:paraId="3C93DCA9">
      <w:pPr>
        <w:pStyle w:val="91"/>
        <w:spacing w:line="360" w:lineRule="auto"/>
        <w:ind w:left="250" w:right="0" w:firstLine="480"/>
        <w:rPr>
          <w:rFonts w:ascii="宋体" w:hAnsi="宋体"/>
          <w:b/>
          <w:szCs w:val="24"/>
        </w:rPr>
      </w:pPr>
      <w:r>
        <w:rPr>
          <w:rFonts w:hint="eastAsia" w:ascii="宋体" w:hAnsi="宋体"/>
          <w:b/>
          <w:szCs w:val="24"/>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531D598A">
      <w:pPr>
        <w:adjustRightInd w:val="0"/>
        <w:snapToGrid w:val="0"/>
        <w:spacing w:line="360" w:lineRule="auto"/>
        <w:ind w:right="420"/>
        <w:rPr>
          <w:rFonts w:hint="eastAsia" w:ascii="宋体" w:hAnsi="宋体"/>
          <w:b/>
          <w:color w:val="000000"/>
          <w:sz w:val="24"/>
          <w:szCs w:val="24"/>
        </w:rPr>
      </w:pPr>
    </w:p>
    <w:p w14:paraId="0968D34C">
      <w:pPr>
        <w:adjustRightInd w:val="0"/>
        <w:snapToGrid w:val="0"/>
        <w:spacing w:line="360" w:lineRule="auto"/>
        <w:rPr>
          <w:rFonts w:ascii="宋体" w:hAnsi="宋体"/>
          <w:sz w:val="24"/>
          <w:szCs w:val="24"/>
        </w:rPr>
      </w:pPr>
      <w:r>
        <w:rPr>
          <w:rFonts w:hint="eastAsia" w:ascii="宋体" w:hAnsi="宋体"/>
          <w:sz w:val="24"/>
          <w:szCs w:val="24"/>
        </w:rPr>
        <w:t>发包人：</w:t>
      </w:r>
      <w:r>
        <w:rPr>
          <w:rFonts w:ascii="宋体" w:hAnsi="宋体"/>
          <w:sz w:val="24"/>
          <w:szCs w:val="24"/>
        </w:rPr>
        <w:t xml:space="preserve">  (</w:t>
      </w: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承包人：</w:t>
      </w:r>
      <w:r>
        <w:rPr>
          <w:rFonts w:ascii="宋体" w:hAnsi="宋体"/>
          <w:sz w:val="24"/>
          <w:szCs w:val="24"/>
        </w:rPr>
        <w:t xml:space="preserve">  (</w:t>
      </w:r>
      <w:r>
        <w:rPr>
          <w:rFonts w:hint="eastAsia" w:ascii="宋体" w:hAnsi="宋体"/>
          <w:sz w:val="24"/>
          <w:szCs w:val="24"/>
        </w:rPr>
        <w:t>公章</w:t>
      </w:r>
      <w:r>
        <w:rPr>
          <w:rFonts w:ascii="宋体" w:hAnsi="宋体"/>
          <w:sz w:val="24"/>
          <w:szCs w:val="24"/>
        </w:rPr>
        <w:t>)</w:t>
      </w:r>
    </w:p>
    <w:p w14:paraId="5EE180A6">
      <w:pPr>
        <w:adjustRightInd w:val="0"/>
        <w:snapToGrid w:val="0"/>
        <w:spacing w:line="360" w:lineRule="auto"/>
        <w:rPr>
          <w:rFonts w:ascii="宋体" w:hAnsi="宋体"/>
          <w:sz w:val="24"/>
          <w:szCs w:val="24"/>
        </w:rPr>
      </w:pPr>
      <w:r>
        <w:rPr>
          <w:rFonts w:hint="eastAsia" w:ascii="宋体" w:hAnsi="宋体"/>
          <w:sz w:val="24"/>
          <w:szCs w:val="24"/>
        </w:rPr>
        <w:t>法定代表人或其委托代理人：</w:t>
      </w:r>
      <w:r>
        <w:rPr>
          <w:rFonts w:ascii="宋体" w:hAnsi="宋体"/>
          <w:sz w:val="24"/>
          <w:szCs w:val="24"/>
        </w:rPr>
        <w:t xml:space="preserve">  </w:t>
      </w:r>
      <w:r>
        <w:rPr>
          <w:rFonts w:hint="eastAsia" w:ascii="宋体" w:hAnsi="宋体"/>
          <w:sz w:val="24"/>
          <w:szCs w:val="24"/>
        </w:rPr>
        <w:t xml:space="preserve">               法定代表人或其委托代理人：</w:t>
      </w:r>
    </w:p>
    <w:p w14:paraId="5A76ED74">
      <w:pPr>
        <w:adjustRightInd w:val="0"/>
        <w:snapToGrid w:val="0"/>
        <w:spacing w:line="360" w:lineRule="auto"/>
        <w:rPr>
          <w:rFonts w:ascii="宋体" w:hAnsi="宋体"/>
          <w:sz w:val="24"/>
          <w:szCs w:val="24"/>
        </w:rPr>
      </w:pPr>
      <w:r>
        <w:rPr>
          <w:rFonts w:hint="eastAsia" w:ascii="宋体" w:hAnsi="宋体"/>
          <w:sz w:val="24"/>
          <w:szCs w:val="24"/>
        </w:rPr>
        <w:t>（签字）</w:t>
      </w:r>
      <w:r>
        <w:rPr>
          <w:rFonts w:ascii="宋体" w:hAnsi="宋体"/>
          <w:sz w:val="24"/>
          <w:szCs w:val="24"/>
        </w:rPr>
        <w:t xml:space="preserve">                    </w:t>
      </w:r>
      <w:r>
        <w:rPr>
          <w:rFonts w:hint="eastAsia" w:ascii="宋体" w:hAnsi="宋体"/>
          <w:sz w:val="24"/>
          <w:szCs w:val="24"/>
        </w:rPr>
        <w:t xml:space="preserve">              （签字）</w:t>
      </w:r>
    </w:p>
    <w:p w14:paraId="464B2CDF">
      <w:pPr>
        <w:adjustRightInd w:val="0"/>
        <w:snapToGrid w:val="0"/>
        <w:spacing w:line="360" w:lineRule="auto"/>
        <w:rPr>
          <w:rFonts w:ascii="宋体" w:hAnsi="宋体"/>
          <w:sz w:val="24"/>
          <w:szCs w:val="24"/>
        </w:rPr>
      </w:pPr>
      <w:r>
        <w:rPr>
          <w:rFonts w:hint="eastAsia" w:ascii="宋体" w:hAnsi="宋体"/>
          <w:sz w:val="24"/>
          <w:szCs w:val="24"/>
        </w:rPr>
        <w:t>组织机构代码：</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组织机构代码：</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p>
    <w:p w14:paraId="6387F39B">
      <w:pPr>
        <w:adjustRightInd w:val="0"/>
        <w:snapToGrid w:val="0"/>
        <w:spacing w:line="360" w:lineRule="auto"/>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地</w:t>
      </w:r>
      <w:r>
        <w:rPr>
          <w:rFonts w:ascii="宋体" w:hAnsi="宋体"/>
          <w:sz w:val="24"/>
          <w:szCs w:val="24"/>
        </w:rPr>
        <w:t xml:space="preserve">  </w:t>
      </w:r>
      <w:r>
        <w:rPr>
          <w:rFonts w:hint="eastAsia" w:ascii="宋体" w:hAnsi="宋体"/>
          <w:sz w:val="24"/>
          <w:szCs w:val="24"/>
        </w:rPr>
        <w:t>址：</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p>
    <w:p w14:paraId="6C05F757">
      <w:pPr>
        <w:adjustRightInd w:val="0"/>
        <w:snapToGrid w:val="0"/>
        <w:spacing w:line="360" w:lineRule="auto"/>
        <w:rPr>
          <w:rFonts w:ascii="宋体" w:hAnsi="宋体"/>
          <w:sz w:val="24"/>
          <w:szCs w:val="24"/>
        </w:rPr>
      </w:pPr>
      <w:r>
        <w:rPr>
          <w:rFonts w:hint="eastAsia" w:ascii="宋体" w:hAnsi="宋体"/>
          <w:sz w:val="24"/>
          <w:szCs w:val="24"/>
        </w:rPr>
        <w:t>邮政编码：</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邮政编码：</w:t>
      </w:r>
      <w:r>
        <w:rPr>
          <w:rFonts w:hint="eastAsia" w:ascii="宋体" w:hAnsi="宋体" w:cs="宋体"/>
          <w:sz w:val="24"/>
          <w:szCs w:val="24"/>
          <w:u w:val="single"/>
        </w:rPr>
        <w:t></w:t>
      </w:r>
      <w:r>
        <w:rPr>
          <w:rFonts w:ascii="宋体" w:hAnsi="宋体"/>
          <w:sz w:val="24"/>
          <w:szCs w:val="24"/>
          <w:u w:val="single"/>
        </w:rPr>
        <w:t xml:space="preserve">   </w:t>
      </w:r>
    </w:p>
    <w:p w14:paraId="07CAE20B">
      <w:pPr>
        <w:adjustRightInd w:val="0"/>
        <w:snapToGrid w:val="0"/>
        <w:spacing w:line="360" w:lineRule="auto"/>
        <w:rPr>
          <w:rFonts w:ascii="宋体" w:hAnsi="宋体"/>
          <w:sz w:val="24"/>
          <w:szCs w:val="24"/>
        </w:rPr>
      </w:pPr>
      <w:r>
        <w:rPr>
          <w:rFonts w:hint="eastAsia" w:ascii="宋体" w:hAnsi="宋体"/>
          <w:sz w:val="24"/>
          <w:szCs w:val="24"/>
        </w:rPr>
        <w:t>法定代表人：</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法定代表人：</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p>
    <w:p w14:paraId="29D5F842">
      <w:pPr>
        <w:adjustRightInd w:val="0"/>
        <w:snapToGrid w:val="0"/>
        <w:spacing w:line="360" w:lineRule="auto"/>
        <w:rPr>
          <w:rFonts w:ascii="宋体" w:hAnsi="宋体"/>
          <w:sz w:val="24"/>
          <w:szCs w:val="24"/>
        </w:rPr>
      </w:pPr>
      <w:r>
        <w:rPr>
          <w:rFonts w:hint="eastAsia" w:ascii="宋体" w:hAnsi="宋体"/>
          <w:sz w:val="24"/>
          <w:szCs w:val="24"/>
        </w:rPr>
        <w:t>委托代理人：</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委托代理人：</w:t>
      </w:r>
      <w:r>
        <w:rPr>
          <w:rFonts w:hint="eastAsia" w:ascii="宋体" w:hAnsi="宋体" w:cs="宋体"/>
          <w:sz w:val="24"/>
          <w:szCs w:val="24"/>
          <w:u w:val="single"/>
        </w:rPr>
        <w:t></w:t>
      </w:r>
      <w:r>
        <w:rPr>
          <w:rFonts w:ascii="宋体" w:hAnsi="宋体"/>
          <w:sz w:val="24"/>
          <w:szCs w:val="24"/>
          <w:u w:val="single"/>
        </w:rPr>
        <w:t xml:space="preserve">             </w:t>
      </w:r>
    </w:p>
    <w:p w14:paraId="02608440">
      <w:pPr>
        <w:adjustRightInd w:val="0"/>
        <w:snapToGrid w:val="0"/>
        <w:spacing w:line="360" w:lineRule="auto"/>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电</w:t>
      </w:r>
      <w:r>
        <w:rPr>
          <w:rFonts w:ascii="宋体" w:hAnsi="宋体"/>
          <w:sz w:val="24"/>
          <w:szCs w:val="24"/>
        </w:rPr>
        <w:t xml:space="preserve">  </w:t>
      </w:r>
      <w:r>
        <w:rPr>
          <w:rFonts w:hint="eastAsia" w:ascii="宋体" w:hAnsi="宋体"/>
          <w:sz w:val="24"/>
          <w:szCs w:val="24"/>
        </w:rPr>
        <w:t>话：</w:t>
      </w:r>
      <w:r>
        <w:rPr>
          <w:rFonts w:hint="eastAsia" w:ascii="宋体" w:hAnsi="宋体" w:cs="宋体"/>
          <w:sz w:val="24"/>
          <w:szCs w:val="24"/>
          <w:u w:val="single"/>
        </w:rPr>
        <w:t></w:t>
      </w:r>
      <w:r>
        <w:rPr>
          <w:rFonts w:ascii="宋体" w:hAnsi="宋体"/>
          <w:sz w:val="24"/>
          <w:szCs w:val="24"/>
          <w:u w:val="single"/>
        </w:rPr>
        <w:t xml:space="preserve">     </w:t>
      </w:r>
    </w:p>
    <w:p w14:paraId="2CD20188">
      <w:pPr>
        <w:adjustRightInd w:val="0"/>
        <w:snapToGrid w:val="0"/>
        <w:spacing w:line="360" w:lineRule="auto"/>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传</w:t>
      </w:r>
      <w:r>
        <w:rPr>
          <w:rFonts w:ascii="宋体" w:hAnsi="宋体"/>
          <w:sz w:val="24"/>
          <w:szCs w:val="24"/>
        </w:rPr>
        <w:t xml:space="preserve">  </w:t>
      </w:r>
      <w:r>
        <w:rPr>
          <w:rFonts w:hint="eastAsia" w:ascii="宋体" w:hAnsi="宋体"/>
          <w:sz w:val="24"/>
          <w:szCs w:val="24"/>
        </w:rPr>
        <w:t>真：</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p>
    <w:p w14:paraId="45398563">
      <w:pPr>
        <w:adjustRightInd w:val="0"/>
        <w:snapToGrid w:val="0"/>
        <w:spacing w:line="360" w:lineRule="auto"/>
        <w:rPr>
          <w:rFonts w:ascii="宋体" w:hAnsi="宋体"/>
          <w:sz w:val="24"/>
          <w:szCs w:val="24"/>
        </w:rPr>
      </w:pPr>
      <w:r>
        <w:rPr>
          <w:rFonts w:hint="eastAsia" w:ascii="宋体" w:hAnsi="宋体"/>
          <w:sz w:val="24"/>
          <w:szCs w:val="24"/>
        </w:rPr>
        <w:t>电子信箱：</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电子信箱：</w:t>
      </w:r>
      <w:r>
        <w:rPr>
          <w:rFonts w:hint="eastAsia" w:ascii="宋体" w:hAnsi="宋体" w:cs="宋体"/>
          <w:sz w:val="24"/>
          <w:szCs w:val="24"/>
          <w:u w:val="single"/>
        </w:rPr>
        <w:t></w:t>
      </w:r>
      <w:r>
        <w:rPr>
          <w:rFonts w:ascii="宋体" w:hAnsi="宋体"/>
          <w:sz w:val="24"/>
          <w:szCs w:val="24"/>
          <w:u w:val="single"/>
        </w:rPr>
        <w:t xml:space="preserve">   </w:t>
      </w:r>
    </w:p>
    <w:p w14:paraId="4BFC2373">
      <w:pPr>
        <w:adjustRightInd w:val="0"/>
        <w:snapToGrid w:val="0"/>
        <w:spacing w:line="360" w:lineRule="auto"/>
        <w:rPr>
          <w:rFonts w:ascii="宋体" w:hAnsi="宋体"/>
          <w:sz w:val="24"/>
          <w:szCs w:val="24"/>
        </w:rPr>
      </w:pPr>
      <w:r>
        <w:rPr>
          <w:rFonts w:hint="eastAsia" w:ascii="宋体" w:hAnsi="宋体"/>
          <w:sz w:val="24"/>
          <w:szCs w:val="24"/>
        </w:rPr>
        <w:t>开户银行：</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开户银行：</w:t>
      </w:r>
      <w:r>
        <w:rPr>
          <w:rFonts w:hint="eastAsia" w:ascii="宋体" w:hAnsi="宋体" w:cs="宋体"/>
          <w:sz w:val="24"/>
          <w:szCs w:val="24"/>
          <w:u w:val="single"/>
        </w:rPr>
        <w:t></w:t>
      </w:r>
      <w:r>
        <w:rPr>
          <w:rFonts w:ascii="宋体" w:hAnsi="宋体"/>
          <w:sz w:val="24"/>
          <w:szCs w:val="24"/>
          <w:u w:val="single"/>
        </w:rPr>
        <w:t xml:space="preserve">   </w:t>
      </w:r>
    </w:p>
    <w:p w14:paraId="72FA57B7">
      <w:pPr>
        <w:adjustRightInd w:val="0"/>
        <w:snapToGrid w:val="0"/>
        <w:spacing w:line="360" w:lineRule="auto"/>
        <w:rPr>
          <w:rFonts w:ascii="宋体" w:hAnsi="宋体"/>
          <w:sz w:val="24"/>
          <w:szCs w:val="24"/>
        </w:rPr>
      </w:pPr>
      <w:r>
        <w:rPr>
          <w:rFonts w:hint="eastAsia" w:ascii="宋体" w:hAnsi="宋体"/>
          <w:sz w:val="24"/>
          <w:szCs w:val="24"/>
        </w:rPr>
        <w:t>账</w:t>
      </w:r>
      <w:r>
        <w:rPr>
          <w:rFonts w:ascii="宋体" w:hAnsi="宋体"/>
          <w:sz w:val="24"/>
          <w:szCs w:val="24"/>
        </w:rPr>
        <w:t xml:space="preserve">  </w:t>
      </w:r>
      <w:r>
        <w:rPr>
          <w:rFonts w:hint="eastAsia" w:ascii="宋体" w:hAnsi="宋体"/>
          <w:sz w:val="24"/>
          <w:szCs w:val="24"/>
        </w:rPr>
        <w:t>号：</w:t>
      </w:r>
      <w:r>
        <w:rPr>
          <w:rFonts w:hint="eastAsia" w:ascii="宋体" w:hAnsi="宋体" w:cs="宋体"/>
          <w:sz w:val="24"/>
          <w:szCs w:val="24"/>
          <w:u w:val="single"/>
        </w:rPr>
        <w:t></w:t>
      </w:r>
      <w:r>
        <w:rPr>
          <w:rFonts w:ascii="宋体" w:hAnsi="宋体"/>
          <w:sz w:val="24"/>
          <w:szCs w:val="24"/>
          <w:u w:val="single"/>
        </w:rPr>
        <w:t xml:space="preserve"> </w:t>
      </w:r>
      <w:r>
        <w:rPr>
          <w:rFonts w:hint="eastAsia" w:ascii="宋体" w:hAnsi="宋体" w:cs="宋体"/>
          <w:sz w:val="24"/>
          <w:szCs w:val="24"/>
          <w:u w:val="single"/>
        </w:rPr>
        <w:t></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账</w:t>
      </w:r>
      <w:r>
        <w:rPr>
          <w:rFonts w:ascii="宋体" w:hAnsi="宋体"/>
          <w:sz w:val="24"/>
          <w:szCs w:val="24"/>
        </w:rPr>
        <w:t xml:space="preserve">  </w:t>
      </w:r>
      <w:r>
        <w:rPr>
          <w:rFonts w:hint="eastAsia" w:ascii="宋体" w:hAnsi="宋体"/>
          <w:sz w:val="24"/>
          <w:szCs w:val="24"/>
        </w:rPr>
        <w:t>号：</w:t>
      </w:r>
      <w:r>
        <w:rPr>
          <w:rFonts w:hint="eastAsia" w:ascii="宋体" w:hAnsi="宋体" w:cs="宋体"/>
          <w:sz w:val="24"/>
          <w:szCs w:val="24"/>
          <w:u w:val="single"/>
        </w:rPr>
        <w:t></w:t>
      </w:r>
      <w:r>
        <w:rPr>
          <w:rFonts w:ascii="宋体" w:hAnsi="宋体"/>
          <w:sz w:val="24"/>
          <w:szCs w:val="24"/>
          <w:u w:val="single"/>
        </w:rPr>
        <w:t xml:space="preserve">     </w:t>
      </w:r>
    </w:p>
    <w:p w14:paraId="6DF78184">
      <w:pPr>
        <w:rPr>
          <w:rFonts w:ascii="宋体" w:hAnsi="宋体"/>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bookmarkEnd w:id="71"/>
    <w:p w14:paraId="5DC12A0D">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w:t>
      </w:r>
    </w:p>
    <w:p w14:paraId="0114B192">
      <w:pPr>
        <w:adjustRightInd w:val="0"/>
        <w:snapToGrid w:val="0"/>
        <w:spacing w:before="120" w:beforeLines="50" w:after="120" w:afterLines="50" w:line="360" w:lineRule="auto"/>
        <w:jc w:val="center"/>
        <w:outlineLvl w:val="4"/>
        <w:rPr>
          <w:rFonts w:hint="eastAsia" w:ascii="宋体" w:hAnsi="宋体"/>
          <w:b/>
          <w:color w:val="000000"/>
          <w:sz w:val="24"/>
          <w:szCs w:val="24"/>
        </w:rPr>
      </w:pPr>
      <w:r>
        <w:rPr>
          <w:rFonts w:hint="eastAsia" w:ascii="宋体" w:hAnsi="宋体"/>
          <w:b/>
          <w:color w:val="000000"/>
          <w:sz w:val="24"/>
          <w:szCs w:val="24"/>
        </w:rPr>
        <w:t>工程质量保修书</w:t>
      </w:r>
    </w:p>
    <w:p w14:paraId="40A80674">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发包人（全称）：</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14:paraId="5670D1B6">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承包人（全称）：</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14:paraId="2C401E0E">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发包人和承包人根据《中华人民共和国建筑法》和《建设工程质量管理条例》，经协商一致就</w:t>
      </w:r>
      <w:r>
        <w:rPr>
          <w:rFonts w:hint="eastAsia" w:ascii="宋体" w:hAnsi="宋体"/>
          <w:color w:val="000000"/>
          <w:sz w:val="24"/>
          <w:szCs w:val="24"/>
          <w:u w:val="single"/>
        </w:rPr>
        <w:t xml:space="preserve">                </w:t>
      </w:r>
      <w:r>
        <w:rPr>
          <w:rFonts w:hint="eastAsia" w:ascii="宋体" w:hAnsi="宋体"/>
          <w:color w:val="000000"/>
          <w:sz w:val="24"/>
          <w:szCs w:val="24"/>
        </w:rPr>
        <w:t>（工程全称）签订工程质量保修书。</w:t>
      </w:r>
    </w:p>
    <w:p w14:paraId="73B56351">
      <w:pPr>
        <w:adjustRightInd w:val="0"/>
        <w:snapToGrid w:val="0"/>
        <w:spacing w:line="360" w:lineRule="auto"/>
        <w:outlineLvl w:val="4"/>
        <w:rPr>
          <w:rFonts w:hint="eastAsia" w:ascii="宋体" w:hAnsi="宋体"/>
          <w:color w:val="000000"/>
          <w:sz w:val="24"/>
          <w:szCs w:val="24"/>
        </w:rPr>
      </w:pPr>
      <w:r>
        <w:rPr>
          <w:rFonts w:hint="eastAsia" w:ascii="宋体" w:hAnsi="宋体"/>
          <w:color w:val="000000"/>
          <w:sz w:val="24"/>
          <w:szCs w:val="24"/>
        </w:rPr>
        <w:t>　　一、工程质量保修范围和内容</w:t>
      </w:r>
    </w:p>
    <w:p w14:paraId="6A4A3F92">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承包人在质量保修期内，按照有关法律规定和合同约定，承担工程质量保修责任。</w:t>
      </w:r>
    </w:p>
    <w:p w14:paraId="3CAFE9CB">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05A61F6">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w:t>
      </w:r>
      <w:r>
        <w:rPr>
          <w:rFonts w:hint="eastAsia" w:ascii="宋体" w:hAnsi="宋体"/>
          <w:color w:val="000000"/>
          <w:sz w:val="24"/>
          <w:szCs w:val="24"/>
          <w:u w:val="single"/>
        </w:rPr>
        <w:t xml:space="preserve">                                                                            </w:t>
      </w:r>
    </w:p>
    <w:p w14:paraId="2FFE22EC">
      <w:pPr>
        <w:adjustRightInd w:val="0"/>
        <w:snapToGrid w:val="0"/>
        <w:spacing w:line="360" w:lineRule="auto"/>
        <w:outlineLvl w:val="4"/>
        <w:rPr>
          <w:rFonts w:hint="eastAsia" w:ascii="宋体" w:hAnsi="宋体"/>
          <w:color w:val="000000"/>
          <w:sz w:val="24"/>
          <w:szCs w:val="24"/>
        </w:rPr>
      </w:pPr>
      <w:r>
        <w:rPr>
          <w:rFonts w:hint="eastAsia" w:ascii="宋体" w:hAnsi="宋体"/>
          <w:b/>
          <w:color w:val="000000"/>
          <w:sz w:val="24"/>
          <w:szCs w:val="24"/>
        </w:rPr>
        <w:t>　　</w:t>
      </w:r>
      <w:r>
        <w:rPr>
          <w:rFonts w:hint="eastAsia" w:ascii="宋体" w:hAnsi="宋体"/>
          <w:color w:val="000000"/>
          <w:sz w:val="24"/>
          <w:szCs w:val="24"/>
        </w:rPr>
        <w:t>二、质量保修期</w:t>
      </w:r>
    </w:p>
    <w:p w14:paraId="5EDBF04D">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根据《建设工程质量管理条例》及有关规定，工程的质量保修期如下：</w:t>
      </w:r>
    </w:p>
    <w:p w14:paraId="2F979AE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color w:val="000000"/>
          <w:sz w:val="24"/>
          <w:szCs w:val="24"/>
        </w:rPr>
        <w:t>．</w:t>
      </w:r>
      <w:r>
        <w:rPr>
          <w:rFonts w:hint="eastAsia" w:ascii="宋体" w:hAnsi="宋体"/>
          <w:sz w:val="24"/>
          <w:szCs w:val="24"/>
        </w:rPr>
        <w:t>地基基础工程和主体结构工程为设计文件规定的工程合理使用年限；</w:t>
      </w:r>
    </w:p>
    <w:p w14:paraId="715597A0">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sz w:val="24"/>
          <w:szCs w:val="24"/>
        </w:rPr>
        <w:t>．</w:t>
      </w:r>
      <w:r>
        <w:rPr>
          <w:rFonts w:hint="eastAsia" w:ascii="宋体" w:hAnsi="宋体"/>
          <w:color w:val="000000"/>
          <w:sz w:val="24"/>
          <w:szCs w:val="24"/>
        </w:rPr>
        <w:t>屋面防水工程、有防水要求的卫生间、房间和外墙面的防渗为</w:t>
      </w:r>
      <w:r>
        <w:rPr>
          <w:rFonts w:hint="eastAsia" w:ascii="宋体" w:hAnsi="宋体"/>
          <w:color w:val="000000"/>
          <w:sz w:val="24"/>
          <w:szCs w:val="24"/>
          <w:u w:val="single"/>
        </w:rPr>
        <w:t xml:space="preserve">   5     </w:t>
      </w:r>
      <w:r>
        <w:rPr>
          <w:rFonts w:hint="eastAsia" w:ascii="宋体" w:hAnsi="宋体"/>
          <w:color w:val="000000"/>
          <w:sz w:val="24"/>
          <w:szCs w:val="24"/>
        </w:rPr>
        <w:t>年；</w:t>
      </w:r>
    </w:p>
    <w:p w14:paraId="6453E4AF">
      <w:pPr>
        <w:adjustRightInd w:val="0"/>
        <w:snapToGrid w:val="0"/>
        <w:spacing w:line="360" w:lineRule="auto"/>
        <w:ind w:firstLine="480" w:firstLineChars="200"/>
        <w:outlineLvl w:val="2"/>
        <w:rPr>
          <w:rFonts w:hint="eastAsia" w:ascii="宋体" w:hAnsi="宋体"/>
          <w:color w:val="000000"/>
          <w:sz w:val="24"/>
          <w:szCs w:val="24"/>
        </w:rPr>
      </w:pPr>
      <w:r>
        <w:rPr>
          <w:rFonts w:hint="eastAsia" w:ascii="宋体" w:hAnsi="宋体"/>
          <w:color w:val="000000"/>
          <w:sz w:val="24"/>
          <w:szCs w:val="24"/>
        </w:rPr>
        <w:t>3</w:t>
      </w:r>
      <w:r>
        <w:rPr>
          <w:rFonts w:hint="eastAsia" w:ascii="宋体" w:hAnsi="宋体"/>
          <w:sz w:val="24"/>
          <w:szCs w:val="24"/>
        </w:rPr>
        <w:t>．</w:t>
      </w:r>
      <w:r>
        <w:rPr>
          <w:rFonts w:hint="eastAsia" w:ascii="宋体" w:hAnsi="宋体"/>
          <w:color w:val="000000"/>
          <w:sz w:val="24"/>
          <w:szCs w:val="24"/>
        </w:rPr>
        <w:t>装修工程为</w:t>
      </w:r>
      <w:r>
        <w:rPr>
          <w:rFonts w:hint="eastAsia" w:ascii="宋体" w:hAnsi="宋体"/>
          <w:color w:val="000000"/>
          <w:sz w:val="24"/>
          <w:szCs w:val="24"/>
          <w:u w:val="single"/>
        </w:rPr>
        <w:t xml:space="preserve">    2     </w:t>
      </w:r>
      <w:r>
        <w:rPr>
          <w:rFonts w:hint="eastAsia" w:ascii="宋体" w:hAnsi="宋体"/>
          <w:color w:val="000000"/>
          <w:sz w:val="24"/>
          <w:szCs w:val="24"/>
        </w:rPr>
        <w:t>年；</w:t>
      </w:r>
    </w:p>
    <w:p w14:paraId="41C8927B">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w:t>
      </w:r>
      <w:r>
        <w:rPr>
          <w:rFonts w:hint="eastAsia" w:ascii="宋体" w:hAnsi="宋体"/>
          <w:sz w:val="24"/>
          <w:szCs w:val="24"/>
        </w:rPr>
        <w:t>．</w:t>
      </w:r>
      <w:r>
        <w:rPr>
          <w:rFonts w:hint="eastAsia" w:ascii="宋体" w:hAnsi="宋体"/>
          <w:color w:val="000000"/>
          <w:sz w:val="24"/>
          <w:szCs w:val="24"/>
        </w:rPr>
        <w:t>电气管线、给排水管道、设备安装工程为</w:t>
      </w:r>
      <w:r>
        <w:rPr>
          <w:rFonts w:hint="eastAsia" w:ascii="宋体" w:hAnsi="宋体"/>
          <w:color w:val="000000"/>
          <w:sz w:val="24"/>
          <w:szCs w:val="24"/>
          <w:u w:val="single"/>
        </w:rPr>
        <w:t xml:space="preserve">     2    </w:t>
      </w:r>
      <w:r>
        <w:rPr>
          <w:rFonts w:hint="eastAsia" w:ascii="宋体" w:hAnsi="宋体"/>
          <w:color w:val="000000"/>
          <w:sz w:val="24"/>
          <w:szCs w:val="24"/>
        </w:rPr>
        <w:t>年；</w:t>
      </w:r>
    </w:p>
    <w:p w14:paraId="5EE9BCAA">
      <w:pPr>
        <w:adjustRightInd w:val="0"/>
        <w:snapToGrid w:val="0"/>
        <w:spacing w:line="360" w:lineRule="auto"/>
        <w:ind w:firstLine="480" w:firstLineChars="200"/>
        <w:outlineLvl w:val="2"/>
        <w:rPr>
          <w:rFonts w:hint="eastAsia" w:ascii="宋体" w:hAnsi="宋体"/>
          <w:color w:val="000000"/>
          <w:sz w:val="24"/>
          <w:szCs w:val="24"/>
        </w:rPr>
      </w:pPr>
      <w:r>
        <w:rPr>
          <w:rFonts w:hint="eastAsia" w:ascii="宋体" w:hAnsi="宋体"/>
          <w:color w:val="000000"/>
          <w:sz w:val="24"/>
          <w:szCs w:val="24"/>
        </w:rPr>
        <w:t>5</w:t>
      </w:r>
      <w:r>
        <w:rPr>
          <w:rFonts w:hint="eastAsia" w:ascii="宋体" w:hAnsi="宋体"/>
          <w:sz w:val="24"/>
          <w:szCs w:val="24"/>
        </w:rPr>
        <w:t>．</w:t>
      </w:r>
      <w:r>
        <w:rPr>
          <w:rFonts w:hint="eastAsia" w:ascii="宋体" w:hAnsi="宋体"/>
          <w:color w:val="000000"/>
          <w:sz w:val="24"/>
          <w:szCs w:val="24"/>
        </w:rPr>
        <w:t>供热与供冷系统为</w:t>
      </w:r>
      <w:r>
        <w:rPr>
          <w:rFonts w:hint="eastAsia" w:ascii="宋体" w:hAnsi="宋体"/>
          <w:color w:val="000000"/>
          <w:sz w:val="24"/>
          <w:szCs w:val="24"/>
          <w:u w:val="single"/>
        </w:rPr>
        <w:t xml:space="preserve">     2    </w:t>
      </w:r>
      <w:r>
        <w:rPr>
          <w:rFonts w:hint="eastAsia" w:ascii="宋体" w:hAnsi="宋体"/>
          <w:color w:val="000000"/>
          <w:sz w:val="24"/>
          <w:szCs w:val="24"/>
        </w:rPr>
        <w:t>个采暖期、供冷期；</w:t>
      </w:r>
    </w:p>
    <w:p w14:paraId="466CDD93">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6</w:t>
      </w:r>
      <w:r>
        <w:rPr>
          <w:rFonts w:hint="eastAsia" w:ascii="宋体" w:hAnsi="宋体"/>
          <w:sz w:val="24"/>
          <w:szCs w:val="24"/>
        </w:rPr>
        <w:t>．</w:t>
      </w:r>
      <w:r>
        <w:rPr>
          <w:rFonts w:hint="eastAsia" w:ascii="宋体" w:hAnsi="宋体"/>
          <w:color w:val="000000"/>
          <w:sz w:val="24"/>
          <w:szCs w:val="24"/>
        </w:rPr>
        <w:t>住宅小区内的给排水设施、道路等配套工程为</w:t>
      </w:r>
      <w:r>
        <w:rPr>
          <w:rFonts w:hint="eastAsia" w:ascii="宋体" w:hAnsi="宋体"/>
          <w:color w:val="000000"/>
          <w:sz w:val="24"/>
          <w:szCs w:val="24"/>
          <w:u w:val="single"/>
        </w:rPr>
        <w:t xml:space="preserve">    2     </w:t>
      </w:r>
      <w:r>
        <w:rPr>
          <w:rFonts w:hint="eastAsia" w:ascii="宋体" w:hAnsi="宋体"/>
          <w:color w:val="000000"/>
          <w:sz w:val="24"/>
          <w:szCs w:val="24"/>
        </w:rPr>
        <w:t>年；</w:t>
      </w:r>
    </w:p>
    <w:p w14:paraId="70EB21B9">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7</w:t>
      </w:r>
      <w:r>
        <w:rPr>
          <w:rFonts w:hint="eastAsia" w:ascii="宋体" w:hAnsi="宋体"/>
          <w:sz w:val="24"/>
          <w:szCs w:val="24"/>
        </w:rPr>
        <w:t>．</w:t>
      </w:r>
      <w:r>
        <w:rPr>
          <w:rFonts w:hint="eastAsia" w:ascii="宋体" w:hAnsi="宋体"/>
          <w:color w:val="000000"/>
          <w:sz w:val="24"/>
          <w:szCs w:val="24"/>
        </w:rPr>
        <w:t>其他项目保修期限约定如下：</w:t>
      </w:r>
      <w:r>
        <w:rPr>
          <w:rFonts w:hint="eastAsia" w:ascii="宋体" w:hAnsi="宋体"/>
          <w:color w:val="000000"/>
          <w:sz w:val="24"/>
          <w:szCs w:val="24"/>
          <w:u w:val="single"/>
        </w:rPr>
        <w:t xml:space="preserve">     保温工程5年        </w:t>
      </w:r>
      <w:r>
        <w:rPr>
          <w:rFonts w:hint="eastAsia" w:ascii="宋体" w:hAnsi="宋体"/>
          <w:color w:val="000000"/>
          <w:sz w:val="24"/>
          <w:szCs w:val="24"/>
        </w:rPr>
        <w:t>。</w:t>
      </w:r>
    </w:p>
    <w:p w14:paraId="0D38C44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质量保修期自工程竣工验收合格之日起计算。</w:t>
      </w:r>
    </w:p>
    <w:p w14:paraId="1D7CC082">
      <w:pPr>
        <w:adjustRightInd w:val="0"/>
        <w:snapToGrid w:val="0"/>
        <w:spacing w:line="360" w:lineRule="auto"/>
        <w:ind w:firstLine="480" w:firstLineChars="200"/>
        <w:outlineLvl w:val="3"/>
        <w:rPr>
          <w:rFonts w:hint="eastAsia" w:ascii="宋体" w:hAnsi="宋体"/>
          <w:color w:val="000000"/>
          <w:sz w:val="24"/>
          <w:szCs w:val="24"/>
        </w:rPr>
      </w:pPr>
      <w:r>
        <w:rPr>
          <w:rFonts w:hint="eastAsia" w:ascii="宋体" w:hAnsi="宋体"/>
          <w:color w:val="000000"/>
          <w:sz w:val="24"/>
          <w:szCs w:val="24"/>
        </w:rPr>
        <w:t>三、缺陷责任期</w:t>
      </w:r>
    </w:p>
    <w:p w14:paraId="6C05544C">
      <w:pPr>
        <w:adjustRightInd w:val="0"/>
        <w:snapToGrid w:val="0"/>
        <w:spacing w:line="360" w:lineRule="auto"/>
        <w:ind w:firstLine="480" w:firstLineChars="200"/>
        <w:rPr>
          <w:rFonts w:hint="eastAsia" w:ascii="宋体" w:hAnsi="宋体"/>
          <w:color w:val="000000"/>
          <w:sz w:val="24"/>
          <w:szCs w:val="24"/>
        </w:rPr>
      </w:pPr>
      <w:r>
        <w:rPr>
          <w:rFonts w:hint="eastAsia" w:ascii="宋体" w:hAnsi="宋体"/>
          <w:b/>
          <w:color w:val="000000"/>
          <w:sz w:val="24"/>
          <w:szCs w:val="24"/>
        </w:rPr>
        <w:t>工程缺陷责任期为</w:t>
      </w:r>
      <w:r>
        <w:rPr>
          <w:rFonts w:hint="eastAsia" w:ascii="宋体" w:hAnsi="宋体"/>
          <w:b/>
          <w:color w:val="000000"/>
          <w:sz w:val="24"/>
          <w:szCs w:val="24"/>
          <w:u w:val="single"/>
        </w:rPr>
        <w:t xml:space="preserve">  24个月   </w:t>
      </w:r>
      <w:r>
        <w:rPr>
          <w:rFonts w:hint="eastAsia" w:ascii="宋体" w:hAnsi="宋体"/>
          <w:b/>
          <w:color w:val="000000"/>
          <w:sz w:val="24"/>
          <w:szCs w:val="24"/>
        </w:rPr>
        <w:t>，</w:t>
      </w:r>
      <w:r>
        <w:rPr>
          <w:rFonts w:hint="eastAsia" w:ascii="宋体" w:hAnsi="宋体"/>
          <w:color w:val="000000"/>
          <w:sz w:val="24"/>
          <w:szCs w:val="24"/>
        </w:rPr>
        <w:t>缺陷责任期自工程竣工验收合格之日起计算。单位工程先于全部工程进行验收，单位工程缺陷责任期自单位工程验收合格之日起算。</w:t>
      </w:r>
    </w:p>
    <w:p w14:paraId="314631B4">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缺陷责任期终止后，发包人应退还剩余的质量保证金。</w:t>
      </w:r>
    </w:p>
    <w:p w14:paraId="090B2CB0">
      <w:pPr>
        <w:adjustRightInd w:val="0"/>
        <w:snapToGrid w:val="0"/>
        <w:spacing w:line="360" w:lineRule="auto"/>
        <w:outlineLvl w:val="3"/>
        <w:rPr>
          <w:rFonts w:hint="eastAsia" w:ascii="宋体" w:hAnsi="宋体"/>
          <w:color w:val="000000"/>
          <w:sz w:val="24"/>
          <w:szCs w:val="24"/>
        </w:rPr>
      </w:pPr>
      <w:r>
        <w:rPr>
          <w:rFonts w:hint="eastAsia" w:ascii="宋体" w:hAnsi="宋体"/>
          <w:color w:val="000000"/>
          <w:sz w:val="24"/>
          <w:szCs w:val="24"/>
        </w:rPr>
        <w:t xml:space="preserve">    四、质量保修责任</w:t>
      </w:r>
    </w:p>
    <w:p w14:paraId="77711084">
      <w:pPr>
        <w:adjustRightInd w:val="0"/>
        <w:snapToGrid w:val="0"/>
        <w:spacing w:line="360" w:lineRule="auto"/>
        <w:ind w:firstLine="491" w:firstLineChars="205"/>
        <w:rPr>
          <w:rFonts w:hint="eastAsia" w:ascii="宋体" w:hAnsi="宋体"/>
          <w:color w:val="000000"/>
          <w:sz w:val="24"/>
          <w:szCs w:val="24"/>
        </w:rPr>
      </w:pPr>
      <w:r>
        <w:rPr>
          <w:rFonts w:hint="eastAsia" w:ascii="宋体" w:hAnsi="宋体"/>
          <w:color w:val="000000"/>
          <w:sz w:val="24"/>
          <w:szCs w:val="24"/>
        </w:rPr>
        <w:t>1</w:t>
      </w:r>
      <w:r>
        <w:rPr>
          <w:rFonts w:hint="eastAsia" w:ascii="宋体" w:hAnsi="宋体"/>
          <w:sz w:val="24"/>
          <w:szCs w:val="24"/>
        </w:rPr>
        <w:t>．</w:t>
      </w:r>
      <w:r>
        <w:rPr>
          <w:rFonts w:hint="eastAsia" w:ascii="宋体" w:hAnsi="宋体"/>
          <w:color w:val="000000"/>
          <w:sz w:val="24"/>
          <w:szCs w:val="24"/>
        </w:rPr>
        <w:t>属于保修范围、内容的项目，承包人应当在接到保修通知之日起7天内派人保修。承包人不在约定期限内派人保修的，发包人可以委托他人修理。</w:t>
      </w:r>
    </w:p>
    <w:p w14:paraId="612EAE3F">
      <w:pPr>
        <w:adjustRightInd w:val="0"/>
        <w:snapToGrid w:val="0"/>
        <w:spacing w:line="360" w:lineRule="auto"/>
        <w:ind w:firstLine="491" w:firstLineChars="205"/>
        <w:rPr>
          <w:rFonts w:hint="eastAsia" w:ascii="宋体" w:hAnsi="宋体"/>
          <w:color w:val="000000"/>
          <w:sz w:val="24"/>
          <w:szCs w:val="24"/>
        </w:rPr>
      </w:pPr>
      <w:r>
        <w:rPr>
          <w:rFonts w:hint="eastAsia" w:ascii="宋体" w:hAnsi="宋体"/>
          <w:color w:val="000000"/>
          <w:sz w:val="24"/>
          <w:szCs w:val="24"/>
        </w:rPr>
        <w:t>2</w:t>
      </w:r>
      <w:r>
        <w:rPr>
          <w:rFonts w:hint="eastAsia" w:ascii="宋体" w:hAnsi="宋体"/>
          <w:sz w:val="24"/>
          <w:szCs w:val="24"/>
        </w:rPr>
        <w:t>．</w:t>
      </w:r>
      <w:r>
        <w:rPr>
          <w:rFonts w:hint="eastAsia" w:ascii="宋体" w:hAnsi="宋体"/>
          <w:color w:val="000000"/>
          <w:sz w:val="24"/>
          <w:szCs w:val="24"/>
        </w:rPr>
        <w:t>发生紧急事故需抢修的，承包人在接到事故通知后，应当立即到达事故现场抢修。</w:t>
      </w:r>
    </w:p>
    <w:p w14:paraId="2964035F">
      <w:pPr>
        <w:adjustRightInd w:val="0"/>
        <w:snapToGrid w:val="0"/>
        <w:spacing w:line="360" w:lineRule="auto"/>
        <w:ind w:firstLine="491" w:firstLineChars="205"/>
        <w:rPr>
          <w:rFonts w:hint="eastAsia" w:ascii="宋体" w:hAnsi="宋体"/>
          <w:color w:val="000000"/>
          <w:sz w:val="24"/>
          <w:szCs w:val="24"/>
        </w:rPr>
      </w:pPr>
      <w:r>
        <w:rPr>
          <w:rFonts w:hint="eastAsia" w:ascii="宋体" w:hAnsi="宋体"/>
          <w:color w:val="000000"/>
          <w:sz w:val="24"/>
          <w:szCs w:val="24"/>
        </w:rPr>
        <w:t>3</w:t>
      </w:r>
      <w:r>
        <w:rPr>
          <w:rFonts w:hint="eastAsia" w:ascii="宋体" w:hAnsi="宋体"/>
          <w:sz w:val="24"/>
          <w:szCs w:val="24"/>
        </w:rPr>
        <w:t>．</w:t>
      </w:r>
      <w:r>
        <w:rPr>
          <w:rFonts w:hint="eastAsia" w:ascii="宋体" w:hAnsi="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90B429">
      <w:pPr>
        <w:adjustRightInd w:val="0"/>
        <w:snapToGrid w:val="0"/>
        <w:spacing w:line="360" w:lineRule="auto"/>
        <w:ind w:firstLine="491" w:firstLineChars="205"/>
        <w:outlineLvl w:val="2"/>
        <w:rPr>
          <w:rFonts w:hint="eastAsia" w:ascii="宋体" w:hAnsi="宋体"/>
          <w:color w:val="000000"/>
          <w:sz w:val="24"/>
          <w:szCs w:val="24"/>
        </w:rPr>
      </w:pPr>
      <w:r>
        <w:rPr>
          <w:rFonts w:hint="eastAsia" w:ascii="宋体" w:hAnsi="宋体"/>
          <w:color w:val="000000"/>
          <w:sz w:val="24"/>
          <w:szCs w:val="24"/>
        </w:rPr>
        <w:t>4</w:t>
      </w:r>
      <w:r>
        <w:rPr>
          <w:rFonts w:hint="eastAsia" w:ascii="宋体" w:hAnsi="宋体"/>
          <w:sz w:val="24"/>
          <w:szCs w:val="24"/>
        </w:rPr>
        <w:t>．</w:t>
      </w:r>
      <w:r>
        <w:rPr>
          <w:rFonts w:hint="eastAsia" w:ascii="宋体" w:hAnsi="宋体"/>
          <w:color w:val="000000"/>
          <w:sz w:val="24"/>
          <w:szCs w:val="24"/>
        </w:rPr>
        <w:t>质量保修完成后，由发包人组织验收。</w:t>
      </w:r>
    </w:p>
    <w:p w14:paraId="1CBCC5EB">
      <w:pPr>
        <w:adjustRightInd w:val="0"/>
        <w:snapToGrid w:val="0"/>
        <w:spacing w:line="360" w:lineRule="auto"/>
        <w:outlineLvl w:val="3"/>
        <w:rPr>
          <w:rFonts w:hint="eastAsia" w:ascii="宋体" w:hAnsi="宋体"/>
          <w:color w:val="000000"/>
          <w:sz w:val="24"/>
          <w:szCs w:val="24"/>
        </w:rPr>
      </w:pPr>
      <w:r>
        <w:rPr>
          <w:rFonts w:hint="eastAsia" w:ascii="宋体" w:hAnsi="宋体"/>
          <w:color w:val="000000"/>
          <w:sz w:val="24"/>
          <w:szCs w:val="24"/>
        </w:rPr>
        <w:t>　　五、保修费用</w:t>
      </w:r>
    </w:p>
    <w:p w14:paraId="6037327A">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保修费用由造成质量缺陷的责任方承担。</w:t>
      </w:r>
    </w:p>
    <w:p w14:paraId="3853FDB7">
      <w:pPr>
        <w:adjustRightInd w:val="0"/>
        <w:snapToGrid w:val="0"/>
        <w:spacing w:line="360" w:lineRule="auto"/>
        <w:ind w:firstLine="600"/>
        <w:rPr>
          <w:rFonts w:hint="eastAsia" w:ascii="宋体" w:hAnsi="宋体"/>
          <w:color w:val="000000"/>
          <w:sz w:val="24"/>
          <w:szCs w:val="24"/>
        </w:rPr>
      </w:pPr>
      <w:r>
        <w:rPr>
          <w:rFonts w:hint="eastAsia" w:ascii="宋体" w:hAnsi="宋体"/>
          <w:b/>
          <w:color w:val="000000"/>
          <w:sz w:val="24"/>
          <w:szCs w:val="24"/>
        </w:rPr>
        <w:t>六</w:t>
      </w:r>
      <w:r>
        <w:rPr>
          <w:rFonts w:hint="eastAsia" w:ascii="宋体" w:hAnsi="宋体"/>
          <w:color w:val="000000"/>
          <w:sz w:val="24"/>
          <w:szCs w:val="24"/>
        </w:rPr>
        <w:t>、双方约定的其他工程质量保修事项：</w:t>
      </w:r>
      <w:r>
        <w:rPr>
          <w:rFonts w:hint="eastAsia" w:ascii="宋体" w:hAnsi="宋体"/>
          <w:color w:val="000000"/>
          <w:sz w:val="24"/>
          <w:szCs w:val="24"/>
          <w:u w:val="single"/>
        </w:rPr>
        <w:t xml:space="preserve">             </w:t>
      </w:r>
      <w:r>
        <w:rPr>
          <w:rFonts w:hint="eastAsia" w:ascii="宋体" w:hAnsi="宋体"/>
          <w:color w:val="000000"/>
          <w:sz w:val="24"/>
          <w:szCs w:val="24"/>
        </w:rPr>
        <w:t>。</w:t>
      </w:r>
    </w:p>
    <w:p w14:paraId="3061352A">
      <w:pPr>
        <w:adjustRightInd w:val="0"/>
        <w:snapToGrid w:val="0"/>
        <w:spacing w:line="360" w:lineRule="auto"/>
        <w:ind w:firstLine="456" w:firstLineChars="190"/>
        <w:rPr>
          <w:rFonts w:hint="eastAsia" w:ascii="宋体" w:hAnsi="宋体"/>
          <w:color w:val="000000"/>
          <w:sz w:val="24"/>
          <w:szCs w:val="24"/>
        </w:rPr>
      </w:pPr>
      <w:r>
        <w:rPr>
          <w:rFonts w:hint="eastAsia" w:ascii="宋体" w:hAnsi="宋体"/>
          <w:color w:val="000000"/>
          <w:sz w:val="24"/>
          <w:szCs w:val="24"/>
        </w:rPr>
        <w:t>工程质量保修书由发包人、承包人在工程竣工验收前共同签署，作为施工合同附件，其有效期限至保修期满。</w:t>
      </w:r>
    </w:p>
    <w:p w14:paraId="147C55E3">
      <w:pPr>
        <w:adjustRightInd w:val="0"/>
        <w:snapToGrid w:val="0"/>
        <w:spacing w:line="360" w:lineRule="auto"/>
        <w:ind w:firstLine="420"/>
        <w:rPr>
          <w:rFonts w:hint="eastAsia" w:ascii="宋体" w:hAnsi="宋体"/>
          <w:color w:val="000000"/>
          <w:sz w:val="24"/>
          <w:szCs w:val="24"/>
        </w:rPr>
      </w:pPr>
    </w:p>
    <w:p w14:paraId="35240B84">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发包人(公章)：</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承包人(公章)：</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6CB4DD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地  址：</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E46AED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法定代表人(签字)：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法定代表人(签字)：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5C589F04">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委托代理人(签字)：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委托代理人(签字)：</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4FA88F85">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电  话：</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电  话：</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011A4639">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传  真：</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传  真：</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F455D10">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开户银行：</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124ADBED">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账  号：</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账  号：</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A3D08C4">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邮政编码：</w:t>
      </w:r>
      <w:r>
        <w:rPr>
          <w:rFonts w:hint="eastAsia" w:ascii="宋体" w:hAnsi="宋体"/>
          <w:color w:val="000000"/>
          <w:sz w:val="24"/>
          <w:szCs w:val="24"/>
          <w:u w:val="single"/>
        </w:rPr>
        <w:t xml:space="preserve"> </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r>
        <w:rPr>
          <w:rFonts w:hint="eastAsia" w:ascii="宋体" w:hAnsi="宋体"/>
          <w:color w:val="000000"/>
          <w:sz w:val="24"/>
          <w:szCs w:val="24"/>
        </w:rPr>
        <w:t xml:space="preserve"> 邮政编码：</w:t>
      </w:r>
      <w:r>
        <w:rPr>
          <w:rFonts w:hint="eastAsia" w:ascii="宋体" w:hAnsi="宋体" w:cs="宋体"/>
          <w:color w:val="000000"/>
          <w:sz w:val="24"/>
          <w:szCs w:val="24"/>
          <w:u w:val="single"/>
        </w:rPr>
        <w:t></w:t>
      </w:r>
      <w:r>
        <w:rPr>
          <w:rFonts w:hint="eastAsia" w:ascii="宋体" w:hAnsi="宋体"/>
          <w:color w:val="000000"/>
          <w:sz w:val="24"/>
          <w:szCs w:val="24"/>
          <w:u w:val="single"/>
        </w:rPr>
        <w:t xml:space="preserve">   </w:t>
      </w:r>
    </w:p>
    <w:p w14:paraId="6F10B6E4">
      <w:pPr>
        <w:spacing w:before="100" w:beforeLines="50" w:beforeAutospacing="1" w:after="100" w:afterLines="30" w:afterAutospacing="1" w:line="360" w:lineRule="auto"/>
        <w:rPr>
          <w:rFonts w:ascii="宋体" w:hAnsi="宋体"/>
          <w:sz w:val="24"/>
          <w:szCs w:val="27"/>
        </w:rPr>
      </w:pPr>
    </w:p>
    <w:p w14:paraId="1CB2E234">
      <w:pPr>
        <w:spacing w:before="120" w:beforeLines="50" w:after="72" w:afterLines="30" w:line="360" w:lineRule="auto"/>
        <w:rPr>
          <w:rFonts w:ascii="宋体" w:hAnsi="宋体"/>
          <w:sz w:val="24"/>
          <w:szCs w:val="27"/>
        </w:rPr>
      </w:pPr>
      <w:r>
        <w:rPr>
          <w:rFonts w:hint="eastAsia" w:ascii="宋体" w:hAnsi="宋体" w:cs="宋体"/>
          <w:b/>
          <w:kern w:val="0"/>
          <w:sz w:val="24"/>
          <w:szCs w:val="24"/>
        </w:rPr>
        <w:t>备注：本合同的约定如与本项目招标文件的投标人须知前附表和招标需求的约定不一致的地方，以投标人须知前附表和招标需求的约定为准。</w:t>
      </w:r>
    </w:p>
    <w:p w14:paraId="1342D21F">
      <w:pPr>
        <w:spacing w:line="360" w:lineRule="auto"/>
        <w:rPr>
          <w:rFonts w:hint="eastAsia"/>
          <w:color w:val="000000"/>
        </w:rPr>
      </w:pPr>
    </w:p>
    <w:p w14:paraId="491FAE7D">
      <w:pPr>
        <w:spacing w:line="360" w:lineRule="auto"/>
        <w:rPr>
          <w:rFonts w:hint="eastAsia"/>
          <w:color w:val="000000"/>
        </w:rPr>
      </w:pPr>
    </w:p>
    <w:p w14:paraId="48C94EA7">
      <w:pPr>
        <w:spacing w:line="360" w:lineRule="auto"/>
        <w:rPr>
          <w:rFonts w:hint="eastAsia"/>
          <w:color w:val="000000"/>
        </w:rPr>
      </w:pPr>
    </w:p>
    <w:p w14:paraId="2A379C89">
      <w:pPr>
        <w:spacing w:line="360" w:lineRule="auto"/>
        <w:rPr>
          <w:rFonts w:hint="eastAsia"/>
          <w:color w:val="000000"/>
        </w:rPr>
      </w:pPr>
    </w:p>
    <w:p w14:paraId="6180DED8">
      <w:pPr>
        <w:spacing w:line="360" w:lineRule="auto"/>
        <w:rPr>
          <w:rFonts w:hint="eastAsia"/>
          <w:color w:val="000000"/>
        </w:rPr>
      </w:pPr>
    </w:p>
    <w:p w14:paraId="5475998C">
      <w:pPr>
        <w:spacing w:line="360" w:lineRule="auto"/>
        <w:rPr>
          <w:rFonts w:hint="eastAsia"/>
          <w:color w:val="000000"/>
        </w:rPr>
      </w:pPr>
    </w:p>
    <w:p w14:paraId="7E5C9B30">
      <w:pPr>
        <w:pStyle w:val="3"/>
        <w:keepNext/>
        <w:keepLines/>
        <w:pageBreakBefore/>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ascii="黑体" w:hAnsi="宋体"/>
          <w:color w:val="000000"/>
        </w:rPr>
      </w:pPr>
      <w:bookmarkStart w:id="431" w:name="_Toc328559333"/>
      <w:r>
        <w:rPr>
          <w:rFonts w:hint="eastAsia" w:ascii="宋体" w:hAnsi="宋体" w:eastAsia="宋体"/>
          <w:color w:val="000000"/>
        </w:rPr>
        <w:t>第</w:t>
      </w:r>
      <w:r>
        <w:rPr>
          <w:rFonts w:hint="eastAsia" w:ascii="宋体" w:hAnsi="宋体" w:eastAsia="宋体"/>
          <w:color w:val="000000"/>
          <w:lang w:eastAsia="zh-CN"/>
        </w:rPr>
        <w:t>七</w:t>
      </w:r>
      <w:r>
        <w:rPr>
          <w:rFonts w:hint="eastAsia" w:ascii="宋体" w:hAnsi="宋体" w:eastAsia="宋体"/>
          <w:color w:val="000000"/>
        </w:rPr>
        <w:t>章 投标文件格式</w:t>
      </w:r>
      <w:bookmarkEnd w:id="41"/>
      <w:bookmarkEnd w:id="42"/>
      <w:bookmarkEnd w:id="43"/>
      <w:bookmarkEnd w:id="431"/>
    </w:p>
    <w:p w14:paraId="23EC65D1">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000000"/>
        </w:rPr>
      </w:pPr>
      <w:bookmarkStart w:id="432" w:name="_Toc328559335"/>
      <w:bookmarkStart w:id="433" w:name="_Toc273602354"/>
      <w:bookmarkStart w:id="434" w:name="_Toc245714172"/>
      <w:bookmarkStart w:id="435" w:name="_Toc232592019"/>
      <w:bookmarkStart w:id="436" w:name="_Toc220232394"/>
      <w:r>
        <w:rPr>
          <w:rFonts w:hint="eastAsia" w:ascii="黑体"/>
          <w:color w:val="000000"/>
        </w:rPr>
        <w:t>●</w:t>
      </w:r>
      <w:r>
        <w:rPr>
          <w:rFonts w:hint="eastAsia"/>
          <w:color w:val="000000"/>
        </w:rPr>
        <w:t>技术标</w:t>
      </w:r>
      <w:bookmarkEnd w:id="432"/>
      <w:bookmarkEnd w:id="433"/>
      <w:bookmarkEnd w:id="434"/>
    </w:p>
    <w:p w14:paraId="63BEA3A2">
      <w:pPr>
        <w:spacing w:line="900" w:lineRule="exact"/>
        <w:jc w:val="center"/>
        <w:rPr>
          <w:rFonts w:hint="eastAsia" w:ascii="宋体" w:hAnsi="宋体"/>
          <w:b/>
          <w:color w:val="000000"/>
          <w:sz w:val="44"/>
          <w:szCs w:val="44"/>
        </w:rPr>
      </w:pPr>
    </w:p>
    <w:p w14:paraId="1CDB8860">
      <w:pPr>
        <w:spacing w:line="900" w:lineRule="exact"/>
        <w:jc w:val="left"/>
        <w:rPr>
          <w:rFonts w:hint="default" w:ascii="宋体" w:hAnsi="宋体" w:eastAsia="宋体"/>
          <w:b/>
          <w:color w:val="000000"/>
          <w:sz w:val="44"/>
          <w:szCs w:val="44"/>
          <w:lang w:val="en-US" w:eastAsia="zh-CN"/>
        </w:rPr>
      </w:pPr>
      <w:r>
        <w:rPr>
          <w:rFonts w:hint="eastAsia" w:ascii="宋体" w:hAnsi="宋体"/>
          <w:b/>
          <w:color w:val="000000"/>
          <w:sz w:val="44"/>
          <w:szCs w:val="44"/>
          <w:u w:val="single"/>
          <w:lang w:val="en-US" w:eastAsia="zh-CN"/>
        </w:rPr>
        <w:t xml:space="preserve">                       </w:t>
      </w:r>
      <w:r>
        <w:rPr>
          <w:rFonts w:hint="eastAsia" w:ascii="宋体" w:hAnsi="宋体"/>
          <w:b/>
          <w:color w:val="000000"/>
          <w:sz w:val="44"/>
          <w:szCs w:val="44"/>
          <w:u w:val="none"/>
          <w:lang w:val="en-US" w:eastAsia="zh-CN"/>
        </w:rPr>
        <w:t>（项目名称）</w:t>
      </w:r>
    </w:p>
    <w:p w14:paraId="73A59AE0">
      <w:pPr>
        <w:spacing w:line="900" w:lineRule="exact"/>
        <w:jc w:val="center"/>
        <w:rPr>
          <w:rFonts w:hint="eastAsia" w:ascii="宋体" w:hAnsi="宋体"/>
          <w:b/>
          <w:color w:val="000000"/>
          <w:sz w:val="72"/>
        </w:rPr>
      </w:pPr>
      <w:r>
        <w:rPr>
          <w:rFonts w:hint="eastAsia" w:ascii="宋体" w:hAnsi="宋体"/>
          <w:b/>
          <w:color w:val="000000"/>
          <w:sz w:val="72"/>
        </w:rPr>
        <w:t>投</w:t>
      </w:r>
    </w:p>
    <w:p w14:paraId="5C23982D">
      <w:pPr>
        <w:spacing w:line="900" w:lineRule="exact"/>
        <w:jc w:val="center"/>
        <w:rPr>
          <w:rFonts w:hint="eastAsia" w:ascii="宋体" w:hAnsi="宋体"/>
          <w:b/>
          <w:color w:val="000000"/>
          <w:sz w:val="72"/>
        </w:rPr>
      </w:pPr>
      <w:r>
        <w:rPr>
          <w:rFonts w:hint="eastAsia" w:ascii="宋体" w:hAnsi="宋体"/>
          <w:b/>
          <w:color w:val="000000"/>
          <w:sz w:val="72"/>
        </w:rPr>
        <w:t>标</w:t>
      </w:r>
    </w:p>
    <w:p w14:paraId="3E9A2EF2">
      <w:pPr>
        <w:spacing w:line="900" w:lineRule="exact"/>
        <w:jc w:val="center"/>
        <w:rPr>
          <w:rFonts w:hint="eastAsia" w:ascii="宋体" w:hAnsi="宋体"/>
          <w:b/>
          <w:color w:val="000000"/>
          <w:sz w:val="72"/>
        </w:rPr>
      </w:pPr>
      <w:r>
        <w:rPr>
          <w:rFonts w:hint="eastAsia" w:ascii="宋体" w:hAnsi="宋体"/>
          <w:b/>
          <w:color w:val="000000"/>
          <w:sz w:val="72"/>
        </w:rPr>
        <w:t>文</w:t>
      </w:r>
    </w:p>
    <w:p w14:paraId="4E6B0D16">
      <w:pPr>
        <w:jc w:val="center"/>
        <w:rPr>
          <w:rFonts w:hint="eastAsia" w:ascii="宋体" w:hAnsi="宋体"/>
          <w:b/>
          <w:color w:val="000000"/>
          <w:sz w:val="72"/>
        </w:rPr>
      </w:pPr>
      <w:r>
        <w:rPr>
          <w:rFonts w:hint="eastAsia" w:ascii="宋体" w:hAnsi="宋体"/>
          <w:b/>
          <w:color w:val="000000"/>
          <w:sz w:val="72"/>
        </w:rPr>
        <w:t>件</w:t>
      </w:r>
    </w:p>
    <w:p w14:paraId="73CE656B">
      <w:pPr>
        <w:spacing w:after="120" w:afterLines="50" w:line="500" w:lineRule="exact"/>
        <w:jc w:val="center"/>
        <w:rPr>
          <w:rFonts w:hint="eastAsia" w:ascii="宋体" w:hAnsi="宋体"/>
          <w:b/>
          <w:color w:val="000000"/>
          <w:sz w:val="36"/>
          <w:szCs w:val="36"/>
        </w:rPr>
      </w:pPr>
      <w:r>
        <w:rPr>
          <w:rFonts w:hint="eastAsia" w:ascii="宋体" w:hAnsi="宋体"/>
          <w:b/>
          <w:color w:val="000000"/>
          <w:sz w:val="36"/>
          <w:szCs w:val="36"/>
        </w:rPr>
        <w:t>【技术标】</w:t>
      </w:r>
    </w:p>
    <w:p w14:paraId="1B6F4728">
      <w:pPr>
        <w:spacing w:after="120" w:afterLines="50" w:line="500" w:lineRule="exact"/>
        <w:jc w:val="center"/>
        <w:rPr>
          <w:rFonts w:hint="eastAsia" w:ascii="宋体" w:hAnsi="宋体"/>
          <w:b/>
          <w:color w:val="000000"/>
          <w:sz w:val="72"/>
        </w:rPr>
      </w:pPr>
    </w:p>
    <w:p w14:paraId="06AEAAD7">
      <w:pPr>
        <w:spacing w:after="120" w:afterLines="50" w:line="500" w:lineRule="exact"/>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u w:val="single"/>
        </w:rPr>
        <w:t xml:space="preserve">   </w:t>
      </w:r>
    </w:p>
    <w:p w14:paraId="69D3FD1D">
      <w:pPr>
        <w:spacing w:after="120"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17FF1D49">
      <w:pPr>
        <w:pStyle w:val="4"/>
        <w:outlineLvl w:val="9"/>
        <w:rPr>
          <w:rFonts w:hint="eastAsia" w:hAnsi="宋体"/>
          <w:color w:val="000000"/>
          <w:sz w:val="28"/>
        </w:rPr>
      </w:pPr>
    </w:p>
    <w:p w14:paraId="0079920D">
      <w:pPr>
        <w:rPr>
          <w:rFonts w:hint="eastAsia"/>
          <w:color w:val="000000"/>
        </w:rPr>
      </w:pPr>
    </w:p>
    <w:p w14:paraId="5D05C301">
      <w:pPr>
        <w:rPr>
          <w:rFonts w:hint="eastAsia"/>
          <w:color w:val="000000"/>
        </w:rPr>
      </w:pPr>
    </w:p>
    <w:p w14:paraId="494EF8BA">
      <w:pPr>
        <w:rPr>
          <w:rFonts w:hint="eastAsia"/>
          <w:color w:val="000000"/>
        </w:rPr>
      </w:pPr>
    </w:p>
    <w:p w14:paraId="65542D26">
      <w:pPr>
        <w:rPr>
          <w:rFonts w:hint="eastAsia"/>
          <w:color w:val="000000"/>
        </w:rPr>
      </w:pPr>
    </w:p>
    <w:p w14:paraId="2D2A87AE">
      <w:pPr>
        <w:rPr>
          <w:rFonts w:hint="eastAsia"/>
          <w:color w:val="000000"/>
        </w:rPr>
      </w:pPr>
    </w:p>
    <w:p w14:paraId="28D25707">
      <w:pPr>
        <w:rPr>
          <w:rFonts w:hint="eastAsia"/>
          <w:color w:val="000000"/>
        </w:rPr>
      </w:pPr>
    </w:p>
    <w:p w14:paraId="66344B5C">
      <w:pPr>
        <w:rPr>
          <w:rFonts w:hint="eastAsia"/>
          <w:color w:val="000000"/>
        </w:rPr>
      </w:pPr>
    </w:p>
    <w:p w14:paraId="5B72213A">
      <w:pPr>
        <w:rPr>
          <w:rFonts w:hint="eastAsia"/>
          <w:color w:val="000000"/>
        </w:rPr>
      </w:pPr>
    </w:p>
    <w:p w14:paraId="24D5D56D">
      <w:pPr>
        <w:rPr>
          <w:rFonts w:hint="eastAsia"/>
          <w:color w:val="000000"/>
        </w:rPr>
      </w:pPr>
    </w:p>
    <w:p w14:paraId="4AB38A0B">
      <w:pPr>
        <w:rPr>
          <w:rFonts w:hint="eastAsia"/>
          <w:color w:val="000000"/>
        </w:rPr>
      </w:pPr>
    </w:p>
    <w:p w14:paraId="2B277382">
      <w:pPr>
        <w:rPr>
          <w:rFonts w:hint="eastAsia"/>
          <w:color w:val="000000"/>
        </w:rPr>
      </w:pPr>
    </w:p>
    <w:p w14:paraId="7C8A7168">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Ansi="宋体"/>
          <w:color w:val="000000"/>
          <w:sz w:val="28"/>
        </w:rPr>
      </w:pPr>
      <w:bookmarkStart w:id="437" w:name="_Toc328559336"/>
      <w:bookmarkStart w:id="438" w:name="_Toc245714173"/>
      <w:bookmarkStart w:id="439" w:name="_Toc273602355"/>
      <w:r>
        <w:rPr>
          <w:rFonts w:hint="eastAsia" w:hAnsi="宋体"/>
          <w:color w:val="000000"/>
          <w:sz w:val="28"/>
        </w:rPr>
        <w:t>一．投标函</w:t>
      </w:r>
      <w:bookmarkEnd w:id="437"/>
      <w:bookmarkEnd w:id="438"/>
      <w:bookmarkEnd w:id="439"/>
    </w:p>
    <w:p w14:paraId="41736FCD">
      <w:pPr>
        <w:autoSpaceDE w:val="0"/>
        <w:autoSpaceDN w:val="0"/>
        <w:adjustRightInd w:val="0"/>
        <w:spacing w:line="360" w:lineRule="auto"/>
        <w:ind w:firstLine="200"/>
        <w:jc w:val="left"/>
        <w:rPr>
          <w:rFonts w:hint="default" w:ascii="宋体" w:hAnsi="宋体" w:eastAsia="宋体" w:cs="Times New Roman"/>
          <w:color w:val="000000"/>
          <w:sz w:val="24"/>
          <w:lang w:val="en-US"/>
        </w:rPr>
      </w:pPr>
      <w:r>
        <w:rPr>
          <w:rFonts w:hint="eastAsia" w:ascii="宋体" w:hAnsi="宋体"/>
          <w:color w:val="000000"/>
          <w:sz w:val="24"/>
        </w:rPr>
        <w:t>致：</w:t>
      </w:r>
      <w:r>
        <w:rPr>
          <w:rFonts w:hint="eastAsia" w:ascii="宋体" w:hAnsi="宋体" w:eastAsia="宋体" w:cs="Times New Roman"/>
          <w:color w:val="000000"/>
          <w:sz w:val="24"/>
          <w:lang w:val="en-US" w:eastAsia="zh-CN"/>
        </w:rPr>
        <w:t>合肥罍街文化旅游发展有限公司</w:t>
      </w:r>
    </w:p>
    <w:p w14:paraId="0E884FF7">
      <w:pPr>
        <w:adjustRightInd w:val="0"/>
        <w:snapToGrid w:val="0"/>
        <w:spacing w:before="48" w:beforeLines="20" w:after="48" w:afterLines="20" w:line="400" w:lineRule="exact"/>
        <w:rPr>
          <w:rFonts w:hint="eastAsia" w:ascii="宋体" w:hAnsi="宋体"/>
          <w:szCs w:val="22"/>
          <w:u w:val="single"/>
        </w:rPr>
      </w:pPr>
      <w:r>
        <w:rPr>
          <w:rFonts w:hint="eastAsia" w:eastAsia="黑体"/>
          <w:snapToGrid w:val="0"/>
          <w:color w:val="000000"/>
          <w:kern w:val="0"/>
          <w:szCs w:val="21"/>
          <w:u w:val="single"/>
        </w:rPr>
        <w:t xml:space="preserve">       </w:t>
      </w:r>
      <w:r>
        <w:rPr>
          <w:snapToGrid w:val="0"/>
          <w:color w:val="000000"/>
          <w:kern w:val="0"/>
          <w:szCs w:val="21"/>
        </w:rPr>
        <w:t>（招标人名称）</w:t>
      </w:r>
      <w:r>
        <w:rPr>
          <w:rFonts w:hint="eastAsia"/>
          <w:snapToGrid w:val="0"/>
          <w:color w:val="000000"/>
          <w:kern w:val="0"/>
          <w:szCs w:val="21"/>
        </w:rPr>
        <w:t>：</w:t>
      </w:r>
    </w:p>
    <w:p w14:paraId="7791E7CA">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（项目名称）</w:t>
      </w:r>
      <w:r>
        <w:rPr>
          <w:rFonts w:hint="eastAsia" w:ascii="宋体" w:hAnsi="宋体"/>
          <w:szCs w:val="22"/>
          <w:u w:val="single"/>
        </w:rPr>
        <w:t xml:space="preserve">   </w:t>
      </w:r>
      <w:r>
        <w:rPr>
          <w:rFonts w:hint="eastAsia" w:ascii="宋体" w:hAnsi="宋体"/>
          <w:szCs w:val="22"/>
        </w:rPr>
        <w:t>标段招标文件的全部内容，在考察工程现场后，愿以</w:t>
      </w:r>
      <w:r>
        <w:rPr>
          <w:rFonts w:hint="eastAsia" w:ascii="宋体" w:hAnsi="宋体"/>
          <w:szCs w:val="21"/>
          <w:u w:val="single"/>
        </w:rPr>
        <w:t>报价文件投标函中</w:t>
      </w:r>
      <w:r>
        <w:rPr>
          <w:rFonts w:hint="eastAsia" w:ascii="宋体" w:hAnsi="宋体"/>
          <w:szCs w:val="22"/>
          <w:u w:val="single"/>
        </w:rPr>
        <w:t>的</w:t>
      </w:r>
      <w:r>
        <w:rPr>
          <w:rFonts w:hint="eastAsia" w:ascii="宋体" w:hAnsi="宋体"/>
          <w:szCs w:val="22"/>
        </w:rPr>
        <w:t>投标总报价，按合同约定实施和完成承包工程，修补工程中的任何缺陷。</w:t>
      </w:r>
    </w:p>
    <w:p w14:paraId="45C05888">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rPr>
      </w:pPr>
      <w:r>
        <w:rPr>
          <w:rFonts w:hint="eastAsia" w:ascii="宋体" w:hAnsi="宋体"/>
          <w:szCs w:val="22"/>
        </w:rPr>
        <w:t>2. 我方承诺在招标文件规定的投标有效期内不撤销投标文件。</w:t>
      </w:r>
    </w:p>
    <w:p w14:paraId="6371C654">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rPr>
      </w:pPr>
      <w:r>
        <w:rPr>
          <w:rFonts w:hint="eastAsia" w:ascii="宋体" w:hAnsi="宋体"/>
          <w:szCs w:val="22"/>
        </w:rPr>
        <w:t>3. 工程质量：</w:t>
      </w:r>
      <w:r>
        <w:rPr>
          <w:rFonts w:hint="eastAsia" w:ascii="宋体" w:hAnsi="宋体"/>
          <w:szCs w:val="22"/>
          <w:u w:val="single"/>
        </w:rPr>
        <w:t xml:space="preserve"> </w:t>
      </w:r>
      <w:r>
        <w:rPr>
          <w:rFonts w:hint="eastAsia" w:ascii="宋体" w:hAnsi="宋体"/>
          <w:szCs w:val="22"/>
          <w:u w:val="single"/>
          <w:lang w:eastAsia="zh-CN"/>
        </w:rPr>
        <w:t>合格</w:t>
      </w:r>
      <w:r>
        <w:rPr>
          <w:rFonts w:hint="eastAsia" w:ascii="宋体" w:hAnsi="宋体"/>
          <w:szCs w:val="22"/>
          <w:u w:val="single"/>
        </w:rPr>
        <w:t xml:space="preserve">  </w:t>
      </w:r>
      <w:r>
        <w:rPr>
          <w:rFonts w:hint="eastAsia" w:ascii="宋体" w:hAnsi="宋体"/>
          <w:szCs w:val="22"/>
        </w:rPr>
        <w:t>；工期：</w:t>
      </w:r>
      <w:r>
        <w:rPr>
          <w:rFonts w:hint="eastAsia" w:ascii="宋体" w:hAnsi="宋体"/>
          <w:szCs w:val="22"/>
          <w:u w:val="single"/>
        </w:rPr>
        <w:t xml:space="preserve">        </w:t>
      </w:r>
      <w:r>
        <w:rPr>
          <w:rFonts w:hint="eastAsia" w:ascii="宋体" w:hAnsi="宋体"/>
          <w:szCs w:val="22"/>
        </w:rPr>
        <w:t>日历天。</w:t>
      </w:r>
    </w:p>
    <w:p w14:paraId="0FA39DA4">
      <w:pPr>
        <w:tabs>
          <w:tab w:val="left" w:pos="7560"/>
        </w:tabs>
        <w:adjustRightInd w:val="0"/>
        <w:snapToGrid w:val="0"/>
        <w:spacing w:before="48" w:beforeLines="20" w:after="48" w:afterLines="20" w:line="400" w:lineRule="exact"/>
        <w:ind w:firstLine="420" w:firstLineChars="200"/>
        <w:jc w:val="left"/>
        <w:rPr>
          <w:rFonts w:hint="eastAsia" w:ascii="宋体" w:hAnsi="宋体"/>
          <w:bCs/>
          <w:szCs w:val="32"/>
        </w:rPr>
      </w:pPr>
      <w:r>
        <w:rPr>
          <w:rFonts w:hint="eastAsia" w:ascii="宋体" w:hAnsi="宋体"/>
          <w:bCs/>
          <w:szCs w:val="32"/>
        </w:rPr>
        <w:t>4. 我方将与本投标函一起提交投标保证金，且承诺投标保证金转出账户真实有效。</w:t>
      </w:r>
    </w:p>
    <w:p w14:paraId="04726ED7">
      <w:pPr>
        <w:tabs>
          <w:tab w:val="left" w:pos="7560"/>
        </w:tabs>
        <w:adjustRightInd w:val="0"/>
        <w:snapToGrid w:val="0"/>
        <w:spacing w:before="48" w:beforeLines="20" w:after="48" w:afterLines="20" w:line="400" w:lineRule="exact"/>
        <w:ind w:firstLine="420" w:firstLineChars="200"/>
        <w:jc w:val="left"/>
        <w:outlineLvl w:val="2"/>
        <w:rPr>
          <w:rFonts w:hint="eastAsia" w:ascii="宋体" w:hAnsi="宋体"/>
          <w:bCs/>
          <w:szCs w:val="32"/>
        </w:rPr>
      </w:pPr>
      <w:r>
        <w:rPr>
          <w:rFonts w:hint="eastAsia" w:ascii="宋体" w:hAnsi="宋体"/>
          <w:bCs/>
          <w:szCs w:val="32"/>
        </w:rPr>
        <w:t>5. 如我方中标，我方承诺：</w:t>
      </w:r>
    </w:p>
    <w:p w14:paraId="06D59B58">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（1）在收到中标通知书后，在中标通知书规定的期限内与你方签订合同；</w:t>
      </w:r>
    </w:p>
    <w:p w14:paraId="21EA0892">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（2）在签订合同时不向你方提出附加条件；</w:t>
      </w:r>
    </w:p>
    <w:p w14:paraId="121A616B">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（3）按照招标文件要求提交履约保证金；</w:t>
      </w:r>
    </w:p>
    <w:p w14:paraId="38723DBF">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（4）在合同约定的期限内完成合同规定的全部义务；</w:t>
      </w:r>
    </w:p>
    <w:p w14:paraId="46DB5A50">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9C2EFD8">
      <w:pPr>
        <w:adjustRightInd w:val="0"/>
        <w:snapToGrid w:val="0"/>
        <w:spacing w:before="48" w:beforeLines="20" w:after="48" w:afterLines="20" w:line="400" w:lineRule="exact"/>
        <w:ind w:firstLine="367" w:firstLineChars="175"/>
        <w:rPr>
          <w:rFonts w:hint="eastAsia" w:ascii="宋体" w:hAnsi="宋体"/>
          <w:szCs w:val="22"/>
        </w:rPr>
      </w:pPr>
      <w:r>
        <w:rPr>
          <w:rFonts w:hint="eastAsia" w:ascii="宋体" w:hAnsi="宋体"/>
          <w:bCs/>
          <w:szCs w:val="32"/>
        </w:rPr>
        <w:t>（6）</w:t>
      </w:r>
      <w:r>
        <w:rPr>
          <w:rFonts w:hint="eastAsia" w:ascii="宋体" w:hAnsi="宋体"/>
          <w:szCs w:val="22"/>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5DA506E1">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（7）投标报价中已包含招标文件公布的施工扬尘污染防治措施费用，我方将按照招标文件要求对农民工工资、扬尘污染防治进行办理专户设立、工资支付等事宜。</w:t>
      </w:r>
    </w:p>
    <w:p w14:paraId="21A15917">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6.</w:t>
      </w:r>
      <w:r>
        <w:rPr>
          <w:snapToGrid w:val="0"/>
          <w:kern w:val="0"/>
          <w:szCs w:val="21"/>
        </w:rPr>
        <w:t xml:space="preserve"> 我方在此声明，所递交的投标文件及有关资料内容完整、真实和准确，且不存在招标文件第二章“投标人须知”第1.4.3项和第1.4.4项规定的任何一种情形。</w:t>
      </w:r>
    </w:p>
    <w:p w14:paraId="6BB53063">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7. 除非另外达成协议并生效，你方的中标通知书和本投标文件以及招标文件、招标文件澄清、修改、补充文件将成为约束双方的合同文件的组成部分。</w:t>
      </w:r>
    </w:p>
    <w:p w14:paraId="346A1FEA">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 xml:space="preserve">8. </w:t>
      </w:r>
      <w:r>
        <w:rPr>
          <w:rFonts w:hint="eastAsia" w:eastAsia="黑体"/>
          <w:snapToGrid w:val="0"/>
          <w:color w:val="000000"/>
          <w:kern w:val="0"/>
          <w:szCs w:val="21"/>
          <w:u w:val="single"/>
        </w:rPr>
        <w:t xml:space="preserve">                          </w:t>
      </w:r>
      <w:r>
        <w:rPr>
          <w:snapToGrid w:val="0"/>
          <w:kern w:val="0"/>
          <w:szCs w:val="21"/>
        </w:rPr>
        <w:t>（其他补充说明）。</w:t>
      </w:r>
    </w:p>
    <w:p w14:paraId="00690EEE">
      <w:pPr>
        <w:adjustRightInd w:val="0"/>
        <w:snapToGrid w:val="0"/>
        <w:spacing w:before="48" w:beforeLines="20" w:after="48" w:afterLines="20" w:line="400" w:lineRule="exact"/>
        <w:ind w:firstLine="490" w:firstLineChars="175"/>
        <w:rPr>
          <w:rFonts w:hint="eastAsia" w:ascii="宋体" w:hAnsi="宋体"/>
          <w:bCs/>
          <w:sz w:val="28"/>
          <w:szCs w:val="32"/>
        </w:rPr>
      </w:pPr>
    </w:p>
    <w:p w14:paraId="09D8BF8C">
      <w:pPr>
        <w:adjustRightInd w:val="0"/>
        <w:snapToGrid w:val="0"/>
        <w:spacing w:before="48" w:beforeLines="20" w:after="48" w:afterLines="20" w:line="400" w:lineRule="exact"/>
        <w:ind w:firstLine="367" w:firstLineChars="175"/>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14:paraId="0F689744">
      <w:pPr>
        <w:adjustRightInd w:val="0"/>
        <w:snapToGrid w:val="0"/>
        <w:spacing w:before="48" w:beforeLines="20" w:after="48" w:afterLines="20" w:line="400" w:lineRule="exact"/>
        <w:ind w:firstLine="367" w:firstLineChars="175"/>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2C10695A">
      <w:pPr>
        <w:adjustRightInd w:val="0"/>
        <w:snapToGrid w:val="0"/>
        <w:spacing w:before="48" w:beforeLines="20" w:after="48" w:afterLines="20" w:line="400" w:lineRule="exact"/>
        <w:ind w:firstLine="367" w:firstLineChars="175"/>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47AB4E06">
      <w:pPr>
        <w:adjustRightInd w:val="0"/>
        <w:snapToGrid w:val="0"/>
        <w:spacing w:before="48" w:beforeLines="20" w:after="48" w:afterLines="20" w:line="400" w:lineRule="exact"/>
        <w:ind w:firstLine="367" w:firstLineChars="175"/>
        <w:rPr>
          <w:rFonts w:hint="eastAsia" w:ascii="宋体" w:hAnsi="宋体"/>
          <w:szCs w:val="21"/>
        </w:rPr>
      </w:pPr>
      <w:r>
        <w:rPr>
          <w:rFonts w:hint="eastAsia" w:ascii="宋体" w:hAnsi="宋体"/>
          <w:bCs/>
          <w:szCs w:val="21"/>
        </w:rPr>
        <w:t>邮政编码</w:t>
      </w:r>
      <w:r>
        <w:rPr>
          <w:rFonts w:hint="eastAsia" w:ascii="宋体" w:hAnsi="宋体"/>
          <w:szCs w:val="21"/>
        </w:rPr>
        <w:t>：</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3F5319D9">
      <w:pPr>
        <w:adjustRightInd w:val="0"/>
        <w:snapToGrid w:val="0"/>
        <w:spacing w:before="48" w:beforeLines="20" w:after="48" w:afterLines="20" w:line="400" w:lineRule="exact"/>
        <w:ind w:firstLine="367" w:firstLineChars="175"/>
        <w:rPr>
          <w:rFonts w:hint="eastAsia" w:ascii="宋体" w:hAnsi="宋体"/>
          <w:szCs w:val="21"/>
        </w:rPr>
      </w:pPr>
      <w:r>
        <w:rPr>
          <w:rFonts w:hint="eastAsia" w:ascii="宋体" w:hAnsi="宋体"/>
          <w:bCs/>
          <w:szCs w:val="21"/>
        </w:rPr>
        <w:t>日期</w:t>
      </w:r>
      <w:r>
        <w:rPr>
          <w:rFonts w:hint="eastAsia" w:ascii="宋体" w:hAnsi="宋体"/>
          <w:szCs w:val="21"/>
        </w:rPr>
        <w:t>：</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664B61BF">
      <w:pPr>
        <w:tabs>
          <w:tab w:val="left" w:pos="630"/>
        </w:tabs>
        <w:spacing w:line="360" w:lineRule="auto"/>
        <w:ind w:firstLine="630"/>
        <w:rPr>
          <w:rFonts w:hint="eastAsia" w:ascii="宋体" w:hAnsi="宋体"/>
          <w:color w:val="000000"/>
          <w:sz w:val="24"/>
        </w:rPr>
      </w:pPr>
    </w:p>
    <w:p w14:paraId="42A0A60E">
      <w:pPr>
        <w:tabs>
          <w:tab w:val="left" w:pos="630"/>
        </w:tabs>
        <w:spacing w:line="360" w:lineRule="auto"/>
        <w:ind w:firstLine="630"/>
        <w:rPr>
          <w:rFonts w:hint="eastAsia" w:ascii="宋体" w:hAnsi="宋体"/>
          <w:color w:val="000000"/>
          <w:sz w:val="24"/>
        </w:rPr>
      </w:pPr>
    </w:p>
    <w:p w14:paraId="7F4118FC">
      <w:pPr>
        <w:tabs>
          <w:tab w:val="left" w:pos="630"/>
        </w:tabs>
        <w:spacing w:line="360" w:lineRule="auto"/>
        <w:ind w:firstLine="630"/>
        <w:rPr>
          <w:rFonts w:hint="eastAsia" w:ascii="宋体" w:hAnsi="宋体"/>
          <w:color w:val="000000"/>
          <w:sz w:val="24"/>
        </w:rPr>
      </w:pPr>
    </w:p>
    <w:p w14:paraId="583C44BB">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hAnsi="宋体"/>
          <w:color w:val="000000"/>
          <w:sz w:val="28"/>
        </w:rPr>
      </w:pPr>
      <w:bookmarkStart w:id="440" w:name="_Toc273602356"/>
      <w:bookmarkStart w:id="441" w:name="_Toc245714174"/>
      <w:bookmarkStart w:id="442" w:name="_Toc328559337"/>
      <w:r>
        <w:rPr>
          <w:rFonts w:hint="eastAsia" w:hAnsi="宋体"/>
          <w:color w:val="000000"/>
          <w:sz w:val="28"/>
        </w:rPr>
        <w:t>二．投标授权书</w:t>
      </w:r>
      <w:bookmarkEnd w:id="440"/>
      <w:bookmarkEnd w:id="441"/>
      <w:bookmarkEnd w:id="442"/>
    </w:p>
    <w:p w14:paraId="30223C47">
      <w:pPr>
        <w:jc w:val="center"/>
        <w:outlineLvl w:val="2"/>
        <w:rPr>
          <w:rFonts w:hint="eastAsia"/>
          <w:sz w:val="32"/>
          <w:szCs w:val="32"/>
        </w:rPr>
      </w:pPr>
      <w:r>
        <w:rPr>
          <w:rFonts w:hint="eastAsia" w:ascii="黑体" w:hAnsi="黑体" w:eastAsia="黑体"/>
          <w:bCs/>
          <w:sz w:val="24"/>
        </w:rPr>
        <w:t>授权委托书</w:t>
      </w:r>
    </w:p>
    <w:p w14:paraId="75D3EEAF">
      <w:pPr>
        <w:rPr>
          <w:rFonts w:hint="eastAsia"/>
        </w:rPr>
      </w:pPr>
    </w:p>
    <w:p w14:paraId="29ABA1D4">
      <w:pPr>
        <w:snapToGrid w:val="0"/>
        <w:spacing w:line="360" w:lineRule="auto"/>
        <w:ind w:firstLine="420" w:firstLineChars="200"/>
        <w:jc w:val="left"/>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14:paraId="56D0FA92">
      <w:pPr>
        <w:snapToGrid w:val="0"/>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1724CE9A">
      <w:pPr>
        <w:snapToGrid w:val="0"/>
        <w:spacing w:line="360" w:lineRule="auto"/>
        <w:ind w:firstLine="420" w:firstLineChars="200"/>
        <w:rPr>
          <w:rFonts w:hint="eastAsia" w:ascii="宋体" w:hAnsi="宋体"/>
          <w:szCs w:val="21"/>
        </w:rPr>
      </w:pPr>
      <w:r>
        <w:rPr>
          <w:rFonts w:hint="eastAsia" w:ascii="宋体" w:hAnsi="宋体"/>
          <w:szCs w:val="21"/>
        </w:rPr>
        <w:t>代理人无转委托权。</w:t>
      </w:r>
    </w:p>
    <w:p w14:paraId="4BC4D18E">
      <w:pPr>
        <w:snapToGrid w:val="0"/>
        <w:spacing w:line="360" w:lineRule="auto"/>
        <w:ind w:firstLine="420" w:firstLineChars="200"/>
        <w:rPr>
          <w:rFonts w:hint="eastAsia" w:ascii="宋体" w:hAnsi="宋体"/>
          <w:szCs w:val="21"/>
        </w:rPr>
      </w:pPr>
      <w:r>
        <w:rPr>
          <w:rFonts w:hint="eastAsia" w:ascii="宋体" w:hAnsi="宋体"/>
          <w:szCs w:val="21"/>
        </w:rPr>
        <w:t>附：法定代表人身份证明</w:t>
      </w:r>
    </w:p>
    <w:p w14:paraId="3DE6A035">
      <w:pPr>
        <w:snapToGrid w:val="0"/>
        <w:spacing w:line="360" w:lineRule="auto"/>
        <w:ind w:firstLine="630" w:firstLineChars="300"/>
        <w:rPr>
          <w:rFonts w:hint="eastAsia" w:ascii="宋体" w:hAnsi="宋体" w:eastAsia="宋体"/>
          <w:szCs w:val="21"/>
          <w:lang w:eastAsia="zh-CN"/>
        </w:rPr>
      </w:pPr>
      <w:r>
        <w:rPr>
          <w:rFonts w:hint="eastAsia" w:ascii="宋体" w:hAnsi="宋体"/>
          <w:szCs w:val="21"/>
          <w:lang w:eastAsia="zh-CN"/>
        </w:rPr>
        <w:t>被委托授权人身份证明</w:t>
      </w:r>
    </w:p>
    <w:p w14:paraId="6F790C7A">
      <w:pPr>
        <w:spacing w:line="500" w:lineRule="exact"/>
        <w:rPr>
          <w:rFonts w:hint="eastAsia" w:ascii="宋体" w:hAnsi="宋体"/>
          <w:szCs w:val="21"/>
        </w:rPr>
      </w:pPr>
    </w:p>
    <w:p w14:paraId="187344B3">
      <w:pPr>
        <w:spacing w:line="400" w:lineRule="exact"/>
        <w:ind w:firstLine="3570" w:firstLineChars="1700"/>
        <w:rPr>
          <w:rFonts w:hint="eastAsia" w:ascii="宋体" w:hAnsi="宋体"/>
          <w:szCs w:val="21"/>
        </w:rPr>
      </w:pP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14:paraId="09C6FFA8">
      <w:pPr>
        <w:spacing w:line="400" w:lineRule="exact"/>
        <w:ind w:firstLine="3570" w:firstLineChars="17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665670B">
      <w:pPr>
        <w:spacing w:line="400" w:lineRule="exact"/>
        <w:ind w:firstLine="3570" w:firstLineChars="17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3267AFD3">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BFD3A72">
      <w:pPr>
        <w:autoSpaceDE w:val="0"/>
        <w:autoSpaceDN w:val="0"/>
        <w:adjustRightInd w:val="0"/>
        <w:snapToGrid w:val="0"/>
        <w:spacing w:line="360" w:lineRule="auto"/>
        <w:jc w:val="left"/>
        <w:rPr>
          <w:rFonts w:hint="eastAsia" w:ascii="宋体" w:hAnsi="宋体"/>
          <w:kern w:val="0"/>
          <w:szCs w:val="22"/>
        </w:rPr>
      </w:pPr>
    </w:p>
    <w:p w14:paraId="77B15CE5">
      <w:pPr>
        <w:tabs>
          <w:tab w:val="left" w:pos="5760"/>
        </w:tabs>
        <w:autoSpaceDE w:val="0"/>
        <w:autoSpaceDN w:val="0"/>
        <w:adjustRightInd w:val="0"/>
        <w:spacing w:line="300" w:lineRule="exact"/>
        <w:ind w:right="11"/>
        <w:rPr>
          <w:rFonts w:hint="eastAsia" w:ascii="宋体" w:hAnsi="宋体"/>
          <w:kern w:val="0"/>
          <w:szCs w:val="22"/>
        </w:rPr>
      </w:pPr>
      <w:r>
        <w:rPr>
          <w:rFonts w:hint="eastAsia" w:ascii="宋体" w:hAnsi="宋体"/>
          <w:kern w:val="0"/>
          <w:szCs w:val="22"/>
        </w:rPr>
        <w:t>注：</w:t>
      </w:r>
    </w:p>
    <w:p w14:paraId="5A5BD224">
      <w:pPr>
        <w:tabs>
          <w:tab w:val="left" w:pos="5760"/>
        </w:tabs>
        <w:autoSpaceDE w:val="0"/>
        <w:autoSpaceDN w:val="0"/>
        <w:adjustRightInd w:val="0"/>
        <w:spacing w:line="300" w:lineRule="exact"/>
        <w:ind w:right="11"/>
        <w:rPr>
          <w:rFonts w:ascii="宋体" w:hAnsi="宋体"/>
          <w:kern w:val="0"/>
          <w:szCs w:val="22"/>
        </w:rPr>
      </w:pPr>
      <w:r>
        <w:rPr>
          <w:rFonts w:hint="eastAsia" w:ascii="宋体" w:hAnsi="宋体"/>
          <w:kern w:val="0"/>
          <w:szCs w:val="22"/>
        </w:rPr>
        <w:t>法定代表人参加投标活动并签署文件的不需要授权委托书，只需提供法定代表人身份证明；非法定代表人参加投标活动及签署文件的还须提供授权委托书。</w:t>
      </w:r>
    </w:p>
    <w:p w14:paraId="254F7EFB">
      <w:pPr>
        <w:rPr>
          <w:rFonts w:hint="eastAsia" w:ascii="宋体" w:hAnsi="宋体"/>
          <w:color w:val="000000"/>
          <w:sz w:val="24"/>
          <w:szCs w:val="28"/>
        </w:rPr>
      </w:pPr>
    </w:p>
    <w:p w14:paraId="3702A861">
      <w:pPr>
        <w:rPr>
          <w:rFonts w:hint="eastAsia" w:ascii="宋体" w:hAnsi="宋体"/>
          <w:color w:val="000000"/>
          <w:sz w:val="24"/>
          <w:szCs w:val="28"/>
        </w:rPr>
      </w:pPr>
    </w:p>
    <w:p w14:paraId="28FD7DCC">
      <w:pPr>
        <w:rPr>
          <w:rFonts w:hint="eastAsia" w:ascii="宋体" w:hAnsi="宋体"/>
          <w:color w:val="000000"/>
          <w:sz w:val="24"/>
          <w:szCs w:val="28"/>
        </w:rPr>
      </w:pPr>
    </w:p>
    <w:p w14:paraId="487A8AF6">
      <w:pPr>
        <w:rPr>
          <w:rFonts w:hint="eastAsia" w:ascii="宋体" w:hAnsi="宋体"/>
          <w:color w:val="000000"/>
          <w:sz w:val="24"/>
          <w:szCs w:val="28"/>
        </w:rPr>
      </w:pPr>
    </w:p>
    <w:p w14:paraId="4F126F51">
      <w:pPr>
        <w:rPr>
          <w:rFonts w:hint="eastAsia" w:ascii="宋体" w:hAnsi="宋体"/>
          <w:color w:val="000000"/>
          <w:sz w:val="24"/>
          <w:szCs w:val="28"/>
        </w:rPr>
      </w:pPr>
    </w:p>
    <w:p w14:paraId="193D0E84">
      <w:pPr>
        <w:rPr>
          <w:rFonts w:hint="eastAsia" w:ascii="宋体" w:hAnsi="宋体"/>
          <w:color w:val="000000"/>
          <w:sz w:val="24"/>
          <w:szCs w:val="28"/>
        </w:rPr>
      </w:pPr>
    </w:p>
    <w:p w14:paraId="402559E9">
      <w:pPr>
        <w:rPr>
          <w:rFonts w:hint="eastAsia" w:ascii="宋体" w:hAnsi="宋体"/>
          <w:color w:val="000000"/>
          <w:sz w:val="24"/>
          <w:szCs w:val="28"/>
        </w:rPr>
      </w:pPr>
    </w:p>
    <w:p w14:paraId="4731F8E0">
      <w:pPr>
        <w:rPr>
          <w:rFonts w:hint="eastAsia" w:ascii="宋体" w:hAnsi="宋体"/>
          <w:color w:val="000000"/>
          <w:sz w:val="24"/>
          <w:szCs w:val="28"/>
        </w:rPr>
      </w:pPr>
    </w:p>
    <w:p w14:paraId="6FF34DDD">
      <w:pPr>
        <w:rPr>
          <w:rFonts w:hint="eastAsia" w:ascii="宋体" w:hAnsi="宋体"/>
          <w:color w:val="000000"/>
          <w:sz w:val="24"/>
          <w:szCs w:val="28"/>
        </w:rPr>
      </w:pPr>
    </w:p>
    <w:p w14:paraId="23D85819">
      <w:pPr>
        <w:rPr>
          <w:rFonts w:hint="eastAsia" w:ascii="宋体" w:hAnsi="宋体"/>
          <w:color w:val="000000"/>
          <w:sz w:val="24"/>
          <w:szCs w:val="28"/>
        </w:rPr>
      </w:pPr>
    </w:p>
    <w:p w14:paraId="0AA7C84B">
      <w:pPr>
        <w:rPr>
          <w:rFonts w:hint="eastAsia" w:ascii="宋体" w:hAnsi="宋体"/>
          <w:color w:val="000000"/>
          <w:sz w:val="24"/>
          <w:szCs w:val="28"/>
        </w:rPr>
      </w:pPr>
    </w:p>
    <w:p w14:paraId="69BCE15C">
      <w:pPr>
        <w:rPr>
          <w:rFonts w:hint="eastAsia" w:ascii="宋体" w:hAnsi="宋体"/>
          <w:color w:val="000000"/>
          <w:sz w:val="24"/>
          <w:szCs w:val="28"/>
        </w:rPr>
      </w:pPr>
    </w:p>
    <w:p w14:paraId="47803C14">
      <w:pPr>
        <w:rPr>
          <w:rFonts w:hint="eastAsia" w:ascii="宋体" w:hAnsi="宋体"/>
          <w:color w:val="000000"/>
          <w:sz w:val="24"/>
          <w:szCs w:val="28"/>
        </w:rPr>
      </w:pPr>
    </w:p>
    <w:p w14:paraId="3ECB8A72">
      <w:pPr>
        <w:rPr>
          <w:rFonts w:hint="eastAsia" w:ascii="宋体" w:hAnsi="宋体"/>
          <w:color w:val="000000"/>
          <w:sz w:val="24"/>
          <w:szCs w:val="28"/>
        </w:rPr>
      </w:pPr>
    </w:p>
    <w:p w14:paraId="6C233FEE">
      <w:pPr>
        <w:rPr>
          <w:rFonts w:hint="eastAsia" w:ascii="宋体" w:hAnsi="宋体"/>
          <w:color w:val="000000"/>
          <w:sz w:val="24"/>
          <w:szCs w:val="28"/>
        </w:rPr>
      </w:pPr>
    </w:p>
    <w:p w14:paraId="07E0FD75">
      <w:pPr>
        <w:pStyle w:val="4"/>
        <w:keepNext/>
        <w:keepLines/>
        <w:pageBreakBefore/>
        <w:widowControl w:val="0"/>
        <w:numPr>
          <w:ilvl w:val="0"/>
          <w:numId w:val="10"/>
        </w:numPr>
        <w:kinsoku/>
        <w:wordWrap/>
        <w:overflowPunct/>
        <w:topLinePunct w:val="0"/>
        <w:autoSpaceDE/>
        <w:autoSpaceDN/>
        <w:bidi w:val="0"/>
        <w:adjustRightInd/>
        <w:snapToGrid/>
        <w:spacing w:line="413" w:lineRule="auto"/>
        <w:textAlignment w:val="auto"/>
        <w:outlineLvl w:val="1"/>
        <w:rPr>
          <w:rFonts w:hint="eastAsia"/>
          <w:color w:val="000000"/>
        </w:rPr>
      </w:pPr>
      <w:bookmarkStart w:id="443" w:name="_Toc328559338"/>
      <w:bookmarkStart w:id="444" w:name="_Toc273602357"/>
      <w:bookmarkStart w:id="445" w:name="_Toc245714175"/>
      <w:r>
        <w:rPr>
          <w:rFonts w:hint="eastAsia"/>
          <w:color w:val="000000"/>
        </w:rPr>
        <w:t>投标人</w:t>
      </w:r>
      <w:bookmarkEnd w:id="443"/>
      <w:bookmarkEnd w:id="444"/>
      <w:bookmarkEnd w:id="445"/>
      <w:r>
        <w:rPr>
          <w:rFonts w:hint="eastAsia"/>
          <w:color w:val="000000"/>
          <w:lang w:eastAsia="zh-CN"/>
        </w:rPr>
        <w:t>综合简介</w:t>
      </w:r>
    </w:p>
    <w:p w14:paraId="231D9517">
      <w:pPr>
        <w:spacing w:line="500" w:lineRule="exact"/>
        <w:jc w:val="center"/>
        <w:outlineLvl w:val="2"/>
        <w:rPr>
          <w:rFonts w:hint="eastAsia" w:ascii="宋体" w:hAnsi="宋体"/>
          <w:sz w:val="28"/>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14:paraId="627BF47F">
      <w:pPr>
        <w:numPr>
          <w:ilvl w:val="0"/>
          <w:numId w:val="0"/>
        </w:numPr>
        <w:rPr>
          <w:rFonts w:hint="eastAsia"/>
        </w:rPr>
      </w:pPr>
    </w:p>
    <w:p w14:paraId="5EA6D94A">
      <w:pPr>
        <w:rPr>
          <w:rFonts w:hint="eastAsia"/>
          <w:color w:val="000000"/>
          <w:sz w:val="30"/>
          <w:szCs w:val="30"/>
        </w:rPr>
      </w:pPr>
    </w:p>
    <w:p w14:paraId="6294074F">
      <w:pPr>
        <w:rPr>
          <w:rFonts w:hint="eastAsia"/>
          <w:color w:val="000000"/>
          <w:sz w:val="30"/>
          <w:szCs w:val="30"/>
        </w:rPr>
      </w:pPr>
    </w:p>
    <w:p w14:paraId="70EFF152">
      <w:pPr>
        <w:rPr>
          <w:rFonts w:hint="eastAsia"/>
          <w:color w:val="000000"/>
          <w:sz w:val="30"/>
          <w:szCs w:val="30"/>
        </w:rPr>
      </w:pPr>
    </w:p>
    <w:p w14:paraId="0F7DCB0D">
      <w:pPr>
        <w:rPr>
          <w:rFonts w:hint="eastAsia"/>
          <w:color w:val="000000"/>
          <w:sz w:val="30"/>
          <w:szCs w:val="30"/>
        </w:rPr>
      </w:pPr>
    </w:p>
    <w:p w14:paraId="7B30FABE">
      <w:pPr>
        <w:rPr>
          <w:rFonts w:hint="eastAsia"/>
          <w:color w:val="000000"/>
          <w:sz w:val="30"/>
          <w:szCs w:val="30"/>
        </w:rPr>
      </w:pPr>
    </w:p>
    <w:p w14:paraId="5CA6CC88">
      <w:pPr>
        <w:rPr>
          <w:rFonts w:hint="eastAsia"/>
          <w:color w:val="000000"/>
          <w:sz w:val="30"/>
          <w:szCs w:val="30"/>
        </w:rPr>
      </w:pPr>
    </w:p>
    <w:p w14:paraId="0A880B37">
      <w:pPr>
        <w:ind w:firstLine="281" w:firstLineChars="100"/>
        <w:rPr>
          <w:rFonts w:hint="eastAsia" w:ascii="仿宋_GB2312" w:eastAsia="仿宋_GB2312"/>
          <w:b/>
          <w:color w:val="000000"/>
          <w:sz w:val="28"/>
          <w:szCs w:val="28"/>
        </w:rPr>
      </w:pPr>
    </w:p>
    <w:p w14:paraId="2F06A7D7">
      <w:pPr>
        <w:ind w:firstLine="281" w:firstLineChars="100"/>
        <w:rPr>
          <w:rFonts w:hint="eastAsia" w:ascii="仿宋_GB2312" w:eastAsia="仿宋_GB2312"/>
          <w:b/>
          <w:color w:val="000000"/>
          <w:sz w:val="28"/>
          <w:szCs w:val="28"/>
        </w:rPr>
      </w:pPr>
    </w:p>
    <w:p w14:paraId="17B6E461">
      <w:pPr>
        <w:ind w:firstLine="281" w:firstLineChars="100"/>
        <w:rPr>
          <w:rFonts w:hint="eastAsia" w:ascii="仿宋_GB2312" w:eastAsia="仿宋_GB2312"/>
          <w:b/>
          <w:color w:val="000000"/>
          <w:sz w:val="28"/>
          <w:szCs w:val="28"/>
        </w:rPr>
      </w:pPr>
    </w:p>
    <w:p w14:paraId="0C0CD44C">
      <w:pPr>
        <w:ind w:firstLine="281" w:firstLineChars="100"/>
        <w:rPr>
          <w:rFonts w:hint="eastAsia" w:ascii="仿宋_GB2312" w:eastAsia="仿宋_GB2312"/>
          <w:b/>
          <w:color w:val="000000"/>
          <w:sz w:val="28"/>
          <w:szCs w:val="28"/>
        </w:rPr>
      </w:pPr>
    </w:p>
    <w:p w14:paraId="3CE2E7C9">
      <w:pPr>
        <w:ind w:firstLine="281" w:firstLineChars="100"/>
        <w:rPr>
          <w:rFonts w:hint="eastAsia" w:ascii="仿宋_GB2312" w:eastAsia="仿宋_GB2312"/>
          <w:b/>
          <w:color w:val="000000"/>
          <w:sz w:val="28"/>
          <w:szCs w:val="28"/>
        </w:rPr>
      </w:pPr>
    </w:p>
    <w:p w14:paraId="6695B216">
      <w:pPr>
        <w:ind w:firstLine="281" w:firstLineChars="100"/>
        <w:rPr>
          <w:rFonts w:hint="eastAsia" w:ascii="仿宋_GB2312" w:eastAsia="仿宋_GB2312"/>
          <w:b/>
          <w:color w:val="000000"/>
          <w:sz w:val="28"/>
          <w:szCs w:val="28"/>
        </w:rPr>
      </w:pPr>
    </w:p>
    <w:p w14:paraId="2F1D2FB1">
      <w:pPr>
        <w:ind w:firstLine="281" w:firstLineChars="100"/>
        <w:rPr>
          <w:rFonts w:hint="eastAsia" w:ascii="仿宋_GB2312" w:eastAsia="仿宋_GB2312"/>
          <w:b/>
          <w:color w:val="000000"/>
          <w:sz w:val="28"/>
          <w:szCs w:val="28"/>
        </w:rPr>
      </w:pPr>
    </w:p>
    <w:p w14:paraId="06B7165D">
      <w:pPr>
        <w:ind w:firstLine="281" w:firstLineChars="100"/>
        <w:rPr>
          <w:rFonts w:hint="eastAsia" w:ascii="仿宋_GB2312" w:eastAsia="仿宋_GB2312"/>
          <w:b/>
          <w:color w:val="000000"/>
          <w:sz w:val="28"/>
          <w:szCs w:val="28"/>
        </w:rPr>
      </w:pPr>
    </w:p>
    <w:p w14:paraId="4E885955">
      <w:pPr>
        <w:ind w:firstLine="281" w:firstLineChars="100"/>
        <w:rPr>
          <w:rFonts w:hint="eastAsia" w:ascii="仿宋_GB2312" w:eastAsia="仿宋_GB2312"/>
          <w:b/>
          <w:color w:val="000000"/>
          <w:sz w:val="28"/>
          <w:szCs w:val="28"/>
        </w:rPr>
      </w:pPr>
    </w:p>
    <w:p w14:paraId="2CB67005">
      <w:pPr>
        <w:ind w:firstLine="281" w:firstLineChars="100"/>
        <w:rPr>
          <w:rFonts w:hint="eastAsia" w:ascii="仿宋_GB2312" w:eastAsia="仿宋_GB2312"/>
          <w:b/>
          <w:color w:val="000000"/>
          <w:sz w:val="28"/>
          <w:szCs w:val="28"/>
        </w:rPr>
      </w:pPr>
    </w:p>
    <w:p w14:paraId="60FB9A36">
      <w:pPr>
        <w:ind w:firstLine="281" w:firstLineChars="100"/>
        <w:rPr>
          <w:rFonts w:hint="eastAsia" w:ascii="仿宋_GB2312" w:eastAsia="仿宋_GB2312"/>
          <w:b/>
          <w:color w:val="000000"/>
          <w:sz w:val="28"/>
          <w:szCs w:val="28"/>
        </w:rPr>
      </w:pPr>
    </w:p>
    <w:p w14:paraId="4CE475A1">
      <w:pPr>
        <w:ind w:firstLine="281" w:firstLineChars="100"/>
        <w:rPr>
          <w:rFonts w:hint="eastAsia" w:ascii="仿宋_GB2312" w:eastAsia="仿宋_GB2312"/>
          <w:b/>
          <w:color w:val="000000"/>
          <w:sz w:val="28"/>
          <w:szCs w:val="28"/>
        </w:rPr>
      </w:pPr>
    </w:p>
    <w:p w14:paraId="19A06E75">
      <w:pPr>
        <w:ind w:firstLine="281" w:firstLineChars="100"/>
        <w:rPr>
          <w:rFonts w:hint="eastAsia" w:ascii="仿宋_GB2312" w:eastAsia="仿宋_GB2312"/>
          <w:b/>
          <w:color w:val="000000"/>
          <w:sz w:val="28"/>
          <w:szCs w:val="28"/>
        </w:rPr>
      </w:pPr>
    </w:p>
    <w:p w14:paraId="29808926">
      <w:pPr>
        <w:ind w:firstLine="281" w:firstLineChars="100"/>
        <w:rPr>
          <w:rFonts w:hint="eastAsia" w:ascii="仿宋_GB2312" w:eastAsia="仿宋_GB2312"/>
          <w:b/>
          <w:color w:val="000000"/>
          <w:sz w:val="28"/>
          <w:szCs w:val="28"/>
        </w:rPr>
      </w:pPr>
    </w:p>
    <w:p w14:paraId="7008013D">
      <w:pPr>
        <w:ind w:firstLine="281" w:firstLineChars="100"/>
        <w:rPr>
          <w:rFonts w:hint="eastAsia" w:ascii="仿宋_GB2312" w:eastAsia="仿宋_GB2312"/>
          <w:b/>
          <w:color w:val="000000"/>
          <w:sz w:val="28"/>
          <w:szCs w:val="28"/>
        </w:rPr>
      </w:pPr>
    </w:p>
    <w:p w14:paraId="11CB3F5A">
      <w:pPr>
        <w:ind w:firstLine="281" w:firstLineChars="100"/>
        <w:rPr>
          <w:rFonts w:hint="eastAsia" w:ascii="仿宋_GB2312" w:eastAsia="仿宋_GB2312"/>
          <w:b/>
          <w:color w:val="000000"/>
          <w:sz w:val="28"/>
          <w:szCs w:val="28"/>
        </w:rPr>
      </w:pPr>
    </w:p>
    <w:p w14:paraId="60711AD5">
      <w:pPr>
        <w:ind w:firstLine="281" w:firstLineChars="100"/>
        <w:rPr>
          <w:rFonts w:hint="eastAsia" w:ascii="仿宋_GB2312" w:eastAsia="仿宋_GB2312"/>
          <w:b/>
          <w:color w:val="000000"/>
          <w:sz w:val="28"/>
          <w:szCs w:val="28"/>
        </w:rPr>
      </w:pPr>
    </w:p>
    <w:p w14:paraId="63EBA4D8">
      <w:pPr>
        <w:ind w:firstLine="281" w:firstLineChars="100"/>
        <w:rPr>
          <w:rFonts w:hint="eastAsia" w:ascii="仿宋_GB2312" w:eastAsia="仿宋_GB2312"/>
          <w:b/>
          <w:color w:val="000000"/>
          <w:sz w:val="28"/>
          <w:szCs w:val="28"/>
        </w:rPr>
      </w:pPr>
    </w:p>
    <w:p w14:paraId="121E7493">
      <w:pPr>
        <w:ind w:firstLine="281" w:firstLineChars="100"/>
        <w:rPr>
          <w:rFonts w:hint="eastAsia" w:ascii="仿宋_GB2312" w:eastAsia="仿宋_GB2312"/>
          <w:b/>
          <w:color w:val="000000"/>
          <w:sz w:val="28"/>
          <w:szCs w:val="28"/>
        </w:rPr>
      </w:pPr>
    </w:p>
    <w:p w14:paraId="22878BA8">
      <w:pPr>
        <w:rPr>
          <w:rFonts w:hint="eastAsia" w:ascii="仿宋_GB2312" w:eastAsia="仿宋_GB2312"/>
          <w:b/>
          <w:color w:val="000000"/>
          <w:sz w:val="28"/>
          <w:szCs w:val="28"/>
        </w:rPr>
      </w:pPr>
    </w:p>
    <w:p w14:paraId="27F62843">
      <w:pPr>
        <w:rPr>
          <w:rFonts w:hint="eastAsia" w:ascii="仿宋_GB2312" w:eastAsia="仿宋_GB2312"/>
          <w:b/>
          <w:color w:val="000000"/>
          <w:sz w:val="28"/>
          <w:szCs w:val="28"/>
        </w:rPr>
      </w:pPr>
    </w:p>
    <w:p w14:paraId="210AF980">
      <w:pPr>
        <w:ind w:firstLine="281" w:firstLineChars="100"/>
        <w:rPr>
          <w:rFonts w:hint="eastAsia" w:ascii="仿宋_GB2312" w:eastAsia="仿宋_GB2312"/>
          <w:b/>
          <w:color w:val="000000"/>
          <w:sz w:val="28"/>
          <w:szCs w:val="28"/>
        </w:rPr>
      </w:pPr>
    </w:p>
    <w:p w14:paraId="4C84CB28">
      <w:pPr>
        <w:ind w:firstLine="281" w:firstLineChars="100"/>
        <w:rPr>
          <w:rFonts w:hint="eastAsia" w:ascii="仿宋_GB2312" w:eastAsia="仿宋_GB2312"/>
          <w:b/>
          <w:color w:val="000000"/>
          <w:sz w:val="28"/>
          <w:szCs w:val="28"/>
        </w:rPr>
      </w:pPr>
    </w:p>
    <w:p w14:paraId="10B7017E">
      <w:pPr>
        <w:ind w:firstLine="281" w:firstLineChars="100"/>
        <w:rPr>
          <w:rFonts w:hint="eastAsia" w:ascii="仿宋_GB2312" w:eastAsia="仿宋_GB2312"/>
          <w:b/>
          <w:color w:val="000000"/>
          <w:sz w:val="28"/>
          <w:szCs w:val="28"/>
        </w:rPr>
      </w:pPr>
    </w:p>
    <w:p w14:paraId="2D326454">
      <w:pPr>
        <w:rPr>
          <w:rFonts w:hint="eastAsia"/>
          <w:color w:val="000000"/>
          <w:sz w:val="30"/>
          <w:szCs w:val="30"/>
        </w:rPr>
      </w:pPr>
    </w:p>
    <w:p w14:paraId="09E53F71">
      <w:pPr>
        <w:pStyle w:val="4"/>
        <w:jc w:val="center"/>
        <w:outlineLvl w:val="1"/>
        <w:rPr>
          <w:rFonts w:hint="eastAsia"/>
          <w:lang w:eastAsia="zh-CN"/>
        </w:rPr>
      </w:pPr>
      <w:bookmarkStart w:id="446" w:name="_Toc328559339"/>
      <w:bookmarkStart w:id="447" w:name="_Toc245714176"/>
      <w:bookmarkStart w:id="448" w:name="_Toc273602358"/>
      <w:r>
        <w:rPr>
          <w:rFonts w:hint="eastAsia"/>
          <w:color w:val="000000"/>
        </w:rPr>
        <w:t>四．</w:t>
      </w:r>
      <w:bookmarkEnd w:id="446"/>
      <w:bookmarkEnd w:id="447"/>
      <w:bookmarkEnd w:id="448"/>
      <w:r>
        <w:rPr>
          <w:rFonts w:hint="eastAsia"/>
          <w:lang w:eastAsia="zh-CN"/>
        </w:rPr>
        <w:t>拟委任的项目经理（项目技术负责人）简历</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14:paraId="2A5D8BFE">
        <w:trPr>
          <w:trHeight w:val="567" w:hRule="atLeast"/>
          <w:jc w:val="center"/>
        </w:trPr>
        <w:tc>
          <w:tcPr>
            <w:tcW w:w="702" w:type="pct"/>
            <w:noWrap w:val="0"/>
            <w:vAlign w:val="center"/>
          </w:tcPr>
          <w:p w14:paraId="542A58E4">
            <w:pPr>
              <w:jc w:val="center"/>
              <w:rPr>
                <w:rFonts w:ascii="宋体" w:hAnsi="宋体"/>
                <w:szCs w:val="21"/>
              </w:rPr>
            </w:pPr>
            <w:r>
              <w:rPr>
                <w:rFonts w:ascii="宋体" w:hAnsi="宋体"/>
                <w:szCs w:val="21"/>
              </w:rPr>
              <w:t>姓  名</w:t>
            </w:r>
          </w:p>
        </w:tc>
        <w:tc>
          <w:tcPr>
            <w:tcW w:w="792" w:type="pct"/>
            <w:gridSpan w:val="2"/>
            <w:noWrap w:val="0"/>
            <w:vAlign w:val="center"/>
          </w:tcPr>
          <w:p w14:paraId="231AC616">
            <w:pPr>
              <w:jc w:val="center"/>
              <w:rPr>
                <w:rFonts w:ascii="宋体" w:hAnsi="宋体"/>
                <w:szCs w:val="21"/>
              </w:rPr>
            </w:pPr>
          </w:p>
        </w:tc>
        <w:tc>
          <w:tcPr>
            <w:tcW w:w="703" w:type="pct"/>
            <w:gridSpan w:val="3"/>
            <w:noWrap w:val="0"/>
            <w:vAlign w:val="center"/>
          </w:tcPr>
          <w:p w14:paraId="4A192822">
            <w:pPr>
              <w:jc w:val="center"/>
              <w:rPr>
                <w:rFonts w:ascii="宋体" w:hAnsi="宋体"/>
                <w:szCs w:val="21"/>
              </w:rPr>
            </w:pPr>
            <w:r>
              <w:rPr>
                <w:rFonts w:ascii="宋体" w:hAnsi="宋体"/>
                <w:szCs w:val="21"/>
              </w:rPr>
              <w:t>年 龄</w:t>
            </w:r>
          </w:p>
        </w:tc>
        <w:tc>
          <w:tcPr>
            <w:tcW w:w="803" w:type="pct"/>
            <w:noWrap w:val="0"/>
            <w:vAlign w:val="center"/>
          </w:tcPr>
          <w:p w14:paraId="66C00939">
            <w:pPr>
              <w:jc w:val="center"/>
              <w:rPr>
                <w:rFonts w:ascii="宋体" w:hAnsi="宋体"/>
                <w:szCs w:val="21"/>
              </w:rPr>
            </w:pPr>
          </w:p>
        </w:tc>
        <w:tc>
          <w:tcPr>
            <w:tcW w:w="904" w:type="pct"/>
            <w:gridSpan w:val="2"/>
            <w:noWrap w:val="0"/>
            <w:vAlign w:val="center"/>
          </w:tcPr>
          <w:p w14:paraId="2E8BF667">
            <w:pPr>
              <w:jc w:val="center"/>
              <w:rPr>
                <w:rFonts w:ascii="宋体" w:hAnsi="宋体"/>
                <w:szCs w:val="21"/>
              </w:rPr>
            </w:pPr>
            <w:r>
              <w:rPr>
                <w:rFonts w:ascii="宋体" w:hAnsi="宋体"/>
                <w:szCs w:val="21"/>
              </w:rPr>
              <w:t>学</w:t>
            </w:r>
            <w:r>
              <w:rPr>
                <w:rFonts w:hint="eastAsia" w:ascii="宋体" w:hAnsi="宋体"/>
                <w:szCs w:val="21"/>
              </w:rPr>
              <w:t xml:space="preserve"> </w:t>
            </w:r>
            <w:r>
              <w:rPr>
                <w:rFonts w:ascii="宋体" w:hAnsi="宋体"/>
                <w:szCs w:val="21"/>
              </w:rPr>
              <w:t>历</w:t>
            </w:r>
          </w:p>
        </w:tc>
        <w:tc>
          <w:tcPr>
            <w:tcW w:w="1096" w:type="pct"/>
            <w:noWrap w:val="0"/>
            <w:vAlign w:val="center"/>
          </w:tcPr>
          <w:p w14:paraId="62838105">
            <w:pPr>
              <w:jc w:val="center"/>
              <w:rPr>
                <w:rFonts w:ascii="宋体" w:hAnsi="宋体"/>
                <w:szCs w:val="21"/>
              </w:rPr>
            </w:pPr>
          </w:p>
        </w:tc>
      </w:tr>
      <w:tr w14:paraId="5E238FAB">
        <w:trPr>
          <w:trHeight w:val="567" w:hRule="atLeast"/>
          <w:jc w:val="center"/>
        </w:trPr>
        <w:tc>
          <w:tcPr>
            <w:tcW w:w="702" w:type="pct"/>
            <w:noWrap w:val="0"/>
            <w:vAlign w:val="center"/>
          </w:tcPr>
          <w:p w14:paraId="5BF72EEE">
            <w:pPr>
              <w:jc w:val="center"/>
              <w:rPr>
                <w:rFonts w:ascii="宋体" w:hAnsi="宋体"/>
                <w:szCs w:val="21"/>
              </w:rPr>
            </w:pPr>
            <w:r>
              <w:rPr>
                <w:rFonts w:ascii="宋体" w:hAnsi="宋体"/>
                <w:szCs w:val="21"/>
              </w:rPr>
              <w:t>职  称</w:t>
            </w:r>
          </w:p>
        </w:tc>
        <w:tc>
          <w:tcPr>
            <w:tcW w:w="792" w:type="pct"/>
            <w:gridSpan w:val="2"/>
            <w:noWrap w:val="0"/>
            <w:vAlign w:val="center"/>
          </w:tcPr>
          <w:p w14:paraId="5156D968">
            <w:pPr>
              <w:jc w:val="center"/>
              <w:rPr>
                <w:rFonts w:ascii="宋体" w:hAnsi="宋体"/>
                <w:szCs w:val="21"/>
              </w:rPr>
            </w:pPr>
          </w:p>
        </w:tc>
        <w:tc>
          <w:tcPr>
            <w:tcW w:w="703" w:type="pct"/>
            <w:gridSpan w:val="3"/>
            <w:noWrap w:val="0"/>
            <w:vAlign w:val="center"/>
          </w:tcPr>
          <w:p w14:paraId="67EBB89D">
            <w:pPr>
              <w:jc w:val="center"/>
              <w:rPr>
                <w:rFonts w:ascii="宋体" w:hAnsi="宋体"/>
                <w:szCs w:val="21"/>
              </w:rPr>
            </w:pPr>
            <w:r>
              <w:rPr>
                <w:rFonts w:hint="eastAsia" w:ascii="宋体" w:hAnsi="宋体"/>
                <w:szCs w:val="21"/>
              </w:rPr>
              <w:t>单位</w:t>
            </w:r>
          </w:p>
          <w:p w14:paraId="5E862E12">
            <w:pPr>
              <w:jc w:val="center"/>
              <w:rPr>
                <w:rFonts w:ascii="宋体" w:hAnsi="宋体"/>
                <w:szCs w:val="21"/>
              </w:rPr>
            </w:pPr>
            <w:r>
              <w:rPr>
                <w:rFonts w:ascii="宋体" w:hAnsi="宋体"/>
                <w:szCs w:val="21"/>
              </w:rPr>
              <w:t>职务</w:t>
            </w:r>
          </w:p>
        </w:tc>
        <w:tc>
          <w:tcPr>
            <w:tcW w:w="803" w:type="pct"/>
            <w:noWrap w:val="0"/>
            <w:vAlign w:val="center"/>
          </w:tcPr>
          <w:p w14:paraId="39946272">
            <w:pPr>
              <w:jc w:val="center"/>
              <w:rPr>
                <w:rFonts w:ascii="宋体" w:hAnsi="宋体"/>
                <w:szCs w:val="21"/>
              </w:rPr>
            </w:pPr>
          </w:p>
        </w:tc>
        <w:tc>
          <w:tcPr>
            <w:tcW w:w="904" w:type="pct"/>
            <w:gridSpan w:val="2"/>
            <w:noWrap w:val="0"/>
            <w:vAlign w:val="center"/>
          </w:tcPr>
          <w:p w14:paraId="5354EB25">
            <w:pPr>
              <w:jc w:val="center"/>
              <w:rPr>
                <w:rFonts w:ascii="宋体" w:hAnsi="宋体"/>
                <w:szCs w:val="21"/>
              </w:rPr>
            </w:pPr>
            <w:r>
              <w:rPr>
                <w:rFonts w:ascii="宋体" w:hAnsi="宋体"/>
                <w:szCs w:val="21"/>
              </w:rPr>
              <w:t>拟在本</w:t>
            </w:r>
            <w:r>
              <w:rPr>
                <w:rFonts w:hint="eastAsia" w:ascii="宋体" w:hAnsi="宋体"/>
                <w:szCs w:val="21"/>
              </w:rPr>
              <w:t>标段</w:t>
            </w:r>
          </w:p>
          <w:p w14:paraId="69E923FD">
            <w:pPr>
              <w:jc w:val="center"/>
              <w:rPr>
                <w:rFonts w:ascii="宋体" w:hAnsi="宋体"/>
                <w:szCs w:val="21"/>
              </w:rPr>
            </w:pPr>
            <w:r>
              <w:rPr>
                <w:rFonts w:hint="eastAsia" w:ascii="宋体" w:hAnsi="宋体"/>
                <w:szCs w:val="21"/>
              </w:rPr>
              <w:t>工程担任职务</w:t>
            </w:r>
          </w:p>
        </w:tc>
        <w:tc>
          <w:tcPr>
            <w:tcW w:w="1096" w:type="pct"/>
            <w:noWrap w:val="0"/>
            <w:vAlign w:val="center"/>
          </w:tcPr>
          <w:p w14:paraId="3A1FDDE6">
            <w:pPr>
              <w:jc w:val="center"/>
              <w:rPr>
                <w:rFonts w:ascii="宋体" w:hAnsi="宋体"/>
                <w:szCs w:val="21"/>
              </w:rPr>
            </w:pPr>
          </w:p>
        </w:tc>
      </w:tr>
      <w:tr w14:paraId="7DD803A6">
        <w:trPr>
          <w:trHeight w:val="567" w:hRule="atLeast"/>
          <w:jc w:val="center"/>
        </w:trPr>
        <w:tc>
          <w:tcPr>
            <w:tcW w:w="702" w:type="pct"/>
            <w:noWrap w:val="0"/>
            <w:vAlign w:val="center"/>
          </w:tcPr>
          <w:p w14:paraId="7C095E62">
            <w:pPr>
              <w:jc w:val="center"/>
              <w:rPr>
                <w:rFonts w:ascii="宋体" w:hAnsi="宋体"/>
                <w:szCs w:val="21"/>
              </w:rPr>
            </w:pPr>
            <w:r>
              <w:rPr>
                <w:rFonts w:ascii="宋体" w:hAnsi="宋体"/>
                <w:szCs w:val="21"/>
              </w:rPr>
              <w:t>毕业学校</w:t>
            </w:r>
          </w:p>
        </w:tc>
        <w:tc>
          <w:tcPr>
            <w:tcW w:w="4298" w:type="pct"/>
            <w:gridSpan w:val="9"/>
            <w:noWrap w:val="0"/>
            <w:vAlign w:val="center"/>
          </w:tcPr>
          <w:p w14:paraId="77C15F31">
            <w:pPr>
              <w:rPr>
                <w:rFonts w:ascii="宋体" w:hAnsi="宋体"/>
                <w:szCs w:val="21"/>
              </w:rPr>
            </w:pP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毕业于</w:t>
            </w:r>
            <w:r>
              <w:rPr>
                <w:rFonts w:ascii="宋体" w:hAnsi="宋体"/>
                <w:szCs w:val="21"/>
                <w:u w:val="single"/>
              </w:rPr>
              <w:t xml:space="preserve">            </w:t>
            </w:r>
            <w:r>
              <w:rPr>
                <w:rFonts w:ascii="宋体" w:hAnsi="宋体"/>
                <w:szCs w:val="21"/>
              </w:rPr>
              <w:t>学校</w:t>
            </w:r>
            <w:r>
              <w:rPr>
                <w:rFonts w:ascii="宋体" w:hAnsi="宋体"/>
                <w:szCs w:val="21"/>
                <w:u w:val="single"/>
              </w:rPr>
              <w:t xml:space="preserve">        </w:t>
            </w:r>
            <w:r>
              <w:rPr>
                <w:rFonts w:ascii="宋体" w:hAnsi="宋体"/>
                <w:szCs w:val="21"/>
              </w:rPr>
              <w:t>专业</w:t>
            </w:r>
            <w:r>
              <w:rPr>
                <w:rFonts w:hint="eastAsia" w:ascii="宋体" w:hAnsi="宋体"/>
                <w:szCs w:val="21"/>
              </w:rPr>
              <w:t>，学制</w:t>
            </w:r>
            <w:r>
              <w:rPr>
                <w:rFonts w:hint="eastAsia" w:ascii="宋体" w:hAnsi="宋体"/>
                <w:szCs w:val="21"/>
                <w:u w:val="single"/>
              </w:rPr>
              <w:t xml:space="preserve">   </w:t>
            </w:r>
            <w:r>
              <w:rPr>
                <w:rFonts w:hint="eastAsia" w:ascii="宋体" w:hAnsi="宋体"/>
                <w:szCs w:val="21"/>
              </w:rPr>
              <w:t>年</w:t>
            </w:r>
          </w:p>
        </w:tc>
      </w:tr>
      <w:tr w14:paraId="2751D57C">
        <w:trPr>
          <w:trHeight w:val="567" w:hRule="atLeast"/>
          <w:jc w:val="center"/>
        </w:trPr>
        <w:tc>
          <w:tcPr>
            <w:tcW w:w="5000" w:type="pct"/>
            <w:gridSpan w:val="10"/>
            <w:noWrap w:val="0"/>
            <w:vAlign w:val="center"/>
          </w:tcPr>
          <w:p w14:paraId="3164FD31">
            <w:pPr>
              <w:jc w:val="center"/>
              <w:rPr>
                <w:rFonts w:ascii="宋体" w:hAnsi="宋体"/>
              </w:rPr>
            </w:pPr>
            <w:r>
              <w:rPr>
                <w:rFonts w:ascii="宋体" w:hAnsi="宋体"/>
                <w:szCs w:val="21"/>
              </w:rPr>
              <w:t>经</w:t>
            </w:r>
            <w:r>
              <w:rPr>
                <w:rFonts w:hint="eastAsia" w:ascii="宋体" w:hAnsi="宋体"/>
                <w:szCs w:val="21"/>
              </w:rPr>
              <w:t xml:space="preserve">    </w:t>
            </w:r>
            <w:r>
              <w:rPr>
                <w:rFonts w:ascii="宋体" w:hAnsi="宋体"/>
                <w:szCs w:val="21"/>
              </w:rPr>
              <w:t>历</w:t>
            </w:r>
          </w:p>
        </w:tc>
      </w:tr>
      <w:tr w14:paraId="24EDB08D">
        <w:trPr>
          <w:trHeight w:val="567" w:hRule="atLeast"/>
          <w:jc w:val="center"/>
        </w:trPr>
        <w:tc>
          <w:tcPr>
            <w:tcW w:w="713" w:type="pct"/>
            <w:gridSpan w:val="2"/>
            <w:noWrap w:val="0"/>
            <w:vAlign w:val="center"/>
          </w:tcPr>
          <w:p w14:paraId="41E2E8AC">
            <w:pPr>
              <w:jc w:val="center"/>
              <w:rPr>
                <w:rFonts w:ascii="宋体" w:hAnsi="宋体"/>
                <w:szCs w:val="21"/>
              </w:rPr>
            </w:pPr>
            <w:r>
              <w:rPr>
                <w:rFonts w:hint="eastAsia" w:ascii="宋体" w:hAnsi="宋体"/>
                <w:szCs w:val="21"/>
              </w:rPr>
              <w:t>时间</w:t>
            </w:r>
          </w:p>
        </w:tc>
        <w:tc>
          <w:tcPr>
            <w:tcW w:w="1370" w:type="pct"/>
            <w:gridSpan w:val="3"/>
            <w:noWrap w:val="0"/>
            <w:vAlign w:val="center"/>
          </w:tcPr>
          <w:p w14:paraId="59FE7CB1">
            <w:pPr>
              <w:jc w:val="center"/>
              <w:rPr>
                <w:rFonts w:ascii="宋体" w:hAnsi="宋体"/>
                <w:szCs w:val="21"/>
              </w:rPr>
            </w:pPr>
            <w:r>
              <w:rPr>
                <w:rFonts w:ascii="宋体" w:hAnsi="宋体"/>
                <w:szCs w:val="21"/>
              </w:rPr>
              <w:t>参加过的</w:t>
            </w:r>
            <w:r>
              <w:rPr>
                <w:rFonts w:hint="eastAsia" w:ascii="宋体" w:hAnsi="宋体"/>
                <w:szCs w:val="21"/>
              </w:rPr>
              <w:t>工程</w:t>
            </w:r>
            <w:r>
              <w:rPr>
                <w:rFonts w:ascii="宋体" w:hAnsi="宋体"/>
                <w:szCs w:val="21"/>
              </w:rPr>
              <w:t>项目</w:t>
            </w:r>
            <w:r>
              <w:rPr>
                <w:rFonts w:hint="eastAsia" w:ascii="宋体" w:hAnsi="宋体"/>
                <w:szCs w:val="21"/>
              </w:rPr>
              <w:t>名称</w:t>
            </w:r>
          </w:p>
        </w:tc>
        <w:tc>
          <w:tcPr>
            <w:tcW w:w="917" w:type="pct"/>
            <w:gridSpan w:val="2"/>
            <w:noWrap w:val="0"/>
            <w:vAlign w:val="center"/>
          </w:tcPr>
          <w:p w14:paraId="584AF465">
            <w:pPr>
              <w:jc w:val="center"/>
              <w:rPr>
                <w:rFonts w:ascii="宋体" w:hAnsi="宋体"/>
                <w:szCs w:val="21"/>
              </w:rPr>
            </w:pPr>
            <w:r>
              <w:rPr>
                <w:rFonts w:hint="eastAsia" w:ascii="宋体" w:hAnsi="宋体"/>
                <w:szCs w:val="21"/>
              </w:rPr>
              <w:t>签约合同价金额（万元）</w:t>
            </w:r>
          </w:p>
        </w:tc>
        <w:tc>
          <w:tcPr>
            <w:tcW w:w="691" w:type="pct"/>
            <w:noWrap w:val="0"/>
            <w:vAlign w:val="center"/>
          </w:tcPr>
          <w:p w14:paraId="382E9747">
            <w:pPr>
              <w:jc w:val="center"/>
              <w:rPr>
                <w:rFonts w:ascii="宋体" w:hAnsi="宋体"/>
                <w:szCs w:val="21"/>
              </w:rPr>
            </w:pPr>
            <w:r>
              <w:rPr>
                <w:rFonts w:ascii="宋体" w:hAnsi="宋体"/>
                <w:szCs w:val="21"/>
              </w:rPr>
              <w:t>担任职务</w:t>
            </w:r>
          </w:p>
        </w:tc>
        <w:tc>
          <w:tcPr>
            <w:tcW w:w="1309" w:type="pct"/>
            <w:gridSpan w:val="2"/>
            <w:noWrap w:val="0"/>
            <w:vAlign w:val="center"/>
          </w:tcPr>
          <w:p w14:paraId="7067EEE2">
            <w:pPr>
              <w:rPr>
                <w:rFonts w:ascii="宋体" w:hAnsi="宋体"/>
                <w:szCs w:val="21"/>
              </w:rPr>
            </w:pPr>
            <w:r>
              <w:rPr>
                <w:rFonts w:ascii="宋体" w:hAnsi="宋体"/>
                <w:szCs w:val="21"/>
              </w:rPr>
              <w:t>发包人及联系电话</w:t>
            </w:r>
          </w:p>
        </w:tc>
      </w:tr>
      <w:tr w14:paraId="5E559128">
        <w:trPr>
          <w:trHeight w:val="567" w:hRule="atLeast"/>
          <w:jc w:val="center"/>
        </w:trPr>
        <w:tc>
          <w:tcPr>
            <w:tcW w:w="713" w:type="pct"/>
            <w:gridSpan w:val="2"/>
            <w:noWrap w:val="0"/>
            <w:vAlign w:val="top"/>
          </w:tcPr>
          <w:p w14:paraId="5989C990">
            <w:pPr>
              <w:rPr>
                <w:rFonts w:ascii="宋体" w:hAnsi="宋体"/>
                <w:szCs w:val="21"/>
              </w:rPr>
            </w:pPr>
          </w:p>
        </w:tc>
        <w:tc>
          <w:tcPr>
            <w:tcW w:w="1370" w:type="pct"/>
            <w:gridSpan w:val="3"/>
            <w:noWrap w:val="0"/>
            <w:vAlign w:val="top"/>
          </w:tcPr>
          <w:p w14:paraId="5CB5DBCA">
            <w:pPr>
              <w:rPr>
                <w:rFonts w:ascii="宋体" w:hAnsi="宋体"/>
                <w:szCs w:val="21"/>
              </w:rPr>
            </w:pPr>
          </w:p>
        </w:tc>
        <w:tc>
          <w:tcPr>
            <w:tcW w:w="917" w:type="pct"/>
            <w:gridSpan w:val="2"/>
            <w:noWrap w:val="0"/>
            <w:vAlign w:val="top"/>
          </w:tcPr>
          <w:p w14:paraId="74BD9475">
            <w:pPr>
              <w:rPr>
                <w:rFonts w:ascii="宋体" w:hAnsi="宋体"/>
                <w:szCs w:val="21"/>
              </w:rPr>
            </w:pPr>
          </w:p>
        </w:tc>
        <w:tc>
          <w:tcPr>
            <w:tcW w:w="691" w:type="pct"/>
            <w:noWrap w:val="0"/>
            <w:vAlign w:val="top"/>
          </w:tcPr>
          <w:p w14:paraId="1430AB52">
            <w:pPr>
              <w:rPr>
                <w:rFonts w:ascii="宋体" w:hAnsi="宋体"/>
                <w:szCs w:val="21"/>
              </w:rPr>
            </w:pPr>
          </w:p>
        </w:tc>
        <w:tc>
          <w:tcPr>
            <w:tcW w:w="1309" w:type="pct"/>
            <w:gridSpan w:val="2"/>
            <w:noWrap w:val="0"/>
            <w:vAlign w:val="top"/>
          </w:tcPr>
          <w:p w14:paraId="6ACFAF76">
            <w:pPr>
              <w:rPr>
                <w:rFonts w:ascii="宋体" w:hAnsi="宋体"/>
                <w:szCs w:val="21"/>
              </w:rPr>
            </w:pPr>
          </w:p>
        </w:tc>
      </w:tr>
      <w:tr w14:paraId="32487678">
        <w:trPr>
          <w:trHeight w:val="567" w:hRule="atLeast"/>
          <w:jc w:val="center"/>
        </w:trPr>
        <w:tc>
          <w:tcPr>
            <w:tcW w:w="713" w:type="pct"/>
            <w:gridSpan w:val="2"/>
            <w:noWrap w:val="0"/>
            <w:vAlign w:val="top"/>
          </w:tcPr>
          <w:p w14:paraId="17B34BC9">
            <w:pPr>
              <w:rPr>
                <w:rFonts w:eastAsia="黑体"/>
                <w:szCs w:val="21"/>
              </w:rPr>
            </w:pPr>
          </w:p>
        </w:tc>
        <w:tc>
          <w:tcPr>
            <w:tcW w:w="1370" w:type="pct"/>
            <w:gridSpan w:val="3"/>
            <w:noWrap w:val="0"/>
            <w:vAlign w:val="top"/>
          </w:tcPr>
          <w:p w14:paraId="739DD46D">
            <w:pPr>
              <w:pStyle w:val="35"/>
            </w:pPr>
          </w:p>
        </w:tc>
        <w:tc>
          <w:tcPr>
            <w:tcW w:w="917" w:type="pct"/>
            <w:gridSpan w:val="2"/>
            <w:noWrap w:val="0"/>
            <w:vAlign w:val="top"/>
          </w:tcPr>
          <w:p w14:paraId="37BFBF2A">
            <w:pPr>
              <w:pStyle w:val="35"/>
            </w:pPr>
          </w:p>
        </w:tc>
        <w:tc>
          <w:tcPr>
            <w:tcW w:w="691" w:type="pct"/>
            <w:noWrap w:val="0"/>
            <w:vAlign w:val="top"/>
          </w:tcPr>
          <w:p w14:paraId="15473FEE">
            <w:pPr>
              <w:pStyle w:val="35"/>
            </w:pPr>
          </w:p>
        </w:tc>
        <w:tc>
          <w:tcPr>
            <w:tcW w:w="1309" w:type="pct"/>
            <w:gridSpan w:val="2"/>
            <w:noWrap w:val="0"/>
            <w:vAlign w:val="top"/>
          </w:tcPr>
          <w:p w14:paraId="499D0805">
            <w:pPr>
              <w:rPr>
                <w:rFonts w:eastAsia="黑体"/>
                <w:szCs w:val="21"/>
              </w:rPr>
            </w:pPr>
          </w:p>
        </w:tc>
      </w:tr>
      <w:tr w14:paraId="1021879E">
        <w:trPr>
          <w:trHeight w:val="567" w:hRule="atLeast"/>
          <w:jc w:val="center"/>
        </w:trPr>
        <w:tc>
          <w:tcPr>
            <w:tcW w:w="713" w:type="pct"/>
            <w:gridSpan w:val="2"/>
            <w:noWrap w:val="0"/>
            <w:vAlign w:val="top"/>
          </w:tcPr>
          <w:p w14:paraId="1A8CB911">
            <w:pPr>
              <w:rPr>
                <w:rFonts w:eastAsia="黑体"/>
                <w:szCs w:val="21"/>
              </w:rPr>
            </w:pPr>
          </w:p>
        </w:tc>
        <w:tc>
          <w:tcPr>
            <w:tcW w:w="1370" w:type="pct"/>
            <w:gridSpan w:val="3"/>
            <w:noWrap w:val="0"/>
            <w:vAlign w:val="top"/>
          </w:tcPr>
          <w:p w14:paraId="6D330E44">
            <w:pPr>
              <w:rPr>
                <w:rFonts w:eastAsia="黑体"/>
                <w:szCs w:val="21"/>
              </w:rPr>
            </w:pPr>
          </w:p>
        </w:tc>
        <w:tc>
          <w:tcPr>
            <w:tcW w:w="917" w:type="pct"/>
            <w:gridSpan w:val="2"/>
            <w:noWrap w:val="0"/>
            <w:vAlign w:val="top"/>
          </w:tcPr>
          <w:p w14:paraId="09090193">
            <w:pPr>
              <w:rPr>
                <w:rFonts w:eastAsia="黑体"/>
                <w:szCs w:val="21"/>
              </w:rPr>
            </w:pPr>
          </w:p>
        </w:tc>
        <w:tc>
          <w:tcPr>
            <w:tcW w:w="691" w:type="pct"/>
            <w:noWrap w:val="0"/>
            <w:vAlign w:val="top"/>
          </w:tcPr>
          <w:p w14:paraId="279F09E2">
            <w:pPr>
              <w:rPr>
                <w:rFonts w:eastAsia="黑体"/>
                <w:szCs w:val="21"/>
              </w:rPr>
            </w:pPr>
          </w:p>
        </w:tc>
        <w:tc>
          <w:tcPr>
            <w:tcW w:w="1309" w:type="pct"/>
            <w:gridSpan w:val="2"/>
            <w:noWrap w:val="0"/>
            <w:vAlign w:val="top"/>
          </w:tcPr>
          <w:p w14:paraId="2668F4D8">
            <w:pPr>
              <w:rPr>
                <w:rFonts w:eastAsia="黑体"/>
                <w:szCs w:val="21"/>
              </w:rPr>
            </w:pPr>
          </w:p>
        </w:tc>
      </w:tr>
      <w:tr w14:paraId="4E108AB1">
        <w:trPr>
          <w:trHeight w:val="567" w:hRule="atLeast"/>
          <w:jc w:val="center"/>
        </w:trPr>
        <w:tc>
          <w:tcPr>
            <w:tcW w:w="713" w:type="pct"/>
            <w:gridSpan w:val="2"/>
            <w:noWrap w:val="0"/>
            <w:vAlign w:val="center"/>
          </w:tcPr>
          <w:p w14:paraId="7FD3A548">
            <w:pPr>
              <w:rPr>
                <w:rFonts w:eastAsia="黑体"/>
                <w:szCs w:val="21"/>
              </w:rPr>
            </w:pPr>
          </w:p>
        </w:tc>
        <w:tc>
          <w:tcPr>
            <w:tcW w:w="1370" w:type="pct"/>
            <w:gridSpan w:val="3"/>
            <w:noWrap w:val="0"/>
            <w:vAlign w:val="center"/>
          </w:tcPr>
          <w:p w14:paraId="72D16737">
            <w:pPr>
              <w:rPr>
                <w:rFonts w:eastAsia="黑体"/>
                <w:szCs w:val="21"/>
              </w:rPr>
            </w:pPr>
          </w:p>
        </w:tc>
        <w:tc>
          <w:tcPr>
            <w:tcW w:w="917" w:type="pct"/>
            <w:gridSpan w:val="2"/>
            <w:noWrap w:val="0"/>
            <w:vAlign w:val="center"/>
          </w:tcPr>
          <w:p w14:paraId="6582F96F">
            <w:pPr>
              <w:rPr>
                <w:rFonts w:eastAsia="黑体"/>
                <w:szCs w:val="21"/>
              </w:rPr>
            </w:pPr>
          </w:p>
        </w:tc>
        <w:tc>
          <w:tcPr>
            <w:tcW w:w="691" w:type="pct"/>
            <w:noWrap w:val="0"/>
            <w:vAlign w:val="center"/>
          </w:tcPr>
          <w:p w14:paraId="47882483">
            <w:pPr>
              <w:rPr>
                <w:rFonts w:eastAsia="黑体"/>
                <w:szCs w:val="21"/>
              </w:rPr>
            </w:pPr>
          </w:p>
        </w:tc>
        <w:tc>
          <w:tcPr>
            <w:tcW w:w="1309" w:type="pct"/>
            <w:gridSpan w:val="2"/>
            <w:noWrap w:val="0"/>
            <w:vAlign w:val="center"/>
          </w:tcPr>
          <w:p w14:paraId="3BFE1CD3">
            <w:pPr>
              <w:rPr>
                <w:rFonts w:eastAsia="黑体"/>
                <w:szCs w:val="21"/>
              </w:rPr>
            </w:pPr>
          </w:p>
        </w:tc>
      </w:tr>
      <w:tr w14:paraId="6CAFA9AB">
        <w:trPr>
          <w:trHeight w:val="567" w:hRule="atLeast"/>
          <w:jc w:val="center"/>
        </w:trPr>
        <w:tc>
          <w:tcPr>
            <w:tcW w:w="713" w:type="pct"/>
            <w:gridSpan w:val="2"/>
            <w:noWrap w:val="0"/>
            <w:vAlign w:val="center"/>
          </w:tcPr>
          <w:p w14:paraId="634D42D4">
            <w:pPr>
              <w:rPr>
                <w:rFonts w:eastAsia="黑体"/>
                <w:szCs w:val="21"/>
              </w:rPr>
            </w:pPr>
          </w:p>
        </w:tc>
        <w:tc>
          <w:tcPr>
            <w:tcW w:w="1370" w:type="pct"/>
            <w:gridSpan w:val="3"/>
            <w:noWrap w:val="0"/>
            <w:vAlign w:val="center"/>
          </w:tcPr>
          <w:p w14:paraId="080B6B53">
            <w:pPr>
              <w:rPr>
                <w:rFonts w:eastAsia="黑体"/>
                <w:szCs w:val="21"/>
              </w:rPr>
            </w:pPr>
          </w:p>
        </w:tc>
        <w:tc>
          <w:tcPr>
            <w:tcW w:w="917" w:type="pct"/>
            <w:gridSpan w:val="2"/>
            <w:noWrap w:val="0"/>
            <w:vAlign w:val="center"/>
          </w:tcPr>
          <w:p w14:paraId="1206D05C">
            <w:pPr>
              <w:rPr>
                <w:rFonts w:eastAsia="黑体"/>
                <w:szCs w:val="21"/>
              </w:rPr>
            </w:pPr>
          </w:p>
        </w:tc>
        <w:tc>
          <w:tcPr>
            <w:tcW w:w="691" w:type="pct"/>
            <w:noWrap w:val="0"/>
            <w:vAlign w:val="center"/>
          </w:tcPr>
          <w:p w14:paraId="46F33AA1">
            <w:pPr>
              <w:rPr>
                <w:rFonts w:eastAsia="黑体"/>
                <w:szCs w:val="21"/>
              </w:rPr>
            </w:pPr>
          </w:p>
        </w:tc>
        <w:tc>
          <w:tcPr>
            <w:tcW w:w="1309" w:type="pct"/>
            <w:gridSpan w:val="2"/>
            <w:noWrap w:val="0"/>
            <w:vAlign w:val="center"/>
          </w:tcPr>
          <w:p w14:paraId="25620F2A">
            <w:pPr>
              <w:rPr>
                <w:rFonts w:eastAsia="黑体"/>
                <w:szCs w:val="21"/>
              </w:rPr>
            </w:pPr>
          </w:p>
        </w:tc>
      </w:tr>
      <w:tr w14:paraId="07863090">
        <w:trPr>
          <w:trHeight w:val="567" w:hRule="atLeast"/>
          <w:jc w:val="center"/>
        </w:trPr>
        <w:tc>
          <w:tcPr>
            <w:tcW w:w="713" w:type="pct"/>
            <w:gridSpan w:val="2"/>
            <w:noWrap w:val="0"/>
            <w:vAlign w:val="center"/>
          </w:tcPr>
          <w:p w14:paraId="45B25822">
            <w:pPr>
              <w:rPr>
                <w:rFonts w:eastAsia="黑体"/>
                <w:szCs w:val="21"/>
              </w:rPr>
            </w:pPr>
          </w:p>
        </w:tc>
        <w:tc>
          <w:tcPr>
            <w:tcW w:w="1370" w:type="pct"/>
            <w:gridSpan w:val="3"/>
            <w:noWrap w:val="0"/>
            <w:vAlign w:val="center"/>
          </w:tcPr>
          <w:p w14:paraId="18F50262">
            <w:pPr>
              <w:rPr>
                <w:rFonts w:eastAsia="黑体"/>
                <w:szCs w:val="21"/>
              </w:rPr>
            </w:pPr>
          </w:p>
        </w:tc>
        <w:tc>
          <w:tcPr>
            <w:tcW w:w="917" w:type="pct"/>
            <w:gridSpan w:val="2"/>
            <w:noWrap w:val="0"/>
            <w:vAlign w:val="center"/>
          </w:tcPr>
          <w:p w14:paraId="45AF2475">
            <w:pPr>
              <w:rPr>
                <w:rFonts w:eastAsia="黑体"/>
                <w:szCs w:val="21"/>
              </w:rPr>
            </w:pPr>
          </w:p>
        </w:tc>
        <w:tc>
          <w:tcPr>
            <w:tcW w:w="691" w:type="pct"/>
            <w:noWrap w:val="0"/>
            <w:vAlign w:val="center"/>
          </w:tcPr>
          <w:p w14:paraId="06B1082C">
            <w:pPr>
              <w:rPr>
                <w:rFonts w:eastAsia="黑体"/>
                <w:szCs w:val="21"/>
              </w:rPr>
            </w:pPr>
          </w:p>
        </w:tc>
        <w:tc>
          <w:tcPr>
            <w:tcW w:w="1309" w:type="pct"/>
            <w:gridSpan w:val="2"/>
            <w:noWrap w:val="0"/>
            <w:vAlign w:val="center"/>
          </w:tcPr>
          <w:p w14:paraId="38BD4AE5">
            <w:pPr>
              <w:rPr>
                <w:rFonts w:eastAsia="黑体"/>
                <w:szCs w:val="21"/>
              </w:rPr>
            </w:pPr>
          </w:p>
        </w:tc>
      </w:tr>
      <w:tr w14:paraId="10E5D345">
        <w:trPr>
          <w:trHeight w:val="567" w:hRule="atLeast"/>
          <w:jc w:val="center"/>
        </w:trPr>
        <w:tc>
          <w:tcPr>
            <w:tcW w:w="713" w:type="pct"/>
            <w:gridSpan w:val="2"/>
            <w:noWrap w:val="0"/>
            <w:vAlign w:val="center"/>
          </w:tcPr>
          <w:p w14:paraId="530AD372">
            <w:pPr>
              <w:rPr>
                <w:rFonts w:eastAsia="黑体"/>
                <w:szCs w:val="21"/>
              </w:rPr>
            </w:pPr>
          </w:p>
        </w:tc>
        <w:tc>
          <w:tcPr>
            <w:tcW w:w="1370" w:type="pct"/>
            <w:gridSpan w:val="3"/>
            <w:noWrap w:val="0"/>
            <w:vAlign w:val="center"/>
          </w:tcPr>
          <w:p w14:paraId="43D6CDD5">
            <w:pPr>
              <w:rPr>
                <w:rFonts w:eastAsia="黑体"/>
                <w:szCs w:val="21"/>
              </w:rPr>
            </w:pPr>
          </w:p>
        </w:tc>
        <w:tc>
          <w:tcPr>
            <w:tcW w:w="917" w:type="pct"/>
            <w:gridSpan w:val="2"/>
            <w:tcBorders>
              <w:right w:val="single" w:color="auto" w:sz="8" w:space="0"/>
            </w:tcBorders>
            <w:noWrap w:val="0"/>
            <w:vAlign w:val="center"/>
          </w:tcPr>
          <w:p w14:paraId="44300133">
            <w:pPr>
              <w:rPr>
                <w:rFonts w:eastAsia="黑体"/>
                <w:szCs w:val="21"/>
              </w:rPr>
            </w:pPr>
          </w:p>
        </w:tc>
        <w:tc>
          <w:tcPr>
            <w:tcW w:w="691" w:type="pct"/>
            <w:tcBorders>
              <w:left w:val="single" w:color="auto" w:sz="8" w:space="0"/>
            </w:tcBorders>
            <w:noWrap w:val="0"/>
            <w:vAlign w:val="center"/>
          </w:tcPr>
          <w:p w14:paraId="0E21373F">
            <w:pPr>
              <w:rPr>
                <w:rFonts w:eastAsia="黑体"/>
                <w:szCs w:val="21"/>
              </w:rPr>
            </w:pPr>
          </w:p>
        </w:tc>
        <w:tc>
          <w:tcPr>
            <w:tcW w:w="1309" w:type="pct"/>
            <w:gridSpan w:val="2"/>
            <w:noWrap w:val="0"/>
            <w:vAlign w:val="center"/>
          </w:tcPr>
          <w:p w14:paraId="19766A80">
            <w:pPr>
              <w:rPr>
                <w:rFonts w:eastAsia="黑体"/>
                <w:szCs w:val="21"/>
              </w:rPr>
            </w:pPr>
          </w:p>
        </w:tc>
      </w:tr>
      <w:tr w14:paraId="46F8901D">
        <w:trPr>
          <w:trHeight w:val="567" w:hRule="atLeast"/>
          <w:jc w:val="center"/>
        </w:trPr>
        <w:tc>
          <w:tcPr>
            <w:tcW w:w="713" w:type="pct"/>
            <w:gridSpan w:val="2"/>
            <w:noWrap w:val="0"/>
            <w:vAlign w:val="center"/>
          </w:tcPr>
          <w:p w14:paraId="270A7806">
            <w:pPr>
              <w:rPr>
                <w:rFonts w:ascii="宋体" w:hAnsi="宋体"/>
                <w:szCs w:val="21"/>
              </w:rPr>
            </w:pPr>
            <w:r>
              <w:rPr>
                <w:rFonts w:hint="eastAsia" w:ascii="宋体" w:hAnsi="宋体"/>
                <w:szCs w:val="21"/>
              </w:rPr>
              <w:t>获奖情况</w:t>
            </w:r>
          </w:p>
        </w:tc>
        <w:tc>
          <w:tcPr>
            <w:tcW w:w="4287" w:type="pct"/>
            <w:gridSpan w:val="8"/>
            <w:noWrap w:val="0"/>
            <w:vAlign w:val="center"/>
          </w:tcPr>
          <w:p w14:paraId="5BFCC80B">
            <w:pPr>
              <w:rPr>
                <w:rFonts w:eastAsia="黑体"/>
                <w:szCs w:val="21"/>
              </w:rPr>
            </w:pPr>
          </w:p>
        </w:tc>
      </w:tr>
      <w:tr w14:paraId="0D5912EC">
        <w:trPr>
          <w:trHeight w:val="1013" w:hRule="atLeast"/>
          <w:jc w:val="center"/>
        </w:trPr>
        <w:tc>
          <w:tcPr>
            <w:tcW w:w="1845" w:type="pct"/>
            <w:gridSpan w:val="4"/>
            <w:noWrap w:val="0"/>
            <w:vAlign w:val="center"/>
          </w:tcPr>
          <w:p w14:paraId="2688F298">
            <w:pPr>
              <w:rPr>
                <w:rFonts w:ascii="宋体" w:hAnsi="宋体"/>
                <w:szCs w:val="21"/>
              </w:rPr>
            </w:pPr>
            <w:r>
              <w:rPr>
                <w:rFonts w:hint="eastAsia" w:ascii="宋体" w:hAnsi="宋体"/>
                <w:szCs w:val="21"/>
              </w:rPr>
              <w:t>说明在岗情况</w:t>
            </w:r>
          </w:p>
        </w:tc>
        <w:tc>
          <w:tcPr>
            <w:tcW w:w="3155" w:type="pct"/>
            <w:gridSpan w:val="6"/>
            <w:noWrap w:val="0"/>
            <w:vAlign w:val="center"/>
          </w:tcPr>
          <w:p w14:paraId="76873B77">
            <w:pPr>
              <w:widowControl/>
              <w:rPr>
                <w:snapToGrid w:val="0"/>
                <w:kern w:val="0"/>
                <w:szCs w:val="21"/>
                <w:u w:val="single"/>
              </w:rPr>
            </w:pPr>
            <w:r>
              <w:rPr>
                <w:rFonts w:hint="eastAsia" w:ascii="宋体" w:hAnsi="宋体"/>
                <w:snapToGrid w:val="0"/>
                <w:kern w:val="0"/>
                <w:szCs w:val="21"/>
              </w:rPr>
              <w:t>□</w:t>
            </w:r>
            <w:r>
              <w:rPr>
                <w:snapToGrid w:val="0"/>
                <w:kern w:val="0"/>
                <w:szCs w:val="21"/>
              </w:rPr>
              <w:t>目前未在其他项目上任职，现从事工作为：</w:t>
            </w:r>
            <w:r>
              <w:rPr>
                <w:rFonts w:hint="eastAsia"/>
                <w:snapToGrid w:val="0"/>
                <w:kern w:val="0"/>
                <w:szCs w:val="21"/>
              </w:rPr>
              <w:t>______</w:t>
            </w:r>
          </w:p>
          <w:p w14:paraId="60A5A3C5">
            <w:pPr>
              <w:widowControl/>
              <w:rPr>
                <w:snapToGrid w:val="0"/>
                <w:kern w:val="0"/>
                <w:szCs w:val="21"/>
              </w:rPr>
            </w:pPr>
            <w:r>
              <w:rPr>
                <w:rFonts w:hint="eastAsia" w:ascii="宋体" w:hAnsi="宋体"/>
                <w:snapToGrid w:val="0"/>
                <w:kern w:val="0"/>
                <w:szCs w:val="21"/>
              </w:rPr>
              <w:t>□</w:t>
            </w:r>
            <w:r>
              <w:rPr>
                <w:snapToGrid w:val="0"/>
                <w:kern w:val="0"/>
                <w:szCs w:val="21"/>
              </w:rPr>
              <w:t>目前虽在其他项目上任职，但本项目中标后能够撤离，目前任职项目：</w:t>
            </w:r>
            <w:r>
              <w:rPr>
                <w:rFonts w:hint="eastAsia"/>
                <w:snapToGrid w:val="0"/>
                <w:kern w:val="0"/>
                <w:szCs w:val="21"/>
              </w:rPr>
              <w:t>______</w:t>
            </w:r>
            <w:r>
              <w:rPr>
                <w:snapToGrid w:val="0"/>
                <w:kern w:val="0"/>
                <w:szCs w:val="21"/>
              </w:rPr>
              <w:t>，担任职位：</w:t>
            </w:r>
            <w:r>
              <w:rPr>
                <w:rFonts w:hint="eastAsia"/>
                <w:snapToGrid w:val="0"/>
                <w:kern w:val="0"/>
                <w:szCs w:val="21"/>
              </w:rPr>
              <w:t>_____</w:t>
            </w:r>
            <w:r>
              <w:rPr>
                <w:snapToGrid w:val="0"/>
                <w:kern w:val="0"/>
                <w:szCs w:val="21"/>
              </w:rPr>
              <w:t>。</w:t>
            </w:r>
          </w:p>
        </w:tc>
      </w:tr>
    </w:tbl>
    <w:p w14:paraId="5330DA37">
      <w:pPr>
        <w:rPr>
          <w:rFonts w:hint="eastAsia"/>
          <w:color w:val="000000"/>
        </w:rPr>
      </w:pPr>
    </w:p>
    <w:p w14:paraId="0CCE765B">
      <w:pPr>
        <w:rPr>
          <w:rFonts w:hint="eastAsia"/>
          <w:color w:val="000000"/>
        </w:rPr>
      </w:pPr>
    </w:p>
    <w:p w14:paraId="468E604D">
      <w:pPr>
        <w:rPr>
          <w:rFonts w:hint="eastAsia"/>
          <w:color w:val="000000"/>
        </w:rPr>
      </w:pPr>
    </w:p>
    <w:p w14:paraId="5262D551">
      <w:pPr>
        <w:rPr>
          <w:rFonts w:hint="eastAsia"/>
          <w:color w:val="000000"/>
        </w:rPr>
      </w:pPr>
    </w:p>
    <w:p w14:paraId="394E708B">
      <w:pPr>
        <w:rPr>
          <w:rFonts w:hint="eastAsia"/>
          <w:color w:val="000000"/>
        </w:rPr>
      </w:pPr>
    </w:p>
    <w:p w14:paraId="0540F1B5">
      <w:pPr>
        <w:rPr>
          <w:rFonts w:hint="eastAsia"/>
          <w:color w:val="000000"/>
        </w:rPr>
      </w:pPr>
    </w:p>
    <w:p w14:paraId="4F49BC12">
      <w:pPr>
        <w:rPr>
          <w:rFonts w:hint="eastAsia"/>
          <w:color w:val="000000"/>
        </w:rPr>
      </w:pPr>
    </w:p>
    <w:p w14:paraId="5FA49ADC">
      <w:pPr>
        <w:rPr>
          <w:rFonts w:hint="eastAsia"/>
          <w:color w:val="000000"/>
        </w:rPr>
      </w:pPr>
    </w:p>
    <w:p w14:paraId="1967EFF4">
      <w:pPr>
        <w:rPr>
          <w:rFonts w:hint="eastAsia"/>
          <w:color w:val="000000"/>
        </w:rPr>
      </w:pPr>
    </w:p>
    <w:p w14:paraId="55B30885">
      <w:pPr>
        <w:rPr>
          <w:rFonts w:hint="eastAsia"/>
          <w:color w:val="000000"/>
        </w:rPr>
      </w:pPr>
    </w:p>
    <w:p w14:paraId="69F5DA9C">
      <w:pPr>
        <w:rPr>
          <w:rFonts w:hint="eastAsia"/>
          <w:color w:val="000000"/>
        </w:rPr>
      </w:pPr>
    </w:p>
    <w:p w14:paraId="2B07B80C">
      <w:pPr>
        <w:rPr>
          <w:rFonts w:hint="eastAsia"/>
          <w:color w:val="000000"/>
        </w:rPr>
      </w:pPr>
    </w:p>
    <w:p w14:paraId="164AC802">
      <w:pPr>
        <w:rPr>
          <w:rFonts w:hint="eastAsia"/>
          <w:color w:val="000000"/>
        </w:rPr>
      </w:pPr>
    </w:p>
    <w:p w14:paraId="01839DC1">
      <w:pPr>
        <w:rPr>
          <w:rFonts w:hint="eastAsia"/>
          <w:color w:val="000000"/>
        </w:rPr>
      </w:pPr>
    </w:p>
    <w:p w14:paraId="1FF20E60">
      <w:pPr>
        <w:rPr>
          <w:rFonts w:hint="eastAsia"/>
          <w:color w:val="000000"/>
        </w:rPr>
      </w:pPr>
    </w:p>
    <w:p w14:paraId="1A4D800D">
      <w:pPr>
        <w:rPr>
          <w:rFonts w:hint="eastAsia"/>
          <w:color w:val="000000"/>
        </w:rPr>
      </w:pPr>
    </w:p>
    <w:p w14:paraId="3F32E627">
      <w:pPr>
        <w:rPr>
          <w:rFonts w:hint="eastAsia"/>
          <w:color w:val="000000"/>
        </w:rPr>
      </w:pPr>
    </w:p>
    <w:p w14:paraId="5F9A2BF1">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eastAsia="宋体"/>
          <w:color w:val="000000"/>
          <w:lang w:eastAsia="zh-CN"/>
        </w:rPr>
      </w:pPr>
      <w:bookmarkStart w:id="449" w:name="_Toc245714177"/>
      <w:bookmarkStart w:id="450" w:name="_Toc328559340"/>
      <w:bookmarkStart w:id="451" w:name="_Toc273602359"/>
      <w:bookmarkStart w:id="452" w:name="_Toc220232400"/>
      <w:bookmarkStart w:id="453" w:name="_Toc516969110"/>
      <w:bookmarkStart w:id="454" w:name="_Toc220232405"/>
      <w:r>
        <w:rPr>
          <w:rFonts w:hint="eastAsia"/>
          <w:color w:val="000000"/>
        </w:rPr>
        <w:t>五．</w:t>
      </w:r>
      <w:bookmarkEnd w:id="449"/>
      <w:bookmarkEnd w:id="450"/>
      <w:bookmarkEnd w:id="451"/>
      <w:r>
        <w:rPr>
          <w:rFonts w:hint="eastAsia"/>
          <w:color w:val="000000"/>
          <w:lang w:eastAsia="zh-CN"/>
        </w:rPr>
        <w:t>投标业绩</w:t>
      </w:r>
    </w:p>
    <w:p w14:paraId="658503A4">
      <w:pPr>
        <w:spacing w:line="360" w:lineRule="auto"/>
        <w:jc w:val="center"/>
        <w:outlineLvl w:val="2"/>
        <w:rPr>
          <w:sz w:val="24"/>
          <w:szCs w:val="24"/>
        </w:rPr>
      </w:pPr>
      <w:r>
        <w:rPr>
          <w:rFonts w:hint="eastAsia"/>
          <w:sz w:val="24"/>
          <w:szCs w:val="24"/>
        </w:rPr>
        <w:t>（格式仅供参考）</w:t>
      </w:r>
    </w:p>
    <w:tbl>
      <w:tblPr>
        <w:tblStyle w:val="5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5EA1D59">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F5A885">
            <w:pPr>
              <w:autoSpaceDE w:val="0"/>
              <w:autoSpaceDN w:val="0"/>
              <w:adjustRightInd w:val="0"/>
              <w:spacing w:line="300" w:lineRule="exact"/>
              <w:jc w:val="center"/>
              <w:rPr>
                <w:rFonts w:hint="eastAsia"/>
                <w:color w:val="000000"/>
                <w:szCs w:val="22"/>
                <w:highlight w:val="white"/>
              </w:rPr>
            </w:pPr>
            <w:r>
              <w:rPr>
                <w:rFonts w:hint="eastAsia"/>
                <w:color w:val="000000"/>
                <w:szCs w:val="22"/>
                <w:highlight w:val="whit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ADCE7B">
            <w:pPr>
              <w:autoSpaceDE w:val="0"/>
              <w:autoSpaceDN w:val="0"/>
              <w:adjustRightInd w:val="0"/>
              <w:spacing w:line="300" w:lineRule="exact"/>
              <w:jc w:val="center"/>
              <w:rPr>
                <w:rFonts w:ascii="宋体" w:hAnsi="宋体" w:cs="宋体"/>
                <w:kern w:val="0"/>
                <w:szCs w:val="21"/>
              </w:rPr>
            </w:pPr>
          </w:p>
        </w:tc>
      </w:tr>
      <w:tr w14:paraId="25C76260">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C13782">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FF9DE">
            <w:pPr>
              <w:autoSpaceDE w:val="0"/>
              <w:autoSpaceDN w:val="0"/>
              <w:adjustRightInd w:val="0"/>
              <w:spacing w:line="300" w:lineRule="exact"/>
              <w:jc w:val="center"/>
              <w:rPr>
                <w:rFonts w:ascii="宋体" w:hAnsi="宋体" w:cs="宋体"/>
                <w:kern w:val="0"/>
                <w:szCs w:val="21"/>
              </w:rPr>
            </w:pPr>
          </w:p>
        </w:tc>
      </w:tr>
      <w:tr w14:paraId="54ED4B16">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EFA20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B04B6E8">
            <w:pPr>
              <w:autoSpaceDE w:val="0"/>
              <w:autoSpaceDN w:val="0"/>
              <w:adjustRightInd w:val="0"/>
              <w:spacing w:line="300" w:lineRule="exact"/>
              <w:jc w:val="center"/>
              <w:rPr>
                <w:rFonts w:ascii="宋体" w:hAnsi="宋体" w:cs="宋体"/>
                <w:kern w:val="0"/>
                <w:szCs w:val="21"/>
              </w:rPr>
            </w:pPr>
          </w:p>
        </w:tc>
      </w:tr>
      <w:tr w14:paraId="5FD42094">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9098E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9855A5">
            <w:pPr>
              <w:autoSpaceDE w:val="0"/>
              <w:autoSpaceDN w:val="0"/>
              <w:adjustRightInd w:val="0"/>
              <w:spacing w:line="300" w:lineRule="exact"/>
              <w:jc w:val="center"/>
              <w:rPr>
                <w:rFonts w:ascii="宋体" w:hAnsi="宋体" w:cs="宋体"/>
                <w:kern w:val="0"/>
                <w:szCs w:val="21"/>
              </w:rPr>
            </w:pPr>
          </w:p>
        </w:tc>
      </w:tr>
      <w:tr w14:paraId="304CBCCF">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CA395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E84CC4">
            <w:pPr>
              <w:autoSpaceDE w:val="0"/>
              <w:autoSpaceDN w:val="0"/>
              <w:adjustRightInd w:val="0"/>
              <w:spacing w:line="300" w:lineRule="exact"/>
              <w:jc w:val="center"/>
              <w:rPr>
                <w:rFonts w:ascii="宋体" w:hAnsi="宋体" w:cs="宋体"/>
                <w:kern w:val="0"/>
                <w:szCs w:val="21"/>
              </w:rPr>
            </w:pPr>
          </w:p>
        </w:tc>
      </w:tr>
      <w:tr w14:paraId="69150C1A">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F023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68B466C">
            <w:pPr>
              <w:autoSpaceDE w:val="0"/>
              <w:autoSpaceDN w:val="0"/>
              <w:adjustRightInd w:val="0"/>
              <w:spacing w:line="300" w:lineRule="exact"/>
              <w:jc w:val="center"/>
              <w:rPr>
                <w:rFonts w:ascii="宋体" w:hAnsi="宋体" w:cs="宋体"/>
                <w:kern w:val="0"/>
                <w:szCs w:val="21"/>
              </w:rPr>
            </w:pPr>
          </w:p>
        </w:tc>
      </w:tr>
      <w:tr w14:paraId="7DB0B72A">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7D748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7876ED">
            <w:pPr>
              <w:autoSpaceDE w:val="0"/>
              <w:autoSpaceDN w:val="0"/>
              <w:adjustRightInd w:val="0"/>
              <w:spacing w:line="300" w:lineRule="exact"/>
              <w:jc w:val="center"/>
              <w:rPr>
                <w:rFonts w:ascii="宋体" w:hAnsi="宋体" w:cs="宋体"/>
                <w:kern w:val="0"/>
                <w:szCs w:val="21"/>
              </w:rPr>
            </w:pPr>
          </w:p>
        </w:tc>
      </w:tr>
      <w:tr w14:paraId="2F69F67F">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27562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6EF22B">
            <w:pPr>
              <w:autoSpaceDE w:val="0"/>
              <w:autoSpaceDN w:val="0"/>
              <w:adjustRightInd w:val="0"/>
              <w:spacing w:line="300" w:lineRule="exact"/>
              <w:jc w:val="center"/>
              <w:rPr>
                <w:rFonts w:ascii="宋体" w:hAnsi="宋体" w:cs="宋体"/>
                <w:kern w:val="0"/>
                <w:szCs w:val="21"/>
              </w:rPr>
            </w:pPr>
          </w:p>
        </w:tc>
      </w:tr>
      <w:tr w14:paraId="3882622F">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13798FF">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EF3D5F">
            <w:pPr>
              <w:autoSpaceDE w:val="0"/>
              <w:autoSpaceDN w:val="0"/>
              <w:adjustRightInd w:val="0"/>
              <w:spacing w:line="300" w:lineRule="exact"/>
              <w:jc w:val="center"/>
              <w:rPr>
                <w:rFonts w:ascii="宋体" w:hAnsi="宋体" w:cs="宋体"/>
                <w:kern w:val="0"/>
                <w:szCs w:val="21"/>
              </w:rPr>
            </w:pPr>
          </w:p>
        </w:tc>
      </w:tr>
      <w:tr w14:paraId="013D1952">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523A4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F960F4">
            <w:pPr>
              <w:autoSpaceDE w:val="0"/>
              <w:autoSpaceDN w:val="0"/>
              <w:adjustRightInd w:val="0"/>
              <w:spacing w:line="300" w:lineRule="exact"/>
              <w:jc w:val="center"/>
              <w:rPr>
                <w:rFonts w:ascii="宋体" w:hAnsi="宋体" w:cs="宋体"/>
                <w:kern w:val="0"/>
                <w:szCs w:val="21"/>
              </w:rPr>
            </w:pPr>
          </w:p>
        </w:tc>
      </w:tr>
      <w:tr w14:paraId="15630137">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51DD8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71CA1E">
            <w:pPr>
              <w:autoSpaceDE w:val="0"/>
              <w:autoSpaceDN w:val="0"/>
              <w:adjustRightInd w:val="0"/>
              <w:spacing w:line="300" w:lineRule="exact"/>
              <w:jc w:val="center"/>
              <w:rPr>
                <w:rFonts w:ascii="宋体" w:hAnsi="宋体" w:cs="宋体"/>
                <w:kern w:val="0"/>
                <w:szCs w:val="21"/>
              </w:rPr>
            </w:pPr>
          </w:p>
        </w:tc>
      </w:tr>
      <w:tr w14:paraId="13DCC052">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8B40D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7484EA">
            <w:pPr>
              <w:autoSpaceDE w:val="0"/>
              <w:autoSpaceDN w:val="0"/>
              <w:adjustRightInd w:val="0"/>
              <w:spacing w:line="300" w:lineRule="exact"/>
              <w:jc w:val="center"/>
              <w:rPr>
                <w:rFonts w:ascii="宋体" w:hAnsi="宋体" w:cs="宋体"/>
                <w:kern w:val="0"/>
                <w:szCs w:val="21"/>
              </w:rPr>
            </w:pPr>
          </w:p>
        </w:tc>
      </w:tr>
      <w:tr w14:paraId="72AF75DD">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B99792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19F506">
            <w:pPr>
              <w:autoSpaceDE w:val="0"/>
              <w:autoSpaceDN w:val="0"/>
              <w:adjustRightInd w:val="0"/>
              <w:spacing w:line="300" w:lineRule="exact"/>
              <w:jc w:val="center"/>
              <w:rPr>
                <w:rFonts w:ascii="宋体" w:hAnsi="宋体" w:cs="宋体"/>
                <w:kern w:val="0"/>
                <w:szCs w:val="21"/>
              </w:rPr>
            </w:pPr>
          </w:p>
        </w:tc>
      </w:tr>
      <w:tr w14:paraId="226E2948">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1CB8C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DE17B10">
            <w:pPr>
              <w:autoSpaceDE w:val="0"/>
              <w:autoSpaceDN w:val="0"/>
              <w:adjustRightInd w:val="0"/>
              <w:spacing w:line="300" w:lineRule="exact"/>
              <w:jc w:val="center"/>
              <w:rPr>
                <w:rFonts w:ascii="宋体" w:hAnsi="宋体" w:cs="宋体"/>
                <w:kern w:val="0"/>
                <w:szCs w:val="21"/>
              </w:rPr>
            </w:pPr>
          </w:p>
        </w:tc>
      </w:tr>
      <w:tr w14:paraId="6697D5FE">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64744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F570E6">
            <w:pPr>
              <w:autoSpaceDE w:val="0"/>
              <w:autoSpaceDN w:val="0"/>
              <w:adjustRightInd w:val="0"/>
              <w:spacing w:line="300" w:lineRule="exact"/>
              <w:jc w:val="center"/>
              <w:rPr>
                <w:rFonts w:ascii="宋体" w:hAnsi="宋体" w:cs="宋体"/>
                <w:kern w:val="0"/>
                <w:szCs w:val="21"/>
              </w:rPr>
            </w:pPr>
          </w:p>
        </w:tc>
      </w:tr>
      <w:tr w14:paraId="57173173">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7CFC275">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12A2A1">
            <w:pPr>
              <w:autoSpaceDE w:val="0"/>
              <w:autoSpaceDN w:val="0"/>
              <w:adjustRightInd w:val="0"/>
              <w:spacing w:line="300" w:lineRule="exact"/>
              <w:jc w:val="center"/>
              <w:rPr>
                <w:rFonts w:ascii="宋体" w:hAnsi="宋体" w:cs="宋体"/>
                <w:kern w:val="0"/>
                <w:szCs w:val="21"/>
              </w:rPr>
            </w:pPr>
          </w:p>
        </w:tc>
      </w:tr>
      <w:tr w14:paraId="1CDCE392">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51EF96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A3B12A">
            <w:pPr>
              <w:autoSpaceDE w:val="0"/>
              <w:autoSpaceDN w:val="0"/>
              <w:adjustRightInd w:val="0"/>
              <w:spacing w:line="300" w:lineRule="exact"/>
              <w:ind w:left="360"/>
              <w:rPr>
                <w:rFonts w:ascii="宋体" w:hAnsi="宋体" w:cs="宋体"/>
                <w:kern w:val="0"/>
                <w:szCs w:val="21"/>
              </w:rPr>
            </w:pPr>
            <w:r>
              <w:rPr>
                <w:rFonts w:hint="eastAsia" w:ascii="楷体" w:hAnsi="楷体" w:eastAsia="楷体"/>
                <w:bCs/>
                <w:szCs w:val="21"/>
              </w:rPr>
              <w:t>□</w:t>
            </w:r>
            <w:r>
              <w:rPr>
                <w:rFonts w:hint="eastAsia"/>
                <w:color w:val="000000"/>
                <w:szCs w:val="22"/>
                <w:highlight w:val="white"/>
              </w:rPr>
              <w:t>资格审查用业绩</w:t>
            </w:r>
            <w:r>
              <w:rPr>
                <w:rFonts w:hint="eastAsia" w:ascii="楷体" w:hAnsi="楷体" w:eastAsia="楷体"/>
                <w:bCs/>
                <w:szCs w:val="21"/>
              </w:rPr>
              <w:t xml:space="preserve">      □</w:t>
            </w:r>
            <w:r>
              <w:rPr>
                <w:rFonts w:hint="eastAsia"/>
                <w:color w:val="000000"/>
                <w:szCs w:val="22"/>
                <w:highlight w:val="white"/>
              </w:rPr>
              <w:t>商务文件评分用业绩</w:t>
            </w:r>
          </w:p>
        </w:tc>
      </w:tr>
    </w:tbl>
    <w:p w14:paraId="1087AF8B">
      <w:pPr>
        <w:spacing w:before="48" w:beforeLines="20" w:after="48" w:afterLines="20" w:line="360" w:lineRule="auto"/>
        <w:jc w:val="center"/>
        <w:rPr>
          <w:rFonts w:ascii="宋体" w:hAnsi="宋体"/>
          <w:sz w:val="28"/>
        </w:rPr>
      </w:pPr>
    </w:p>
    <w:p w14:paraId="03689D37">
      <w:pPr>
        <w:rPr>
          <w:rFonts w:hint="eastAsia"/>
          <w:color w:val="000000"/>
          <w:sz w:val="28"/>
          <w:szCs w:val="28"/>
        </w:rPr>
      </w:pPr>
    </w:p>
    <w:p w14:paraId="58BA7C2C">
      <w:pPr>
        <w:rPr>
          <w:rFonts w:hint="eastAsia"/>
          <w:color w:val="000000"/>
          <w:sz w:val="28"/>
          <w:szCs w:val="28"/>
        </w:rPr>
      </w:pPr>
    </w:p>
    <w:p w14:paraId="16B2C471">
      <w:pPr>
        <w:rPr>
          <w:rFonts w:hint="eastAsia"/>
          <w:color w:val="000000"/>
          <w:sz w:val="28"/>
          <w:szCs w:val="28"/>
        </w:rPr>
      </w:pPr>
    </w:p>
    <w:p w14:paraId="6ABFFE2D">
      <w:pPr>
        <w:rPr>
          <w:rFonts w:hint="eastAsia"/>
          <w:color w:val="000000"/>
          <w:sz w:val="28"/>
          <w:szCs w:val="28"/>
        </w:rPr>
      </w:pPr>
    </w:p>
    <w:p w14:paraId="5BA74836">
      <w:pPr>
        <w:rPr>
          <w:rFonts w:hint="eastAsia"/>
          <w:color w:val="000000"/>
          <w:sz w:val="28"/>
          <w:szCs w:val="28"/>
        </w:rPr>
      </w:pPr>
    </w:p>
    <w:bookmarkEnd w:id="452"/>
    <w:bookmarkEnd w:id="453"/>
    <w:bookmarkEnd w:id="454"/>
    <w:p w14:paraId="2A7EBF55">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color w:val="000000"/>
        </w:rPr>
      </w:pPr>
      <w:bookmarkStart w:id="455" w:name="_Toc245714180"/>
      <w:bookmarkStart w:id="456" w:name="_Toc328559342"/>
      <w:bookmarkStart w:id="457" w:name="_Toc273602361"/>
      <w:r>
        <w:rPr>
          <w:rFonts w:hint="eastAsia"/>
          <w:color w:val="000000"/>
          <w:lang w:eastAsia="zh-CN"/>
        </w:rPr>
        <w:t>六</w:t>
      </w:r>
      <w:r>
        <w:rPr>
          <w:rFonts w:hint="eastAsia"/>
          <w:color w:val="000000"/>
        </w:rPr>
        <w:t>.资格证明文件</w:t>
      </w:r>
      <w:bookmarkEnd w:id="455"/>
      <w:bookmarkEnd w:id="456"/>
      <w:bookmarkEnd w:id="457"/>
    </w:p>
    <w:p w14:paraId="7F669761">
      <w:pPr>
        <w:tabs>
          <w:tab w:val="left" w:pos="4620"/>
        </w:tabs>
        <w:spacing w:line="360" w:lineRule="auto"/>
        <w:ind w:firstLine="480" w:firstLineChars="200"/>
        <w:rPr>
          <w:rFonts w:hint="eastAsia" w:ascii="宋体" w:hAnsi="宋体"/>
          <w:color w:val="000000"/>
          <w:sz w:val="24"/>
        </w:rPr>
      </w:pPr>
      <w:r>
        <w:rPr>
          <w:rFonts w:hint="eastAsia" w:ascii="宋体" w:hAnsi="宋体"/>
          <w:color w:val="000000"/>
          <w:sz w:val="24"/>
        </w:rPr>
        <w:t>提供符合投标邀请（招标公告）、招标范围及要求、评标办法规定的相关证明文件</w:t>
      </w:r>
    </w:p>
    <w:p w14:paraId="50E78C72">
      <w:pPr>
        <w:tabs>
          <w:tab w:val="left" w:pos="4620"/>
        </w:tabs>
        <w:spacing w:line="360" w:lineRule="auto"/>
        <w:ind w:firstLine="480" w:firstLineChars="200"/>
        <w:rPr>
          <w:rFonts w:hint="eastAsia" w:ascii="宋体" w:hAnsi="宋体"/>
          <w:color w:val="000000"/>
          <w:sz w:val="24"/>
        </w:rPr>
      </w:pPr>
    </w:p>
    <w:p w14:paraId="4D7FB62A">
      <w:pPr>
        <w:pStyle w:val="4"/>
        <w:outlineLvl w:val="9"/>
        <w:rPr>
          <w:rFonts w:hint="eastAsia"/>
          <w:b/>
          <w:color w:val="000000"/>
          <w:szCs w:val="22"/>
          <w:lang w:eastAsia="zh-CN"/>
        </w:rPr>
      </w:pPr>
      <w:bookmarkStart w:id="458" w:name="_Toc515390052"/>
    </w:p>
    <w:p w14:paraId="23171B91">
      <w:pPr>
        <w:pStyle w:val="4"/>
        <w:spacing w:before="0" w:after="0" w:line="240" w:lineRule="auto"/>
        <w:outlineLvl w:val="9"/>
        <w:rPr>
          <w:rFonts w:hint="eastAsia"/>
          <w:b/>
          <w:color w:val="000000"/>
          <w:szCs w:val="22"/>
          <w:lang w:eastAsia="zh-CN"/>
        </w:rPr>
      </w:pPr>
    </w:p>
    <w:p w14:paraId="78086DE1">
      <w:pPr>
        <w:rPr>
          <w:rFonts w:hint="eastAsia"/>
          <w:lang w:eastAsia="zh-CN"/>
        </w:rPr>
      </w:pPr>
    </w:p>
    <w:p w14:paraId="05E32E76">
      <w:pPr>
        <w:pStyle w:val="4"/>
        <w:keepNext/>
        <w:keepLines/>
        <w:pageBreakBefore/>
        <w:widowControl w:val="0"/>
        <w:kinsoku/>
        <w:wordWrap/>
        <w:overflowPunct/>
        <w:topLinePunct w:val="0"/>
        <w:autoSpaceDE/>
        <w:autoSpaceDN/>
        <w:bidi w:val="0"/>
        <w:adjustRightInd/>
        <w:snapToGrid/>
        <w:spacing w:before="0" w:after="0" w:line="240" w:lineRule="auto"/>
        <w:textAlignment w:val="auto"/>
        <w:outlineLvl w:val="1"/>
        <w:rPr>
          <w:rFonts w:hint="eastAsia"/>
          <w:b/>
          <w:color w:val="000000"/>
          <w:szCs w:val="22"/>
        </w:rPr>
      </w:pPr>
      <w:r>
        <w:rPr>
          <w:rFonts w:hint="eastAsia"/>
          <w:b/>
          <w:color w:val="000000"/>
          <w:szCs w:val="22"/>
          <w:lang w:eastAsia="zh-CN"/>
        </w:rPr>
        <w:t>七、</w:t>
      </w:r>
      <w:r>
        <w:rPr>
          <w:rFonts w:hint="eastAsia"/>
          <w:b/>
          <w:color w:val="000000"/>
          <w:szCs w:val="22"/>
        </w:rPr>
        <w:t>投标人信用承诺</w:t>
      </w:r>
      <w:bookmarkEnd w:id="458"/>
    </w:p>
    <w:p w14:paraId="47EE35BE">
      <w:pPr>
        <w:spacing w:line="360" w:lineRule="auto"/>
        <w:ind w:firstLine="630"/>
        <w:rPr>
          <w:rFonts w:ascii="宋体" w:hAnsi="宋体"/>
          <w:b/>
          <w:sz w:val="24"/>
        </w:rPr>
      </w:pPr>
      <w:r>
        <w:rPr>
          <w:rFonts w:hint="eastAsia" w:ascii="宋体" w:hAnsi="宋体"/>
          <w:b/>
          <w:sz w:val="24"/>
        </w:rPr>
        <w:t>一、我公司申明：</w:t>
      </w:r>
    </w:p>
    <w:p w14:paraId="203CD1C5">
      <w:pPr>
        <w:spacing w:line="360" w:lineRule="auto"/>
        <w:ind w:firstLine="630"/>
        <w:outlineLvl w:val="2"/>
        <w:rPr>
          <w:rFonts w:ascii="宋体" w:hAnsi="宋体"/>
          <w:sz w:val="24"/>
        </w:rPr>
      </w:pPr>
      <w:r>
        <w:rPr>
          <w:rFonts w:hint="eastAsia" w:ascii="宋体" w:hAnsi="宋体"/>
          <w:sz w:val="24"/>
        </w:rPr>
        <w:t>1.我公司未被人民法院列入失信被执行人；</w:t>
      </w:r>
    </w:p>
    <w:p w14:paraId="48255E21">
      <w:pPr>
        <w:spacing w:line="360" w:lineRule="auto"/>
        <w:ind w:firstLine="630"/>
        <w:rPr>
          <w:rFonts w:ascii="宋体" w:hAnsi="宋体"/>
          <w:sz w:val="24"/>
        </w:rPr>
      </w:pPr>
      <w:r>
        <w:rPr>
          <w:rFonts w:hint="eastAsia" w:ascii="宋体" w:hAnsi="宋体"/>
          <w:sz w:val="24"/>
        </w:rPr>
        <w:t>2.我公司和我公司法定代表人和我公司拟派项目经理（项目负责人）均未被人民检察院列入行贿犯罪档案；</w:t>
      </w:r>
    </w:p>
    <w:p w14:paraId="78F17110">
      <w:pPr>
        <w:spacing w:line="360" w:lineRule="auto"/>
        <w:ind w:firstLine="630"/>
        <w:rPr>
          <w:rFonts w:ascii="宋体" w:hAnsi="宋体"/>
          <w:sz w:val="24"/>
        </w:rPr>
      </w:pPr>
      <w:r>
        <w:rPr>
          <w:rFonts w:hint="eastAsia" w:ascii="宋体" w:hAnsi="宋体"/>
          <w:sz w:val="24"/>
        </w:rPr>
        <w:t>3.我公司未被工商行政管理部门列入企业经营异常名录；</w:t>
      </w:r>
    </w:p>
    <w:p w14:paraId="0B41416A">
      <w:pPr>
        <w:spacing w:line="360" w:lineRule="auto"/>
        <w:ind w:firstLine="630"/>
        <w:rPr>
          <w:rFonts w:hint="eastAsia" w:ascii="宋体" w:hAnsi="宋体"/>
          <w:sz w:val="24"/>
        </w:rPr>
      </w:pPr>
      <w:r>
        <w:rPr>
          <w:rFonts w:hint="eastAsia" w:ascii="宋体" w:hAnsi="宋体"/>
          <w:sz w:val="24"/>
        </w:rPr>
        <w:t>4.我公司未被税务部门列入重大税收违法案件当事人名单；</w:t>
      </w:r>
    </w:p>
    <w:p w14:paraId="7155F10E">
      <w:pPr>
        <w:spacing w:line="360" w:lineRule="auto"/>
        <w:ind w:firstLine="630"/>
        <w:rPr>
          <w:rFonts w:ascii="宋体" w:hAnsi="宋体"/>
          <w:sz w:val="24"/>
        </w:rPr>
      </w:pPr>
      <w:r>
        <w:rPr>
          <w:rFonts w:hint="eastAsia" w:ascii="宋体" w:hAnsi="宋体"/>
          <w:sz w:val="24"/>
        </w:rPr>
        <w:t>5.我公司未被合肥市人社部门列入拖欠农民工工资黑名单；</w:t>
      </w:r>
    </w:p>
    <w:p w14:paraId="444F7C46">
      <w:pPr>
        <w:spacing w:line="360" w:lineRule="auto"/>
        <w:ind w:firstLine="630"/>
        <w:rPr>
          <w:rFonts w:ascii="宋体" w:hAnsi="宋体"/>
          <w:sz w:val="24"/>
        </w:rPr>
      </w:pPr>
      <w:r>
        <w:rPr>
          <w:rFonts w:hint="eastAsia" w:ascii="宋体" w:hAnsi="宋体"/>
          <w:sz w:val="24"/>
        </w:rPr>
        <w:t>6.我公司未存在被合肥市城乡建设局因安全生产责任事故限制在合肥行政区域内承接新的工程项目且在限制期内的情形。</w:t>
      </w:r>
    </w:p>
    <w:p w14:paraId="05193F61">
      <w:pPr>
        <w:spacing w:line="360" w:lineRule="auto"/>
        <w:ind w:firstLine="630"/>
        <w:rPr>
          <w:rFonts w:ascii="宋体" w:hAnsi="宋体"/>
          <w:sz w:val="24"/>
        </w:rPr>
      </w:pPr>
      <w:r>
        <w:rPr>
          <w:rFonts w:hint="eastAsia" w:ascii="宋体" w:hAnsi="宋体"/>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F8A7898">
      <w:pPr>
        <w:spacing w:line="360" w:lineRule="auto"/>
        <w:ind w:firstLine="480" w:firstLineChars="200"/>
        <w:rPr>
          <w:rFonts w:ascii="宋体" w:hAnsi="宋体"/>
          <w:b/>
          <w:sz w:val="24"/>
        </w:rPr>
      </w:pPr>
      <w:r>
        <w:rPr>
          <w:rFonts w:ascii="宋体" w:hAnsi="宋体"/>
          <w:b/>
          <w:sz w:val="24"/>
        </w:rPr>
        <w:t>我公司</w:t>
      </w:r>
      <w:r>
        <w:rPr>
          <w:rFonts w:hint="eastAsia" w:ascii="宋体" w:hAnsi="宋体"/>
          <w:b/>
          <w:sz w:val="24"/>
        </w:rPr>
        <w:t>对以上承诺的真实性承担责任</w:t>
      </w:r>
      <w:r>
        <w:rPr>
          <w:rFonts w:ascii="宋体" w:hAnsi="宋体"/>
          <w:b/>
          <w:sz w:val="24"/>
        </w:rPr>
        <w:t>。</w:t>
      </w:r>
    </w:p>
    <w:p w14:paraId="1F74AEC8">
      <w:pPr>
        <w:spacing w:line="360" w:lineRule="auto"/>
        <w:ind w:firstLine="630"/>
        <w:rPr>
          <w:rFonts w:ascii="宋体" w:hAnsi="宋体"/>
          <w:sz w:val="24"/>
        </w:rPr>
      </w:pPr>
    </w:p>
    <w:p w14:paraId="3894932A">
      <w:pPr>
        <w:spacing w:line="360" w:lineRule="auto"/>
        <w:ind w:firstLine="480" w:firstLineChars="200"/>
        <w:rPr>
          <w:rFonts w:hint="eastAsia" w:ascii="宋体" w:hAnsi="宋体"/>
          <w:b/>
          <w:sz w:val="24"/>
          <w:szCs w:val="22"/>
        </w:rPr>
      </w:pPr>
      <w:r>
        <w:rPr>
          <w:rFonts w:hint="eastAsia" w:ascii="宋体" w:hAnsi="宋体"/>
          <w:b/>
          <w:sz w:val="24"/>
          <w:szCs w:val="22"/>
        </w:rPr>
        <w:t xml:space="preserve">投标人（公章）：                </w:t>
      </w:r>
    </w:p>
    <w:p w14:paraId="7BC5A7CE">
      <w:pPr>
        <w:spacing w:line="360" w:lineRule="auto"/>
        <w:ind w:firstLine="480" w:firstLineChars="200"/>
        <w:rPr>
          <w:rFonts w:hint="eastAsia" w:ascii="宋体" w:hAnsi="宋体"/>
          <w:b/>
          <w:sz w:val="24"/>
          <w:szCs w:val="22"/>
        </w:rPr>
      </w:pPr>
      <w:r>
        <w:rPr>
          <w:rFonts w:hint="eastAsia" w:ascii="宋体" w:hAnsi="宋体"/>
          <w:b/>
          <w:sz w:val="24"/>
          <w:szCs w:val="22"/>
        </w:rPr>
        <w:t>日  期：      年    月     日</w:t>
      </w:r>
    </w:p>
    <w:p w14:paraId="0EC3DC0C">
      <w:pPr>
        <w:tabs>
          <w:tab w:val="left" w:pos="4620"/>
        </w:tabs>
        <w:spacing w:line="360" w:lineRule="auto"/>
        <w:ind w:firstLine="480" w:firstLineChars="200"/>
        <w:rPr>
          <w:rFonts w:hint="eastAsia" w:ascii="宋体" w:hAnsi="宋体"/>
          <w:color w:val="000000"/>
          <w:sz w:val="24"/>
        </w:rPr>
      </w:pPr>
    </w:p>
    <w:p w14:paraId="7128DF2E">
      <w:pPr>
        <w:rPr>
          <w:rFonts w:hint="eastAsia"/>
          <w:color w:val="000000"/>
          <w:sz w:val="36"/>
          <w:szCs w:val="36"/>
        </w:rPr>
      </w:pPr>
    </w:p>
    <w:p w14:paraId="524F996F">
      <w:pPr>
        <w:rPr>
          <w:rFonts w:hint="eastAsia"/>
          <w:color w:val="000000"/>
          <w:sz w:val="36"/>
          <w:szCs w:val="36"/>
        </w:rPr>
      </w:pPr>
    </w:p>
    <w:p w14:paraId="188E3235">
      <w:pPr>
        <w:rPr>
          <w:rFonts w:hint="eastAsia"/>
          <w:color w:val="000000"/>
          <w:sz w:val="36"/>
          <w:szCs w:val="36"/>
        </w:rPr>
      </w:pPr>
    </w:p>
    <w:p w14:paraId="7B7DB7C2">
      <w:pPr>
        <w:rPr>
          <w:rFonts w:hint="eastAsia"/>
          <w:color w:val="000000"/>
          <w:sz w:val="36"/>
          <w:szCs w:val="36"/>
        </w:rPr>
      </w:pPr>
    </w:p>
    <w:p w14:paraId="1F97A5E3">
      <w:pPr>
        <w:rPr>
          <w:rFonts w:hint="eastAsia"/>
          <w:color w:val="000000"/>
          <w:sz w:val="36"/>
          <w:szCs w:val="36"/>
        </w:rPr>
      </w:pPr>
    </w:p>
    <w:p w14:paraId="74836F91">
      <w:pPr>
        <w:rPr>
          <w:rFonts w:hint="eastAsia"/>
          <w:color w:val="000000"/>
          <w:sz w:val="36"/>
          <w:szCs w:val="36"/>
        </w:rPr>
      </w:pPr>
    </w:p>
    <w:p w14:paraId="35BF62B8">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000000"/>
        </w:rPr>
      </w:pPr>
      <w:bookmarkStart w:id="459" w:name="_Toc328559343"/>
      <w:bookmarkStart w:id="460" w:name="_Toc273602362"/>
      <w:bookmarkStart w:id="461" w:name="_Toc245714181"/>
      <w:r>
        <w:rPr>
          <w:rFonts w:hint="eastAsia" w:ascii="黑体"/>
        </w:rPr>
        <w:t>●</w:t>
      </w:r>
      <w:r>
        <w:rPr>
          <w:rFonts w:hint="eastAsia"/>
        </w:rPr>
        <w:t>商务标</w:t>
      </w:r>
      <w:bookmarkEnd w:id="459"/>
      <w:bookmarkEnd w:id="460"/>
      <w:bookmarkEnd w:id="461"/>
    </w:p>
    <w:p w14:paraId="0E850510">
      <w:pPr>
        <w:spacing w:line="900" w:lineRule="exact"/>
        <w:jc w:val="left"/>
        <w:rPr>
          <w:rFonts w:hint="default" w:ascii="宋体" w:hAnsi="宋体" w:eastAsia="宋体"/>
          <w:b/>
          <w:bCs/>
          <w:color w:val="000000"/>
          <w:sz w:val="44"/>
          <w:szCs w:val="44"/>
          <w:lang w:val="en-US" w:eastAsia="zh-CN"/>
        </w:rPr>
      </w:pPr>
      <w:r>
        <w:rPr>
          <w:rFonts w:hint="eastAsia" w:ascii="宋体" w:hAnsi="宋体"/>
          <w:b/>
          <w:bCs/>
          <w:color w:val="000000"/>
          <w:sz w:val="44"/>
          <w:szCs w:val="44"/>
          <w:u w:val="single"/>
          <w:lang w:val="en-US" w:eastAsia="zh-CN"/>
        </w:rPr>
        <w:t xml:space="preserve">                          </w:t>
      </w:r>
      <w:r>
        <w:rPr>
          <w:rFonts w:hint="eastAsia" w:ascii="宋体" w:hAnsi="宋体"/>
          <w:b/>
          <w:bCs/>
          <w:color w:val="000000"/>
          <w:sz w:val="44"/>
          <w:szCs w:val="44"/>
          <w:u w:val="none"/>
          <w:lang w:val="en-US" w:eastAsia="zh-CN"/>
        </w:rPr>
        <w:t>（项目名称）</w:t>
      </w:r>
    </w:p>
    <w:p w14:paraId="1C91C976">
      <w:pPr>
        <w:spacing w:line="900" w:lineRule="exact"/>
        <w:jc w:val="center"/>
        <w:rPr>
          <w:rFonts w:hint="eastAsia" w:ascii="宋体" w:hAnsi="宋体"/>
          <w:b/>
          <w:color w:val="000000"/>
          <w:sz w:val="72"/>
        </w:rPr>
      </w:pPr>
      <w:r>
        <w:rPr>
          <w:rFonts w:hint="eastAsia" w:ascii="宋体" w:hAnsi="宋体"/>
          <w:b/>
          <w:color w:val="000000"/>
          <w:sz w:val="72"/>
        </w:rPr>
        <w:t>投</w:t>
      </w:r>
    </w:p>
    <w:p w14:paraId="249E6411">
      <w:pPr>
        <w:spacing w:line="900" w:lineRule="exact"/>
        <w:jc w:val="center"/>
        <w:rPr>
          <w:rFonts w:hint="eastAsia" w:ascii="宋体" w:hAnsi="宋体"/>
          <w:b/>
          <w:color w:val="000000"/>
          <w:sz w:val="72"/>
        </w:rPr>
      </w:pPr>
      <w:r>
        <w:rPr>
          <w:rFonts w:hint="eastAsia" w:ascii="宋体" w:hAnsi="宋体"/>
          <w:b/>
          <w:color w:val="000000"/>
          <w:sz w:val="72"/>
        </w:rPr>
        <w:t>标</w:t>
      </w:r>
    </w:p>
    <w:p w14:paraId="1A82DFA2">
      <w:pPr>
        <w:spacing w:line="900" w:lineRule="exact"/>
        <w:jc w:val="center"/>
        <w:rPr>
          <w:rFonts w:hint="eastAsia" w:ascii="宋体" w:hAnsi="宋体"/>
          <w:b/>
          <w:color w:val="000000"/>
          <w:sz w:val="72"/>
        </w:rPr>
      </w:pPr>
      <w:r>
        <w:rPr>
          <w:rFonts w:hint="eastAsia" w:ascii="宋体" w:hAnsi="宋体"/>
          <w:b/>
          <w:color w:val="000000"/>
          <w:sz w:val="72"/>
        </w:rPr>
        <w:t>文</w:t>
      </w:r>
    </w:p>
    <w:p w14:paraId="16B88F3A">
      <w:pPr>
        <w:jc w:val="center"/>
        <w:rPr>
          <w:rFonts w:hint="eastAsia" w:ascii="宋体" w:hAnsi="宋体"/>
          <w:b/>
          <w:color w:val="000000"/>
          <w:sz w:val="72"/>
        </w:rPr>
      </w:pPr>
      <w:r>
        <w:rPr>
          <w:rFonts w:hint="eastAsia" w:ascii="宋体" w:hAnsi="宋体"/>
          <w:b/>
          <w:color w:val="000000"/>
          <w:sz w:val="72"/>
        </w:rPr>
        <w:t>件</w:t>
      </w:r>
    </w:p>
    <w:p w14:paraId="6314E313">
      <w:pPr>
        <w:spacing w:after="120" w:afterLines="50" w:line="500" w:lineRule="exact"/>
        <w:jc w:val="center"/>
        <w:rPr>
          <w:rFonts w:hint="eastAsia" w:ascii="宋体" w:hAnsi="宋体"/>
          <w:b/>
          <w:color w:val="000000"/>
          <w:sz w:val="36"/>
          <w:szCs w:val="36"/>
        </w:rPr>
      </w:pPr>
      <w:r>
        <w:rPr>
          <w:rFonts w:hint="eastAsia" w:ascii="宋体" w:hAnsi="宋体"/>
          <w:b/>
          <w:color w:val="000000"/>
          <w:sz w:val="36"/>
          <w:szCs w:val="36"/>
        </w:rPr>
        <w:t>【商务标】</w:t>
      </w:r>
    </w:p>
    <w:p w14:paraId="5D0C4928">
      <w:pPr>
        <w:spacing w:after="120" w:afterLines="50" w:line="500" w:lineRule="exact"/>
        <w:jc w:val="center"/>
        <w:rPr>
          <w:rFonts w:hint="eastAsia" w:ascii="宋体" w:hAnsi="宋体"/>
          <w:b/>
          <w:color w:val="000000"/>
          <w:sz w:val="72"/>
        </w:rPr>
      </w:pPr>
    </w:p>
    <w:p w14:paraId="44559D6F">
      <w:pPr>
        <w:spacing w:after="120" w:afterLines="50" w:line="500" w:lineRule="exact"/>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p>
    <w:p w14:paraId="685A544A">
      <w:pPr>
        <w:spacing w:after="120"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14263C80">
      <w:pPr>
        <w:rPr>
          <w:rFonts w:hint="eastAsia"/>
          <w:color w:val="000000"/>
          <w:sz w:val="44"/>
          <w:szCs w:val="44"/>
        </w:rPr>
      </w:pPr>
    </w:p>
    <w:p w14:paraId="38B5ED4A">
      <w:pPr>
        <w:rPr>
          <w:rFonts w:hint="eastAsia"/>
          <w:color w:val="000000"/>
          <w:sz w:val="44"/>
          <w:szCs w:val="44"/>
        </w:rPr>
      </w:pPr>
    </w:p>
    <w:p w14:paraId="6D54CF84">
      <w:pPr>
        <w:rPr>
          <w:rFonts w:hint="eastAsia"/>
          <w:color w:val="000000"/>
          <w:sz w:val="44"/>
          <w:szCs w:val="44"/>
        </w:rPr>
      </w:pPr>
    </w:p>
    <w:p w14:paraId="40F87244">
      <w:pPr>
        <w:rPr>
          <w:rFonts w:hint="eastAsia"/>
          <w:color w:val="000000"/>
          <w:sz w:val="44"/>
          <w:szCs w:val="44"/>
        </w:rPr>
      </w:pPr>
    </w:p>
    <w:p w14:paraId="4FB2161E">
      <w:pPr>
        <w:rPr>
          <w:rFonts w:hint="eastAsia"/>
          <w:color w:val="000000"/>
          <w:sz w:val="44"/>
          <w:szCs w:val="44"/>
        </w:rPr>
      </w:pPr>
    </w:p>
    <w:p w14:paraId="4E1B36A2">
      <w:pPr>
        <w:rPr>
          <w:rFonts w:hint="eastAsia"/>
          <w:color w:val="000000"/>
          <w:sz w:val="44"/>
          <w:szCs w:val="44"/>
        </w:rPr>
      </w:pPr>
    </w:p>
    <w:p w14:paraId="333BDBA2">
      <w:pPr>
        <w:rPr>
          <w:rFonts w:hint="eastAsia"/>
          <w:color w:val="000000"/>
          <w:sz w:val="44"/>
          <w:szCs w:val="44"/>
        </w:rPr>
      </w:pPr>
    </w:p>
    <w:p w14:paraId="37A0454C">
      <w:pPr>
        <w:rPr>
          <w:rFonts w:hint="eastAsia"/>
          <w:color w:val="000000"/>
          <w:sz w:val="44"/>
          <w:szCs w:val="44"/>
        </w:rPr>
      </w:pPr>
    </w:p>
    <w:p w14:paraId="4A41CFE3">
      <w:pPr>
        <w:rPr>
          <w:rFonts w:hint="eastAsia"/>
          <w:color w:val="000000"/>
          <w:sz w:val="44"/>
          <w:szCs w:val="44"/>
        </w:rPr>
      </w:pPr>
    </w:p>
    <w:bookmarkEnd w:id="435"/>
    <w:p w14:paraId="6750080C">
      <w:pPr>
        <w:pStyle w:val="4"/>
        <w:outlineLvl w:val="1"/>
        <w:rPr>
          <w:rFonts w:hint="eastAsia" w:hAnsi="宋体"/>
          <w:color w:val="000000"/>
          <w:sz w:val="28"/>
        </w:rPr>
      </w:pPr>
      <w:bookmarkStart w:id="462" w:name="_Toc273602363"/>
      <w:bookmarkStart w:id="463" w:name="_Toc328559344"/>
      <w:bookmarkStart w:id="464" w:name="_Toc240898303"/>
      <w:bookmarkStart w:id="465" w:name="_Toc270410845"/>
      <w:r>
        <w:rPr>
          <w:rFonts w:hint="eastAsia" w:hAnsi="宋体"/>
          <w:color w:val="000000"/>
          <w:sz w:val="28"/>
        </w:rPr>
        <w:t>一．开标一览表</w:t>
      </w:r>
      <w:bookmarkEnd w:id="462"/>
      <w:bookmarkEnd w:id="463"/>
      <w:bookmarkEnd w:id="464"/>
      <w:bookmarkEnd w:id="465"/>
    </w:p>
    <w:bookmarkEnd w:id="436"/>
    <w:p w14:paraId="18CB30DD">
      <w:pPr>
        <w:adjustRightInd w:val="0"/>
        <w:snapToGrid w:val="0"/>
        <w:spacing w:before="48" w:beforeLines="20" w:after="48" w:afterLines="20" w:line="400" w:lineRule="exact"/>
        <w:rPr>
          <w:rFonts w:hint="eastAsia" w:ascii="宋体" w:hAnsi="宋体"/>
          <w:szCs w:val="22"/>
          <w:u w:val="single"/>
        </w:rPr>
      </w:pPr>
      <w:r>
        <w:rPr>
          <w:rFonts w:hint="eastAsia" w:eastAsia="黑体"/>
          <w:snapToGrid w:val="0"/>
          <w:color w:val="000000"/>
          <w:kern w:val="0"/>
          <w:szCs w:val="21"/>
          <w:u w:val="single"/>
        </w:rPr>
        <w:t xml:space="preserve">            </w:t>
      </w:r>
      <w:r>
        <w:rPr>
          <w:snapToGrid w:val="0"/>
          <w:color w:val="000000"/>
          <w:kern w:val="0"/>
          <w:szCs w:val="21"/>
        </w:rPr>
        <w:t>（招标人名称）</w:t>
      </w:r>
      <w:r>
        <w:rPr>
          <w:rFonts w:hint="eastAsia"/>
          <w:snapToGrid w:val="0"/>
          <w:color w:val="000000"/>
          <w:kern w:val="0"/>
          <w:szCs w:val="21"/>
        </w:rPr>
        <w:t>：</w:t>
      </w:r>
    </w:p>
    <w:p w14:paraId="2F69EBCD">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u w:val="single"/>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（项目名称）</w:t>
      </w:r>
      <w:r>
        <w:rPr>
          <w:rFonts w:hint="eastAsia" w:ascii="宋体" w:hAnsi="宋体"/>
          <w:szCs w:val="22"/>
          <w:u w:val="single"/>
        </w:rPr>
        <w:t xml:space="preserve">   </w:t>
      </w:r>
      <w:r>
        <w:rPr>
          <w:rFonts w:hint="eastAsia" w:ascii="宋体" w:hAnsi="宋体"/>
          <w:szCs w:val="22"/>
        </w:rPr>
        <w:t>标段招标文件的全部内容，在考察工程现场后，愿意以人民币（大写）</w:t>
      </w:r>
      <w:r>
        <w:rPr>
          <w:rFonts w:hint="eastAsia" w:ascii="宋体" w:hAnsi="宋体"/>
          <w:szCs w:val="22"/>
          <w:u w:val="single"/>
        </w:rPr>
        <w:t xml:space="preserve">         </w:t>
      </w:r>
      <w:r>
        <w:rPr>
          <w:rFonts w:hint="eastAsia" w:ascii="宋体" w:hAnsi="宋体"/>
          <w:szCs w:val="22"/>
        </w:rPr>
        <w:t>元（¥</w:t>
      </w:r>
      <w:r>
        <w:rPr>
          <w:rFonts w:hint="eastAsia" w:ascii="宋体" w:hAnsi="宋体"/>
          <w:szCs w:val="22"/>
          <w:u w:val="single"/>
        </w:rPr>
        <w:t xml:space="preserve">         </w:t>
      </w:r>
      <w:r>
        <w:rPr>
          <w:rFonts w:hint="eastAsia" w:ascii="宋体" w:hAnsi="宋体"/>
          <w:szCs w:val="22"/>
        </w:rPr>
        <w:t>）的投标总报价，按合同约定实施和完成承包工程，修补工程中的任何缺陷。</w:t>
      </w:r>
    </w:p>
    <w:p w14:paraId="64A34A42">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2. 我方已按招标文件要求详细审核并确认全部招标文件及有关附件，充分理解投标价格不得低于企业个别成本有关规定。我方经成本核算，所填报的投标报价不低于企业个别成本。</w:t>
      </w:r>
    </w:p>
    <w:p w14:paraId="335CE605">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 xml:space="preserve">3. </w:t>
      </w:r>
      <w:r>
        <w:rPr>
          <w:rFonts w:hint="eastAsia" w:eastAsia="黑体"/>
          <w:snapToGrid w:val="0"/>
          <w:color w:val="000000"/>
          <w:kern w:val="0"/>
          <w:szCs w:val="21"/>
          <w:u w:val="single"/>
        </w:rPr>
        <w:t xml:space="preserve">                          </w:t>
      </w:r>
      <w:r>
        <w:rPr>
          <w:snapToGrid w:val="0"/>
          <w:kern w:val="0"/>
          <w:szCs w:val="21"/>
        </w:rPr>
        <w:t>（其他补充说明）。</w:t>
      </w:r>
    </w:p>
    <w:p w14:paraId="5D9F0CAB">
      <w:pPr>
        <w:adjustRightInd w:val="0"/>
        <w:snapToGrid w:val="0"/>
        <w:spacing w:before="48" w:beforeLines="20" w:after="48" w:afterLines="20" w:line="400" w:lineRule="exact"/>
        <w:ind w:firstLine="367" w:firstLineChars="175"/>
        <w:rPr>
          <w:rFonts w:hint="eastAsia" w:ascii="宋体" w:hAnsi="宋体"/>
          <w:bCs/>
          <w:szCs w:val="21"/>
        </w:rPr>
      </w:pPr>
    </w:p>
    <w:p w14:paraId="55BDAA5F">
      <w:pPr>
        <w:adjustRightInd w:val="0"/>
        <w:snapToGrid w:val="0"/>
        <w:spacing w:before="48" w:beforeLines="20" w:after="48" w:afterLines="20" w:line="400" w:lineRule="exact"/>
        <w:ind w:firstLine="420" w:firstLineChars="200"/>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14:paraId="65CD8928">
      <w:pPr>
        <w:adjustRightInd w:val="0"/>
        <w:snapToGrid w:val="0"/>
        <w:spacing w:before="48" w:beforeLines="20" w:after="48" w:afterLines="20" w:line="400" w:lineRule="exact"/>
        <w:ind w:firstLine="420" w:firstLineChars="200"/>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31BC0221">
      <w:pPr>
        <w:adjustRightInd w:val="0"/>
        <w:snapToGrid w:val="0"/>
        <w:spacing w:before="48" w:beforeLines="20" w:after="48" w:afterLines="20" w:line="400" w:lineRule="exact"/>
        <w:ind w:left="109" w:leftChars="52" w:firstLine="315" w:firstLineChars="150"/>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388C09D9">
      <w:pPr>
        <w:adjustRightInd w:val="0"/>
        <w:snapToGrid w:val="0"/>
        <w:spacing w:before="48" w:beforeLines="20" w:after="48" w:afterLines="20" w:line="400" w:lineRule="exact"/>
        <w:ind w:firstLine="420" w:firstLineChars="200"/>
        <w:rPr>
          <w:rFonts w:hint="eastAsia" w:ascii="宋体" w:hAnsi="宋体"/>
          <w:szCs w:val="21"/>
        </w:rPr>
      </w:pPr>
      <w:r>
        <w:rPr>
          <w:rFonts w:hint="eastAsia" w:ascii="宋体" w:hAnsi="宋体"/>
          <w:szCs w:val="21"/>
        </w:rPr>
        <w:t>邮政编码：</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 xml:space="preserve"> </w:t>
      </w:r>
    </w:p>
    <w:p w14:paraId="2FB57223">
      <w:pPr>
        <w:adjustRightInd w:val="0"/>
        <w:snapToGrid w:val="0"/>
        <w:spacing w:before="48" w:beforeLines="20" w:after="48" w:afterLines="20" w:line="400" w:lineRule="exact"/>
        <w:ind w:firstLine="420" w:firstLineChars="200"/>
        <w:rPr>
          <w:rFonts w:hint="eastAsia" w:ascii="宋体" w:hAnsi="宋体"/>
          <w:szCs w:val="22"/>
        </w:rPr>
      </w:pPr>
      <w:r>
        <w:rPr>
          <w:rFonts w:hint="eastAsia" w:ascii="宋体" w:hAnsi="宋体"/>
          <w:szCs w:val="21"/>
        </w:rPr>
        <w:t>日期：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79748C3A">
      <w:pPr>
        <w:adjustRightInd w:val="0"/>
        <w:snapToGrid w:val="0"/>
        <w:spacing w:before="48" w:beforeLines="20" w:after="48" w:afterLines="20" w:line="400" w:lineRule="exact"/>
        <w:outlineLvl w:val="9"/>
        <w:rPr>
          <w:rFonts w:ascii="宋体" w:hAnsi="宋体"/>
          <w:szCs w:val="22"/>
        </w:rPr>
      </w:pPr>
      <w:r>
        <w:rPr>
          <w:rFonts w:ascii="宋体" w:hAnsi="宋体"/>
          <w:sz w:val="24"/>
          <w:szCs w:val="22"/>
        </w:rPr>
        <w:br w:type="page"/>
      </w:r>
    </w:p>
    <w:p w14:paraId="1E7253F0">
      <w:pPr>
        <w:pStyle w:val="4"/>
        <w:jc w:val="center"/>
        <w:outlineLvl w:val="1"/>
        <w:rPr>
          <w:rFonts w:hint="eastAsia"/>
        </w:rPr>
      </w:pPr>
      <w:bookmarkStart w:id="466" w:name="_Toc460660237"/>
      <w:bookmarkStart w:id="467" w:name="_Toc421917014"/>
      <w:bookmarkStart w:id="468" w:name="_Toc460227122"/>
      <w:r>
        <w:rPr>
          <w:rFonts w:hint="eastAsia"/>
          <w:lang w:eastAsia="zh-CN"/>
        </w:rPr>
        <w:t>二</w:t>
      </w:r>
      <w:r>
        <w:rPr>
          <w:rFonts w:hint="eastAsia"/>
        </w:rPr>
        <w:t>、工程量清单报价书</w:t>
      </w:r>
      <w:bookmarkEnd w:id="466"/>
      <w:bookmarkEnd w:id="467"/>
      <w:bookmarkEnd w:id="468"/>
    </w:p>
    <w:p w14:paraId="283FEAE8">
      <w:pPr>
        <w:adjustRightInd w:val="0"/>
        <w:snapToGrid w:val="0"/>
        <w:spacing w:before="48" w:beforeLines="20" w:after="48" w:afterLines="20" w:line="540" w:lineRule="exact"/>
        <w:rPr>
          <w:rFonts w:ascii="宋体" w:hAnsi="宋体"/>
          <w:sz w:val="28"/>
          <w:szCs w:val="22"/>
        </w:rPr>
      </w:pPr>
    </w:p>
    <w:p w14:paraId="103AA0C5">
      <w:pPr>
        <w:adjustRightInd w:val="0"/>
        <w:snapToGrid w:val="0"/>
        <w:spacing w:before="48" w:beforeLines="20" w:after="48" w:afterLines="20" w:line="540" w:lineRule="exact"/>
        <w:jc w:val="center"/>
        <w:rPr>
          <w:rFonts w:hint="eastAsia" w:ascii="宋体" w:hAnsi="宋体"/>
          <w:b/>
          <w:sz w:val="44"/>
          <w:szCs w:val="22"/>
        </w:rPr>
      </w:pPr>
      <w:r>
        <w:rPr>
          <w:rFonts w:hint="eastAsia" w:ascii="宋体" w:hAnsi="宋体"/>
          <w:b/>
          <w:sz w:val="36"/>
          <w:szCs w:val="22"/>
        </w:rPr>
        <w:t>投标总价</w:t>
      </w:r>
    </w:p>
    <w:p w14:paraId="675D450D">
      <w:pPr>
        <w:adjustRightInd w:val="0"/>
        <w:snapToGrid w:val="0"/>
        <w:spacing w:before="48" w:beforeLines="20" w:after="48" w:afterLines="20" w:line="540" w:lineRule="exact"/>
        <w:ind w:firstLine="2991" w:firstLineChars="996"/>
        <w:rPr>
          <w:rFonts w:hint="eastAsia" w:ascii="宋体" w:hAnsi="宋体"/>
          <w:b/>
          <w:sz w:val="30"/>
          <w:szCs w:val="22"/>
        </w:rPr>
      </w:pPr>
    </w:p>
    <w:p w14:paraId="37D5D7FD">
      <w:pPr>
        <w:adjustRightInd w:val="0"/>
        <w:snapToGrid w:val="0"/>
        <w:spacing w:before="48" w:beforeLines="20" w:after="48" w:afterLines="20" w:line="540" w:lineRule="exact"/>
        <w:ind w:firstLine="2991" w:firstLineChars="996"/>
        <w:rPr>
          <w:rFonts w:hint="eastAsia" w:ascii="宋体" w:hAnsi="宋体"/>
          <w:b/>
          <w:sz w:val="30"/>
          <w:szCs w:val="22"/>
        </w:rPr>
      </w:pPr>
    </w:p>
    <w:p w14:paraId="780442F5">
      <w:pPr>
        <w:adjustRightInd w:val="0"/>
        <w:snapToGrid w:val="0"/>
        <w:spacing w:before="48" w:beforeLines="20" w:after="48" w:afterLines="20" w:line="540" w:lineRule="exact"/>
        <w:ind w:firstLine="2991" w:firstLineChars="996"/>
        <w:rPr>
          <w:rFonts w:hint="eastAsia" w:ascii="宋体" w:hAnsi="宋体"/>
          <w:b/>
          <w:sz w:val="30"/>
          <w:szCs w:val="22"/>
        </w:rPr>
      </w:pPr>
    </w:p>
    <w:p w14:paraId="55DF5A89">
      <w:pPr>
        <w:adjustRightInd w:val="0"/>
        <w:snapToGrid w:val="0"/>
        <w:spacing w:before="48" w:beforeLines="20" w:after="48" w:afterLines="20" w:line="540" w:lineRule="exact"/>
        <w:ind w:firstLine="861" w:firstLineChars="287"/>
        <w:rPr>
          <w:rFonts w:hint="eastAsia" w:ascii="宋体" w:hAnsi="宋体"/>
          <w:sz w:val="30"/>
          <w:szCs w:val="30"/>
        </w:rPr>
      </w:pPr>
      <w:r>
        <w:rPr>
          <w:rFonts w:hint="eastAsia" w:ascii="宋体" w:hAnsi="宋体"/>
          <w:sz w:val="30"/>
          <w:szCs w:val="30"/>
        </w:rPr>
        <w:t>招标人:</w:t>
      </w:r>
      <w:r>
        <w:rPr>
          <w:rFonts w:hint="eastAsia" w:ascii="宋体" w:hAnsi="宋体"/>
          <w:sz w:val="30"/>
          <w:szCs w:val="30"/>
          <w:u w:val="single"/>
        </w:rPr>
        <w:t xml:space="preserve">                                    </w:t>
      </w:r>
    </w:p>
    <w:p w14:paraId="126569E4">
      <w:pPr>
        <w:adjustRightInd w:val="0"/>
        <w:snapToGrid w:val="0"/>
        <w:spacing w:before="48" w:beforeLines="20" w:after="48" w:afterLines="20" w:line="540" w:lineRule="exact"/>
        <w:ind w:firstLine="861" w:firstLineChars="287"/>
        <w:rPr>
          <w:rFonts w:hint="eastAsia" w:ascii="宋体" w:hAnsi="宋体"/>
          <w:sz w:val="30"/>
          <w:szCs w:val="30"/>
        </w:rPr>
      </w:pPr>
      <w:r>
        <w:rPr>
          <w:rFonts w:hint="eastAsia" w:ascii="宋体" w:hAnsi="宋体"/>
          <w:sz w:val="30"/>
          <w:szCs w:val="30"/>
        </w:rPr>
        <w:t>工程名称：</w:t>
      </w:r>
      <w:r>
        <w:rPr>
          <w:rFonts w:hint="eastAsia" w:ascii="宋体" w:hAnsi="宋体"/>
          <w:sz w:val="30"/>
          <w:szCs w:val="30"/>
          <w:u w:val="single"/>
        </w:rPr>
        <w:t xml:space="preserve">                                 </w:t>
      </w:r>
    </w:p>
    <w:p w14:paraId="38E76516">
      <w:pPr>
        <w:adjustRightInd w:val="0"/>
        <w:snapToGrid w:val="0"/>
        <w:spacing w:before="48" w:beforeLines="20" w:after="48" w:afterLines="20" w:line="540" w:lineRule="exact"/>
        <w:ind w:firstLine="861" w:firstLineChars="287"/>
        <w:rPr>
          <w:rFonts w:hint="eastAsia" w:ascii="宋体" w:hAnsi="宋体"/>
          <w:sz w:val="30"/>
          <w:szCs w:val="30"/>
        </w:rPr>
      </w:pPr>
      <w:r>
        <w:rPr>
          <w:rFonts w:hint="eastAsia" w:ascii="宋体" w:hAnsi="宋体"/>
          <w:sz w:val="30"/>
          <w:szCs w:val="30"/>
        </w:rPr>
        <w:t>投标总价（小写）：</w:t>
      </w:r>
      <w:r>
        <w:rPr>
          <w:rFonts w:hint="eastAsia" w:ascii="宋体" w:hAnsi="宋体"/>
          <w:sz w:val="30"/>
          <w:szCs w:val="30"/>
          <w:u w:val="single"/>
        </w:rPr>
        <w:t xml:space="preserve">                          </w:t>
      </w:r>
    </w:p>
    <w:p w14:paraId="3A12D324">
      <w:pPr>
        <w:adjustRightInd w:val="0"/>
        <w:snapToGrid w:val="0"/>
        <w:spacing w:before="48" w:beforeLines="20" w:after="48" w:afterLines="20" w:line="540" w:lineRule="exact"/>
        <w:ind w:firstLine="2127" w:firstLineChars="709"/>
        <w:rPr>
          <w:rFonts w:hint="eastAsia" w:ascii="宋体" w:hAnsi="宋体"/>
          <w:b/>
          <w:sz w:val="30"/>
          <w:szCs w:val="30"/>
          <w:u w:val="single"/>
        </w:rPr>
      </w:pPr>
      <w:r>
        <w:rPr>
          <w:rFonts w:hint="eastAsia" w:ascii="宋体" w:hAnsi="宋体"/>
          <w:sz w:val="30"/>
          <w:szCs w:val="30"/>
        </w:rPr>
        <w:t>（大写）：</w:t>
      </w:r>
      <w:r>
        <w:rPr>
          <w:rFonts w:hint="eastAsia" w:ascii="宋体" w:hAnsi="宋体"/>
          <w:sz w:val="30"/>
          <w:szCs w:val="30"/>
          <w:u w:val="single"/>
        </w:rPr>
        <w:t xml:space="preserve">                          </w:t>
      </w:r>
    </w:p>
    <w:p w14:paraId="06B70EB3">
      <w:pPr>
        <w:adjustRightInd w:val="0"/>
        <w:snapToGrid w:val="0"/>
        <w:spacing w:before="48" w:beforeLines="20" w:after="48" w:afterLines="20" w:line="540" w:lineRule="exact"/>
        <w:ind w:firstLine="2991" w:firstLineChars="996"/>
        <w:rPr>
          <w:rFonts w:hint="eastAsia" w:ascii="宋体" w:hAnsi="宋体"/>
          <w:b/>
          <w:sz w:val="30"/>
          <w:szCs w:val="30"/>
        </w:rPr>
      </w:pPr>
    </w:p>
    <w:p w14:paraId="1F985DC1">
      <w:pPr>
        <w:adjustRightInd w:val="0"/>
        <w:snapToGrid w:val="0"/>
        <w:spacing w:before="48" w:beforeLines="20" w:after="48" w:afterLines="20" w:line="540" w:lineRule="exact"/>
        <w:ind w:firstLine="2988" w:firstLineChars="996"/>
        <w:rPr>
          <w:sz w:val="30"/>
          <w:szCs w:val="30"/>
        </w:rPr>
      </w:pPr>
    </w:p>
    <w:p w14:paraId="751879E5">
      <w:pPr>
        <w:spacing w:line="320" w:lineRule="exact"/>
        <w:ind w:firstLine="600" w:firstLineChars="200"/>
        <w:rPr>
          <w:sz w:val="30"/>
          <w:szCs w:val="30"/>
        </w:rPr>
      </w:pPr>
      <w:r>
        <w:rPr>
          <w:sz w:val="30"/>
          <w:szCs w:val="30"/>
        </w:rPr>
        <w:t>投 标 人：</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(单位盖章)</w:t>
      </w:r>
    </w:p>
    <w:p w14:paraId="1BE90465">
      <w:pPr>
        <w:spacing w:line="380" w:lineRule="exact"/>
        <w:ind w:firstLine="600" w:firstLineChars="200"/>
        <w:rPr>
          <w:sz w:val="30"/>
          <w:szCs w:val="30"/>
        </w:rPr>
      </w:pPr>
    </w:p>
    <w:p w14:paraId="17161187">
      <w:pPr>
        <w:spacing w:after="72" w:afterLines="30" w:line="380" w:lineRule="exact"/>
        <w:ind w:firstLine="600" w:firstLineChars="200"/>
        <w:rPr>
          <w:sz w:val="30"/>
          <w:szCs w:val="30"/>
        </w:rPr>
      </w:pPr>
      <w:r>
        <w:rPr>
          <w:sz w:val="30"/>
          <w:szCs w:val="30"/>
        </w:rPr>
        <w:t>法定代表人：</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 xml:space="preserve"> (签字或盖章)</w:t>
      </w:r>
    </w:p>
    <w:p w14:paraId="7BC57FAF">
      <w:pPr>
        <w:spacing w:line="320" w:lineRule="exact"/>
        <w:ind w:firstLine="5700" w:firstLineChars="1900"/>
        <w:rPr>
          <w:sz w:val="30"/>
          <w:szCs w:val="30"/>
        </w:rPr>
      </w:pPr>
    </w:p>
    <w:p w14:paraId="5E833E2A">
      <w:pPr>
        <w:spacing w:line="320" w:lineRule="exact"/>
        <w:ind w:firstLine="5700" w:firstLineChars="1900"/>
        <w:rPr>
          <w:sz w:val="30"/>
          <w:szCs w:val="30"/>
        </w:rPr>
      </w:pPr>
    </w:p>
    <w:p w14:paraId="38A4FCEF">
      <w:pPr>
        <w:spacing w:line="320" w:lineRule="exact"/>
        <w:ind w:firstLine="600" w:firstLineChars="200"/>
        <w:rPr>
          <w:sz w:val="30"/>
          <w:szCs w:val="30"/>
        </w:rPr>
      </w:pPr>
      <w:r>
        <w:rPr>
          <w:sz w:val="30"/>
          <w:szCs w:val="30"/>
        </w:rPr>
        <w:t>编制人：</w:t>
      </w:r>
      <w:r>
        <w:rPr>
          <w:sz w:val="30"/>
          <w:szCs w:val="30"/>
          <w:u w:val="single"/>
        </w:rPr>
        <w:t xml:space="preserve">           </w:t>
      </w:r>
      <w:r>
        <w:rPr>
          <w:sz w:val="30"/>
          <w:szCs w:val="30"/>
        </w:rPr>
        <w:t>(盖造价专业人员执业专用章或电子执业章)</w:t>
      </w:r>
    </w:p>
    <w:p w14:paraId="3A467417">
      <w:pPr>
        <w:spacing w:line="380" w:lineRule="exact"/>
        <w:ind w:firstLine="600" w:firstLineChars="200"/>
        <w:rPr>
          <w:sz w:val="30"/>
          <w:szCs w:val="30"/>
        </w:rPr>
      </w:pPr>
    </w:p>
    <w:p w14:paraId="1C7F4E36">
      <w:pPr>
        <w:spacing w:line="380" w:lineRule="exact"/>
        <w:ind w:firstLine="600" w:firstLineChars="200"/>
        <w:rPr>
          <w:sz w:val="30"/>
          <w:szCs w:val="30"/>
        </w:rPr>
      </w:pPr>
    </w:p>
    <w:p w14:paraId="65C03FAA">
      <w:pPr>
        <w:spacing w:line="380" w:lineRule="exact"/>
        <w:ind w:firstLine="600" w:firstLineChars="200"/>
        <w:rPr>
          <w:sz w:val="30"/>
          <w:szCs w:val="30"/>
        </w:rPr>
      </w:pPr>
      <w:r>
        <w:rPr>
          <w:sz w:val="30"/>
          <w:szCs w:val="30"/>
        </w:rPr>
        <w:t xml:space="preserve">编制时间：  </w:t>
      </w:r>
      <w:r>
        <w:rPr>
          <w:sz w:val="30"/>
          <w:szCs w:val="30"/>
          <w:u w:val="single"/>
        </w:rPr>
        <w:t xml:space="preserve">            年      月      日</w:t>
      </w:r>
    </w:p>
    <w:p w14:paraId="55A4701E">
      <w:pPr>
        <w:jc w:val="center"/>
        <w:outlineLvl w:val="2"/>
        <w:rPr>
          <w:rFonts w:hint="eastAsia" w:ascii="宋体" w:hAnsi="宋体"/>
          <w:sz w:val="28"/>
          <w:szCs w:val="28"/>
        </w:rPr>
      </w:pPr>
      <w:bookmarkStart w:id="469" w:name="_Toc460660238"/>
      <w:bookmarkStart w:id="470" w:name="_Toc460227123"/>
      <w:r>
        <w:rPr>
          <w:rFonts w:ascii="宋体" w:hAnsi="宋体"/>
          <w:sz w:val="28"/>
          <w:szCs w:val="28"/>
        </w:rPr>
        <w:br w:type="page"/>
      </w:r>
      <w:r>
        <w:rPr>
          <w:rFonts w:hint="eastAsia" w:ascii="宋体" w:hAnsi="宋体"/>
          <w:sz w:val="28"/>
          <w:szCs w:val="28"/>
        </w:rPr>
        <w:t>(一)投标报价说明</w:t>
      </w:r>
      <w:bookmarkEnd w:id="469"/>
      <w:bookmarkEnd w:id="470"/>
    </w:p>
    <w:p w14:paraId="7523BC39">
      <w:pPr>
        <w:spacing w:before="48" w:beforeLines="20" w:after="48" w:afterLines="20" w:line="540" w:lineRule="exact"/>
        <w:ind w:firstLine="420" w:firstLineChars="200"/>
        <w:rPr>
          <w:rFonts w:hint="eastAsia" w:ascii="宋体" w:hAnsi="宋体"/>
        </w:rPr>
      </w:pPr>
    </w:p>
    <w:p w14:paraId="3B371E15">
      <w:pPr>
        <w:spacing w:after="120" w:afterLines="50" w:line="380" w:lineRule="exact"/>
        <w:rPr>
          <w:rFonts w:hint="eastAsia" w:ascii="宋体" w:hAnsi="宋体"/>
          <w:sz w:val="24"/>
        </w:rPr>
      </w:pPr>
      <w:r>
        <w:rPr>
          <w:rFonts w:hint="eastAsia" w:ascii="宋体" w:hAnsi="宋体"/>
        </w:rPr>
        <w:t>工程名称：                                         第  页 共  页</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14:paraId="36C5163C">
        <w:trPr>
          <w:trHeight w:val="5576" w:hRule="atLeast"/>
          <w:jc w:val="center"/>
        </w:trPr>
        <w:tc>
          <w:tcPr>
            <w:tcW w:w="8412" w:type="dxa"/>
            <w:noWrap w:val="0"/>
            <w:vAlign w:val="top"/>
          </w:tcPr>
          <w:p w14:paraId="52C1A9AC">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1. 本报价依据本工程招标文件中投标须知、合同文件、计价依据及工程造价确定等有关条款进行编制。</w:t>
            </w:r>
          </w:p>
          <w:p w14:paraId="3BD66694">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2. 工程量清单报价表中所填入的综合单价和合价，均包括人工费、材料费、机械费、综合费、施工期内的风险金等全部费用。</w:t>
            </w:r>
          </w:p>
          <w:p w14:paraId="57C3978C">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3. 措施项目报价表中所填入的措施项目报价，包括采用的各种措施的费用。</w:t>
            </w:r>
          </w:p>
          <w:p w14:paraId="2D97D28C">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4. 其他项目报价表中所填入的其他项目报价，包括工程量清单报价表和措施项目报价表以外的，为完成本工程项目的施工所必须发生的其他费用。</w:t>
            </w:r>
          </w:p>
          <w:p w14:paraId="66AF9A7D">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5. 本工程量清单报价表中的每一单项均应填写单价和合价，对没有填写单价和合价的项目费用，视为已包括在工程量清单的其他单价或合价之中。</w:t>
            </w:r>
          </w:p>
          <w:p w14:paraId="738E9091">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6. 本报价的币种为</w:t>
            </w:r>
            <w:r>
              <w:rPr>
                <w:rFonts w:hint="eastAsia" w:ascii="宋体" w:hAnsi="宋体"/>
                <w:kern w:val="0"/>
                <w:szCs w:val="22"/>
                <w:u w:val="single"/>
              </w:rPr>
              <w:t xml:space="preserve"> 人民币 </w:t>
            </w:r>
            <w:r>
              <w:rPr>
                <w:rFonts w:hint="eastAsia" w:ascii="宋体" w:hAnsi="宋体"/>
                <w:kern w:val="0"/>
                <w:szCs w:val="22"/>
              </w:rPr>
              <w:t>。</w:t>
            </w:r>
          </w:p>
          <w:p w14:paraId="73514EA5">
            <w:pPr>
              <w:spacing w:line="380" w:lineRule="exact"/>
              <w:rPr>
                <w:rFonts w:hint="eastAsia" w:ascii="黑体" w:eastAsia="黑体"/>
              </w:rPr>
            </w:pPr>
            <w:r>
              <w:rPr>
                <w:rFonts w:hint="eastAsia" w:ascii="宋体" w:hAnsi="宋体"/>
                <w:kern w:val="0"/>
                <w:szCs w:val="22"/>
              </w:rPr>
              <w:t>7. 投标人应将投标报价需要说明的事项，用文字书写与投标报价表一并报送。</w:t>
            </w:r>
          </w:p>
        </w:tc>
      </w:tr>
    </w:tbl>
    <w:p w14:paraId="1D31A4CF">
      <w:pPr>
        <w:pStyle w:val="82"/>
      </w:pPr>
    </w:p>
    <w:p w14:paraId="51B24A70">
      <w:pPr>
        <w:jc w:val="center"/>
        <w:outlineLvl w:val="2"/>
        <w:rPr>
          <w:rFonts w:hint="eastAsia" w:ascii="宋体" w:hAnsi="宋体"/>
          <w:sz w:val="28"/>
          <w:szCs w:val="28"/>
        </w:rPr>
      </w:pPr>
      <w:bookmarkStart w:id="471" w:name="_Toc460227124"/>
      <w:bookmarkStart w:id="472" w:name="_Toc460660239"/>
      <w:r>
        <w:rPr>
          <w:rFonts w:ascii="宋体" w:hAnsi="宋体"/>
          <w:sz w:val="28"/>
          <w:szCs w:val="28"/>
        </w:rPr>
        <w:br w:type="page"/>
      </w:r>
      <w:r>
        <w:rPr>
          <w:rFonts w:hint="eastAsia" w:ascii="宋体" w:hAnsi="宋体"/>
          <w:sz w:val="28"/>
          <w:szCs w:val="28"/>
        </w:rPr>
        <w:t>（二）</w:t>
      </w:r>
      <w:bookmarkEnd w:id="471"/>
      <w:bookmarkEnd w:id="472"/>
      <w:r>
        <w:rPr>
          <w:rFonts w:hint="eastAsia" w:ascii="宋体" w:hAnsi="宋体"/>
          <w:sz w:val="28"/>
          <w:szCs w:val="28"/>
        </w:rPr>
        <w:t>建设项目投标报价汇总表</w:t>
      </w:r>
    </w:p>
    <w:p w14:paraId="2CF98ABC">
      <w:pPr>
        <w:spacing w:before="48" w:beforeLines="20" w:after="48" w:afterLines="20" w:line="540" w:lineRule="exact"/>
        <w:rPr>
          <w:rFonts w:hint="eastAsia" w:ascii="宋体" w:hAnsi="宋体"/>
          <w:szCs w:val="21"/>
        </w:rPr>
      </w:pPr>
      <w:r>
        <w:rPr>
          <w:rFonts w:hint="eastAsia" w:ascii="宋体" w:hAnsi="宋体"/>
          <w:szCs w:val="21"/>
        </w:rPr>
        <w:t>工程名称：                                                            第   页共   页</w:t>
      </w:r>
    </w:p>
    <w:tbl>
      <w:tblPr>
        <w:tblStyle w:val="53"/>
        <w:tblW w:w="5000" w:type="pct"/>
        <w:tblInd w:w="0" w:type="dxa"/>
        <w:tblLayout w:type="autofit"/>
        <w:tblCellMar>
          <w:top w:w="0" w:type="dxa"/>
          <w:left w:w="108" w:type="dxa"/>
          <w:bottom w:w="0" w:type="dxa"/>
          <w:right w:w="108" w:type="dxa"/>
        </w:tblCellMar>
      </w:tblPr>
      <w:tblGrid>
        <w:gridCol w:w="840"/>
        <w:gridCol w:w="3101"/>
        <w:gridCol w:w="1596"/>
        <w:gridCol w:w="1330"/>
        <w:gridCol w:w="2308"/>
      </w:tblGrid>
      <w:tr w14:paraId="4AE20349">
        <w:trPr>
          <w:trHeight w:val="338" w:hRule="atLeast"/>
        </w:trPr>
        <w:tc>
          <w:tcPr>
            <w:tcW w:w="458"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58A0862">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69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7C20FEE">
            <w:pPr>
              <w:widowControl/>
              <w:jc w:val="center"/>
              <w:rPr>
                <w:rFonts w:ascii="黑体" w:hAnsi="黑体" w:eastAsia="黑体" w:cs="Arial"/>
                <w:kern w:val="0"/>
                <w:szCs w:val="21"/>
              </w:rPr>
            </w:pPr>
            <w:r>
              <w:rPr>
                <w:rFonts w:hint="eastAsia" w:ascii="黑体" w:hAnsi="黑体" w:eastAsia="黑体" w:cs="Arial"/>
                <w:kern w:val="0"/>
                <w:szCs w:val="21"/>
              </w:rPr>
              <w:t>单项工程名称</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F8B21EB">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1982" w:type="pct"/>
            <w:gridSpan w:val="2"/>
            <w:tcBorders>
              <w:top w:val="single" w:color="000000" w:sz="8" w:space="0"/>
              <w:left w:val="nil"/>
              <w:bottom w:val="single" w:color="000000" w:sz="4" w:space="0"/>
              <w:right w:val="single" w:color="000000" w:sz="8" w:space="0"/>
            </w:tcBorders>
            <w:shd w:val="clear" w:color="FFFFFF" w:fill="FFFFFF"/>
            <w:noWrap w:val="0"/>
            <w:vAlign w:val="center"/>
          </w:tcPr>
          <w:p w14:paraId="0BCC3E88">
            <w:pPr>
              <w:widowControl/>
              <w:jc w:val="center"/>
              <w:rPr>
                <w:rFonts w:ascii="黑体" w:hAnsi="黑体" w:eastAsia="黑体" w:cs="Arial"/>
                <w:kern w:val="0"/>
                <w:szCs w:val="21"/>
              </w:rPr>
            </w:pPr>
            <w:r>
              <w:rPr>
                <w:rFonts w:hint="eastAsia" w:ascii="黑体" w:hAnsi="黑体" w:eastAsia="黑体" w:cs="Arial"/>
                <w:kern w:val="0"/>
                <w:szCs w:val="21"/>
              </w:rPr>
              <w:t>其中：（元）</w:t>
            </w:r>
          </w:p>
        </w:tc>
      </w:tr>
      <w:tr w14:paraId="73FC6449">
        <w:trPr>
          <w:trHeight w:val="353" w:hRule="atLeast"/>
        </w:trPr>
        <w:tc>
          <w:tcPr>
            <w:tcW w:w="458"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7FC98C66">
            <w:pPr>
              <w:widowControl/>
              <w:jc w:val="left"/>
              <w:rPr>
                <w:rFonts w:ascii="黑体" w:hAnsi="黑体" w:eastAsia="黑体" w:cs="Arial"/>
                <w:kern w:val="0"/>
                <w:szCs w:val="21"/>
              </w:rPr>
            </w:pPr>
          </w:p>
        </w:tc>
        <w:tc>
          <w:tcPr>
            <w:tcW w:w="169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A551E5B">
            <w:pPr>
              <w:widowControl/>
              <w:jc w:val="left"/>
              <w:rPr>
                <w:rFonts w:ascii="黑体" w:hAnsi="黑体" w:eastAsia="黑体" w:cs="Arial"/>
                <w:kern w:val="0"/>
                <w:szCs w:val="21"/>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F28CB35">
            <w:pPr>
              <w:widowControl/>
              <w:jc w:val="left"/>
              <w:rPr>
                <w:rFonts w:ascii="黑体" w:hAnsi="黑体" w:eastAsia="黑体" w:cs="Arial"/>
                <w:kern w:val="0"/>
                <w:szCs w:val="21"/>
              </w:rPr>
            </w:pPr>
          </w:p>
        </w:tc>
        <w:tc>
          <w:tcPr>
            <w:tcW w:w="725" w:type="pct"/>
            <w:tcBorders>
              <w:top w:val="single" w:color="000000" w:sz="4" w:space="0"/>
              <w:left w:val="nil"/>
              <w:bottom w:val="single" w:color="000000" w:sz="4" w:space="0"/>
              <w:right w:val="single" w:color="000000" w:sz="4" w:space="0"/>
            </w:tcBorders>
            <w:shd w:val="clear" w:color="FFFFFF" w:fill="FFFFFF"/>
            <w:noWrap w:val="0"/>
            <w:vAlign w:val="center"/>
          </w:tcPr>
          <w:p w14:paraId="33A570F3">
            <w:pPr>
              <w:widowControl/>
              <w:jc w:val="center"/>
              <w:rPr>
                <w:rFonts w:ascii="黑体" w:hAnsi="黑体" w:eastAsia="黑体" w:cs="Arial"/>
                <w:kern w:val="0"/>
                <w:szCs w:val="21"/>
              </w:rPr>
            </w:pPr>
            <w:r>
              <w:rPr>
                <w:rFonts w:hint="eastAsia" w:ascii="黑体" w:hAnsi="黑体" w:eastAsia="黑体" w:cs="Arial"/>
                <w:kern w:val="0"/>
                <w:szCs w:val="21"/>
              </w:rPr>
              <w:t>暂估价</w:t>
            </w:r>
          </w:p>
        </w:tc>
        <w:tc>
          <w:tcPr>
            <w:tcW w:w="1257" w:type="pct"/>
            <w:tcBorders>
              <w:top w:val="nil"/>
              <w:left w:val="nil"/>
              <w:bottom w:val="single" w:color="000000" w:sz="4" w:space="0"/>
              <w:right w:val="single" w:color="000000" w:sz="8" w:space="0"/>
            </w:tcBorders>
            <w:shd w:val="clear" w:color="FFFFFF" w:fill="FFFFFF"/>
            <w:noWrap w:val="0"/>
            <w:vAlign w:val="center"/>
          </w:tcPr>
          <w:p w14:paraId="733FDCBA">
            <w:pPr>
              <w:widowControl/>
              <w:jc w:val="center"/>
              <w:rPr>
                <w:rFonts w:ascii="黑体" w:hAnsi="黑体" w:eastAsia="黑体" w:cs="Arial"/>
                <w:kern w:val="0"/>
                <w:szCs w:val="21"/>
              </w:rPr>
            </w:pPr>
            <w:r>
              <w:rPr>
                <w:rFonts w:hint="eastAsia" w:ascii="黑体" w:hAnsi="黑体" w:eastAsia="黑体" w:cs="Arial"/>
                <w:kern w:val="0"/>
                <w:szCs w:val="21"/>
              </w:rPr>
              <w:t>不可竞争费</w:t>
            </w:r>
          </w:p>
        </w:tc>
      </w:tr>
      <w:tr w14:paraId="45CBD194">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2384519">
            <w:pPr>
              <w:widowControl/>
              <w:jc w:val="center"/>
              <w:rPr>
                <w:rFonts w:ascii="宋体" w:hAnsi="宋体" w:cs="Arial"/>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5FB06B0F">
            <w:pPr>
              <w:widowControl/>
              <w:jc w:val="left"/>
              <w:rPr>
                <w:rFonts w:ascii="宋体" w:hAnsi="宋体" w:cs="Arial"/>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2CBC5E93">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ECDB1B3">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noWrap w:val="0"/>
            <w:vAlign w:val="center"/>
          </w:tcPr>
          <w:p w14:paraId="30D647EF">
            <w:pPr>
              <w:widowControl/>
              <w:jc w:val="right"/>
              <w:rPr>
                <w:rFonts w:ascii="宋体" w:hAnsi="宋体" w:cs="Arial"/>
                <w:kern w:val="0"/>
                <w:szCs w:val="21"/>
              </w:rPr>
            </w:pPr>
          </w:p>
        </w:tc>
      </w:tr>
      <w:tr w14:paraId="683B31D9">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09E412C4">
            <w:pPr>
              <w:widowControl/>
              <w:jc w:val="center"/>
              <w:rPr>
                <w:rFonts w:ascii="宋体" w:hAnsi="宋体" w:cs="Arial"/>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5641F1D">
            <w:pPr>
              <w:widowControl/>
              <w:jc w:val="left"/>
              <w:rPr>
                <w:rFonts w:ascii="宋体" w:hAnsi="宋体" w:cs="Arial"/>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736C4DDF">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B3F3BA1">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noWrap w:val="0"/>
            <w:vAlign w:val="center"/>
          </w:tcPr>
          <w:p w14:paraId="4C6BA962">
            <w:pPr>
              <w:widowControl/>
              <w:jc w:val="right"/>
              <w:rPr>
                <w:rFonts w:ascii="宋体" w:hAnsi="宋体" w:cs="Arial"/>
                <w:kern w:val="0"/>
                <w:szCs w:val="21"/>
              </w:rPr>
            </w:pPr>
          </w:p>
        </w:tc>
      </w:tr>
      <w:tr w14:paraId="4A946B82">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08D5912">
            <w:pPr>
              <w:widowControl/>
              <w:jc w:val="center"/>
              <w:rPr>
                <w:rFonts w:ascii="宋体" w:hAnsi="宋体" w:cs="Arial"/>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CA7BBB6">
            <w:pPr>
              <w:widowControl/>
              <w:jc w:val="left"/>
              <w:rPr>
                <w:rFonts w:ascii="宋体" w:hAnsi="宋体" w:cs="Arial"/>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076A8446">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6B500B0D">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noWrap w:val="0"/>
            <w:vAlign w:val="center"/>
          </w:tcPr>
          <w:p w14:paraId="50808C15">
            <w:pPr>
              <w:widowControl/>
              <w:jc w:val="right"/>
              <w:rPr>
                <w:rFonts w:ascii="宋体" w:hAnsi="宋体" w:cs="Arial"/>
                <w:kern w:val="0"/>
                <w:szCs w:val="21"/>
              </w:rPr>
            </w:pPr>
          </w:p>
        </w:tc>
      </w:tr>
      <w:tr w14:paraId="3AB4FA66">
        <w:trPr>
          <w:trHeight w:val="680" w:hRule="atLeast"/>
        </w:trPr>
        <w:tc>
          <w:tcPr>
            <w:tcW w:w="2148" w:type="pct"/>
            <w:gridSpan w:val="2"/>
            <w:tcBorders>
              <w:top w:val="nil"/>
              <w:left w:val="single" w:color="000000" w:sz="8" w:space="0"/>
              <w:bottom w:val="single" w:color="000000" w:sz="4" w:space="0"/>
              <w:right w:val="single" w:color="000000" w:sz="4" w:space="0"/>
            </w:tcBorders>
            <w:noWrap w:val="0"/>
            <w:vAlign w:val="center"/>
          </w:tcPr>
          <w:p w14:paraId="7B7F5536">
            <w:pPr>
              <w:widowControl/>
              <w:jc w:val="center"/>
              <w:rPr>
                <w:rFonts w:ascii="宋体" w:hAnsi="宋体" w:cs="Arial"/>
                <w:kern w:val="0"/>
                <w:szCs w:val="21"/>
              </w:rPr>
            </w:pPr>
            <w:r>
              <w:rPr>
                <w:rFonts w:hint="eastAsia" w:ascii="宋体" w:hAnsi="宋体" w:cs="Arial"/>
                <w:kern w:val="0"/>
                <w:szCs w:val="21"/>
              </w:rPr>
              <w:t>合计</w:t>
            </w:r>
          </w:p>
        </w:tc>
        <w:tc>
          <w:tcPr>
            <w:tcW w:w="870" w:type="pct"/>
            <w:tcBorders>
              <w:top w:val="single" w:color="000000" w:sz="4" w:space="0"/>
              <w:left w:val="nil"/>
              <w:bottom w:val="single" w:color="000000" w:sz="4" w:space="0"/>
              <w:right w:val="single" w:color="000000" w:sz="4" w:space="0"/>
            </w:tcBorders>
            <w:noWrap w:val="0"/>
            <w:vAlign w:val="center"/>
          </w:tcPr>
          <w:p w14:paraId="3EEF1EF8">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25E5DEB5">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noWrap w:val="0"/>
            <w:vAlign w:val="center"/>
          </w:tcPr>
          <w:p w14:paraId="1B8133C2">
            <w:pPr>
              <w:widowControl/>
              <w:jc w:val="right"/>
              <w:rPr>
                <w:rFonts w:ascii="宋体" w:hAnsi="宋体" w:cs="Arial"/>
                <w:kern w:val="0"/>
                <w:szCs w:val="21"/>
              </w:rPr>
            </w:pPr>
          </w:p>
        </w:tc>
      </w:tr>
    </w:tbl>
    <w:p w14:paraId="5E1C65E8">
      <w:pPr>
        <w:spacing w:before="48" w:beforeLines="20" w:after="48" w:afterLines="20" w:line="540" w:lineRule="exact"/>
        <w:rPr>
          <w:rFonts w:hint="eastAsia" w:ascii="宋体" w:hAnsi="宋体"/>
          <w:sz w:val="24"/>
          <w:szCs w:val="22"/>
        </w:rPr>
      </w:pPr>
    </w:p>
    <w:p w14:paraId="0FC40B04">
      <w:pPr>
        <w:jc w:val="center"/>
        <w:outlineLvl w:val="2"/>
        <w:rPr>
          <w:rFonts w:ascii="宋体" w:hAnsi="宋体"/>
          <w:sz w:val="28"/>
          <w:szCs w:val="28"/>
        </w:rPr>
      </w:pPr>
      <w:bookmarkStart w:id="473" w:name="_Toc460227125"/>
      <w:bookmarkStart w:id="474" w:name="_Toc460660240"/>
      <w:r>
        <w:rPr>
          <w:rFonts w:hint="eastAsia" w:ascii="宋体" w:hAnsi="宋体"/>
          <w:sz w:val="28"/>
          <w:szCs w:val="28"/>
        </w:rPr>
        <w:t>（三）</w:t>
      </w:r>
      <w:bookmarkEnd w:id="473"/>
      <w:bookmarkEnd w:id="474"/>
      <w:r>
        <w:rPr>
          <w:rFonts w:hint="eastAsia" w:ascii="宋体" w:hAnsi="宋体"/>
          <w:sz w:val="28"/>
          <w:szCs w:val="28"/>
        </w:rPr>
        <w:t>单项工程投标报价汇总表</w:t>
      </w:r>
    </w:p>
    <w:p w14:paraId="3766350A">
      <w:pPr>
        <w:spacing w:before="48" w:beforeLines="20" w:after="48" w:afterLines="20" w:line="540" w:lineRule="exact"/>
        <w:rPr>
          <w:rFonts w:hint="eastAsia" w:ascii="宋体" w:hAnsi="宋体"/>
          <w:szCs w:val="21"/>
        </w:rPr>
      </w:pPr>
      <w:r>
        <w:rPr>
          <w:rFonts w:hint="eastAsia" w:ascii="宋体" w:hAnsi="宋体"/>
          <w:szCs w:val="21"/>
        </w:rPr>
        <w:t>工程名称：                                                            第   页共   页</w:t>
      </w:r>
    </w:p>
    <w:tbl>
      <w:tblPr>
        <w:tblStyle w:val="53"/>
        <w:tblW w:w="8946" w:type="dxa"/>
        <w:tblInd w:w="93" w:type="dxa"/>
        <w:tblLayout w:type="autofit"/>
        <w:tblCellMar>
          <w:top w:w="0" w:type="dxa"/>
          <w:left w:w="108" w:type="dxa"/>
          <w:bottom w:w="0" w:type="dxa"/>
          <w:right w:w="108" w:type="dxa"/>
        </w:tblCellMar>
      </w:tblPr>
      <w:tblGrid>
        <w:gridCol w:w="820"/>
        <w:gridCol w:w="3023"/>
        <w:gridCol w:w="1557"/>
        <w:gridCol w:w="1298"/>
        <w:gridCol w:w="2248"/>
      </w:tblGrid>
      <w:tr w14:paraId="246901D8">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8F64175">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4542D0">
            <w:pPr>
              <w:widowControl/>
              <w:jc w:val="center"/>
              <w:rPr>
                <w:rFonts w:ascii="黑体" w:hAnsi="黑体" w:eastAsia="黑体" w:cs="Arial"/>
                <w:kern w:val="0"/>
                <w:szCs w:val="21"/>
              </w:rPr>
            </w:pPr>
            <w:r>
              <w:rPr>
                <w:rFonts w:hint="eastAsia" w:ascii="黑体" w:hAnsi="黑体" w:eastAsia="黑体" w:cs="Arial"/>
                <w:kern w:val="0"/>
                <w:szCs w:val="21"/>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362F2F7">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3546" w:type="dxa"/>
            <w:gridSpan w:val="2"/>
            <w:tcBorders>
              <w:top w:val="single" w:color="000000" w:sz="8" w:space="0"/>
              <w:left w:val="nil"/>
              <w:bottom w:val="single" w:color="000000" w:sz="4" w:space="0"/>
              <w:right w:val="single" w:color="000000" w:sz="8" w:space="0"/>
            </w:tcBorders>
            <w:shd w:val="clear" w:color="FFFFFF" w:fill="FFFFFF"/>
            <w:noWrap w:val="0"/>
            <w:vAlign w:val="center"/>
          </w:tcPr>
          <w:p w14:paraId="5D97D23C">
            <w:pPr>
              <w:widowControl/>
              <w:jc w:val="center"/>
              <w:rPr>
                <w:rFonts w:ascii="黑体" w:hAnsi="黑体" w:eastAsia="黑体" w:cs="Arial"/>
                <w:kern w:val="0"/>
                <w:szCs w:val="21"/>
              </w:rPr>
            </w:pPr>
            <w:r>
              <w:rPr>
                <w:rFonts w:hint="eastAsia" w:ascii="黑体" w:hAnsi="黑体" w:eastAsia="黑体" w:cs="Arial"/>
                <w:kern w:val="0"/>
                <w:szCs w:val="21"/>
              </w:rPr>
              <w:t>其中：（元）</w:t>
            </w:r>
          </w:p>
        </w:tc>
      </w:tr>
      <w:tr w14:paraId="577839EB">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3E0A3898">
            <w:pPr>
              <w:widowControl/>
              <w:jc w:val="left"/>
              <w:rPr>
                <w:rFonts w:ascii="黑体" w:hAnsi="黑体" w:eastAsia="黑体" w:cs="Arial"/>
                <w:kern w:val="0"/>
                <w:szCs w:val="21"/>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1367EAD">
            <w:pPr>
              <w:widowControl/>
              <w:jc w:val="left"/>
              <w:rPr>
                <w:rFonts w:ascii="黑体" w:hAnsi="黑体" w:eastAsia="黑体" w:cs="Arial"/>
                <w:kern w:val="0"/>
                <w:szCs w:val="21"/>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6656EB1">
            <w:pPr>
              <w:widowControl/>
              <w:jc w:val="left"/>
              <w:rPr>
                <w:rFonts w:ascii="黑体" w:hAnsi="黑体" w:eastAsia="黑体" w:cs="Arial"/>
                <w:kern w:val="0"/>
                <w:szCs w:val="21"/>
              </w:rPr>
            </w:pPr>
          </w:p>
        </w:tc>
        <w:tc>
          <w:tcPr>
            <w:tcW w:w="1298" w:type="dxa"/>
            <w:tcBorders>
              <w:top w:val="single" w:color="000000" w:sz="4" w:space="0"/>
              <w:left w:val="nil"/>
              <w:bottom w:val="single" w:color="000000" w:sz="4" w:space="0"/>
              <w:right w:val="single" w:color="000000" w:sz="4" w:space="0"/>
            </w:tcBorders>
            <w:shd w:val="clear" w:color="FFFFFF" w:fill="FFFFFF"/>
            <w:noWrap w:val="0"/>
            <w:vAlign w:val="center"/>
          </w:tcPr>
          <w:p w14:paraId="65725528">
            <w:pPr>
              <w:widowControl/>
              <w:jc w:val="center"/>
              <w:rPr>
                <w:rFonts w:ascii="黑体" w:hAnsi="黑体" w:eastAsia="黑体" w:cs="Arial"/>
                <w:kern w:val="0"/>
                <w:szCs w:val="21"/>
              </w:rPr>
            </w:pPr>
            <w:r>
              <w:rPr>
                <w:rFonts w:hint="eastAsia" w:ascii="黑体" w:hAnsi="黑体" w:eastAsia="黑体" w:cs="Arial"/>
                <w:kern w:val="0"/>
                <w:szCs w:val="21"/>
              </w:rPr>
              <w:t>暂估价</w:t>
            </w:r>
          </w:p>
        </w:tc>
        <w:tc>
          <w:tcPr>
            <w:tcW w:w="2248" w:type="dxa"/>
            <w:tcBorders>
              <w:top w:val="nil"/>
              <w:left w:val="nil"/>
              <w:bottom w:val="single" w:color="000000" w:sz="4" w:space="0"/>
              <w:right w:val="single" w:color="000000" w:sz="8" w:space="0"/>
            </w:tcBorders>
            <w:shd w:val="clear" w:color="FFFFFF" w:fill="FFFFFF"/>
            <w:noWrap w:val="0"/>
            <w:vAlign w:val="center"/>
          </w:tcPr>
          <w:p w14:paraId="36073A5B">
            <w:pPr>
              <w:widowControl/>
              <w:jc w:val="center"/>
              <w:rPr>
                <w:rFonts w:ascii="黑体" w:hAnsi="黑体" w:eastAsia="黑体" w:cs="Arial"/>
                <w:kern w:val="0"/>
                <w:szCs w:val="21"/>
              </w:rPr>
            </w:pPr>
            <w:r>
              <w:rPr>
                <w:rFonts w:hint="eastAsia" w:ascii="黑体" w:hAnsi="黑体" w:eastAsia="黑体" w:cs="Arial"/>
                <w:kern w:val="0"/>
                <w:szCs w:val="21"/>
              </w:rPr>
              <w:t>不可竞争费</w:t>
            </w:r>
          </w:p>
        </w:tc>
      </w:tr>
      <w:tr w14:paraId="694B2FD4">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F7C6C6">
            <w:pPr>
              <w:widowControl/>
              <w:jc w:val="center"/>
              <w:rPr>
                <w:rFonts w:ascii="宋体" w:hAnsi="宋体" w:cs="Arial"/>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40F6C943">
            <w:pPr>
              <w:widowControl/>
              <w:jc w:val="left"/>
              <w:rPr>
                <w:rFonts w:ascii="宋体" w:hAnsi="宋体" w:cs="Arial"/>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70D72F6">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07010863">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noWrap w:val="0"/>
            <w:vAlign w:val="center"/>
          </w:tcPr>
          <w:p w14:paraId="32A6E103">
            <w:pPr>
              <w:widowControl/>
              <w:jc w:val="right"/>
              <w:rPr>
                <w:rFonts w:ascii="宋体" w:hAnsi="宋体" w:cs="Arial"/>
                <w:kern w:val="0"/>
                <w:szCs w:val="21"/>
              </w:rPr>
            </w:pPr>
          </w:p>
        </w:tc>
      </w:tr>
      <w:tr w14:paraId="585F5582">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0AB579C">
            <w:pPr>
              <w:widowControl/>
              <w:jc w:val="center"/>
              <w:rPr>
                <w:rFonts w:ascii="宋体" w:hAnsi="宋体" w:cs="Arial"/>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7B20EA08">
            <w:pPr>
              <w:widowControl/>
              <w:jc w:val="left"/>
              <w:rPr>
                <w:rFonts w:ascii="宋体" w:hAnsi="宋体" w:cs="Arial"/>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53E31E0">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51CDE263">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noWrap w:val="0"/>
            <w:vAlign w:val="center"/>
          </w:tcPr>
          <w:p w14:paraId="78DD7529">
            <w:pPr>
              <w:widowControl/>
              <w:jc w:val="right"/>
              <w:rPr>
                <w:rFonts w:ascii="宋体" w:hAnsi="宋体" w:cs="Arial"/>
                <w:kern w:val="0"/>
                <w:szCs w:val="21"/>
              </w:rPr>
            </w:pPr>
          </w:p>
        </w:tc>
      </w:tr>
      <w:tr w14:paraId="01910656">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371F883">
            <w:pPr>
              <w:widowControl/>
              <w:jc w:val="center"/>
              <w:rPr>
                <w:rFonts w:ascii="宋体" w:hAnsi="宋体" w:cs="Arial"/>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34AD40EE">
            <w:pPr>
              <w:widowControl/>
              <w:jc w:val="left"/>
              <w:rPr>
                <w:rFonts w:ascii="宋体" w:hAnsi="宋体" w:cs="Arial"/>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555B9129">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F802F3F">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noWrap w:val="0"/>
            <w:vAlign w:val="center"/>
          </w:tcPr>
          <w:p w14:paraId="5558DD1C">
            <w:pPr>
              <w:widowControl/>
              <w:jc w:val="right"/>
              <w:rPr>
                <w:rFonts w:ascii="宋体" w:hAnsi="宋体" w:cs="Arial"/>
                <w:kern w:val="0"/>
                <w:szCs w:val="21"/>
              </w:rPr>
            </w:pPr>
          </w:p>
        </w:tc>
      </w:tr>
      <w:tr w14:paraId="6D6D6C33">
        <w:trPr>
          <w:trHeight w:val="680" w:hRule="atLeast"/>
        </w:trPr>
        <w:tc>
          <w:tcPr>
            <w:tcW w:w="3843" w:type="dxa"/>
            <w:gridSpan w:val="2"/>
            <w:tcBorders>
              <w:top w:val="nil"/>
              <w:left w:val="single" w:color="000000" w:sz="8" w:space="0"/>
              <w:bottom w:val="single" w:color="000000" w:sz="4" w:space="0"/>
              <w:right w:val="single" w:color="000000" w:sz="4" w:space="0"/>
            </w:tcBorders>
            <w:noWrap w:val="0"/>
            <w:vAlign w:val="center"/>
          </w:tcPr>
          <w:p w14:paraId="2FBC494E">
            <w:pPr>
              <w:widowControl/>
              <w:jc w:val="center"/>
              <w:rPr>
                <w:rFonts w:ascii="宋体" w:hAnsi="宋体" w:cs="Arial"/>
                <w:kern w:val="0"/>
                <w:szCs w:val="21"/>
              </w:rPr>
            </w:pPr>
            <w:r>
              <w:rPr>
                <w:rFonts w:hint="eastAsia" w:ascii="宋体" w:hAnsi="宋体" w:cs="Arial"/>
                <w:kern w:val="0"/>
                <w:szCs w:val="21"/>
              </w:rPr>
              <w:t>合计</w:t>
            </w:r>
          </w:p>
        </w:tc>
        <w:tc>
          <w:tcPr>
            <w:tcW w:w="1557" w:type="dxa"/>
            <w:tcBorders>
              <w:top w:val="single" w:color="000000" w:sz="4" w:space="0"/>
              <w:left w:val="nil"/>
              <w:bottom w:val="single" w:color="000000" w:sz="4" w:space="0"/>
              <w:right w:val="single" w:color="000000" w:sz="4" w:space="0"/>
            </w:tcBorders>
            <w:noWrap w:val="0"/>
            <w:vAlign w:val="center"/>
          </w:tcPr>
          <w:p w14:paraId="0A5A9912">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B110D13">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noWrap w:val="0"/>
            <w:vAlign w:val="center"/>
          </w:tcPr>
          <w:p w14:paraId="508080C6">
            <w:pPr>
              <w:widowControl/>
              <w:jc w:val="right"/>
              <w:rPr>
                <w:rFonts w:ascii="宋体" w:hAnsi="宋体" w:cs="Arial"/>
                <w:kern w:val="0"/>
                <w:szCs w:val="21"/>
              </w:rPr>
            </w:pPr>
          </w:p>
        </w:tc>
      </w:tr>
    </w:tbl>
    <w:p w14:paraId="3B6C081A">
      <w:pPr>
        <w:jc w:val="center"/>
        <w:rPr>
          <w:sz w:val="32"/>
          <w:szCs w:val="32"/>
        </w:rPr>
      </w:pPr>
      <w:bookmarkStart w:id="475" w:name="_Toc460227126"/>
      <w:bookmarkStart w:id="476" w:name="_Toc460660241"/>
    </w:p>
    <w:p w14:paraId="34148585">
      <w:pPr>
        <w:jc w:val="center"/>
        <w:outlineLvl w:val="2"/>
        <w:rPr>
          <w:rFonts w:hint="eastAsia" w:ascii="宋体" w:hAnsi="宋体"/>
          <w:sz w:val="28"/>
          <w:szCs w:val="28"/>
        </w:rPr>
      </w:pPr>
      <w:r>
        <w:rPr>
          <w:rFonts w:ascii="宋体" w:hAnsi="宋体"/>
          <w:sz w:val="28"/>
          <w:szCs w:val="28"/>
        </w:rPr>
        <w:br w:type="page"/>
      </w:r>
      <w:r>
        <w:rPr>
          <w:rFonts w:hint="eastAsia" w:ascii="宋体" w:hAnsi="宋体"/>
          <w:sz w:val="28"/>
          <w:szCs w:val="28"/>
        </w:rPr>
        <w:t>（四）</w:t>
      </w:r>
      <w:bookmarkEnd w:id="475"/>
      <w:bookmarkEnd w:id="476"/>
      <w:r>
        <w:rPr>
          <w:rFonts w:hint="eastAsia" w:ascii="宋体" w:hAnsi="宋体"/>
          <w:sz w:val="28"/>
          <w:szCs w:val="28"/>
        </w:rPr>
        <w:t>单位工程投标报价汇总表</w:t>
      </w:r>
    </w:p>
    <w:p w14:paraId="4553B425">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8946" w:type="dxa"/>
        <w:tblInd w:w="93" w:type="dxa"/>
        <w:tblLayout w:type="autofit"/>
        <w:tblCellMar>
          <w:top w:w="0" w:type="dxa"/>
          <w:left w:w="108" w:type="dxa"/>
          <w:bottom w:w="0" w:type="dxa"/>
          <w:right w:w="108" w:type="dxa"/>
        </w:tblCellMar>
      </w:tblPr>
      <w:tblGrid>
        <w:gridCol w:w="820"/>
        <w:gridCol w:w="3448"/>
        <w:gridCol w:w="1701"/>
        <w:gridCol w:w="2977"/>
      </w:tblGrid>
      <w:tr w14:paraId="340C9B4A">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1EF27F6">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3448" w:type="dxa"/>
            <w:tcBorders>
              <w:top w:val="single" w:color="000000" w:sz="8" w:space="0"/>
              <w:left w:val="nil"/>
              <w:bottom w:val="single" w:color="000000" w:sz="4" w:space="0"/>
              <w:right w:val="single" w:color="000000" w:sz="4" w:space="0"/>
            </w:tcBorders>
            <w:shd w:val="clear" w:color="FFFFFF" w:fill="FFFFFF"/>
            <w:noWrap w:val="0"/>
            <w:vAlign w:val="center"/>
          </w:tcPr>
          <w:p w14:paraId="5344F7BB">
            <w:pPr>
              <w:widowControl/>
              <w:jc w:val="center"/>
              <w:rPr>
                <w:rFonts w:ascii="黑体" w:hAnsi="黑体" w:eastAsia="黑体" w:cs="Arial"/>
                <w:kern w:val="0"/>
                <w:szCs w:val="21"/>
              </w:rPr>
            </w:pPr>
            <w:r>
              <w:rPr>
                <w:rFonts w:hint="eastAsia" w:ascii="黑体" w:hAnsi="黑体" w:eastAsia="黑体" w:cs="Arial"/>
                <w:kern w:val="0"/>
                <w:szCs w:val="21"/>
              </w:rPr>
              <w:t>汇总内容</w:t>
            </w:r>
          </w:p>
        </w:tc>
        <w:tc>
          <w:tcPr>
            <w:tcW w:w="1701" w:type="dxa"/>
            <w:tcBorders>
              <w:top w:val="single" w:color="000000" w:sz="8" w:space="0"/>
              <w:left w:val="nil"/>
              <w:bottom w:val="single" w:color="000000" w:sz="4" w:space="0"/>
              <w:right w:val="single" w:color="000000" w:sz="4" w:space="0"/>
            </w:tcBorders>
            <w:shd w:val="clear" w:color="FFFFFF" w:fill="FFFFFF"/>
            <w:noWrap w:val="0"/>
            <w:vAlign w:val="center"/>
          </w:tcPr>
          <w:p w14:paraId="1FEFCCD1">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2977" w:type="dxa"/>
            <w:tcBorders>
              <w:top w:val="single" w:color="000000" w:sz="8" w:space="0"/>
              <w:left w:val="nil"/>
              <w:bottom w:val="single" w:color="000000" w:sz="4" w:space="0"/>
              <w:right w:val="single" w:color="000000" w:sz="8" w:space="0"/>
            </w:tcBorders>
            <w:shd w:val="clear" w:color="FFFFFF" w:fill="FFFFFF"/>
            <w:noWrap w:val="0"/>
            <w:vAlign w:val="center"/>
          </w:tcPr>
          <w:p w14:paraId="13386F2F">
            <w:pPr>
              <w:widowControl/>
              <w:jc w:val="center"/>
              <w:rPr>
                <w:rFonts w:ascii="黑体" w:hAnsi="黑体" w:eastAsia="黑体" w:cs="Arial"/>
                <w:kern w:val="0"/>
                <w:szCs w:val="21"/>
              </w:rPr>
            </w:pPr>
            <w:r>
              <w:rPr>
                <w:rFonts w:hint="eastAsia" w:ascii="黑体" w:hAnsi="黑体" w:eastAsia="黑体" w:cs="Arial"/>
                <w:kern w:val="0"/>
                <w:szCs w:val="21"/>
              </w:rPr>
              <w:t>其中：材料、设备暂估价（元）</w:t>
            </w:r>
          </w:p>
        </w:tc>
      </w:tr>
      <w:tr w14:paraId="359E27BD">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1E9CEA1">
            <w:pPr>
              <w:widowControl/>
              <w:jc w:val="center"/>
              <w:rPr>
                <w:rFonts w:ascii="宋体" w:hAnsi="宋体" w:cs="Arial"/>
                <w:kern w:val="0"/>
                <w:szCs w:val="21"/>
              </w:rPr>
            </w:pPr>
            <w:r>
              <w:rPr>
                <w:rFonts w:hint="eastAsia" w:ascii="宋体" w:hAnsi="宋体" w:cs="Arial"/>
                <w:kern w:val="0"/>
                <w:szCs w:val="21"/>
              </w:rPr>
              <w:t>1</w:t>
            </w:r>
          </w:p>
        </w:tc>
        <w:tc>
          <w:tcPr>
            <w:tcW w:w="3448" w:type="dxa"/>
            <w:tcBorders>
              <w:top w:val="single" w:color="000000" w:sz="4" w:space="0"/>
              <w:left w:val="nil"/>
              <w:bottom w:val="single" w:color="000000" w:sz="4" w:space="0"/>
              <w:right w:val="single" w:color="000000" w:sz="4" w:space="0"/>
            </w:tcBorders>
            <w:noWrap w:val="0"/>
            <w:vAlign w:val="center"/>
          </w:tcPr>
          <w:p w14:paraId="4983C157">
            <w:pPr>
              <w:widowControl/>
              <w:jc w:val="left"/>
              <w:rPr>
                <w:rFonts w:ascii="宋体" w:hAnsi="宋体" w:cs="Arial"/>
                <w:kern w:val="0"/>
                <w:szCs w:val="21"/>
              </w:rPr>
            </w:pPr>
            <w:r>
              <w:rPr>
                <w:rFonts w:hint="eastAsia" w:ascii="宋体" w:hAnsi="宋体" w:cs="Arial"/>
                <w:kern w:val="0"/>
                <w:szCs w:val="21"/>
              </w:rPr>
              <w:t>分部分项工程费</w:t>
            </w:r>
          </w:p>
        </w:tc>
        <w:tc>
          <w:tcPr>
            <w:tcW w:w="1701" w:type="dxa"/>
            <w:tcBorders>
              <w:top w:val="single" w:color="000000" w:sz="4" w:space="0"/>
              <w:left w:val="nil"/>
              <w:bottom w:val="single" w:color="000000" w:sz="4" w:space="0"/>
              <w:right w:val="single" w:color="000000" w:sz="4" w:space="0"/>
            </w:tcBorders>
            <w:noWrap w:val="0"/>
            <w:vAlign w:val="center"/>
          </w:tcPr>
          <w:p w14:paraId="65CE4A5C">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E565F4C">
            <w:pPr>
              <w:widowControl/>
              <w:jc w:val="right"/>
              <w:rPr>
                <w:rFonts w:ascii="宋体" w:hAnsi="宋体" w:cs="Arial"/>
                <w:kern w:val="0"/>
                <w:szCs w:val="21"/>
              </w:rPr>
            </w:pPr>
          </w:p>
        </w:tc>
      </w:tr>
      <w:tr w14:paraId="562DF210">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FE3E0C9">
            <w:pPr>
              <w:widowControl/>
              <w:jc w:val="center"/>
              <w:rPr>
                <w:rFonts w:ascii="宋体" w:hAnsi="宋体" w:cs="Arial"/>
                <w:kern w:val="0"/>
                <w:szCs w:val="21"/>
              </w:rPr>
            </w:pPr>
            <w:r>
              <w:rPr>
                <w:rFonts w:hint="eastAsia" w:ascii="宋体" w:hAnsi="宋体" w:cs="Arial"/>
                <w:kern w:val="0"/>
                <w:szCs w:val="21"/>
              </w:rPr>
              <w:t>2</w:t>
            </w:r>
          </w:p>
        </w:tc>
        <w:tc>
          <w:tcPr>
            <w:tcW w:w="3448" w:type="dxa"/>
            <w:tcBorders>
              <w:top w:val="single" w:color="000000" w:sz="4" w:space="0"/>
              <w:left w:val="nil"/>
              <w:bottom w:val="single" w:color="000000" w:sz="4" w:space="0"/>
              <w:right w:val="single" w:color="000000" w:sz="4" w:space="0"/>
            </w:tcBorders>
            <w:noWrap w:val="0"/>
            <w:vAlign w:val="center"/>
          </w:tcPr>
          <w:p w14:paraId="6E5B1F7F">
            <w:pPr>
              <w:widowControl/>
              <w:jc w:val="left"/>
              <w:rPr>
                <w:rFonts w:ascii="宋体" w:hAnsi="宋体" w:cs="Arial"/>
                <w:kern w:val="0"/>
                <w:szCs w:val="21"/>
              </w:rPr>
            </w:pPr>
            <w:r>
              <w:rPr>
                <w:rFonts w:hint="eastAsia" w:ascii="宋体" w:hAnsi="宋体" w:cs="Arial"/>
                <w:kern w:val="0"/>
                <w:szCs w:val="21"/>
              </w:rPr>
              <w:t>措施项目费</w:t>
            </w:r>
          </w:p>
        </w:tc>
        <w:tc>
          <w:tcPr>
            <w:tcW w:w="1701" w:type="dxa"/>
            <w:tcBorders>
              <w:top w:val="single" w:color="000000" w:sz="4" w:space="0"/>
              <w:left w:val="nil"/>
              <w:bottom w:val="single" w:color="000000" w:sz="4" w:space="0"/>
              <w:right w:val="single" w:color="000000" w:sz="4" w:space="0"/>
            </w:tcBorders>
            <w:noWrap w:val="0"/>
            <w:vAlign w:val="center"/>
          </w:tcPr>
          <w:p w14:paraId="36381FC3">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7C9F2E03">
            <w:pPr>
              <w:widowControl/>
              <w:jc w:val="right"/>
              <w:rPr>
                <w:rFonts w:ascii="宋体" w:hAnsi="宋体" w:cs="Arial"/>
                <w:kern w:val="0"/>
                <w:szCs w:val="21"/>
              </w:rPr>
            </w:pPr>
          </w:p>
        </w:tc>
      </w:tr>
      <w:tr w14:paraId="4BDDCCCF">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A237364">
            <w:pPr>
              <w:widowControl/>
              <w:jc w:val="center"/>
              <w:rPr>
                <w:rFonts w:ascii="宋体" w:hAnsi="宋体" w:cs="Arial"/>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052A690">
            <w:pPr>
              <w:widowControl/>
              <w:jc w:val="left"/>
              <w:rPr>
                <w:rFonts w:ascii="宋体" w:hAnsi="宋体" w:cs="Arial"/>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55B631A5">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6E93736">
            <w:pPr>
              <w:widowControl/>
              <w:jc w:val="right"/>
              <w:rPr>
                <w:rFonts w:ascii="宋体" w:hAnsi="宋体" w:cs="Arial"/>
                <w:kern w:val="0"/>
                <w:szCs w:val="21"/>
              </w:rPr>
            </w:pPr>
          </w:p>
        </w:tc>
      </w:tr>
      <w:tr w14:paraId="7AEBC3E7">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24E9841">
            <w:pPr>
              <w:widowControl/>
              <w:jc w:val="center"/>
              <w:rPr>
                <w:rFonts w:ascii="宋体" w:hAnsi="宋体" w:cs="Arial"/>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9E4D679">
            <w:pPr>
              <w:widowControl/>
              <w:jc w:val="left"/>
              <w:rPr>
                <w:rFonts w:ascii="宋体" w:hAnsi="宋体" w:cs="Arial"/>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3569FF9F">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E02B250">
            <w:pPr>
              <w:widowControl/>
              <w:jc w:val="right"/>
              <w:rPr>
                <w:rFonts w:ascii="宋体" w:hAnsi="宋体" w:cs="Arial"/>
                <w:kern w:val="0"/>
                <w:szCs w:val="21"/>
              </w:rPr>
            </w:pPr>
          </w:p>
        </w:tc>
      </w:tr>
      <w:tr w14:paraId="42E7F895">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26AFCD39">
            <w:pPr>
              <w:widowControl/>
              <w:jc w:val="center"/>
              <w:rPr>
                <w:rFonts w:ascii="宋体" w:hAnsi="宋体" w:cs="Arial"/>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459EED06">
            <w:pPr>
              <w:widowControl/>
              <w:jc w:val="left"/>
              <w:rPr>
                <w:rFonts w:ascii="宋体" w:hAnsi="宋体" w:cs="Arial"/>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154A1016">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FDB0BAC">
            <w:pPr>
              <w:widowControl/>
              <w:jc w:val="right"/>
              <w:rPr>
                <w:rFonts w:ascii="宋体" w:hAnsi="宋体" w:cs="Arial"/>
                <w:kern w:val="0"/>
                <w:szCs w:val="21"/>
              </w:rPr>
            </w:pPr>
          </w:p>
        </w:tc>
      </w:tr>
      <w:tr w14:paraId="6EA6132A">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B1E371E">
            <w:pPr>
              <w:widowControl/>
              <w:jc w:val="center"/>
              <w:rPr>
                <w:rFonts w:ascii="宋体" w:hAnsi="宋体" w:cs="Arial"/>
                <w:kern w:val="0"/>
                <w:szCs w:val="21"/>
              </w:rPr>
            </w:pPr>
            <w:r>
              <w:rPr>
                <w:rFonts w:hint="eastAsia" w:ascii="宋体" w:hAnsi="宋体" w:cs="Arial"/>
                <w:kern w:val="0"/>
                <w:szCs w:val="21"/>
              </w:rPr>
              <w:t>3</w:t>
            </w:r>
          </w:p>
        </w:tc>
        <w:tc>
          <w:tcPr>
            <w:tcW w:w="3448" w:type="dxa"/>
            <w:tcBorders>
              <w:top w:val="single" w:color="000000" w:sz="4" w:space="0"/>
              <w:left w:val="nil"/>
              <w:bottom w:val="single" w:color="000000" w:sz="4" w:space="0"/>
              <w:right w:val="single" w:color="000000" w:sz="4" w:space="0"/>
            </w:tcBorders>
            <w:noWrap w:val="0"/>
            <w:vAlign w:val="center"/>
          </w:tcPr>
          <w:p w14:paraId="5EECB501">
            <w:pPr>
              <w:widowControl/>
              <w:jc w:val="left"/>
              <w:rPr>
                <w:rFonts w:ascii="宋体" w:hAnsi="宋体" w:cs="Arial"/>
                <w:kern w:val="0"/>
                <w:szCs w:val="21"/>
              </w:rPr>
            </w:pPr>
            <w:r>
              <w:rPr>
                <w:rFonts w:hint="eastAsia" w:ascii="宋体" w:hAnsi="宋体" w:cs="Arial"/>
                <w:kern w:val="0"/>
                <w:szCs w:val="21"/>
              </w:rPr>
              <w:t>不可竞争费</w:t>
            </w:r>
          </w:p>
        </w:tc>
        <w:tc>
          <w:tcPr>
            <w:tcW w:w="1701" w:type="dxa"/>
            <w:tcBorders>
              <w:top w:val="single" w:color="000000" w:sz="4" w:space="0"/>
              <w:left w:val="nil"/>
              <w:bottom w:val="single" w:color="000000" w:sz="4" w:space="0"/>
              <w:right w:val="single" w:color="000000" w:sz="4" w:space="0"/>
            </w:tcBorders>
            <w:noWrap w:val="0"/>
            <w:vAlign w:val="center"/>
          </w:tcPr>
          <w:p w14:paraId="2C8C528F">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D24BF33">
            <w:pPr>
              <w:widowControl/>
              <w:jc w:val="right"/>
              <w:rPr>
                <w:rFonts w:ascii="宋体" w:hAnsi="宋体" w:cs="Arial"/>
                <w:kern w:val="0"/>
                <w:szCs w:val="21"/>
              </w:rPr>
            </w:pPr>
          </w:p>
        </w:tc>
      </w:tr>
      <w:tr w14:paraId="277C0DDB">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5FF55CC">
            <w:pPr>
              <w:widowControl/>
              <w:jc w:val="center"/>
              <w:rPr>
                <w:rFonts w:ascii="宋体" w:hAnsi="宋体" w:cs="Arial"/>
                <w:kern w:val="0"/>
                <w:szCs w:val="21"/>
              </w:rPr>
            </w:pPr>
            <w:r>
              <w:rPr>
                <w:rFonts w:hint="eastAsia" w:ascii="宋体" w:hAnsi="宋体" w:cs="Arial"/>
                <w:kern w:val="0"/>
                <w:szCs w:val="21"/>
              </w:rPr>
              <w:t>3.1</w:t>
            </w:r>
          </w:p>
        </w:tc>
        <w:tc>
          <w:tcPr>
            <w:tcW w:w="3448" w:type="dxa"/>
            <w:tcBorders>
              <w:top w:val="single" w:color="000000" w:sz="4" w:space="0"/>
              <w:left w:val="nil"/>
              <w:bottom w:val="single" w:color="000000" w:sz="4" w:space="0"/>
              <w:right w:val="single" w:color="000000" w:sz="4" w:space="0"/>
            </w:tcBorders>
            <w:noWrap w:val="0"/>
            <w:vAlign w:val="center"/>
          </w:tcPr>
          <w:p w14:paraId="26EC9A5A">
            <w:pPr>
              <w:widowControl/>
              <w:jc w:val="left"/>
              <w:rPr>
                <w:rFonts w:ascii="宋体" w:hAnsi="宋体" w:cs="Arial"/>
                <w:kern w:val="0"/>
                <w:szCs w:val="21"/>
              </w:rPr>
            </w:pPr>
            <w:r>
              <w:rPr>
                <w:rFonts w:hint="eastAsia" w:ascii="宋体" w:hAnsi="宋体" w:cs="Arial"/>
                <w:kern w:val="0"/>
                <w:szCs w:val="21"/>
              </w:rPr>
              <w:t xml:space="preserve">  安全文明施工费</w:t>
            </w:r>
          </w:p>
        </w:tc>
        <w:tc>
          <w:tcPr>
            <w:tcW w:w="1701" w:type="dxa"/>
            <w:tcBorders>
              <w:top w:val="single" w:color="000000" w:sz="4" w:space="0"/>
              <w:left w:val="nil"/>
              <w:bottom w:val="single" w:color="000000" w:sz="4" w:space="0"/>
              <w:right w:val="single" w:color="000000" w:sz="4" w:space="0"/>
            </w:tcBorders>
            <w:noWrap w:val="0"/>
            <w:vAlign w:val="center"/>
          </w:tcPr>
          <w:p w14:paraId="7758A513">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DDA8B75">
            <w:pPr>
              <w:widowControl/>
              <w:jc w:val="right"/>
              <w:rPr>
                <w:rFonts w:ascii="宋体" w:hAnsi="宋体" w:cs="Arial"/>
                <w:kern w:val="0"/>
                <w:szCs w:val="21"/>
              </w:rPr>
            </w:pPr>
          </w:p>
        </w:tc>
      </w:tr>
      <w:tr w14:paraId="51220B75">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459BEB4B">
            <w:pPr>
              <w:widowControl/>
              <w:jc w:val="center"/>
              <w:rPr>
                <w:rFonts w:ascii="宋体" w:hAnsi="宋体" w:cs="Arial"/>
                <w:kern w:val="0"/>
                <w:szCs w:val="21"/>
              </w:rPr>
            </w:pPr>
            <w:r>
              <w:rPr>
                <w:rFonts w:hint="eastAsia" w:ascii="宋体" w:hAnsi="宋体" w:cs="Arial"/>
                <w:kern w:val="0"/>
                <w:szCs w:val="21"/>
              </w:rPr>
              <w:t>3.2</w:t>
            </w:r>
          </w:p>
        </w:tc>
        <w:tc>
          <w:tcPr>
            <w:tcW w:w="3448" w:type="dxa"/>
            <w:tcBorders>
              <w:top w:val="single" w:color="000000" w:sz="4" w:space="0"/>
              <w:left w:val="nil"/>
              <w:bottom w:val="single" w:color="000000" w:sz="4" w:space="0"/>
              <w:right w:val="single" w:color="000000" w:sz="4" w:space="0"/>
            </w:tcBorders>
            <w:noWrap w:val="0"/>
            <w:vAlign w:val="center"/>
          </w:tcPr>
          <w:p w14:paraId="16AFAEBD">
            <w:pPr>
              <w:widowControl/>
              <w:jc w:val="left"/>
              <w:rPr>
                <w:rFonts w:ascii="宋体" w:hAnsi="宋体" w:cs="Arial"/>
                <w:kern w:val="0"/>
                <w:szCs w:val="21"/>
              </w:rPr>
            </w:pPr>
            <w:r>
              <w:rPr>
                <w:rFonts w:hint="eastAsia" w:ascii="宋体" w:hAnsi="宋体" w:cs="Arial"/>
                <w:kern w:val="0"/>
                <w:szCs w:val="21"/>
              </w:rPr>
              <w:t xml:space="preserve">  工程排污费</w:t>
            </w:r>
          </w:p>
        </w:tc>
        <w:tc>
          <w:tcPr>
            <w:tcW w:w="1701" w:type="dxa"/>
            <w:tcBorders>
              <w:top w:val="single" w:color="000000" w:sz="4" w:space="0"/>
              <w:left w:val="nil"/>
              <w:bottom w:val="single" w:color="000000" w:sz="4" w:space="0"/>
              <w:right w:val="single" w:color="000000" w:sz="4" w:space="0"/>
            </w:tcBorders>
            <w:noWrap w:val="0"/>
            <w:vAlign w:val="center"/>
          </w:tcPr>
          <w:p w14:paraId="6DF39CD9">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628D149">
            <w:pPr>
              <w:widowControl/>
              <w:jc w:val="right"/>
              <w:rPr>
                <w:rFonts w:ascii="宋体" w:hAnsi="宋体" w:cs="Arial"/>
                <w:kern w:val="0"/>
                <w:szCs w:val="21"/>
              </w:rPr>
            </w:pPr>
          </w:p>
        </w:tc>
      </w:tr>
      <w:tr w14:paraId="744F75C0">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CF29CB2">
            <w:pPr>
              <w:widowControl/>
              <w:jc w:val="center"/>
              <w:rPr>
                <w:rFonts w:hint="eastAsia" w:ascii="宋体" w:hAnsi="宋体" w:cs="Arial"/>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6E6E5893">
            <w:pPr>
              <w:widowControl/>
              <w:jc w:val="left"/>
              <w:rPr>
                <w:rFonts w:hint="eastAsia" w:ascii="宋体" w:hAnsi="宋体" w:cs="Arial"/>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2B32C595">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AEB1E31">
            <w:pPr>
              <w:widowControl/>
              <w:jc w:val="right"/>
              <w:rPr>
                <w:rFonts w:ascii="宋体" w:hAnsi="宋体" w:cs="Arial"/>
                <w:kern w:val="0"/>
                <w:szCs w:val="21"/>
              </w:rPr>
            </w:pPr>
          </w:p>
        </w:tc>
      </w:tr>
      <w:tr w14:paraId="42D40F70">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5B238CA">
            <w:pPr>
              <w:widowControl/>
              <w:jc w:val="center"/>
              <w:rPr>
                <w:rFonts w:ascii="宋体" w:hAnsi="宋体" w:cs="Arial"/>
                <w:kern w:val="0"/>
                <w:szCs w:val="21"/>
              </w:rPr>
            </w:pPr>
            <w:r>
              <w:rPr>
                <w:rFonts w:hint="eastAsia" w:ascii="宋体" w:hAnsi="宋体" w:cs="Arial"/>
                <w:kern w:val="0"/>
                <w:szCs w:val="21"/>
              </w:rPr>
              <w:t>4</w:t>
            </w:r>
          </w:p>
        </w:tc>
        <w:tc>
          <w:tcPr>
            <w:tcW w:w="3448" w:type="dxa"/>
            <w:tcBorders>
              <w:top w:val="single" w:color="000000" w:sz="4" w:space="0"/>
              <w:left w:val="nil"/>
              <w:bottom w:val="single" w:color="000000" w:sz="4" w:space="0"/>
              <w:right w:val="single" w:color="000000" w:sz="4" w:space="0"/>
            </w:tcBorders>
            <w:noWrap w:val="0"/>
            <w:vAlign w:val="center"/>
          </w:tcPr>
          <w:p w14:paraId="4851A1DD">
            <w:pPr>
              <w:widowControl/>
              <w:jc w:val="left"/>
              <w:rPr>
                <w:rFonts w:ascii="宋体" w:hAnsi="宋体" w:cs="Arial"/>
                <w:kern w:val="0"/>
                <w:szCs w:val="21"/>
              </w:rPr>
            </w:pPr>
            <w:r>
              <w:rPr>
                <w:rFonts w:hint="eastAsia" w:ascii="宋体" w:hAnsi="宋体" w:cs="Arial"/>
                <w:kern w:val="0"/>
                <w:szCs w:val="21"/>
              </w:rPr>
              <w:t>其他项目</w:t>
            </w:r>
          </w:p>
        </w:tc>
        <w:tc>
          <w:tcPr>
            <w:tcW w:w="1701" w:type="dxa"/>
            <w:tcBorders>
              <w:top w:val="single" w:color="000000" w:sz="4" w:space="0"/>
              <w:left w:val="nil"/>
              <w:bottom w:val="single" w:color="000000" w:sz="4" w:space="0"/>
              <w:right w:val="single" w:color="000000" w:sz="4" w:space="0"/>
            </w:tcBorders>
            <w:noWrap w:val="0"/>
            <w:vAlign w:val="center"/>
          </w:tcPr>
          <w:p w14:paraId="73C7F543">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FFCB3FC">
            <w:pPr>
              <w:widowControl/>
              <w:jc w:val="right"/>
              <w:rPr>
                <w:rFonts w:ascii="宋体" w:hAnsi="宋体" w:cs="Arial"/>
                <w:kern w:val="0"/>
                <w:szCs w:val="21"/>
              </w:rPr>
            </w:pPr>
          </w:p>
        </w:tc>
      </w:tr>
      <w:tr w14:paraId="4D65695B">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B3AE51A">
            <w:pPr>
              <w:widowControl/>
              <w:jc w:val="center"/>
              <w:rPr>
                <w:rFonts w:ascii="宋体" w:hAnsi="宋体" w:cs="Arial"/>
                <w:kern w:val="0"/>
                <w:szCs w:val="21"/>
              </w:rPr>
            </w:pPr>
            <w:r>
              <w:rPr>
                <w:rFonts w:hint="eastAsia" w:ascii="宋体" w:hAnsi="宋体" w:cs="Arial"/>
                <w:kern w:val="0"/>
                <w:szCs w:val="21"/>
              </w:rPr>
              <w:t>4.1</w:t>
            </w:r>
          </w:p>
        </w:tc>
        <w:tc>
          <w:tcPr>
            <w:tcW w:w="3448" w:type="dxa"/>
            <w:tcBorders>
              <w:top w:val="single" w:color="000000" w:sz="4" w:space="0"/>
              <w:left w:val="nil"/>
              <w:bottom w:val="single" w:color="000000" w:sz="4" w:space="0"/>
              <w:right w:val="single" w:color="000000" w:sz="4" w:space="0"/>
            </w:tcBorders>
            <w:noWrap w:val="0"/>
            <w:vAlign w:val="center"/>
          </w:tcPr>
          <w:p w14:paraId="5ECBF110">
            <w:pPr>
              <w:widowControl/>
              <w:jc w:val="left"/>
              <w:rPr>
                <w:rFonts w:ascii="宋体" w:hAnsi="宋体" w:cs="Arial"/>
                <w:kern w:val="0"/>
                <w:szCs w:val="21"/>
              </w:rPr>
            </w:pPr>
            <w:r>
              <w:rPr>
                <w:rFonts w:hint="eastAsia" w:ascii="宋体" w:hAnsi="宋体" w:cs="Arial"/>
                <w:kern w:val="0"/>
                <w:szCs w:val="21"/>
              </w:rPr>
              <w:t xml:space="preserve">  暂列金额</w:t>
            </w:r>
          </w:p>
        </w:tc>
        <w:tc>
          <w:tcPr>
            <w:tcW w:w="1701" w:type="dxa"/>
            <w:tcBorders>
              <w:top w:val="single" w:color="000000" w:sz="4" w:space="0"/>
              <w:left w:val="nil"/>
              <w:bottom w:val="single" w:color="000000" w:sz="4" w:space="0"/>
              <w:right w:val="single" w:color="000000" w:sz="4" w:space="0"/>
            </w:tcBorders>
            <w:noWrap w:val="0"/>
            <w:vAlign w:val="center"/>
          </w:tcPr>
          <w:p w14:paraId="3D9305FD">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2022123">
            <w:pPr>
              <w:widowControl/>
              <w:jc w:val="right"/>
              <w:rPr>
                <w:rFonts w:ascii="宋体" w:hAnsi="宋体" w:cs="Arial"/>
                <w:kern w:val="0"/>
                <w:szCs w:val="21"/>
              </w:rPr>
            </w:pPr>
          </w:p>
        </w:tc>
      </w:tr>
      <w:tr w14:paraId="57A22C65">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99A6C98">
            <w:pPr>
              <w:widowControl/>
              <w:jc w:val="center"/>
              <w:rPr>
                <w:rFonts w:ascii="宋体" w:hAnsi="宋体" w:cs="Arial"/>
                <w:kern w:val="0"/>
                <w:szCs w:val="21"/>
              </w:rPr>
            </w:pPr>
            <w:r>
              <w:rPr>
                <w:rFonts w:hint="eastAsia" w:ascii="宋体" w:hAnsi="宋体" w:cs="Arial"/>
                <w:kern w:val="0"/>
                <w:szCs w:val="21"/>
              </w:rPr>
              <w:t>4.2</w:t>
            </w:r>
          </w:p>
        </w:tc>
        <w:tc>
          <w:tcPr>
            <w:tcW w:w="3448" w:type="dxa"/>
            <w:tcBorders>
              <w:top w:val="single" w:color="000000" w:sz="4" w:space="0"/>
              <w:left w:val="nil"/>
              <w:bottom w:val="single" w:color="000000" w:sz="4" w:space="0"/>
              <w:right w:val="single" w:color="000000" w:sz="4" w:space="0"/>
            </w:tcBorders>
            <w:noWrap w:val="0"/>
            <w:vAlign w:val="center"/>
          </w:tcPr>
          <w:p w14:paraId="4B68BA0C">
            <w:pPr>
              <w:widowControl/>
              <w:jc w:val="left"/>
              <w:rPr>
                <w:rFonts w:ascii="宋体" w:hAnsi="宋体" w:cs="Arial"/>
                <w:kern w:val="0"/>
                <w:szCs w:val="21"/>
              </w:rPr>
            </w:pPr>
            <w:r>
              <w:rPr>
                <w:rFonts w:hint="eastAsia" w:ascii="宋体" w:hAnsi="宋体" w:cs="Arial"/>
                <w:kern w:val="0"/>
                <w:szCs w:val="21"/>
              </w:rPr>
              <w:t xml:space="preserve">  专业工程暂估价</w:t>
            </w:r>
          </w:p>
        </w:tc>
        <w:tc>
          <w:tcPr>
            <w:tcW w:w="1701" w:type="dxa"/>
            <w:tcBorders>
              <w:top w:val="single" w:color="000000" w:sz="4" w:space="0"/>
              <w:left w:val="nil"/>
              <w:bottom w:val="single" w:color="000000" w:sz="4" w:space="0"/>
              <w:right w:val="single" w:color="000000" w:sz="4" w:space="0"/>
            </w:tcBorders>
            <w:noWrap w:val="0"/>
            <w:vAlign w:val="center"/>
          </w:tcPr>
          <w:p w14:paraId="729F8F2E">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3A34150">
            <w:pPr>
              <w:widowControl/>
              <w:jc w:val="right"/>
              <w:rPr>
                <w:rFonts w:ascii="宋体" w:hAnsi="宋体" w:cs="Arial"/>
                <w:kern w:val="0"/>
                <w:szCs w:val="21"/>
              </w:rPr>
            </w:pPr>
          </w:p>
        </w:tc>
      </w:tr>
      <w:tr w14:paraId="3C91B0D6">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979F44E">
            <w:pPr>
              <w:widowControl/>
              <w:jc w:val="center"/>
              <w:rPr>
                <w:rFonts w:ascii="宋体" w:hAnsi="宋体" w:cs="Arial"/>
                <w:kern w:val="0"/>
                <w:szCs w:val="21"/>
              </w:rPr>
            </w:pPr>
            <w:r>
              <w:rPr>
                <w:rFonts w:hint="eastAsia" w:ascii="宋体" w:hAnsi="宋体" w:cs="Arial"/>
                <w:kern w:val="0"/>
                <w:szCs w:val="21"/>
              </w:rPr>
              <w:t>4.3</w:t>
            </w:r>
          </w:p>
        </w:tc>
        <w:tc>
          <w:tcPr>
            <w:tcW w:w="3448" w:type="dxa"/>
            <w:tcBorders>
              <w:top w:val="single" w:color="000000" w:sz="4" w:space="0"/>
              <w:left w:val="nil"/>
              <w:bottom w:val="single" w:color="000000" w:sz="4" w:space="0"/>
              <w:right w:val="single" w:color="000000" w:sz="4" w:space="0"/>
            </w:tcBorders>
            <w:noWrap w:val="0"/>
            <w:vAlign w:val="center"/>
          </w:tcPr>
          <w:p w14:paraId="73554250">
            <w:pPr>
              <w:widowControl/>
              <w:jc w:val="left"/>
              <w:rPr>
                <w:rFonts w:ascii="宋体" w:hAnsi="宋体" w:cs="Arial"/>
                <w:kern w:val="0"/>
                <w:szCs w:val="21"/>
              </w:rPr>
            </w:pPr>
            <w:r>
              <w:rPr>
                <w:rFonts w:hint="eastAsia" w:ascii="宋体" w:hAnsi="宋体" w:cs="Arial"/>
                <w:kern w:val="0"/>
                <w:szCs w:val="21"/>
              </w:rPr>
              <w:t xml:space="preserve">  计日工</w:t>
            </w:r>
          </w:p>
        </w:tc>
        <w:tc>
          <w:tcPr>
            <w:tcW w:w="1701" w:type="dxa"/>
            <w:tcBorders>
              <w:top w:val="single" w:color="000000" w:sz="4" w:space="0"/>
              <w:left w:val="nil"/>
              <w:bottom w:val="single" w:color="000000" w:sz="4" w:space="0"/>
              <w:right w:val="single" w:color="000000" w:sz="4" w:space="0"/>
            </w:tcBorders>
            <w:noWrap w:val="0"/>
            <w:vAlign w:val="center"/>
          </w:tcPr>
          <w:p w14:paraId="77B78992">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C966B5E">
            <w:pPr>
              <w:widowControl/>
              <w:jc w:val="right"/>
              <w:rPr>
                <w:rFonts w:ascii="宋体" w:hAnsi="宋体" w:cs="Arial"/>
                <w:kern w:val="0"/>
                <w:szCs w:val="21"/>
              </w:rPr>
            </w:pPr>
          </w:p>
        </w:tc>
      </w:tr>
      <w:tr w14:paraId="33811CF2">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7D7DEB">
            <w:pPr>
              <w:widowControl/>
              <w:jc w:val="center"/>
              <w:rPr>
                <w:rFonts w:ascii="宋体" w:hAnsi="宋体" w:cs="Arial"/>
                <w:kern w:val="0"/>
                <w:szCs w:val="21"/>
              </w:rPr>
            </w:pPr>
            <w:r>
              <w:rPr>
                <w:rFonts w:hint="eastAsia" w:ascii="宋体" w:hAnsi="宋体" w:cs="Arial"/>
                <w:kern w:val="0"/>
                <w:szCs w:val="21"/>
              </w:rPr>
              <w:t>4.4</w:t>
            </w:r>
          </w:p>
        </w:tc>
        <w:tc>
          <w:tcPr>
            <w:tcW w:w="3448" w:type="dxa"/>
            <w:tcBorders>
              <w:top w:val="single" w:color="000000" w:sz="4" w:space="0"/>
              <w:left w:val="nil"/>
              <w:bottom w:val="single" w:color="000000" w:sz="4" w:space="0"/>
              <w:right w:val="single" w:color="000000" w:sz="4" w:space="0"/>
            </w:tcBorders>
            <w:noWrap w:val="0"/>
            <w:vAlign w:val="center"/>
          </w:tcPr>
          <w:p w14:paraId="427D861C">
            <w:pPr>
              <w:widowControl/>
              <w:jc w:val="left"/>
              <w:rPr>
                <w:rFonts w:ascii="宋体" w:hAnsi="宋体" w:cs="Arial"/>
                <w:kern w:val="0"/>
                <w:szCs w:val="21"/>
              </w:rPr>
            </w:pPr>
            <w:r>
              <w:rPr>
                <w:rFonts w:hint="eastAsia" w:ascii="宋体" w:hAnsi="宋体" w:cs="Arial"/>
                <w:kern w:val="0"/>
                <w:szCs w:val="21"/>
              </w:rPr>
              <w:t xml:space="preserve">  总承包服务费</w:t>
            </w:r>
          </w:p>
        </w:tc>
        <w:tc>
          <w:tcPr>
            <w:tcW w:w="1701" w:type="dxa"/>
            <w:tcBorders>
              <w:top w:val="single" w:color="000000" w:sz="4" w:space="0"/>
              <w:left w:val="nil"/>
              <w:bottom w:val="single" w:color="000000" w:sz="4" w:space="0"/>
              <w:right w:val="single" w:color="000000" w:sz="4" w:space="0"/>
            </w:tcBorders>
            <w:noWrap w:val="0"/>
            <w:vAlign w:val="center"/>
          </w:tcPr>
          <w:p w14:paraId="70081610">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BE45D33">
            <w:pPr>
              <w:widowControl/>
              <w:jc w:val="right"/>
              <w:rPr>
                <w:rFonts w:ascii="宋体" w:hAnsi="宋体" w:cs="Arial"/>
                <w:kern w:val="0"/>
                <w:szCs w:val="21"/>
              </w:rPr>
            </w:pPr>
          </w:p>
        </w:tc>
      </w:tr>
      <w:tr w14:paraId="67211502">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A14BAB5">
            <w:pPr>
              <w:widowControl/>
              <w:jc w:val="center"/>
              <w:rPr>
                <w:rFonts w:ascii="宋体" w:hAnsi="宋体" w:cs="Arial"/>
                <w:kern w:val="0"/>
                <w:szCs w:val="21"/>
              </w:rPr>
            </w:pPr>
            <w:r>
              <w:rPr>
                <w:rFonts w:hint="eastAsia" w:ascii="宋体" w:hAnsi="宋体" w:cs="Arial"/>
                <w:kern w:val="0"/>
                <w:szCs w:val="21"/>
              </w:rPr>
              <w:t>5</w:t>
            </w:r>
          </w:p>
        </w:tc>
        <w:tc>
          <w:tcPr>
            <w:tcW w:w="3448" w:type="dxa"/>
            <w:tcBorders>
              <w:top w:val="single" w:color="000000" w:sz="4" w:space="0"/>
              <w:left w:val="nil"/>
              <w:bottom w:val="single" w:color="000000" w:sz="4" w:space="0"/>
              <w:right w:val="single" w:color="000000" w:sz="4" w:space="0"/>
            </w:tcBorders>
            <w:noWrap w:val="0"/>
            <w:vAlign w:val="center"/>
          </w:tcPr>
          <w:p w14:paraId="247D5FB7">
            <w:pPr>
              <w:widowControl/>
              <w:jc w:val="left"/>
              <w:rPr>
                <w:rFonts w:ascii="宋体" w:hAnsi="宋体" w:cs="Arial"/>
                <w:kern w:val="0"/>
                <w:szCs w:val="21"/>
              </w:rPr>
            </w:pPr>
            <w:r>
              <w:rPr>
                <w:rFonts w:hint="eastAsia" w:ascii="宋体" w:hAnsi="宋体" w:cs="Arial"/>
                <w:kern w:val="0"/>
                <w:szCs w:val="21"/>
              </w:rPr>
              <w:t>税金</w:t>
            </w:r>
          </w:p>
        </w:tc>
        <w:tc>
          <w:tcPr>
            <w:tcW w:w="1701" w:type="dxa"/>
            <w:tcBorders>
              <w:top w:val="single" w:color="000000" w:sz="4" w:space="0"/>
              <w:left w:val="nil"/>
              <w:bottom w:val="single" w:color="000000" w:sz="4" w:space="0"/>
              <w:right w:val="single" w:color="000000" w:sz="4" w:space="0"/>
            </w:tcBorders>
            <w:noWrap w:val="0"/>
            <w:vAlign w:val="center"/>
          </w:tcPr>
          <w:p w14:paraId="2A46D3D2">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18CA0D0">
            <w:pPr>
              <w:widowControl/>
              <w:jc w:val="right"/>
              <w:rPr>
                <w:rFonts w:ascii="宋体" w:hAnsi="宋体" w:cs="Arial"/>
                <w:kern w:val="0"/>
                <w:szCs w:val="21"/>
              </w:rPr>
            </w:pPr>
          </w:p>
        </w:tc>
      </w:tr>
      <w:tr w14:paraId="1D21B853">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noWrap w:val="0"/>
            <w:vAlign w:val="center"/>
          </w:tcPr>
          <w:p w14:paraId="74D25E00">
            <w:pPr>
              <w:widowControl/>
              <w:jc w:val="center"/>
              <w:rPr>
                <w:rFonts w:ascii="宋体" w:hAnsi="宋体" w:cs="Arial"/>
                <w:kern w:val="0"/>
                <w:szCs w:val="21"/>
              </w:rPr>
            </w:pPr>
            <w:r>
              <w:rPr>
                <w:rFonts w:hint="eastAsia" w:ascii="宋体" w:hAnsi="宋体" w:cs="Arial"/>
                <w:kern w:val="0"/>
                <w:szCs w:val="21"/>
              </w:rPr>
              <w:t>工程造价=1+2+3+4+5</w:t>
            </w:r>
          </w:p>
        </w:tc>
        <w:tc>
          <w:tcPr>
            <w:tcW w:w="1701" w:type="dxa"/>
            <w:tcBorders>
              <w:top w:val="single" w:color="000000" w:sz="4" w:space="0"/>
              <w:left w:val="nil"/>
              <w:bottom w:val="single" w:color="000000" w:sz="8" w:space="0"/>
              <w:right w:val="single" w:color="000000" w:sz="4" w:space="0"/>
            </w:tcBorders>
            <w:noWrap w:val="0"/>
            <w:vAlign w:val="center"/>
          </w:tcPr>
          <w:p w14:paraId="3CE6DEA2">
            <w:pPr>
              <w:widowControl/>
              <w:jc w:val="right"/>
              <w:rPr>
                <w:rFonts w:ascii="宋体" w:hAnsi="宋体" w:cs="Arial"/>
                <w:kern w:val="0"/>
                <w:szCs w:val="21"/>
              </w:rPr>
            </w:pPr>
          </w:p>
        </w:tc>
        <w:tc>
          <w:tcPr>
            <w:tcW w:w="2977" w:type="dxa"/>
            <w:tcBorders>
              <w:top w:val="single" w:color="000000" w:sz="4" w:space="0"/>
              <w:left w:val="nil"/>
              <w:bottom w:val="single" w:color="000000" w:sz="8" w:space="0"/>
              <w:right w:val="single" w:color="000000" w:sz="8" w:space="0"/>
            </w:tcBorders>
            <w:noWrap w:val="0"/>
            <w:vAlign w:val="center"/>
          </w:tcPr>
          <w:p w14:paraId="7A64159F">
            <w:pPr>
              <w:widowControl/>
              <w:jc w:val="right"/>
              <w:rPr>
                <w:rFonts w:ascii="宋体" w:hAnsi="宋体" w:cs="Arial"/>
                <w:kern w:val="0"/>
                <w:szCs w:val="21"/>
              </w:rPr>
            </w:pPr>
          </w:p>
        </w:tc>
      </w:tr>
    </w:tbl>
    <w:p w14:paraId="4542210C">
      <w:pPr>
        <w:jc w:val="center"/>
        <w:rPr>
          <w:rFonts w:ascii="宋体" w:hAnsi="宋体"/>
          <w:sz w:val="28"/>
          <w:szCs w:val="28"/>
        </w:rPr>
      </w:pPr>
      <w:bookmarkStart w:id="477" w:name="_Toc460227127"/>
      <w:bookmarkStart w:id="478" w:name="_Toc460660242"/>
    </w:p>
    <w:p w14:paraId="739BF3A4">
      <w:pPr>
        <w:jc w:val="center"/>
        <w:outlineLvl w:val="2"/>
        <w:rPr>
          <w:rFonts w:ascii="宋体" w:hAnsi="宋体"/>
          <w:sz w:val="28"/>
          <w:szCs w:val="28"/>
        </w:rPr>
      </w:pPr>
      <w:r>
        <w:rPr>
          <w:rFonts w:ascii="宋体" w:hAnsi="宋体"/>
          <w:sz w:val="28"/>
          <w:szCs w:val="28"/>
        </w:rPr>
        <w:br w:type="page"/>
      </w:r>
      <w:r>
        <w:rPr>
          <w:rFonts w:hint="eastAsia" w:ascii="宋体" w:hAnsi="宋体"/>
          <w:sz w:val="28"/>
          <w:szCs w:val="28"/>
        </w:rPr>
        <w:t>（五）</w:t>
      </w:r>
      <w:bookmarkEnd w:id="477"/>
      <w:bookmarkEnd w:id="478"/>
      <w:r>
        <w:rPr>
          <w:rFonts w:hint="eastAsia" w:ascii="宋体" w:hAnsi="宋体"/>
          <w:sz w:val="28"/>
          <w:szCs w:val="28"/>
        </w:rPr>
        <w:t>分部分项工程量清单计价表</w:t>
      </w:r>
    </w:p>
    <w:p w14:paraId="1D471F7B">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4986" w:type="pct"/>
        <w:tblInd w:w="0" w:type="dxa"/>
        <w:tblLayout w:type="autofit"/>
        <w:tblCellMar>
          <w:top w:w="0" w:type="dxa"/>
          <w:left w:w="108" w:type="dxa"/>
          <w:bottom w:w="0" w:type="dxa"/>
          <w:right w:w="108" w:type="dxa"/>
        </w:tblCellMar>
      </w:tblPr>
      <w:tblGrid>
        <w:gridCol w:w="426"/>
        <w:gridCol w:w="1059"/>
        <w:gridCol w:w="1059"/>
        <w:gridCol w:w="924"/>
        <w:gridCol w:w="750"/>
        <w:gridCol w:w="792"/>
        <w:gridCol w:w="726"/>
        <w:gridCol w:w="873"/>
        <w:gridCol w:w="913"/>
        <w:gridCol w:w="848"/>
        <w:gridCol w:w="779"/>
      </w:tblGrid>
      <w:tr w14:paraId="690B0DD8">
        <w:trPr>
          <w:trHeight w:val="263" w:hRule="atLeast"/>
        </w:trPr>
        <w:tc>
          <w:tcPr>
            <w:tcW w:w="233"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0E2228C">
            <w:pPr>
              <w:widowControl/>
              <w:snapToGrid w:val="0"/>
              <w:jc w:val="center"/>
              <w:rPr>
                <w:rFonts w:ascii="宋体" w:hAnsi="宋体" w:cs="Arial"/>
                <w:kern w:val="0"/>
                <w:szCs w:val="21"/>
              </w:rPr>
            </w:pPr>
            <w:r>
              <w:rPr>
                <w:rFonts w:hint="eastAsia" w:ascii="宋体" w:hAnsi="宋体" w:cs="Arial"/>
                <w:kern w:val="0"/>
                <w:szCs w:val="21"/>
              </w:rPr>
              <w:t>序号</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8B1057">
            <w:pPr>
              <w:widowControl/>
              <w:snapToGrid w:val="0"/>
              <w:jc w:val="center"/>
              <w:rPr>
                <w:rFonts w:ascii="宋体" w:hAnsi="宋体" w:cs="Arial"/>
                <w:kern w:val="0"/>
                <w:szCs w:val="21"/>
              </w:rPr>
            </w:pPr>
            <w:r>
              <w:rPr>
                <w:rFonts w:hint="eastAsia" w:ascii="宋体" w:hAnsi="宋体" w:cs="Arial"/>
                <w:kern w:val="0"/>
                <w:szCs w:val="21"/>
              </w:rPr>
              <w:t>项目编码</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63B313">
            <w:pPr>
              <w:widowControl/>
              <w:snapToGrid w:val="0"/>
              <w:jc w:val="center"/>
              <w:rPr>
                <w:rFonts w:ascii="宋体" w:hAnsi="宋体" w:cs="Arial"/>
                <w:kern w:val="0"/>
                <w:szCs w:val="21"/>
              </w:rPr>
            </w:pPr>
            <w:r>
              <w:rPr>
                <w:rFonts w:hint="eastAsia" w:ascii="宋体" w:hAnsi="宋体" w:cs="Arial"/>
                <w:kern w:val="0"/>
                <w:szCs w:val="21"/>
              </w:rPr>
              <w:t>项目名称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8A515FB">
            <w:pPr>
              <w:widowControl/>
              <w:snapToGrid w:val="0"/>
              <w:jc w:val="center"/>
              <w:rPr>
                <w:rFonts w:ascii="宋体" w:hAnsi="宋体" w:cs="Arial"/>
                <w:kern w:val="0"/>
                <w:szCs w:val="21"/>
              </w:rPr>
            </w:pPr>
            <w:r>
              <w:rPr>
                <w:rFonts w:hint="eastAsia" w:ascii="宋体" w:hAnsi="宋体" w:cs="Arial"/>
                <w:kern w:val="0"/>
                <w:szCs w:val="21"/>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9382D1">
            <w:pPr>
              <w:widowControl/>
              <w:snapToGrid w:val="0"/>
              <w:jc w:val="center"/>
              <w:rPr>
                <w:rFonts w:ascii="宋体" w:hAnsi="宋体" w:cs="Arial"/>
                <w:kern w:val="0"/>
                <w:szCs w:val="21"/>
              </w:rPr>
            </w:pPr>
            <w:r>
              <w:rPr>
                <w:rFonts w:hint="eastAsia" w:ascii="宋体" w:hAnsi="宋体" w:cs="Arial"/>
                <w:kern w:val="0"/>
                <w:szCs w:val="21"/>
              </w:rPr>
              <w:t>计量单位</w:t>
            </w:r>
          </w:p>
        </w:tc>
        <w:tc>
          <w:tcPr>
            <w:tcW w:w="43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81CC5DD">
            <w:pPr>
              <w:widowControl/>
              <w:snapToGrid w:val="0"/>
              <w:jc w:val="center"/>
              <w:rPr>
                <w:rFonts w:ascii="宋体" w:hAnsi="宋体" w:cs="Arial"/>
                <w:kern w:val="0"/>
                <w:szCs w:val="21"/>
              </w:rPr>
            </w:pPr>
            <w:r>
              <w:rPr>
                <w:rFonts w:hint="eastAsia" w:ascii="宋体" w:hAnsi="宋体" w:cs="Arial"/>
                <w:kern w:val="0"/>
                <w:szCs w:val="21"/>
              </w:rPr>
              <w:t>工程量</w:t>
            </w:r>
          </w:p>
        </w:tc>
        <w:tc>
          <w:tcPr>
            <w:tcW w:w="2261" w:type="pct"/>
            <w:gridSpan w:val="5"/>
            <w:tcBorders>
              <w:top w:val="single" w:color="000000" w:sz="8" w:space="0"/>
              <w:left w:val="nil"/>
              <w:bottom w:val="single" w:color="000000" w:sz="4" w:space="0"/>
              <w:right w:val="single" w:color="000000" w:sz="8" w:space="0"/>
            </w:tcBorders>
            <w:shd w:val="clear" w:color="FFFFFF" w:fill="FFFFFF"/>
            <w:noWrap w:val="0"/>
            <w:vAlign w:val="center"/>
          </w:tcPr>
          <w:p w14:paraId="000A83F2">
            <w:pPr>
              <w:widowControl/>
              <w:snapToGrid w:val="0"/>
              <w:jc w:val="center"/>
              <w:rPr>
                <w:rFonts w:ascii="宋体" w:hAnsi="宋体" w:cs="Arial"/>
                <w:kern w:val="0"/>
                <w:szCs w:val="21"/>
              </w:rPr>
            </w:pPr>
            <w:r>
              <w:rPr>
                <w:rFonts w:hint="eastAsia" w:ascii="宋体" w:hAnsi="宋体" w:cs="Arial"/>
                <w:kern w:val="0"/>
                <w:szCs w:val="21"/>
              </w:rPr>
              <w:t>金额（元）</w:t>
            </w:r>
          </w:p>
        </w:tc>
      </w:tr>
      <w:tr w14:paraId="2A778E37">
        <w:trPr>
          <w:trHeight w:val="263"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2EDDAC4E">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1737183">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1CFFE39">
            <w:pPr>
              <w:widowControl/>
              <w:snapToGrid w:val="0"/>
              <w:jc w:val="left"/>
              <w:rPr>
                <w:rFonts w:ascii="宋体" w:hAnsi="宋体" w:cs="Arial"/>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62F47EC">
            <w:pPr>
              <w:widowControl/>
              <w:snapToGrid w:val="0"/>
              <w:jc w:val="left"/>
              <w:rPr>
                <w:rFonts w:ascii="宋体" w:hAnsi="宋体" w:cs="Arial"/>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2A2FF5">
            <w:pPr>
              <w:widowControl/>
              <w:snapToGrid w:val="0"/>
              <w:jc w:val="left"/>
              <w:rPr>
                <w:rFonts w:ascii="宋体" w:hAnsi="宋体" w:cs="Arial"/>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4CCC0F">
            <w:pPr>
              <w:widowControl/>
              <w:snapToGrid w:val="0"/>
              <w:jc w:val="left"/>
              <w:rPr>
                <w:rFonts w:ascii="宋体" w:hAnsi="宋体" w:cs="Arial"/>
                <w:kern w:val="0"/>
                <w:szCs w:val="21"/>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62199">
            <w:pPr>
              <w:widowControl/>
              <w:snapToGrid w:val="0"/>
              <w:jc w:val="center"/>
              <w:rPr>
                <w:rFonts w:ascii="宋体" w:hAnsi="宋体" w:cs="Arial"/>
                <w:kern w:val="0"/>
                <w:szCs w:val="21"/>
              </w:rPr>
            </w:pPr>
            <w:r>
              <w:rPr>
                <w:rFonts w:hint="eastAsia" w:ascii="宋体" w:hAnsi="宋体" w:cs="Arial"/>
                <w:kern w:val="0"/>
                <w:szCs w:val="21"/>
              </w:rPr>
              <w:t>综合单价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9D023">
            <w:pPr>
              <w:widowControl/>
              <w:snapToGrid w:val="0"/>
              <w:jc w:val="center"/>
              <w:rPr>
                <w:rFonts w:ascii="宋体" w:hAnsi="宋体" w:cs="Arial"/>
                <w:kern w:val="0"/>
                <w:szCs w:val="21"/>
              </w:rPr>
            </w:pPr>
            <w:r>
              <w:rPr>
                <w:rFonts w:hint="eastAsia" w:ascii="宋体" w:hAnsi="宋体" w:cs="Arial"/>
                <w:kern w:val="0"/>
                <w:szCs w:val="21"/>
              </w:rPr>
              <w:t>合价</w:t>
            </w:r>
          </w:p>
        </w:tc>
        <w:tc>
          <w:tcPr>
            <w:tcW w:w="1388" w:type="pct"/>
            <w:gridSpan w:val="3"/>
            <w:tcBorders>
              <w:top w:val="single" w:color="000000" w:sz="4" w:space="0"/>
              <w:left w:val="nil"/>
              <w:bottom w:val="single" w:color="000000" w:sz="4" w:space="0"/>
              <w:right w:val="single" w:color="000000" w:sz="8" w:space="0"/>
            </w:tcBorders>
            <w:shd w:val="clear" w:color="FFFFFF" w:fill="FFFFFF"/>
            <w:noWrap w:val="0"/>
            <w:vAlign w:val="center"/>
          </w:tcPr>
          <w:p w14:paraId="7D66D81D">
            <w:pPr>
              <w:widowControl/>
              <w:snapToGrid w:val="0"/>
              <w:jc w:val="center"/>
              <w:rPr>
                <w:rFonts w:ascii="宋体" w:hAnsi="宋体" w:cs="Arial"/>
                <w:kern w:val="0"/>
                <w:szCs w:val="21"/>
              </w:rPr>
            </w:pPr>
            <w:r>
              <w:rPr>
                <w:rFonts w:hint="eastAsia" w:ascii="宋体" w:hAnsi="宋体" w:cs="Arial"/>
                <w:kern w:val="0"/>
                <w:szCs w:val="21"/>
              </w:rPr>
              <w:t>其中</w:t>
            </w:r>
          </w:p>
        </w:tc>
      </w:tr>
      <w:tr w14:paraId="260A5298">
        <w:trPr>
          <w:trHeight w:val="499"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1DBA5FFB">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5872AD4">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9C0B344">
            <w:pPr>
              <w:widowControl/>
              <w:snapToGrid w:val="0"/>
              <w:jc w:val="left"/>
              <w:rPr>
                <w:rFonts w:ascii="宋体" w:hAnsi="宋体" w:cs="Arial"/>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D65DE07">
            <w:pPr>
              <w:widowControl/>
              <w:snapToGrid w:val="0"/>
              <w:jc w:val="left"/>
              <w:rPr>
                <w:rFonts w:ascii="宋体" w:hAnsi="宋体" w:cs="Arial"/>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4C806A8">
            <w:pPr>
              <w:widowControl/>
              <w:snapToGrid w:val="0"/>
              <w:jc w:val="left"/>
              <w:rPr>
                <w:rFonts w:ascii="宋体" w:hAnsi="宋体" w:cs="Arial"/>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8F1B6BB">
            <w:pPr>
              <w:widowControl/>
              <w:snapToGrid w:val="0"/>
              <w:jc w:val="left"/>
              <w:rPr>
                <w:rFonts w:ascii="宋体" w:hAnsi="宋体" w:cs="Arial"/>
                <w:kern w:val="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9BB0">
            <w:pPr>
              <w:widowControl/>
              <w:snapToGrid w:val="0"/>
              <w:jc w:val="left"/>
              <w:rPr>
                <w:rFonts w:ascii="宋体" w:hAnsi="宋体" w:cs="Arial"/>
                <w:kern w:val="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AF75B">
            <w:pPr>
              <w:widowControl/>
              <w:snapToGrid w:val="0"/>
              <w:jc w:val="left"/>
              <w:rPr>
                <w:rFonts w:ascii="宋体" w:hAnsi="宋体" w:cs="Arial"/>
                <w:kern w:val="0"/>
                <w:szCs w:val="21"/>
              </w:rPr>
            </w:pPr>
          </w:p>
        </w:tc>
        <w:tc>
          <w:tcPr>
            <w:tcW w:w="499" w:type="pct"/>
            <w:tcBorders>
              <w:top w:val="nil"/>
              <w:left w:val="nil"/>
              <w:bottom w:val="single" w:color="000000" w:sz="4" w:space="0"/>
              <w:right w:val="single" w:color="000000" w:sz="4" w:space="0"/>
            </w:tcBorders>
            <w:shd w:val="clear" w:color="FFFFFF" w:fill="FFFFFF"/>
            <w:noWrap w:val="0"/>
            <w:vAlign w:val="center"/>
          </w:tcPr>
          <w:p w14:paraId="3863D926">
            <w:pPr>
              <w:widowControl/>
              <w:snapToGrid w:val="0"/>
              <w:jc w:val="center"/>
              <w:rPr>
                <w:rFonts w:ascii="宋体" w:hAnsi="宋体" w:cs="Arial"/>
                <w:kern w:val="0"/>
                <w:szCs w:val="21"/>
              </w:rPr>
            </w:pPr>
            <w:r>
              <w:rPr>
                <w:rFonts w:hint="eastAsia" w:ascii="宋体" w:hAnsi="宋体" w:cs="Arial"/>
                <w:kern w:val="0"/>
                <w:szCs w:val="21"/>
              </w:rPr>
              <w:t>定额人工费</w:t>
            </w:r>
          </w:p>
        </w:tc>
        <w:tc>
          <w:tcPr>
            <w:tcW w:w="463" w:type="pct"/>
            <w:tcBorders>
              <w:top w:val="nil"/>
              <w:left w:val="nil"/>
              <w:bottom w:val="single" w:color="000000" w:sz="4" w:space="0"/>
              <w:right w:val="single" w:color="000000" w:sz="4" w:space="0"/>
            </w:tcBorders>
            <w:shd w:val="clear" w:color="FFFFFF" w:fill="FFFFFF"/>
            <w:noWrap w:val="0"/>
            <w:vAlign w:val="center"/>
          </w:tcPr>
          <w:p w14:paraId="2581B4EA">
            <w:pPr>
              <w:widowControl/>
              <w:snapToGrid w:val="0"/>
              <w:jc w:val="center"/>
              <w:rPr>
                <w:rFonts w:ascii="宋体" w:hAnsi="宋体" w:cs="Arial"/>
                <w:kern w:val="0"/>
                <w:szCs w:val="21"/>
              </w:rPr>
            </w:pPr>
            <w:r>
              <w:rPr>
                <w:rFonts w:hint="eastAsia" w:ascii="宋体" w:hAnsi="宋体" w:cs="Arial"/>
                <w:kern w:val="0"/>
                <w:szCs w:val="21"/>
              </w:rPr>
              <w:t>定额机械费</w:t>
            </w:r>
          </w:p>
        </w:tc>
        <w:tc>
          <w:tcPr>
            <w:tcW w:w="425" w:type="pct"/>
            <w:tcBorders>
              <w:top w:val="nil"/>
              <w:left w:val="nil"/>
              <w:bottom w:val="single" w:color="000000" w:sz="4" w:space="0"/>
              <w:right w:val="single" w:color="000000" w:sz="8" w:space="0"/>
            </w:tcBorders>
            <w:shd w:val="clear" w:color="FFFFFF" w:fill="FFFFFF"/>
            <w:noWrap w:val="0"/>
            <w:vAlign w:val="center"/>
          </w:tcPr>
          <w:p w14:paraId="76EAD4AA">
            <w:pPr>
              <w:widowControl/>
              <w:snapToGrid w:val="0"/>
              <w:jc w:val="center"/>
              <w:rPr>
                <w:rFonts w:ascii="宋体" w:hAnsi="宋体" w:cs="Arial"/>
                <w:kern w:val="0"/>
                <w:szCs w:val="21"/>
              </w:rPr>
            </w:pPr>
            <w:r>
              <w:rPr>
                <w:rFonts w:hint="eastAsia" w:ascii="宋体" w:hAnsi="宋体" w:cs="Arial"/>
                <w:kern w:val="0"/>
                <w:szCs w:val="21"/>
              </w:rPr>
              <w:t>暂估价</w:t>
            </w:r>
          </w:p>
        </w:tc>
      </w:tr>
      <w:tr w14:paraId="74A1B7C0">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29F70F54">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4F4F8496">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6B91AA20">
            <w:pPr>
              <w:widowControl/>
              <w:snapToGrid w:val="0"/>
              <w:jc w:val="left"/>
              <w:rPr>
                <w:rFonts w:ascii="宋体" w:hAnsi="宋体" w:cs="Arial"/>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6E55F45F">
            <w:pPr>
              <w:widowControl/>
              <w:snapToGrid w:val="0"/>
              <w:jc w:val="left"/>
              <w:rPr>
                <w:rFonts w:ascii="宋体" w:hAnsi="宋体" w:cs="Arial"/>
                <w:kern w:val="0"/>
                <w:szCs w:val="21"/>
              </w:rPr>
            </w:pPr>
          </w:p>
        </w:tc>
        <w:tc>
          <w:tcPr>
            <w:tcW w:w="410" w:type="pct"/>
            <w:tcBorders>
              <w:top w:val="nil"/>
              <w:left w:val="nil"/>
              <w:bottom w:val="single" w:color="000000" w:sz="4" w:space="0"/>
              <w:right w:val="single" w:color="000000" w:sz="4" w:space="0"/>
            </w:tcBorders>
            <w:noWrap w:val="0"/>
            <w:vAlign w:val="center"/>
          </w:tcPr>
          <w:p w14:paraId="7271F6BC">
            <w:pPr>
              <w:widowControl/>
              <w:snapToGrid w:val="0"/>
              <w:jc w:val="center"/>
              <w:rPr>
                <w:rFonts w:ascii="宋体" w:hAnsi="宋体" w:cs="Arial"/>
                <w:kern w:val="0"/>
                <w:szCs w:val="21"/>
              </w:rPr>
            </w:pPr>
          </w:p>
        </w:tc>
        <w:tc>
          <w:tcPr>
            <w:tcW w:w="433" w:type="pct"/>
            <w:tcBorders>
              <w:top w:val="nil"/>
              <w:left w:val="nil"/>
              <w:bottom w:val="single" w:color="000000" w:sz="4" w:space="0"/>
              <w:right w:val="single" w:color="000000" w:sz="4" w:space="0"/>
            </w:tcBorders>
            <w:noWrap w:val="0"/>
            <w:vAlign w:val="center"/>
          </w:tcPr>
          <w:p w14:paraId="51C8F0A6">
            <w:pPr>
              <w:widowControl/>
              <w:snapToGrid w:val="0"/>
              <w:jc w:val="right"/>
              <w:rPr>
                <w:rFonts w:ascii="宋体" w:hAnsi="宋体" w:cs="Arial"/>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7A43DEC3">
            <w:pPr>
              <w:widowControl/>
              <w:snapToGrid w:val="0"/>
              <w:jc w:val="right"/>
              <w:rPr>
                <w:rFonts w:ascii="宋体" w:hAnsi="宋体" w:cs="Arial"/>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1240F5A8">
            <w:pPr>
              <w:widowControl/>
              <w:snapToGrid w:val="0"/>
              <w:jc w:val="right"/>
              <w:rPr>
                <w:rFonts w:ascii="宋体" w:hAnsi="宋体" w:cs="Arial"/>
                <w:kern w:val="0"/>
                <w:szCs w:val="21"/>
              </w:rPr>
            </w:pPr>
          </w:p>
        </w:tc>
        <w:tc>
          <w:tcPr>
            <w:tcW w:w="499" w:type="pct"/>
            <w:tcBorders>
              <w:top w:val="nil"/>
              <w:left w:val="nil"/>
              <w:bottom w:val="single" w:color="000000" w:sz="4" w:space="0"/>
              <w:right w:val="single" w:color="000000" w:sz="4" w:space="0"/>
            </w:tcBorders>
            <w:noWrap w:val="0"/>
            <w:vAlign w:val="center"/>
          </w:tcPr>
          <w:p w14:paraId="265CD799">
            <w:pPr>
              <w:widowControl/>
              <w:snapToGrid w:val="0"/>
              <w:jc w:val="right"/>
              <w:rPr>
                <w:rFonts w:ascii="宋体" w:hAnsi="宋体" w:cs="Arial"/>
                <w:kern w:val="0"/>
                <w:szCs w:val="21"/>
              </w:rPr>
            </w:pPr>
          </w:p>
        </w:tc>
        <w:tc>
          <w:tcPr>
            <w:tcW w:w="463" w:type="pct"/>
            <w:tcBorders>
              <w:top w:val="nil"/>
              <w:left w:val="nil"/>
              <w:bottom w:val="single" w:color="000000" w:sz="4" w:space="0"/>
              <w:right w:val="single" w:color="000000" w:sz="4" w:space="0"/>
            </w:tcBorders>
            <w:noWrap w:val="0"/>
            <w:vAlign w:val="center"/>
          </w:tcPr>
          <w:p w14:paraId="56A0E077">
            <w:pPr>
              <w:widowControl/>
              <w:snapToGrid w:val="0"/>
              <w:jc w:val="right"/>
              <w:rPr>
                <w:rFonts w:ascii="宋体" w:hAnsi="宋体" w:cs="Arial"/>
                <w:kern w:val="0"/>
                <w:szCs w:val="21"/>
              </w:rPr>
            </w:pPr>
          </w:p>
        </w:tc>
        <w:tc>
          <w:tcPr>
            <w:tcW w:w="425" w:type="pct"/>
            <w:tcBorders>
              <w:top w:val="nil"/>
              <w:left w:val="nil"/>
              <w:bottom w:val="single" w:color="000000" w:sz="4" w:space="0"/>
              <w:right w:val="single" w:color="000000" w:sz="8" w:space="0"/>
            </w:tcBorders>
            <w:noWrap w:val="0"/>
            <w:vAlign w:val="center"/>
          </w:tcPr>
          <w:p w14:paraId="363C7F9A">
            <w:pPr>
              <w:widowControl/>
              <w:snapToGrid w:val="0"/>
              <w:jc w:val="right"/>
              <w:rPr>
                <w:rFonts w:ascii="宋体" w:hAnsi="宋体" w:cs="Arial"/>
                <w:kern w:val="0"/>
                <w:szCs w:val="21"/>
              </w:rPr>
            </w:pPr>
          </w:p>
        </w:tc>
      </w:tr>
      <w:tr w14:paraId="305B8E83">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07F1F203">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41FFE423">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7F10AD84">
            <w:pPr>
              <w:widowControl/>
              <w:snapToGrid w:val="0"/>
              <w:jc w:val="left"/>
              <w:rPr>
                <w:rFonts w:ascii="宋体" w:hAnsi="宋体" w:cs="Arial"/>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012E8158">
            <w:pPr>
              <w:widowControl/>
              <w:snapToGrid w:val="0"/>
              <w:jc w:val="left"/>
              <w:rPr>
                <w:rFonts w:ascii="宋体" w:hAnsi="宋体" w:cs="Arial"/>
                <w:kern w:val="0"/>
                <w:szCs w:val="21"/>
              </w:rPr>
            </w:pPr>
          </w:p>
        </w:tc>
        <w:tc>
          <w:tcPr>
            <w:tcW w:w="410" w:type="pct"/>
            <w:tcBorders>
              <w:top w:val="nil"/>
              <w:left w:val="nil"/>
              <w:bottom w:val="single" w:color="000000" w:sz="4" w:space="0"/>
              <w:right w:val="single" w:color="000000" w:sz="4" w:space="0"/>
            </w:tcBorders>
            <w:noWrap w:val="0"/>
            <w:vAlign w:val="center"/>
          </w:tcPr>
          <w:p w14:paraId="615CE514">
            <w:pPr>
              <w:widowControl/>
              <w:snapToGrid w:val="0"/>
              <w:jc w:val="center"/>
              <w:rPr>
                <w:rFonts w:ascii="宋体" w:hAnsi="宋体" w:cs="Arial"/>
                <w:kern w:val="0"/>
                <w:szCs w:val="21"/>
              </w:rPr>
            </w:pPr>
          </w:p>
        </w:tc>
        <w:tc>
          <w:tcPr>
            <w:tcW w:w="433" w:type="pct"/>
            <w:tcBorders>
              <w:top w:val="nil"/>
              <w:left w:val="nil"/>
              <w:bottom w:val="single" w:color="000000" w:sz="4" w:space="0"/>
              <w:right w:val="single" w:color="000000" w:sz="4" w:space="0"/>
            </w:tcBorders>
            <w:noWrap w:val="0"/>
            <w:vAlign w:val="center"/>
          </w:tcPr>
          <w:p w14:paraId="1F7329AD">
            <w:pPr>
              <w:widowControl/>
              <w:snapToGrid w:val="0"/>
              <w:jc w:val="right"/>
              <w:rPr>
                <w:rFonts w:ascii="宋体" w:hAnsi="宋体" w:cs="Arial"/>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3516062A">
            <w:pPr>
              <w:widowControl/>
              <w:snapToGrid w:val="0"/>
              <w:jc w:val="right"/>
              <w:rPr>
                <w:rFonts w:ascii="宋体" w:hAnsi="宋体" w:cs="Arial"/>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342CFFF5">
            <w:pPr>
              <w:widowControl/>
              <w:snapToGrid w:val="0"/>
              <w:jc w:val="right"/>
              <w:rPr>
                <w:rFonts w:ascii="宋体" w:hAnsi="宋体" w:cs="Arial"/>
                <w:kern w:val="0"/>
                <w:szCs w:val="21"/>
              </w:rPr>
            </w:pPr>
          </w:p>
        </w:tc>
        <w:tc>
          <w:tcPr>
            <w:tcW w:w="499" w:type="pct"/>
            <w:tcBorders>
              <w:top w:val="nil"/>
              <w:left w:val="nil"/>
              <w:bottom w:val="single" w:color="000000" w:sz="4" w:space="0"/>
              <w:right w:val="single" w:color="000000" w:sz="4" w:space="0"/>
            </w:tcBorders>
            <w:noWrap w:val="0"/>
            <w:vAlign w:val="center"/>
          </w:tcPr>
          <w:p w14:paraId="1A1650A4">
            <w:pPr>
              <w:widowControl/>
              <w:snapToGrid w:val="0"/>
              <w:jc w:val="right"/>
              <w:rPr>
                <w:rFonts w:ascii="宋体" w:hAnsi="宋体" w:cs="Arial"/>
                <w:kern w:val="0"/>
                <w:szCs w:val="21"/>
              </w:rPr>
            </w:pPr>
          </w:p>
        </w:tc>
        <w:tc>
          <w:tcPr>
            <w:tcW w:w="463" w:type="pct"/>
            <w:tcBorders>
              <w:top w:val="nil"/>
              <w:left w:val="nil"/>
              <w:bottom w:val="single" w:color="000000" w:sz="4" w:space="0"/>
              <w:right w:val="single" w:color="000000" w:sz="4" w:space="0"/>
            </w:tcBorders>
            <w:noWrap w:val="0"/>
            <w:vAlign w:val="center"/>
          </w:tcPr>
          <w:p w14:paraId="75151A8A">
            <w:pPr>
              <w:widowControl/>
              <w:snapToGrid w:val="0"/>
              <w:jc w:val="right"/>
              <w:rPr>
                <w:rFonts w:ascii="宋体" w:hAnsi="宋体" w:cs="Arial"/>
                <w:kern w:val="0"/>
                <w:szCs w:val="21"/>
              </w:rPr>
            </w:pPr>
          </w:p>
        </w:tc>
        <w:tc>
          <w:tcPr>
            <w:tcW w:w="425" w:type="pct"/>
            <w:tcBorders>
              <w:top w:val="nil"/>
              <w:left w:val="nil"/>
              <w:bottom w:val="single" w:color="000000" w:sz="4" w:space="0"/>
              <w:right w:val="single" w:color="000000" w:sz="8" w:space="0"/>
            </w:tcBorders>
            <w:noWrap w:val="0"/>
            <w:vAlign w:val="center"/>
          </w:tcPr>
          <w:p w14:paraId="013C61A5">
            <w:pPr>
              <w:widowControl/>
              <w:snapToGrid w:val="0"/>
              <w:jc w:val="right"/>
              <w:rPr>
                <w:rFonts w:ascii="宋体" w:hAnsi="宋体" w:cs="Arial"/>
                <w:kern w:val="0"/>
                <w:szCs w:val="21"/>
              </w:rPr>
            </w:pPr>
          </w:p>
        </w:tc>
      </w:tr>
      <w:tr w14:paraId="3ACECFF0">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6723705B">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71EECC15">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4997291B">
            <w:pPr>
              <w:widowControl/>
              <w:snapToGrid w:val="0"/>
              <w:jc w:val="left"/>
              <w:rPr>
                <w:rFonts w:ascii="宋体" w:hAnsi="宋体" w:cs="Arial"/>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4D653E67">
            <w:pPr>
              <w:widowControl/>
              <w:snapToGrid w:val="0"/>
              <w:jc w:val="left"/>
              <w:rPr>
                <w:rFonts w:ascii="宋体" w:hAnsi="宋体" w:cs="Arial"/>
                <w:kern w:val="0"/>
                <w:szCs w:val="21"/>
              </w:rPr>
            </w:pPr>
          </w:p>
        </w:tc>
        <w:tc>
          <w:tcPr>
            <w:tcW w:w="410" w:type="pct"/>
            <w:tcBorders>
              <w:top w:val="nil"/>
              <w:left w:val="nil"/>
              <w:bottom w:val="single" w:color="000000" w:sz="4" w:space="0"/>
              <w:right w:val="single" w:color="000000" w:sz="4" w:space="0"/>
            </w:tcBorders>
            <w:noWrap w:val="0"/>
            <w:vAlign w:val="center"/>
          </w:tcPr>
          <w:p w14:paraId="12E506EC">
            <w:pPr>
              <w:widowControl/>
              <w:snapToGrid w:val="0"/>
              <w:jc w:val="center"/>
              <w:rPr>
                <w:rFonts w:ascii="宋体" w:hAnsi="宋体" w:cs="Arial"/>
                <w:kern w:val="0"/>
                <w:szCs w:val="21"/>
              </w:rPr>
            </w:pPr>
          </w:p>
        </w:tc>
        <w:tc>
          <w:tcPr>
            <w:tcW w:w="433" w:type="pct"/>
            <w:tcBorders>
              <w:top w:val="nil"/>
              <w:left w:val="nil"/>
              <w:bottom w:val="single" w:color="000000" w:sz="4" w:space="0"/>
              <w:right w:val="single" w:color="000000" w:sz="4" w:space="0"/>
            </w:tcBorders>
            <w:noWrap w:val="0"/>
            <w:vAlign w:val="center"/>
          </w:tcPr>
          <w:p w14:paraId="2AF19C62">
            <w:pPr>
              <w:widowControl/>
              <w:snapToGrid w:val="0"/>
              <w:jc w:val="right"/>
              <w:rPr>
                <w:rFonts w:ascii="宋体" w:hAnsi="宋体" w:cs="Arial"/>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6B02DA5A">
            <w:pPr>
              <w:widowControl/>
              <w:snapToGrid w:val="0"/>
              <w:jc w:val="right"/>
              <w:rPr>
                <w:rFonts w:ascii="宋体" w:hAnsi="宋体" w:cs="Arial"/>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74F6CD2E">
            <w:pPr>
              <w:widowControl/>
              <w:snapToGrid w:val="0"/>
              <w:jc w:val="right"/>
              <w:rPr>
                <w:rFonts w:ascii="宋体" w:hAnsi="宋体" w:cs="Arial"/>
                <w:kern w:val="0"/>
                <w:szCs w:val="21"/>
              </w:rPr>
            </w:pPr>
          </w:p>
        </w:tc>
        <w:tc>
          <w:tcPr>
            <w:tcW w:w="499" w:type="pct"/>
            <w:tcBorders>
              <w:top w:val="nil"/>
              <w:left w:val="nil"/>
              <w:bottom w:val="single" w:color="000000" w:sz="4" w:space="0"/>
              <w:right w:val="single" w:color="000000" w:sz="4" w:space="0"/>
            </w:tcBorders>
            <w:noWrap w:val="0"/>
            <w:vAlign w:val="center"/>
          </w:tcPr>
          <w:p w14:paraId="038AF947">
            <w:pPr>
              <w:widowControl/>
              <w:snapToGrid w:val="0"/>
              <w:jc w:val="right"/>
              <w:rPr>
                <w:rFonts w:ascii="宋体" w:hAnsi="宋体" w:cs="Arial"/>
                <w:kern w:val="0"/>
                <w:szCs w:val="21"/>
              </w:rPr>
            </w:pPr>
          </w:p>
        </w:tc>
        <w:tc>
          <w:tcPr>
            <w:tcW w:w="463" w:type="pct"/>
            <w:tcBorders>
              <w:top w:val="nil"/>
              <w:left w:val="nil"/>
              <w:bottom w:val="single" w:color="000000" w:sz="4" w:space="0"/>
              <w:right w:val="single" w:color="000000" w:sz="4" w:space="0"/>
            </w:tcBorders>
            <w:noWrap w:val="0"/>
            <w:vAlign w:val="center"/>
          </w:tcPr>
          <w:p w14:paraId="4BA38831">
            <w:pPr>
              <w:widowControl/>
              <w:snapToGrid w:val="0"/>
              <w:jc w:val="right"/>
              <w:rPr>
                <w:rFonts w:ascii="宋体" w:hAnsi="宋体" w:cs="Arial"/>
                <w:kern w:val="0"/>
                <w:szCs w:val="21"/>
              </w:rPr>
            </w:pPr>
          </w:p>
        </w:tc>
        <w:tc>
          <w:tcPr>
            <w:tcW w:w="425" w:type="pct"/>
            <w:tcBorders>
              <w:top w:val="nil"/>
              <w:left w:val="nil"/>
              <w:bottom w:val="single" w:color="000000" w:sz="4" w:space="0"/>
              <w:right w:val="single" w:color="000000" w:sz="8" w:space="0"/>
            </w:tcBorders>
            <w:noWrap w:val="0"/>
            <w:vAlign w:val="center"/>
          </w:tcPr>
          <w:p w14:paraId="718F5A3E">
            <w:pPr>
              <w:widowControl/>
              <w:snapToGrid w:val="0"/>
              <w:jc w:val="right"/>
              <w:rPr>
                <w:rFonts w:ascii="宋体" w:hAnsi="宋体" w:cs="Arial"/>
                <w:kern w:val="0"/>
                <w:szCs w:val="21"/>
              </w:rPr>
            </w:pPr>
          </w:p>
        </w:tc>
      </w:tr>
    </w:tbl>
    <w:p w14:paraId="6BC21C40">
      <w:pPr>
        <w:jc w:val="center"/>
        <w:outlineLvl w:val="2"/>
        <w:rPr>
          <w:rFonts w:ascii="宋体" w:hAnsi="宋体"/>
          <w:sz w:val="28"/>
          <w:szCs w:val="28"/>
        </w:rPr>
      </w:pPr>
      <w:bookmarkStart w:id="479" w:name="_Toc460227128"/>
      <w:bookmarkStart w:id="480" w:name="_Toc460660243"/>
      <w:r>
        <w:rPr>
          <w:rFonts w:hint="eastAsia" w:ascii="宋体" w:hAnsi="宋体"/>
          <w:sz w:val="28"/>
          <w:szCs w:val="28"/>
        </w:rPr>
        <w:t>（六）</w:t>
      </w:r>
      <w:bookmarkEnd w:id="479"/>
      <w:bookmarkEnd w:id="480"/>
      <w:r>
        <w:rPr>
          <w:rFonts w:hint="eastAsia" w:ascii="宋体" w:hAnsi="宋体"/>
          <w:sz w:val="28"/>
          <w:szCs w:val="28"/>
        </w:rPr>
        <w:t>分部分项工程量清单综合单价分析表</w:t>
      </w:r>
    </w:p>
    <w:p w14:paraId="49FA4126">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306C49B4">
        <w:trPr>
          <w:trHeight w:val="515" w:hRule="atLeast"/>
        </w:trPr>
        <w:tc>
          <w:tcPr>
            <w:tcW w:w="386" w:type="pct"/>
            <w:gridSpan w:val="2"/>
            <w:tcBorders>
              <w:top w:val="single" w:color="000000" w:sz="8" w:space="0"/>
              <w:left w:val="single" w:color="000000" w:sz="8" w:space="0"/>
              <w:bottom w:val="single" w:color="000000" w:sz="4" w:space="0"/>
              <w:right w:val="single" w:color="000000" w:sz="4" w:space="0"/>
            </w:tcBorders>
            <w:noWrap w:val="0"/>
            <w:vAlign w:val="center"/>
          </w:tcPr>
          <w:p w14:paraId="33639A21">
            <w:pPr>
              <w:widowControl/>
              <w:jc w:val="center"/>
              <w:rPr>
                <w:rFonts w:ascii="宋体" w:hAnsi="宋体" w:cs="Arial"/>
                <w:kern w:val="0"/>
                <w:szCs w:val="21"/>
              </w:rPr>
            </w:pPr>
            <w:r>
              <w:rPr>
                <w:rFonts w:hint="eastAsia" w:ascii="宋体" w:hAnsi="宋体" w:cs="Arial"/>
                <w:kern w:val="0"/>
                <w:szCs w:val="21"/>
              </w:rPr>
              <w:t>项目编码</w:t>
            </w:r>
          </w:p>
        </w:tc>
        <w:tc>
          <w:tcPr>
            <w:tcW w:w="590" w:type="pct"/>
            <w:tcBorders>
              <w:top w:val="single" w:color="000000" w:sz="8" w:space="0"/>
              <w:left w:val="nil"/>
              <w:bottom w:val="single" w:color="000000" w:sz="4" w:space="0"/>
              <w:right w:val="single" w:color="000000" w:sz="4" w:space="0"/>
            </w:tcBorders>
            <w:noWrap w:val="0"/>
            <w:vAlign w:val="center"/>
          </w:tcPr>
          <w:p w14:paraId="2AB29F5C">
            <w:pPr>
              <w:widowControl/>
              <w:jc w:val="center"/>
              <w:rPr>
                <w:rFonts w:ascii="宋体" w:hAnsi="宋体" w:cs="Arial"/>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64778B6A">
            <w:pPr>
              <w:widowControl/>
              <w:jc w:val="center"/>
              <w:rPr>
                <w:rFonts w:ascii="宋体" w:hAnsi="宋体" w:cs="Arial"/>
                <w:kern w:val="0"/>
                <w:szCs w:val="21"/>
              </w:rPr>
            </w:pPr>
            <w:r>
              <w:rPr>
                <w:rFonts w:hint="eastAsia" w:ascii="宋体" w:hAnsi="宋体" w:cs="Arial"/>
                <w:kern w:val="0"/>
                <w:szCs w:val="21"/>
              </w:rPr>
              <w:t>项目名称</w:t>
            </w:r>
          </w:p>
        </w:tc>
        <w:tc>
          <w:tcPr>
            <w:tcW w:w="1743" w:type="pct"/>
            <w:gridSpan w:val="6"/>
            <w:tcBorders>
              <w:top w:val="single" w:color="000000" w:sz="8" w:space="0"/>
              <w:left w:val="nil"/>
              <w:bottom w:val="single" w:color="000000" w:sz="4" w:space="0"/>
              <w:right w:val="single" w:color="000000" w:sz="4" w:space="0"/>
            </w:tcBorders>
            <w:noWrap w:val="0"/>
            <w:vAlign w:val="center"/>
          </w:tcPr>
          <w:p w14:paraId="4EDEFAA5">
            <w:pPr>
              <w:widowControl/>
              <w:jc w:val="center"/>
              <w:rPr>
                <w:rFonts w:ascii="宋体" w:hAnsi="宋体" w:cs="Arial"/>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39F09E85">
            <w:pPr>
              <w:widowControl/>
              <w:jc w:val="center"/>
              <w:rPr>
                <w:rFonts w:ascii="宋体" w:hAnsi="宋体" w:cs="Arial"/>
                <w:kern w:val="0"/>
                <w:szCs w:val="21"/>
              </w:rPr>
            </w:pPr>
            <w:r>
              <w:rPr>
                <w:rFonts w:hint="eastAsia" w:ascii="宋体" w:hAnsi="宋体" w:cs="Arial"/>
                <w:kern w:val="0"/>
                <w:szCs w:val="21"/>
              </w:rPr>
              <w:t>计量单位</w:t>
            </w:r>
          </w:p>
        </w:tc>
        <w:tc>
          <w:tcPr>
            <w:tcW w:w="323" w:type="pct"/>
            <w:tcBorders>
              <w:top w:val="single" w:color="000000" w:sz="8" w:space="0"/>
              <w:left w:val="nil"/>
              <w:bottom w:val="single" w:color="000000" w:sz="4" w:space="0"/>
              <w:right w:val="single" w:color="000000" w:sz="4" w:space="0"/>
            </w:tcBorders>
            <w:noWrap w:val="0"/>
            <w:vAlign w:val="center"/>
          </w:tcPr>
          <w:p w14:paraId="553E6BC3">
            <w:pPr>
              <w:widowControl/>
              <w:jc w:val="center"/>
              <w:rPr>
                <w:rFonts w:ascii="宋体" w:hAnsi="宋体" w:cs="Arial"/>
                <w:kern w:val="0"/>
                <w:szCs w:val="21"/>
              </w:rPr>
            </w:pPr>
          </w:p>
        </w:tc>
        <w:tc>
          <w:tcPr>
            <w:tcW w:w="431" w:type="pct"/>
            <w:tcBorders>
              <w:top w:val="single" w:color="000000" w:sz="8" w:space="0"/>
              <w:left w:val="nil"/>
              <w:bottom w:val="single" w:color="000000" w:sz="4" w:space="0"/>
              <w:right w:val="single" w:color="000000" w:sz="4" w:space="0"/>
            </w:tcBorders>
            <w:noWrap w:val="0"/>
            <w:vAlign w:val="center"/>
          </w:tcPr>
          <w:p w14:paraId="6741882D">
            <w:pPr>
              <w:widowControl/>
              <w:jc w:val="center"/>
              <w:rPr>
                <w:rFonts w:ascii="宋体" w:hAnsi="宋体" w:cs="Arial"/>
                <w:kern w:val="0"/>
                <w:szCs w:val="21"/>
              </w:rPr>
            </w:pPr>
            <w:r>
              <w:rPr>
                <w:rFonts w:hint="eastAsia" w:ascii="宋体" w:hAnsi="宋体" w:cs="Arial"/>
                <w:kern w:val="0"/>
                <w:szCs w:val="21"/>
              </w:rPr>
              <w:t>工程量</w:t>
            </w:r>
          </w:p>
        </w:tc>
        <w:tc>
          <w:tcPr>
            <w:tcW w:w="431" w:type="pct"/>
            <w:tcBorders>
              <w:top w:val="single" w:color="000000" w:sz="8" w:space="0"/>
              <w:left w:val="nil"/>
              <w:bottom w:val="single" w:color="000000" w:sz="4" w:space="0"/>
              <w:right w:val="single" w:color="000000" w:sz="8" w:space="0"/>
            </w:tcBorders>
            <w:noWrap w:val="0"/>
            <w:vAlign w:val="center"/>
          </w:tcPr>
          <w:p w14:paraId="31451521">
            <w:pPr>
              <w:widowControl/>
              <w:jc w:val="center"/>
              <w:rPr>
                <w:rFonts w:ascii="宋体" w:hAnsi="宋体" w:cs="Arial"/>
                <w:kern w:val="0"/>
                <w:szCs w:val="21"/>
              </w:rPr>
            </w:pPr>
          </w:p>
        </w:tc>
      </w:tr>
      <w:tr w14:paraId="6D79E3AA">
        <w:trPr>
          <w:trHeight w:val="567" w:hRule="atLeast"/>
        </w:trPr>
        <w:tc>
          <w:tcPr>
            <w:tcW w:w="5000" w:type="pct"/>
            <w:gridSpan w:val="16"/>
            <w:tcBorders>
              <w:top w:val="single" w:color="000000" w:sz="4" w:space="0"/>
              <w:left w:val="single" w:color="000000" w:sz="8" w:space="0"/>
              <w:bottom w:val="single" w:color="000000" w:sz="4" w:space="0"/>
              <w:right w:val="single" w:color="000000" w:sz="8" w:space="0"/>
            </w:tcBorders>
            <w:noWrap/>
            <w:vAlign w:val="center"/>
          </w:tcPr>
          <w:p w14:paraId="163AD131">
            <w:pPr>
              <w:widowControl/>
              <w:jc w:val="center"/>
              <w:rPr>
                <w:rFonts w:ascii="宋体" w:hAnsi="宋体" w:cs="Arial"/>
                <w:kern w:val="0"/>
                <w:szCs w:val="21"/>
              </w:rPr>
            </w:pPr>
            <w:r>
              <w:rPr>
                <w:rFonts w:hint="eastAsia" w:ascii="宋体" w:hAnsi="宋体" w:cs="Arial"/>
                <w:kern w:val="0"/>
                <w:szCs w:val="21"/>
              </w:rPr>
              <w:t>清单综合单价组成明细</w:t>
            </w:r>
          </w:p>
        </w:tc>
      </w:tr>
      <w:tr w14:paraId="06859381">
        <w:trPr>
          <w:trHeight w:val="343" w:hRule="atLeast"/>
        </w:trPr>
        <w:tc>
          <w:tcPr>
            <w:tcW w:w="222" w:type="pct"/>
            <w:vMerge w:val="restart"/>
            <w:tcBorders>
              <w:top w:val="nil"/>
              <w:left w:val="single" w:color="000000" w:sz="8" w:space="0"/>
              <w:bottom w:val="single" w:color="000000" w:sz="4" w:space="0"/>
              <w:right w:val="single" w:color="000000" w:sz="4" w:space="0"/>
            </w:tcBorders>
            <w:noWrap w:val="0"/>
            <w:vAlign w:val="center"/>
          </w:tcPr>
          <w:p w14:paraId="7913A328">
            <w:pPr>
              <w:widowControl/>
              <w:jc w:val="center"/>
              <w:rPr>
                <w:rFonts w:ascii="宋体" w:hAnsi="宋体" w:cs="Arial"/>
                <w:kern w:val="0"/>
                <w:szCs w:val="21"/>
              </w:rPr>
            </w:pPr>
            <w:r>
              <w:rPr>
                <w:rFonts w:hint="eastAsia" w:ascii="宋体" w:hAnsi="宋体" w:cs="Arial"/>
                <w:kern w:val="0"/>
                <w:szCs w:val="21"/>
              </w:rPr>
              <w:t>定额编码</w:t>
            </w:r>
          </w:p>
        </w:tc>
        <w:tc>
          <w:tcPr>
            <w:tcW w:w="75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69C2414">
            <w:pPr>
              <w:widowControl/>
              <w:jc w:val="center"/>
              <w:rPr>
                <w:rFonts w:ascii="宋体" w:hAnsi="宋体" w:cs="Arial"/>
                <w:kern w:val="0"/>
                <w:szCs w:val="21"/>
              </w:rPr>
            </w:pPr>
            <w:r>
              <w:rPr>
                <w:rFonts w:hint="eastAsia" w:ascii="宋体" w:hAnsi="宋体" w:cs="Arial"/>
                <w:kern w:val="0"/>
                <w:szCs w:val="21"/>
              </w:rPr>
              <w:t>定额项目名称</w:t>
            </w:r>
          </w:p>
        </w:tc>
        <w:tc>
          <w:tcPr>
            <w:tcW w:w="222" w:type="pct"/>
            <w:vMerge w:val="restart"/>
            <w:tcBorders>
              <w:top w:val="nil"/>
              <w:left w:val="single" w:color="000000" w:sz="4" w:space="0"/>
              <w:bottom w:val="single" w:color="000000" w:sz="4" w:space="0"/>
              <w:right w:val="single" w:color="000000" w:sz="4" w:space="0"/>
            </w:tcBorders>
            <w:noWrap w:val="0"/>
            <w:vAlign w:val="center"/>
          </w:tcPr>
          <w:p w14:paraId="495B532E">
            <w:pPr>
              <w:widowControl/>
              <w:jc w:val="center"/>
              <w:rPr>
                <w:rFonts w:ascii="宋体" w:hAnsi="宋体" w:cs="Arial"/>
                <w:kern w:val="0"/>
                <w:szCs w:val="21"/>
              </w:rPr>
            </w:pPr>
            <w:r>
              <w:rPr>
                <w:rFonts w:hint="eastAsia" w:ascii="宋体" w:hAnsi="宋体" w:cs="Arial"/>
                <w:kern w:val="0"/>
                <w:szCs w:val="21"/>
              </w:rPr>
              <w:t>定额单位</w:t>
            </w:r>
          </w:p>
        </w:tc>
        <w:tc>
          <w:tcPr>
            <w:tcW w:w="326" w:type="pct"/>
            <w:vMerge w:val="restart"/>
            <w:tcBorders>
              <w:top w:val="nil"/>
              <w:left w:val="single" w:color="000000" w:sz="4" w:space="0"/>
              <w:bottom w:val="single" w:color="000000" w:sz="4" w:space="0"/>
              <w:right w:val="single" w:color="000000" w:sz="4" w:space="0"/>
            </w:tcBorders>
            <w:noWrap/>
            <w:vAlign w:val="center"/>
          </w:tcPr>
          <w:p w14:paraId="0B32465E">
            <w:pPr>
              <w:widowControl/>
              <w:jc w:val="center"/>
              <w:rPr>
                <w:rFonts w:ascii="宋体" w:hAnsi="宋体" w:cs="Arial"/>
                <w:kern w:val="0"/>
                <w:szCs w:val="21"/>
              </w:rPr>
            </w:pPr>
            <w:r>
              <w:rPr>
                <w:rFonts w:hint="eastAsia" w:ascii="宋体" w:hAnsi="宋体" w:cs="Arial"/>
                <w:kern w:val="0"/>
                <w:szCs w:val="21"/>
              </w:rPr>
              <w:t>数量</w:t>
            </w:r>
          </w:p>
        </w:tc>
        <w:tc>
          <w:tcPr>
            <w:tcW w:w="1743" w:type="pct"/>
            <w:gridSpan w:val="6"/>
            <w:tcBorders>
              <w:top w:val="single" w:color="000000" w:sz="4" w:space="0"/>
              <w:left w:val="nil"/>
              <w:bottom w:val="single" w:color="000000" w:sz="4" w:space="0"/>
              <w:right w:val="single" w:color="000000" w:sz="4" w:space="0"/>
            </w:tcBorders>
            <w:noWrap/>
            <w:vAlign w:val="center"/>
          </w:tcPr>
          <w:p w14:paraId="656563DA">
            <w:pPr>
              <w:widowControl/>
              <w:jc w:val="center"/>
              <w:rPr>
                <w:rFonts w:ascii="宋体" w:hAnsi="宋体" w:cs="Arial"/>
                <w:kern w:val="0"/>
                <w:szCs w:val="21"/>
              </w:rPr>
            </w:pPr>
            <w:r>
              <w:rPr>
                <w:rFonts w:hint="eastAsia" w:ascii="宋体" w:hAnsi="宋体" w:cs="Arial"/>
                <w:kern w:val="0"/>
                <w:szCs w:val="21"/>
              </w:rPr>
              <w:t>单价</w:t>
            </w:r>
          </w:p>
        </w:tc>
        <w:tc>
          <w:tcPr>
            <w:tcW w:w="1732" w:type="pct"/>
            <w:gridSpan w:val="5"/>
            <w:tcBorders>
              <w:top w:val="single" w:color="000000" w:sz="4" w:space="0"/>
              <w:left w:val="nil"/>
              <w:bottom w:val="single" w:color="000000" w:sz="4" w:space="0"/>
              <w:right w:val="single" w:color="000000" w:sz="8" w:space="0"/>
            </w:tcBorders>
            <w:noWrap/>
            <w:vAlign w:val="center"/>
          </w:tcPr>
          <w:p w14:paraId="657CD55B">
            <w:pPr>
              <w:widowControl/>
              <w:jc w:val="center"/>
              <w:rPr>
                <w:rFonts w:ascii="宋体" w:hAnsi="宋体" w:cs="Arial"/>
                <w:kern w:val="0"/>
                <w:szCs w:val="21"/>
              </w:rPr>
            </w:pPr>
            <w:r>
              <w:rPr>
                <w:rFonts w:hint="eastAsia" w:ascii="宋体" w:hAnsi="宋体" w:cs="Arial"/>
                <w:kern w:val="0"/>
                <w:szCs w:val="21"/>
              </w:rPr>
              <w:t>合价</w:t>
            </w:r>
          </w:p>
        </w:tc>
      </w:tr>
      <w:tr w14:paraId="7F82D649">
        <w:trPr>
          <w:trHeight w:val="567" w:hRule="atLeast"/>
        </w:trPr>
        <w:tc>
          <w:tcPr>
            <w:tcW w:w="222" w:type="pct"/>
            <w:vMerge w:val="continue"/>
            <w:tcBorders>
              <w:top w:val="nil"/>
              <w:left w:val="single" w:color="000000" w:sz="8" w:space="0"/>
              <w:bottom w:val="single" w:color="000000" w:sz="4" w:space="0"/>
              <w:right w:val="single" w:color="000000" w:sz="4" w:space="0"/>
            </w:tcBorders>
            <w:noWrap w:val="0"/>
            <w:vAlign w:val="center"/>
          </w:tcPr>
          <w:p w14:paraId="2C224B9F">
            <w:pPr>
              <w:widowControl/>
              <w:jc w:val="left"/>
              <w:rPr>
                <w:rFonts w:ascii="宋体" w:hAnsi="宋体" w:cs="Arial"/>
                <w:kern w:val="0"/>
                <w:szCs w:val="21"/>
              </w:rPr>
            </w:pPr>
          </w:p>
        </w:tc>
        <w:tc>
          <w:tcPr>
            <w:tcW w:w="75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1F3AEA">
            <w:pPr>
              <w:widowControl/>
              <w:jc w:val="left"/>
              <w:rPr>
                <w:rFonts w:ascii="宋体" w:hAnsi="宋体" w:cs="Arial"/>
                <w:kern w:val="0"/>
                <w:szCs w:val="21"/>
              </w:rPr>
            </w:pPr>
          </w:p>
        </w:tc>
        <w:tc>
          <w:tcPr>
            <w:tcW w:w="222" w:type="pct"/>
            <w:vMerge w:val="continue"/>
            <w:tcBorders>
              <w:top w:val="nil"/>
              <w:left w:val="single" w:color="000000" w:sz="4" w:space="0"/>
              <w:bottom w:val="single" w:color="000000" w:sz="4" w:space="0"/>
              <w:right w:val="single" w:color="000000" w:sz="4" w:space="0"/>
            </w:tcBorders>
            <w:noWrap w:val="0"/>
            <w:vAlign w:val="center"/>
          </w:tcPr>
          <w:p w14:paraId="57A355A9">
            <w:pPr>
              <w:widowControl/>
              <w:jc w:val="left"/>
              <w:rPr>
                <w:rFonts w:ascii="宋体" w:hAnsi="宋体" w:cs="Arial"/>
                <w:kern w:val="0"/>
                <w:szCs w:val="21"/>
              </w:rPr>
            </w:pPr>
          </w:p>
        </w:tc>
        <w:tc>
          <w:tcPr>
            <w:tcW w:w="326" w:type="pct"/>
            <w:vMerge w:val="continue"/>
            <w:tcBorders>
              <w:top w:val="nil"/>
              <w:left w:val="single" w:color="000000" w:sz="4" w:space="0"/>
              <w:bottom w:val="single" w:color="000000" w:sz="4" w:space="0"/>
              <w:right w:val="single" w:color="000000" w:sz="4" w:space="0"/>
            </w:tcBorders>
            <w:noWrap w:val="0"/>
            <w:vAlign w:val="center"/>
          </w:tcPr>
          <w:p w14:paraId="684A4C75">
            <w:pPr>
              <w:widowControl/>
              <w:jc w:val="left"/>
              <w:rPr>
                <w:rFonts w:ascii="宋体" w:hAnsi="宋体" w:cs="Arial"/>
                <w:kern w:val="0"/>
                <w:szCs w:val="21"/>
              </w:rPr>
            </w:pPr>
          </w:p>
        </w:tc>
        <w:tc>
          <w:tcPr>
            <w:tcW w:w="431" w:type="pct"/>
            <w:tcBorders>
              <w:top w:val="nil"/>
              <w:left w:val="nil"/>
              <w:bottom w:val="single" w:color="000000" w:sz="4" w:space="0"/>
              <w:right w:val="single" w:color="000000" w:sz="4" w:space="0"/>
            </w:tcBorders>
            <w:noWrap/>
            <w:vAlign w:val="center"/>
          </w:tcPr>
          <w:p w14:paraId="619C6C34">
            <w:pPr>
              <w:widowControl/>
              <w:jc w:val="center"/>
              <w:rPr>
                <w:rFonts w:ascii="宋体" w:hAnsi="宋体" w:cs="Arial"/>
                <w:kern w:val="0"/>
                <w:szCs w:val="21"/>
              </w:rPr>
            </w:pPr>
            <w:r>
              <w:rPr>
                <w:rFonts w:hint="eastAsia" w:ascii="宋体" w:hAnsi="宋体" w:cs="Arial"/>
                <w:kern w:val="0"/>
                <w:szCs w:val="21"/>
              </w:rPr>
              <w:t>人工费</w:t>
            </w:r>
          </w:p>
        </w:tc>
        <w:tc>
          <w:tcPr>
            <w:tcW w:w="444" w:type="pct"/>
            <w:gridSpan w:val="2"/>
            <w:tcBorders>
              <w:top w:val="single" w:color="000000" w:sz="4" w:space="0"/>
              <w:left w:val="nil"/>
              <w:bottom w:val="single" w:color="000000" w:sz="4" w:space="0"/>
              <w:right w:val="single" w:color="000000" w:sz="4" w:space="0"/>
            </w:tcBorders>
            <w:noWrap/>
            <w:vAlign w:val="center"/>
          </w:tcPr>
          <w:p w14:paraId="74085BF8">
            <w:pPr>
              <w:widowControl/>
              <w:jc w:val="center"/>
              <w:rPr>
                <w:rFonts w:ascii="宋体" w:hAnsi="宋体" w:cs="Arial"/>
                <w:kern w:val="0"/>
                <w:szCs w:val="21"/>
              </w:rPr>
            </w:pPr>
            <w:r>
              <w:rPr>
                <w:rFonts w:hint="eastAsia" w:ascii="宋体" w:hAnsi="宋体" w:cs="Arial"/>
                <w:kern w:val="0"/>
                <w:szCs w:val="21"/>
              </w:rPr>
              <w:t>材料费</w:t>
            </w:r>
          </w:p>
        </w:tc>
        <w:tc>
          <w:tcPr>
            <w:tcW w:w="490" w:type="pct"/>
            <w:gridSpan w:val="2"/>
            <w:tcBorders>
              <w:top w:val="single" w:color="000000" w:sz="4" w:space="0"/>
              <w:left w:val="nil"/>
              <w:bottom w:val="single" w:color="000000" w:sz="4" w:space="0"/>
              <w:right w:val="single" w:color="000000" w:sz="4" w:space="0"/>
            </w:tcBorders>
            <w:noWrap/>
            <w:vAlign w:val="center"/>
          </w:tcPr>
          <w:p w14:paraId="7872A3BA">
            <w:pPr>
              <w:widowControl/>
              <w:jc w:val="center"/>
              <w:rPr>
                <w:rFonts w:ascii="宋体" w:hAnsi="宋体" w:cs="Arial"/>
                <w:kern w:val="0"/>
                <w:szCs w:val="21"/>
              </w:rPr>
            </w:pPr>
            <w:r>
              <w:rPr>
                <w:rFonts w:hint="eastAsia" w:ascii="宋体" w:hAnsi="宋体" w:cs="Arial"/>
                <w:kern w:val="0"/>
                <w:szCs w:val="21"/>
              </w:rPr>
              <w:t>机械费</w:t>
            </w:r>
          </w:p>
        </w:tc>
        <w:tc>
          <w:tcPr>
            <w:tcW w:w="379" w:type="pct"/>
            <w:tcBorders>
              <w:top w:val="nil"/>
              <w:left w:val="nil"/>
              <w:bottom w:val="single" w:color="000000" w:sz="4" w:space="0"/>
              <w:right w:val="single" w:color="000000" w:sz="4" w:space="0"/>
            </w:tcBorders>
            <w:noWrap/>
            <w:vAlign w:val="center"/>
          </w:tcPr>
          <w:p w14:paraId="4866BFE5">
            <w:pPr>
              <w:widowControl/>
              <w:jc w:val="center"/>
              <w:rPr>
                <w:rFonts w:ascii="宋体" w:hAnsi="宋体" w:cs="Arial"/>
                <w:kern w:val="0"/>
                <w:szCs w:val="21"/>
              </w:rPr>
            </w:pPr>
            <w:r>
              <w:rPr>
                <w:rFonts w:hint="eastAsia" w:ascii="宋体" w:hAnsi="宋体" w:cs="Arial"/>
                <w:kern w:val="0"/>
                <w:szCs w:val="21"/>
              </w:rPr>
              <w:t>综合费</w:t>
            </w:r>
          </w:p>
        </w:tc>
        <w:tc>
          <w:tcPr>
            <w:tcW w:w="431" w:type="pct"/>
            <w:tcBorders>
              <w:top w:val="single" w:color="000000" w:sz="4" w:space="0"/>
              <w:left w:val="nil"/>
              <w:bottom w:val="single" w:color="000000" w:sz="4" w:space="0"/>
              <w:right w:val="single" w:color="000000" w:sz="4" w:space="0"/>
            </w:tcBorders>
            <w:noWrap/>
            <w:vAlign w:val="center"/>
          </w:tcPr>
          <w:p w14:paraId="68E07844">
            <w:pPr>
              <w:widowControl/>
              <w:jc w:val="center"/>
              <w:rPr>
                <w:rFonts w:ascii="宋体" w:hAnsi="宋体" w:cs="Arial"/>
                <w:kern w:val="0"/>
                <w:szCs w:val="21"/>
              </w:rPr>
            </w:pPr>
            <w:r>
              <w:rPr>
                <w:rFonts w:hint="eastAsia" w:ascii="宋体" w:hAnsi="宋体" w:cs="Arial"/>
                <w:kern w:val="0"/>
                <w:szCs w:val="21"/>
              </w:rPr>
              <w:t>人工费</w:t>
            </w:r>
          </w:p>
        </w:tc>
        <w:tc>
          <w:tcPr>
            <w:tcW w:w="441" w:type="pct"/>
            <w:gridSpan w:val="2"/>
            <w:tcBorders>
              <w:top w:val="single" w:color="000000" w:sz="4" w:space="0"/>
              <w:left w:val="nil"/>
              <w:bottom w:val="single" w:color="000000" w:sz="4" w:space="0"/>
              <w:right w:val="single" w:color="000000" w:sz="4" w:space="0"/>
            </w:tcBorders>
            <w:noWrap/>
            <w:vAlign w:val="center"/>
          </w:tcPr>
          <w:p w14:paraId="13F8B60A">
            <w:pPr>
              <w:widowControl/>
              <w:jc w:val="center"/>
              <w:rPr>
                <w:rFonts w:ascii="宋体" w:hAnsi="宋体" w:cs="Arial"/>
                <w:kern w:val="0"/>
                <w:szCs w:val="21"/>
              </w:rPr>
            </w:pPr>
            <w:r>
              <w:rPr>
                <w:rFonts w:hint="eastAsia" w:ascii="宋体" w:hAnsi="宋体" w:cs="Arial"/>
                <w:kern w:val="0"/>
                <w:szCs w:val="21"/>
              </w:rPr>
              <w:t>材料费</w:t>
            </w:r>
          </w:p>
        </w:tc>
        <w:tc>
          <w:tcPr>
            <w:tcW w:w="431" w:type="pct"/>
            <w:tcBorders>
              <w:top w:val="nil"/>
              <w:left w:val="nil"/>
              <w:bottom w:val="single" w:color="000000" w:sz="4" w:space="0"/>
              <w:right w:val="single" w:color="000000" w:sz="4" w:space="0"/>
            </w:tcBorders>
            <w:noWrap/>
            <w:vAlign w:val="center"/>
          </w:tcPr>
          <w:p w14:paraId="794BBD86">
            <w:pPr>
              <w:widowControl/>
              <w:jc w:val="center"/>
              <w:rPr>
                <w:rFonts w:ascii="宋体" w:hAnsi="宋体" w:cs="Arial"/>
                <w:kern w:val="0"/>
                <w:szCs w:val="21"/>
              </w:rPr>
            </w:pPr>
            <w:r>
              <w:rPr>
                <w:rFonts w:hint="eastAsia" w:ascii="宋体" w:hAnsi="宋体" w:cs="Arial"/>
                <w:kern w:val="0"/>
                <w:szCs w:val="21"/>
              </w:rPr>
              <w:t>机械费</w:t>
            </w:r>
          </w:p>
        </w:tc>
        <w:tc>
          <w:tcPr>
            <w:tcW w:w="431" w:type="pct"/>
            <w:tcBorders>
              <w:top w:val="nil"/>
              <w:left w:val="nil"/>
              <w:bottom w:val="single" w:color="000000" w:sz="4" w:space="0"/>
              <w:right w:val="single" w:color="000000" w:sz="8" w:space="0"/>
            </w:tcBorders>
            <w:noWrap/>
            <w:vAlign w:val="center"/>
          </w:tcPr>
          <w:p w14:paraId="23FCBCC2">
            <w:pPr>
              <w:widowControl/>
              <w:jc w:val="center"/>
              <w:rPr>
                <w:rFonts w:ascii="宋体" w:hAnsi="宋体" w:cs="Arial"/>
                <w:kern w:val="0"/>
                <w:szCs w:val="21"/>
              </w:rPr>
            </w:pPr>
            <w:r>
              <w:rPr>
                <w:rFonts w:hint="eastAsia" w:ascii="宋体" w:hAnsi="宋体" w:cs="Arial"/>
                <w:kern w:val="0"/>
                <w:szCs w:val="21"/>
              </w:rPr>
              <w:t>综合费</w:t>
            </w:r>
          </w:p>
        </w:tc>
      </w:tr>
      <w:tr w14:paraId="37ECF903">
        <w:trPr>
          <w:trHeight w:val="567" w:hRule="atLeast"/>
        </w:trPr>
        <w:tc>
          <w:tcPr>
            <w:tcW w:w="222" w:type="pct"/>
            <w:tcBorders>
              <w:top w:val="nil"/>
              <w:left w:val="single" w:color="000000" w:sz="8" w:space="0"/>
              <w:bottom w:val="single" w:color="000000" w:sz="4" w:space="0"/>
              <w:right w:val="single" w:color="000000" w:sz="4" w:space="0"/>
            </w:tcBorders>
            <w:noWrap w:val="0"/>
            <w:vAlign w:val="center"/>
          </w:tcPr>
          <w:p w14:paraId="64BB7791">
            <w:pPr>
              <w:widowControl/>
              <w:jc w:val="center"/>
              <w:rPr>
                <w:rFonts w:ascii="宋体" w:hAnsi="宋体" w:cs="Arial"/>
                <w:kern w:val="0"/>
                <w:szCs w:val="21"/>
              </w:rPr>
            </w:pPr>
          </w:p>
        </w:tc>
        <w:tc>
          <w:tcPr>
            <w:tcW w:w="754" w:type="pct"/>
            <w:gridSpan w:val="2"/>
            <w:tcBorders>
              <w:top w:val="single" w:color="000000" w:sz="4" w:space="0"/>
              <w:left w:val="nil"/>
              <w:bottom w:val="single" w:color="000000" w:sz="4" w:space="0"/>
              <w:right w:val="single" w:color="000000" w:sz="4" w:space="0"/>
            </w:tcBorders>
            <w:noWrap w:val="0"/>
            <w:vAlign w:val="center"/>
          </w:tcPr>
          <w:p w14:paraId="7841B7EB">
            <w:pPr>
              <w:widowControl/>
              <w:jc w:val="left"/>
              <w:rPr>
                <w:rFonts w:ascii="宋体" w:hAnsi="宋体" w:cs="Arial"/>
                <w:kern w:val="0"/>
                <w:szCs w:val="21"/>
              </w:rPr>
            </w:pPr>
          </w:p>
        </w:tc>
        <w:tc>
          <w:tcPr>
            <w:tcW w:w="222" w:type="pct"/>
            <w:tcBorders>
              <w:top w:val="nil"/>
              <w:left w:val="nil"/>
              <w:bottom w:val="single" w:color="000000" w:sz="4" w:space="0"/>
              <w:right w:val="single" w:color="000000" w:sz="4" w:space="0"/>
            </w:tcBorders>
            <w:noWrap w:val="0"/>
            <w:vAlign w:val="center"/>
          </w:tcPr>
          <w:p w14:paraId="58D0E4CC">
            <w:pPr>
              <w:widowControl/>
              <w:jc w:val="center"/>
              <w:rPr>
                <w:rFonts w:ascii="宋体" w:hAnsi="宋体" w:cs="Arial"/>
                <w:kern w:val="0"/>
                <w:szCs w:val="21"/>
              </w:rPr>
            </w:pPr>
          </w:p>
        </w:tc>
        <w:tc>
          <w:tcPr>
            <w:tcW w:w="326" w:type="pct"/>
            <w:tcBorders>
              <w:top w:val="nil"/>
              <w:left w:val="nil"/>
              <w:bottom w:val="single" w:color="000000" w:sz="4" w:space="0"/>
              <w:right w:val="single" w:color="000000" w:sz="4" w:space="0"/>
            </w:tcBorders>
            <w:noWrap w:val="0"/>
            <w:vAlign w:val="center"/>
          </w:tcPr>
          <w:p w14:paraId="4CB2F605">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0"/>
            <w:vAlign w:val="center"/>
          </w:tcPr>
          <w:p w14:paraId="1DEE3FC3">
            <w:pPr>
              <w:widowControl/>
              <w:jc w:val="right"/>
              <w:rPr>
                <w:rFonts w:ascii="宋体" w:hAnsi="宋体" w:cs="Arial"/>
                <w:kern w:val="0"/>
                <w:szCs w:val="21"/>
              </w:rPr>
            </w:pPr>
          </w:p>
        </w:tc>
        <w:tc>
          <w:tcPr>
            <w:tcW w:w="444" w:type="pct"/>
            <w:gridSpan w:val="2"/>
            <w:tcBorders>
              <w:top w:val="single" w:color="000000" w:sz="4" w:space="0"/>
              <w:left w:val="nil"/>
              <w:bottom w:val="single" w:color="000000" w:sz="4" w:space="0"/>
              <w:right w:val="single" w:color="000000" w:sz="4" w:space="0"/>
            </w:tcBorders>
            <w:noWrap w:val="0"/>
            <w:vAlign w:val="center"/>
          </w:tcPr>
          <w:p w14:paraId="2B72FFE1">
            <w:pPr>
              <w:widowControl/>
              <w:jc w:val="right"/>
              <w:rPr>
                <w:rFonts w:ascii="宋体" w:hAnsi="宋体" w:cs="Arial"/>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266BC94B">
            <w:pPr>
              <w:widowControl/>
              <w:jc w:val="right"/>
              <w:rPr>
                <w:rFonts w:ascii="宋体" w:hAnsi="宋体" w:cs="Arial"/>
                <w:kern w:val="0"/>
                <w:szCs w:val="21"/>
              </w:rPr>
            </w:pPr>
          </w:p>
        </w:tc>
        <w:tc>
          <w:tcPr>
            <w:tcW w:w="379" w:type="pct"/>
            <w:tcBorders>
              <w:top w:val="nil"/>
              <w:left w:val="nil"/>
              <w:bottom w:val="single" w:color="000000" w:sz="4" w:space="0"/>
              <w:right w:val="single" w:color="000000" w:sz="4" w:space="0"/>
            </w:tcBorders>
            <w:noWrap w:val="0"/>
            <w:vAlign w:val="center"/>
          </w:tcPr>
          <w:p w14:paraId="4C9B46EB">
            <w:pPr>
              <w:widowControl/>
              <w:jc w:val="right"/>
              <w:rPr>
                <w:rFonts w:ascii="宋体" w:hAnsi="宋体" w:cs="Arial"/>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34664EC1">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83670">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0"/>
            <w:vAlign w:val="center"/>
          </w:tcPr>
          <w:p w14:paraId="07E25DEB">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noWrap w:val="0"/>
            <w:vAlign w:val="center"/>
          </w:tcPr>
          <w:p w14:paraId="3CCF2409">
            <w:pPr>
              <w:widowControl/>
              <w:jc w:val="right"/>
              <w:rPr>
                <w:rFonts w:ascii="宋体" w:hAnsi="宋体" w:cs="Arial"/>
                <w:kern w:val="0"/>
                <w:szCs w:val="21"/>
              </w:rPr>
            </w:pPr>
          </w:p>
        </w:tc>
      </w:tr>
      <w:tr w14:paraId="3AC0A357">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632B81BF">
            <w:pPr>
              <w:widowControl/>
              <w:jc w:val="center"/>
              <w:rPr>
                <w:rFonts w:ascii="宋体" w:hAnsi="宋体" w:cs="Arial"/>
                <w:kern w:val="0"/>
                <w:szCs w:val="21"/>
              </w:rPr>
            </w:pPr>
            <w:r>
              <w:rPr>
                <w:rFonts w:hint="eastAsia" w:ascii="宋体" w:hAnsi="宋体" w:cs="Arial"/>
                <w:kern w:val="0"/>
                <w:szCs w:val="21"/>
              </w:rPr>
              <w:t>人工单价</w:t>
            </w:r>
          </w:p>
        </w:tc>
        <w:tc>
          <w:tcPr>
            <w:tcW w:w="2292" w:type="pct"/>
            <w:gridSpan w:val="8"/>
            <w:tcBorders>
              <w:top w:val="single" w:color="000000" w:sz="4" w:space="0"/>
              <w:left w:val="nil"/>
              <w:bottom w:val="single" w:color="000000" w:sz="4" w:space="0"/>
              <w:right w:val="single" w:color="000000" w:sz="4" w:space="0"/>
            </w:tcBorders>
            <w:noWrap/>
            <w:vAlign w:val="center"/>
          </w:tcPr>
          <w:p w14:paraId="24D0AFBC">
            <w:pPr>
              <w:widowControl/>
              <w:jc w:val="center"/>
              <w:rPr>
                <w:rFonts w:ascii="宋体" w:hAnsi="宋体" w:cs="Arial"/>
                <w:kern w:val="0"/>
                <w:szCs w:val="21"/>
              </w:rPr>
            </w:pPr>
            <w:r>
              <w:rPr>
                <w:rFonts w:hint="eastAsia" w:ascii="宋体" w:hAnsi="宋体" w:cs="Arial"/>
                <w:kern w:val="0"/>
                <w:szCs w:val="21"/>
              </w:rPr>
              <w:t>小计</w:t>
            </w:r>
          </w:p>
        </w:tc>
        <w:tc>
          <w:tcPr>
            <w:tcW w:w="431" w:type="pct"/>
            <w:tcBorders>
              <w:top w:val="single" w:color="000000" w:sz="4" w:space="0"/>
              <w:left w:val="nil"/>
              <w:bottom w:val="single" w:color="000000" w:sz="4" w:space="0"/>
              <w:right w:val="single" w:color="000000" w:sz="4" w:space="0"/>
            </w:tcBorders>
            <w:noWrap w:val="0"/>
            <w:vAlign w:val="center"/>
          </w:tcPr>
          <w:p w14:paraId="5C50AAEB">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646E88A6">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0"/>
            <w:vAlign w:val="center"/>
          </w:tcPr>
          <w:p w14:paraId="74D60EB2">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noWrap w:val="0"/>
            <w:vAlign w:val="center"/>
          </w:tcPr>
          <w:p w14:paraId="0575C915">
            <w:pPr>
              <w:widowControl/>
              <w:jc w:val="right"/>
              <w:rPr>
                <w:rFonts w:ascii="宋体" w:hAnsi="宋体" w:cs="Arial"/>
                <w:kern w:val="0"/>
                <w:szCs w:val="21"/>
              </w:rPr>
            </w:pPr>
          </w:p>
        </w:tc>
      </w:tr>
      <w:tr w14:paraId="33817681">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10687529">
            <w:pPr>
              <w:widowControl/>
              <w:jc w:val="center"/>
              <w:rPr>
                <w:rFonts w:ascii="宋体" w:hAnsi="宋体" w:cs="Arial"/>
                <w:kern w:val="0"/>
                <w:szCs w:val="21"/>
              </w:rPr>
            </w:pPr>
            <w:r>
              <w:rPr>
                <w:rFonts w:hint="eastAsia" w:ascii="宋体" w:hAnsi="宋体" w:cs="Arial"/>
                <w:kern w:val="0"/>
                <w:szCs w:val="21"/>
              </w:rPr>
              <w:t>（    ）元/工日</w:t>
            </w:r>
          </w:p>
        </w:tc>
        <w:tc>
          <w:tcPr>
            <w:tcW w:w="2292" w:type="pct"/>
            <w:gridSpan w:val="8"/>
            <w:tcBorders>
              <w:top w:val="single" w:color="000000" w:sz="4" w:space="0"/>
              <w:left w:val="nil"/>
              <w:bottom w:val="single" w:color="000000" w:sz="4" w:space="0"/>
              <w:right w:val="single" w:color="000000" w:sz="4" w:space="0"/>
            </w:tcBorders>
            <w:noWrap/>
            <w:vAlign w:val="center"/>
          </w:tcPr>
          <w:p w14:paraId="1F19FE50">
            <w:pPr>
              <w:widowControl/>
              <w:jc w:val="center"/>
              <w:rPr>
                <w:rFonts w:ascii="宋体" w:hAnsi="宋体" w:cs="Arial"/>
                <w:kern w:val="0"/>
                <w:szCs w:val="21"/>
              </w:rPr>
            </w:pPr>
            <w:r>
              <w:rPr>
                <w:rFonts w:hint="eastAsia" w:ascii="宋体" w:hAnsi="宋体" w:cs="Arial"/>
                <w:kern w:val="0"/>
                <w:szCs w:val="21"/>
              </w:rPr>
              <w:t>未计价材料费</w:t>
            </w:r>
          </w:p>
        </w:tc>
        <w:tc>
          <w:tcPr>
            <w:tcW w:w="1732" w:type="pct"/>
            <w:gridSpan w:val="5"/>
            <w:tcBorders>
              <w:top w:val="single" w:color="000000" w:sz="4" w:space="0"/>
              <w:left w:val="nil"/>
              <w:bottom w:val="single" w:color="000000" w:sz="4" w:space="0"/>
              <w:right w:val="single" w:color="000000" w:sz="8" w:space="0"/>
            </w:tcBorders>
            <w:noWrap w:val="0"/>
            <w:vAlign w:val="center"/>
          </w:tcPr>
          <w:p w14:paraId="3DB4CF80">
            <w:pPr>
              <w:widowControl/>
              <w:jc w:val="center"/>
              <w:rPr>
                <w:rFonts w:ascii="宋体" w:hAnsi="宋体" w:cs="Arial"/>
                <w:kern w:val="0"/>
                <w:szCs w:val="21"/>
              </w:rPr>
            </w:pPr>
          </w:p>
        </w:tc>
      </w:tr>
      <w:tr w14:paraId="61CAF24D">
        <w:trPr>
          <w:trHeight w:val="567" w:hRule="atLeast"/>
        </w:trPr>
        <w:tc>
          <w:tcPr>
            <w:tcW w:w="3268" w:type="pct"/>
            <w:gridSpan w:val="11"/>
            <w:tcBorders>
              <w:top w:val="single" w:color="000000" w:sz="4" w:space="0"/>
              <w:left w:val="single" w:color="000000" w:sz="8" w:space="0"/>
              <w:bottom w:val="single" w:color="000000" w:sz="4" w:space="0"/>
              <w:right w:val="single" w:color="000000" w:sz="4" w:space="0"/>
            </w:tcBorders>
            <w:noWrap w:val="0"/>
            <w:vAlign w:val="center"/>
          </w:tcPr>
          <w:p w14:paraId="24969A63">
            <w:pPr>
              <w:widowControl/>
              <w:jc w:val="center"/>
              <w:rPr>
                <w:rFonts w:ascii="宋体" w:hAnsi="宋体" w:cs="Arial"/>
                <w:kern w:val="0"/>
                <w:szCs w:val="21"/>
              </w:rPr>
            </w:pPr>
            <w:r>
              <w:rPr>
                <w:rFonts w:hint="eastAsia" w:ascii="宋体" w:hAnsi="宋体" w:cs="Arial"/>
                <w:kern w:val="0"/>
                <w:szCs w:val="21"/>
              </w:rPr>
              <w:t>清单项目综合单价</w:t>
            </w:r>
          </w:p>
        </w:tc>
        <w:tc>
          <w:tcPr>
            <w:tcW w:w="1732" w:type="pct"/>
            <w:gridSpan w:val="5"/>
            <w:tcBorders>
              <w:top w:val="single" w:color="000000" w:sz="4" w:space="0"/>
              <w:left w:val="nil"/>
              <w:bottom w:val="single" w:color="000000" w:sz="4" w:space="0"/>
              <w:right w:val="single" w:color="000000" w:sz="8" w:space="0"/>
            </w:tcBorders>
            <w:noWrap w:val="0"/>
            <w:vAlign w:val="center"/>
          </w:tcPr>
          <w:p w14:paraId="1541C24C">
            <w:pPr>
              <w:widowControl/>
              <w:jc w:val="center"/>
              <w:rPr>
                <w:rFonts w:ascii="宋体" w:hAnsi="宋体" w:cs="Arial"/>
                <w:kern w:val="0"/>
                <w:szCs w:val="21"/>
              </w:rPr>
            </w:pPr>
          </w:p>
        </w:tc>
      </w:tr>
      <w:tr w14:paraId="358BE94B">
        <w:trPr>
          <w:trHeight w:val="567" w:hRule="atLeast"/>
        </w:trPr>
        <w:tc>
          <w:tcPr>
            <w:tcW w:w="222" w:type="pct"/>
            <w:vMerge w:val="restart"/>
            <w:tcBorders>
              <w:top w:val="nil"/>
              <w:left w:val="single" w:color="000000" w:sz="8" w:space="0"/>
              <w:bottom w:val="single" w:color="000000" w:sz="8" w:space="0"/>
              <w:right w:val="single" w:color="000000" w:sz="4" w:space="0"/>
            </w:tcBorders>
            <w:noWrap w:val="0"/>
            <w:vAlign w:val="center"/>
          </w:tcPr>
          <w:p w14:paraId="5B55D301">
            <w:pPr>
              <w:widowControl/>
              <w:jc w:val="center"/>
              <w:rPr>
                <w:rFonts w:ascii="宋体" w:hAnsi="宋体" w:cs="Arial"/>
                <w:kern w:val="0"/>
                <w:szCs w:val="21"/>
              </w:rPr>
            </w:pPr>
            <w:r>
              <w:rPr>
                <w:rFonts w:hint="eastAsia" w:ascii="宋体" w:hAnsi="宋体" w:cs="Arial"/>
                <w:kern w:val="0"/>
                <w:szCs w:val="21"/>
              </w:rPr>
              <w:t>材料费明细</w:t>
            </w:r>
          </w:p>
        </w:tc>
        <w:tc>
          <w:tcPr>
            <w:tcW w:w="2058" w:type="pct"/>
            <w:gridSpan w:val="6"/>
            <w:tcBorders>
              <w:top w:val="single" w:color="000000" w:sz="4" w:space="0"/>
              <w:left w:val="nil"/>
              <w:bottom w:val="single" w:color="000000" w:sz="4" w:space="0"/>
              <w:right w:val="single" w:color="000000" w:sz="4" w:space="0"/>
            </w:tcBorders>
            <w:noWrap/>
            <w:vAlign w:val="center"/>
          </w:tcPr>
          <w:p w14:paraId="2F743327">
            <w:pPr>
              <w:widowControl/>
              <w:jc w:val="center"/>
              <w:rPr>
                <w:rFonts w:ascii="宋体" w:hAnsi="宋体" w:cs="Arial"/>
                <w:kern w:val="0"/>
                <w:szCs w:val="21"/>
              </w:rPr>
            </w:pPr>
            <w:r>
              <w:rPr>
                <w:rFonts w:hint="eastAsia" w:ascii="宋体" w:hAnsi="宋体" w:cs="Arial"/>
                <w:kern w:val="0"/>
                <w:szCs w:val="21"/>
              </w:rPr>
              <w:t>主要材料名称、规格、型号</w:t>
            </w:r>
          </w:p>
        </w:tc>
        <w:tc>
          <w:tcPr>
            <w:tcW w:w="490" w:type="pct"/>
            <w:gridSpan w:val="2"/>
            <w:tcBorders>
              <w:top w:val="single" w:color="000000" w:sz="4" w:space="0"/>
              <w:left w:val="nil"/>
              <w:bottom w:val="single" w:color="000000" w:sz="4" w:space="0"/>
              <w:right w:val="single" w:color="000000" w:sz="4" w:space="0"/>
            </w:tcBorders>
            <w:noWrap/>
            <w:vAlign w:val="center"/>
          </w:tcPr>
          <w:p w14:paraId="757F9172">
            <w:pPr>
              <w:widowControl/>
              <w:jc w:val="center"/>
              <w:rPr>
                <w:rFonts w:ascii="宋体" w:hAnsi="宋体" w:cs="Arial"/>
                <w:kern w:val="0"/>
                <w:szCs w:val="21"/>
              </w:rPr>
            </w:pPr>
            <w:r>
              <w:rPr>
                <w:rFonts w:hint="eastAsia" w:ascii="宋体" w:hAnsi="宋体" w:cs="Arial"/>
                <w:kern w:val="0"/>
                <w:szCs w:val="21"/>
              </w:rPr>
              <w:t>单位</w:t>
            </w:r>
          </w:p>
        </w:tc>
        <w:tc>
          <w:tcPr>
            <w:tcW w:w="497" w:type="pct"/>
            <w:gridSpan w:val="2"/>
            <w:tcBorders>
              <w:top w:val="single" w:color="000000" w:sz="4" w:space="0"/>
              <w:left w:val="nil"/>
              <w:bottom w:val="single" w:color="000000" w:sz="4" w:space="0"/>
              <w:right w:val="single" w:color="000000" w:sz="4" w:space="0"/>
            </w:tcBorders>
            <w:noWrap/>
            <w:vAlign w:val="center"/>
          </w:tcPr>
          <w:p w14:paraId="06C1105D">
            <w:pPr>
              <w:widowControl/>
              <w:jc w:val="center"/>
              <w:rPr>
                <w:rFonts w:ascii="宋体" w:hAnsi="宋体" w:cs="Arial"/>
                <w:kern w:val="0"/>
                <w:szCs w:val="21"/>
              </w:rPr>
            </w:pPr>
            <w:r>
              <w:rPr>
                <w:rFonts w:hint="eastAsia" w:ascii="宋体" w:hAnsi="宋体" w:cs="Arial"/>
                <w:kern w:val="0"/>
                <w:szCs w:val="21"/>
              </w:rPr>
              <w:t>数量</w:t>
            </w:r>
          </w:p>
        </w:tc>
        <w:tc>
          <w:tcPr>
            <w:tcW w:w="431" w:type="pct"/>
            <w:tcBorders>
              <w:top w:val="single" w:color="000000" w:sz="4" w:space="0"/>
              <w:left w:val="nil"/>
              <w:bottom w:val="single" w:color="000000" w:sz="4" w:space="0"/>
              <w:right w:val="single" w:color="000000" w:sz="4" w:space="0"/>
            </w:tcBorders>
            <w:noWrap w:val="0"/>
            <w:vAlign w:val="center"/>
          </w:tcPr>
          <w:p w14:paraId="3C8B7231">
            <w:pPr>
              <w:widowControl/>
              <w:jc w:val="center"/>
              <w:rPr>
                <w:rFonts w:ascii="宋体" w:hAnsi="宋体" w:cs="Arial"/>
                <w:kern w:val="0"/>
                <w:szCs w:val="21"/>
              </w:rPr>
            </w:pPr>
            <w:r>
              <w:rPr>
                <w:rFonts w:hint="eastAsia" w:ascii="宋体" w:hAnsi="宋体" w:cs="Arial"/>
                <w:kern w:val="0"/>
                <w:szCs w:val="21"/>
              </w:rPr>
              <w:t>单价（元）</w:t>
            </w:r>
          </w:p>
        </w:tc>
        <w:tc>
          <w:tcPr>
            <w:tcW w:w="441" w:type="pct"/>
            <w:gridSpan w:val="2"/>
            <w:tcBorders>
              <w:top w:val="single" w:color="000000" w:sz="4" w:space="0"/>
              <w:left w:val="nil"/>
              <w:bottom w:val="single" w:color="000000" w:sz="4" w:space="0"/>
              <w:right w:val="single" w:color="000000" w:sz="4" w:space="0"/>
            </w:tcBorders>
            <w:noWrap w:val="0"/>
            <w:vAlign w:val="center"/>
          </w:tcPr>
          <w:p w14:paraId="4155BF17">
            <w:pPr>
              <w:widowControl/>
              <w:jc w:val="center"/>
              <w:rPr>
                <w:rFonts w:ascii="宋体" w:hAnsi="宋体" w:cs="Arial"/>
                <w:kern w:val="0"/>
                <w:szCs w:val="21"/>
              </w:rPr>
            </w:pPr>
            <w:r>
              <w:rPr>
                <w:rFonts w:hint="eastAsia" w:ascii="宋体" w:hAnsi="宋体" w:cs="Arial"/>
                <w:kern w:val="0"/>
                <w:szCs w:val="21"/>
              </w:rPr>
              <w:t>合价（元）</w:t>
            </w:r>
          </w:p>
        </w:tc>
        <w:tc>
          <w:tcPr>
            <w:tcW w:w="431" w:type="pct"/>
            <w:tcBorders>
              <w:top w:val="nil"/>
              <w:left w:val="nil"/>
              <w:bottom w:val="single" w:color="000000" w:sz="4" w:space="0"/>
              <w:right w:val="single" w:color="000000" w:sz="4" w:space="0"/>
            </w:tcBorders>
            <w:noWrap w:val="0"/>
            <w:vAlign w:val="center"/>
          </w:tcPr>
          <w:p w14:paraId="19C13F6B">
            <w:pPr>
              <w:widowControl/>
              <w:jc w:val="center"/>
              <w:rPr>
                <w:rFonts w:ascii="宋体" w:hAnsi="宋体" w:cs="Arial"/>
                <w:kern w:val="0"/>
                <w:szCs w:val="21"/>
              </w:rPr>
            </w:pPr>
            <w:r>
              <w:rPr>
                <w:rFonts w:hint="eastAsia" w:ascii="宋体" w:hAnsi="宋体" w:cs="Arial"/>
                <w:kern w:val="0"/>
                <w:szCs w:val="21"/>
              </w:rPr>
              <w:t>暂估单价（元）</w:t>
            </w:r>
          </w:p>
        </w:tc>
        <w:tc>
          <w:tcPr>
            <w:tcW w:w="431" w:type="pct"/>
            <w:tcBorders>
              <w:top w:val="nil"/>
              <w:left w:val="nil"/>
              <w:bottom w:val="single" w:color="000000" w:sz="4" w:space="0"/>
              <w:right w:val="single" w:color="000000" w:sz="8" w:space="0"/>
            </w:tcBorders>
            <w:noWrap w:val="0"/>
            <w:vAlign w:val="center"/>
          </w:tcPr>
          <w:p w14:paraId="50AC96D6">
            <w:pPr>
              <w:widowControl/>
              <w:jc w:val="center"/>
              <w:rPr>
                <w:rFonts w:ascii="宋体" w:hAnsi="宋体" w:cs="Arial"/>
                <w:kern w:val="0"/>
                <w:szCs w:val="21"/>
              </w:rPr>
            </w:pPr>
            <w:r>
              <w:rPr>
                <w:rFonts w:hint="eastAsia" w:ascii="宋体" w:hAnsi="宋体" w:cs="Arial"/>
                <w:kern w:val="0"/>
                <w:szCs w:val="21"/>
              </w:rPr>
              <w:t>暂估合价（元）</w:t>
            </w:r>
          </w:p>
        </w:tc>
      </w:tr>
      <w:tr w14:paraId="03B889D7">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2F7B067">
            <w:pPr>
              <w:widowControl/>
              <w:jc w:val="left"/>
              <w:rPr>
                <w:rFonts w:ascii="宋体" w:hAnsi="宋体" w:cs="Arial"/>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6DA9F78E">
            <w:pPr>
              <w:widowControl/>
              <w:jc w:val="left"/>
              <w:rPr>
                <w:rFonts w:ascii="宋体" w:hAnsi="宋体" w:cs="Arial"/>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0F3EB5B1">
            <w:pPr>
              <w:widowControl/>
              <w:jc w:val="center"/>
              <w:rPr>
                <w:rFonts w:ascii="宋体" w:hAnsi="宋体" w:cs="Arial"/>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6D9329C8">
            <w:pPr>
              <w:widowControl/>
              <w:jc w:val="right"/>
              <w:rPr>
                <w:rFonts w:ascii="宋体" w:hAnsi="宋体" w:cs="Arial"/>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00A171D9">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E9D7C">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0"/>
            <w:vAlign w:val="center"/>
          </w:tcPr>
          <w:p w14:paraId="337F32BC">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noWrap w:val="0"/>
            <w:vAlign w:val="center"/>
          </w:tcPr>
          <w:p w14:paraId="2B8C6379">
            <w:pPr>
              <w:widowControl/>
              <w:jc w:val="right"/>
              <w:rPr>
                <w:rFonts w:ascii="宋体" w:hAnsi="宋体" w:cs="Arial"/>
                <w:kern w:val="0"/>
                <w:szCs w:val="21"/>
              </w:rPr>
            </w:pPr>
          </w:p>
        </w:tc>
      </w:tr>
      <w:tr w14:paraId="60BD8A30">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70FA17B">
            <w:pPr>
              <w:widowControl/>
              <w:jc w:val="left"/>
              <w:rPr>
                <w:rFonts w:ascii="宋体" w:hAnsi="宋体" w:cs="Arial"/>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7FCB2593">
            <w:pPr>
              <w:widowControl/>
              <w:jc w:val="left"/>
              <w:rPr>
                <w:rFonts w:ascii="宋体" w:hAnsi="宋体" w:cs="Arial"/>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5CAEDEB5">
            <w:pPr>
              <w:widowControl/>
              <w:jc w:val="center"/>
              <w:rPr>
                <w:rFonts w:ascii="宋体" w:hAnsi="宋体" w:cs="Arial"/>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58F0283C">
            <w:pPr>
              <w:widowControl/>
              <w:jc w:val="right"/>
              <w:rPr>
                <w:rFonts w:ascii="宋体" w:hAnsi="宋体" w:cs="Arial"/>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6C41FD74">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7B290000">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0"/>
            <w:vAlign w:val="center"/>
          </w:tcPr>
          <w:p w14:paraId="62DCB069">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noWrap w:val="0"/>
            <w:vAlign w:val="center"/>
          </w:tcPr>
          <w:p w14:paraId="66D4DE65">
            <w:pPr>
              <w:widowControl/>
              <w:jc w:val="right"/>
              <w:rPr>
                <w:rFonts w:ascii="宋体" w:hAnsi="宋体" w:cs="Arial"/>
                <w:kern w:val="0"/>
                <w:szCs w:val="21"/>
              </w:rPr>
            </w:pPr>
          </w:p>
        </w:tc>
      </w:tr>
      <w:tr w14:paraId="66616FF0">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215CC89F">
            <w:pPr>
              <w:widowControl/>
              <w:jc w:val="left"/>
              <w:rPr>
                <w:rFonts w:ascii="宋体" w:hAnsi="宋体" w:cs="Arial"/>
                <w:kern w:val="0"/>
                <w:szCs w:val="21"/>
              </w:rPr>
            </w:pPr>
          </w:p>
        </w:tc>
        <w:tc>
          <w:tcPr>
            <w:tcW w:w="3045" w:type="pct"/>
            <w:gridSpan w:val="10"/>
            <w:tcBorders>
              <w:top w:val="single" w:color="000000" w:sz="4" w:space="0"/>
              <w:left w:val="nil"/>
              <w:bottom w:val="single" w:color="000000" w:sz="4" w:space="0"/>
              <w:right w:val="single" w:color="000000" w:sz="4" w:space="0"/>
            </w:tcBorders>
            <w:noWrap w:val="0"/>
            <w:vAlign w:val="center"/>
          </w:tcPr>
          <w:p w14:paraId="0968AEF7">
            <w:pPr>
              <w:widowControl/>
              <w:jc w:val="center"/>
              <w:rPr>
                <w:rFonts w:ascii="宋体" w:hAnsi="宋体" w:cs="Arial"/>
                <w:kern w:val="0"/>
                <w:szCs w:val="21"/>
              </w:rPr>
            </w:pPr>
            <w:r>
              <w:rPr>
                <w:rFonts w:hint="eastAsia" w:ascii="宋体" w:hAnsi="宋体" w:cs="Arial"/>
                <w:kern w:val="0"/>
                <w:szCs w:val="21"/>
              </w:rPr>
              <w:t>其他材料费</w:t>
            </w:r>
          </w:p>
        </w:tc>
        <w:tc>
          <w:tcPr>
            <w:tcW w:w="431" w:type="pct"/>
            <w:tcBorders>
              <w:top w:val="single" w:color="000000" w:sz="4" w:space="0"/>
              <w:left w:val="nil"/>
              <w:bottom w:val="single" w:color="000000" w:sz="4" w:space="0"/>
              <w:right w:val="single" w:color="000000" w:sz="4" w:space="0"/>
            </w:tcBorders>
            <w:noWrap/>
            <w:vAlign w:val="center"/>
          </w:tcPr>
          <w:p w14:paraId="6EC020A3">
            <w:pPr>
              <w:widowControl/>
              <w:jc w:val="center"/>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42AAD361">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ign w:val="center"/>
          </w:tcPr>
          <w:p w14:paraId="6FF6F671">
            <w:pPr>
              <w:widowControl/>
              <w:jc w:val="center"/>
              <w:rPr>
                <w:rFonts w:ascii="宋体" w:hAnsi="宋体" w:cs="Arial"/>
                <w:kern w:val="0"/>
                <w:szCs w:val="21"/>
              </w:rPr>
            </w:pPr>
          </w:p>
        </w:tc>
        <w:tc>
          <w:tcPr>
            <w:tcW w:w="431" w:type="pct"/>
            <w:tcBorders>
              <w:top w:val="nil"/>
              <w:left w:val="nil"/>
              <w:bottom w:val="single" w:color="000000" w:sz="4" w:space="0"/>
              <w:right w:val="single" w:color="000000" w:sz="8" w:space="0"/>
            </w:tcBorders>
            <w:noWrap w:val="0"/>
            <w:vAlign w:val="center"/>
          </w:tcPr>
          <w:p w14:paraId="60B752E1">
            <w:pPr>
              <w:widowControl/>
              <w:jc w:val="right"/>
              <w:rPr>
                <w:rFonts w:ascii="宋体" w:hAnsi="宋体" w:cs="Arial"/>
                <w:kern w:val="0"/>
                <w:szCs w:val="21"/>
              </w:rPr>
            </w:pPr>
          </w:p>
        </w:tc>
      </w:tr>
      <w:tr w14:paraId="5E5646BD">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D017778">
            <w:pPr>
              <w:widowControl/>
              <w:jc w:val="left"/>
              <w:rPr>
                <w:rFonts w:ascii="宋体" w:hAnsi="宋体" w:cs="Arial"/>
                <w:kern w:val="0"/>
                <w:szCs w:val="21"/>
              </w:rPr>
            </w:pPr>
          </w:p>
        </w:tc>
        <w:tc>
          <w:tcPr>
            <w:tcW w:w="3045" w:type="pct"/>
            <w:gridSpan w:val="10"/>
            <w:tcBorders>
              <w:top w:val="single" w:color="000000" w:sz="4" w:space="0"/>
              <w:left w:val="nil"/>
              <w:bottom w:val="single" w:color="000000" w:sz="8" w:space="0"/>
              <w:right w:val="single" w:color="000000" w:sz="4" w:space="0"/>
            </w:tcBorders>
            <w:noWrap w:val="0"/>
            <w:vAlign w:val="center"/>
          </w:tcPr>
          <w:p w14:paraId="240B5C82">
            <w:pPr>
              <w:widowControl/>
              <w:jc w:val="center"/>
              <w:rPr>
                <w:rFonts w:ascii="宋体" w:hAnsi="宋体" w:cs="Arial"/>
                <w:kern w:val="0"/>
                <w:szCs w:val="21"/>
              </w:rPr>
            </w:pPr>
            <w:r>
              <w:rPr>
                <w:rFonts w:hint="eastAsia" w:ascii="宋体" w:hAnsi="宋体" w:cs="Arial"/>
                <w:kern w:val="0"/>
                <w:szCs w:val="21"/>
              </w:rPr>
              <w:t>材料费小计</w:t>
            </w:r>
          </w:p>
        </w:tc>
        <w:tc>
          <w:tcPr>
            <w:tcW w:w="431" w:type="pct"/>
            <w:tcBorders>
              <w:top w:val="single" w:color="000000" w:sz="4" w:space="0"/>
              <w:left w:val="nil"/>
              <w:bottom w:val="single" w:color="000000" w:sz="8" w:space="0"/>
              <w:right w:val="single" w:color="000000" w:sz="4" w:space="0"/>
            </w:tcBorders>
            <w:noWrap/>
            <w:vAlign w:val="center"/>
          </w:tcPr>
          <w:p w14:paraId="5967F675">
            <w:pPr>
              <w:widowControl/>
              <w:jc w:val="center"/>
              <w:rPr>
                <w:rFonts w:ascii="宋体" w:hAnsi="宋体" w:cs="Arial"/>
                <w:kern w:val="0"/>
                <w:szCs w:val="21"/>
              </w:rPr>
            </w:pPr>
          </w:p>
        </w:tc>
        <w:tc>
          <w:tcPr>
            <w:tcW w:w="441" w:type="pct"/>
            <w:gridSpan w:val="2"/>
            <w:tcBorders>
              <w:top w:val="single" w:color="000000" w:sz="4" w:space="0"/>
              <w:left w:val="nil"/>
              <w:bottom w:val="single" w:color="000000" w:sz="8" w:space="0"/>
              <w:right w:val="single" w:color="000000" w:sz="4" w:space="0"/>
            </w:tcBorders>
            <w:noWrap w:val="0"/>
            <w:vAlign w:val="center"/>
          </w:tcPr>
          <w:p w14:paraId="1BFD5F36">
            <w:pPr>
              <w:widowControl/>
              <w:jc w:val="right"/>
              <w:rPr>
                <w:rFonts w:ascii="宋体" w:hAnsi="宋体" w:cs="Arial"/>
                <w:kern w:val="0"/>
                <w:szCs w:val="21"/>
              </w:rPr>
            </w:pPr>
          </w:p>
        </w:tc>
        <w:tc>
          <w:tcPr>
            <w:tcW w:w="431" w:type="pct"/>
            <w:tcBorders>
              <w:top w:val="nil"/>
              <w:left w:val="nil"/>
              <w:bottom w:val="single" w:color="000000" w:sz="8" w:space="0"/>
              <w:right w:val="single" w:color="000000" w:sz="4" w:space="0"/>
            </w:tcBorders>
            <w:noWrap/>
            <w:vAlign w:val="center"/>
          </w:tcPr>
          <w:p w14:paraId="7E1E5A60">
            <w:pPr>
              <w:widowControl/>
              <w:jc w:val="center"/>
              <w:rPr>
                <w:rFonts w:ascii="宋体" w:hAnsi="宋体" w:cs="Arial"/>
                <w:kern w:val="0"/>
                <w:szCs w:val="21"/>
              </w:rPr>
            </w:pPr>
          </w:p>
        </w:tc>
        <w:tc>
          <w:tcPr>
            <w:tcW w:w="431" w:type="pct"/>
            <w:tcBorders>
              <w:top w:val="nil"/>
              <w:left w:val="nil"/>
              <w:bottom w:val="single" w:color="000000" w:sz="8" w:space="0"/>
              <w:right w:val="single" w:color="000000" w:sz="8" w:space="0"/>
            </w:tcBorders>
            <w:noWrap w:val="0"/>
            <w:vAlign w:val="center"/>
          </w:tcPr>
          <w:p w14:paraId="7BF3C1FD">
            <w:pPr>
              <w:widowControl/>
              <w:jc w:val="right"/>
              <w:rPr>
                <w:rFonts w:ascii="宋体" w:hAnsi="宋体" w:cs="Arial"/>
                <w:kern w:val="0"/>
                <w:szCs w:val="21"/>
              </w:rPr>
            </w:pPr>
          </w:p>
        </w:tc>
      </w:tr>
    </w:tbl>
    <w:p w14:paraId="4F5AF743">
      <w:pPr>
        <w:spacing w:before="48" w:beforeLines="20" w:after="48" w:afterLines="20" w:line="540" w:lineRule="exact"/>
        <w:ind w:left="-21" w:leftChars="-10" w:firstLine="1"/>
        <w:jc w:val="center"/>
        <w:outlineLvl w:val="2"/>
        <w:rPr>
          <w:rFonts w:hint="eastAsia" w:ascii="宋体" w:hAnsi="宋体"/>
          <w:sz w:val="28"/>
          <w:szCs w:val="28"/>
        </w:rPr>
      </w:pPr>
      <w:r>
        <w:rPr>
          <w:rFonts w:ascii="宋体" w:hAnsi="宋体"/>
          <w:szCs w:val="21"/>
        </w:rPr>
        <w:br w:type="page"/>
      </w:r>
      <w:bookmarkStart w:id="481" w:name="_Toc460227129"/>
      <w:bookmarkStart w:id="482" w:name="_Toc460660244"/>
      <w:r>
        <w:rPr>
          <w:rFonts w:hint="eastAsia" w:ascii="宋体" w:hAnsi="宋体"/>
          <w:sz w:val="28"/>
          <w:szCs w:val="28"/>
        </w:rPr>
        <w:t>（七）</w:t>
      </w:r>
      <w:bookmarkEnd w:id="481"/>
      <w:bookmarkEnd w:id="482"/>
      <w:r>
        <w:rPr>
          <w:rFonts w:hint="eastAsia" w:ascii="宋体" w:hAnsi="宋体"/>
          <w:sz w:val="28"/>
          <w:szCs w:val="28"/>
        </w:rPr>
        <w:t>措施项目清单与计价表</w:t>
      </w:r>
    </w:p>
    <w:p w14:paraId="3E19C1D8">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63"/>
        <w:gridCol w:w="1767"/>
        <w:gridCol w:w="2308"/>
        <w:gridCol w:w="1545"/>
        <w:gridCol w:w="1248"/>
        <w:gridCol w:w="1544"/>
      </w:tblGrid>
      <w:tr w14:paraId="15F10C79">
        <w:trPr>
          <w:trHeight w:val="690" w:hRule="atLeast"/>
        </w:trPr>
        <w:tc>
          <w:tcPr>
            <w:tcW w:w="41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9274B98">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963" w:type="pct"/>
            <w:tcBorders>
              <w:top w:val="single" w:color="000000" w:sz="8" w:space="0"/>
              <w:left w:val="nil"/>
              <w:bottom w:val="single" w:color="000000" w:sz="4" w:space="0"/>
              <w:right w:val="single" w:color="000000" w:sz="4" w:space="0"/>
            </w:tcBorders>
            <w:shd w:val="clear" w:color="FFFFFF" w:fill="FFFFFF"/>
            <w:noWrap w:val="0"/>
            <w:vAlign w:val="center"/>
          </w:tcPr>
          <w:p w14:paraId="2134AE7D">
            <w:pPr>
              <w:widowControl/>
              <w:jc w:val="center"/>
              <w:rPr>
                <w:rFonts w:ascii="黑体" w:hAnsi="黑体" w:eastAsia="黑体" w:cs="Arial"/>
                <w:kern w:val="0"/>
                <w:szCs w:val="21"/>
              </w:rPr>
            </w:pPr>
            <w:r>
              <w:rPr>
                <w:rFonts w:hint="eastAsia" w:ascii="黑体" w:hAnsi="黑体" w:eastAsia="黑体" w:cs="Arial"/>
                <w:kern w:val="0"/>
                <w:szCs w:val="21"/>
              </w:rPr>
              <w:t>项目编码</w:t>
            </w:r>
          </w:p>
        </w:tc>
        <w:tc>
          <w:tcPr>
            <w:tcW w:w="1258" w:type="pct"/>
            <w:tcBorders>
              <w:top w:val="single" w:color="000000" w:sz="8" w:space="0"/>
              <w:left w:val="nil"/>
              <w:bottom w:val="single" w:color="000000" w:sz="4" w:space="0"/>
              <w:right w:val="single" w:color="000000" w:sz="4" w:space="0"/>
            </w:tcBorders>
            <w:shd w:val="clear" w:color="FFFFFF" w:fill="FFFFFF"/>
            <w:noWrap w:val="0"/>
            <w:vAlign w:val="center"/>
          </w:tcPr>
          <w:p w14:paraId="54CDACCD">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842" w:type="pct"/>
            <w:tcBorders>
              <w:top w:val="single" w:color="000000" w:sz="8" w:space="0"/>
              <w:left w:val="nil"/>
              <w:bottom w:val="single" w:color="000000" w:sz="4" w:space="0"/>
              <w:right w:val="single" w:color="000000" w:sz="4" w:space="0"/>
            </w:tcBorders>
            <w:shd w:val="clear" w:color="FFFFFF" w:fill="FFFFFF"/>
            <w:noWrap w:val="0"/>
            <w:vAlign w:val="center"/>
          </w:tcPr>
          <w:p w14:paraId="103266E7">
            <w:pPr>
              <w:widowControl/>
              <w:jc w:val="center"/>
              <w:rPr>
                <w:rFonts w:ascii="黑体" w:hAnsi="黑体" w:eastAsia="黑体" w:cs="Arial"/>
                <w:kern w:val="0"/>
                <w:szCs w:val="21"/>
              </w:rPr>
            </w:pPr>
            <w:r>
              <w:rPr>
                <w:rFonts w:hint="eastAsia" w:ascii="黑体" w:hAnsi="黑体" w:eastAsia="黑体" w:cs="Arial"/>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6C733005">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841" w:type="pct"/>
            <w:tcBorders>
              <w:top w:val="single" w:color="000000" w:sz="8" w:space="0"/>
              <w:left w:val="nil"/>
              <w:bottom w:val="single" w:color="000000" w:sz="4" w:space="0"/>
              <w:right w:val="single" w:color="000000" w:sz="8" w:space="0"/>
            </w:tcBorders>
            <w:shd w:val="clear" w:color="FFFFFF" w:fill="FFFFFF"/>
            <w:noWrap w:val="0"/>
            <w:vAlign w:val="center"/>
          </w:tcPr>
          <w:p w14:paraId="317664D7">
            <w:pPr>
              <w:widowControl/>
              <w:jc w:val="center"/>
              <w:rPr>
                <w:rFonts w:ascii="黑体" w:hAnsi="黑体" w:eastAsia="黑体" w:cs="Arial"/>
                <w:kern w:val="0"/>
                <w:szCs w:val="21"/>
              </w:rPr>
            </w:pPr>
            <w:r>
              <w:rPr>
                <w:rFonts w:hint="eastAsia" w:ascii="黑体" w:hAnsi="黑体" w:eastAsia="黑体" w:cs="Arial"/>
                <w:kern w:val="0"/>
                <w:szCs w:val="21"/>
              </w:rPr>
              <w:t>金额（元）</w:t>
            </w:r>
          </w:p>
        </w:tc>
      </w:tr>
      <w:tr w14:paraId="75BAC9E2">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1CAACCD6">
            <w:pPr>
              <w:widowControl/>
              <w:jc w:val="center"/>
              <w:rPr>
                <w:rFonts w:ascii="宋体" w:hAnsi="宋体" w:cs="Arial"/>
                <w:kern w:val="0"/>
                <w:szCs w:val="21"/>
              </w:rPr>
            </w:pPr>
          </w:p>
        </w:tc>
        <w:tc>
          <w:tcPr>
            <w:tcW w:w="963" w:type="pct"/>
            <w:tcBorders>
              <w:top w:val="nil"/>
              <w:left w:val="nil"/>
              <w:bottom w:val="single" w:color="000000" w:sz="4" w:space="0"/>
              <w:right w:val="single" w:color="000000" w:sz="4" w:space="0"/>
            </w:tcBorders>
            <w:noWrap w:val="0"/>
            <w:vAlign w:val="center"/>
          </w:tcPr>
          <w:p w14:paraId="14916FAA">
            <w:pPr>
              <w:widowControl/>
              <w:jc w:val="left"/>
              <w:rPr>
                <w:rFonts w:ascii="宋体" w:hAnsi="宋体" w:cs="Arial"/>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6DF78688">
            <w:pPr>
              <w:widowControl/>
              <w:jc w:val="left"/>
              <w:rPr>
                <w:rFonts w:ascii="宋体" w:hAnsi="宋体" w:cs="Arial"/>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66188AC5">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55BC89DC">
            <w:pPr>
              <w:widowControl/>
              <w:jc w:val="right"/>
              <w:rPr>
                <w:rFonts w:ascii="宋体" w:hAnsi="宋体" w:cs="Arial"/>
                <w:kern w:val="0"/>
                <w:szCs w:val="21"/>
              </w:rPr>
            </w:pPr>
          </w:p>
        </w:tc>
        <w:tc>
          <w:tcPr>
            <w:tcW w:w="841" w:type="pct"/>
            <w:tcBorders>
              <w:top w:val="nil"/>
              <w:left w:val="nil"/>
              <w:bottom w:val="single" w:color="000000" w:sz="4" w:space="0"/>
              <w:right w:val="single" w:color="000000" w:sz="8" w:space="0"/>
            </w:tcBorders>
            <w:noWrap w:val="0"/>
            <w:vAlign w:val="center"/>
          </w:tcPr>
          <w:p w14:paraId="4B8F542D">
            <w:pPr>
              <w:widowControl/>
              <w:jc w:val="right"/>
              <w:rPr>
                <w:rFonts w:ascii="宋体" w:hAnsi="宋体" w:cs="Arial"/>
                <w:kern w:val="0"/>
                <w:szCs w:val="21"/>
              </w:rPr>
            </w:pPr>
          </w:p>
        </w:tc>
      </w:tr>
      <w:tr w14:paraId="6D692226">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0EFF2BE8">
            <w:pPr>
              <w:widowControl/>
              <w:jc w:val="center"/>
              <w:rPr>
                <w:rFonts w:ascii="宋体" w:hAnsi="宋体" w:cs="Arial"/>
                <w:kern w:val="0"/>
                <w:szCs w:val="21"/>
              </w:rPr>
            </w:pPr>
          </w:p>
        </w:tc>
        <w:tc>
          <w:tcPr>
            <w:tcW w:w="963" w:type="pct"/>
            <w:tcBorders>
              <w:top w:val="nil"/>
              <w:left w:val="nil"/>
              <w:bottom w:val="single" w:color="000000" w:sz="4" w:space="0"/>
              <w:right w:val="single" w:color="000000" w:sz="4" w:space="0"/>
            </w:tcBorders>
            <w:noWrap w:val="0"/>
            <w:vAlign w:val="center"/>
          </w:tcPr>
          <w:p w14:paraId="5B3FC969">
            <w:pPr>
              <w:widowControl/>
              <w:jc w:val="left"/>
              <w:rPr>
                <w:rFonts w:ascii="宋体" w:hAnsi="宋体" w:cs="Arial"/>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522AF075">
            <w:pPr>
              <w:widowControl/>
              <w:jc w:val="left"/>
              <w:rPr>
                <w:rFonts w:ascii="宋体" w:hAnsi="宋体" w:cs="Arial"/>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58B6A46C">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94A3F0F">
            <w:pPr>
              <w:widowControl/>
              <w:jc w:val="right"/>
              <w:rPr>
                <w:rFonts w:ascii="宋体" w:hAnsi="宋体" w:cs="Arial"/>
                <w:kern w:val="0"/>
                <w:szCs w:val="21"/>
              </w:rPr>
            </w:pPr>
          </w:p>
        </w:tc>
        <w:tc>
          <w:tcPr>
            <w:tcW w:w="841" w:type="pct"/>
            <w:tcBorders>
              <w:top w:val="nil"/>
              <w:left w:val="nil"/>
              <w:bottom w:val="single" w:color="000000" w:sz="4" w:space="0"/>
              <w:right w:val="single" w:color="000000" w:sz="8" w:space="0"/>
            </w:tcBorders>
            <w:noWrap w:val="0"/>
            <w:vAlign w:val="center"/>
          </w:tcPr>
          <w:p w14:paraId="6670365D">
            <w:pPr>
              <w:widowControl/>
              <w:jc w:val="right"/>
              <w:rPr>
                <w:rFonts w:ascii="宋体" w:hAnsi="宋体" w:cs="Arial"/>
                <w:kern w:val="0"/>
                <w:szCs w:val="21"/>
              </w:rPr>
            </w:pPr>
          </w:p>
        </w:tc>
      </w:tr>
      <w:tr w14:paraId="0E806443">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353213AA">
            <w:pPr>
              <w:widowControl/>
              <w:jc w:val="center"/>
              <w:rPr>
                <w:rFonts w:ascii="宋体" w:hAnsi="宋体" w:cs="Arial"/>
                <w:kern w:val="0"/>
                <w:szCs w:val="21"/>
              </w:rPr>
            </w:pPr>
          </w:p>
        </w:tc>
        <w:tc>
          <w:tcPr>
            <w:tcW w:w="963" w:type="pct"/>
            <w:tcBorders>
              <w:top w:val="nil"/>
              <w:left w:val="nil"/>
              <w:bottom w:val="single" w:color="000000" w:sz="4" w:space="0"/>
              <w:right w:val="single" w:color="000000" w:sz="4" w:space="0"/>
            </w:tcBorders>
            <w:noWrap w:val="0"/>
            <w:vAlign w:val="center"/>
          </w:tcPr>
          <w:p w14:paraId="73FFFD6F">
            <w:pPr>
              <w:widowControl/>
              <w:jc w:val="left"/>
              <w:rPr>
                <w:rFonts w:ascii="宋体" w:hAnsi="宋体" w:cs="Arial"/>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343D516C">
            <w:pPr>
              <w:widowControl/>
              <w:jc w:val="left"/>
              <w:rPr>
                <w:rFonts w:ascii="宋体" w:hAnsi="宋体" w:cs="Arial"/>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40C70E38">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761D5712">
            <w:pPr>
              <w:widowControl/>
              <w:jc w:val="right"/>
              <w:rPr>
                <w:rFonts w:ascii="宋体" w:hAnsi="宋体" w:cs="Arial"/>
                <w:kern w:val="0"/>
                <w:szCs w:val="21"/>
              </w:rPr>
            </w:pPr>
          </w:p>
        </w:tc>
        <w:tc>
          <w:tcPr>
            <w:tcW w:w="841" w:type="pct"/>
            <w:tcBorders>
              <w:top w:val="nil"/>
              <w:left w:val="nil"/>
              <w:bottom w:val="single" w:color="000000" w:sz="4" w:space="0"/>
              <w:right w:val="single" w:color="000000" w:sz="8" w:space="0"/>
            </w:tcBorders>
            <w:noWrap w:val="0"/>
            <w:vAlign w:val="center"/>
          </w:tcPr>
          <w:p w14:paraId="2527C39D">
            <w:pPr>
              <w:widowControl/>
              <w:jc w:val="right"/>
              <w:rPr>
                <w:rFonts w:ascii="宋体" w:hAnsi="宋体" w:cs="Arial"/>
                <w:kern w:val="0"/>
                <w:szCs w:val="21"/>
              </w:rPr>
            </w:pPr>
          </w:p>
        </w:tc>
      </w:tr>
      <w:tr w14:paraId="25BE0861">
        <w:trPr>
          <w:trHeight w:val="680" w:hRule="atLeast"/>
        </w:trPr>
        <w:tc>
          <w:tcPr>
            <w:tcW w:w="4159" w:type="pct"/>
            <w:gridSpan w:val="5"/>
            <w:tcBorders>
              <w:top w:val="single" w:color="000000" w:sz="4" w:space="0"/>
              <w:left w:val="single" w:color="000000" w:sz="8" w:space="0"/>
              <w:bottom w:val="single" w:color="000000" w:sz="8" w:space="0"/>
              <w:right w:val="single" w:color="000000" w:sz="4" w:space="0"/>
            </w:tcBorders>
            <w:noWrap w:val="0"/>
            <w:vAlign w:val="center"/>
          </w:tcPr>
          <w:p w14:paraId="50EB19C4">
            <w:pPr>
              <w:widowControl/>
              <w:jc w:val="center"/>
              <w:rPr>
                <w:rFonts w:ascii="宋体" w:hAnsi="宋体" w:cs="Arial"/>
                <w:kern w:val="0"/>
                <w:szCs w:val="21"/>
              </w:rPr>
            </w:pPr>
            <w:r>
              <w:rPr>
                <w:rFonts w:hint="eastAsia" w:ascii="宋体" w:hAnsi="宋体" w:cs="Arial"/>
                <w:kern w:val="0"/>
                <w:szCs w:val="21"/>
              </w:rPr>
              <w:t>合   计</w:t>
            </w:r>
          </w:p>
        </w:tc>
        <w:tc>
          <w:tcPr>
            <w:tcW w:w="841" w:type="pct"/>
            <w:tcBorders>
              <w:top w:val="nil"/>
              <w:left w:val="nil"/>
              <w:bottom w:val="single" w:color="000000" w:sz="8" w:space="0"/>
              <w:right w:val="single" w:color="000000" w:sz="8" w:space="0"/>
            </w:tcBorders>
            <w:noWrap w:val="0"/>
            <w:vAlign w:val="center"/>
          </w:tcPr>
          <w:p w14:paraId="67319547">
            <w:pPr>
              <w:widowControl/>
              <w:jc w:val="right"/>
              <w:rPr>
                <w:rFonts w:ascii="宋体" w:hAnsi="宋体" w:cs="Arial"/>
                <w:kern w:val="0"/>
                <w:szCs w:val="21"/>
              </w:rPr>
            </w:pPr>
          </w:p>
        </w:tc>
      </w:tr>
    </w:tbl>
    <w:p w14:paraId="01311E8D">
      <w:pPr>
        <w:jc w:val="center"/>
        <w:rPr>
          <w:rFonts w:hint="eastAsia" w:ascii="宋体" w:hAnsi="宋体"/>
          <w:sz w:val="32"/>
          <w:szCs w:val="32"/>
        </w:rPr>
      </w:pPr>
      <w:bookmarkStart w:id="483" w:name="_Toc460227130"/>
      <w:bookmarkStart w:id="484" w:name="_Toc460660245"/>
    </w:p>
    <w:p w14:paraId="5400E8E8">
      <w:pPr>
        <w:jc w:val="center"/>
        <w:outlineLvl w:val="2"/>
        <w:rPr>
          <w:rFonts w:hint="eastAsia" w:ascii="宋体" w:hAnsi="宋体"/>
          <w:sz w:val="28"/>
          <w:szCs w:val="28"/>
        </w:rPr>
      </w:pPr>
      <w:r>
        <w:rPr>
          <w:rFonts w:hint="eastAsia" w:ascii="宋体" w:hAnsi="宋体"/>
          <w:sz w:val="28"/>
          <w:szCs w:val="28"/>
        </w:rPr>
        <w:t>（八）</w:t>
      </w:r>
      <w:bookmarkEnd w:id="483"/>
      <w:bookmarkEnd w:id="484"/>
      <w:r>
        <w:rPr>
          <w:rFonts w:hint="eastAsia" w:ascii="宋体" w:hAnsi="宋体"/>
          <w:sz w:val="28"/>
          <w:szCs w:val="28"/>
        </w:rPr>
        <w:t>不可竞争项目清单与计价表</w:t>
      </w:r>
    </w:p>
    <w:p w14:paraId="1D7AD9CE">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800"/>
        <w:gridCol w:w="1582"/>
        <w:gridCol w:w="2363"/>
        <w:gridCol w:w="1582"/>
        <w:gridCol w:w="1248"/>
        <w:gridCol w:w="1600"/>
      </w:tblGrid>
      <w:tr w14:paraId="4E9B3170">
        <w:trPr>
          <w:trHeight w:val="69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38FA668">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0B0DFCC2">
            <w:pPr>
              <w:widowControl/>
              <w:jc w:val="center"/>
              <w:rPr>
                <w:rFonts w:ascii="黑体" w:hAnsi="黑体" w:eastAsia="黑体" w:cs="Arial"/>
                <w:kern w:val="0"/>
                <w:szCs w:val="21"/>
              </w:rPr>
            </w:pPr>
            <w:r>
              <w:rPr>
                <w:rFonts w:hint="eastAsia" w:ascii="黑体" w:hAnsi="黑体" w:eastAsia="黑体" w:cs="Arial"/>
                <w:kern w:val="0"/>
                <w:szCs w:val="21"/>
              </w:rPr>
              <w:t>项目编码</w:t>
            </w:r>
          </w:p>
        </w:tc>
        <w:tc>
          <w:tcPr>
            <w:tcW w:w="1288" w:type="pct"/>
            <w:tcBorders>
              <w:top w:val="single" w:color="000000" w:sz="8" w:space="0"/>
              <w:left w:val="nil"/>
              <w:bottom w:val="single" w:color="000000" w:sz="4" w:space="0"/>
              <w:right w:val="single" w:color="000000" w:sz="4" w:space="0"/>
            </w:tcBorders>
            <w:shd w:val="clear" w:color="FFFFFF" w:fill="FFFFFF"/>
            <w:noWrap w:val="0"/>
            <w:vAlign w:val="center"/>
          </w:tcPr>
          <w:p w14:paraId="44E306AB">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747D0A86">
            <w:pPr>
              <w:widowControl/>
              <w:jc w:val="center"/>
              <w:rPr>
                <w:rFonts w:ascii="黑体" w:hAnsi="黑体" w:eastAsia="黑体" w:cs="Arial"/>
                <w:kern w:val="0"/>
                <w:szCs w:val="21"/>
              </w:rPr>
            </w:pPr>
            <w:r>
              <w:rPr>
                <w:rFonts w:hint="eastAsia" w:ascii="黑体" w:hAnsi="黑体" w:eastAsia="黑体" w:cs="Arial"/>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26F5F897">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872" w:type="pct"/>
            <w:tcBorders>
              <w:top w:val="single" w:color="000000" w:sz="8" w:space="0"/>
              <w:left w:val="nil"/>
              <w:bottom w:val="single" w:color="000000" w:sz="4" w:space="0"/>
              <w:right w:val="single" w:color="000000" w:sz="8" w:space="0"/>
            </w:tcBorders>
            <w:shd w:val="clear" w:color="FFFFFF" w:fill="FFFFFF"/>
            <w:noWrap w:val="0"/>
            <w:vAlign w:val="center"/>
          </w:tcPr>
          <w:p w14:paraId="751E33F6">
            <w:pPr>
              <w:widowControl/>
              <w:jc w:val="center"/>
              <w:rPr>
                <w:rFonts w:ascii="黑体" w:hAnsi="黑体" w:eastAsia="黑体" w:cs="Arial"/>
                <w:kern w:val="0"/>
                <w:szCs w:val="21"/>
              </w:rPr>
            </w:pPr>
            <w:r>
              <w:rPr>
                <w:rFonts w:hint="eastAsia" w:ascii="黑体" w:hAnsi="黑体" w:eastAsia="黑体" w:cs="Arial"/>
                <w:kern w:val="0"/>
                <w:szCs w:val="21"/>
              </w:rPr>
              <w:t>金额（元）</w:t>
            </w:r>
          </w:p>
        </w:tc>
      </w:tr>
      <w:tr w14:paraId="6A3E1A49">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F516A00">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noWrap w:val="0"/>
            <w:vAlign w:val="center"/>
          </w:tcPr>
          <w:p w14:paraId="5C24A78B">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5CA2D407">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0F34181B">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1B82E5">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noWrap w:val="0"/>
            <w:vAlign w:val="center"/>
          </w:tcPr>
          <w:p w14:paraId="7BC88D69">
            <w:pPr>
              <w:widowControl/>
              <w:jc w:val="right"/>
              <w:rPr>
                <w:rFonts w:ascii="宋体" w:hAnsi="宋体" w:cs="Arial"/>
                <w:kern w:val="0"/>
                <w:szCs w:val="21"/>
              </w:rPr>
            </w:pPr>
          </w:p>
        </w:tc>
      </w:tr>
      <w:tr w14:paraId="0EFCDD26">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A4932F6">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noWrap w:val="0"/>
            <w:vAlign w:val="center"/>
          </w:tcPr>
          <w:p w14:paraId="36EBDB95">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AB5B6DC">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F4E3D98">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EB0914">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noWrap w:val="0"/>
            <w:vAlign w:val="center"/>
          </w:tcPr>
          <w:p w14:paraId="4B1374C4">
            <w:pPr>
              <w:widowControl/>
              <w:jc w:val="right"/>
              <w:rPr>
                <w:rFonts w:ascii="宋体" w:hAnsi="宋体" w:cs="Arial"/>
                <w:kern w:val="0"/>
                <w:szCs w:val="21"/>
              </w:rPr>
            </w:pPr>
          </w:p>
        </w:tc>
      </w:tr>
      <w:tr w14:paraId="5031265E">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57ADB289">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noWrap w:val="0"/>
            <w:vAlign w:val="center"/>
          </w:tcPr>
          <w:p w14:paraId="50B63E87">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18631C5A">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6EFBF5C5">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8C86EE0">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noWrap w:val="0"/>
            <w:vAlign w:val="center"/>
          </w:tcPr>
          <w:p w14:paraId="4A0D4862">
            <w:pPr>
              <w:widowControl/>
              <w:jc w:val="right"/>
              <w:rPr>
                <w:rFonts w:ascii="宋体" w:hAnsi="宋体" w:cs="Arial"/>
                <w:kern w:val="0"/>
                <w:szCs w:val="21"/>
              </w:rPr>
            </w:pPr>
          </w:p>
        </w:tc>
      </w:tr>
      <w:tr w14:paraId="5BD1139D">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2B5356AA">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noWrap w:val="0"/>
            <w:vAlign w:val="center"/>
          </w:tcPr>
          <w:p w14:paraId="0C80F339">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5240E2B">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A74C1BF">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6BD0028">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noWrap w:val="0"/>
            <w:vAlign w:val="center"/>
          </w:tcPr>
          <w:p w14:paraId="115B1D48">
            <w:pPr>
              <w:widowControl/>
              <w:jc w:val="right"/>
              <w:rPr>
                <w:rFonts w:ascii="宋体" w:hAnsi="宋体" w:cs="Arial"/>
                <w:kern w:val="0"/>
                <w:szCs w:val="21"/>
              </w:rPr>
            </w:pPr>
          </w:p>
        </w:tc>
      </w:tr>
      <w:tr w14:paraId="398EF8F2">
        <w:trPr>
          <w:trHeight w:val="680" w:hRule="atLeast"/>
        </w:trPr>
        <w:tc>
          <w:tcPr>
            <w:tcW w:w="4128" w:type="pct"/>
            <w:gridSpan w:val="5"/>
            <w:tcBorders>
              <w:top w:val="single" w:color="000000" w:sz="4" w:space="0"/>
              <w:left w:val="single" w:color="000000" w:sz="8" w:space="0"/>
              <w:bottom w:val="single" w:color="000000" w:sz="8" w:space="0"/>
              <w:right w:val="single" w:color="000000" w:sz="4" w:space="0"/>
            </w:tcBorders>
            <w:noWrap w:val="0"/>
            <w:vAlign w:val="center"/>
          </w:tcPr>
          <w:p w14:paraId="270050C8">
            <w:pPr>
              <w:widowControl/>
              <w:jc w:val="center"/>
              <w:rPr>
                <w:rFonts w:ascii="宋体" w:hAnsi="宋体" w:cs="Arial"/>
                <w:kern w:val="0"/>
                <w:szCs w:val="21"/>
              </w:rPr>
            </w:pPr>
            <w:r>
              <w:rPr>
                <w:rFonts w:hint="eastAsia" w:ascii="宋体" w:hAnsi="宋体" w:cs="Arial"/>
                <w:kern w:val="0"/>
                <w:szCs w:val="21"/>
              </w:rPr>
              <w:t>合   计</w:t>
            </w:r>
          </w:p>
        </w:tc>
        <w:tc>
          <w:tcPr>
            <w:tcW w:w="872" w:type="pct"/>
            <w:tcBorders>
              <w:top w:val="nil"/>
              <w:left w:val="nil"/>
              <w:bottom w:val="single" w:color="000000" w:sz="8" w:space="0"/>
              <w:right w:val="single" w:color="000000" w:sz="8" w:space="0"/>
            </w:tcBorders>
            <w:noWrap w:val="0"/>
            <w:vAlign w:val="center"/>
          </w:tcPr>
          <w:p w14:paraId="2887FE60">
            <w:pPr>
              <w:widowControl/>
              <w:jc w:val="right"/>
              <w:rPr>
                <w:rFonts w:ascii="宋体" w:hAnsi="宋体" w:cs="Arial"/>
                <w:kern w:val="0"/>
                <w:szCs w:val="21"/>
              </w:rPr>
            </w:pPr>
          </w:p>
        </w:tc>
      </w:tr>
    </w:tbl>
    <w:p w14:paraId="6B47EC3E">
      <w:pPr>
        <w:jc w:val="center"/>
        <w:outlineLvl w:val="2"/>
        <w:rPr>
          <w:rFonts w:hint="eastAsia" w:ascii="宋体" w:hAnsi="宋体"/>
          <w:sz w:val="28"/>
          <w:szCs w:val="28"/>
        </w:rPr>
      </w:pPr>
      <w:bookmarkStart w:id="485" w:name="_Toc460227131"/>
      <w:bookmarkStart w:id="486" w:name="_Toc460660246"/>
      <w:r>
        <w:rPr>
          <w:rFonts w:ascii="宋体" w:hAnsi="宋体"/>
          <w:sz w:val="28"/>
          <w:szCs w:val="28"/>
        </w:rPr>
        <w:br w:type="page"/>
      </w:r>
      <w:r>
        <w:rPr>
          <w:rFonts w:hint="eastAsia" w:ascii="宋体" w:hAnsi="宋体"/>
          <w:sz w:val="28"/>
          <w:szCs w:val="28"/>
        </w:rPr>
        <w:t>（九）</w:t>
      </w:r>
      <w:bookmarkEnd w:id="485"/>
      <w:bookmarkEnd w:id="486"/>
      <w:r>
        <w:rPr>
          <w:rFonts w:hint="eastAsia" w:ascii="宋体" w:hAnsi="宋体"/>
          <w:sz w:val="28"/>
          <w:szCs w:val="28"/>
        </w:rPr>
        <w:t>其他项目清单与计价汇总表</w:t>
      </w:r>
    </w:p>
    <w:p w14:paraId="77065D4A">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1663"/>
        <w:gridCol w:w="4167"/>
        <w:gridCol w:w="3345"/>
      </w:tblGrid>
      <w:tr w14:paraId="21A52760">
        <w:trPr>
          <w:trHeight w:val="690" w:hRule="atLeast"/>
        </w:trPr>
        <w:tc>
          <w:tcPr>
            <w:tcW w:w="9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3309AF9">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2271" w:type="pct"/>
            <w:tcBorders>
              <w:top w:val="single" w:color="000000" w:sz="8" w:space="0"/>
              <w:left w:val="nil"/>
              <w:bottom w:val="single" w:color="000000" w:sz="4" w:space="0"/>
              <w:right w:val="single" w:color="000000" w:sz="4" w:space="0"/>
            </w:tcBorders>
            <w:shd w:val="clear" w:color="FFFFFF" w:fill="FFFFFF"/>
            <w:noWrap w:val="0"/>
            <w:vAlign w:val="center"/>
          </w:tcPr>
          <w:p w14:paraId="23C86F3E">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1823" w:type="pct"/>
            <w:tcBorders>
              <w:top w:val="single" w:color="000000" w:sz="8" w:space="0"/>
              <w:left w:val="nil"/>
              <w:bottom w:val="single" w:color="000000" w:sz="4" w:space="0"/>
              <w:right w:val="single" w:color="000000" w:sz="8" w:space="0"/>
            </w:tcBorders>
            <w:shd w:val="clear" w:color="FFFFFF" w:fill="FFFFFF"/>
            <w:noWrap w:val="0"/>
            <w:vAlign w:val="center"/>
          </w:tcPr>
          <w:p w14:paraId="31409781">
            <w:pPr>
              <w:widowControl/>
              <w:jc w:val="center"/>
              <w:rPr>
                <w:rFonts w:ascii="黑体" w:hAnsi="黑体" w:eastAsia="黑体" w:cs="Arial"/>
                <w:kern w:val="0"/>
                <w:szCs w:val="21"/>
              </w:rPr>
            </w:pPr>
            <w:r>
              <w:rPr>
                <w:rFonts w:hint="eastAsia" w:ascii="黑体" w:hAnsi="黑体" w:eastAsia="黑体" w:cs="Arial"/>
                <w:kern w:val="0"/>
                <w:szCs w:val="21"/>
              </w:rPr>
              <w:t>金额(元)</w:t>
            </w:r>
          </w:p>
        </w:tc>
      </w:tr>
      <w:tr w14:paraId="75AFE2B6">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4E4595E2">
            <w:pPr>
              <w:widowControl/>
              <w:jc w:val="center"/>
              <w:rPr>
                <w:rFonts w:ascii="宋体" w:hAnsi="宋体" w:cs="Arial"/>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2DE5EC22">
            <w:pPr>
              <w:widowControl/>
              <w:jc w:val="left"/>
              <w:rPr>
                <w:rFonts w:ascii="宋体" w:hAnsi="宋体" w:cs="Arial"/>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301F0283">
            <w:pPr>
              <w:widowControl/>
              <w:jc w:val="right"/>
              <w:rPr>
                <w:rFonts w:ascii="宋体" w:hAnsi="宋体" w:cs="Arial"/>
                <w:kern w:val="0"/>
                <w:szCs w:val="21"/>
              </w:rPr>
            </w:pPr>
            <w:r>
              <w:rPr>
                <w:rFonts w:hint="eastAsia" w:ascii="宋体" w:hAnsi="宋体" w:cs="Arial"/>
                <w:kern w:val="0"/>
                <w:szCs w:val="21"/>
              </w:rPr>
              <w:t>　</w:t>
            </w:r>
          </w:p>
        </w:tc>
      </w:tr>
      <w:tr w14:paraId="0B83FD02">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3C9D944E">
            <w:pPr>
              <w:widowControl/>
              <w:jc w:val="center"/>
              <w:rPr>
                <w:rFonts w:ascii="宋体" w:hAnsi="宋体" w:cs="Arial"/>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567681C1">
            <w:pPr>
              <w:widowControl/>
              <w:jc w:val="left"/>
              <w:rPr>
                <w:rFonts w:ascii="宋体" w:hAnsi="宋体" w:cs="Arial"/>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1AD5ECFC">
            <w:pPr>
              <w:widowControl/>
              <w:jc w:val="right"/>
              <w:rPr>
                <w:rFonts w:ascii="宋体" w:hAnsi="宋体" w:cs="Arial"/>
                <w:kern w:val="0"/>
                <w:szCs w:val="21"/>
              </w:rPr>
            </w:pPr>
            <w:r>
              <w:rPr>
                <w:rFonts w:hint="eastAsia" w:ascii="宋体" w:hAnsi="宋体" w:cs="Arial"/>
                <w:kern w:val="0"/>
                <w:szCs w:val="21"/>
              </w:rPr>
              <w:t>　</w:t>
            </w:r>
          </w:p>
        </w:tc>
      </w:tr>
      <w:tr w14:paraId="63C5AEB2">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229A384F">
            <w:pPr>
              <w:widowControl/>
              <w:jc w:val="center"/>
              <w:rPr>
                <w:rFonts w:ascii="宋体" w:hAnsi="宋体" w:cs="Arial"/>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18BCFBE4">
            <w:pPr>
              <w:widowControl/>
              <w:jc w:val="left"/>
              <w:rPr>
                <w:rFonts w:ascii="宋体" w:hAnsi="宋体" w:cs="Arial"/>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22E91EF2">
            <w:pPr>
              <w:widowControl/>
              <w:jc w:val="right"/>
              <w:rPr>
                <w:rFonts w:ascii="宋体" w:hAnsi="宋体" w:cs="Arial"/>
                <w:kern w:val="0"/>
                <w:szCs w:val="21"/>
              </w:rPr>
            </w:pPr>
            <w:r>
              <w:rPr>
                <w:rFonts w:hint="eastAsia" w:ascii="宋体" w:hAnsi="宋体" w:cs="Arial"/>
                <w:kern w:val="0"/>
                <w:szCs w:val="21"/>
              </w:rPr>
              <w:t>　</w:t>
            </w:r>
          </w:p>
        </w:tc>
      </w:tr>
      <w:tr w14:paraId="0D978A33">
        <w:trPr>
          <w:trHeight w:val="680" w:hRule="atLeast"/>
        </w:trPr>
        <w:tc>
          <w:tcPr>
            <w:tcW w:w="3177" w:type="pct"/>
            <w:gridSpan w:val="2"/>
            <w:tcBorders>
              <w:top w:val="single" w:color="000000" w:sz="4" w:space="0"/>
              <w:left w:val="single" w:color="000000" w:sz="8" w:space="0"/>
              <w:bottom w:val="single" w:color="000000" w:sz="8" w:space="0"/>
              <w:right w:val="single" w:color="000000" w:sz="4" w:space="0"/>
            </w:tcBorders>
            <w:noWrap w:val="0"/>
            <w:vAlign w:val="center"/>
          </w:tcPr>
          <w:p w14:paraId="5C3020AE">
            <w:pPr>
              <w:widowControl/>
              <w:jc w:val="center"/>
              <w:rPr>
                <w:rFonts w:ascii="宋体" w:hAnsi="宋体" w:cs="Arial"/>
                <w:kern w:val="0"/>
                <w:szCs w:val="21"/>
              </w:rPr>
            </w:pPr>
            <w:r>
              <w:rPr>
                <w:rFonts w:hint="eastAsia" w:ascii="宋体" w:hAnsi="宋体" w:cs="Arial"/>
                <w:kern w:val="0"/>
                <w:szCs w:val="21"/>
              </w:rPr>
              <w:t>合  计</w:t>
            </w:r>
          </w:p>
        </w:tc>
        <w:tc>
          <w:tcPr>
            <w:tcW w:w="1823" w:type="pct"/>
            <w:tcBorders>
              <w:top w:val="single" w:color="000000" w:sz="4" w:space="0"/>
              <w:left w:val="nil"/>
              <w:bottom w:val="single" w:color="000000" w:sz="8" w:space="0"/>
              <w:right w:val="single" w:color="000000" w:sz="8" w:space="0"/>
            </w:tcBorders>
            <w:noWrap w:val="0"/>
            <w:vAlign w:val="center"/>
          </w:tcPr>
          <w:p w14:paraId="19E63823">
            <w:pPr>
              <w:widowControl/>
              <w:jc w:val="right"/>
              <w:rPr>
                <w:rFonts w:ascii="宋体" w:hAnsi="宋体" w:cs="Arial"/>
                <w:kern w:val="0"/>
                <w:szCs w:val="21"/>
              </w:rPr>
            </w:pPr>
          </w:p>
        </w:tc>
      </w:tr>
    </w:tbl>
    <w:p w14:paraId="2B683399">
      <w:pPr>
        <w:jc w:val="center"/>
        <w:rPr>
          <w:rFonts w:hint="eastAsia" w:ascii="宋体" w:hAnsi="宋体"/>
          <w:sz w:val="28"/>
          <w:szCs w:val="28"/>
        </w:rPr>
      </w:pPr>
      <w:bookmarkStart w:id="487" w:name="_Toc460660247"/>
      <w:bookmarkStart w:id="488" w:name="_Toc460227132"/>
      <w:bookmarkStart w:id="489" w:name="_Toc535241136"/>
    </w:p>
    <w:p w14:paraId="0AAA014B">
      <w:pPr>
        <w:jc w:val="center"/>
        <w:outlineLvl w:val="2"/>
        <w:rPr>
          <w:rFonts w:ascii="宋体" w:hAnsi="宋体"/>
          <w:sz w:val="28"/>
          <w:szCs w:val="28"/>
        </w:rPr>
      </w:pPr>
      <w:r>
        <w:rPr>
          <w:rFonts w:hint="eastAsia" w:ascii="宋体" w:hAnsi="宋体"/>
          <w:sz w:val="28"/>
          <w:szCs w:val="28"/>
        </w:rPr>
        <w:t>（十）</w:t>
      </w:r>
      <w:bookmarkEnd w:id="487"/>
      <w:bookmarkEnd w:id="488"/>
      <w:r>
        <w:rPr>
          <w:rFonts w:hint="eastAsia" w:ascii="宋体" w:hAnsi="宋体"/>
          <w:sz w:val="28"/>
          <w:szCs w:val="28"/>
        </w:rPr>
        <w:t>暂列金额明细表</w:t>
      </w:r>
      <w:bookmarkEnd w:id="489"/>
    </w:p>
    <w:p w14:paraId="0A8EBB1F">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36"/>
        <w:gridCol w:w="1620"/>
        <w:gridCol w:w="1620"/>
        <w:gridCol w:w="1387"/>
        <w:gridCol w:w="936"/>
        <w:gridCol w:w="938"/>
        <w:gridCol w:w="1738"/>
      </w:tblGrid>
      <w:tr w14:paraId="6B1AE906">
        <w:trPr>
          <w:trHeight w:val="690"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7974FE2">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766"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1590EAD4">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756" w:type="pct"/>
            <w:tcBorders>
              <w:top w:val="single" w:color="000000" w:sz="8" w:space="0"/>
              <w:left w:val="nil"/>
              <w:bottom w:val="single" w:color="000000" w:sz="4" w:space="0"/>
              <w:right w:val="single" w:color="000000" w:sz="4" w:space="0"/>
            </w:tcBorders>
            <w:shd w:val="clear" w:color="FFFFFF" w:fill="FFFFFF"/>
            <w:noWrap w:val="0"/>
            <w:vAlign w:val="center"/>
          </w:tcPr>
          <w:p w14:paraId="625B78A6">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1021"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5A08CFE4">
            <w:pPr>
              <w:widowControl/>
              <w:jc w:val="center"/>
              <w:rPr>
                <w:rFonts w:ascii="黑体" w:hAnsi="黑体" w:eastAsia="黑体" w:cs="Arial"/>
                <w:kern w:val="0"/>
                <w:szCs w:val="21"/>
              </w:rPr>
            </w:pPr>
            <w:r>
              <w:rPr>
                <w:rFonts w:hint="eastAsia" w:ascii="黑体" w:hAnsi="黑体" w:eastAsia="黑体" w:cs="Arial"/>
                <w:kern w:val="0"/>
                <w:szCs w:val="21"/>
              </w:rPr>
              <w:t>暂定金额(元)</w:t>
            </w:r>
          </w:p>
        </w:tc>
        <w:tc>
          <w:tcPr>
            <w:tcW w:w="947" w:type="pct"/>
            <w:tcBorders>
              <w:top w:val="single" w:color="000000" w:sz="8" w:space="0"/>
              <w:left w:val="nil"/>
              <w:bottom w:val="single" w:color="000000" w:sz="4" w:space="0"/>
              <w:right w:val="single" w:color="000000" w:sz="8" w:space="0"/>
            </w:tcBorders>
            <w:shd w:val="clear" w:color="FFFFFF" w:fill="FFFFFF"/>
            <w:noWrap w:val="0"/>
            <w:vAlign w:val="center"/>
          </w:tcPr>
          <w:p w14:paraId="67D7D3CF">
            <w:pPr>
              <w:widowControl/>
              <w:jc w:val="center"/>
              <w:rPr>
                <w:rFonts w:ascii="黑体" w:hAnsi="黑体" w:eastAsia="黑体" w:cs="Arial"/>
                <w:kern w:val="0"/>
                <w:szCs w:val="21"/>
              </w:rPr>
            </w:pPr>
            <w:r>
              <w:rPr>
                <w:rFonts w:hint="eastAsia" w:ascii="黑体" w:hAnsi="黑体" w:eastAsia="黑体" w:cs="Arial"/>
                <w:kern w:val="0"/>
                <w:szCs w:val="21"/>
              </w:rPr>
              <w:t>备注</w:t>
            </w:r>
          </w:p>
        </w:tc>
      </w:tr>
      <w:tr w14:paraId="17D3DC1D">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42A7C8D">
            <w:pPr>
              <w:widowControl/>
              <w:jc w:val="center"/>
              <w:rPr>
                <w:rFonts w:ascii="宋体" w:hAnsi="宋体" w:cs="Arial"/>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0DB9813A">
            <w:pPr>
              <w:widowControl/>
              <w:jc w:val="left"/>
              <w:rPr>
                <w:rFonts w:ascii="宋体" w:hAnsi="宋体" w:cs="Arial"/>
                <w:kern w:val="0"/>
                <w:szCs w:val="21"/>
              </w:rPr>
            </w:pPr>
          </w:p>
        </w:tc>
        <w:tc>
          <w:tcPr>
            <w:tcW w:w="756" w:type="pct"/>
            <w:tcBorders>
              <w:top w:val="nil"/>
              <w:left w:val="nil"/>
              <w:bottom w:val="single" w:color="000000" w:sz="4" w:space="0"/>
              <w:right w:val="single" w:color="000000" w:sz="4" w:space="0"/>
            </w:tcBorders>
            <w:noWrap w:val="0"/>
            <w:vAlign w:val="center"/>
          </w:tcPr>
          <w:p w14:paraId="4479DEC4">
            <w:pPr>
              <w:widowControl/>
              <w:jc w:val="center"/>
              <w:rPr>
                <w:rFonts w:ascii="宋体" w:hAnsi="宋体" w:cs="Arial"/>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12FB90EC">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noWrap w:val="0"/>
            <w:vAlign w:val="center"/>
          </w:tcPr>
          <w:p w14:paraId="6F645871">
            <w:pPr>
              <w:widowControl/>
              <w:jc w:val="left"/>
              <w:rPr>
                <w:rFonts w:ascii="宋体" w:hAnsi="宋体" w:cs="Arial"/>
                <w:kern w:val="0"/>
                <w:szCs w:val="21"/>
              </w:rPr>
            </w:pPr>
          </w:p>
        </w:tc>
      </w:tr>
      <w:tr w14:paraId="02A5AFAF">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3ECA2EC">
            <w:pPr>
              <w:widowControl/>
              <w:jc w:val="center"/>
              <w:rPr>
                <w:rFonts w:ascii="宋体" w:hAnsi="宋体" w:cs="Arial"/>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3677104D">
            <w:pPr>
              <w:widowControl/>
              <w:jc w:val="left"/>
              <w:rPr>
                <w:rFonts w:ascii="宋体" w:hAnsi="宋体" w:cs="Arial"/>
                <w:kern w:val="0"/>
                <w:szCs w:val="21"/>
              </w:rPr>
            </w:pPr>
          </w:p>
        </w:tc>
        <w:tc>
          <w:tcPr>
            <w:tcW w:w="756" w:type="pct"/>
            <w:tcBorders>
              <w:top w:val="nil"/>
              <w:left w:val="nil"/>
              <w:bottom w:val="single" w:color="000000" w:sz="4" w:space="0"/>
              <w:right w:val="single" w:color="000000" w:sz="4" w:space="0"/>
            </w:tcBorders>
            <w:noWrap w:val="0"/>
            <w:vAlign w:val="center"/>
          </w:tcPr>
          <w:p w14:paraId="092BF395">
            <w:pPr>
              <w:widowControl/>
              <w:jc w:val="center"/>
              <w:rPr>
                <w:rFonts w:ascii="宋体" w:hAnsi="宋体" w:cs="Arial"/>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67C65F59">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noWrap w:val="0"/>
            <w:vAlign w:val="center"/>
          </w:tcPr>
          <w:p w14:paraId="41F84160">
            <w:pPr>
              <w:widowControl/>
              <w:jc w:val="left"/>
              <w:rPr>
                <w:rFonts w:ascii="宋体" w:hAnsi="宋体" w:cs="Arial"/>
                <w:kern w:val="0"/>
                <w:szCs w:val="21"/>
              </w:rPr>
            </w:pPr>
          </w:p>
        </w:tc>
      </w:tr>
      <w:tr w14:paraId="15155F1E">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1DB96307">
            <w:pPr>
              <w:widowControl/>
              <w:jc w:val="center"/>
              <w:rPr>
                <w:rFonts w:ascii="宋体" w:hAnsi="宋体" w:cs="Arial"/>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7265575D">
            <w:pPr>
              <w:widowControl/>
              <w:jc w:val="left"/>
              <w:rPr>
                <w:rFonts w:ascii="宋体" w:hAnsi="宋体" w:cs="Arial"/>
                <w:kern w:val="0"/>
                <w:szCs w:val="21"/>
              </w:rPr>
            </w:pPr>
          </w:p>
        </w:tc>
        <w:tc>
          <w:tcPr>
            <w:tcW w:w="756" w:type="pct"/>
            <w:tcBorders>
              <w:top w:val="nil"/>
              <w:left w:val="nil"/>
              <w:bottom w:val="single" w:color="000000" w:sz="4" w:space="0"/>
              <w:right w:val="single" w:color="000000" w:sz="4" w:space="0"/>
            </w:tcBorders>
            <w:noWrap w:val="0"/>
            <w:vAlign w:val="center"/>
          </w:tcPr>
          <w:p w14:paraId="281C4AE0">
            <w:pPr>
              <w:widowControl/>
              <w:jc w:val="center"/>
              <w:rPr>
                <w:rFonts w:ascii="宋体" w:hAnsi="宋体" w:cs="Arial"/>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2933A18F">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noWrap w:val="0"/>
            <w:vAlign w:val="center"/>
          </w:tcPr>
          <w:p w14:paraId="1DA5CAA7">
            <w:pPr>
              <w:widowControl/>
              <w:jc w:val="left"/>
              <w:rPr>
                <w:rFonts w:ascii="宋体" w:hAnsi="宋体" w:cs="Arial"/>
                <w:kern w:val="0"/>
                <w:szCs w:val="21"/>
              </w:rPr>
            </w:pPr>
          </w:p>
        </w:tc>
      </w:tr>
      <w:tr w14:paraId="5CA246C3">
        <w:trPr>
          <w:trHeight w:val="680" w:hRule="atLeast"/>
        </w:trPr>
        <w:tc>
          <w:tcPr>
            <w:tcW w:w="3032" w:type="pct"/>
            <w:gridSpan w:val="4"/>
            <w:tcBorders>
              <w:top w:val="nil"/>
              <w:left w:val="single" w:color="000000" w:sz="8" w:space="0"/>
              <w:bottom w:val="single" w:color="000000" w:sz="4" w:space="0"/>
              <w:right w:val="single" w:color="000000" w:sz="4" w:space="0"/>
            </w:tcBorders>
            <w:noWrap w:val="0"/>
            <w:vAlign w:val="center"/>
          </w:tcPr>
          <w:p w14:paraId="5FB7EC76">
            <w:pPr>
              <w:widowControl/>
              <w:jc w:val="center"/>
              <w:rPr>
                <w:rFonts w:ascii="宋体" w:hAnsi="宋体" w:cs="Arial"/>
                <w:kern w:val="0"/>
                <w:szCs w:val="21"/>
              </w:rPr>
            </w:pPr>
            <w:r>
              <w:rPr>
                <w:rFonts w:hint="eastAsia" w:ascii="宋体" w:hAnsi="宋体" w:cs="Arial"/>
                <w:kern w:val="0"/>
                <w:szCs w:val="21"/>
              </w:rPr>
              <w:t>合  计</w:t>
            </w:r>
          </w:p>
        </w:tc>
        <w:tc>
          <w:tcPr>
            <w:tcW w:w="1021" w:type="pct"/>
            <w:gridSpan w:val="2"/>
            <w:tcBorders>
              <w:top w:val="single" w:color="000000" w:sz="4" w:space="0"/>
              <w:left w:val="nil"/>
              <w:bottom w:val="single" w:color="000000" w:sz="4" w:space="0"/>
              <w:right w:val="single" w:color="000000" w:sz="4" w:space="0"/>
            </w:tcBorders>
            <w:noWrap w:val="0"/>
            <w:vAlign w:val="center"/>
          </w:tcPr>
          <w:p w14:paraId="7B7FF11F">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noWrap w:val="0"/>
            <w:vAlign w:val="center"/>
          </w:tcPr>
          <w:p w14:paraId="2FB083C0">
            <w:pPr>
              <w:widowControl/>
              <w:jc w:val="left"/>
              <w:rPr>
                <w:rFonts w:ascii="宋体" w:hAnsi="宋体" w:cs="Arial"/>
                <w:kern w:val="0"/>
                <w:szCs w:val="21"/>
              </w:rPr>
            </w:pPr>
          </w:p>
        </w:tc>
      </w:tr>
      <w:tr w14:paraId="5F18405D">
        <w:trPr>
          <w:trHeight w:val="15" w:hRule="atLeast"/>
        </w:trPr>
        <w:tc>
          <w:tcPr>
            <w:tcW w:w="510" w:type="pct"/>
            <w:tcBorders>
              <w:top w:val="nil"/>
              <w:left w:val="nil"/>
              <w:bottom w:val="nil"/>
              <w:right w:val="nil"/>
            </w:tcBorders>
            <w:noWrap/>
            <w:vAlign w:val="top"/>
          </w:tcPr>
          <w:p w14:paraId="2F0C2A25">
            <w:pPr>
              <w:widowControl/>
              <w:jc w:val="left"/>
              <w:rPr>
                <w:rFonts w:ascii="Arial" w:hAnsi="Arial" w:cs="Arial"/>
                <w:kern w:val="0"/>
                <w:sz w:val="20"/>
                <w:szCs w:val="20"/>
              </w:rPr>
            </w:pPr>
          </w:p>
        </w:tc>
        <w:tc>
          <w:tcPr>
            <w:tcW w:w="883" w:type="pct"/>
            <w:tcBorders>
              <w:top w:val="nil"/>
              <w:left w:val="nil"/>
              <w:bottom w:val="nil"/>
              <w:right w:val="nil"/>
            </w:tcBorders>
            <w:noWrap/>
            <w:vAlign w:val="top"/>
          </w:tcPr>
          <w:p w14:paraId="7C84ABD5">
            <w:pPr>
              <w:widowControl/>
              <w:jc w:val="left"/>
              <w:rPr>
                <w:rFonts w:ascii="Arial" w:hAnsi="Arial" w:cs="Arial"/>
                <w:kern w:val="0"/>
                <w:sz w:val="20"/>
                <w:szCs w:val="20"/>
              </w:rPr>
            </w:pPr>
          </w:p>
        </w:tc>
        <w:tc>
          <w:tcPr>
            <w:tcW w:w="883" w:type="pct"/>
            <w:tcBorders>
              <w:top w:val="nil"/>
              <w:left w:val="nil"/>
              <w:bottom w:val="nil"/>
              <w:right w:val="nil"/>
            </w:tcBorders>
            <w:noWrap/>
            <w:vAlign w:val="top"/>
          </w:tcPr>
          <w:p w14:paraId="0DC4BFF8">
            <w:pPr>
              <w:widowControl/>
              <w:jc w:val="left"/>
              <w:rPr>
                <w:rFonts w:ascii="Arial" w:hAnsi="Arial" w:cs="Arial"/>
                <w:kern w:val="0"/>
                <w:sz w:val="20"/>
                <w:szCs w:val="20"/>
              </w:rPr>
            </w:pPr>
          </w:p>
        </w:tc>
        <w:tc>
          <w:tcPr>
            <w:tcW w:w="756" w:type="pct"/>
            <w:tcBorders>
              <w:top w:val="nil"/>
              <w:left w:val="nil"/>
              <w:bottom w:val="nil"/>
              <w:right w:val="nil"/>
            </w:tcBorders>
            <w:noWrap/>
            <w:vAlign w:val="top"/>
          </w:tcPr>
          <w:p w14:paraId="02F59788">
            <w:pPr>
              <w:widowControl/>
              <w:jc w:val="left"/>
              <w:rPr>
                <w:rFonts w:ascii="Arial" w:hAnsi="Arial" w:cs="Arial"/>
                <w:kern w:val="0"/>
                <w:sz w:val="20"/>
                <w:szCs w:val="20"/>
              </w:rPr>
            </w:pPr>
          </w:p>
        </w:tc>
        <w:tc>
          <w:tcPr>
            <w:tcW w:w="510" w:type="pct"/>
            <w:tcBorders>
              <w:top w:val="nil"/>
              <w:left w:val="nil"/>
              <w:bottom w:val="nil"/>
              <w:right w:val="nil"/>
            </w:tcBorders>
            <w:noWrap/>
            <w:vAlign w:val="top"/>
          </w:tcPr>
          <w:p w14:paraId="78602E28">
            <w:pPr>
              <w:widowControl/>
              <w:jc w:val="left"/>
              <w:rPr>
                <w:rFonts w:ascii="Arial" w:hAnsi="Arial" w:cs="Arial"/>
                <w:kern w:val="0"/>
                <w:sz w:val="20"/>
                <w:szCs w:val="20"/>
              </w:rPr>
            </w:pPr>
          </w:p>
        </w:tc>
        <w:tc>
          <w:tcPr>
            <w:tcW w:w="511" w:type="pct"/>
            <w:tcBorders>
              <w:top w:val="nil"/>
              <w:left w:val="nil"/>
              <w:bottom w:val="nil"/>
              <w:right w:val="nil"/>
            </w:tcBorders>
            <w:noWrap/>
            <w:vAlign w:val="top"/>
          </w:tcPr>
          <w:p w14:paraId="37745966">
            <w:pPr>
              <w:widowControl/>
              <w:jc w:val="left"/>
              <w:rPr>
                <w:rFonts w:ascii="Arial" w:hAnsi="Arial" w:cs="Arial"/>
                <w:kern w:val="0"/>
                <w:sz w:val="20"/>
                <w:szCs w:val="20"/>
              </w:rPr>
            </w:pPr>
          </w:p>
        </w:tc>
        <w:tc>
          <w:tcPr>
            <w:tcW w:w="947" w:type="pct"/>
            <w:tcBorders>
              <w:top w:val="nil"/>
              <w:left w:val="nil"/>
              <w:bottom w:val="nil"/>
              <w:right w:val="nil"/>
            </w:tcBorders>
            <w:noWrap/>
            <w:vAlign w:val="top"/>
          </w:tcPr>
          <w:p w14:paraId="721D05EC">
            <w:pPr>
              <w:widowControl/>
              <w:jc w:val="left"/>
              <w:rPr>
                <w:rFonts w:ascii="Arial" w:hAnsi="Arial" w:cs="Arial"/>
                <w:kern w:val="0"/>
                <w:sz w:val="20"/>
                <w:szCs w:val="20"/>
              </w:rPr>
            </w:pPr>
          </w:p>
        </w:tc>
      </w:tr>
    </w:tbl>
    <w:p w14:paraId="2478DB44">
      <w:pPr>
        <w:spacing w:before="48" w:beforeLines="20" w:after="48" w:afterLines="20" w:line="540" w:lineRule="exact"/>
        <w:rPr>
          <w:rFonts w:hint="eastAsia" w:ascii="宋体" w:hAnsi="宋体"/>
          <w:b/>
          <w:sz w:val="24"/>
          <w:szCs w:val="22"/>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661FFCA1">
      <w:pPr>
        <w:jc w:val="center"/>
        <w:outlineLvl w:val="2"/>
        <w:rPr>
          <w:rFonts w:hint="eastAsia"/>
          <w:sz w:val="28"/>
          <w:szCs w:val="28"/>
        </w:rPr>
      </w:pPr>
      <w:bookmarkStart w:id="490" w:name="_Toc171741995"/>
      <w:bookmarkStart w:id="491" w:name="_Toc460227133"/>
      <w:bookmarkStart w:id="492" w:name="_Toc460660248"/>
      <w:bookmarkStart w:id="493" w:name="_Toc171581552"/>
      <w:bookmarkStart w:id="494" w:name="_Toc171581372"/>
      <w:bookmarkStart w:id="495" w:name="_Toc17215715"/>
      <w:bookmarkStart w:id="496" w:name="_Toc44996377"/>
      <w:bookmarkStart w:id="497" w:name="_Toc535241137"/>
      <w:r>
        <w:rPr>
          <w:rFonts w:hint="eastAsia"/>
          <w:sz w:val="28"/>
          <w:szCs w:val="28"/>
        </w:rPr>
        <w:t>（十一）</w:t>
      </w:r>
      <w:bookmarkEnd w:id="490"/>
      <w:bookmarkEnd w:id="491"/>
      <w:bookmarkEnd w:id="492"/>
      <w:bookmarkEnd w:id="493"/>
      <w:bookmarkEnd w:id="494"/>
      <w:bookmarkEnd w:id="495"/>
      <w:bookmarkEnd w:id="496"/>
      <w:r>
        <w:rPr>
          <w:rFonts w:hint="eastAsia"/>
          <w:sz w:val="28"/>
          <w:szCs w:val="28"/>
        </w:rPr>
        <w:t>专业工程暂估价计价表</w:t>
      </w:r>
      <w:bookmarkEnd w:id="497"/>
    </w:p>
    <w:p w14:paraId="12B35279">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69"/>
        <w:gridCol w:w="2867"/>
        <w:gridCol w:w="2383"/>
        <w:gridCol w:w="1918"/>
        <w:gridCol w:w="1434"/>
      </w:tblGrid>
      <w:tr w14:paraId="659F2F90">
        <w:trPr>
          <w:trHeight w:val="690" w:hRule="atLeast"/>
        </w:trPr>
        <w:tc>
          <w:tcPr>
            <w:tcW w:w="5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7F9A2E5">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498" w:type="pct"/>
            <w:tcBorders>
              <w:top w:val="single" w:color="000000" w:sz="8" w:space="0"/>
              <w:left w:val="nil"/>
              <w:bottom w:val="single" w:color="000000" w:sz="4" w:space="0"/>
              <w:right w:val="single" w:color="000000" w:sz="4" w:space="0"/>
            </w:tcBorders>
            <w:shd w:val="clear" w:color="FFFFFF" w:fill="FFFFFF"/>
            <w:noWrap w:val="0"/>
            <w:vAlign w:val="center"/>
          </w:tcPr>
          <w:p w14:paraId="0CB7685D">
            <w:pPr>
              <w:widowControl/>
              <w:jc w:val="center"/>
              <w:rPr>
                <w:rFonts w:ascii="黑体" w:hAnsi="黑体" w:eastAsia="黑体" w:cs="Arial"/>
                <w:kern w:val="0"/>
                <w:szCs w:val="21"/>
              </w:rPr>
            </w:pPr>
            <w:r>
              <w:rPr>
                <w:rFonts w:hint="eastAsia" w:ascii="黑体" w:hAnsi="黑体" w:eastAsia="黑体" w:cs="Arial"/>
                <w:kern w:val="0"/>
                <w:szCs w:val="21"/>
              </w:rPr>
              <w:t>工程名称</w:t>
            </w:r>
          </w:p>
        </w:tc>
        <w:tc>
          <w:tcPr>
            <w:tcW w:w="1245" w:type="pct"/>
            <w:tcBorders>
              <w:top w:val="single" w:color="000000" w:sz="8" w:space="0"/>
              <w:left w:val="nil"/>
              <w:bottom w:val="single" w:color="000000" w:sz="4" w:space="0"/>
              <w:right w:val="single" w:color="000000" w:sz="4" w:space="0"/>
            </w:tcBorders>
            <w:shd w:val="clear" w:color="FFFFFF" w:fill="FFFFFF"/>
            <w:noWrap w:val="0"/>
            <w:vAlign w:val="center"/>
          </w:tcPr>
          <w:p w14:paraId="594535F4">
            <w:pPr>
              <w:widowControl/>
              <w:jc w:val="center"/>
              <w:rPr>
                <w:rFonts w:ascii="黑体" w:hAnsi="黑体" w:eastAsia="黑体" w:cs="Arial"/>
                <w:kern w:val="0"/>
                <w:szCs w:val="21"/>
              </w:rPr>
            </w:pPr>
            <w:r>
              <w:rPr>
                <w:rFonts w:hint="eastAsia" w:ascii="黑体" w:hAnsi="黑体" w:eastAsia="黑体" w:cs="Arial"/>
                <w:kern w:val="0"/>
                <w:szCs w:val="21"/>
              </w:rPr>
              <w:t>工程内容</w:t>
            </w:r>
          </w:p>
        </w:tc>
        <w:tc>
          <w:tcPr>
            <w:tcW w:w="1002" w:type="pct"/>
            <w:tcBorders>
              <w:top w:val="single" w:color="000000" w:sz="8" w:space="0"/>
              <w:left w:val="nil"/>
              <w:bottom w:val="single" w:color="000000" w:sz="4" w:space="0"/>
              <w:right w:val="single" w:color="000000" w:sz="4" w:space="0"/>
            </w:tcBorders>
            <w:shd w:val="clear" w:color="FFFFFF" w:fill="FFFFFF"/>
            <w:noWrap w:val="0"/>
            <w:vAlign w:val="center"/>
          </w:tcPr>
          <w:p w14:paraId="3245F6BE">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749" w:type="pct"/>
            <w:tcBorders>
              <w:top w:val="single" w:color="000000" w:sz="8" w:space="0"/>
              <w:left w:val="nil"/>
              <w:bottom w:val="single" w:color="000000" w:sz="4" w:space="0"/>
              <w:right w:val="single" w:color="000000" w:sz="8" w:space="0"/>
            </w:tcBorders>
            <w:shd w:val="clear" w:color="FFFFFF" w:fill="FFFFFF"/>
            <w:noWrap w:val="0"/>
            <w:vAlign w:val="center"/>
          </w:tcPr>
          <w:p w14:paraId="3D52BA7E">
            <w:pPr>
              <w:widowControl/>
              <w:jc w:val="center"/>
              <w:rPr>
                <w:rFonts w:ascii="黑体" w:hAnsi="黑体" w:eastAsia="黑体" w:cs="Arial"/>
                <w:kern w:val="0"/>
                <w:szCs w:val="21"/>
              </w:rPr>
            </w:pPr>
            <w:r>
              <w:rPr>
                <w:rFonts w:hint="eastAsia" w:ascii="黑体" w:hAnsi="黑体" w:eastAsia="黑体" w:cs="Arial"/>
                <w:kern w:val="0"/>
                <w:szCs w:val="21"/>
              </w:rPr>
              <w:t>备注</w:t>
            </w:r>
          </w:p>
        </w:tc>
      </w:tr>
      <w:tr w14:paraId="5700603E">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1CD32084">
            <w:pPr>
              <w:widowControl/>
              <w:jc w:val="center"/>
              <w:rPr>
                <w:rFonts w:ascii="宋体" w:hAnsi="宋体" w:cs="Arial"/>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FCE4287">
            <w:pPr>
              <w:widowControl/>
              <w:jc w:val="left"/>
              <w:rPr>
                <w:rFonts w:ascii="宋体" w:hAnsi="宋体" w:cs="Arial"/>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033F472E">
            <w:pPr>
              <w:widowControl/>
              <w:jc w:val="center"/>
              <w:rPr>
                <w:rFonts w:ascii="宋体" w:hAnsi="宋体" w:cs="Arial"/>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4B018A2">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noWrap w:val="0"/>
            <w:vAlign w:val="center"/>
          </w:tcPr>
          <w:p w14:paraId="156A9FC5">
            <w:pPr>
              <w:widowControl/>
              <w:jc w:val="left"/>
              <w:rPr>
                <w:rFonts w:ascii="宋体" w:hAnsi="宋体" w:cs="Arial"/>
                <w:kern w:val="0"/>
                <w:szCs w:val="21"/>
              </w:rPr>
            </w:pPr>
          </w:p>
        </w:tc>
      </w:tr>
      <w:tr w14:paraId="66F6FF3A">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AD4790D">
            <w:pPr>
              <w:widowControl/>
              <w:jc w:val="center"/>
              <w:rPr>
                <w:rFonts w:ascii="宋体" w:hAnsi="宋体" w:cs="Arial"/>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4733DEAF">
            <w:pPr>
              <w:widowControl/>
              <w:jc w:val="left"/>
              <w:rPr>
                <w:rFonts w:ascii="宋体" w:hAnsi="宋体" w:cs="Arial"/>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73F56D71">
            <w:pPr>
              <w:widowControl/>
              <w:jc w:val="center"/>
              <w:rPr>
                <w:rFonts w:ascii="宋体" w:hAnsi="宋体" w:cs="Arial"/>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1E424C82">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noWrap w:val="0"/>
            <w:vAlign w:val="center"/>
          </w:tcPr>
          <w:p w14:paraId="2C83310F">
            <w:pPr>
              <w:widowControl/>
              <w:jc w:val="left"/>
              <w:rPr>
                <w:rFonts w:ascii="宋体" w:hAnsi="宋体" w:cs="Arial"/>
                <w:kern w:val="0"/>
                <w:szCs w:val="21"/>
              </w:rPr>
            </w:pPr>
          </w:p>
        </w:tc>
      </w:tr>
      <w:tr w14:paraId="61E3EBA6">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94B762A">
            <w:pPr>
              <w:widowControl/>
              <w:jc w:val="center"/>
              <w:rPr>
                <w:rFonts w:ascii="宋体" w:hAnsi="宋体" w:cs="Arial"/>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2968FED">
            <w:pPr>
              <w:widowControl/>
              <w:jc w:val="left"/>
              <w:rPr>
                <w:rFonts w:ascii="宋体" w:hAnsi="宋体" w:cs="Arial"/>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196AF13C">
            <w:pPr>
              <w:widowControl/>
              <w:jc w:val="center"/>
              <w:rPr>
                <w:rFonts w:ascii="宋体" w:hAnsi="宋体" w:cs="Arial"/>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EA5A80F">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noWrap w:val="0"/>
            <w:vAlign w:val="center"/>
          </w:tcPr>
          <w:p w14:paraId="1F41AC0C">
            <w:pPr>
              <w:widowControl/>
              <w:jc w:val="left"/>
              <w:rPr>
                <w:rFonts w:ascii="宋体" w:hAnsi="宋体" w:cs="Arial"/>
                <w:kern w:val="0"/>
                <w:szCs w:val="21"/>
              </w:rPr>
            </w:pPr>
          </w:p>
        </w:tc>
      </w:tr>
      <w:tr w14:paraId="00B03DDC">
        <w:trPr>
          <w:trHeight w:val="680" w:hRule="atLeast"/>
        </w:trPr>
        <w:tc>
          <w:tcPr>
            <w:tcW w:w="3249" w:type="pct"/>
            <w:gridSpan w:val="3"/>
            <w:tcBorders>
              <w:top w:val="nil"/>
              <w:left w:val="single" w:color="000000" w:sz="8" w:space="0"/>
              <w:bottom w:val="single" w:color="000000" w:sz="4" w:space="0"/>
              <w:right w:val="single" w:color="000000" w:sz="4" w:space="0"/>
            </w:tcBorders>
            <w:noWrap w:val="0"/>
            <w:vAlign w:val="center"/>
          </w:tcPr>
          <w:p w14:paraId="41B0C8CB">
            <w:pPr>
              <w:widowControl/>
              <w:jc w:val="center"/>
              <w:rPr>
                <w:rFonts w:ascii="宋体" w:hAnsi="宋体" w:cs="Arial"/>
                <w:kern w:val="0"/>
                <w:szCs w:val="21"/>
              </w:rPr>
            </w:pPr>
            <w:r>
              <w:rPr>
                <w:rFonts w:hint="eastAsia" w:ascii="宋体" w:hAnsi="宋体" w:cs="Arial"/>
                <w:kern w:val="0"/>
                <w:szCs w:val="21"/>
              </w:rPr>
              <w:t>合  计</w:t>
            </w:r>
          </w:p>
        </w:tc>
        <w:tc>
          <w:tcPr>
            <w:tcW w:w="1002" w:type="pct"/>
            <w:tcBorders>
              <w:top w:val="single" w:color="000000" w:sz="4" w:space="0"/>
              <w:left w:val="nil"/>
              <w:bottom w:val="single" w:color="000000" w:sz="4" w:space="0"/>
              <w:right w:val="single" w:color="000000" w:sz="4" w:space="0"/>
            </w:tcBorders>
            <w:noWrap w:val="0"/>
            <w:vAlign w:val="center"/>
          </w:tcPr>
          <w:p w14:paraId="22E3D5E0">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noWrap w:val="0"/>
            <w:vAlign w:val="center"/>
          </w:tcPr>
          <w:p w14:paraId="043319C8">
            <w:pPr>
              <w:widowControl/>
              <w:jc w:val="left"/>
              <w:rPr>
                <w:rFonts w:ascii="宋体" w:hAnsi="宋体" w:cs="Arial"/>
                <w:kern w:val="0"/>
                <w:szCs w:val="21"/>
              </w:rPr>
            </w:pPr>
          </w:p>
        </w:tc>
      </w:tr>
    </w:tbl>
    <w:p w14:paraId="2C282D37">
      <w:pPr>
        <w:jc w:val="center"/>
        <w:outlineLvl w:val="2"/>
        <w:rPr>
          <w:rFonts w:hint="eastAsia"/>
          <w:sz w:val="28"/>
          <w:szCs w:val="28"/>
        </w:rPr>
      </w:pPr>
      <w:bookmarkStart w:id="498" w:name="_Toc171581373"/>
      <w:bookmarkStart w:id="499" w:name="_Toc171581553"/>
      <w:bookmarkStart w:id="500" w:name="_Toc460227134"/>
      <w:bookmarkStart w:id="501" w:name="_Toc460660249"/>
      <w:bookmarkStart w:id="502" w:name="_Toc171741996"/>
      <w:bookmarkStart w:id="503" w:name="_Toc535241138"/>
      <w:r>
        <w:rPr>
          <w:rFonts w:hint="eastAsia"/>
          <w:sz w:val="28"/>
          <w:szCs w:val="28"/>
        </w:rPr>
        <w:t>（十二）</w:t>
      </w:r>
      <w:bookmarkEnd w:id="498"/>
      <w:bookmarkEnd w:id="499"/>
      <w:bookmarkEnd w:id="500"/>
      <w:bookmarkEnd w:id="501"/>
      <w:bookmarkEnd w:id="502"/>
      <w:r>
        <w:rPr>
          <w:rFonts w:hint="eastAsia"/>
          <w:sz w:val="28"/>
          <w:szCs w:val="28"/>
        </w:rPr>
        <w:t>计日工表</w:t>
      </w:r>
      <w:bookmarkEnd w:id="503"/>
    </w:p>
    <w:p w14:paraId="4790C9FD">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681"/>
        <w:gridCol w:w="3403"/>
        <w:gridCol w:w="1372"/>
        <w:gridCol w:w="1372"/>
        <w:gridCol w:w="1373"/>
        <w:gridCol w:w="1370"/>
      </w:tblGrid>
      <w:tr w14:paraId="48CD471F">
        <w:trPr>
          <w:trHeight w:val="567" w:hRule="atLeast"/>
        </w:trPr>
        <w:tc>
          <w:tcPr>
            <w:tcW w:w="35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CE6703">
            <w:pPr>
              <w:widowControl/>
              <w:jc w:val="center"/>
              <w:rPr>
                <w:rFonts w:ascii="黑体" w:hAnsi="黑体" w:eastAsia="黑体" w:cs="Arial"/>
                <w:kern w:val="0"/>
                <w:szCs w:val="21"/>
              </w:rPr>
            </w:pPr>
            <w:r>
              <w:rPr>
                <w:rFonts w:hint="eastAsia" w:ascii="黑体" w:hAnsi="黑体" w:eastAsia="黑体" w:cs="Arial"/>
                <w:kern w:val="0"/>
                <w:szCs w:val="21"/>
              </w:rPr>
              <w:t>编码</w:t>
            </w:r>
          </w:p>
        </w:tc>
        <w:tc>
          <w:tcPr>
            <w:tcW w:w="1778" w:type="pct"/>
            <w:tcBorders>
              <w:top w:val="single" w:color="000000" w:sz="8" w:space="0"/>
              <w:left w:val="nil"/>
              <w:bottom w:val="single" w:color="000000" w:sz="4" w:space="0"/>
              <w:right w:val="single" w:color="000000" w:sz="4" w:space="0"/>
            </w:tcBorders>
            <w:shd w:val="clear" w:color="FFFFFF" w:fill="FFFFFF"/>
            <w:noWrap w:val="0"/>
            <w:vAlign w:val="center"/>
          </w:tcPr>
          <w:p w14:paraId="09049348">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7EB8528">
            <w:pPr>
              <w:widowControl/>
              <w:jc w:val="center"/>
              <w:rPr>
                <w:rFonts w:ascii="黑体" w:hAnsi="黑体" w:eastAsia="黑体" w:cs="Arial"/>
                <w:kern w:val="0"/>
                <w:szCs w:val="21"/>
              </w:rPr>
            </w:pPr>
            <w:r>
              <w:rPr>
                <w:rFonts w:hint="eastAsia" w:ascii="黑体" w:hAnsi="黑体" w:eastAsia="黑体" w:cs="Arial"/>
                <w:kern w:val="0"/>
                <w:szCs w:val="21"/>
              </w:rPr>
              <w:t>单位</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EF210EE">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408A6F18">
            <w:pPr>
              <w:widowControl/>
              <w:jc w:val="center"/>
              <w:rPr>
                <w:rFonts w:ascii="黑体" w:hAnsi="黑体" w:eastAsia="黑体" w:cs="Arial"/>
                <w:kern w:val="0"/>
                <w:szCs w:val="21"/>
              </w:rPr>
            </w:pPr>
            <w:r>
              <w:rPr>
                <w:rFonts w:hint="eastAsia" w:ascii="黑体" w:hAnsi="黑体" w:eastAsia="黑体" w:cs="Arial"/>
                <w:kern w:val="0"/>
                <w:szCs w:val="21"/>
              </w:rPr>
              <w:t>综合单价</w:t>
            </w:r>
          </w:p>
        </w:tc>
        <w:tc>
          <w:tcPr>
            <w:tcW w:w="715" w:type="pct"/>
            <w:tcBorders>
              <w:top w:val="single" w:color="000000" w:sz="8" w:space="0"/>
              <w:left w:val="nil"/>
              <w:bottom w:val="single" w:color="000000" w:sz="4" w:space="0"/>
              <w:right w:val="single" w:color="000000" w:sz="8" w:space="0"/>
            </w:tcBorders>
            <w:shd w:val="clear" w:color="FFFFFF" w:fill="FFFFFF"/>
            <w:noWrap w:val="0"/>
            <w:vAlign w:val="center"/>
          </w:tcPr>
          <w:p w14:paraId="06EFD511">
            <w:pPr>
              <w:widowControl/>
              <w:jc w:val="center"/>
              <w:rPr>
                <w:rFonts w:ascii="黑体" w:hAnsi="黑体" w:eastAsia="黑体" w:cs="Arial"/>
                <w:kern w:val="0"/>
                <w:szCs w:val="21"/>
              </w:rPr>
            </w:pPr>
            <w:r>
              <w:rPr>
                <w:rFonts w:hint="eastAsia" w:ascii="黑体" w:hAnsi="黑体" w:eastAsia="黑体" w:cs="Arial"/>
                <w:kern w:val="0"/>
                <w:szCs w:val="21"/>
              </w:rPr>
              <w:t>合价（元）</w:t>
            </w:r>
          </w:p>
        </w:tc>
      </w:tr>
      <w:tr w14:paraId="0F985E68">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1ABC396">
            <w:pPr>
              <w:widowControl/>
              <w:jc w:val="center"/>
              <w:rPr>
                <w:rFonts w:ascii="宋体" w:hAnsi="宋体" w:cs="Arial"/>
                <w:kern w:val="0"/>
                <w:szCs w:val="21"/>
              </w:rPr>
            </w:pPr>
            <w:r>
              <w:rPr>
                <w:rFonts w:hint="eastAsia" w:ascii="宋体" w:hAnsi="宋体" w:cs="Arial"/>
                <w:kern w:val="0"/>
                <w:szCs w:val="21"/>
              </w:rPr>
              <w:t>一</w:t>
            </w:r>
          </w:p>
        </w:tc>
        <w:tc>
          <w:tcPr>
            <w:tcW w:w="1778" w:type="pct"/>
            <w:tcBorders>
              <w:top w:val="single" w:color="000000" w:sz="4" w:space="0"/>
              <w:left w:val="nil"/>
              <w:bottom w:val="single" w:color="000000" w:sz="4" w:space="0"/>
              <w:right w:val="single" w:color="000000" w:sz="4" w:space="0"/>
            </w:tcBorders>
            <w:noWrap w:val="0"/>
            <w:vAlign w:val="center"/>
          </w:tcPr>
          <w:p w14:paraId="5976C52B">
            <w:pPr>
              <w:widowControl/>
              <w:jc w:val="center"/>
              <w:rPr>
                <w:rFonts w:ascii="宋体" w:hAnsi="宋体" w:cs="Arial"/>
                <w:kern w:val="0"/>
                <w:szCs w:val="21"/>
              </w:rPr>
            </w:pPr>
            <w:r>
              <w:rPr>
                <w:rFonts w:hint="eastAsia" w:ascii="宋体" w:hAnsi="宋体" w:cs="Arial"/>
                <w:kern w:val="0"/>
                <w:szCs w:val="21"/>
              </w:rPr>
              <w:t>人工</w:t>
            </w:r>
          </w:p>
        </w:tc>
        <w:tc>
          <w:tcPr>
            <w:tcW w:w="717" w:type="pct"/>
            <w:tcBorders>
              <w:top w:val="nil"/>
              <w:left w:val="nil"/>
              <w:bottom w:val="single" w:color="000000" w:sz="4" w:space="0"/>
              <w:right w:val="single" w:color="000000" w:sz="4" w:space="0"/>
            </w:tcBorders>
            <w:noWrap w:val="0"/>
            <w:vAlign w:val="center"/>
          </w:tcPr>
          <w:p w14:paraId="56409FA6">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9E69343">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43F846A1">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664AC938">
            <w:pPr>
              <w:widowControl/>
              <w:jc w:val="right"/>
              <w:rPr>
                <w:rFonts w:ascii="宋体" w:hAnsi="宋体" w:cs="Arial"/>
                <w:kern w:val="0"/>
                <w:szCs w:val="21"/>
              </w:rPr>
            </w:pPr>
          </w:p>
        </w:tc>
      </w:tr>
      <w:tr w14:paraId="04B7FC3A">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CFAADC8">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5DCF0B3">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16A46BBF">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03282E3">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49AC5AEC">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5460C5B2">
            <w:pPr>
              <w:widowControl/>
              <w:jc w:val="right"/>
              <w:rPr>
                <w:rFonts w:ascii="宋体" w:hAnsi="宋体" w:cs="Arial"/>
                <w:kern w:val="0"/>
                <w:szCs w:val="21"/>
              </w:rPr>
            </w:pPr>
          </w:p>
        </w:tc>
      </w:tr>
      <w:tr w14:paraId="2A471E7A">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F4A5A66">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0B939F43">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47A043CD">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35D0A10">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5CD39100">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5C7CAC6A">
            <w:pPr>
              <w:widowControl/>
              <w:jc w:val="right"/>
              <w:rPr>
                <w:rFonts w:ascii="宋体" w:hAnsi="宋体" w:cs="Arial"/>
                <w:kern w:val="0"/>
                <w:szCs w:val="21"/>
              </w:rPr>
            </w:pPr>
          </w:p>
        </w:tc>
      </w:tr>
      <w:tr w14:paraId="3FA63EA7">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0043DE6">
            <w:pPr>
              <w:widowControl/>
              <w:jc w:val="center"/>
              <w:rPr>
                <w:rFonts w:ascii="宋体" w:hAnsi="宋体" w:cs="Arial"/>
                <w:kern w:val="0"/>
                <w:szCs w:val="21"/>
              </w:rPr>
            </w:pPr>
            <w:r>
              <w:rPr>
                <w:rFonts w:hint="eastAsia" w:ascii="宋体" w:hAnsi="宋体" w:cs="Arial"/>
                <w:kern w:val="0"/>
                <w:szCs w:val="21"/>
              </w:rPr>
              <w:t>人工费小计</w:t>
            </w:r>
          </w:p>
        </w:tc>
        <w:tc>
          <w:tcPr>
            <w:tcW w:w="715" w:type="pct"/>
            <w:tcBorders>
              <w:top w:val="nil"/>
              <w:left w:val="nil"/>
              <w:bottom w:val="single" w:color="000000" w:sz="4" w:space="0"/>
              <w:right w:val="single" w:color="000000" w:sz="8" w:space="0"/>
            </w:tcBorders>
            <w:noWrap w:val="0"/>
            <w:vAlign w:val="center"/>
          </w:tcPr>
          <w:p w14:paraId="30214121">
            <w:pPr>
              <w:widowControl/>
              <w:jc w:val="right"/>
              <w:rPr>
                <w:rFonts w:ascii="宋体" w:hAnsi="宋体" w:cs="Arial"/>
                <w:kern w:val="0"/>
                <w:szCs w:val="21"/>
              </w:rPr>
            </w:pPr>
          </w:p>
        </w:tc>
      </w:tr>
      <w:tr w14:paraId="27CD5B2E">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99F906E">
            <w:pPr>
              <w:widowControl/>
              <w:jc w:val="center"/>
              <w:rPr>
                <w:rFonts w:ascii="宋体" w:hAnsi="宋体" w:cs="Arial"/>
                <w:kern w:val="0"/>
                <w:szCs w:val="21"/>
              </w:rPr>
            </w:pPr>
            <w:r>
              <w:rPr>
                <w:rFonts w:hint="eastAsia" w:ascii="宋体" w:hAnsi="宋体" w:cs="Arial"/>
                <w:kern w:val="0"/>
                <w:szCs w:val="21"/>
              </w:rPr>
              <w:t>二</w:t>
            </w:r>
          </w:p>
        </w:tc>
        <w:tc>
          <w:tcPr>
            <w:tcW w:w="1778" w:type="pct"/>
            <w:tcBorders>
              <w:top w:val="single" w:color="000000" w:sz="4" w:space="0"/>
              <w:left w:val="nil"/>
              <w:bottom w:val="single" w:color="000000" w:sz="4" w:space="0"/>
              <w:right w:val="single" w:color="000000" w:sz="4" w:space="0"/>
            </w:tcBorders>
            <w:noWrap w:val="0"/>
            <w:vAlign w:val="center"/>
          </w:tcPr>
          <w:p w14:paraId="57CA3427">
            <w:pPr>
              <w:widowControl/>
              <w:jc w:val="center"/>
              <w:rPr>
                <w:rFonts w:ascii="宋体" w:hAnsi="宋体" w:cs="Arial"/>
                <w:kern w:val="0"/>
                <w:szCs w:val="21"/>
              </w:rPr>
            </w:pPr>
            <w:r>
              <w:rPr>
                <w:rFonts w:hint="eastAsia" w:ascii="宋体" w:hAnsi="宋体" w:cs="Arial"/>
                <w:kern w:val="0"/>
                <w:szCs w:val="21"/>
              </w:rPr>
              <w:t>材料</w:t>
            </w:r>
          </w:p>
        </w:tc>
        <w:tc>
          <w:tcPr>
            <w:tcW w:w="717" w:type="pct"/>
            <w:tcBorders>
              <w:top w:val="nil"/>
              <w:left w:val="nil"/>
              <w:bottom w:val="single" w:color="000000" w:sz="4" w:space="0"/>
              <w:right w:val="single" w:color="000000" w:sz="4" w:space="0"/>
            </w:tcBorders>
            <w:noWrap w:val="0"/>
            <w:vAlign w:val="center"/>
          </w:tcPr>
          <w:p w14:paraId="7CD438A6">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90507AF">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1457CEE7">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1893DEF6">
            <w:pPr>
              <w:widowControl/>
              <w:jc w:val="right"/>
              <w:rPr>
                <w:rFonts w:ascii="宋体" w:hAnsi="宋体" w:cs="Arial"/>
                <w:kern w:val="0"/>
                <w:szCs w:val="21"/>
              </w:rPr>
            </w:pPr>
          </w:p>
        </w:tc>
      </w:tr>
      <w:tr w14:paraId="6B877B33">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9543EBB">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6C4E62B">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7674BC25">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A87B00D">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27C072F2">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1E9506F3">
            <w:pPr>
              <w:widowControl/>
              <w:jc w:val="right"/>
              <w:rPr>
                <w:rFonts w:ascii="宋体" w:hAnsi="宋体" w:cs="Arial"/>
                <w:kern w:val="0"/>
                <w:szCs w:val="21"/>
              </w:rPr>
            </w:pPr>
          </w:p>
        </w:tc>
      </w:tr>
      <w:tr w14:paraId="110FF1E6">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97EEE6C">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7F85F931">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761AE41E">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31F56C4B">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332A7518">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3EC655EE">
            <w:pPr>
              <w:widowControl/>
              <w:jc w:val="right"/>
              <w:rPr>
                <w:rFonts w:ascii="宋体" w:hAnsi="宋体" w:cs="Arial"/>
                <w:kern w:val="0"/>
                <w:szCs w:val="21"/>
              </w:rPr>
            </w:pPr>
          </w:p>
        </w:tc>
      </w:tr>
      <w:tr w14:paraId="1786D085">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58496599">
            <w:pPr>
              <w:widowControl/>
              <w:jc w:val="center"/>
              <w:rPr>
                <w:rFonts w:ascii="宋体" w:hAnsi="宋体" w:cs="Arial"/>
                <w:kern w:val="0"/>
                <w:szCs w:val="21"/>
              </w:rPr>
            </w:pPr>
            <w:r>
              <w:rPr>
                <w:rFonts w:hint="eastAsia" w:ascii="宋体" w:hAnsi="宋体" w:cs="Arial"/>
                <w:kern w:val="0"/>
                <w:szCs w:val="21"/>
              </w:rPr>
              <w:t>材料费小计</w:t>
            </w:r>
          </w:p>
        </w:tc>
        <w:tc>
          <w:tcPr>
            <w:tcW w:w="715" w:type="pct"/>
            <w:tcBorders>
              <w:top w:val="nil"/>
              <w:left w:val="nil"/>
              <w:bottom w:val="single" w:color="000000" w:sz="4" w:space="0"/>
              <w:right w:val="single" w:color="000000" w:sz="8" w:space="0"/>
            </w:tcBorders>
            <w:noWrap w:val="0"/>
            <w:vAlign w:val="center"/>
          </w:tcPr>
          <w:p w14:paraId="1963DC31">
            <w:pPr>
              <w:widowControl/>
              <w:jc w:val="right"/>
              <w:rPr>
                <w:rFonts w:ascii="宋体" w:hAnsi="宋体" w:cs="Arial"/>
                <w:kern w:val="0"/>
                <w:szCs w:val="21"/>
              </w:rPr>
            </w:pPr>
          </w:p>
        </w:tc>
      </w:tr>
      <w:tr w14:paraId="0B6CCCB2">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DED7C5C">
            <w:pPr>
              <w:widowControl/>
              <w:jc w:val="center"/>
              <w:rPr>
                <w:rFonts w:ascii="宋体" w:hAnsi="宋体" w:cs="Arial"/>
                <w:kern w:val="0"/>
                <w:szCs w:val="21"/>
              </w:rPr>
            </w:pPr>
            <w:r>
              <w:rPr>
                <w:rFonts w:hint="eastAsia" w:ascii="宋体" w:hAnsi="宋体" w:cs="Arial"/>
                <w:kern w:val="0"/>
                <w:szCs w:val="21"/>
              </w:rPr>
              <w:t>三</w:t>
            </w:r>
          </w:p>
        </w:tc>
        <w:tc>
          <w:tcPr>
            <w:tcW w:w="1778" w:type="pct"/>
            <w:tcBorders>
              <w:top w:val="single" w:color="000000" w:sz="4" w:space="0"/>
              <w:left w:val="nil"/>
              <w:bottom w:val="single" w:color="000000" w:sz="4" w:space="0"/>
              <w:right w:val="single" w:color="000000" w:sz="4" w:space="0"/>
            </w:tcBorders>
            <w:noWrap w:val="0"/>
            <w:vAlign w:val="center"/>
          </w:tcPr>
          <w:p w14:paraId="30EC7521">
            <w:pPr>
              <w:widowControl/>
              <w:jc w:val="center"/>
              <w:rPr>
                <w:rFonts w:ascii="宋体" w:hAnsi="宋体" w:cs="Arial"/>
                <w:kern w:val="0"/>
                <w:szCs w:val="21"/>
              </w:rPr>
            </w:pPr>
            <w:r>
              <w:rPr>
                <w:rFonts w:hint="eastAsia" w:ascii="宋体" w:hAnsi="宋体" w:cs="Arial"/>
                <w:kern w:val="0"/>
                <w:szCs w:val="21"/>
              </w:rPr>
              <w:t>施工机械</w:t>
            </w:r>
          </w:p>
        </w:tc>
        <w:tc>
          <w:tcPr>
            <w:tcW w:w="717" w:type="pct"/>
            <w:tcBorders>
              <w:top w:val="nil"/>
              <w:left w:val="nil"/>
              <w:bottom w:val="single" w:color="000000" w:sz="4" w:space="0"/>
              <w:right w:val="single" w:color="000000" w:sz="4" w:space="0"/>
            </w:tcBorders>
            <w:noWrap w:val="0"/>
            <w:vAlign w:val="center"/>
          </w:tcPr>
          <w:p w14:paraId="3C267A0B">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1E1676E3">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7579210F">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7EC98420">
            <w:pPr>
              <w:widowControl/>
              <w:jc w:val="right"/>
              <w:rPr>
                <w:rFonts w:ascii="宋体" w:hAnsi="宋体" w:cs="Arial"/>
                <w:kern w:val="0"/>
                <w:szCs w:val="21"/>
              </w:rPr>
            </w:pPr>
          </w:p>
        </w:tc>
      </w:tr>
      <w:tr w14:paraId="50E07E70">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ED4231D">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6538753C">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3985F587">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782069E">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5B148C95">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60DE1B33">
            <w:pPr>
              <w:widowControl/>
              <w:jc w:val="right"/>
              <w:rPr>
                <w:rFonts w:ascii="宋体" w:hAnsi="宋体" w:cs="Arial"/>
                <w:kern w:val="0"/>
                <w:szCs w:val="21"/>
              </w:rPr>
            </w:pPr>
          </w:p>
        </w:tc>
      </w:tr>
      <w:tr w14:paraId="7F9B03DF">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3C0B9A4C">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204050B2">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4FF12566">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0EEC123">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noWrap w:val="0"/>
            <w:vAlign w:val="center"/>
          </w:tcPr>
          <w:p w14:paraId="47AA1AF5">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noWrap w:val="0"/>
            <w:vAlign w:val="center"/>
          </w:tcPr>
          <w:p w14:paraId="1F623F05">
            <w:pPr>
              <w:widowControl/>
              <w:jc w:val="right"/>
              <w:rPr>
                <w:rFonts w:ascii="宋体" w:hAnsi="宋体" w:cs="Arial"/>
                <w:kern w:val="0"/>
                <w:szCs w:val="21"/>
              </w:rPr>
            </w:pPr>
          </w:p>
        </w:tc>
      </w:tr>
      <w:tr w14:paraId="01199676">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CC52F57">
            <w:pPr>
              <w:widowControl/>
              <w:jc w:val="center"/>
              <w:rPr>
                <w:rFonts w:ascii="宋体" w:hAnsi="宋体" w:cs="Arial"/>
                <w:kern w:val="0"/>
                <w:szCs w:val="21"/>
              </w:rPr>
            </w:pPr>
            <w:r>
              <w:rPr>
                <w:rFonts w:hint="eastAsia" w:ascii="宋体" w:hAnsi="宋体" w:cs="Arial"/>
                <w:kern w:val="0"/>
                <w:szCs w:val="21"/>
              </w:rPr>
              <w:t>施工机械费小计</w:t>
            </w:r>
          </w:p>
        </w:tc>
        <w:tc>
          <w:tcPr>
            <w:tcW w:w="715" w:type="pct"/>
            <w:tcBorders>
              <w:top w:val="nil"/>
              <w:left w:val="nil"/>
              <w:bottom w:val="single" w:color="000000" w:sz="4" w:space="0"/>
              <w:right w:val="single" w:color="000000" w:sz="8" w:space="0"/>
            </w:tcBorders>
            <w:noWrap w:val="0"/>
            <w:vAlign w:val="center"/>
          </w:tcPr>
          <w:p w14:paraId="78B00930">
            <w:pPr>
              <w:widowControl/>
              <w:jc w:val="right"/>
              <w:rPr>
                <w:rFonts w:ascii="宋体" w:hAnsi="宋体" w:cs="Arial"/>
                <w:kern w:val="0"/>
                <w:szCs w:val="21"/>
              </w:rPr>
            </w:pPr>
          </w:p>
        </w:tc>
      </w:tr>
      <w:tr w14:paraId="6F980815">
        <w:trPr>
          <w:trHeight w:val="567" w:hRule="atLeast"/>
        </w:trPr>
        <w:tc>
          <w:tcPr>
            <w:tcW w:w="4285" w:type="pct"/>
            <w:gridSpan w:val="5"/>
            <w:tcBorders>
              <w:top w:val="single" w:color="000000" w:sz="4" w:space="0"/>
              <w:left w:val="single" w:color="000000" w:sz="8" w:space="0"/>
              <w:bottom w:val="single" w:color="000000" w:sz="8" w:space="0"/>
              <w:right w:val="single" w:color="000000" w:sz="4" w:space="0"/>
            </w:tcBorders>
            <w:noWrap w:val="0"/>
            <w:vAlign w:val="center"/>
          </w:tcPr>
          <w:p w14:paraId="63963110">
            <w:pPr>
              <w:widowControl/>
              <w:jc w:val="center"/>
              <w:rPr>
                <w:rFonts w:ascii="宋体" w:hAnsi="宋体" w:cs="Arial"/>
                <w:kern w:val="0"/>
                <w:szCs w:val="21"/>
              </w:rPr>
            </w:pPr>
            <w:r>
              <w:rPr>
                <w:rFonts w:hint="eastAsia" w:ascii="宋体" w:hAnsi="宋体" w:cs="Arial"/>
                <w:kern w:val="0"/>
                <w:szCs w:val="21"/>
              </w:rPr>
              <w:t>合     计</w:t>
            </w:r>
          </w:p>
        </w:tc>
        <w:tc>
          <w:tcPr>
            <w:tcW w:w="715" w:type="pct"/>
            <w:tcBorders>
              <w:top w:val="nil"/>
              <w:left w:val="nil"/>
              <w:bottom w:val="single" w:color="000000" w:sz="8" w:space="0"/>
              <w:right w:val="single" w:color="000000" w:sz="8" w:space="0"/>
            </w:tcBorders>
            <w:noWrap w:val="0"/>
            <w:vAlign w:val="center"/>
          </w:tcPr>
          <w:p w14:paraId="226E2041">
            <w:pPr>
              <w:widowControl/>
              <w:jc w:val="right"/>
              <w:rPr>
                <w:rFonts w:ascii="宋体" w:hAnsi="宋体" w:cs="Arial"/>
                <w:kern w:val="0"/>
                <w:szCs w:val="21"/>
              </w:rPr>
            </w:pPr>
          </w:p>
        </w:tc>
      </w:tr>
    </w:tbl>
    <w:p w14:paraId="53C391A4">
      <w:pPr>
        <w:jc w:val="center"/>
        <w:outlineLvl w:val="2"/>
        <w:rPr>
          <w:rFonts w:hint="eastAsia"/>
          <w:sz w:val="28"/>
          <w:szCs w:val="28"/>
        </w:rPr>
      </w:pPr>
      <w:bookmarkStart w:id="504" w:name="_Toc171581554"/>
      <w:bookmarkStart w:id="505" w:name="_Toc460660250"/>
      <w:bookmarkStart w:id="506" w:name="_Toc171581374"/>
      <w:bookmarkStart w:id="507" w:name="_Toc460227135"/>
      <w:bookmarkStart w:id="508" w:name="_Toc171741997"/>
      <w:bookmarkStart w:id="509" w:name="_Toc535241139"/>
      <w:r>
        <w:rPr>
          <w:sz w:val="28"/>
          <w:szCs w:val="28"/>
        </w:rPr>
        <w:br w:type="page"/>
      </w:r>
      <w:r>
        <w:rPr>
          <w:rFonts w:hint="eastAsia"/>
          <w:sz w:val="28"/>
          <w:szCs w:val="28"/>
        </w:rPr>
        <w:t>（十三）</w:t>
      </w:r>
      <w:bookmarkEnd w:id="504"/>
      <w:bookmarkEnd w:id="505"/>
      <w:bookmarkEnd w:id="506"/>
      <w:bookmarkEnd w:id="507"/>
      <w:bookmarkEnd w:id="508"/>
      <w:r>
        <w:rPr>
          <w:rFonts w:hint="eastAsia"/>
          <w:sz w:val="28"/>
          <w:szCs w:val="28"/>
        </w:rPr>
        <w:t>总承包服务费计价表</w:t>
      </w:r>
      <w:bookmarkEnd w:id="509"/>
    </w:p>
    <w:p w14:paraId="69910299">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851"/>
        <w:gridCol w:w="2171"/>
        <w:gridCol w:w="1744"/>
        <w:gridCol w:w="1744"/>
        <w:gridCol w:w="1317"/>
        <w:gridCol w:w="1744"/>
      </w:tblGrid>
      <w:tr w14:paraId="2D22C7A4">
        <w:trPr>
          <w:trHeight w:val="690" w:hRule="atLeast"/>
        </w:trPr>
        <w:tc>
          <w:tcPr>
            <w:tcW w:w="445"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E3AB7DC">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134" w:type="pct"/>
            <w:tcBorders>
              <w:top w:val="single" w:color="000000" w:sz="8" w:space="0"/>
              <w:left w:val="nil"/>
              <w:bottom w:val="single" w:color="000000" w:sz="4" w:space="0"/>
              <w:right w:val="single" w:color="000000" w:sz="4" w:space="0"/>
            </w:tcBorders>
            <w:shd w:val="clear" w:color="FFFFFF" w:fill="FFFFFF"/>
            <w:noWrap w:val="0"/>
            <w:vAlign w:val="center"/>
          </w:tcPr>
          <w:p w14:paraId="2072F2A2">
            <w:pPr>
              <w:widowControl/>
              <w:jc w:val="center"/>
              <w:rPr>
                <w:rFonts w:ascii="黑体" w:hAnsi="黑体" w:eastAsia="黑体" w:cs="Arial"/>
                <w:kern w:val="0"/>
                <w:szCs w:val="21"/>
              </w:rPr>
            </w:pPr>
            <w:r>
              <w:rPr>
                <w:rFonts w:hint="eastAsia" w:ascii="黑体" w:hAnsi="黑体" w:eastAsia="黑体" w:cs="Arial"/>
                <w:kern w:val="0"/>
                <w:szCs w:val="21"/>
              </w:rPr>
              <w:t>工程名称</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01714B3B">
            <w:pPr>
              <w:widowControl/>
              <w:jc w:val="center"/>
              <w:rPr>
                <w:rFonts w:ascii="黑体" w:hAnsi="黑体" w:eastAsia="黑体" w:cs="Arial"/>
                <w:kern w:val="0"/>
                <w:szCs w:val="21"/>
              </w:rPr>
            </w:pPr>
            <w:r>
              <w:rPr>
                <w:rFonts w:hint="eastAsia" w:ascii="黑体" w:hAnsi="黑体" w:eastAsia="黑体" w:cs="Arial"/>
                <w:kern w:val="0"/>
                <w:szCs w:val="21"/>
              </w:rPr>
              <w:t>项目价值(元)</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52629241">
            <w:pPr>
              <w:widowControl/>
              <w:jc w:val="center"/>
              <w:rPr>
                <w:rFonts w:ascii="黑体" w:hAnsi="黑体" w:eastAsia="黑体" w:cs="Arial"/>
                <w:kern w:val="0"/>
                <w:szCs w:val="21"/>
              </w:rPr>
            </w:pPr>
            <w:r>
              <w:rPr>
                <w:rFonts w:hint="eastAsia" w:ascii="黑体" w:hAnsi="黑体" w:eastAsia="黑体" w:cs="Arial"/>
                <w:kern w:val="0"/>
                <w:szCs w:val="21"/>
              </w:rPr>
              <w:t>服务内容</w:t>
            </w:r>
          </w:p>
        </w:tc>
        <w:tc>
          <w:tcPr>
            <w:tcW w:w="688" w:type="pct"/>
            <w:tcBorders>
              <w:top w:val="single" w:color="000000" w:sz="8" w:space="0"/>
              <w:left w:val="nil"/>
              <w:bottom w:val="single" w:color="000000" w:sz="4" w:space="0"/>
              <w:right w:val="single" w:color="000000" w:sz="4" w:space="0"/>
            </w:tcBorders>
            <w:shd w:val="clear" w:color="FFFFFF" w:fill="FFFFFF"/>
            <w:noWrap w:val="0"/>
            <w:vAlign w:val="center"/>
          </w:tcPr>
          <w:p w14:paraId="692BFEF9">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911" w:type="pct"/>
            <w:tcBorders>
              <w:top w:val="single" w:color="000000" w:sz="8" w:space="0"/>
              <w:left w:val="nil"/>
              <w:bottom w:val="single" w:color="000000" w:sz="4" w:space="0"/>
              <w:right w:val="single" w:color="000000" w:sz="8" w:space="0"/>
            </w:tcBorders>
            <w:shd w:val="clear" w:color="FFFFFF" w:fill="FFFFFF"/>
            <w:noWrap w:val="0"/>
            <w:vAlign w:val="center"/>
          </w:tcPr>
          <w:p w14:paraId="5A2A9654">
            <w:pPr>
              <w:widowControl/>
              <w:jc w:val="center"/>
              <w:rPr>
                <w:rFonts w:ascii="黑体" w:hAnsi="黑体" w:eastAsia="黑体" w:cs="Arial"/>
                <w:kern w:val="0"/>
                <w:szCs w:val="21"/>
              </w:rPr>
            </w:pPr>
            <w:r>
              <w:rPr>
                <w:rFonts w:hint="eastAsia" w:ascii="黑体" w:hAnsi="黑体" w:eastAsia="黑体" w:cs="Arial"/>
                <w:kern w:val="0"/>
                <w:szCs w:val="21"/>
              </w:rPr>
              <w:t>金额(元)</w:t>
            </w:r>
          </w:p>
        </w:tc>
      </w:tr>
      <w:tr w14:paraId="6400D0B6">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24A073C">
            <w:pPr>
              <w:widowControl/>
              <w:jc w:val="center"/>
              <w:rPr>
                <w:rFonts w:ascii="宋体" w:hAnsi="宋体" w:cs="Arial"/>
                <w:kern w:val="0"/>
                <w:szCs w:val="21"/>
              </w:rPr>
            </w:pPr>
          </w:p>
        </w:tc>
        <w:tc>
          <w:tcPr>
            <w:tcW w:w="1134" w:type="pct"/>
            <w:tcBorders>
              <w:top w:val="nil"/>
              <w:left w:val="nil"/>
              <w:bottom w:val="single" w:color="000000" w:sz="4" w:space="0"/>
              <w:right w:val="single" w:color="000000" w:sz="4" w:space="0"/>
            </w:tcBorders>
            <w:noWrap w:val="0"/>
            <w:vAlign w:val="center"/>
          </w:tcPr>
          <w:p w14:paraId="7AEA025E">
            <w:pPr>
              <w:widowControl/>
              <w:jc w:val="lef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472F3C10">
            <w:pPr>
              <w:widowControl/>
              <w:jc w:val="righ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1E8CA60">
            <w:pPr>
              <w:widowControl/>
              <w:jc w:val="left"/>
              <w:rPr>
                <w:rFonts w:ascii="宋体" w:hAnsi="宋体" w:cs="Arial"/>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10373402">
            <w:pPr>
              <w:widowControl/>
              <w:jc w:val="right"/>
              <w:rPr>
                <w:rFonts w:ascii="宋体" w:hAnsi="宋体" w:cs="Arial"/>
                <w:kern w:val="0"/>
                <w:szCs w:val="21"/>
              </w:rPr>
            </w:pPr>
          </w:p>
        </w:tc>
        <w:tc>
          <w:tcPr>
            <w:tcW w:w="911" w:type="pct"/>
            <w:tcBorders>
              <w:top w:val="nil"/>
              <w:left w:val="nil"/>
              <w:bottom w:val="single" w:color="000000" w:sz="4" w:space="0"/>
              <w:right w:val="single" w:color="000000" w:sz="8" w:space="0"/>
            </w:tcBorders>
            <w:noWrap w:val="0"/>
            <w:vAlign w:val="center"/>
          </w:tcPr>
          <w:p w14:paraId="0DAF1392">
            <w:pPr>
              <w:widowControl/>
              <w:jc w:val="right"/>
              <w:rPr>
                <w:rFonts w:ascii="宋体" w:hAnsi="宋体" w:cs="Arial"/>
                <w:kern w:val="0"/>
                <w:szCs w:val="21"/>
              </w:rPr>
            </w:pPr>
          </w:p>
        </w:tc>
      </w:tr>
      <w:tr w14:paraId="1238D40D">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6FE4CED">
            <w:pPr>
              <w:widowControl/>
              <w:jc w:val="center"/>
              <w:rPr>
                <w:rFonts w:ascii="宋体" w:hAnsi="宋体" w:cs="Arial"/>
                <w:kern w:val="0"/>
                <w:szCs w:val="21"/>
              </w:rPr>
            </w:pPr>
          </w:p>
        </w:tc>
        <w:tc>
          <w:tcPr>
            <w:tcW w:w="1134" w:type="pct"/>
            <w:tcBorders>
              <w:top w:val="nil"/>
              <w:left w:val="nil"/>
              <w:bottom w:val="single" w:color="000000" w:sz="4" w:space="0"/>
              <w:right w:val="single" w:color="000000" w:sz="4" w:space="0"/>
            </w:tcBorders>
            <w:noWrap w:val="0"/>
            <w:vAlign w:val="center"/>
          </w:tcPr>
          <w:p w14:paraId="1C3E7BC6">
            <w:pPr>
              <w:widowControl/>
              <w:jc w:val="lef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849261C">
            <w:pPr>
              <w:widowControl/>
              <w:jc w:val="righ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72D406F4">
            <w:pPr>
              <w:widowControl/>
              <w:jc w:val="left"/>
              <w:rPr>
                <w:rFonts w:ascii="宋体" w:hAnsi="宋体" w:cs="Arial"/>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238B26F8">
            <w:pPr>
              <w:widowControl/>
              <w:jc w:val="right"/>
              <w:rPr>
                <w:rFonts w:ascii="宋体" w:hAnsi="宋体" w:cs="Arial"/>
                <w:kern w:val="0"/>
                <w:szCs w:val="21"/>
              </w:rPr>
            </w:pPr>
          </w:p>
        </w:tc>
        <w:tc>
          <w:tcPr>
            <w:tcW w:w="911" w:type="pct"/>
            <w:tcBorders>
              <w:top w:val="nil"/>
              <w:left w:val="nil"/>
              <w:bottom w:val="single" w:color="000000" w:sz="4" w:space="0"/>
              <w:right w:val="single" w:color="000000" w:sz="8" w:space="0"/>
            </w:tcBorders>
            <w:noWrap w:val="0"/>
            <w:vAlign w:val="center"/>
          </w:tcPr>
          <w:p w14:paraId="716A52EB">
            <w:pPr>
              <w:widowControl/>
              <w:jc w:val="right"/>
              <w:rPr>
                <w:rFonts w:ascii="宋体" w:hAnsi="宋体" w:cs="Arial"/>
                <w:kern w:val="0"/>
                <w:szCs w:val="21"/>
              </w:rPr>
            </w:pPr>
          </w:p>
        </w:tc>
      </w:tr>
      <w:tr w14:paraId="5997F36E">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3530911E">
            <w:pPr>
              <w:widowControl/>
              <w:jc w:val="center"/>
              <w:rPr>
                <w:rFonts w:hint="eastAsia" w:ascii="宋体" w:hAnsi="宋体" w:cs="Arial"/>
                <w:kern w:val="0"/>
                <w:szCs w:val="21"/>
              </w:rPr>
            </w:pPr>
          </w:p>
        </w:tc>
        <w:tc>
          <w:tcPr>
            <w:tcW w:w="1134" w:type="pct"/>
            <w:tcBorders>
              <w:top w:val="nil"/>
              <w:left w:val="nil"/>
              <w:bottom w:val="single" w:color="000000" w:sz="4" w:space="0"/>
              <w:right w:val="single" w:color="000000" w:sz="4" w:space="0"/>
            </w:tcBorders>
            <w:noWrap w:val="0"/>
            <w:vAlign w:val="center"/>
          </w:tcPr>
          <w:p w14:paraId="3AB33013">
            <w:pPr>
              <w:widowControl/>
              <w:jc w:val="left"/>
              <w:rPr>
                <w:rFonts w:hint="eastAsia" w:ascii="宋体" w:hAnsi="宋体" w:cs="Arial"/>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CA29E24">
            <w:pPr>
              <w:widowControl/>
              <w:jc w:val="right"/>
              <w:rPr>
                <w:rFonts w:hint="eastAsia" w:ascii="宋体" w:hAnsi="宋体" w:cs="Arial"/>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2F35BC80">
            <w:pPr>
              <w:widowControl/>
              <w:jc w:val="left"/>
              <w:rPr>
                <w:rFonts w:hint="eastAsia" w:ascii="宋体" w:hAnsi="宋体" w:cs="Arial"/>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5EBED19C">
            <w:pPr>
              <w:widowControl/>
              <w:jc w:val="right"/>
              <w:rPr>
                <w:rFonts w:hint="eastAsia" w:ascii="宋体" w:hAnsi="宋体" w:cs="Arial"/>
                <w:kern w:val="0"/>
                <w:szCs w:val="21"/>
              </w:rPr>
            </w:pPr>
          </w:p>
        </w:tc>
        <w:tc>
          <w:tcPr>
            <w:tcW w:w="911" w:type="pct"/>
            <w:tcBorders>
              <w:top w:val="nil"/>
              <w:left w:val="nil"/>
              <w:bottom w:val="single" w:color="000000" w:sz="4" w:space="0"/>
              <w:right w:val="single" w:color="000000" w:sz="8" w:space="0"/>
            </w:tcBorders>
            <w:noWrap w:val="0"/>
            <w:vAlign w:val="center"/>
          </w:tcPr>
          <w:p w14:paraId="79FFD5C5">
            <w:pPr>
              <w:widowControl/>
              <w:jc w:val="right"/>
              <w:rPr>
                <w:rFonts w:hint="eastAsia" w:ascii="宋体" w:hAnsi="宋体" w:cs="Arial"/>
                <w:kern w:val="0"/>
                <w:szCs w:val="21"/>
              </w:rPr>
            </w:pPr>
          </w:p>
        </w:tc>
      </w:tr>
      <w:tr w14:paraId="2005016A">
        <w:trPr>
          <w:trHeight w:val="680" w:hRule="atLeast"/>
        </w:trPr>
        <w:tc>
          <w:tcPr>
            <w:tcW w:w="4089" w:type="pct"/>
            <w:gridSpan w:val="5"/>
            <w:tcBorders>
              <w:top w:val="single" w:color="000000" w:sz="4" w:space="0"/>
              <w:left w:val="single" w:color="000000" w:sz="8" w:space="0"/>
              <w:bottom w:val="single" w:color="000000" w:sz="8" w:space="0"/>
              <w:right w:val="single" w:color="000000" w:sz="4" w:space="0"/>
            </w:tcBorders>
            <w:noWrap w:val="0"/>
            <w:vAlign w:val="center"/>
          </w:tcPr>
          <w:p w14:paraId="7BC15025">
            <w:pPr>
              <w:widowControl/>
              <w:jc w:val="center"/>
              <w:rPr>
                <w:rFonts w:ascii="宋体" w:hAnsi="宋体" w:cs="Arial"/>
                <w:kern w:val="0"/>
                <w:szCs w:val="21"/>
              </w:rPr>
            </w:pPr>
            <w:r>
              <w:rPr>
                <w:rFonts w:hint="eastAsia" w:ascii="宋体" w:hAnsi="宋体" w:cs="Arial"/>
                <w:kern w:val="0"/>
                <w:szCs w:val="21"/>
              </w:rPr>
              <w:t>合  计</w:t>
            </w:r>
          </w:p>
        </w:tc>
        <w:tc>
          <w:tcPr>
            <w:tcW w:w="911" w:type="pct"/>
            <w:tcBorders>
              <w:top w:val="nil"/>
              <w:left w:val="nil"/>
              <w:bottom w:val="single" w:color="000000" w:sz="8" w:space="0"/>
              <w:right w:val="single" w:color="000000" w:sz="8" w:space="0"/>
            </w:tcBorders>
            <w:noWrap w:val="0"/>
            <w:vAlign w:val="center"/>
          </w:tcPr>
          <w:p w14:paraId="3CAA70F8">
            <w:pPr>
              <w:widowControl/>
              <w:jc w:val="right"/>
              <w:rPr>
                <w:rFonts w:ascii="宋体" w:hAnsi="宋体" w:cs="Arial"/>
                <w:kern w:val="0"/>
                <w:szCs w:val="21"/>
              </w:rPr>
            </w:pPr>
          </w:p>
        </w:tc>
      </w:tr>
    </w:tbl>
    <w:p w14:paraId="0DA6FB62">
      <w:pPr>
        <w:spacing w:before="48" w:beforeLines="20" w:after="48" w:afterLines="20" w:line="540" w:lineRule="exact"/>
        <w:rPr>
          <w:rFonts w:hint="eastAsia" w:ascii="宋体" w:hAnsi="宋体"/>
          <w:sz w:val="24"/>
          <w:szCs w:val="22"/>
        </w:rPr>
      </w:pPr>
    </w:p>
    <w:p w14:paraId="13D6759F">
      <w:pPr>
        <w:rPr>
          <w:rFonts w:hint="eastAsia"/>
        </w:rPr>
      </w:pPr>
      <w:bookmarkStart w:id="510" w:name="_Toc171581375"/>
      <w:bookmarkStart w:id="511" w:name="_Toc460227136"/>
      <w:bookmarkStart w:id="512" w:name="_Toc171581555"/>
      <w:bookmarkStart w:id="513" w:name="_Toc460660251"/>
      <w:bookmarkStart w:id="514" w:name="_Toc171741998"/>
    </w:p>
    <w:p w14:paraId="225F8307">
      <w:pPr>
        <w:jc w:val="center"/>
        <w:outlineLvl w:val="2"/>
        <w:rPr>
          <w:rFonts w:hint="eastAsia"/>
          <w:sz w:val="28"/>
          <w:szCs w:val="28"/>
        </w:rPr>
      </w:pPr>
      <w:bookmarkStart w:id="515" w:name="_Toc535241140"/>
      <w:r>
        <w:rPr>
          <w:rFonts w:hint="eastAsia"/>
          <w:sz w:val="28"/>
          <w:szCs w:val="28"/>
        </w:rPr>
        <w:t>（十四）</w:t>
      </w:r>
      <w:bookmarkEnd w:id="510"/>
      <w:bookmarkEnd w:id="511"/>
      <w:bookmarkEnd w:id="512"/>
      <w:bookmarkEnd w:id="513"/>
      <w:bookmarkEnd w:id="514"/>
      <w:r>
        <w:rPr>
          <w:rFonts w:hint="eastAsia"/>
          <w:sz w:val="28"/>
          <w:szCs w:val="28"/>
        </w:rPr>
        <w:t>税金计价表</w:t>
      </w:r>
      <w:bookmarkEnd w:id="515"/>
    </w:p>
    <w:p w14:paraId="7A4D5E5E">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58"/>
        <w:gridCol w:w="2140"/>
        <w:gridCol w:w="3055"/>
        <w:gridCol w:w="1537"/>
        <w:gridCol w:w="992"/>
        <w:gridCol w:w="1089"/>
      </w:tblGrid>
      <w:tr w14:paraId="7B8A553C">
        <w:trPr>
          <w:trHeight w:val="690" w:hRule="atLeast"/>
        </w:trPr>
        <w:tc>
          <w:tcPr>
            <w:tcW w:w="39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A3E5B7B">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118" w:type="pct"/>
            <w:tcBorders>
              <w:top w:val="single" w:color="000000" w:sz="8" w:space="0"/>
              <w:left w:val="nil"/>
              <w:bottom w:val="single" w:color="000000" w:sz="4" w:space="0"/>
              <w:right w:val="single" w:color="000000" w:sz="4" w:space="0"/>
            </w:tcBorders>
            <w:shd w:val="clear" w:color="FFFFFF" w:fill="FFFFFF"/>
            <w:noWrap w:val="0"/>
            <w:vAlign w:val="center"/>
          </w:tcPr>
          <w:p w14:paraId="059BEED4">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1596" w:type="pct"/>
            <w:tcBorders>
              <w:top w:val="single" w:color="000000" w:sz="8" w:space="0"/>
              <w:left w:val="nil"/>
              <w:bottom w:val="single" w:color="000000" w:sz="4" w:space="0"/>
              <w:right w:val="single" w:color="000000" w:sz="4" w:space="0"/>
            </w:tcBorders>
            <w:shd w:val="clear" w:color="FFFFFF" w:fill="FFFFFF"/>
            <w:noWrap w:val="0"/>
            <w:vAlign w:val="center"/>
          </w:tcPr>
          <w:p w14:paraId="2781A6B8">
            <w:pPr>
              <w:widowControl/>
              <w:jc w:val="center"/>
              <w:rPr>
                <w:rFonts w:ascii="黑体" w:hAnsi="黑体" w:eastAsia="黑体" w:cs="Arial"/>
                <w:kern w:val="0"/>
                <w:szCs w:val="21"/>
              </w:rPr>
            </w:pPr>
            <w:r>
              <w:rPr>
                <w:rFonts w:hint="eastAsia" w:ascii="黑体" w:hAnsi="黑体" w:eastAsia="黑体" w:cs="Arial"/>
                <w:kern w:val="0"/>
                <w:szCs w:val="21"/>
              </w:rPr>
              <w:t>计算基础</w:t>
            </w:r>
          </w:p>
        </w:tc>
        <w:tc>
          <w:tcPr>
            <w:tcW w:w="803" w:type="pct"/>
            <w:tcBorders>
              <w:top w:val="single" w:color="000000" w:sz="8" w:space="0"/>
              <w:left w:val="nil"/>
              <w:bottom w:val="single" w:color="000000" w:sz="4" w:space="0"/>
              <w:right w:val="single" w:color="000000" w:sz="4" w:space="0"/>
            </w:tcBorders>
            <w:shd w:val="clear" w:color="FFFFFF" w:fill="FFFFFF"/>
            <w:noWrap w:val="0"/>
            <w:vAlign w:val="center"/>
          </w:tcPr>
          <w:p w14:paraId="6EA18571">
            <w:pPr>
              <w:widowControl/>
              <w:jc w:val="center"/>
              <w:rPr>
                <w:rFonts w:ascii="黑体" w:hAnsi="黑体" w:eastAsia="黑体" w:cs="Arial"/>
                <w:kern w:val="0"/>
                <w:szCs w:val="21"/>
              </w:rPr>
            </w:pPr>
            <w:r>
              <w:rPr>
                <w:rFonts w:hint="eastAsia" w:ascii="黑体" w:hAnsi="黑体" w:eastAsia="黑体" w:cs="Arial"/>
                <w:kern w:val="0"/>
                <w:szCs w:val="21"/>
              </w:rPr>
              <w:t>计算基数</w:t>
            </w:r>
          </w:p>
        </w:tc>
        <w:tc>
          <w:tcPr>
            <w:tcW w:w="518" w:type="pct"/>
            <w:tcBorders>
              <w:top w:val="single" w:color="000000" w:sz="8" w:space="0"/>
              <w:left w:val="nil"/>
              <w:bottom w:val="single" w:color="000000" w:sz="4" w:space="0"/>
              <w:right w:val="single" w:color="000000" w:sz="4" w:space="0"/>
            </w:tcBorders>
            <w:shd w:val="clear" w:color="FFFFFF" w:fill="FFFFFF"/>
            <w:noWrap w:val="0"/>
            <w:vAlign w:val="center"/>
          </w:tcPr>
          <w:p w14:paraId="0A7F7FBF">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569" w:type="pct"/>
            <w:tcBorders>
              <w:top w:val="single" w:color="000000" w:sz="8" w:space="0"/>
              <w:left w:val="nil"/>
              <w:bottom w:val="single" w:color="000000" w:sz="4" w:space="0"/>
              <w:right w:val="single" w:color="000000" w:sz="8" w:space="0"/>
            </w:tcBorders>
            <w:shd w:val="clear" w:color="FFFFFF" w:fill="FFFFFF"/>
            <w:noWrap w:val="0"/>
            <w:vAlign w:val="center"/>
          </w:tcPr>
          <w:p w14:paraId="389E9F10">
            <w:pPr>
              <w:widowControl/>
              <w:jc w:val="center"/>
              <w:rPr>
                <w:rFonts w:ascii="黑体" w:hAnsi="黑体" w:eastAsia="黑体" w:cs="Arial"/>
                <w:kern w:val="0"/>
                <w:szCs w:val="21"/>
              </w:rPr>
            </w:pPr>
            <w:r>
              <w:rPr>
                <w:rFonts w:hint="eastAsia" w:ascii="黑体" w:hAnsi="黑体" w:eastAsia="黑体" w:cs="Arial"/>
                <w:kern w:val="0"/>
                <w:szCs w:val="21"/>
              </w:rPr>
              <w:t>金额(元)</w:t>
            </w:r>
          </w:p>
        </w:tc>
      </w:tr>
      <w:tr w14:paraId="4ED201B2">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D3C850F">
            <w:pPr>
              <w:widowControl/>
              <w:jc w:val="center"/>
              <w:rPr>
                <w:rFonts w:ascii="宋体" w:hAnsi="宋体" w:cs="Arial"/>
                <w:kern w:val="0"/>
                <w:szCs w:val="21"/>
              </w:rPr>
            </w:pPr>
            <w:r>
              <w:rPr>
                <w:rFonts w:hint="eastAsia" w:ascii="宋体" w:hAnsi="宋体" w:cs="Arial"/>
                <w:kern w:val="0"/>
                <w:szCs w:val="21"/>
              </w:rPr>
              <w:t>1</w:t>
            </w:r>
          </w:p>
        </w:tc>
        <w:tc>
          <w:tcPr>
            <w:tcW w:w="1118" w:type="pct"/>
            <w:tcBorders>
              <w:top w:val="nil"/>
              <w:left w:val="nil"/>
              <w:bottom w:val="single" w:color="000000" w:sz="4" w:space="0"/>
              <w:right w:val="single" w:color="000000" w:sz="4" w:space="0"/>
            </w:tcBorders>
            <w:noWrap w:val="0"/>
            <w:vAlign w:val="center"/>
          </w:tcPr>
          <w:p w14:paraId="532013F3">
            <w:pPr>
              <w:widowControl/>
              <w:jc w:val="left"/>
              <w:rPr>
                <w:rFonts w:ascii="宋体" w:hAnsi="宋体" w:cs="Arial"/>
                <w:kern w:val="0"/>
                <w:szCs w:val="21"/>
              </w:rPr>
            </w:pPr>
            <w:r>
              <w:rPr>
                <w:rFonts w:hint="eastAsia" w:ascii="宋体" w:hAnsi="宋体" w:cs="Arial"/>
                <w:kern w:val="0"/>
                <w:szCs w:val="21"/>
              </w:rPr>
              <w:t>增值税</w:t>
            </w:r>
          </w:p>
        </w:tc>
        <w:tc>
          <w:tcPr>
            <w:tcW w:w="1596" w:type="pct"/>
            <w:tcBorders>
              <w:top w:val="single" w:color="000000" w:sz="4" w:space="0"/>
              <w:left w:val="nil"/>
              <w:bottom w:val="single" w:color="000000" w:sz="4" w:space="0"/>
              <w:right w:val="single" w:color="000000" w:sz="4" w:space="0"/>
            </w:tcBorders>
            <w:noWrap w:val="0"/>
            <w:vAlign w:val="center"/>
          </w:tcPr>
          <w:p w14:paraId="569F5B5D">
            <w:pPr>
              <w:widowControl/>
              <w:jc w:val="left"/>
              <w:rPr>
                <w:rFonts w:ascii="宋体" w:hAnsi="宋体" w:cs="Arial"/>
                <w:kern w:val="0"/>
                <w:szCs w:val="21"/>
              </w:rPr>
            </w:pPr>
            <w:r>
              <w:rPr>
                <w:rFonts w:hint="eastAsia" w:ascii="宋体" w:hAnsi="宋体" w:cs="Arial"/>
                <w:kern w:val="0"/>
                <w:szCs w:val="21"/>
              </w:rPr>
              <w:t>分部分项工程费+措施项目费+不可竞争费+其他项目费</w:t>
            </w:r>
          </w:p>
        </w:tc>
        <w:tc>
          <w:tcPr>
            <w:tcW w:w="803" w:type="pct"/>
            <w:tcBorders>
              <w:top w:val="single" w:color="000000" w:sz="4" w:space="0"/>
              <w:left w:val="nil"/>
              <w:bottom w:val="single" w:color="000000" w:sz="4" w:space="0"/>
              <w:right w:val="single" w:color="000000" w:sz="4" w:space="0"/>
            </w:tcBorders>
            <w:noWrap w:val="0"/>
            <w:vAlign w:val="center"/>
          </w:tcPr>
          <w:p w14:paraId="1C75E313">
            <w:pPr>
              <w:widowControl/>
              <w:jc w:val="right"/>
              <w:rPr>
                <w:rFonts w:ascii="宋体" w:hAnsi="宋体" w:cs="Arial"/>
                <w:kern w:val="0"/>
                <w:szCs w:val="21"/>
              </w:rPr>
            </w:pPr>
          </w:p>
        </w:tc>
        <w:tc>
          <w:tcPr>
            <w:tcW w:w="518" w:type="pct"/>
            <w:tcBorders>
              <w:top w:val="nil"/>
              <w:left w:val="nil"/>
              <w:bottom w:val="single" w:color="000000" w:sz="4" w:space="0"/>
              <w:right w:val="single" w:color="000000" w:sz="4" w:space="0"/>
            </w:tcBorders>
            <w:noWrap w:val="0"/>
            <w:vAlign w:val="center"/>
          </w:tcPr>
          <w:p w14:paraId="594EB543">
            <w:pPr>
              <w:widowControl/>
              <w:jc w:val="right"/>
              <w:rPr>
                <w:rFonts w:ascii="宋体" w:hAnsi="宋体" w:cs="Arial"/>
                <w:kern w:val="0"/>
                <w:szCs w:val="21"/>
              </w:rPr>
            </w:pPr>
          </w:p>
        </w:tc>
        <w:tc>
          <w:tcPr>
            <w:tcW w:w="569" w:type="pct"/>
            <w:tcBorders>
              <w:top w:val="nil"/>
              <w:left w:val="nil"/>
              <w:bottom w:val="single" w:color="000000" w:sz="4" w:space="0"/>
              <w:right w:val="single" w:color="000000" w:sz="8" w:space="0"/>
            </w:tcBorders>
            <w:noWrap w:val="0"/>
            <w:vAlign w:val="center"/>
          </w:tcPr>
          <w:p w14:paraId="472BAA44">
            <w:pPr>
              <w:widowControl/>
              <w:jc w:val="right"/>
              <w:rPr>
                <w:rFonts w:ascii="宋体" w:hAnsi="宋体" w:cs="Arial"/>
                <w:kern w:val="0"/>
                <w:szCs w:val="21"/>
              </w:rPr>
            </w:pPr>
          </w:p>
        </w:tc>
      </w:tr>
      <w:tr w14:paraId="30528A94">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452B1C82">
            <w:pPr>
              <w:widowControl/>
              <w:jc w:val="center"/>
              <w:rPr>
                <w:rFonts w:ascii="宋体" w:hAnsi="宋体" w:cs="Arial"/>
                <w:kern w:val="0"/>
                <w:szCs w:val="21"/>
              </w:rPr>
            </w:pPr>
          </w:p>
        </w:tc>
        <w:tc>
          <w:tcPr>
            <w:tcW w:w="1118" w:type="pct"/>
            <w:tcBorders>
              <w:top w:val="nil"/>
              <w:left w:val="nil"/>
              <w:bottom w:val="single" w:color="000000" w:sz="4" w:space="0"/>
              <w:right w:val="single" w:color="000000" w:sz="4" w:space="0"/>
            </w:tcBorders>
            <w:noWrap w:val="0"/>
            <w:vAlign w:val="center"/>
          </w:tcPr>
          <w:p w14:paraId="20988403">
            <w:pPr>
              <w:widowControl/>
              <w:jc w:val="left"/>
              <w:rPr>
                <w:rFonts w:ascii="宋体" w:hAnsi="宋体" w:cs="Arial"/>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1EB32C41">
            <w:pPr>
              <w:widowControl/>
              <w:jc w:val="left"/>
              <w:rPr>
                <w:rFonts w:ascii="宋体" w:hAnsi="宋体" w:cs="Arial"/>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526E1AC1">
            <w:pPr>
              <w:widowControl/>
              <w:jc w:val="right"/>
              <w:rPr>
                <w:rFonts w:ascii="宋体" w:hAnsi="宋体" w:cs="Arial"/>
                <w:kern w:val="0"/>
                <w:szCs w:val="21"/>
              </w:rPr>
            </w:pPr>
          </w:p>
        </w:tc>
        <w:tc>
          <w:tcPr>
            <w:tcW w:w="518" w:type="pct"/>
            <w:tcBorders>
              <w:top w:val="nil"/>
              <w:left w:val="nil"/>
              <w:bottom w:val="single" w:color="000000" w:sz="4" w:space="0"/>
              <w:right w:val="single" w:color="000000" w:sz="4" w:space="0"/>
            </w:tcBorders>
            <w:noWrap w:val="0"/>
            <w:vAlign w:val="center"/>
          </w:tcPr>
          <w:p w14:paraId="3F0E123B">
            <w:pPr>
              <w:widowControl/>
              <w:jc w:val="right"/>
              <w:rPr>
                <w:rFonts w:ascii="宋体" w:hAnsi="宋体" w:cs="Arial"/>
                <w:kern w:val="0"/>
                <w:szCs w:val="21"/>
              </w:rPr>
            </w:pPr>
          </w:p>
        </w:tc>
        <w:tc>
          <w:tcPr>
            <w:tcW w:w="569" w:type="pct"/>
            <w:tcBorders>
              <w:top w:val="nil"/>
              <w:left w:val="nil"/>
              <w:bottom w:val="single" w:color="000000" w:sz="4" w:space="0"/>
              <w:right w:val="single" w:color="000000" w:sz="8" w:space="0"/>
            </w:tcBorders>
            <w:noWrap w:val="0"/>
            <w:vAlign w:val="center"/>
          </w:tcPr>
          <w:p w14:paraId="302EAF1E">
            <w:pPr>
              <w:widowControl/>
              <w:jc w:val="right"/>
              <w:rPr>
                <w:rFonts w:ascii="宋体" w:hAnsi="宋体" w:cs="Arial"/>
                <w:kern w:val="0"/>
                <w:szCs w:val="21"/>
              </w:rPr>
            </w:pPr>
          </w:p>
        </w:tc>
      </w:tr>
      <w:tr w14:paraId="456A0995">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51DF825">
            <w:pPr>
              <w:widowControl/>
              <w:jc w:val="center"/>
              <w:rPr>
                <w:rFonts w:ascii="宋体" w:hAnsi="宋体" w:cs="Arial"/>
                <w:kern w:val="0"/>
                <w:szCs w:val="21"/>
              </w:rPr>
            </w:pPr>
          </w:p>
        </w:tc>
        <w:tc>
          <w:tcPr>
            <w:tcW w:w="1118" w:type="pct"/>
            <w:tcBorders>
              <w:top w:val="nil"/>
              <w:left w:val="nil"/>
              <w:bottom w:val="single" w:color="000000" w:sz="4" w:space="0"/>
              <w:right w:val="single" w:color="000000" w:sz="4" w:space="0"/>
            </w:tcBorders>
            <w:noWrap w:val="0"/>
            <w:vAlign w:val="center"/>
          </w:tcPr>
          <w:p w14:paraId="1921F962">
            <w:pPr>
              <w:widowControl/>
              <w:jc w:val="left"/>
              <w:rPr>
                <w:rFonts w:ascii="宋体" w:hAnsi="宋体" w:cs="Arial"/>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3B9F42EB">
            <w:pPr>
              <w:widowControl/>
              <w:jc w:val="left"/>
              <w:rPr>
                <w:rFonts w:ascii="宋体" w:hAnsi="宋体" w:cs="Arial"/>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1902A6BF">
            <w:pPr>
              <w:widowControl/>
              <w:jc w:val="right"/>
              <w:rPr>
                <w:rFonts w:ascii="宋体" w:hAnsi="宋体" w:cs="Arial"/>
                <w:kern w:val="0"/>
                <w:szCs w:val="21"/>
              </w:rPr>
            </w:pPr>
          </w:p>
        </w:tc>
        <w:tc>
          <w:tcPr>
            <w:tcW w:w="518" w:type="pct"/>
            <w:tcBorders>
              <w:top w:val="nil"/>
              <w:left w:val="nil"/>
              <w:bottom w:val="single" w:color="000000" w:sz="4" w:space="0"/>
              <w:right w:val="single" w:color="000000" w:sz="4" w:space="0"/>
            </w:tcBorders>
            <w:noWrap w:val="0"/>
            <w:vAlign w:val="center"/>
          </w:tcPr>
          <w:p w14:paraId="23187D6E">
            <w:pPr>
              <w:widowControl/>
              <w:jc w:val="right"/>
              <w:rPr>
                <w:rFonts w:ascii="宋体" w:hAnsi="宋体" w:cs="Arial"/>
                <w:kern w:val="0"/>
                <w:szCs w:val="21"/>
              </w:rPr>
            </w:pPr>
          </w:p>
        </w:tc>
        <w:tc>
          <w:tcPr>
            <w:tcW w:w="569" w:type="pct"/>
            <w:tcBorders>
              <w:top w:val="nil"/>
              <w:left w:val="nil"/>
              <w:bottom w:val="single" w:color="000000" w:sz="4" w:space="0"/>
              <w:right w:val="single" w:color="000000" w:sz="8" w:space="0"/>
            </w:tcBorders>
            <w:noWrap w:val="0"/>
            <w:vAlign w:val="center"/>
          </w:tcPr>
          <w:p w14:paraId="14AEB1E6">
            <w:pPr>
              <w:widowControl/>
              <w:jc w:val="right"/>
              <w:rPr>
                <w:rFonts w:ascii="宋体" w:hAnsi="宋体" w:cs="Arial"/>
                <w:kern w:val="0"/>
                <w:szCs w:val="21"/>
              </w:rPr>
            </w:pPr>
          </w:p>
        </w:tc>
      </w:tr>
      <w:tr w14:paraId="1DB6044B">
        <w:trPr>
          <w:trHeight w:val="680" w:hRule="atLeast"/>
        </w:trPr>
        <w:tc>
          <w:tcPr>
            <w:tcW w:w="4431" w:type="pct"/>
            <w:gridSpan w:val="5"/>
            <w:tcBorders>
              <w:top w:val="single" w:color="000000" w:sz="4" w:space="0"/>
              <w:left w:val="single" w:color="000000" w:sz="8" w:space="0"/>
              <w:bottom w:val="single" w:color="000000" w:sz="8" w:space="0"/>
              <w:right w:val="single" w:color="000000" w:sz="4" w:space="0"/>
            </w:tcBorders>
            <w:noWrap w:val="0"/>
            <w:vAlign w:val="center"/>
          </w:tcPr>
          <w:p w14:paraId="429FFC29">
            <w:pPr>
              <w:widowControl/>
              <w:jc w:val="center"/>
              <w:rPr>
                <w:rFonts w:ascii="宋体" w:hAnsi="宋体" w:cs="Arial"/>
                <w:kern w:val="0"/>
                <w:szCs w:val="21"/>
              </w:rPr>
            </w:pPr>
            <w:r>
              <w:rPr>
                <w:rFonts w:hint="eastAsia" w:ascii="宋体" w:hAnsi="宋体" w:cs="Arial"/>
                <w:kern w:val="0"/>
                <w:szCs w:val="21"/>
              </w:rPr>
              <w:t>合  计</w:t>
            </w:r>
          </w:p>
        </w:tc>
        <w:tc>
          <w:tcPr>
            <w:tcW w:w="569" w:type="pct"/>
            <w:tcBorders>
              <w:top w:val="nil"/>
              <w:left w:val="nil"/>
              <w:bottom w:val="single" w:color="000000" w:sz="8" w:space="0"/>
              <w:right w:val="single" w:color="000000" w:sz="8" w:space="0"/>
            </w:tcBorders>
            <w:noWrap w:val="0"/>
            <w:vAlign w:val="center"/>
          </w:tcPr>
          <w:p w14:paraId="68911973">
            <w:pPr>
              <w:widowControl/>
              <w:jc w:val="right"/>
              <w:rPr>
                <w:rFonts w:ascii="宋体" w:hAnsi="宋体" w:cs="Arial"/>
                <w:kern w:val="0"/>
                <w:szCs w:val="21"/>
              </w:rPr>
            </w:pPr>
          </w:p>
        </w:tc>
      </w:tr>
    </w:tbl>
    <w:p w14:paraId="395E65C5">
      <w:pPr>
        <w:spacing w:before="48" w:beforeLines="20" w:after="48" w:afterLines="20" w:line="540" w:lineRule="exact"/>
        <w:rPr>
          <w:rFonts w:hint="eastAsia" w:ascii="宋体" w:hAnsi="宋体"/>
          <w:sz w:val="24"/>
          <w:szCs w:val="22"/>
        </w:rPr>
        <w:sectPr>
          <w:headerReference r:id="rId11" w:type="first"/>
          <w:footerReference r:id="rId13" w:type="first"/>
          <w:headerReference r:id="rId9" w:type="default"/>
          <w:headerReference r:id="rId10" w:type="even"/>
          <w:footerReference r:id="rId12" w:type="even"/>
          <w:footnotePr>
            <w:numFmt w:val="decimalEnclosedCircleChinese"/>
            <w:numRestart w:val="eachPage"/>
          </w:footnotePr>
          <w:pgSz w:w="11907" w:h="16840"/>
          <w:pgMar w:top="1418" w:right="1134" w:bottom="1134" w:left="1418" w:header="680" w:footer="907" w:gutter="0"/>
          <w:cols w:space="720" w:num="1"/>
          <w:docGrid w:linePitch="286" w:charSpace="0"/>
        </w:sectPr>
      </w:pPr>
    </w:p>
    <w:p w14:paraId="4DD80302">
      <w:pPr>
        <w:jc w:val="center"/>
        <w:outlineLvl w:val="2"/>
        <w:rPr>
          <w:rFonts w:hint="eastAsia"/>
          <w:sz w:val="28"/>
          <w:szCs w:val="28"/>
        </w:rPr>
      </w:pPr>
      <w:bookmarkStart w:id="516" w:name="_Toc535241141"/>
      <w:r>
        <w:rPr>
          <w:rFonts w:hint="eastAsia"/>
          <w:sz w:val="28"/>
          <w:szCs w:val="28"/>
        </w:rPr>
        <w:t>（十五）材料（工程设备）暂估单价一览表</w:t>
      </w:r>
      <w:bookmarkEnd w:id="516"/>
    </w:p>
    <w:p w14:paraId="1909564F">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1276"/>
        <w:gridCol w:w="4200"/>
        <w:gridCol w:w="1588"/>
        <w:gridCol w:w="1532"/>
        <w:gridCol w:w="1713"/>
      </w:tblGrid>
      <w:tr w14:paraId="7951C468">
        <w:trPr>
          <w:trHeight w:val="690" w:hRule="atLeast"/>
        </w:trPr>
        <w:tc>
          <w:tcPr>
            <w:tcW w:w="61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D7F09C5">
            <w:pPr>
              <w:widowControl/>
              <w:jc w:val="center"/>
              <w:rPr>
                <w:rFonts w:ascii="黑体" w:hAnsi="黑体" w:eastAsia="黑体" w:cs="Arial"/>
                <w:kern w:val="0"/>
                <w:szCs w:val="21"/>
              </w:rPr>
            </w:pPr>
            <w:bookmarkStart w:id="517" w:name="_Toc44996373"/>
            <w:bookmarkStart w:id="518" w:name="_Toc17215711"/>
            <w:r>
              <w:rPr>
                <w:rFonts w:hint="eastAsia" w:ascii="黑体" w:hAnsi="黑体" w:eastAsia="黑体" w:cs="Arial"/>
                <w:kern w:val="0"/>
                <w:szCs w:val="21"/>
              </w:rPr>
              <w:t>序号</w:t>
            </w:r>
          </w:p>
        </w:tc>
        <w:tc>
          <w:tcPr>
            <w:tcW w:w="2037" w:type="pct"/>
            <w:tcBorders>
              <w:top w:val="single" w:color="000000" w:sz="8" w:space="0"/>
              <w:left w:val="nil"/>
              <w:bottom w:val="single" w:color="000000" w:sz="4" w:space="0"/>
              <w:right w:val="single" w:color="000000" w:sz="4" w:space="0"/>
            </w:tcBorders>
            <w:shd w:val="clear" w:color="FFFFFF" w:fill="FFFFFF"/>
            <w:noWrap w:val="0"/>
            <w:vAlign w:val="center"/>
          </w:tcPr>
          <w:p w14:paraId="75002DE1">
            <w:pPr>
              <w:widowControl/>
              <w:jc w:val="center"/>
              <w:rPr>
                <w:rFonts w:ascii="黑体" w:hAnsi="黑体" w:eastAsia="黑体" w:cs="Arial"/>
                <w:kern w:val="0"/>
                <w:szCs w:val="21"/>
              </w:rPr>
            </w:pPr>
            <w:r>
              <w:rPr>
                <w:rFonts w:hint="eastAsia" w:ascii="黑体" w:hAnsi="黑体" w:eastAsia="黑体" w:cs="Arial"/>
                <w:kern w:val="0"/>
                <w:szCs w:val="21"/>
              </w:rPr>
              <w:t>材料(工程设备)名称、规格、型号</w:t>
            </w:r>
          </w:p>
        </w:tc>
        <w:tc>
          <w:tcPr>
            <w:tcW w:w="770" w:type="pct"/>
            <w:tcBorders>
              <w:top w:val="single" w:color="000000" w:sz="8" w:space="0"/>
              <w:left w:val="nil"/>
              <w:bottom w:val="single" w:color="000000" w:sz="4" w:space="0"/>
              <w:right w:val="single" w:color="000000" w:sz="4" w:space="0"/>
            </w:tcBorders>
            <w:shd w:val="clear" w:color="FFFFFF" w:fill="FFFFFF"/>
            <w:noWrap w:val="0"/>
            <w:vAlign w:val="center"/>
          </w:tcPr>
          <w:p w14:paraId="4CFC2284">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743" w:type="pct"/>
            <w:tcBorders>
              <w:top w:val="single" w:color="000000" w:sz="8" w:space="0"/>
              <w:left w:val="nil"/>
              <w:bottom w:val="single" w:color="000000" w:sz="4" w:space="0"/>
              <w:right w:val="single" w:color="000000" w:sz="4" w:space="0"/>
            </w:tcBorders>
            <w:shd w:val="clear" w:color="FFFFFF" w:fill="FFFFFF"/>
            <w:noWrap w:val="0"/>
            <w:vAlign w:val="center"/>
          </w:tcPr>
          <w:p w14:paraId="6247F2D0">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831" w:type="pct"/>
            <w:tcBorders>
              <w:top w:val="single" w:color="000000" w:sz="8" w:space="0"/>
              <w:left w:val="nil"/>
              <w:bottom w:val="single" w:color="000000" w:sz="4" w:space="0"/>
              <w:right w:val="single" w:color="000000" w:sz="8" w:space="0"/>
            </w:tcBorders>
            <w:shd w:val="clear" w:color="FFFFFF" w:fill="FFFFFF"/>
            <w:noWrap w:val="0"/>
            <w:vAlign w:val="center"/>
          </w:tcPr>
          <w:p w14:paraId="710BA03A">
            <w:pPr>
              <w:widowControl/>
              <w:jc w:val="center"/>
              <w:rPr>
                <w:rFonts w:ascii="黑体" w:hAnsi="黑体" w:eastAsia="黑体" w:cs="Arial"/>
                <w:kern w:val="0"/>
                <w:szCs w:val="21"/>
              </w:rPr>
            </w:pPr>
            <w:r>
              <w:rPr>
                <w:rFonts w:hint="eastAsia" w:ascii="黑体" w:hAnsi="黑体" w:eastAsia="黑体" w:cs="Arial"/>
                <w:kern w:val="0"/>
                <w:szCs w:val="21"/>
              </w:rPr>
              <w:t>单价(元)</w:t>
            </w:r>
          </w:p>
        </w:tc>
      </w:tr>
      <w:tr w14:paraId="69AEDAF3">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F55201D">
            <w:pPr>
              <w:widowControl/>
              <w:jc w:val="center"/>
              <w:rPr>
                <w:rFonts w:ascii="宋体" w:hAnsi="宋体" w:cs="Arial"/>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7E5216F">
            <w:pPr>
              <w:widowControl/>
              <w:jc w:val="left"/>
              <w:rPr>
                <w:rFonts w:ascii="宋体" w:hAnsi="宋体" w:cs="Arial"/>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4B3F30CB">
            <w:pPr>
              <w:widowControl/>
              <w:jc w:val="center"/>
              <w:rPr>
                <w:rFonts w:ascii="宋体" w:hAnsi="宋体" w:cs="Arial"/>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3FDBDDED">
            <w:pPr>
              <w:widowControl/>
              <w:jc w:val="right"/>
              <w:rPr>
                <w:rFonts w:ascii="宋体" w:hAnsi="宋体" w:cs="Arial"/>
                <w:kern w:val="0"/>
                <w:szCs w:val="21"/>
              </w:rPr>
            </w:pPr>
          </w:p>
        </w:tc>
        <w:tc>
          <w:tcPr>
            <w:tcW w:w="831" w:type="pct"/>
            <w:tcBorders>
              <w:top w:val="nil"/>
              <w:left w:val="nil"/>
              <w:bottom w:val="single" w:color="000000" w:sz="4" w:space="0"/>
              <w:right w:val="single" w:color="000000" w:sz="8" w:space="0"/>
            </w:tcBorders>
            <w:noWrap w:val="0"/>
            <w:vAlign w:val="center"/>
          </w:tcPr>
          <w:p w14:paraId="5C6F4B66">
            <w:pPr>
              <w:widowControl/>
              <w:jc w:val="right"/>
              <w:rPr>
                <w:rFonts w:ascii="宋体" w:hAnsi="宋体" w:cs="Arial"/>
                <w:kern w:val="0"/>
                <w:szCs w:val="21"/>
              </w:rPr>
            </w:pPr>
          </w:p>
        </w:tc>
      </w:tr>
      <w:tr w14:paraId="16781CB6">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29ED8C0F">
            <w:pPr>
              <w:widowControl/>
              <w:jc w:val="center"/>
              <w:rPr>
                <w:rFonts w:ascii="宋体" w:hAnsi="宋体" w:cs="Arial"/>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44F00DA">
            <w:pPr>
              <w:widowControl/>
              <w:jc w:val="left"/>
              <w:rPr>
                <w:rFonts w:ascii="宋体" w:hAnsi="宋体" w:cs="Arial"/>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52EF3CA">
            <w:pPr>
              <w:widowControl/>
              <w:jc w:val="center"/>
              <w:rPr>
                <w:rFonts w:ascii="宋体" w:hAnsi="宋体" w:cs="Arial"/>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54C5EEAC">
            <w:pPr>
              <w:widowControl/>
              <w:jc w:val="right"/>
              <w:rPr>
                <w:rFonts w:ascii="宋体" w:hAnsi="宋体" w:cs="Arial"/>
                <w:kern w:val="0"/>
                <w:szCs w:val="21"/>
              </w:rPr>
            </w:pPr>
          </w:p>
        </w:tc>
        <w:tc>
          <w:tcPr>
            <w:tcW w:w="831" w:type="pct"/>
            <w:tcBorders>
              <w:top w:val="nil"/>
              <w:left w:val="nil"/>
              <w:bottom w:val="single" w:color="000000" w:sz="4" w:space="0"/>
              <w:right w:val="single" w:color="000000" w:sz="8" w:space="0"/>
            </w:tcBorders>
            <w:noWrap w:val="0"/>
            <w:vAlign w:val="center"/>
          </w:tcPr>
          <w:p w14:paraId="680ECB05">
            <w:pPr>
              <w:widowControl/>
              <w:jc w:val="right"/>
              <w:rPr>
                <w:rFonts w:ascii="宋体" w:hAnsi="宋体" w:cs="Arial"/>
                <w:kern w:val="0"/>
                <w:szCs w:val="21"/>
              </w:rPr>
            </w:pPr>
          </w:p>
        </w:tc>
      </w:tr>
      <w:tr w14:paraId="46A63970">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39712183">
            <w:pPr>
              <w:widowControl/>
              <w:jc w:val="center"/>
              <w:rPr>
                <w:rFonts w:ascii="宋体" w:hAnsi="宋体" w:cs="Arial"/>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FB650A8">
            <w:pPr>
              <w:widowControl/>
              <w:jc w:val="left"/>
              <w:rPr>
                <w:rFonts w:ascii="宋体" w:hAnsi="宋体" w:cs="Arial"/>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42439C1">
            <w:pPr>
              <w:widowControl/>
              <w:jc w:val="center"/>
              <w:rPr>
                <w:rFonts w:ascii="宋体" w:hAnsi="宋体" w:cs="Arial"/>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9955D9A">
            <w:pPr>
              <w:widowControl/>
              <w:jc w:val="right"/>
              <w:rPr>
                <w:rFonts w:ascii="宋体" w:hAnsi="宋体" w:cs="Arial"/>
                <w:kern w:val="0"/>
                <w:szCs w:val="21"/>
              </w:rPr>
            </w:pPr>
          </w:p>
        </w:tc>
        <w:tc>
          <w:tcPr>
            <w:tcW w:w="831" w:type="pct"/>
            <w:tcBorders>
              <w:top w:val="nil"/>
              <w:left w:val="nil"/>
              <w:bottom w:val="single" w:color="000000" w:sz="4" w:space="0"/>
              <w:right w:val="single" w:color="000000" w:sz="8" w:space="0"/>
            </w:tcBorders>
            <w:noWrap w:val="0"/>
            <w:vAlign w:val="center"/>
          </w:tcPr>
          <w:p w14:paraId="16FF3D76">
            <w:pPr>
              <w:widowControl/>
              <w:jc w:val="right"/>
              <w:rPr>
                <w:rFonts w:ascii="宋体" w:hAnsi="宋体" w:cs="Arial"/>
                <w:kern w:val="0"/>
                <w:szCs w:val="21"/>
              </w:rPr>
            </w:pPr>
          </w:p>
        </w:tc>
      </w:tr>
      <w:tr w14:paraId="6D9AC95F">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6C2AB5C">
            <w:pPr>
              <w:widowControl/>
              <w:jc w:val="center"/>
              <w:rPr>
                <w:rFonts w:hint="eastAsia" w:ascii="宋体" w:hAnsi="宋体" w:cs="Arial"/>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A2F2CFE">
            <w:pPr>
              <w:widowControl/>
              <w:jc w:val="left"/>
              <w:rPr>
                <w:rFonts w:hint="eastAsia" w:ascii="宋体" w:hAnsi="宋体" w:cs="Arial"/>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29D5B5D5">
            <w:pPr>
              <w:widowControl/>
              <w:jc w:val="center"/>
              <w:rPr>
                <w:rFonts w:hint="eastAsia" w:ascii="宋体" w:hAnsi="宋体" w:cs="Arial"/>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D6AAB7B">
            <w:pPr>
              <w:widowControl/>
              <w:jc w:val="right"/>
              <w:rPr>
                <w:rFonts w:hint="eastAsia" w:ascii="宋体" w:hAnsi="宋体" w:cs="Arial"/>
                <w:kern w:val="0"/>
                <w:szCs w:val="21"/>
              </w:rPr>
            </w:pPr>
          </w:p>
        </w:tc>
        <w:tc>
          <w:tcPr>
            <w:tcW w:w="831" w:type="pct"/>
            <w:tcBorders>
              <w:top w:val="nil"/>
              <w:left w:val="nil"/>
              <w:bottom w:val="single" w:color="000000" w:sz="4" w:space="0"/>
              <w:right w:val="single" w:color="000000" w:sz="8" w:space="0"/>
            </w:tcBorders>
            <w:noWrap w:val="0"/>
            <w:vAlign w:val="center"/>
          </w:tcPr>
          <w:p w14:paraId="697A288D">
            <w:pPr>
              <w:widowControl/>
              <w:jc w:val="right"/>
              <w:rPr>
                <w:rFonts w:hint="eastAsia" w:ascii="宋体" w:hAnsi="宋体" w:cs="Arial"/>
                <w:kern w:val="0"/>
                <w:szCs w:val="21"/>
              </w:rPr>
            </w:pPr>
          </w:p>
        </w:tc>
      </w:tr>
      <w:bookmarkEnd w:id="517"/>
      <w:bookmarkEnd w:id="518"/>
    </w:tbl>
    <w:p w14:paraId="2A2EBBC2">
      <w:pPr>
        <w:jc w:val="center"/>
        <w:rPr>
          <w:rFonts w:hint="eastAsia"/>
          <w:sz w:val="28"/>
          <w:szCs w:val="28"/>
        </w:rPr>
      </w:pPr>
      <w:bookmarkStart w:id="519" w:name="_Toc535241142"/>
      <w:bookmarkStart w:id="520" w:name="_Toc171742000"/>
      <w:bookmarkStart w:id="521" w:name="_Toc171581377"/>
      <w:bookmarkStart w:id="522" w:name="_Toc44996378"/>
      <w:bookmarkStart w:id="523" w:name="_Toc17215716"/>
      <w:bookmarkStart w:id="524" w:name="_Toc171581557"/>
    </w:p>
    <w:p w14:paraId="26FCF9BC">
      <w:pPr>
        <w:jc w:val="center"/>
        <w:outlineLvl w:val="2"/>
        <w:rPr>
          <w:rFonts w:hint="eastAsia"/>
          <w:sz w:val="28"/>
          <w:szCs w:val="28"/>
        </w:rPr>
      </w:pPr>
      <w:r>
        <w:rPr>
          <w:rFonts w:hint="eastAsia"/>
          <w:sz w:val="28"/>
          <w:szCs w:val="28"/>
        </w:rPr>
        <w:t>（十六）发包人提供材料（工程设备）一览表</w:t>
      </w:r>
      <w:bookmarkEnd w:id="519"/>
    </w:p>
    <w:p w14:paraId="6918656F">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46"/>
        <w:gridCol w:w="3126"/>
        <w:gridCol w:w="1188"/>
        <w:gridCol w:w="1342"/>
        <w:gridCol w:w="1474"/>
        <w:gridCol w:w="1142"/>
        <w:gridCol w:w="1091"/>
      </w:tblGrid>
      <w:tr w14:paraId="35DD4F14">
        <w:trPr>
          <w:trHeight w:val="690" w:hRule="atLeast"/>
        </w:trPr>
        <w:tc>
          <w:tcPr>
            <w:tcW w:w="45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60A7E0D">
            <w:pPr>
              <w:widowControl/>
              <w:jc w:val="center"/>
              <w:rPr>
                <w:rFonts w:ascii="黑体" w:hAnsi="黑体" w:eastAsia="黑体" w:cs="Arial"/>
                <w:kern w:val="0"/>
                <w:szCs w:val="21"/>
              </w:rPr>
            </w:pPr>
            <w:r>
              <w:rPr>
                <w:rFonts w:hint="eastAsia" w:ascii="黑体" w:hAnsi="黑体" w:eastAsia="黑体" w:cs="Arial"/>
                <w:kern w:val="0"/>
                <w:szCs w:val="21"/>
              </w:rPr>
              <w:t xml:space="preserve"> 序号</w:t>
            </w:r>
          </w:p>
        </w:tc>
        <w:tc>
          <w:tcPr>
            <w:tcW w:w="1516" w:type="pct"/>
            <w:tcBorders>
              <w:top w:val="single" w:color="000000" w:sz="8" w:space="0"/>
              <w:left w:val="nil"/>
              <w:bottom w:val="single" w:color="000000" w:sz="4" w:space="0"/>
              <w:right w:val="single" w:color="000000" w:sz="4" w:space="0"/>
            </w:tcBorders>
            <w:shd w:val="clear" w:color="FFFFFF" w:fill="FFFFFF"/>
            <w:noWrap w:val="0"/>
            <w:vAlign w:val="center"/>
          </w:tcPr>
          <w:p w14:paraId="02360F85">
            <w:pPr>
              <w:widowControl/>
              <w:jc w:val="center"/>
              <w:rPr>
                <w:rFonts w:ascii="黑体" w:hAnsi="黑体" w:eastAsia="黑体" w:cs="Arial"/>
                <w:kern w:val="0"/>
                <w:szCs w:val="21"/>
              </w:rPr>
            </w:pPr>
            <w:r>
              <w:rPr>
                <w:rFonts w:hint="eastAsia" w:ascii="黑体" w:hAnsi="黑体" w:eastAsia="黑体" w:cs="Arial"/>
                <w:kern w:val="0"/>
                <w:szCs w:val="21"/>
              </w:rPr>
              <w:t>材料(工程设备)名称、规格、型号</w:t>
            </w:r>
          </w:p>
        </w:tc>
        <w:tc>
          <w:tcPr>
            <w:tcW w:w="576" w:type="pct"/>
            <w:tcBorders>
              <w:top w:val="single" w:color="000000" w:sz="8" w:space="0"/>
              <w:left w:val="nil"/>
              <w:bottom w:val="single" w:color="000000" w:sz="4" w:space="0"/>
              <w:right w:val="single" w:color="000000" w:sz="4" w:space="0"/>
            </w:tcBorders>
            <w:shd w:val="clear" w:color="FFFFFF" w:fill="FFFFFF"/>
            <w:noWrap w:val="0"/>
            <w:vAlign w:val="center"/>
          </w:tcPr>
          <w:p w14:paraId="140F3A00">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651" w:type="pct"/>
            <w:tcBorders>
              <w:top w:val="single" w:color="000000" w:sz="8" w:space="0"/>
              <w:left w:val="nil"/>
              <w:bottom w:val="single" w:color="000000" w:sz="4" w:space="0"/>
              <w:right w:val="single" w:color="000000" w:sz="4" w:space="0"/>
            </w:tcBorders>
            <w:shd w:val="clear" w:color="FFFFFF" w:fill="FFFFFF"/>
            <w:noWrap w:val="0"/>
            <w:vAlign w:val="center"/>
          </w:tcPr>
          <w:p w14:paraId="0E7BE0DA">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715" w:type="pct"/>
            <w:tcBorders>
              <w:top w:val="single" w:color="000000" w:sz="8" w:space="0"/>
              <w:left w:val="nil"/>
              <w:bottom w:val="single" w:color="000000" w:sz="4" w:space="0"/>
              <w:right w:val="single" w:color="000000" w:sz="4" w:space="0"/>
            </w:tcBorders>
            <w:shd w:val="clear" w:color="FFFFFF" w:fill="FFFFFF"/>
            <w:noWrap w:val="0"/>
            <w:vAlign w:val="center"/>
          </w:tcPr>
          <w:p w14:paraId="2EA97089">
            <w:pPr>
              <w:widowControl/>
              <w:jc w:val="center"/>
              <w:rPr>
                <w:rFonts w:ascii="黑体" w:hAnsi="黑体" w:eastAsia="黑体" w:cs="Arial"/>
                <w:kern w:val="0"/>
                <w:szCs w:val="21"/>
              </w:rPr>
            </w:pPr>
            <w:r>
              <w:rPr>
                <w:rFonts w:hint="eastAsia" w:ascii="黑体" w:hAnsi="黑体" w:eastAsia="黑体" w:cs="Arial"/>
                <w:kern w:val="0"/>
                <w:szCs w:val="21"/>
              </w:rPr>
              <w:t>单价(元)</w:t>
            </w:r>
          </w:p>
        </w:tc>
        <w:tc>
          <w:tcPr>
            <w:tcW w:w="554" w:type="pct"/>
            <w:tcBorders>
              <w:top w:val="single" w:color="000000" w:sz="8" w:space="0"/>
              <w:left w:val="nil"/>
              <w:bottom w:val="single" w:color="000000" w:sz="4" w:space="0"/>
              <w:right w:val="single" w:color="000000" w:sz="4" w:space="0"/>
            </w:tcBorders>
            <w:shd w:val="clear" w:color="FFFFFF" w:fill="FFFFFF"/>
            <w:noWrap w:val="0"/>
            <w:vAlign w:val="center"/>
          </w:tcPr>
          <w:p w14:paraId="650201E1">
            <w:pPr>
              <w:widowControl/>
              <w:jc w:val="center"/>
              <w:rPr>
                <w:rFonts w:ascii="黑体" w:hAnsi="黑体" w:eastAsia="黑体" w:cs="Arial"/>
                <w:kern w:val="0"/>
                <w:szCs w:val="21"/>
              </w:rPr>
            </w:pPr>
            <w:r>
              <w:rPr>
                <w:rFonts w:hint="eastAsia" w:ascii="黑体" w:hAnsi="黑体" w:eastAsia="黑体" w:cs="Arial"/>
                <w:kern w:val="0"/>
                <w:szCs w:val="21"/>
              </w:rPr>
              <w:t>合价(元)</w:t>
            </w:r>
          </w:p>
        </w:tc>
        <w:tc>
          <w:tcPr>
            <w:tcW w:w="529" w:type="pct"/>
            <w:tcBorders>
              <w:top w:val="single" w:color="000000" w:sz="8" w:space="0"/>
              <w:left w:val="nil"/>
              <w:bottom w:val="single" w:color="000000" w:sz="4" w:space="0"/>
              <w:right w:val="single" w:color="000000" w:sz="8" w:space="0"/>
            </w:tcBorders>
            <w:shd w:val="clear" w:color="FFFFFF" w:fill="FFFFFF"/>
            <w:noWrap w:val="0"/>
            <w:vAlign w:val="center"/>
          </w:tcPr>
          <w:p w14:paraId="771D0212">
            <w:pPr>
              <w:widowControl/>
              <w:jc w:val="center"/>
              <w:rPr>
                <w:rFonts w:ascii="黑体" w:hAnsi="黑体" w:eastAsia="黑体" w:cs="Arial"/>
                <w:kern w:val="0"/>
                <w:szCs w:val="21"/>
              </w:rPr>
            </w:pPr>
            <w:r>
              <w:rPr>
                <w:rFonts w:hint="eastAsia" w:ascii="黑体" w:hAnsi="黑体" w:eastAsia="黑体" w:cs="Arial"/>
                <w:kern w:val="0"/>
                <w:szCs w:val="21"/>
              </w:rPr>
              <w:t>备注</w:t>
            </w:r>
          </w:p>
        </w:tc>
      </w:tr>
      <w:tr w14:paraId="145EB1B1">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0C94FC27">
            <w:pPr>
              <w:widowControl/>
              <w:jc w:val="center"/>
              <w:rPr>
                <w:rFonts w:ascii="宋体" w:hAnsi="宋体" w:cs="Arial"/>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6378D911">
            <w:pPr>
              <w:widowControl/>
              <w:jc w:val="left"/>
              <w:rPr>
                <w:rFonts w:ascii="宋体" w:hAnsi="宋体" w:cs="Arial"/>
                <w:kern w:val="0"/>
                <w:szCs w:val="21"/>
              </w:rPr>
            </w:pPr>
          </w:p>
        </w:tc>
        <w:tc>
          <w:tcPr>
            <w:tcW w:w="576" w:type="pct"/>
            <w:tcBorders>
              <w:top w:val="nil"/>
              <w:left w:val="nil"/>
              <w:bottom w:val="single" w:color="000000" w:sz="4" w:space="0"/>
              <w:right w:val="single" w:color="000000" w:sz="4" w:space="0"/>
            </w:tcBorders>
            <w:noWrap w:val="0"/>
            <w:vAlign w:val="center"/>
          </w:tcPr>
          <w:p w14:paraId="11D6B8D9">
            <w:pPr>
              <w:widowControl/>
              <w:jc w:val="center"/>
              <w:rPr>
                <w:rFonts w:ascii="宋体" w:hAnsi="宋体" w:cs="Arial"/>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487A13DC">
            <w:pPr>
              <w:widowControl/>
              <w:jc w:val="right"/>
              <w:rPr>
                <w:rFonts w:ascii="宋体" w:hAnsi="宋体" w:cs="Arial"/>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34381EAC">
            <w:pPr>
              <w:widowControl/>
              <w:jc w:val="right"/>
              <w:rPr>
                <w:rFonts w:ascii="宋体" w:hAnsi="宋体" w:cs="Arial"/>
                <w:kern w:val="0"/>
                <w:szCs w:val="21"/>
              </w:rPr>
            </w:pPr>
          </w:p>
        </w:tc>
        <w:tc>
          <w:tcPr>
            <w:tcW w:w="554" w:type="pct"/>
            <w:tcBorders>
              <w:top w:val="nil"/>
              <w:left w:val="nil"/>
              <w:bottom w:val="single" w:color="000000" w:sz="4" w:space="0"/>
              <w:right w:val="single" w:color="000000" w:sz="4" w:space="0"/>
            </w:tcBorders>
            <w:noWrap w:val="0"/>
            <w:vAlign w:val="center"/>
          </w:tcPr>
          <w:p w14:paraId="4564B638">
            <w:pPr>
              <w:widowControl/>
              <w:jc w:val="right"/>
              <w:rPr>
                <w:rFonts w:ascii="宋体" w:hAnsi="宋体" w:cs="Arial"/>
                <w:kern w:val="0"/>
                <w:szCs w:val="21"/>
              </w:rPr>
            </w:pPr>
          </w:p>
        </w:tc>
        <w:tc>
          <w:tcPr>
            <w:tcW w:w="529" w:type="pct"/>
            <w:tcBorders>
              <w:top w:val="nil"/>
              <w:left w:val="nil"/>
              <w:bottom w:val="single" w:color="000000" w:sz="4" w:space="0"/>
              <w:right w:val="single" w:color="000000" w:sz="8" w:space="0"/>
            </w:tcBorders>
            <w:noWrap w:val="0"/>
            <w:vAlign w:val="center"/>
          </w:tcPr>
          <w:p w14:paraId="51A6427D">
            <w:pPr>
              <w:widowControl/>
              <w:jc w:val="left"/>
              <w:rPr>
                <w:rFonts w:ascii="宋体" w:hAnsi="宋体" w:cs="Arial"/>
                <w:kern w:val="0"/>
                <w:szCs w:val="21"/>
              </w:rPr>
            </w:pPr>
          </w:p>
        </w:tc>
      </w:tr>
      <w:tr w14:paraId="0AB35DC8">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3E347D">
            <w:pPr>
              <w:widowControl/>
              <w:jc w:val="center"/>
              <w:rPr>
                <w:rFonts w:ascii="宋体" w:hAnsi="宋体" w:cs="Arial"/>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5A744007">
            <w:pPr>
              <w:widowControl/>
              <w:jc w:val="left"/>
              <w:rPr>
                <w:rFonts w:ascii="宋体" w:hAnsi="宋体" w:cs="Arial"/>
                <w:kern w:val="0"/>
                <w:szCs w:val="21"/>
              </w:rPr>
            </w:pPr>
          </w:p>
        </w:tc>
        <w:tc>
          <w:tcPr>
            <w:tcW w:w="576" w:type="pct"/>
            <w:tcBorders>
              <w:top w:val="nil"/>
              <w:left w:val="nil"/>
              <w:bottom w:val="single" w:color="000000" w:sz="4" w:space="0"/>
              <w:right w:val="single" w:color="000000" w:sz="4" w:space="0"/>
            </w:tcBorders>
            <w:noWrap w:val="0"/>
            <w:vAlign w:val="center"/>
          </w:tcPr>
          <w:p w14:paraId="2A9D4BA5">
            <w:pPr>
              <w:widowControl/>
              <w:jc w:val="center"/>
              <w:rPr>
                <w:rFonts w:ascii="宋体" w:hAnsi="宋体" w:cs="Arial"/>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011BE75">
            <w:pPr>
              <w:widowControl/>
              <w:jc w:val="right"/>
              <w:rPr>
                <w:rFonts w:ascii="宋体" w:hAnsi="宋体" w:cs="Arial"/>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5BF30644">
            <w:pPr>
              <w:widowControl/>
              <w:jc w:val="right"/>
              <w:rPr>
                <w:rFonts w:ascii="宋体" w:hAnsi="宋体" w:cs="Arial"/>
                <w:kern w:val="0"/>
                <w:szCs w:val="21"/>
              </w:rPr>
            </w:pPr>
          </w:p>
        </w:tc>
        <w:tc>
          <w:tcPr>
            <w:tcW w:w="554" w:type="pct"/>
            <w:tcBorders>
              <w:top w:val="nil"/>
              <w:left w:val="nil"/>
              <w:bottom w:val="single" w:color="000000" w:sz="4" w:space="0"/>
              <w:right w:val="single" w:color="000000" w:sz="4" w:space="0"/>
            </w:tcBorders>
            <w:noWrap w:val="0"/>
            <w:vAlign w:val="center"/>
          </w:tcPr>
          <w:p w14:paraId="53D49A50">
            <w:pPr>
              <w:widowControl/>
              <w:jc w:val="right"/>
              <w:rPr>
                <w:rFonts w:ascii="宋体" w:hAnsi="宋体" w:cs="Arial"/>
                <w:kern w:val="0"/>
                <w:szCs w:val="21"/>
              </w:rPr>
            </w:pPr>
          </w:p>
        </w:tc>
        <w:tc>
          <w:tcPr>
            <w:tcW w:w="529" w:type="pct"/>
            <w:tcBorders>
              <w:top w:val="nil"/>
              <w:left w:val="nil"/>
              <w:bottom w:val="single" w:color="000000" w:sz="4" w:space="0"/>
              <w:right w:val="single" w:color="000000" w:sz="8" w:space="0"/>
            </w:tcBorders>
            <w:noWrap w:val="0"/>
            <w:vAlign w:val="center"/>
          </w:tcPr>
          <w:p w14:paraId="7612A296">
            <w:pPr>
              <w:widowControl/>
              <w:jc w:val="left"/>
              <w:rPr>
                <w:rFonts w:ascii="宋体" w:hAnsi="宋体" w:cs="Arial"/>
                <w:kern w:val="0"/>
                <w:szCs w:val="21"/>
              </w:rPr>
            </w:pPr>
          </w:p>
        </w:tc>
      </w:tr>
      <w:tr w14:paraId="2273D060">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D164F8">
            <w:pPr>
              <w:widowControl/>
              <w:jc w:val="center"/>
              <w:rPr>
                <w:rFonts w:hint="eastAsia" w:ascii="宋体" w:hAnsi="宋体" w:cs="Arial"/>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1D41B043">
            <w:pPr>
              <w:widowControl/>
              <w:jc w:val="left"/>
              <w:rPr>
                <w:rFonts w:hint="eastAsia" w:ascii="宋体" w:hAnsi="宋体" w:cs="Arial"/>
                <w:kern w:val="0"/>
                <w:szCs w:val="21"/>
              </w:rPr>
            </w:pPr>
          </w:p>
        </w:tc>
        <w:tc>
          <w:tcPr>
            <w:tcW w:w="576" w:type="pct"/>
            <w:tcBorders>
              <w:top w:val="nil"/>
              <w:left w:val="nil"/>
              <w:bottom w:val="single" w:color="000000" w:sz="4" w:space="0"/>
              <w:right w:val="single" w:color="000000" w:sz="4" w:space="0"/>
            </w:tcBorders>
            <w:noWrap w:val="0"/>
            <w:vAlign w:val="center"/>
          </w:tcPr>
          <w:p w14:paraId="35FF53CB">
            <w:pPr>
              <w:widowControl/>
              <w:jc w:val="center"/>
              <w:rPr>
                <w:rFonts w:hint="eastAsia" w:ascii="宋体" w:hAnsi="宋体" w:cs="Arial"/>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EF94E15">
            <w:pPr>
              <w:widowControl/>
              <w:jc w:val="right"/>
              <w:rPr>
                <w:rFonts w:hint="eastAsia" w:ascii="宋体" w:hAnsi="宋体" w:cs="Arial"/>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629DA564">
            <w:pPr>
              <w:widowControl/>
              <w:jc w:val="right"/>
              <w:rPr>
                <w:rFonts w:hint="eastAsia" w:ascii="宋体" w:hAnsi="宋体" w:cs="Arial"/>
                <w:kern w:val="0"/>
                <w:szCs w:val="21"/>
              </w:rPr>
            </w:pPr>
          </w:p>
        </w:tc>
        <w:tc>
          <w:tcPr>
            <w:tcW w:w="554" w:type="pct"/>
            <w:tcBorders>
              <w:top w:val="nil"/>
              <w:left w:val="nil"/>
              <w:bottom w:val="single" w:color="000000" w:sz="4" w:space="0"/>
              <w:right w:val="single" w:color="000000" w:sz="4" w:space="0"/>
            </w:tcBorders>
            <w:noWrap w:val="0"/>
            <w:vAlign w:val="center"/>
          </w:tcPr>
          <w:p w14:paraId="5BAB8A95">
            <w:pPr>
              <w:widowControl/>
              <w:jc w:val="right"/>
              <w:rPr>
                <w:rFonts w:hint="eastAsia" w:ascii="宋体" w:hAnsi="宋体" w:cs="Arial"/>
                <w:kern w:val="0"/>
                <w:szCs w:val="21"/>
              </w:rPr>
            </w:pPr>
          </w:p>
        </w:tc>
        <w:tc>
          <w:tcPr>
            <w:tcW w:w="529" w:type="pct"/>
            <w:tcBorders>
              <w:top w:val="nil"/>
              <w:left w:val="nil"/>
              <w:bottom w:val="single" w:color="000000" w:sz="4" w:space="0"/>
              <w:right w:val="single" w:color="000000" w:sz="8" w:space="0"/>
            </w:tcBorders>
            <w:noWrap w:val="0"/>
            <w:vAlign w:val="center"/>
          </w:tcPr>
          <w:p w14:paraId="007EFD40">
            <w:pPr>
              <w:widowControl/>
              <w:jc w:val="left"/>
              <w:rPr>
                <w:rFonts w:hint="eastAsia" w:ascii="宋体" w:hAnsi="宋体" w:cs="Arial"/>
                <w:kern w:val="0"/>
                <w:szCs w:val="21"/>
              </w:rPr>
            </w:pPr>
          </w:p>
        </w:tc>
      </w:tr>
    </w:tbl>
    <w:p w14:paraId="6F61DB6C">
      <w:pPr>
        <w:tabs>
          <w:tab w:val="left" w:pos="0"/>
        </w:tabs>
        <w:spacing w:before="48" w:beforeLines="20" w:after="48" w:afterLines="20" w:line="540" w:lineRule="exact"/>
        <w:ind w:right="-212"/>
        <w:jc w:val="left"/>
        <w:rPr>
          <w:rFonts w:ascii="宋体" w:hAnsi="宋体"/>
          <w:sz w:val="24"/>
          <w:szCs w:val="22"/>
        </w:rPr>
      </w:pPr>
    </w:p>
    <w:p w14:paraId="58C545BB">
      <w:pPr>
        <w:jc w:val="center"/>
        <w:outlineLvl w:val="2"/>
        <w:rPr>
          <w:rFonts w:hint="eastAsia"/>
          <w:sz w:val="28"/>
          <w:szCs w:val="28"/>
        </w:rPr>
      </w:pPr>
      <w:r>
        <w:rPr>
          <w:sz w:val="28"/>
          <w:szCs w:val="28"/>
        </w:rPr>
        <w:br w:type="page"/>
      </w:r>
      <w:bookmarkStart w:id="525" w:name="_Toc535241143"/>
      <w:bookmarkStart w:id="526" w:name="_Toc460227138"/>
      <w:bookmarkStart w:id="527" w:name="_Toc460660253"/>
      <w:r>
        <w:rPr>
          <w:rFonts w:hint="eastAsia"/>
          <w:sz w:val="28"/>
          <w:szCs w:val="28"/>
        </w:rPr>
        <w:t>（十七）承包人提供材料（工程设备）一览表</w:t>
      </w:r>
      <w:bookmarkEnd w:id="525"/>
    </w:p>
    <w:p w14:paraId="6DD9CDF4">
      <w:pPr>
        <w:adjustRightInd w:val="0"/>
        <w:snapToGrid w:val="0"/>
        <w:spacing w:before="48" w:beforeLines="20" w:after="48" w:afterLines="20" w:line="540" w:lineRule="exact"/>
        <w:rPr>
          <w:rFonts w:hint="eastAsia" w:ascii="宋体" w:hAnsi="宋体"/>
          <w:szCs w:val="21"/>
        </w:rPr>
      </w:pPr>
      <w:r>
        <w:rPr>
          <w:rFonts w:hint="eastAsia" w:ascii="宋体" w:hAnsi="宋体"/>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13"/>
        <w:gridCol w:w="2367"/>
        <w:gridCol w:w="839"/>
        <w:gridCol w:w="1194"/>
        <w:gridCol w:w="1194"/>
        <w:gridCol w:w="1530"/>
        <w:gridCol w:w="1530"/>
        <w:gridCol w:w="942"/>
      </w:tblGrid>
      <w:tr w14:paraId="035E49E3">
        <w:trPr>
          <w:trHeight w:val="750" w:hRule="atLeast"/>
        </w:trPr>
        <w:tc>
          <w:tcPr>
            <w:tcW w:w="34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EC11876">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148" w:type="pct"/>
            <w:tcBorders>
              <w:top w:val="single" w:color="000000" w:sz="8" w:space="0"/>
              <w:left w:val="nil"/>
              <w:bottom w:val="single" w:color="000000" w:sz="4" w:space="0"/>
              <w:right w:val="single" w:color="000000" w:sz="4" w:space="0"/>
            </w:tcBorders>
            <w:shd w:val="clear" w:color="FFFFFF" w:fill="FFFFFF"/>
            <w:noWrap w:val="0"/>
            <w:vAlign w:val="center"/>
          </w:tcPr>
          <w:p w14:paraId="3AFD6986">
            <w:pPr>
              <w:widowControl/>
              <w:jc w:val="center"/>
              <w:rPr>
                <w:rFonts w:ascii="黑体" w:hAnsi="黑体" w:eastAsia="黑体" w:cs="Arial"/>
                <w:kern w:val="0"/>
                <w:szCs w:val="21"/>
              </w:rPr>
            </w:pPr>
            <w:r>
              <w:rPr>
                <w:rFonts w:hint="eastAsia" w:ascii="黑体" w:hAnsi="黑体" w:eastAsia="黑体" w:cs="Arial"/>
                <w:kern w:val="0"/>
                <w:szCs w:val="21"/>
              </w:rPr>
              <w:t>材料（工程设备）名称、规格、型号</w:t>
            </w:r>
          </w:p>
        </w:tc>
        <w:tc>
          <w:tcPr>
            <w:tcW w:w="407" w:type="pct"/>
            <w:tcBorders>
              <w:top w:val="single" w:color="000000" w:sz="8" w:space="0"/>
              <w:left w:val="nil"/>
              <w:bottom w:val="single" w:color="000000" w:sz="4" w:space="0"/>
              <w:right w:val="single" w:color="000000" w:sz="4" w:space="0"/>
            </w:tcBorders>
            <w:shd w:val="clear" w:color="FFFFFF" w:fill="FFFFFF"/>
            <w:noWrap w:val="0"/>
            <w:vAlign w:val="center"/>
          </w:tcPr>
          <w:p w14:paraId="5B5831D4">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28F8BA6A">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6F54C8EA">
            <w:pPr>
              <w:widowControl/>
              <w:jc w:val="center"/>
              <w:rPr>
                <w:rFonts w:ascii="黑体" w:hAnsi="黑体" w:eastAsia="黑体" w:cs="Arial"/>
                <w:kern w:val="0"/>
                <w:szCs w:val="21"/>
              </w:rPr>
            </w:pPr>
            <w:r>
              <w:rPr>
                <w:rFonts w:hint="eastAsia" w:ascii="黑体" w:hAnsi="黑体" w:eastAsia="黑体" w:cs="Arial"/>
                <w:kern w:val="0"/>
                <w:szCs w:val="21"/>
              </w:rPr>
              <w:t>风险系数(%)</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6903DDFE">
            <w:pPr>
              <w:widowControl/>
              <w:jc w:val="center"/>
              <w:rPr>
                <w:rFonts w:ascii="黑体" w:hAnsi="黑体" w:eastAsia="黑体" w:cs="Arial"/>
                <w:kern w:val="0"/>
                <w:szCs w:val="21"/>
              </w:rPr>
            </w:pPr>
            <w:r>
              <w:rPr>
                <w:rFonts w:hint="eastAsia" w:ascii="黑体" w:hAnsi="黑体" w:eastAsia="黑体" w:cs="Arial"/>
                <w:kern w:val="0"/>
                <w:szCs w:val="21"/>
              </w:rPr>
              <w:t>基准单价</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1CFF1531">
            <w:pPr>
              <w:widowControl/>
              <w:jc w:val="center"/>
              <w:rPr>
                <w:rFonts w:ascii="黑体" w:hAnsi="黑体" w:eastAsia="黑体" w:cs="Arial"/>
                <w:kern w:val="0"/>
                <w:szCs w:val="21"/>
              </w:rPr>
            </w:pPr>
            <w:r>
              <w:rPr>
                <w:rFonts w:hint="eastAsia" w:ascii="黑体" w:hAnsi="黑体" w:eastAsia="黑体" w:cs="Arial"/>
                <w:kern w:val="0"/>
                <w:szCs w:val="21"/>
              </w:rPr>
              <w:t>投标单价</w:t>
            </w:r>
          </w:p>
        </w:tc>
        <w:tc>
          <w:tcPr>
            <w:tcW w:w="457" w:type="pct"/>
            <w:tcBorders>
              <w:top w:val="single" w:color="000000" w:sz="8" w:space="0"/>
              <w:left w:val="nil"/>
              <w:bottom w:val="single" w:color="000000" w:sz="4" w:space="0"/>
              <w:right w:val="single" w:color="000000" w:sz="8" w:space="0"/>
            </w:tcBorders>
            <w:shd w:val="clear" w:color="FFFFFF" w:fill="FFFFFF"/>
            <w:noWrap w:val="0"/>
            <w:vAlign w:val="center"/>
          </w:tcPr>
          <w:p w14:paraId="126E5B27">
            <w:pPr>
              <w:widowControl/>
              <w:jc w:val="center"/>
              <w:rPr>
                <w:rFonts w:ascii="黑体" w:hAnsi="黑体" w:eastAsia="黑体" w:cs="Arial"/>
                <w:kern w:val="0"/>
                <w:szCs w:val="21"/>
              </w:rPr>
            </w:pPr>
            <w:r>
              <w:rPr>
                <w:rFonts w:hint="eastAsia" w:ascii="黑体" w:hAnsi="黑体" w:eastAsia="黑体" w:cs="Arial"/>
                <w:kern w:val="0"/>
                <w:szCs w:val="21"/>
              </w:rPr>
              <w:t>备注</w:t>
            </w:r>
          </w:p>
        </w:tc>
      </w:tr>
      <w:tr w14:paraId="39F4F599">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79E90D22">
            <w:pPr>
              <w:widowControl/>
              <w:jc w:val="center"/>
              <w:rPr>
                <w:rFonts w:ascii="宋体" w:hAnsi="宋体" w:cs="Arial"/>
                <w:kern w:val="0"/>
                <w:szCs w:val="21"/>
              </w:rPr>
            </w:pPr>
          </w:p>
        </w:tc>
        <w:tc>
          <w:tcPr>
            <w:tcW w:w="1148" w:type="pct"/>
            <w:tcBorders>
              <w:top w:val="nil"/>
              <w:left w:val="nil"/>
              <w:bottom w:val="single" w:color="000000" w:sz="4" w:space="0"/>
              <w:right w:val="single" w:color="000000" w:sz="4" w:space="0"/>
            </w:tcBorders>
            <w:noWrap w:val="0"/>
            <w:vAlign w:val="center"/>
          </w:tcPr>
          <w:p w14:paraId="37D23417">
            <w:pPr>
              <w:widowControl/>
              <w:jc w:val="left"/>
              <w:rPr>
                <w:rFonts w:ascii="宋体" w:hAnsi="宋体" w:cs="Arial"/>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4F0EA165">
            <w:pPr>
              <w:widowControl/>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17F77D94">
            <w:pPr>
              <w:widowControl/>
              <w:jc w:val="right"/>
              <w:rPr>
                <w:rFonts w:ascii="宋体" w:hAnsi="宋体" w:cs="Arial"/>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151A9639">
            <w:pPr>
              <w:widowControl/>
              <w:jc w:val="right"/>
              <w:rPr>
                <w:rFonts w:ascii="宋体" w:hAnsi="宋体" w:cs="Arial"/>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4BFE63F8">
            <w:pPr>
              <w:widowControl/>
              <w:jc w:val="right"/>
              <w:rPr>
                <w:rFonts w:ascii="宋体" w:hAnsi="宋体" w:cs="Arial"/>
                <w:kern w:val="0"/>
                <w:szCs w:val="21"/>
              </w:rPr>
            </w:pPr>
          </w:p>
        </w:tc>
        <w:tc>
          <w:tcPr>
            <w:tcW w:w="742" w:type="pct"/>
            <w:tcBorders>
              <w:top w:val="nil"/>
              <w:left w:val="nil"/>
              <w:bottom w:val="single" w:color="000000" w:sz="4" w:space="0"/>
              <w:right w:val="single" w:color="000000" w:sz="4" w:space="0"/>
            </w:tcBorders>
            <w:noWrap w:val="0"/>
            <w:vAlign w:val="center"/>
          </w:tcPr>
          <w:p w14:paraId="7FB472D2">
            <w:pPr>
              <w:widowControl/>
              <w:jc w:val="right"/>
              <w:rPr>
                <w:rFonts w:ascii="宋体" w:hAnsi="宋体" w:cs="Arial"/>
                <w:kern w:val="0"/>
                <w:szCs w:val="21"/>
              </w:rPr>
            </w:pPr>
          </w:p>
        </w:tc>
        <w:tc>
          <w:tcPr>
            <w:tcW w:w="457" w:type="pct"/>
            <w:tcBorders>
              <w:top w:val="nil"/>
              <w:left w:val="nil"/>
              <w:bottom w:val="single" w:color="000000" w:sz="4" w:space="0"/>
              <w:right w:val="single" w:color="000000" w:sz="8" w:space="0"/>
            </w:tcBorders>
            <w:noWrap w:val="0"/>
            <w:vAlign w:val="center"/>
          </w:tcPr>
          <w:p w14:paraId="2A475D5E">
            <w:pPr>
              <w:widowControl/>
              <w:jc w:val="left"/>
              <w:rPr>
                <w:rFonts w:ascii="宋体" w:hAnsi="宋体" w:cs="Arial"/>
                <w:kern w:val="0"/>
                <w:szCs w:val="21"/>
              </w:rPr>
            </w:pPr>
          </w:p>
        </w:tc>
      </w:tr>
      <w:tr w14:paraId="4202BBD2">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2FF4DBE3">
            <w:pPr>
              <w:widowControl/>
              <w:jc w:val="center"/>
              <w:rPr>
                <w:rFonts w:ascii="宋体" w:hAnsi="宋体" w:cs="Arial"/>
                <w:kern w:val="0"/>
                <w:szCs w:val="21"/>
              </w:rPr>
            </w:pPr>
          </w:p>
        </w:tc>
        <w:tc>
          <w:tcPr>
            <w:tcW w:w="1148" w:type="pct"/>
            <w:tcBorders>
              <w:top w:val="nil"/>
              <w:left w:val="nil"/>
              <w:bottom w:val="single" w:color="000000" w:sz="4" w:space="0"/>
              <w:right w:val="single" w:color="000000" w:sz="4" w:space="0"/>
            </w:tcBorders>
            <w:noWrap w:val="0"/>
            <w:vAlign w:val="center"/>
          </w:tcPr>
          <w:p w14:paraId="4B820F9B">
            <w:pPr>
              <w:widowControl/>
              <w:jc w:val="left"/>
              <w:rPr>
                <w:rFonts w:ascii="宋体" w:hAnsi="宋体" w:cs="Arial"/>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7C935ABF">
            <w:pPr>
              <w:widowControl/>
              <w:jc w:val="center"/>
              <w:rPr>
                <w:rFonts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496BABC2">
            <w:pPr>
              <w:widowControl/>
              <w:jc w:val="right"/>
              <w:rPr>
                <w:rFonts w:ascii="宋体" w:hAnsi="宋体" w:cs="Arial"/>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72857488">
            <w:pPr>
              <w:widowControl/>
              <w:jc w:val="right"/>
              <w:rPr>
                <w:rFonts w:ascii="宋体" w:hAnsi="宋体" w:cs="Arial"/>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232F7E16">
            <w:pPr>
              <w:widowControl/>
              <w:jc w:val="right"/>
              <w:rPr>
                <w:rFonts w:ascii="宋体" w:hAnsi="宋体" w:cs="Arial"/>
                <w:kern w:val="0"/>
                <w:szCs w:val="21"/>
              </w:rPr>
            </w:pPr>
          </w:p>
        </w:tc>
        <w:tc>
          <w:tcPr>
            <w:tcW w:w="742" w:type="pct"/>
            <w:tcBorders>
              <w:top w:val="nil"/>
              <w:left w:val="nil"/>
              <w:bottom w:val="single" w:color="000000" w:sz="4" w:space="0"/>
              <w:right w:val="single" w:color="000000" w:sz="4" w:space="0"/>
            </w:tcBorders>
            <w:noWrap w:val="0"/>
            <w:vAlign w:val="center"/>
          </w:tcPr>
          <w:p w14:paraId="5B7C940A">
            <w:pPr>
              <w:widowControl/>
              <w:jc w:val="right"/>
              <w:rPr>
                <w:rFonts w:ascii="宋体" w:hAnsi="宋体" w:cs="Arial"/>
                <w:kern w:val="0"/>
                <w:szCs w:val="21"/>
              </w:rPr>
            </w:pPr>
          </w:p>
        </w:tc>
        <w:tc>
          <w:tcPr>
            <w:tcW w:w="457" w:type="pct"/>
            <w:tcBorders>
              <w:top w:val="nil"/>
              <w:left w:val="nil"/>
              <w:bottom w:val="single" w:color="000000" w:sz="4" w:space="0"/>
              <w:right w:val="single" w:color="000000" w:sz="8" w:space="0"/>
            </w:tcBorders>
            <w:noWrap w:val="0"/>
            <w:vAlign w:val="center"/>
          </w:tcPr>
          <w:p w14:paraId="1F45C619">
            <w:pPr>
              <w:widowControl/>
              <w:jc w:val="left"/>
              <w:rPr>
                <w:rFonts w:ascii="宋体" w:hAnsi="宋体" w:cs="Arial"/>
                <w:kern w:val="0"/>
                <w:szCs w:val="21"/>
              </w:rPr>
            </w:pPr>
          </w:p>
        </w:tc>
      </w:tr>
      <w:tr w14:paraId="73C49357">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0550E257">
            <w:pPr>
              <w:widowControl/>
              <w:jc w:val="center"/>
              <w:rPr>
                <w:rFonts w:hint="eastAsia" w:ascii="宋体" w:hAnsi="宋体" w:cs="Arial"/>
                <w:kern w:val="0"/>
                <w:szCs w:val="21"/>
              </w:rPr>
            </w:pPr>
          </w:p>
        </w:tc>
        <w:tc>
          <w:tcPr>
            <w:tcW w:w="1148" w:type="pct"/>
            <w:tcBorders>
              <w:top w:val="nil"/>
              <w:left w:val="nil"/>
              <w:bottom w:val="single" w:color="000000" w:sz="4" w:space="0"/>
              <w:right w:val="single" w:color="000000" w:sz="4" w:space="0"/>
            </w:tcBorders>
            <w:noWrap w:val="0"/>
            <w:vAlign w:val="center"/>
          </w:tcPr>
          <w:p w14:paraId="63D5AE38">
            <w:pPr>
              <w:widowControl/>
              <w:jc w:val="left"/>
              <w:rPr>
                <w:rFonts w:hint="eastAsia" w:ascii="宋体" w:hAnsi="宋体" w:cs="Arial"/>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6B6245DB">
            <w:pPr>
              <w:widowControl/>
              <w:jc w:val="center"/>
              <w:rPr>
                <w:rFonts w:hint="eastAsia" w:ascii="宋体" w:hAnsi="宋体" w:cs="Arial"/>
                <w:kern w:val="0"/>
                <w:szCs w:val="21"/>
              </w:rPr>
            </w:pPr>
          </w:p>
        </w:tc>
        <w:tc>
          <w:tcPr>
            <w:tcW w:w="579" w:type="pct"/>
            <w:tcBorders>
              <w:top w:val="nil"/>
              <w:left w:val="nil"/>
              <w:bottom w:val="single" w:color="000000" w:sz="4" w:space="0"/>
              <w:right w:val="single" w:color="000000" w:sz="4" w:space="0"/>
            </w:tcBorders>
            <w:noWrap w:val="0"/>
            <w:vAlign w:val="center"/>
          </w:tcPr>
          <w:p w14:paraId="0BECAD67">
            <w:pPr>
              <w:widowControl/>
              <w:jc w:val="right"/>
              <w:rPr>
                <w:rFonts w:hint="eastAsia" w:ascii="宋体" w:hAnsi="宋体" w:cs="Arial"/>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2D0F0C5C">
            <w:pPr>
              <w:widowControl/>
              <w:jc w:val="right"/>
              <w:rPr>
                <w:rFonts w:hint="eastAsia" w:ascii="宋体" w:hAnsi="宋体" w:cs="Arial"/>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3F8383F5">
            <w:pPr>
              <w:widowControl/>
              <w:jc w:val="right"/>
              <w:rPr>
                <w:rFonts w:hint="eastAsia" w:ascii="宋体" w:hAnsi="宋体" w:cs="Arial"/>
                <w:kern w:val="0"/>
                <w:szCs w:val="21"/>
              </w:rPr>
            </w:pPr>
          </w:p>
        </w:tc>
        <w:tc>
          <w:tcPr>
            <w:tcW w:w="742" w:type="pct"/>
            <w:tcBorders>
              <w:top w:val="nil"/>
              <w:left w:val="nil"/>
              <w:bottom w:val="single" w:color="000000" w:sz="4" w:space="0"/>
              <w:right w:val="single" w:color="000000" w:sz="4" w:space="0"/>
            </w:tcBorders>
            <w:noWrap w:val="0"/>
            <w:vAlign w:val="center"/>
          </w:tcPr>
          <w:p w14:paraId="25AD5CEF">
            <w:pPr>
              <w:widowControl/>
              <w:jc w:val="right"/>
              <w:rPr>
                <w:rFonts w:hint="eastAsia" w:ascii="宋体" w:hAnsi="宋体" w:cs="Arial"/>
                <w:kern w:val="0"/>
                <w:szCs w:val="21"/>
              </w:rPr>
            </w:pPr>
          </w:p>
        </w:tc>
        <w:tc>
          <w:tcPr>
            <w:tcW w:w="457" w:type="pct"/>
            <w:tcBorders>
              <w:top w:val="nil"/>
              <w:left w:val="nil"/>
              <w:bottom w:val="single" w:color="000000" w:sz="4" w:space="0"/>
              <w:right w:val="single" w:color="000000" w:sz="8" w:space="0"/>
            </w:tcBorders>
            <w:noWrap w:val="0"/>
            <w:vAlign w:val="center"/>
          </w:tcPr>
          <w:p w14:paraId="4F32841E">
            <w:pPr>
              <w:widowControl/>
              <w:jc w:val="left"/>
              <w:rPr>
                <w:rFonts w:hint="eastAsia" w:ascii="宋体" w:hAnsi="宋体" w:cs="Arial"/>
                <w:kern w:val="0"/>
                <w:szCs w:val="21"/>
              </w:rPr>
            </w:pPr>
          </w:p>
        </w:tc>
      </w:tr>
    </w:tbl>
    <w:p w14:paraId="10179CF8">
      <w:pPr>
        <w:rPr>
          <w:rFonts w:hint="eastAsia"/>
        </w:rPr>
      </w:pPr>
    </w:p>
    <w:p w14:paraId="037F6742">
      <w:pPr>
        <w:jc w:val="center"/>
        <w:outlineLvl w:val="2"/>
        <w:rPr>
          <w:sz w:val="28"/>
          <w:szCs w:val="28"/>
        </w:rPr>
      </w:pPr>
      <w:bookmarkStart w:id="528" w:name="_Toc535241144"/>
      <w:r>
        <w:rPr>
          <w:sz w:val="28"/>
          <w:szCs w:val="28"/>
        </w:rPr>
        <w:br w:type="page"/>
      </w:r>
      <w:bookmarkStart w:id="529" w:name="_Toc518575601"/>
      <w:bookmarkStart w:id="530" w:name="_Toc526759717"/>
      <w:bookmarkStart w:id="531" w:name="_Toc532910386"/>
      <w:bookmarkStart w:id="532" w:name="_Toc532910666"/>
      <w:bookmarkStart w:id="533" w:name="_Toc518922054"/>
      <w:r>
        <w:rPr>
          <w:rFonts w:hint="eastAsia"/>
          <w:sz w:val="28"/>
          <w:szCs w:val="28"/>
        </w:rPr>
        <w:t>（十八）招标人推荐的材料品牌响应表</w:t>
      </w:r>
      <w:bookmarkEnd w:id="529"/>
      <w:bookmarkEnd w:id="530"/>
      <w:bookmarkEnd w:id="531"/>
      <w:bookmarkEnd w:id="532"/>
      <w:bookmarkEnd w:id="533"/>
    </w:p>
    <w:p w14:paraId="3B362675">
      <w:pPr>
        <w:spacing w:before="20" w:after="20" w:line="540" w:lineRule="exact"/>
        <w:rPr>
          <w:rFonts w:hint="eastAsia" w:ascii="宋体" w:hAnsi="宋体"/>
          <w:szCs w:val="21"/>
        </w:rPr>
      </w:pPr>
      <w:r>
        <w:rPr>
          <w:rFonts w:hint="eastAsia" w:ascii="宋体" w:hAnsi="宋体"/>
          <w:szCs w:val="21"/>
        </w:rPr>
        <w:t>工程名称：                                              第   页共   页</w:t>
      </w:r>
    </w:p>
    <w:p w14:paraId="0E4EFE32">
      <w:pPr>
        <w:spacing w:before="20" w:after="20" w:line="540" w:lineRule="exact"/>
        <w:jc w:val="center"/>
        <w:outlineLvl w:val="3"/>
        <w:rPr>
          <w:rFonts w:hint="eastAsia" w:ascii="Calibri" w:hAnsi="Calibri"/>
          <w:sz w:val="24"/>
          <w:szCs w:val="22"/>
        </w:rPr>
      </w:pPr>
      <w:r>
        <w:rPr>
          <w:rFonts w:ascii="宋体" w:hAnsi="宋体" w:cs="宋体"/>
          <w:b/>
          <w:szCs w:val="21"/>
        </w:rPr>
        <w:t>品牌推荐表</w:t>
      </w:r>
      <w:r>
        <w:rPr>
          <w:rFonts w:hint="eastAsia" w:ascii="宋体" w:hAnsi="宋体" w:cs="宋体"/>
          <w:b/>
          <w:szCs w:val="21"/>
        </w:rPr>
        <w:t>（如要求）</w:t>
      </w:r>
    </w:p>
    <w:tbl>
      <w:tblPr>
        <w:tblStyle w:val="53"/>
        <w:tblW w:w="0" w:type="auto"/>
        <w:jc w:val="center"/>
        <w:tblLayout w:type="autofit"/>
        <w:tblCellMar>
          <w:top w:w="0" w:type="dxa"/>
          <w:left w:w="108" w:type="dxa"/>
          <w:bottom w:w="0" w:type="dxa"/>
          <w:right w:w="108" w:type="dxa"/>
        </w:tblCellMar>
      </w:tblPr>
      <w:tblGrid>
        <w:gridCol w:w="636"/>
        <w:gridCol w:w="1686"/>
        <w:gridCol w:w="811"/>
        <w:gridCol w:w="811"/>
        <w:gridCol w:w="811"/>
        <w:gridCol w:w="811"/>
        <w:gridCol w:w="636"/>
        <w:gridCol w:w="1686"/>
      </w:tblGrid>
      <w:tr w14:paraId="6461D8B8">
        <w:trPr>
          <w:trHeight w:val="30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CD661D3">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0" w:type="auto"/>
            <w:tcBorders>
              <w:top w:val="single" w:color="auto" w:sz="4" w:space="0"/>
              <w:left w:val="nil"/>
              <w:bottom w:val="single" w:color="auto" w:sz="4" w:space="0"/>
              <w:right w:val="single" w:color="auto" w:sz="4" w:space="0"/>
            </w:tcBorders>
            <w:noWrap w:val="0"/>
            <w:vAlign w:val="center"/>
          </w:tcPr>
          <w:p w14:paraId="301D6CD7">
            <w:pPr>
              <w:widowControl/>
              <w:jc w:val="center"/>
              <w:rPr>
                <w:rFonts w:ascii="黑体" w:hAnsi="黑体" w:eastAsia="黑体" w:cs="Arial"/>
                <w:kern w:val="0"/>
                <w:szCs w:val="21"/>
              </w:rPr>
            </w:pPr>
            <w:r>
              <w:rPr>
                <w:rFonts w:hint="eastAsia" w:ascii="黑体" w:hAnsi="黑体" w:eastAsia="黑体" w:cs="Arial"/>
                <w:kern w:val="0"/>
                <w:szCs w:val="21"/>
              </w:rPr>
              <w:t>材料、设备名称</w:t>
            </w:r>
          </w:p>
        </w:tc>
        <w:tc>
          <w:tcPr>
            <w:tcW w:w="0" w:type="auto"/>
            <w:tcBorders>
              <w:top w:val="single" w:color="auto" w:sz="4" w:space="0"/>
              <w:left w:val="nil"/>
              <w:bottom w:val="single" w:color="auto" w:sz="4" w:space="0"/>
              <w:right w:val="single" w:color="auto" w:sz="4" w:space="0"/>
            </w:tcBorders>
            <w:noWrap w:val="0"/>
            <w:vAlign w:val="center"/>
          </w:tcPr>
          <w:p w14:paraId="44C618CF">
            <w:pPr>
              <w:widowControl/>
              <w:jc w:val="center"/>
              <w:rPr>
                <w:rFonts w:ascii="黑体" w:hAnsi="黑体" w:eastAsia="黑体" w:cs="Arial"/>
                <w:kern w:val="0"/>
                <w:szCs w:val="21"/>
              </w:rPr>
            </w:pPr>
            <w:r>
              <w:rPr>
                <w:rFonts w:hint="eastAsia" w:ascii="黑体" w:hAnsi="黑体" w:eastAsia="黑体" w:cs="Arial"/>
                <w:kern w:val="0"/>
                <w:szCs w:val="21"/>
              </w:rPr>
              <w:t>品牌1</w:t>
            </w:r>
          </w:p>
        </w:tc>
        <w:tc>
          <w:tcPr>
            <w:tcW w:w="0" w:type="auto"/>
            <w:tcBorders>
              <w:top w:val="single" w:color="auto" w:sz="4" w:space="0"/>
              <w:left w:val="nil"/>
              <w:bottom w:val="single" w:color="auto" w:sz="4" w:space="0"/>
              <w:right w:val="single" w:color="auto" w:sz="4" w:space="0"/>
            </w:tcBorders>
            <w:noWrap w:val="0"/>
            <w:vAlign w:val="center"/>
          </w:tcPr>
          <w:p w14:paraId="2F5F9931">
            <w:pPr>
              <w:widowControl/>
              <w:jc w:val="center"/>
              <w:rPr>
                <w:rFonts w:ascii="黑体" w:hAnsi="黑体" w:eastAsia="黑体" w:cs="Arial"/>
                <w:kern w:val="0"/>
                <w:szCs w:val="21"/>
              </w:rPr>
            </w:pPr>
            <w:r>
              <w:rPr>
                <w:rFonts w:hint="eastAsia" w:ascii="黑体" w:hAnsi="黑体" w:eastAsia="黑体" w:cs="Arial"/>
                <w:kern w:val="0"/>
                <w:szCs w:val="21"/>
              </w:rPr>
              <w:t>品牌2</w:t>
            </w:r>
          </w:p>
        </w:tc>
        <w:tc>
          <w:tcPr>
            <w:tcW w:w="0" w:type="auto"/>
            <w:tcBorders>
              <w:top w:val="single" w:color="auto" w:sz="4" w:space="0"/>
              <w:left w:val="nil"/>
              <w:bottom w:val="single" w:color="auto" w:sz="4" w:space="0"/>
              <w:right w:val="single" w:color="auto" w:sz="4" w:space="0"/>
            </w:tcBorders>
            <w:noWrap w:val="0"/>
            <w:vAlign w:val="center"/>
          </w:tcPr>
          <w:p w14:paraId="09EBAAEB">
            <w:pPr>
              <w:widowControl/>
              <w:jc w:val="center"/>
              <w:rPr>
                <w:rFonts w:ascii="黑体" w:hAnsi="黑体" w:eastAsia="黑体" w:cs="Arial"/>
                <w:kern w:val="0"/>
                <w:szCs w:val="21"/>
              </w:rPr>
            </w:pPr>
            <w:r>
              <w:rPr>
                <w:rFonts w:hint="eastAsia" w:ascii="黑体" w:hAnsi="黑体" w:eastAsia="黑体" w:cs="Arial"/>
                <w:kern w:val="0"/>
                <w:szCs w:val="21"/>
              </w:rPr>
              <w:t>品牌3</w:t>
            </w:r>
          </w:p>
        </w:tc>
        <w:tc>
          <w:tcPr>
            <w:tcW w:w="0" w:type="auto"/>
            <w:tcBorders>
              <w:top w:val="single" w:color="auto" w:sz="4" w:space="0"/>
              <w:left w:val="nil"/>
              <w:bottom w:val="single" w:color="auto" w:sz="4" w:space="0"/>
              <w:right w:val="single" w:color="auto" w:sz="4" w:space="0"/>
            </w:tcBorders>
            <w:noWrap w:val="0"/>
            <w:vAlign w:val="center"/>
          </w:tcPr>
          <w:p w14:paraId="41669A76">
            <w:pPr>
              <w:widowControl/>
              <w:jc w:val="center"/>
              <w:rPr>
                <w:rFonts w:ascii="黑体" w:hAnsi="黑体" w:eastAsia="黑体" w:cs="Arial"/>
                <w:kern w:val="0"/>
                <w:szCs w:val="21"/>
              </w:rPr>
            </w:pPr>
            <w:r>
              <w:rPr>
                <w:rFonts w:hint="eastAsia" w:ascii="黑体" w:hAnsi="黑体" w:eastAsia="黑体" w:cs="Arial"/>
                <w:kern w:val="0"/>
                <w:szCs w:val="21"/>
              </w:rPr>
              <w:t>品牌4</w:t>
            </w:r>
          </w:p>
        </w:tc>
        <w:tc>
          <w:tcPr>
            <w:tcW w:w="0" w:type="auto"/>
            <w:tcBorders>
              <w:top w:val="single" w:color="auto" w:sz="4" w:space="0"/>
              <w:left w:val="nil"/>
              <w:bottom w:val="single" w:color="auto" w:sz="4" w:space="0"/>
              <w:right w:val="single" w:color="auto" w:sz="4" w:space="0"/>
            </w:tcBorders>
            <w:noWrap w:val="0"/>
            <w:vAlign w:val="center"/>
          </w:tcPr>
          <w:p w14:paraId="41F87DBA">
            <w:pPr>
              <w:widowControl/>
              <w:jc w:val="center"/>
              <w:rPr>
                <w:rFonts w:ascii="黑体" w:hAnsi="黑体" w:eastAsia="黑体" w:cs="Arial"/>
                <w:kern w:val="0"/>
                <w:szCs w:val="21"/>
              </w:rPr>
            </w:pPr>
            <w:r>
              <w:rPr>
                <w:rFonts w:hint="eastAsia" w:ascii="黑体" w:hAnsi="黑体" w:eastAsia="黑体" w:cs="Arial"/>
                <w:kern w:val="0"/>
                <w:szCs w:val="21"/>
              </w:rPr>
              <w:t>备注</w:t>
            </w:r>
          </w:p>
        </w:tc>
        <w:tc>
          <w:tcPr>
            <w:tcW w:w="0" w:type="auto"/>
            <w:tcBorders>
              <w:top w:val="single" w:color="auto" w:sz="4" w:space="0"/>
              <w:left w:val="nil"/>
              <w:bottom w:val="single" w:color="auto" w:sz="4" w:space="0"/>
              <w:right w:val="single" w:color="auto" w:sz="4" w:space="0"/>
            </w:tcBorders>
            <w:noWrap w:val="0"/>
            <w:vAlign w:val="top"/>
          </w:tcPr>
          <w:p w14:paraId="7358F6F1">
            <w:pPr>
              <w:widowControl/>
              <w:jc w:val="center"/>
              <w:rPr>
                <w:rFonts w:hint="eastAsia" w:ascii="黑体" w:hAnsi="黑体" w:eastAsia="黑体" w:cs="Arial"/>
                <w:kern w:val="0"/>
                <w:szCs w:val="21"/>
              </w:rPr>
            </w:pPr>
            <w:r>
              <w:rPr>
                <w:rFonts w:hint="eastAsia" w:ascii="黑体" w:hAnsi="黑体" w:eastAsia="黑体" w:cs="Arial"/>
                <w:kern w:val="0"/>
                <w:szCs w:val="21"/>
              </w:rPr>
              <w:t>投标人选定品牌</w:t>
            </w:r>
          </w:p>
        </w:tc>
      </w:tr>
      <w:tr w14:paraId="46CAE1E7">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31F1E4D1">
            <w:pPr>
              <w:widowControl/>
              <w:jc w:val="center"/>
              <w:rPr>
                <w:rFonts w:ascii="宋体" w:hAnsi="宋体" w:cs="宋体"/>
                <w:kern w:val="0"/>
                <w:szCs w:val="21"/>
              </w:rPr>
            </w:pPr>
            <w:r>
              <w:rPr>
                <w:rFonts w:hint="eastAsia" w:ascii="宋体" w:hAnsi="宋体" w:cs="宋体"/>
                <w:kern w:val="0"/>
                <w:szCs w:val="21"/>
              </w:rPr>
              <w:t>1</w:t>
            </w:r>
          </w:p>
        </w:tc>
        <w:tc>
          <w:tcPr>
            <w:tcW w:w="0" w:type="auto"/>
            <w:tcBorders>
              <w:top w:val="nil"/>
              <w:left w:val="nil"/>
              <w:bottom w:val="single" w:color="auto" w:sz="4" w:space="0"/>
              <w:right w:val="single" w:color="auto" w:sz="4" w:space="0"/>
            </w:tcBorders>
            <w:noWrap w:val="0"/>
            <w:vAlign w:val="center"/>
          </w:tcPr>
          <w:p w14:paraId="604630B9">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5D7AA1ED">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09E29422">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ED40B26">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3CF10428">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7F512C99">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54445458">
            <w:pPr>
              <w:widowControl/>
              <w:rPr>
                <w:rFonts w:hint="eastAsia" w:ascii="宋体" w:hAnsi="宋体" w:cs="宋体"/>
                <w:kern w:val="0"/>
                <w:szCs w:val="21"/>
              </w:rPr>
            </w:pPr>
          </w:p>
        </w:tc>
      </w:tr>
      <w:tr w14:paraId="29187B10">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688A3FF2">
            <w:pPr>
              <w:widowControl/>
              <w:jc w:val="center"/>
              <w:rPr>
                <w:rFonts w:ascii="宋体" w:hAnsi="宋体" w:cs="宋体"/>
                <w:kern w:val="0"/>
                <w:szCs w:val="21"/>
              </w:rPr>
            </w:pPr>
            <w:r>
              <w:rPr>
                <w:rFonts w:hint="eastAsia" w:ascii="宋体" w:hAnsi="宋体" w:cs="宋体"/>
                <w:kern w:val="0"/>
                <w:szCs w:val="21"/>
              </w:rPr>
              <w:t>2</w:t>
            </w:r>
          </w:p>
        </w:tc>
        <w:tc>
          <w:tcPr>
            <w:tcW w:w="0" w:type="auto"/>
            <w:tcBorders>
              <w:top w:val="nil"/>
              <w:left w:val="nil"/>
              <w:bottom w:val="single" w:color="auto" w:sz="4" w:space="0"/>
              <w:right w:val="single" w:color="auto" w:sz="4" w:space="0"/>
            </w:tcBorders>
            <w:noWrap w:val="0"/>
            <w:vAlign w:val="center"/>
          </w:tcPr>
          <w:p w14:paraId="38EAD5EF">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43319DCB">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7927F0F9">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34C1415F">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34F3ACF7">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55CB8E49">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2BD1AAE2">
            <w:pPr>
              <w:widowControl/>
              <w:rPr>
                <w:rFonts w:hint="eastAsia" w:ascii="宋体" w:hAnsi="宋体" w:cs="宋体"/>
                <w:kern w:val="0"/>
                <w:szCs w:val="21"/>
              </w:rPr>
            </w:pPr>
          </w:p>
        </w:tc>
      </w:tr>
      <w:tr w14:paraId="63E80E58">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145B158C">
            <w:pPr>
              <w:widowControl/>
              <w:jc w:val="center"/>
              <w:rPr>
                <w:rFonts w:ascii="宋体" w:hAnsi="宋体" w:cs="宋体"/>
                <w:kern w:val="0"/>
                <w:szCs w:val="21"/>
              </w:rPr>
            </w:pPr>
            <w:r>
              <w:rPr>
                <w:rFonts w:hint="eastAsia" w:ascii="宋体" w:hAnsi="宋体" w:cs="宋体"/>
                <w:kern w:val="0"/>
                <w:szCs w:val="21"/>
              </w:rPr>
              <w:t>3</w:t>
            </w:r>
          </w:p>
        </w:tc>
        <w:tc>
          <w:tcPr>
            <w:tcW w:w="0" w:type="auto"/>
            <w:tcBorders>
              <w:top w:val="nil"/>
              <w:left w:val="nil"/>
              <w:bottom w:val="single" w:color="auto" w:sz="4" w:space="0"/>
              <w:right w:val="single" w:color="auto" w:sz="4" w:space="0"/>
            </w:tcBorders>
            <w:noWrap w:val="0"/>
            <w:vAlign w:val="center"/>
          </w:tcPr>
          <w:p w14:paraId="16D36518">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5A1CE74C">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5AE25EE0">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BB35C8B">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7532F1F5">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73236842">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3B2A903C">
            <w:pPr>
              <w:widowControl/>
              <w:rPr>
                <w:rFonts w:hint="eastAsia" w:ascii="宋体" w:hAnsi="宋体" w:cs="宋体"/>
                <w:kern w:val="0"/>
                <w:szCs w:val="21"/>
              </w:rPr>
            </w:pPr>
          </w:p>
        </w:tc>
      </w:tr>
      <w:tr w14:paraId="35406517">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3BDB6F4E">
            <w:pPr>
              <w:widowControl/>
              <w:jc w:val="center"/>
              <w:rPr>
                <w:rFonts w:ascii="宋体" w:hAnsi="宋体" w:cs="宋体"/>
                <w:kern w:val="0"/>
                <w:szCs w:val="21"/>
              </w:rPr>
            </w:pPr>
            <w:r>
              <w:rPr>
                <w:rFonts w:hint="eastAsia" w:ascii="宋体" w:hAnsi="宋体" w:cs="宋体"/>
                <w:kern w:val="0"/>
                <w:szCs w:val="21"/>
              </w:rPr>
              <w:t>4</w:t>
            </w:r>
          </w:p>
        </w:tc>
        <w:tc>
          <w:tcPr>
            <w:tcW w:w="0" w:type="auto"/>
            <w:tcBorders>
              <w:top w:val="nil"/>
              <w:left w:val="nil"/>
              <w:bottom w:val="single" w:color="auto" w:sz="4" w:space="0"/>
              <w:right w:val="single" w:color="auto" w:sz="4" w:space="0"/>
            </w:tcBorders>
            <w:noWrap w:val="0"/>
            <w:vAlign w:val="center"/>
          </w:tcPr>
          <w:p w14:paraId="515B41B1">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46D93A9B">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3A28CD10">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A79E171">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54032F1C">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3F3B9C7C">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3C7FB314">
            <w:pPr>
              <w:widowControl/>
              <w:rPr>
                <w:rFonts w:hint="eastAsia" w:ascii="宋体" w:hAnsi="宋体" w:cs="宋体"/>
                <w:kern w:val="0"/>
                <w:szCs w:val="21"/>
              </w:rPr>
            </w:pPr>
          </w:p>
        </w:tc>
      </w:tr>
      <w:tr w14:paraId="6CA7A7C4">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31AC0092">
            <w:pPr>
              <w:widowControl/>
              <w:jc w:val="center"/>
              <w:rPr>
                <w:rFonts w:ascii="宋体" w:hAnsi="宋体" w:cs="宋体"/>
                <w:kern w:val="0"/>
                <w:szCs w:val="21"/>
              </w:rPr>
            </w:pPr>
            <w:r>
              <w:rPr>
                <w:rFonts w:hint="eastAsia" w:ascii="宋体" w:hAnsi="宋体" w:cs="宋体"/>
                <w:kern w:val="0"/>
                <w:szCs w:val="21"/>
              </w:rPr>
              <w:t>5</w:t>
            </w:r>
          </w:p>
        </w:tc>
        <w:tc>
          <w:tcPr>
            <w:tcW w:w="0" w:type="auto"/>
            <w:tcBorders>
              <w:top w:val="nil"/>
              <w:left w:val="nil"/>
              <w:bottom w:val="single" w:color="auto" w:sz="4" w:space="0"/>
              <w:right w:val="single" w:color="auto" w:sz="4" w:space="0"/>
            </w:tcBorders>
            <w:noWrap w:val="0"/>
            <w:vAlign w:val="center"/>
          </w:tcPr>
          <w:p w14:paraId="08F8615F">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7A8DDB40">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23A4EEBA">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23A33468">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709F89E">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6148FC3C">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759F8D62">
            <w:pPr>
              <w:widowControl/>
              <w:rPr>
                <w:rFonts w:hint="eastAsia" w:ascii="宋体" w:hAnsi="宋体" w:cs="宋体"/>
                <w:kern w:val="0"/>
                <w:szCs w:val="21"/>
              </w:rPr>
            </w:pPr>
          </w:p>
        </w:tc>
      </w:tr>
      <w:tr w14:paraId="4D442D05">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4C93DE2F">
            <w:pPr>
              <w:widowControl/>
              <w:jc w:val="center"/>
              <w:rPr>
                <w:rFonts w:ascii="宋体" w:hAnsi="宋体" w:cs="宋体"/>
                <w:kern w:val="0"/>
                <w:szCs w:val="21"/>
              </w:rPr>
            </w:pPr>
            <w:r>
              <w:rPr>
                <w:rFonts w:hint="eastAsia" w:ascii="宋体" w:hAnsi="宋体" w:cs="宋体"/>
                <w:kern w:val="0"/>
                <w:szCs w:val="21"/>
              </w:rPr>
              <w:t>6</w:t>
            </w:r>
          </w:p>
        </w:tc>
        <w:tc>
          <w:tcPr>
            <w:tcW w:w="0" w:type="auto"/>
            <w:tcBorders>
              <w:top w:val="nil"/>
              <w:left w:val="nil"/>
              <w:bottom w:val="single" w:color="auto" w:sz="4" w:space="0"/>
              <w:right w:val="single" w:color="auto" w:sz="4" w:space="0"/>
            </w:tcBorders>
            <w:noWrap w:val="0"/>
            <w:vAlign w:val="center"/>
          </w:tcPr>
          <w:p w14:paraId="63DCD4F3">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165F8B47">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31A64775">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257A99DC">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70AE24A2">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15B11736">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3E828EDF">
            <w:pPr>
              <w:widowControl/>
              <w:rPr>
                <w:rFonts w:hint="eastAsia" w:ascii="宋体" w:hAnsi="宋体" w:cs="宋体"/>
                <w:kern w:val="0"/>
                <w:szCs w:val="21"/>
              </w:rPr>
            </w:pPr>
          </w:p>
        </w:tc>
      </w:tr>
      <w:tr w14:paraId="7B37DA85">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1BCECA32">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09D5FE34">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234B620A">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4BA2ADA1">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4B94689">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1F32AB4">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46EAB473">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7956412F">
            <w:pPr>
              <w:widowControl/>
              <w:rPr>
                <w:rFonts w:hint="eastAsia" w:ascii="宋体" w:hAnsi="宋体" w:cs="宋体"/>
                <w:kern w:val="0"/>
                <w:szCs w:val="21"/>
              </w:rPr>
            </w:pPr>
          </w:p>
        </w:tc>
      </w:tr>
      <w:tr w14:paraId="1B1D6CF2">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091C779B">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76628C8A">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148F874A">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0552EDC7">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4FB8F7BF">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0FB95DF9">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22800FED">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6967CB28">
            <w:pPr>
              <w:widowControl/>
              <w:rPr>
                <w:rFonts w:hint="eastAsia" w:ascii="宋体" w:hAnsi="宋体" w:cs="宋体"/>
                <w:kern w:val="0"/>
                <w:szCs w:val="21"/>
              </w:rPr>
            </w:pPr>
          </w:p>
        </w:tc>
      </w:tr>
      <w:tr w14:paraId="380D0F14">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78234D9C">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130FC607">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0F2AFB0B">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0CC96C2B">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65A0AB4">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4A0E224E">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13CB3746">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3957C662">
            <w:pPr>
              <w:widowControl/>
              <w:rPr>
                <w:rFonts w:hint="eastAsia" w:ascii="宋体" w:hAnsi="宋体" w:cs="宋体"/>
                <w:kern w:val="0"/>
                <w:szCs w:val="21"/>
              </w:rPr>
            </w:pPr>
          </w:p>
        </w:tc>
      </w:tr>
      <w:tr w14:paraId="7EF2D31E">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1B550261">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147F114F">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79F07C52">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6F99A6FD">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551D2047">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28859484">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527FCA78">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4DB1E423">
            <w:pPr>
              <w:widowControl/>
              <w:rPr>
                <w:rFonts w:hint="eastAsia" w:ascii="宋体" w:hAnsi="宋体" w:cs="宋体"/>
                <w:kern w:val="0"/>
                <w:szCs w:val="21"/>
              </w:rPr>
            </w:pPr>
          </w:p>
        </w:tc>
      </w:tr>
      <w:tr w14:paraId="2EFF12D9">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03FC4607">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38B3A1E5">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49F2193F">
            <w:pPr>
              <w:rPr>
                <w:rFonts w:hint="eastAsia"/>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556A2775">
            <w:pPr>
              <w:rPr>
                <w:rFonts w:hint="eastAsia"/>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52767824">
            <w:pPr>
              <w:rPr>
                <w:rFonts w:ascii="宋体" w:hAnsi="宋体" w:cs="宋体"/>
                <w:color w:val="000000"/>
                <w:sz w:val="22"/>
              </w:rPr>
            </w:pPr>
          </w:p>
        </w:tc>
        <w:tc>
          <w:tcPr>
            <w:tcW w:w="0" w:type="auto"/>
            <w:tcBorders>
              <w:top w:val="single" w:color="auto" w:sz="4" w:space="0"/>
              <w:left w:val="nil"/>
              <w:bottom w:val="single" w:color="auto" w:sz="4" w:space="0"/>
              <w:right w:val="single" w:color="auto" w:sz="4" w:space="0"/>
            </w:tcBorders>
            <w:noWrap w:val="0"/>
            <w:vAlign w:val="center"/>
          </w:tcPr>
          <w:p w14:paraId="250EB12B">
            <w:pPr>
              <w:rPr>
                <w:rFonts w:ascii="宋体" w:hAnsi="宋体" w:cs="宋体"/>
                <w:color w:val="000000"/>
                <w:sz w:val="22"/>
              </w:rPr>
            </w:pPr>
          </w:p>
        </w:tc>
        <w:tc>
          <w:tcPr>
            <w:tcW w:w="0" w:type="auto"/>
            <w:tcBorders>
              <w:top w:val="nil"/>
              <w:left w:val="nil"/>
              <w:bottom w:val="single" w:color="auto" w:sz="4" w:space="0"/>
              <w:right w:val="single" w:color="auto" w:sz="4" w:space="0"/>
            </w:tcBorders>
            <w:noWrap w:val="0"/>
            <w:vAlign w:val="center"/>
          </w:tcPr>
          <w:p w14:paraId="026FAAFC">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0660FAE0">
            <w:pPr>
              <w:widowControl/>
              <w:rPr>
                <w:rFonts w:hint="eastAsia" w:ascii="宋体" w:hAnsi="宋体" w:cs="宋体"/>
                <w:kern w:val="0"/>
                <w:szCs w:val="21"/>
              </w:rPr>
            </w:pPr>
          </w:p>
        </w:tc>
      </w:tr>
      <w:tr w14:paraId="3ECE0963">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5DF456F3">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10B8E6C4">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12C95BDD">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1B389CB6">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255065F4">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0A162118">
            <w:pPr>
              <w:rPr>
                <w:rFonts w:ascii="宋体" w:hAnsi="宋体" w:cs="宋体"/>
                <w:sz w:val="22"/>
              </w:rPr>
            </w:pPr>
          </w:p>
        </w:tc>
        <w:tc>
          <w:tcPr>
            <w:tcW w:w="0" w:type="auto"/>
            <w:tcBorders>
              <w:top w:val="nil"/>
              <w:left w:val="nil"/>
              <w:bottom w:val="single" w:color="auto" w:sz="4" w:space="0"/>
              <w:right w:val="single" w:color="auto" w:sz="4" w:space="0"/>
            </w:tcBorders>
            <w:noWrap w:val="0"/>
            <w:vAlign w:val="center"/>
          </w:tcPr>
          <w:p w14:paraId="1C53B6E0">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79D07418">
            <w:pPr>
              <w:widowControl/>
              <w:rPr>
                <w:rFonts w:hint="eastAsia" w:ascii="宋体" w:hAnsi="宋体" w:cs="宋体"/>
                <w:kern w:val="0"/>
                <w:szCs w:val="21"/>
              </w:rPr>
            </w:pPr>
          </w:p>
        </w:tc>
      </w:tr>
      <w:tr w14:paraId="666F65EF">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6FEA50B1">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4177AE91">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2B027A48">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4DB2096C">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4E9D1C11">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231E3FA1">
            <w:pPr>
              <w:rPr>
                <w:rFonts w:ascii="宋体" w:hAnsi="宋体" w:cs="宋体"/>
                <w:sz w:val="22"/>
              </w:rPr>
            </w:pPr>
          </w:p>
        </w:tc>
        <w:tc>
          <w:tcPr>
            <w:tcW w:w="0" w:type="auto"/>
            <w:tcBorders>
              <w:top w:val="nil"/>
              <w:left w:val="nil"/>
              <w:bottom w:val="single" w:color="auto" w:sz="4" w:space="0"/>
              <w:right w:val="single" w:color="auto" w:sz="4" w:space="0"/>
            </w:tcBorders>
            <w:noWrap w:val="0"/>
            <w:vAlign w:val="center"/>
          </w:tcPr>
          <w:p w14:paraId="54AF0E5E">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66D2F7B7">
            <w:pPr>
              <w:widowControl/>
              <w:rPr>
                <w:rFonts w:hint="eastAsia" w:ascii="宋体" w:hAnsi="宋体" w:cs="宋体"/>
                <w:kern w:val="0"/>
                <w:szCs w:val="21"/>
              </w:rPr>
            </w:pPr>
          </w:p>
        </w:tc>
      </w:tr>
      <w:tr w14:paraId="0DC425AE">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1CF5B281">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382834F4">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1CBB1250">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73391F78">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0F2FCC08">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364F3DC0">
            <w:pPr>
              <w:rPr>
                <w:rFonts w:ascii="宋体" w:hAnsi="宋体" w:cs="宋体"/>
                <w:sz w:val="22"/>
              </w:rPr>
            </w:pPr>
          </w:p>
        </w:tc>
        <w:tc>
          <w:tcPr>
            <w:tcW w:w="0" w:type="auto"/>
            <w:tcBorders>
              <w:top w:val="nil"/>
              <w:left w:val="nil"/>
              <w:bottom w:val="single" w:color="auto" w:sz="4" w:space="0"/>
              <w:right w:val="single" w:color="auto" w:sz="4" w:space="0"/>
            </w:tcBorders>
            <w:noWrap w:val="0"/>
            <w:vAlign w:val="center"/>
          </w:tcPr>
          <w:p w14:paraId="3CA8BD97">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5735DC0B">
            <w:pPr>
              <w:widowControl/>
              <w:rPr>
                <w:rFonts w:hint="eastAsia" w:ascii="宋体" w:hAnsi="宋体" w:cs="宋体"/>
                <w:kern w:val="0"/>
                <w:szCs w:val="21"/>
              </w:rPr>
            </w:pPr>
          </w:p>
        </w:tc>
      </w:tr>
      <w:tr w14:paraId="4D7E6BF0">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5D339223">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15B46A3C">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5683C0F2">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34AC122F">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06F30E72">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524845F2">
            <w:pPr>
              <w:rPr>
                <w:rFonts w:ascii="宋体" w:hAnsi="宋体" w:cs="宋体"/>
                <w:sz w:val="22"/>
              </w:rPr>
            </w:pPr>
          </w:p>
        </w:tc>
        <w:tc>
          <w:tcPr>
            <w:tcW w:w="0" w:type="auto"/>
            <w:tcBorders>
              <w:top w:val="nil"/>
              <w:left w:val="nil"/>
              <w:bottom w:val="single" w:color="auto" w:sz="4" w:space="0"/>
              <w:right w:val="single" w:color="auto" w:sz="4" w:space="0"/>
            </w:tcBorders>
            <w:noWrap w:val="0"/>
            <w:vAlign w:val="center"/>
          </w:tcPr>
          <w:p w14:paraId="764E2FD4">
            <w:pPr>
              <w:widowControl/>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top"/>
          </w:tcPr>
          <w:p w14:paraId="0433B609">
            <w:pPr>
              <w:widowControl/>
              <w:rPr>
                <w:rFonts w:hint="eastAsia" w:ascii="宋体" w:hAnsi="宋体" w:cs="宋体"/>
                <w:kern w:val="0"/>
                <w:szCs w:val="21"/>
              </w:rPr>
            </w:pPr>
          </w:p>
        </w:tc>
      </w:tr>
      <w:tr w14:paraId="447DF4D2">
        <w:trPr>
          <w:trHeight w:val="487" w:hRule="atLeast"/>
          <w:jc w:val="center"/>
        </w:trPr>
        <w:tc>
          <w:tcPr>
            <w:tcW w:w="0" w:type="auto"/>
            <w:tcBorders>
              <w:top w:val="nil"/>
              <w:left w:val="single" w:color="auto" w:sz="4" w:space="0"/>
              <w:bottom w:val="single" w:color="auto" w:sz="4" w:space="0"/>
              <w:right w:val="single" w:color="auto" w:sz="4" w:space="0"/>
            </w:tcBorders>
            <w:noWrap w:val="0"/>
            <w:vAlign w:val="center"/>
          </w:tcPr>
          <w:p w14:paraId="59C7F68A">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noWrap w:val="0"/>
            <w:vAlign w:val="center"/>
          </w:tcPr>
          <w:p w14:paraId="60E55DA0">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center"/>
          </w:tcPr>
          <w:p w14:paraId="4EA8525C">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420AA486">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28A22A00">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12AE5F82">
            <w:pPr>
              <w:rPr>
                <w:rFonts w:ascii="宋体" w:hAnsi="宋体" w:cs="宋体"/>
                <w:sz w:val="22"/>
              </w:rPr>
            </w:pPr>
          </w:p>
        </w:tc>
        <w:tc>
          <w:tcPr>
            <w:tcW w:w="0" w:type="auto"/>
            <w:tcBorders>
              <w:top w:val="single" w:color="auto" w:sz="4" w:space="0"/>
              <w:left w:val="nil"/>
              <w:bottom w:val="single" w:color="auto" w:sz="4" w:space="0"/>
              <w:right w:val="single" w:color="auto" w:sz="4" w:space="0"/>
            </w:tcBorders>
            <w:noWrap w:val="0"/>
            <w:vAlign w:val="center"/>
          </w:tcPr>
          <w:p w14:paraId="1E2968FE">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noWrap w:val="0"/>
            <w:vAlign w:val="top"/>
          </w:tcPr>
          <w:p w14:paraId="33B3C3C2">
            <w:pPr>
              <w:widowControl/>
              <w:rPr>
                <w:rFonts w:hint="eastAsia" w:ascii="宋体" w:hAnsi="宋体" w:cs="宋体"/>
                <w:kern w:val="0"/>
                <w:szCs w:val="21"/>
              </w:rPr>
            </w:pPr>
          </w:p>
        </w:tc>
      </w:tr>
    </w:tbl>
    <w:p w14:paraId="3C17FB70">
      <w:pPr>
        <w:adjustRightInd w:val="0"/>
        <w:snapToGrid w:val="0"/>
        <w:spacing w:line="360" w:lineRule="auto"/>
        <w:jc w:val="left"/>
        <w:rPr>
          <w:rFonts w:hint="eastAsia" w:ascii="仿宋_GB2312" w:hAnsi="宋体"/>
          <w:szCs w:val="18"/>
        </w:rPr>
      </w:pPr>
      <w:r>
        <w:rPr>
          <w:rFonts w:hint="eastAsia" w:ascii="仿宋_GB2312" w:hAnsi="宋体"/>
          <w:szCs w:val="18"/>
        </w:rPr>
        <w:t>注：</w:t>
      </w:r>
    </w:p>
    <w:p w14:paraId="0C6A5E27">
      <w:pPr>
        <w:spacing w:line="360" w:lineRule="auto"/>
        <w:ind w:firstLine="420" w:firstLineChars="200"/>
        <w:jc w:val="left"/>
        <w:rPr>
          <w:rFonts w:hint="eastAsia" w:ascii="宋体" w:hAnsi="宋体" w:cs="仿宋"/>
          <w:bCs/>
          <w:szCs w:val="18"/>
        </w:rPr>
      </w:pPr>
      <w:r>
        <w:rPr>
          <w:rFonts w:hint="eastAsia" w:ascii="宋体" w:hAnsi="宋体" w:cs="仿宋"/>
          <w:bCs/>
          <w:szCs w:val="18"/>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526A6C95">
      <w:pPr>
        <w:spacing w:line="360" w:lineRule="auto"/>
        <w:ind w:firstLine="420" w:firstLineChars="200"/>
        <w:jc w:val="left"/>
        <w:rPr>
          <w:rFonts w:ascii="宋体" w:hAnsi="宋体" w:cs="宋体"/>
          <w:b/>
          <w:szCs w:val="18"/>
          <w:lang w:val="zh-CN"/>
        </w:rPr>
      </w:pPr>
      <w:r>
        <w:rPr>
          <w:rFonts w:hint="eastAsia" w:ascii="宋体" w:hAnsi="宋体" w:cs="仿宋"/>
          <w:bCs/>
          <w:szCs w:val="18"/>
        </w:rPr>
        <w:t>2. 对于招标人推荐品牌的材料、设备等，投标人如认为招标人推荐的品牌有限定性、唯一性、明显不在同一档次等级的或者其他疑问的，应在本项目澄清提出的截止时间前通过电子交易系统提交。</w:t>
      </w:r>
    </w:p>
    <w:p w14:paraId="0664D12D">
      <w:pPr>
        <w:jc w:val="center"/>
        <w:outlineLvl w:val="2"/>
        <w:rPr>
          <w:rFonts w:hint="eastAsia"/>
          <w:sz w:val="28"/>
          <w:szCs w:val="28"/>
        </w:rPr>
      </w:pPr>
      <w:r>
        <w:rPr>
          <w:rFonts w:ascii="宋体" w:hAnsi="宋体" w:cs="宋体"/>
          <w:b/>
          <w:sz w:val="18"/>
          <w:szCs w:val="18"/>
          <w:lang w:val="zh-CN"/>
        </w:rPr>
        <w:br w:type="page"/>
      </w:r>
      <w:r>
        <w:rPr>
          <w:rFonts w:hint="eastAsia"/>
          <w:sz w:val="28"/>
          <w:szCs w:val="28"/>
        </w:rPr>
        <w:t>（十九）降低投标报价说明、证明材料</w:t>
      </w:r>
      <w:bookmarkEnd w:id="526"/>
      <w:bookmarkEnd w:id="527"/>
      <w:bookmarkEnd w:id="528"/>
    </w:p>
    <w:p w14:paraId="0C9188D1">
      <w:pPr>
        <w:jc w:val="center"/>
        <w:rPr>
          <w:rFonts w:hint="eastAsia" w:ascii="宋体" w:hAnsi="宋体"/>
          <w:kern w:val="0"/>
          <w:sz w:val="30"/>
          <w:szCs w:val="22"/>
        </w:rPr>
      </w:pPr>
    </w:p>
    <w:tbl>
      <w:tblPr>
        <w:tblStyle w:val="5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09"/>
      </w:tblGrid>
      <w:tr w14:paraId="2B7634DB">
        <w:trPr>
          <w:trHeight w:val="3934" w:hRule="atLeast"/>
          <w:jc w:val="center"/>
        </w:trPr>
        <w:tc>
          <w:tcPr>
            <w:tcW w:w="5000" w:type="pct"/>
            <w:noWrap w:val="0"/>
            <w:vAlign w:val="top"/>
          </w:tcPr>
          <w:p w14:paraId="62AC8811">
            <w:pPr>
              <w:spacing w:before="20" w:after="20" w:line="540" w:lineRule="exact"/>
              <w:rPr>
                <w:rFonts w:hint="eastAsia" w:ascii="宋体" w:hAnsi="宋体"/>
                <w:sz w:val="24"/>
                <w:szCs w:val="22"/>
              </w:rPr>
            </w:pPr>
          </w:p>
        </w:tc>
      </w:tr>
    </w:tbl>
    <w:p w14:paraId="245D917F">
      <w:pPr>
        <w:spacing w:line="360" w:lineRule="auto"/>
        <w:ind w:firstLine="420" w:firstLineChars="200"/>
        <w:jc w:val="left"/>
        <w:rPr>
          <w:rFonts w:ascii="宋体" w:hAnsi="宋体" w:cs="仿宋"/>
          <w:bCs/>
          <w:szCs w:val="18"/>
        </w:rPr>
      </w:pPr>
      <w:r>
        <w:rPr>
          <w:rFonts w:hint="eastAsia" w:ascii="宋体" w:hAnsi="宋体"/>
          <w:szCs w:val="21"/>
        </w:rPr>
        <w:t>1. 本</w:t>
      </w:r>
      <w:r>
        <w:rPr>
          <w:rFonts w:hint="eastAsia" w:ascii="宋体" w:hAnsi="宋体" w:cs="仿宋"/>
          <w:bCs/>
          <w:szCs w:val="18"/>
        </w:rPr>
        <w:t>项资料格式不作统一规定，由投标人自行设计。投标人根据其报价情况，自行确定是否提供。</w:t>
      </w:r>
    </w:p>
    <w:p w14:paraId="0B36C8BE">
      <w:pPr>
        <w:spacing w:line="360" w:lineRule="auto"/>
        <w:ind w:firstLine="420" w:firstLineChars="200"/>
        <w:jc w:val="left"/>
        <w:rPr>
          <w:rFonts w:hint="eastAsia" w:ascii="宋体" w:hAnsi="宋体" w:cs="仿宋"/>
          <w:bCs/>
          <w:szCs w:val="18"/>
        </w:rPr>
      </w:pPr>
      <w:r>
        <w:rPr>
          <w:rFonts w:hint="eastAsia" w:ascii="宋体" w:hAnsi="宋体" w:cs="仿宋"/>
          <w:bCs/>
          <w:szCs w:val="18"/>
        </w:rPr>
        <w:t>2. 本项资料包括在人工、材料、机械消耗量、价格、施工措施、方案及其他方面有降低工程造价的相关证明资料。</w:t>
      </w:r>
    </w:p>
    <w:p w14:paraId="0BF5DCA6">
      <w:pPr>
        <w:spacing w:line="360" w:lineRule="auto"/>
        <w:ind w:firstLine="420" w:firstLineChars="200"/>
        <w:jc w:val="left"/>
        <w:rPr>
          <w:rFonts w:hint="eastAsia" w:ascii="宋体" w:hAnsi="宋体"/>
          <w:szCs w:val="21"/>
        </w:rPr>
      </w:pPr>
      <w:r>
        <w:rPr>
          <w:rFonts w:hint="eastAsia" w:ascii="宋体" w:hAnsi="宋体" w:cs="仿宋"/>
          <w:bCs/>
          <w:szCs w:val="18"/>
        </w:rPr>
        <w:t>3. 投标</w:t>
      </w:r>
      <w:r>
        <w:rPr>
          <w:rFonts w:hint="eastAsia" w:ascii="宋体" w:hAnsi="宋体"/>
          <w:szCs w:val="21"/>
        </w:rPr>
        <w:t>人在制作投标文件时该页可放置在商务文件：投标所需证明材料中。</w:t>
      </w:r>
    </w:p>
    <w:p w14:paraId="62614E7C">
      <w:pPr>
        <w:rPr>
          <w:rFonts w:hint="eastAsia"/>
        </w:rPr>
      </w:pPr>
    </w:p>
    <w:p w14:paraId="4FF0502A">
      <w:pPr>
        <w:rPr>
          <w:sz w:val="28"/>
          <w:szCs w:val="28"/>
        </w:rPr>
      </w:pPr>
      <w:bookmarkStart w:id="534" w:name="_Toc460660254"/>
      <w:bookmarkStart w:id="535" w:name="_Toc460227139"/>
      <w:bookmarkStart w:id="536" w:name="_Toc535241145"/>
    </w:p>
    <w:p w14:paraId="3478F48A">
      <w:pPr>
        <w:jc w:val="center"/>
        <w:rPr>
          <w:rFonts w:hint="eastAsia"/>
        </w:rPr>
      </w:pPr>
      <w:r>
        <w:br w:type="page"/>
      </w:r>
    </w:p>
    <w:p w14:paraId="2657B954">
      <w:pPr>
        <w:jc w:val="center"/>
        <w:outlineLvl w:val="2"/>
        <w:rPr>
          <w:rFonts w:hint="eastAsia"/>
          <w:sz w:val="28"/>
          <w:szCs w:val="28"/>
        </w:rPr>
      </w:pPr>
      <w:r>
        <w:rPr>
          <w:rFonts w:hint="eastAsia"/>
          <w:sz w:val="28"/>
          <w:szCs w:val="28"/>
        </w:rPr>
        <w:t>（二十）投标报价需要说明的其他资料</w:t>
      </w:r>
      <w:bookmarkEnd w:id="520"/>
      <w:bookmarkEnd w:id="521"/>
      <w:bookmarkEnd w:id="522"/>
      <w:bookmarkEnd w:id="523"/>
      <w:bookmarkEnd w:id="524"/>
      <w:bookmarkEnd w:id="534"/>
      <w:bookmarkEnd w:id="535"/>
      <w:bookmarkEnd w:id="536"/>
    </w:p>
    <w:p w14:paraId="2CEF87E0">
      <w:pPr>
        <w:jc w:val="center"/>
        <w:rPr>
          <w:rFonts w:hint="eastAsia"/>
          <w:sz w:val="28"/>
          <w:szCs w:val="28"/>
        </w:rPr>
      </w:pPr>
    </w:p>
    <w:p w14:paraId="3418D96E">
      <w:pPr>
        <w:spacing w:line="360" w:lineRule="auto"/>
        <w:ind w:firstLine="420" w:firstLineChars="200"/>
        <w:jc w:val="left"/>
        <w:rPr>
          <w:rFonts w:hint="eastAsia" w:ascii="宋体" w:hAnsi="宋体" w:cs="仿宋"/>
          <w:bCs/>
          <w:szCs w:val="18"/>
        </w:rPr>
      </w:pPr>
      <w:r>
        <w:rPr>
          <w:rFonts w:hint="eastAsia" w:ascii="宋体" w:hAnsi="宋体"/>
          <w:szCs w:val="21"/>
        </w:rPr>
        <w:t>投标人认为</w:t>
      </w:r>
      <w:r>
        <w:rPr>
          <w:rFonts w:hint="eastAsia" w:ascii="宋体" w:hAnsi="宋体" w:cs="仿宋"/>
          <w:bCs/>
          <w:szCs w:val="18"/>
        </w:rPr>
        <w:t>需对其投标报价进行其他补充说明及证明材料。</w:t>
      </w:r>
    </w:p>
    <w:p w14:paraId="2DF4C254">
      <w:pPr>
        <w:spacing w:line="360" w:lineRule="auto"/>
        <w:ind w:firstLine="420" w:firstLineChars="200"/>
        <w:jc w:val="left"/>
        <w:rPr>
          <w:rFonts w:hint="eastAsia" w:ascii="宋体" w:hAnsi="宋体"/>
          <w:szCs w:val="21"/>
        </w:rPr>
      </w:pPr>
      <w:r>
        <w:rPr>
          <w:rFonts w:hint="eastAsia" w:ascii="宋体" w:hAnsi="宋体" w:cs="仿宋"/>
          <w:bCs/>
          <w:szCs w:val="18"/>
        </w:rPr>
        <w:t>投标人在制作</w:t>
      </w:r>
      <w:r>
        <w:rPr>
          <w:rFonts w:hint="eastAsia" w:ascii="宋体" w:hAnsi="宋体"/>
          <w:szCs w:val="21"/>
        </w:rPr>
        <w:t>投标文件时该页可放置在报价文件：投标所需证明材料中。</w:t>
      </w:r>
    </w:p>
    <w:p w14:paraId="28B2D7E4">
      <w:pPr>
        <w:spacing w:line="500" w:lineRule="exact"/>
        <w:ind w:left="313" w:leftChars="149"/>
        <w:rPr>
          <w:rFonts w:hint="eastAsia" w:ascii="宋体" w:hAnsi="宋体"/>
          <w:b/>
          <w:color w:val="000000"/>
          <w:sz w:val="24"/>
        </w:rPr>
      </w:pPr>
      <w:r>
        <w:rPr>
          <w:rFonts w:ascii="宋体" w:hAnsi="宋体"/>
          <w:b/>
          <w:bCs/>
          <w:kern w:val="0"/>
          <w:sz w:val="32"/>
          <w:szCs w:val="32"/>
        </w:rPr>
        <w:br w:type="page"/>
      </w:r>
    </w:p>
    <w:p w14:paraId="5BBAE182">
      <w:pPr>
        <w:rPr>
          <w:rFonts w:hint="eastAsia"/>
        </w:rPr>
      </w:pPr>
    </w:p>
    <w:p w14:paraId="07075F4B">
      <w:pPr>
        <w:pStyle w:val="3"/>
        <w:spacing w:before="0" w:after="0" w:line="240" w:lineRule="auto"/>
        <w:ind w:firstLine="0"/>
        <w:rPr>
          <w:rFonts w:hint="eastAsia" w:ascii="宋体" w:hAnsi="宋体" w:eastAsia="宋体"/>
          <w:szCs w:val="36"/>
          <w:highlight w:val="none"/>
        </w:rPr>
      </w:pPr>
    </w:p>
    <w:bookmarkEnd w:id="36"/>
    <w:bookmarkEnd w:id="37"/>
    <w:bookmarkEnd w:id="38"/>
    <w:p w14:paraId="39214A49">
      <w:pPr>
        <w:spacing w:line="500" w:lineRule="exact"/>
        <w:rPr>
          <w:rFonts w:hint="eastAsia" w:ascii="宋体" w:hAnsi="宋体"/>
          <w:b/>
          <w:color w:val="000000"/>
          <w:sz w:val="24"/>
          <w:highlight w:val="none"/>
        </w:rPr>
      </w:pPr>
    </w:p>
    <w:sectPr>
      <w:headerReference r:id="rId14" w:type="default"/>
      <w:footerReference r:id="rId15"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幼圆">
    <w:altName w:val="华文宋体"/>
    <w:panose1 w:val="0201050906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altName w:val="汉仪楷体KW"/>
    <w:panose1 w:val="02010609060101010101"/>
    <w:charset w:val="86"/>
    <w:family w:val="auto"/>
    <w:pitch w:val="default"/>
    <w:sig w:usb0="00000000" w:usb1="00000000" w:usb2="00000016" w:usb3="00000000" w:csb0="00040001" w:csb1="00000000"/>
  </w:font>
  <w:font w:name="宋体-18030">
    <w:altName w:val="Arial Unicode MS"/>
    <w:panose1 w:val="02010609060101010101"/>
    <w:charset w:val="86"/>
    <w:family w:val="modern"/>
    <w:pitch w:val="default"/>
    <w:sig w:usb0="00000000" w:usb1="00000000" w:usb2="000A005E"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康熙字典体">
    <w:panose1 w:val="020B0502000000000001"/>
    <w:charset w:val="86"/>
    <w:family w:val="auto"/>
    <w:pitch w:val="default"/>
    <w:sig w:usb0="A00000AF" w:usb1="4000204A"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C75">
    <w:pPr>
      <w:pStyle w:val="33"/>
      <w:jc w:val="center"/>
    </w:pPr>
    <w:r>
      <w:fldChar w:fldCharType="begin"/>
    </w:r>
    <w:r>
      <w:instrText xml:space="preserve">PAGE   \* MERGEFORMAT</w:instrText>
    </w:r>
    <w:r>
      <w:fldChar w:fldCharType="separate"/>
    </w:r>
    <w:r>
      <w:rPr>
        <w:lang w:val="zh-CN"/>
      </w:rPr>
      <w:t>3</w:t>
    </w:r>
    <w:r>
      <w:fldChar w:fldCharType="end"/>
    </w:r>
  </w:p>
  <w:p w14:paraId="629FBA54">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E00">
    <w:pPr>
      <w:pStyle w:val="33"/>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A03381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5CEE">
    <w:pPr>
      <w:pStyle w:val="33"/>
      <w:jc w:val="center"/>
    </w:pPr>
    <w:r>
      <w:fldChar w:fldCharType="begin"/>
    </w:r>
    <w:r>
      <w:instrText xml:space="preserve">PAGE   \* MERGEFORMAT</w:instrText>
    </w:r>
    <w:r>
      <w:fldChar w:fldCharType="separate"/>
    </w:r>
    <w:r>
      <w:rPr>
        <w:lang w:val="zh-CN"/>
      </w:rPr>
      <w:t>96</w:t>
    </w:r>
    <w:r>
      <w:fldChar w:fldCharType="end"/>
    </w:r>
  </w:p>
  <w:p w14:paraId="4CBD9A3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CBBA">
    <w:pPr>
      <w:pStyle w:val="33"/>
      <w:framePr w:wrap="around" w:vAnchor="text" w:hAnchor="margin" w:xAlign="center" w:y="1"/>
      <w:rPr>
        <w:rStyle w:val="56"/>
      </w:rPr>
    </w:pPr>
    <w:r>
      <w:fldChar w:fldCharType="begin"/>
    </w:r>
    <w:r>
      <w:rPr>
        <w:rStyle w:val="56"/>
        <w:highlight w:val="white"/>
      </w:rPr>
      <w:instrText xml:space="preserve">PAGE  </w:instrText>
    </w:r>
    <w:r>
      <w:fldChar w:fldCharType="separate"/>
    </w:r>
    <w:r>
      <w:rPr>
        <w:rStyle w:val="56"/>
        <w:highlight w:val="white"/>
      </w:rPr>
      <w:t>1</w:t>
    </w:r>
    <w:r>
      <w:fldChar w:fldCharType="end"/>
    </w:r>
  </w:p>
  <w:p w14:paraId="3A28A9E6">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BC7A">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BFD4">
    <w:pPr>
      <w:pStyle w:val="34"/>
      <w:jc w:val="left"/>
    </w:pPr>
    <w:r>
      <w:rPr>
        <w:rFonts w:hint="eastAsia"/>
      </w:rPr>
      <w:t>网招B4类建设工程招标文件-2018.3.1版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294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B81C">
    <w:pPr>
      <w:pStyle w:val="34"/>
    </w:pPr>
    <w:r>
      <w:rPr>
        <w:rFonts w:hint="eastAsia"/>
      </w:rPr>
      <w:t>建设工程招标文件（非网招）20160127版本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9D75">
    <w:pPr>
      <w:pStyle w:val="34"/>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739F">
    <w:pPr>
      <w:pStyle w:val="34"/>
      <w:framePr w:wrap="around" w:vAnchor="text" w:hAnchor="margin" w:xAlign="right" w:y="1"/>
      <w:rPr>
        <w:rStyle w:val="56"/>
      </w:rPr>
    </w:pPr>
    <w:r>
      <w:fldChar w:fldCharType="begin"/>
    </w:r>
    <w:r>
      <w:rPr>
        <w:rStyle w:val="56"/>
        <w:highlight w:val="white"/>
      </w:rPr>
      <w:instrText xml:space="preserve">PAGE  </w:instrText>
    </w:r>
    <w:r>
      <w:fldChar w:fldCharType="separate"/>
    </w:r>
    <w:r>
      <w:fldChar w:fldCharType="end"/>
    </w:r>
  </w:p>
  <w:p w14:paraId="580ABF2C">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1979">
    <w:pPr>
      <w:pStyle w:val="3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7B5BD"/>
    <w:multiLevelType w:val="singleLevel"/>
    <w:tmpl w:val="BE87B5BD"/>
    <w:lvl w:ilvl="0" w:tentative="0">
      <w:start w:val="1"/>
      <w:numFmt w:val="decimal"/>
      <w:lvlText w:val="%1."/>
      <w:lvlJc w:val="left"/>
      <w:pPr>
        <w:tabs>
          <w:tab w:val="left" w:pos="312"/>
        </w:tabs>
      </w:pPr>
    </w:lvl>
  </w:abstractNum>
  <w:abstractNum w:abstractNumId="1">
    <w:nsid w:val="F7C1BF90"/>
    <w:multiLevelType w:val="singleLevel"/>
    <w:tmpl w:val="F7C1BF90"/>
    <w:lvl w:ilvl="0" w:tentative="0">
      <w:start w:val="1"/>
      <w:numFmt w:val="decimal"/>
      <w:lvlText w:val="%1."/>
      <w:lvlJc w:val="left"/>
      <w:pPr>
        <w:tabs>
          <w:tab w:val="left" w:pos="312"/>
        </w:tabs>
      </w:pPr>
    </w:lvl>
  </w:abstractNum>
  <w:abstractNum w:abstractNumId="2">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3">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EC11A59"/>
    <w:multiLevelType w:val="singleLevel"/>
    <w:tmpl w:val="0EC11A59"/>
    <w:lvl w:ilvl="0" w:tentative="0">
      <w:start w:val="2"/>
      <w:numFmt w:val="decimal"/>
      <w:suff w:val="nothing"/>
      <w:lvlText w:val="%1、"/>
      <w:lvlJc w:val="left"/>
    </w:lvl>
  </w:abstractNum>
  <w:abstractNum w:abstractNumId="6">
    <w:nsid w:val="2E3A5B44"/>
    <w:multiLevelType w:val="singleLevel"/>
    <w:tmpl w:val="2E3A5B44"/>
    <w:lvl w:ilvl="0" w:tentative="0">
      <w:start w:val="1"/>
      <w:numFmt w:val="decimal"/>
      <w:suff w:val="nothing"/>
      <w:lvlText w:val="（%1）"/>
      <w:lvlJc w:val="left"/>
    </w:lvl>
  </w:abstractNum>
  <w:abstractNum w:abstractNumId="7">
    <w:nsid w:val="3D51EDF3"/>
    <w:multiLevelType w:val="singleLevel"/>
    <w:tmpl w:val="3D51EDF3"/>
    <w:lvl w:ilvl="0" w:tentative="0">
      <w:start w:val="3"/>
      <w:numFmt w:val="chineseCounting"/>
      <w:suff w:val="space"/>
      <w:lvlText w:val="第%1章"/>
      <w:lvlJc w:val="left"/>
      <w:rPr>
        <w:rFonts w:hint="eastAsia"/>
      </w:rPr>
    </w:lvl>
  </w:abstractNum>
  <w:abstractNum w:abstractNumId="8">
    <w:nsid w:val="79975319"/>
    <w:multiLevelType w:val="singleLevel"/>
    <w:tmpl w:val="79975319"/>
    <w:lvl w:ilvl="0" w:tentative="0">
      <w:start w:val="3"/>
      <w:numFmt w:val="chineseCounting"/>
      <w:suff w:val="nothing"/>
      <w:lvlText w:val="%1．"/>
      <w:lvlJc w:val="left"/>
      <w:rPr>
        <w:rFonts w:hint="eastAsia"/>
      </w:rPr>
    </w:lvl>
  </w:abstractNum>
  <w:abstractNum w:abstractNumId="9">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3"/>
  </w:num>
  <w:num w:numId="3">
    <w:abstractNumId w:val="9"/>
  </w:num>
  <w:num w:numId="4">
    <w:abstractNumId w:val="2"/>
  </w:num>
  <w:num w:numId="5">
    <w:abstractNumId w:val="7"/>
  </w:num>
  <w:num w:numId="6">
    <w:abstractNumId w:val="0"/>
  </w:num>
  <w:num w:numId="7">
    <w:abstractNumId w:val="1"/>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DC0389"/>
    <w:rsid w:val="077918E2"/>
    <w:rsid w:val="080F68DC"/>
    <w:rsid w:val="09B35E22"/>
    <w:rsid w:val="0A2B2280"/>
    <w:rsid w:val="0AEA2669"/>
    <w:rsid w:val="0B5A78B0"/>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E905351"/>
    <w:rsid w:val="1F9E3BCA"/>
    <w:rsid w:val="23203542"/>
    <w:rsid w:val="23285A18"/>
    <w:rsid w:val="276F595A"/>
    <w:rsid w:val="299553EC"/>
    <w:rsid w:val="29BD3F19"/>
    <w:rsid w:val="29D42705"/>
    <w:rsid w:val="2ADC147B"/>
    <w:rsid w:val="2C056941"/>
    <w:rsid w:val="2C1C4834"/>
    <w:rsid w:val="2D8E6D7A"/>
    <w:rsid w:val="2F3E39E2"/>
    <w:rsid w:val="2FF95846"/>
    <w:rsid w:val="31566A52"/>
    <w:rsid w:val="31AB0CDA"/>
    <w:rsid w:val="31D73965"/>
    <w:rsid w:val="32E965DF"/>
    <w:rsid w:val="33366222"/>
    <w:rsid w:val="367120E1"/>
    <w:rsid w:val="373F5ED2"/>
    <w:rsid w:val="389F5A24"/>
    <w:rsid w:val="39087C01"/>
    <w:rsid w:val="3A5D5440"/>
    <w:rsid w:val="3C923FD8"/>
    <w:rsid w:val="3CC4744B"/>
    <w:rsid w:val="3D9424D5"/>
    <w:rsid w:val="3DAF6D45"/>
    <w:rsid w:val="3DC5397A"/>
    <w:rsid w:val="3FB95217"/>
    <w:rsid w:val="405065A5"/>
    <w:rsid w:val="414B7535"/>
    <w:rsid w:val="415E35C6"/>
    <w:rsid w:val="41AB521D"/>
    <w:rsid w:val="41BA02BB"/>
    <w:rsid w:val="428B7B0F"/>
    <w:rsid w:val="429C7054"/>
    <w:rsid w:val="42C40BE2"/>
    <w:rsid w:val="43EC454D"/>
    <w:rsid w:val="459D445A"/>
    <w:rsid w:val="47140AC9"/>
    <w:rsid w:val="481A5BAC"/>
    <w:rsid w:val="4B493F7E"/>
    <w:rsid w:val="4C9F3B15"/>
    <w:rsid w:val="4CC82BA6"/>
    <w:rsid w:val="4DFC16FF"/>
    <w:rsid w:val="4EDD6607"/>
    <w:rsid w:val="4F252466"/>
    <w:rsid w:val="4F5A71E7"/>
    <w:rsid w:val="500E40D0"/>
    <w:rsid w:val="512F03DB"/>
    <w:rsid w:val="5307177D"/>
    <w:rsid w:val="539267AF"/>
    <w:rsid w:val="543264A9"/>
    <w:rsid w:val="554A03C4"/>
    <w:rsid w:val="56FDD9F0"/>
    <w:rsid w:val="570E3BC9"/>
    <w:rsid w:val="58457CD0"/>
    <w:rsid w:val="59813B96"/>
    <w:rsid w:val="5A431F22"/>
    <w:rsid w:val="5AD92B11"/>
    <w:rsid w:val="5B302BB8"/>
    <w:rsid w:val="5C917115"/>
    <w:rsid w:val="5C9A1041"/>
    <w:rsid w:val="5CB511A8"/>
    <w:rsid w:val="5DE85D9D"/>
    <w:rsid w:val="5E6162CC"/>
    <w:rsid w:val="5F8913FD"/>
    <w:rsid w:val="60C06604"/>
    <w:rsid w:val="615862B8"/>
    <w:rsid w:val="6216372D"/>
    <w:rsid w:val="633640E0"/>
    <w:rsid w:val="64332182"/>
    <w:rsid w:val="645E7AB0"/>
    <w:rsid w:val="64EFC06C"/>
    <w:rsid w:val="65402FF4"/>
    <w:rsid w:val="65A7466B"/>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B620BCC"/>
    <w:rsid w:val="7BDA46B9"/>
    <w:rsid w:val="7C020BE6"/>
    <w:rsid w:val="7C0D02B4"/>
    <w:rsid w:val="7CF66286"/>
    <w:rsid w:val="7DDA8DE2"/>
    <w:rsid w:val="7F0D1A18"/>
    <w:rsid w:val="7F9839DA"/>
    <w:rsid w:val="E7BBD729"/>
    <w:rsid w:val="EFFF56E5"/>
    <w:rsid w:val="FBF99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1"/>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2"/>
    <w:qFormat/>
    <w:uiPriority w:val="0"/>
    <w:pPr>
      <w:tabs>
        <w:tab w:val="center" w:pos="4153"/>
        <w:tab w:val="right" w:pos="8306"/>
      </w:tabs>
      <w:snapToGrid w:val="0"/>
      <w:jc w:val="left"/>
    </w:pPr>
    <w:rPr>
      <w:sz w:val="18"/>
    </w:rPr>
  </w:style>
  <w:style w:type="paragraph" w:styleId="34">
    <w:name w:val="header"/>
    <w:basedOn w:val="1"/>
    <w:link w:val="63"/>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 Char Char1"/>
    <w:link w:val="30"/>
    <w:qFormat/>
    <w:uiPriority w:val="0"/>
    <w:rPr>
      <w:b/>
      <w:kern w:val="2"/>
      <w:sz w:val="28"/>
    </w:rPr>
  </w:style>
  <w:style w:type="character" w:customStyle="1" w:styleId="62">
    <w:name w:val=" Char Char"/>
    <w:link w:val="33"/>
    <w:qFormat/>
    <w:uiPriority w:val="0"/>
    <w:rPr>
      <w:kern w:val="2"/>
      <w:sz w:val="18"/>
    </w:rPr>
  </w:style>
  <w:style w:type="character" w:customStyle="1" w:styleId="63">
    <w:name w:val=" Char Char2"/>
    <w:link w:val="34"/>
    <w:qFormat/>
    <w:uiPriority w:val="0"/>
    <w:rPr>
      <w:kern w:val="2"/>
      <w:sz w:val="18"/>
    </w:rPr>
  </w:style>
  <w:style w:type="character" w:customStyle="1" w:styleId="64">
    <w:name w:val="索引标题 Char Char"/>
    <w:qFormat/>
    <w:uiPriority w:val="0"/>
    <w:rPr>
      <w:rFonts w:eastAsia="宋体"/>
      <w:kern w:val="2"/>
      <w:sz w:val="21"/>
      <w:lang w:val="en-US" w:eastAsia="zh-CN"/>
    </w:rPr>
  </w:style>
  <w:style w:type="character" w:customStyle="1" w:styleId="65">
    <w:name w:val="标题 1 Char"/>
    <w:qFormat/>
    <w:uiPriority w:val="0"/>
    <w:rPr>
      <w:rFonts w:eastAsia="宋体"/>
      <w:b/>
      <w:kern w:val="44"/>
      <w:sz w:val="30"/>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1201</Words>
  <Characters>1261</Characters>
  <Lines>133</Lines>
  <Paragraphs>37</Paragraphs>
  <TotalTime>2</TotalTime>
  <ScaleCrop>false</ScaleCrop>
  <LinksUpToDate>false</LinksUpToDate>
  <CharactersWithSpaces>1338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2012-06-23T01:32:00Z</dcterms:created>
  <dc:creator>lyl</dc:creator>
  <cp:lastModifiedBy>牛皮橙子</cp:lastModifiedBy>
  <cp:lastPrinted>2020-11-21T02:35:00Z</cp:lastPrinted>
  <dcterms:modified xsi:type="dcterms:W3CDTF">2025-08-18T13:59:29Z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F8B3251F88681946CBB1A1689CB063E0_43</vt:lpwstr>
  </property>
  <property fmtid="{D5CDD505-2E9C-101B-9397-08002B2CF9AE}" pid="4" name="KSOTemplateDocerSaveRecord">
    <vt:lpwstr>eyJoZGlkIjoiNTg5YzAxZDJlZmRjYTY0NjFjOTA1Y2YwYTJiNWFkMDMiLCJ1c2VySWQiOiIxMTc5MTY1MTQ5In0=</vt:lpwstr>
  </property>
</Properties>
</file>