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B7BD0E">
      <w:pPr>
        <w:adjustRightInd w:val="0"/>
        <w:snapToGrid w:val="0"/>
        <w:spacing w:before="48" w:beforeLines="20" w:after="48" w:afterLines="20" w:line="940" w:lineRule="exact"/>
        <w:jc w:val="both"/>
        <w:rPr>
          <w:rFonts w:hint="eastAsia" w:eastAsia="仿宋_GB2312"/>
          <w:b/>
          <w:bCs/>
          <w:sz w:val="72"/>
          <w:szCs w:val="72"/>
          <w:highlight w:val="none"/>
        </w:rPr>
      </w:pPr>
    </w:p>
    <w:p w14:paraId="1016885C">
      <w:pPr>
        <w:adjustRightInd w:val="0"/>
        <w:snapToGrid w:val="0"/>
        <w:spacing w:before="48" w:beforeLines="20" w:after="48" w:afterLines="20" w:line="940" w:lineRule="exact"/>
        <w:jc w:val="center"/>
        <w:rPr>
          <w:rFonts w:hint="default" w:ascii="宋体" w:hAnsi="宋体" w:eastAsia="宋体" w:cs="宋体"/>
          <w:b/>
          <w:color w:val="auto"/>
          <w:spacing w:val="-20"/>
          <w:sz w:val="48"/>
          <w:szCs w:val="48"/>
          <w:highlight w:val="none"/>
          <w:u w:val="single"/>
          <w:lang w:val="en-US" w:eastAsia="zh-CN"/>
        </w:rPr>
      </w:pPr>
      <w:r>
        <w:rPr>
          <w:rFonts w:hint="eastAsia" w:ascii="宋体" w:hAnsi="宋体" w:cs="宋体"/>
          <w:b/>
          <w:color w:val="auto"/>
          <w:spacing w:val="-20"/>
          <w:sz w:val="48"/>
          <w:szCs w:val="48"/>
          <w:highlight w:val="none"/>
          <w:u w:val="single"/>
          <w:lang w:val="en-US" w:eastAsia="zh-CN"/>
        </w:rPr>
        <w:t>罍街景观美陈提升工程</w:t>
      </w:r>
    </w:p>
    <w:p w14:paraId="4EBC7C85">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7161E90F">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6153E552">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599D50B2">
      <w:pPr>
        <w:adjustRightInd w:val="0"/>
        <w:snapToGrid w:val="0"/>
        <w:spacing w:before="48" w:beforeLines="20" w:after="48" w:afterLines="20" w:line="940" w:lineRule="exact"/>
        <w:jc w:val="center"/>
        <w:rPr>
          <w:rFonts w:hint="eastAsia" w:ascii="宋体" w:hAnsi="宋体" w:cs="宋体"/>
          <w:bCs/>
          <w:sz w:val="84"/>
          <w:szCs w:val="84"/>
          <w:highlight w:val="none"/>
          <w:lang w:val="en-US" w:eastAsia="zh-CN"/>
        </w:rPr>
      </w:pPr>
      <w:r>
        <w:rPr>
          <w:rFonts w:hint="eastAsia" w:ascii="宋体" w:hAnsi="宋体" w:cs="宋体"/>
          <w:bCs/>
          <w:sz w:val="84"/>
          <w:szCs w:val="84"/>
          <w:highlight w:val="none"/>
          <w:lang w:val="en-US" w:eastAsia="zh-CN"/>
        </w:rPr>
        <w:t>采</w:t>
      </w:r>
    </w:p>
    <w:p w14:paraId="588CF46B">
      <w:pPr>
        <w:adjustRightInd w:val="0"/>
        <w:snapToGrid w:val="0"/>
        <w:spacing w:before="48" w:beforeLines="20" w:after="48" w:afterLines="20" w:line="940" w:lineRule="exact"/>
        <w:jc w:val="center"/>
        <w:rPr>
          <w:rFonts w:hint="eastAsia" w:ascii="宋体" w:hAnsi="宋体" w:eastAsia="宋体" w:cs="宋体"/>
          <w:bCs/>
          <w:sz w:val="84"/>
          <w:szCs w:val="84"/>
          <w:highlight w:val="none"/>
          <w:lang w:eastAsia="zh-CN"/>
        </w:rPr>
      </w:pPr>
      <w:r>
        <w:rPr>
          <w:rFonts w:hint="eastAsia" w:ascii="宋体" w:hAnsi="宋体" w:cs="宋体"/>
          <w:bCs/>
          <w:sz w:val="84"/>
          <w:szCs w:val="84"/>
          <w:highlight w:val="none"/>
          <w:lang w:val="en-US" w:eastAsia="zh-CN"/>
        </w:rPr>
        <w:t>购</w:t>
      </w:r>
    </w:p>
    <w:p w14:paraId="03B3CFD2">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文</w:t>
      </w:r>
    </w:p>
    <w:p w14:paraId="149228B6">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件</w:t>
      </w:r>
    </w:p>
    <w:p w14:paraId="41A67416">
      <w:pPr>
        <w:adjustRightInd w:val="0"/>
        <w:snapToGrid w:val="0"/>
        <w:spacing w:before="48" w:beforeLines="20" w:after="48" w:afterLines="20" w:line="640" w:lineRule="exact"/>
        <w:rPr>
          <w:rFonts w:hint="eastAsia" w:ascii="宋体" w:hAnsi="宋体" w:eastAsia="宋体" w:cs="宋体"/>
          <w:bCs/>
          <w:sz w:val="28"/>
          <w:highlight w:val="none"/>
        </w:rPr>
      </w:pPr>
      <w:r>
        <w:rPr>
          <w:rFonts w:hint="eastAsia" w:ascii="宋体" w:hAnsi="宋体" w:eastAsia="宋体" w:cs="宋体"/>
          <w:bCs/>
          <w:sz w:val="28"/>
          <w:highlight w:val="none"/>
        </w:rPr>
        <w:t xml:space="preserve">                    </w:t>
      </w:r>
    </w:p>
    <w:p w14:paraId="68F8449D">
      <w:pPr>
        <w:adjustRightInd w:val="0"/>
        <w:snapToGrid w:val="0"/>
        <w:spacing w:before="48" w:beforeLines="20" w:after="48" w:afterLines="20" w:line="540" w:lineRule="exact"/>
        <w:rPr>
          <w:rFonts w:hint="eastAsia" w:ascii="宋体" w:hAnsi="宋体" w:eastAsia="宋体" w:cs="宋体"/>
          <w:b/>
          <w:sz w:val="30"/>
          <w:szCs w:val="30"/>
          <w:highlight w:val="none"/>
        </w:rPr>
      </w:pPr>
    </w:p>
    <w:p w14:paraId="0F63E4A3">
      <w:pPr>
        <w:adjustRightInd w:val="0"/>
        <w:snapToGrid w:val="0"/>
        <w:spacing w:before="48" w:beforeLines="20" w:after="48" w:afterLines="20" w:line="540" w:lineRule="exact"/>
        <w:jc w:val="center"/>
        <w:rPr>
          <w:rFonts w:hint="default" w:ascii="宋体" w:hAnsi="宋体" w:eastAsia="宋体" w:cs="宋体"/>
          <w:b/>
          <w:bCs/>
          <w:spacing w:val="-20"/>
          <w:sz w:val="36"/>
          <w:szCs w:val="36"/>
          <w:highlight w:val="none"/>
          <w:lang w:val="en-US" w:eastAsia="zh-CN"/>
        </w:rPr>
      </w:pPr>
      <w:r>
        <w:rPr>
          <w:rFonts w:hint="eastAsia" w:ascii="宋体" w:hAnsi="宋体" w:eastAsia="宋体" w:cs="宋体"/>
          <w:b/>
          <w:bCs/>
          <w:spacing w:val="-20"/>
          <w:sz w:val="36"/>
          <w:szCs w:val="36"/>
          <w:highlight w:val="none"/>
        </w:rPr>
        <w:t>招</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rPr>
        <w:t>标</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lang w:eastAsia="zh-CN"/>
        </w:rPr>
        <w:t>人</w:t>
      </w:r>
      <w:r>
        <w:rPr>
          <w:rFonts w:hint="eastAsia" w:ascii="宋体" w:hAnsi="宋体" w:eastAsia="宋体" w:cs="宋体"/>
          <w:b/>
          <w:bCs/>
          <w:spacing w:val="-20"/>
          <w:sz w:val="36"/>
          <w:szCs w:val="36"/>
          <w:highlight w:val="none"/>
        </w:rPr>
        <w:t>：</w:t>
      </w:r>
      <w:r>
        <w:rPr>
          <w:rFonts w:hint="eastAsia" w:ascii="宋体" w:hAnsi="宋体" w:eastAsia="宋体" w:cs="宋体"/>
          <w:b/>
          <w:bCs/>
          <w:spacing w:val="-20"/>
          <w:sz w:val="36"/>
          <w:szCs w:val="36"/>
          <w:highlight w:val="none"/>
          <w:lang w:eastAsia="zh-CN"/>
        </w:rPr>
        <w:t>合肥</w:t>
      </w:r>
      <w:r>
        <w:rPr>
          <w:rFonts w:hint="eastAsia" w:ascii="宋体" w:hAnsi="宋体" w:cs="宋体"/>
          <w:b/>
          <w:bCs/>
          <w:spacing w:val="-20"/>
          <w:sz w:val="36"/>
          <w:szCs w:val="36"/>
          <w:highlight w:val="none"/>
          <w:lang w:val="en-US" w:eastAsia="zh-CN"/>
        </w:rPr>
        <w:t>罍街文化旅游发展有限公司</w:t>
      </w:r>
    </w:p>
    <w:p w14:paraId="19A668F5">
      <w:pPr>
        <w:tabs>
          <w:tab w:val="left" w:pos="4620"/>
        </w:tabs>
        <w:spacing w:line="440" w:lineRule="exact"/>
        <w:jc w:val="center"/>
        <w:rPr>
          <w:rFonts w:hint="eastAsia" w:ascii="宋体" w:hAnsi="宋体" w:eastAsia="宋体" w:cs="宋体"/>
          <w:bCs/>
          <w:sz w:val="36"/>
          <w:highlight w:val="none"/>
          <w:lang w:val="en-US" w:eastAsia="zh-CN"/>
        </w:rPr>
      </w:pPr>
      <w:bookmarkStart w:id="0" w:name="_Toc245092758"/>
      <w:bookmarkStart w:id="1" w:name="_Toc273602338"/>
    </w:p>
    <w:p w14:paraId="0FB1A330">
      <w:pPr>
        <w:tabs>
          <w:tab w:val="left" w:pos="4620"/>
        </w:tabs>
        <w:spacing w:line="440" w:lineRule="exact"/>
        <w:ind w:firstLine="1928" w:firstLineChars="600"/>
        <w:jc w:val="both"/>
        <w:rPr>
          <w:rFonts w:hint="eastAsia" w:ascii="宋体" w:hAnsi="宋体" w:eastAsia="宋体" w:cs="宋体"/>
          <w:bCs/>
          <w:sz w:val="36"/>
          <w:highlight w:val="none"/>
          <w:lang w:val="en-US" w:eastAsia="zh-CN"/>
        </w:rPr>
      </w:pPr>
      <w:r>
        <w:rPr>
          <w:rFonts w:hint="eastAsia" w:ascii="宋体" w:hAnsi="宋体" w:eastAsia="宋体" w:cs="宋体"/>
          <w:b/>
          <w:bCs/>
          <w:spacing w:val="-20"/>
          <w:sz w:val="36"/>
          <w:szCs w:val="36"/>
          <w:highlight w:val="none"/>
          <w:lang w:val="en-US" w:eastAsia="zh-CN"/>
        </w:rPr>
        <w:t>日      期：</w:t>
      </w:r>
      <w:r>
        <w:rPr>
          <w:rFonts w:hint="eastAsia" w:ascii="宋体" w:hAnsi="宋体" w:eastAsia="宋体" w:cs="宋体"/>
          <w:b/>
          <w:bCs w:val="0"/>
          <w:sz w:val="36"/>
          <w:highlight w:val="none"/>
          <w:lang w:val="en-US" w:eastAsia="zh-CN"/>
        </w:rPr>
        <w:t>2025年</w:t>
      </w:r>
      <w:r>
        <w:rPr>
          <w:rFonts w:hint="eastAsia" w:ascii="宋体" w:hAnsi="宋体" w:eastAsia="宋体" w:cs="宋体"/>
          <w:b/>
          <w:bCs w:val="0"/>
          <w:sz w:val="36"/>
          <w:highlight w:val="none"/>
          <w:u w:val="single"/>
          <w:lang w:val="en-US" w:eastAsia="zh-CN"/>
        </w:rPr>
        <w:t xml:space="preserve"> </w:t>
      </w:r>
      <w:r>
        <w:rPr>
          <w:rFonts w:hint="eastAsia" w:ascii="宋体" w:hAnsi="宋体" w:cs="宋体"/>
          <w:b/>
          <w:bCs w:val="0"/>
          <w:sz w:val="36"/>
          <w:highlight w:val="none"/>
          <w:u w:val="single"/>
          <w:lang w:val="en-US" w:eastAsia="zh-CN"/>
        </w:rPr>
        <w:t>9</w:t>
      </w:r>
      <w:r>
        <w:rPr>
          <w:rFonts w:hint="eastAsia" w:ascii="宋体" w:hAnsi="宋体" w:eastAsia="宋体" w:cs="宋体"/>
          <w:b/>
          <w:bCs w:val="0"/>
          <w:sz w:val="36"/>
          <w:highlight w:val="none"/>
          <w:u w:val="single"/>
          <w:lang w:val="en-US" w:eastAsia="zh-CN"/>
        </w:rPr>
        <w:t xml:space="preserve"> </w:t>
      </w:r>
      <w:r>
        <w:rPr>
          <w:rFonts w:hint="eastAsia" w:ascii="宋体" w:hAnsi="宋体" w:eastAsia="宋体" w:cs="宋体"/>
          <w:b/>
          <w:bCs w:val="0"/>
          <w:sz w:val="36"/>
          <w:highlight w:val="none"/>
          <w:lang w:val="en-US" w:eastAsia="zh-CN"/>
        </w:rPr>
        <w:t>月</w:t>
      </w:r>
    </w:p>
    <w:p w14:paraId="3E52D93D">
      <w:pPr>
        <w:tabs>
          <w:tab w:val="left" w:pos="4620"/>
        </w:tabs>
        <w:spacing w:line="440" w:lineRule="exact"/>
        <w:jc w:val="center"/>
        <w:rPr>
          <w:rFonts w:hint="eastAsia" w:eastAsia="幼圆"/>
          <w:bCs/>
          <w:sz w:val="36"/>
          <w:highlight w:val="none"/>
          <w:lang w:val="en-US" w:eastAsia="zh-CN"/>
        </w:rPr>
      </w:pPr>
    </w:p>
    <w:p w14:paraId="3744797D">
      <w:pPr>
        <w:tabs>
          <w:tab w:val="left" w:pos="4620"/>
        </w:tabs>
        <w:spacing w:line="440" w:lineRule="exact"/>
        <w:jc w:val="center"/>
        <w:rPr>
          <w:rFonts w:hint="eastAsia" w:eastAsia="幼圆"/>
          <w:bCs/>
          <w:sz w:val="36"/>
          <w:highlight w:val="none"/>
          <w:lang w:val="en-US" w:eastAsia="zh-CN"/>
        </w:rPr>
      </w:pPr>
    </w:p>
    <w:p w14:paraId="3FA67E0D">
      <w:pPr>
        <w:tabs>
          <w:tab w:val="left" w:pos="4620"/>
        </w:tabs>
        <w:spacing w:line="440" w:lineRule="exact"/>
        <w:jc w:val="center"/>
        <w:rPr>
          <w:rFonts w:hint="eastAsia" w:eastAsia="幼圆"/>
          <w:bCs/>
          <w:sz w:val="36"/>
          <w:highlight w:val="none"/>
          <w:lang w:val="en-US" w:eastAsia="zh-CN"/>
        </w:rPr>
      </w:pPr>
    </w:p>
    <w:bookmarkEnd w:id="0"/>
    <w:bookmarkEnd w:id="1"/>
    <w:p w14:paraId="1368302C">
      <w:pPr>
        <w:pStyle w:val="3"/>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color w:val="000000"/>
          <w:highlight w:val="none"/>
        </w:rPr>
      </w:pPr>
      <w:bookmarkStart w:id="2" w:name="_Hlt519045295"/>
      <w:bookmarkEnd w:id="2"/>
      <w:bookmarkStart w:id="3" w:name="_Hlt533241375"/>
      <w:bookmarkEnd w:id="3"/>
      <w:bookmarkStart w:id="4" w:name="_Hlt526418134"/>
      <w:bookmarkEnd w:id="4"/>
      <w:bookmarkStart w:id="5" w:name="_Toc273602339"/>
      <w:bookmarkStart w:id="6" w:name="_Toc328559326"/>
      <w:bookmarkStart w:id="7" w:name="_Toc245092759"/>
      <w:r>
        <w:rPr>
          <w:rFonts w:hint="eastAsia" w:ascii="宋体" w:hAnsi="宋体" w:eastAsia="宋体"/>
          <w:color w:val="000000"/>
          <w:highlight w:val="none"/>
        </w:rPr>
        <w:t xml:space="preserve">第一章 </w:t>
      </w:r>
      <w:bookmarkEnd w:id="5"/>
      <w:bookmarkEnd w:id="6"/>
      <w:bookmarkEnd w:id="7"/>
      <w:bookmarkStart w:id="537" w:name="_GoBack"/>
      <w:r>
        <w:rPr>
          <w:rFonts w:hint="eastAsia" w:ascii="宋体" w:hAnsi="宋体" w:eastAsia="宋体"/>
          <w:color w:val="000000"/>
          <w:highlight w:val="none"/>
          <w:lang w:val="en-US" w:eastAsia="zh-CN"/>
        </w:rPr>
        <w:t>采购</w:t>
      </w:r>
      <w:r>
        <w:rPr>
          <w:rFonts w:hint="eastAsia" w:ascii="宋体" w:hAnsi="宋体" w:eastAsia="宋体"/>
          <w:color w:val="000000"/>
          <w:highlight w:val="none"/>
        </w:rPr>
        <w:t>公告</w:t>
      </w:r>
    </w:p>
    <w:p w14:paraId="152DB51B">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000000"/>
          <w:sz w:val="24"/>
          <w:szCs w:val="18"/>
          <w:highlight w:val="none"/>
        </w:rPr>
        <w:t xml:space="preserve">  </w:t>
      </w:r>
      <w:r>
        <w:rPr>
          <w:rFonts w:hint="eastAsia" w:ascii="宋体" w:hAnsi="宋体"/>
          <w:color w:val="auto"/>
          <w:sz w:val="24"/>
          <w:szCs w:val="18"/>
          <w:highlight w:val="none"/>
          <w:lang w:eastAsia="zh-CN"/>
        </w:rPr>
        <w:t>合肥</w:t>
      </w:r>
      <w:r>
        <w:rPr>
          <w:rFonts w:hint="eastAsia" w:ascii="宋体" w:hAnsi="宋体"/>
          <w:color w:val="auto"/>
          <w:sz w:val="24"/>
          <w:szCs w:val="18"/>
          <w:highlight w:val="none"/>
          <w:lang w:val="en-US" w:eastAsia="zh-CN"/>
        </w:rPr>
        <w:t>罍街文化旅游发展有限公司</w:t>
      </w:r>
      <w:r>
        <w:rPr>
          <w:rFonts w:hint="eastAsia" w:ascii="宋体" w:hAnsi="宋体"/>
          <w:color w:val="auto"/>
          <w:sz w:val="24"/>
          <w:szCs w:val="18"/>
          <w:highlight w:val="none"/>
        </w:rPr>
        <w:t>拟对“</w:t>
      </w:r>
      <w:r>
        <w:rPr>
          <w:rFonts w:hint="eastAsia" w:ascii="宋体" w:hAnsi="宋体"/>
          <w:color w:val="auto"/>
          <w:kern w:val="0"/>
          <w:sz w:val="24"/>
          <w:highlight w:val="none"/>
          <w:u w:val="single"/>
          <w:lang w:val="en-US" w:eastAsia="zh-CN"/>
        </w:rPr>
        <w:t>罍街景观美陈提升工程</w:t>
      </w:r>
      <w:r>
        <w:rPr>
          <w:rFonts w:hint="eastAsia" w:ascii="宋体" w:hAnsi="宋体"/>
          <w:color w:val="auto"/>
          <w:sz w:val="24"/>
          <w:szCs w:val="18"/>
          <w:highlight w:val="none"/>
          <w:u w:val="single"/>
          <w:lang w:val="en-US" w:eastAsia="zh-CN"/>
        </w:rPr>
        <w:t xml:space="preserve"> </w:t>
      </w:r>
      <w:r>
        <w:rPr>
          <w:rFonts w:hint="eastAsia" w:ascii="宋体" w:hAnsi="宋体"/>
          <w:color w:val="auto"/>
          <w:sz w:val="24"/>
          <w:szCs w:val="18"/>
          <w:highlight w:val="none"/>
        </w:rPr>
        <w:t>”</w:t>
      </w:r>
      <w:r>
        <w:rPr>
          <w:rFonts w:hint="eastAsia" w:ascii="宋体" w:hAnsi="宋体"/>
          <w:color w:val="auto"/>
          <w:sz w:val="24"/>
          <w:szCs w:val="18"/>
          <w:highlight w:val="none"/>
          <w:lang w:eastAsia="zh-CN"/>
        </w:rPr>
        <w:t>（项目名称）</w:t>
      </w:r>
      <w:r>
        <w:rPr>
          <w:rFonts w:hint="eastAsia" w:ascii="宋体" w:hAnsi="宋体"/>
          <w:color w:val="auto"/>
          <w:sz w:val="24"/>
          <w:szCs w:val="18"/>
          <w:highlight w:val="none"/>
        </w:rPr>
        <w:t>项目进行国内公开招标，欢迎具备条件的国内投标人参加投标。</w:t>
      </w:r>
    </w:p>
    <w:p w14:paraId="4902CDD2">
      <w:pPr>
        <w:autoSpaceDE w:val="0"/>
        <w:autoSpaceDN w:val="0"/>
        <w:adjustRightInd w:val="0"/>
        <w:spacing w:before="120" w:beforeLines="50" w:line="360" w:lineRule="auto"/>
        <w:ind w:firstLine="200"/>
        <w:jc w:val="left"/>
        <w:rPr>
          <w:rFonts w:hint="eastAsia" w:ascii="宋体" w:hAnsi="宋体"/>
          <w:b/>
          <w:color w:val="auto"/>
          <w:kern w:val="0"/>
          <w:sz w:val="24"/>
          <w:highlight w:val="none"/>
          <w:lang w:val="zh-CN"/>
        </w:rPr>
      </w:pPr>
      <w:r>
        <w:rPr>
          <w:rFonts w:hint="eastAsia" w:ascii="宋体" w:hAnsi="宋体"/>
          <w:b/>
          <w:color w:val="auto"/>
          <w:kern w:val="0"/>
          <w:sz w:val="24"/>
          <w:highlight w:val="none"/>
          <w:lang w:val="zh-CN"/>
        </w:rPr>
        <w:t>一、项目名称及内容：</w:t>
      </w:r>
    </w:p>
    <w:p w14:paraId="5F810975">
      <w:pPr>
        <w:autoSpaceDE w:val="0"/>
        <w:autoSpaceDN w:val="0"/>
        <w:adjustRightInd w:val="0"/>
        <w:spacing w:line="360" w:lineRule="auto"/>
        <w:ind w:firstLine="200"/>
        <w:jc w:val="lef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zh-CN"/>
        </w:rPr>
        <w:t>1、项目编号：</w:t>
      </w:r>
      <w:r>
        <w:rPr>
          <w:rFonts w:hint="eastAsia" w:ascii="宋体" w:hAnsi="宋体"/>
          <w:color w:val="auto"/>
          <w:kern w:val="0"/>
          <w:sz w:val="24"/>
          <w:highlight w:val="none"/>
          <w:lang w:val="en-US" w:eastAsia="zh-CN"/>
        </w:rPr>
        <w:t>/</w:t>
      </w:r>
    </w:p>
    <w:p w14:paraId="4776FD21">
      <w:pPr>
        <w:autoSpaceDE w:val="0"/>
        <w:autoSpaceDN w:val="0"/>
        <w:adjustRightInd w:val="0"/>
        <w:spacing w:line="360" w:lineRule="auto"/>
        <w:ind w:firstLine="200"/>
        <w:jc w:val="left"/>
        <w:rPr>
          <w:rFonts w:hint="eastAsia" w:ascii="宋体" w:hAnsi="宋体"/>
          <w:color w:val="auto"/>
          <w:kern w:val="0"/>
          <w:sz w:val="24"/>
          <w:highlight w:val="none"/>
          <w:lang w:val="en-US" w:eastAsia="zh-CN"/>
        </w:rPr>
      </w:pPr>
      <w:r>
        <w:rPr>
          <w:rFonts w:hint="eastAsia" w:ascii="宋体" w:hAnsi="宋体"/>
          <w:color w:val="auto"/>
          <w:kern w:val="0"/>
          <w:sz w:val="24"/>
          <w:highlight w:val="none"/>
          <w:lang w:val="zh-CN"/>
        </w:rPr>
        <w:t>2、项目名称：</w:t>
      </w:r>
      <w:r>
        <w:rPr>
          <w:rFonts w:hint="eastAsia" w:ascii="宋体" w:hAnsi="宋体"/>
          <w:color w:val="auto"/>
          <w:kern w:val="0"/>
          <w:sz w:val="24"/>
          <w:highlight w:val="none"/>
          <w:lang w:val="en-US" w:eastAsia="zh-CN"/>
        </w:rPr>
        <w:t xml:space="preserve">罍街景观美陈提升工程 </w:t>
      </w:r>
    </w:p>
    <w:p w14:paraId="47ABFB3E">
      <w:pPr>
        <w:autoSpaceDE w:val="0"/>
        <w:autoSpaceDN w:val="0"/>
        <w:adjustRightInd w:val="0"/>
        <w:spacing w:line="360" w:lineRule="auto"/>
        <w:ind w:firstLine="200"/>
        <w:jc w:val="left"/>
        <w:rPr>
          <w:rFonts w:hint="default" w:ascii="宋体" w:hAnsi="宋体"/>
          <w:b w:val="0"/>
          <w:bCs/>
          <w:color w:val="auto"/>
          <w:sz w:val="24"/>
          <w:szCs w:val="18"/>
          <w:highlight w:val="none"/>
          <w:lang w:val="en-US" w:eastAsia="zh-CN"/>
        </w:rPr>
      </w:pPr>
      <w:r>
        <w:rPr>
          <w:rFonts w:hint="eastAsia" w:ascii="宋体" w:hAnsi="宋体"/>
          <w:b w:val="0"/>
          <w:bCs/>
          <w:color w:val="auto"/>
          <w:sz w:val="24"/>
          <w:szCs w:val="18"/>
          <w:highlight w:val="none"/>
          <w:lang w:val="en-US" w:eastAsia="zh-CN"/>
        </w:rPr>
        <w:t>3、项目地点：合肥市包河区罍街</w:t>
      </w:r>
    </w:p>
    <w:p w14:paraId="74E2911A">
      <w:pPr>
        <w:autoSpaceDE w:val="0"/>
        <w:autoSpaceDN w:val="0"/>
        <w:adjustRightInd w:val="0"/>
        <w:spacing w:line="360" w:lineRule="auto"/>
        <w:ind w:firstLine="200"/>
        <w:jc w:val="left"/>
        <w:rPr>
          <w:rFonts w:hint="default" w:ascii="宋体" w:hAnsi="宋体" w:eastAsia="宋体"/>
          <w:color w:val="auto"/>
          <w:sz w:val="24"/>
          <w:szCs w:val="18"/>
          <w:highlight w:val="none"/>
          <w:lang w:val="en-US" w:eastAsia="zh-CN"/>
        </w:rPr>
      </w:pPr>
      <w:r>
        <w:rPr>
          <w:rFonts w:hint="eastAsia" w:ascii="宋体" w:hAnsi="宋体"/>
          <w:color w:val="auto"/>
          <w:sz w:val="24"/>
          <w:szCs w:val="18"/>
          <w:highlight w:val="none"/>
          <w:lang w:val="en-US" w:eastAsia="zh-CN"/>
        </w:rPr>
        <w:t>4</w:t>
      </w:r>
      <w:r>
        <w:rPr>
          <w:rFonts w:hint="eastAsia" w:ascii="宋体" w:hAnsi="宋体"/>
          <w:color w:val="auto"/>
          <w:sz w:val="24"/>
          <w:szCs w:val="18"/>
          <w:highlight w:val="none"/>
        </w:rPr>
        <w:t>、招标</w:t>
      </w:r>
      <w:r>
        <w:rPr>
          <w:rFonts w:hint="eastAsia" w:ascii="宋体" w:hAnsi="宋体"/>
          <w:color w:val="auto"/>
          <w:sz w:val="24"/>
          <w:szCs w:val="18"/>
          <w:highlight w:val="none"/>
          <w:lang w:eastAsia="zh-CN"/>
        </w:rPr>
        <w:t>人</w:t>
      </w:r>
      <w:r>
        <w:rPr>
          <w:rFonts w:hint="eastAsia" w:ascii="宋体" w:hAnsi="宋体"/>
          <w:color w:val="auto"/>
          <w:sz w:val="24"/>
          <w:szCs w:val="18"/>
          <w:highlight w:val="none"/>
        </w:rPr>
        <w:t>：</w:t>
      </w:r>
      <w:r>
        <w:rPr>
          <w:rFonts w:hint="eastAsia" w:ascii="宋体" w:hAnsi="宋体"/>
          <w:color w:val="000000"/>
          <w:sz w:val="24"/>
          <w:szCs w:val="18"/>
          <w:highlight w:val="none"/>
        </w:rPr>
        <w:t>合肥</w:t>
      </w:r>
      <w:r>
        <w:rPr>
          <w:rFonts w:hint="eastAsia" w:ascii="宋体" w:hAnsi="宋体"/>
          <w:color w:val="000000"/>
          <w:sz w:val="24"/>
          <w:szCs w:val="18"/>
          <w:highlight w:val="none"/>
          <w:lang w:val="en-US" w:eastAsia="zh-CN"/>
        </w:rPr>
        <w:t>罍街文化旅游发展有限公司</w:t>
      </w:r>
    </w:p>
    <w:p w14:paraId="2DE152E7">
      <w:pPr>
        <w:autoSpaceDE w:val="0"/>
        <w:autoSpaceDN w:val="0"/>
        <w:adjustRightInd w:val="0"/>
        <w:spacing w:line="360" w:lineRule="auto"/>
        <w:ind w:firstLine="200"/>
        <w:jc w:val="left"/>
        <w:rPr>
          <w:rFonts w:hint="eastAsia" w:ascii="宋体" w:hAnsi="宋体"/>
          <w:color w:val="auto"/>
          <w:kern w:val="0"/>
          <w:sz w:val="24"/>
          <w:highlight w:val="none"/>
          <w:lang w:val="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rPr>
        <w:t>、项目业主：</w:t>
      </w:r>
      <w:r>
        <w:rPr>
          <w:rFonts w:hint="eastAsia" w:ascii="宋体" w:hAnsi="宋体"/>
          <w:color w:val="000000"/>
          <w:sz w:val="24"/>
          <w:szCs w:val="18"/>
          <w:highlight w:val="none"/>
        </w:rPr>
        <w:t>合肥</w:t>
      </w:r>
      <w:r>
        <w:rPr>
          <w:rFonts w:hint="eastAsia" w:ascii="宋体" w:hAnsi="宋体"/>
          <w:color w:val="000000"/>
          <w:sz w:val="24"/>
          <w:szCs w:val="18"/>
          <w:highlight w:val="none"/>
          <w:lang w:val="en-US" w:eastAsia="zh-CN"/>
        </w:rPr>
        <w:t>罍街文化旅游发展有限公司</w:t>
      </w:r>
    </w:p>
    <w:p w14:paraId="39D62EBD">
      <w:pPr>
        <w:autoSpaceDE w:val="0"/>
        <w:autoSpaceDN w:val="0"/>
        <w:adjustRightInd w:val="0"/>
        <w:spacing w:line="360" w:lineRule="auto"/>
        <w:ind w:firstLine="240" w:firstLineChars="100"/>
        <w:jc w:val="left"/>
        <w:rPr>
          <w:rFonts w:hint="eastAsia" w:ascii="宋体" w:hAnsi="宋体" w:eastAsia="宋体"/>
          <w:color w:val="auto"/>
          <w:sz w:val="24"/>
          <w:szCs w:val="18"/>
          <w:highlight w:val="none"/>
          <w:lang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val="zh-CN"/>
        </w:rPr>
        <w:t>、</w:t>
      </w:r>
      <w:r>
        <w:rPr>
          <w:rFonts w:hint="eastAsia" w:ascii="宋体" w:hAnsi="宋体"/>
          <w:color w:val="auto"/>
          <w:sz w:val="24"/>
          <w:szCs w:val="18"/>
          <w:highlight w:val="none"/>
        </w:rPr>
        <w:t>项目</w:t>
      </w:r>
      <w:r>
        <w:rPr>
          <w:rFonts w:hint="eastAsia" w:ascii="宋体" w:hAnsi="宋体"/>
          <w:color w:val="auto"/>
          <w:sz w:val="24"/>
          <w:szCs w:val="18"/>
          <w:highlight w:val="none"/>
          <w:lang w:eastAsia="zh-CN"/>
        </w:rPr>
        <w:t>概况</w:t>
      </w:r>
      <w:r>
        <w:rPr>
          <w:rFonts w:hint="eastAsia" w:ascii="宋体" w:hAnsi="宋体"/>
          <w:color w:val="auto"/>
          <w:sz w:val="24"/>
          <w:szCs w:val="18"/>
          <w:highlight w:val="none"/>
        </w:rPr>
        <w:t>：</w:t>
      </w:r>
      <w:r>
        <w:rPr>
          <w:rFonts w:hint="eastAsia" w:ascii="宋体" w:hAnsi="宋体"/>
          <w:color w:val="auto"/>
          <w:sz w:val="24"/>
          <w:szCs w:val="18"/>
          <w:highlight w:val="none"/>
          <w:lang w:eastAsia="zh-CN"/>
        </w:rPr>
        <w:t>本次招标为</w:t>
      </w:r>
      <w:r>
        <w:rPr>
          <w:rFonts w:hint="eastAsia" w:ascii="宋体" w:hAnsi="宋体"/>
          <w:color w:val="auto"/>
          <w:sz w:val="24"/>
          <w:szCs w:val="18"/>
          <w:highlight w:val="none"/>
          <w:lang w:val="en-US" w:eastAsia="zh-CN"/>
        </w:rPr>
        <w:t>罍街景观美陈提升工程，</w:t>
      </w:r>
      <w:r>
        <w:rPr>
          <w:rFonts w:hint="eastAsia" w:ascii="宋体" w:hAnsi="宋体" w:eastAsia="宋体" w:cs="宋体"/>
          <w:i w:val="0"/>
          <w:iCs w:val="0"/>
          <w:caps w:val="0"/>
          <w:color w:val="111111"/>
          <w:spacing w:val="0"/>
          <w:sz w:val="24"/>
          <w:szCs w:val="24"/>
        </w:rPr>
        <w:t>具体详见</w:t>
      </w:r>
      <w:r>
        <w:rPr>
          <w:rFonts w:hint="eastAsia" w:ascii="宋体" w:hAnsi="宋体" w:cs="宋体"/>
          <w:i w:val="0"/>
          <w:iCs w:val="0"/>
          <w:caps w:val="0"/>
          <w:color w:val="111111"/>
          <w:spacing w:val="0"/>
          <w:sz w:val="24"/>
          <w:szCs w:val="24"/>
          <w:lang w:eastAsia="zh-CN"/>
        </w:rPr>
        <w:t>采购文件</w:t>
      </w:r>
      <w:r>
        <w:rPr>
          <w:rFonts w:hint="eastAsia" w:ascii="宋体" w:hAnsi="宋体" w:eastAsia="宋体" w:cs="宋体"/>
          <w:i w:val="0"/>
          <w:iCs w:val="0"/>
          <w:caps w:val="0"/>
          <w:color w:val="111111"/>
          <w:spacing w:val="0"/>
          <w:sz w:val="24"/>
          <w:szCs w:val="24"/>
        </w:rPr>
        <w:t>（含答疑、</w:t>
      </w:r>
      <w:r>
        <w:rPr>
          <w:rFonts w:hint="eastAsia" w:ascii="宋体" w:hAnsi="宋体" w:cs="宋体"/>
          <w:i w:val="0"/>
          <w:iCs w:val="0"/>
          <w:caps w:val="0"/>
          <w:color w:val="111111"/>
          <w:spacing w:val="0"/>
          <w:sz w:val="24"/>
          <w:szCs w:val="24"/>
          <w:lang w:val="en-US" w:eastAsia="zh-CN"/>
        </w:rPr>
        <w:t>物料</w:t>
      </w:r>
      <w:r>
        <w:rPr>
          <w:rFonts w:hint="eastAsia" w:ascii="宋体" w:hAnsi="宋体" w:eastAsia="宋体" w:cs="宋体"/>
          <w:i w:val="0"/>
          <w:iCs w:val="0"/>
          <w:caps w:val="0"/>
          <w:color w:val="111111"/>
          <w:spacing w:val="0"/>
          <w:sz w:val="24"/>
          <w:szCs w:val="24"/>
        </w:rPr>
        <w:t>、</w:t>
      </w:r>
      <w:r>
        <w:rPr>
          <w:rFonts w:hint="eastAsia" w:ascii="宋体" w:hAnsi="宋体" w:cs="宋体"/>
          <w:i w:val="0"/>
          <w:iCs w:val="0"/>
          <w:caps w:val="0"/>
          <w:color w:val="111111"/>
          <w:spacing w:val="0"/>
          <w:sz w:val="24"/>
          <w:szCs w:val="24"/>
          <w:lang w:val="en-US" w:eastAsia="zh-CN"/>
        </w:rPr>
        <w:t>提升、清单</w:t>
      </w:r>
      <w:r>
        <w:rPr>
          <w:rFonts w:hint="eastAsia" w:ascii="宋体" w:hAnsi="宋体" w:eastAsia="宋体" w:cs="宋体"/>
          <w:i w:val="0"/>
          <w:iCs w:val="0"/>
          <w:caps w:val="0"/>
          <w:color w:val="111111"/>
          <w:spacing w:val="0"/>
          <w:sz w:val="24"/>
          <w:szCs w:val="24"/>
        </w:rPr>
        <w:t>文件）、图纸及工程量清单。</w:t>
      </w:r>
    </w:p>
    <w:p w14:paraId="75477B7B">
      <w:pPr>
        <w:autoSpaceDE w:val="0"/>
        <w:autoSpaceDN w:val="0"/>
        <w:adjustRightInd w:val="0"/>
        <w:spacing w:line="360" w:lineRule="auto"/>
        <w:ind w:left="210" w:leftChars="100"/>
        <w:jc w:val="left"/>
        <w:rPr>
          <w:rFonts w:hint="default" w:ascii="宋体" w:hAnsi="宋体"/>
          <w:color w:val="auto"/>
          <w:sz w:val="24"/>
          <w:szCs w:val="18"/>
          <w:highlight w:val="none"/>
          <w:lang w:val="en-US" w:eastAsia="zh-CN"/>
        </w:rPr>
      </w:pPr>
      <w:r>
        <w:rPr>
          <w:rFonts w:hint="eastAsia" w:ascii="宋体" w:hAnsi="宋体"/>
          <w:color w:val="auto"/>
          <w:sz w:val="24"/>
          <w:szCs w:val="18"/>
          <w:highlight w:val="none"/>
          <w:lang w:val="en-US" w:eastAsia="zh-CN"/>
        </w:rPr>
        <w:t>7、项目概算：18.7万元</w:t>
      </w:r>
    </w:p>
    <w:p w14:paraId="003370DB">
      <w:pPr>
        <w:autoSpaceDE w:val="0"/>
        <w:autoSpaceDN w:val="0"/>
        <w:adjustRightInd w:val="0"/>
        <w:spacing w:line="360" w:lineRule="auto"/>
        <w:ind w:left="210" w:left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8、项目类别：工程施工类</w:t>
      </w:r>
    </w:p>
    <w:p w14:paraId="23E44AF0">
      <w:pPr>
        <w:autoSpaceDE w:val="0"/>
        <w:autoSpaceDN w:val="0"/>
        <w:adjustRightInd w:val="0"/>
        <w:spacing w:line="360" w:lineRule="auto"/>
        <w:ind w:left="210" w:leftChars="100"/>
        <w:jc w:val="left"/>
        <w:rPr>
          <w:rFonts w:hint="default" w:ascii="宋体" w:hAnsi="宋体"/>
          <w:color w:val="auto"/>
          <w:sz w:val="24"/>
          <w:szCs w:val="18"/>
          <w:highlight w:val="none"/>
          <w:u w:val="none"/>
          <w:lang w:val="en-US" w:eastAsia="zh-CN"/>
        </w:rPr>
      </w:pPr>
      <w:r>
        <w:rPr>
          <w:rFonts w:hint="eastAsia" w:ascii="宋体" w:hAnsi="宋体"/>
          <w:color w:val="auto"/>
          <w:sz w:val="24"/>
          <w:szCs w:val="18"/>
          <w:highlight w:val="none"/>
          <w:lang w:val="en-US" w:eastAsia="zh-CN"/>
        </w:rPr>
        <w:t>9、标段划分：本项目共划分</w:t>
      </w:r>
      <w:r>
        <w:rPr>
          <w:rFonts w:hint="eastAsia" w:ascii="宋体" w:hAnsi="宋体"/>
          <w:color w:val="auto"/>
          <w:sz w:val="24"/>
          <w:szCs w:val="18"/>
          <w:highlight w:val="none"/>
          <w:u w:val="single"/>
          <w:lang w:val="en-US" w:eastAsia="zh-CN"/>
        </w:rPr>
        <w:t>1</w:t>
      </w:r>
      <w:r>
        <w:rPr>
          <w:rFonts w:hint="eastAsia" w:ascii="宋体" w:hAnsi="宋体"/>
          <w:color w:val="auto"/>
          <w:sz w:val="24"/>
          <w:szCs w:val="18"/>
          <w:highlight w:val="none"/>
          <w:u w:val="none"/>
          <w:lang w:val="en-US" w:eastAsia="zh-CN"/>
        </w:rPr>
        <w:t>个标段</w:t>
      </w:r>
    </w:p>
    <w:p w14:paraId="240961AC">
      <w:pPr>
        <w:autoSpaceDE w:val="0"/>
        <w:autoSpaceDN w:val="0"/>
        <w:adjustRightInd w:val="0"/>
        <w:spacing w:line="360" w:lineRule="auto"/>
        <w:ind w:firstLine="200"/>
        <w:jc w:val="left"/>
        <w:outlineLvl w:val="1"/>
        <w:rPr>
          <w:rFonts w:hint="default" w:ascii="宋体" w:hAnsi="宋体" w:eastAsia="宋体"/>
          <w:b/>
          <w:bCs/>
          <w:sz w:val="24"/>
          <w:szCs w:val="24"/>
          <w:lang w:val="en-US" w:eastAsia="zh-CN"/>
        </w:rPr>
      </w:pPr>
      <w:r>
        <w:rPr>
          <w:rFonts w:hint="eastAsia" w:ascii="宋体" w:hAnsi="宋体"/>
          <w:b/>
          <w:bCs/>
          <w:sz w:val="24"/>
          <w:szCs w:val="24"/>
        </w:rPr>
        <w:t>二、投标人资格</w:t>
      </w:r>
      <w:r>
        <w:rPr>
          <w:rFonts w:hint="eastAsia" w:ascii="宋体" w:hAnsi="宋体"/>
          <w:b/>
          <w:bCs/>
          <w:sz w:val="24"/>
          <w:szCs w:val="24"/>
          <w:lang w:val="en-US" w:eastAsia="zh-CN"/>
        </w:rPr>
        <w:t xml:space="preserve">条件 </w:t>
      </w:r>
    </w:p>
    <w:p w14:paraId="652D3B46">
      <w:pPr>
        <w:autoSpaceDE w:val="0"/>
        <w:autoSpaceDN w:val="0"/>
        <w:adjustRightInd w:val="0"/>
        <w:spacing w:line="360" w:lineRule="auto"/>
        <w:ind w:firstLine="200"/>
        <w:jc w:val="left"/>
        <w:outlineLvl w:val="2"/>
        <w:rPr>
          <w:rFonts w:hint="default" w:ascii="宋体" w:hAnsi="宋体"/>
          <w:sz w:val="24"/>
          <w:szCs w:val="24"/>
          <w:lang w:val="en-US" w:eastAsia="zh-CN"/>
        </w:rPr>
      </w:pPr>
      <w:r>
        <w:rPr>
          <w:rFonts w:hint="eastAsia" w:ascii="宋体" w:hAnsi="宋体"/>
          <w:sz w:val="24"/>
          <w:szCs w:val="24"/>
        </w:rPr>
        <w:t>1.</w:t>
      </w:r>
      <w:r>
        <w:rPr>
          <w:rFonts w:hint="eastAsia" w:ascii="宋体" w:hAnsi="宋体"/>
          <w:sz w:val="24"/>
          <w:szCs w:val="24"/>
          <w:lang w:eastAsia="zh-CN"/>
        </w:rPr>
        <w:t>投标人须具有独立承担民事责任的能力，</w:t>
      </w:r>
      <w:r>
        <w:rPr>
          <w:rFonts w:hint="eastAsia" w:ascii="宋体" w:hAnsi="宋体"/>
          <w:sz w:val="24"/>
          <w:szCs w:val="24"/>
          <w:lang w:val="en-US" w:eastAsia="zh-CN"/>
        </w:rPr>
        <w:t>具有有效的营业执照。</w:t>
      </w:r>
    </w:p>
    <w:p w14:paraId="1E0E71BC">
      <w:pPr>
        <w:autoSpaceDE w:val="0"/>
        <w:autoSpaceDN w:val="0"/>
        <w:adjustRightInd w:val="0"/>
        <w:spacing w:line="360" w:lineRule="auto"/>
        <w:ind w:firstLine="200"/>
        <w:jc w:val="left"/>
        <w:rPr>
          <w:rFonts w:hint="default" w:ascii="宋体" w:hAnsi="宋体"/>
          <w:sz w:val="24"/>
          <w:szCs w:val="24"/>
          <w:lang w:val="en-US" w:eastAsia="zh-CN"/>
        </w:rPr>
      </w:pPr>
      <w:r>
        <w:rPr>
          <w:rFonts w:hint="eastAsia" w:ascii="宋体" w:hAnsi="宋体"/>
          <w:sz w:val="24"/>
          <w:szCs w:val="24"/>
        </w:rPr>
        <w:t>2.</w:t>
      </w:r>
      <w:r>
        <w:rPr>
          <w:rFonts w:hint="eastAsia" w:ascii="宋体" w:hAnsi="宋体"/>
          <w:sz w:val="24"/>
          <w:szCs w:val="24"/>
          <w:lang w:eastAsia="zh-CN"/>
        </w:rPr>
        <w:t>投标人业绩：</w:t>
      </w:r>
      <w:r>
        <w:rPr>
          <w:rFonts w:hint="eastAsia" w:ascii="宋体" w:hAnsi="宋体"/>
          <w:sz w:val="24"/>
          <w:szCs w:val="24"/>
          <w:lang w:val="en-US" w:eastAsia="zh-CN"/>
        </w:rPr>
        <w:t>无</w:t>
      </w:r>
    </w:p>
    <w:p w14:paraId="009C4E14">
      <w:pPr>
        <w:autoSpaceDE w:val="0"/>
        <w:autoSpaceDN w:val="0"/>
        <w:adjustRightInd w:val="0"/>
        <w:spacing w:line="360" w:lineRule="auto"/>
        <w:ind w:firstLine="20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.本项目</w:t>
      </w:r>
      <w:r>
        <w:rPr>
          <w:rFonts w:hint="eastAsia" w:ascii="宋体" w:hAnsi="宋体"/>
          <w:sz w:val="24"/>
          <w:szCs w:val="24"/>
          <w:u w:val="none"/>
          <w:lang w:val="en-US" w:eastAsia="zh-CN"/>
        </w:rPr>
        <w:t>不</w:t>
      </w:r>
      <w:r>
        <w:rPr>
          <w:rFonts w:hint="eastAsia" w:ascii="宋体" w:hAnsi="宋体"/>
          <w:sz w:val="24"/>
          <w:szCs w:val="24"/>
        </w:rPr>
        <w:t>接受联合体投标</w:t>
      </w:r>
    </w:p>
    <w:p w14:paraId="3899D665">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cs="Arial"/>
          <w:i w:val="0"/>
          <w:iCs w:val="0"/>
          <w:caps w:val="0"/>
          <w:color w:val="111111"/>
          <w:spacing w:val="0"/>
          <w:sz w:val="27"/>
          <w:szCs w:val="27"/>
        </w:rPr>
      </w:pPr>
      <w:r>
        <w:rPr>
          <w:rFonts w:hint="eastAsia" w:ascii="宋体" w:hAnsi="宋体" w:eastAsia="宋体" w:cs="宋体"/>
          <w:i w:val="0"/>
          <w:iCs w:val="0"/>
          <w:caps w:val="0"/>
          <w:color w:val="111111"/>
          <w:spacing w:val="0"/>
          <w:sz w:val="24"/>
          <w:szCs w:val="24"/>
        </w:rPr>
        <w:t>4.投标人存在以下不良信用记录情形之一的，不得推荐为中标候选人，不得确定为中标人：</w:t>
      </w:r>
    </w:p>
    <w:p w14:paraId="6B5205DD">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1）投标人被人民法院列入失信被执行人的；</w:t>
      </w:r>
    </w:p>
    <w:p w14:paraId="6A7C620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 xml:space="preserve">2）投标人或其法定代表人被人民检察院列入行贿犯罪档案的； </w:t>
      </w:r>
    </w:p>
    <w:p w14:paraId="2CBA1DD6">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3）投标人被工商行政管理部门列入企业经营异常名录的；</w:t>
      </w:r>
    </w:p>
    <w:p w14:paraId="747EA17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4）投标人被税务部门列入重大税收违法案件当事人名单的；</w:t>
      </w:r>
    </w:p>
    <w:p w14:paraId="0232289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18"/>
          <w:highlight w:val="none"/>
        </w:rPr>
        <w:t>5）投标人被合肥市人社部门列入拖欠农民工工资黑名单的；</w:t>
      </w:r>
    </w:p>
    <w:p w14:paraId="678DDB9A">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6) 投标人被合肥市城乡建设局因安全生产责任事故限制在合肥行政区域内承接新的工程项目且在限制期内的。</w:t>
      </w:r>
    </w:p>
    <w:p w14:paraId="1DE9E5AF">
      <w:pPr>
        <w:autoSpaceDE w:val="0"/>
        <w:autoSpaceDN w:val="0"/>
        <w:adjustRightInd w:val="0"/>
        <w:spacing w:line="360" w:lineRule="auto"/>
        <w:ind w:firstLine="200"/>
        <w:jc w:val="left"/>
        <w:rPr>
          <w:rFonts w:ascii="宋体" w:hAnsi="宋体"/>
          <w:b/>
          <w:bCs/>
          <w:sz w:val="24"/>
          <w:szCs w:val="24"/>
          <w:highlight w:val="none"/>
        </w:rPr>
      </w:pPr>
      <w:r>
        <w:rPr>
          <w:rFonts w:hint="eastAsia" w:ascii="宋体" w:hAnsi="宋体"/>
          <w:b/>
          <w:bCs/>
          <w:sz w:val="24"/>
          <w:szCs w:val="24"/>
          <w:highlight w:val="none"/>
        </w:rPr>
        <w:t>三、</w:t>
      </w:r>
      <w:r>
        <w:rPr>
          <w:rFonts w:hint="eastAsia" w:ascii="宋体" w:hAnsi="宋体"/>
          <w:b/>
          <w:bCs/>
          <w:sz w:val="24"/>
          <w:szCs w:val="24"/>
          <w:highlight w:val="none"/>
          <w:lang w:eastAsia="zh-CN"/>
        </w:rPr>
        <w:t>采购文件</w:t>
      </w:r>
      <w:r>
        <w:rPr>
          <w:rFonts w:hint="eastAsia" w:ascii="宋体" w:hAnsi="宋体"/>
          <w:b/>
          <w:bCs/>
          <w:sz w:val="24"/>
          <w:szCs w:val="24"/>
          <w:highlight w:val="none"/>
        </w:rPr>
        <w:t>的获取及</w:t>
      </w:r>
      <w:r>
        <w:rPr>
          <w:rFonts w:hint="eastAsia" w:ascii="宋体" w:hAnsi="宋体"/>
          <w:b/>
          <w:bCs/>
          <w:sz w:val="24"/>
          <w:szCs w:val="24"/>
          <w:highlight w:val="none"/>
          <w:lang w:eastAsia="zh-CN"/>
        </w:rPr>
        <w:t>采购文件</w:t>
      </w:r>
      <w:r>
        <w:rPr>
          <w:rFonts w:hint="eastAsia" w:ascii="宋体" w:hAnsi="宋体"/>
          <w:b/>
          <w:bCs/>
          <w:sz w:val="24"/>
          <w:szCs w:val="24"/>
          <w:highlight w:val="none"/>
        </w:rPr>
        <w:t>发售办法</w:t>
      </w:r>
    </w:p>
    <w:p w14:paraId="0AD0B472">
      <w:pPr>
        <w:autoSpaceDE w:val="0"/>
        <w:autoSpaceDN w:val="0"/>
        <w:adjustRightInd w:val="0"/>
        <w:spacing w:line="360" w:lineRule="auto"/>
        <w:ind w:firstLine="200"/>
        <w:jc w:val="left"/>
        <w:rPr>
          <w:rFonts w:ascii="宋体" w:hAnsi="宋体"/>
          <w:bCs/>
          <w:color w:val="auto"/>
          <w:sz w:val="24"/>
          <w:szCs w:val="24"/>
          <w:highlight w:val="none"/>
        </w:rPr>
      </w:pPr>
      <w:r>
        <w:rPr>
          <w:rFonts w:hint="eastAsia" w:ascii="宋体" w:hAnsi="宋体"/>
          <w:bCs/>
          <w:sz w:val="24"/>
          <w:szCs w:val="24"/>
          <w:highlight w:val="none"/>
        </w:rPr>
        <w:t>1.获取时间：</w:t>
      </w:r>
      <w:r>
        <w:rPr>
          <w:rFonts w:hint="eastAsia" w:ascii="宋体" w:hAnsi="宋体"/>
          <w:bCs/>
          <w:color w:val="auto"/>
          <w:sz w:val="24"/>
          <w:szCs w:val="24"/>
          <w:highlight w:val="none"/>
          <w:u w:val="single"/>
        </w:rPr>
        <w:t>自本公告发布之日至投标截止时间</w:t>
      </w:r>
    </w:p>
    <w:p w14:paraId="17BA4B24">
      <w:pPr>
        <w:autoSpaceDE w:val="0"/>
        <w:autoSpaceDN w:val="0"/>
        <w:adjustRightInd w:val="0"/>
        <w:spacing w:line="360" w:lineRule="auto"/>
        <w:ind w:firstLine="200"/>
        <w:jc w:val="left"/>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.获取方式：潜在投标人须登录</w:t>
      </w:r>
      <w:r>
        <w:rPr>
          <w:rFonts w:hint="eastAsia" w:ascii="宋体" w:hAnsi="宋体"/>
          <w:bCs/>
          <w:sz w:val="24"/>
          <w:szCs w:val="24"/>
          <w:highlight w:val="none"/>
          <w:lang w:eastAsia="zh-CN"/>
        </w:rPr>
        <w:t>合肥滨湖投资控股集团有限公司官网自行下载采购文件</w:t>
      </w:r>
      <w:r>
        <w:rPr>
          <w:rFonts w:hint="eastAsia" w:ascii="宋体" w:hAnsi="宋体"/>
          <w:bCs/>
          <w:sz w:val="24"/>
          <w:szCs w:val="24"/>
          <w:highlight w:val="none"/>
        </w:rPr>
        <w:t>。</w:t>
      </w:r>
    </w:p>
    <w:p w14:paraId="41998DD5">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四</w:t>
      </w:r>
      <w:r>
        <w:rPr>
          <w:rFonts w:hint="eastAsia" w:ascii="宋体" w:hAnsi="宋体"/>
          <w:b/>
          <w:bCs/>
          <w:sz w:val="24"/>
          <w:szCs w:val="18"/>
          <w:highlight w:val="none"/>
        </w:rPr>
        <w:t>、开标时间及地点</w:t>
      </w:r>
    </w:p>
    <w:p w14:paraId="3204E82A">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bCs/>
          <w:sz w:val="24"/>
          <w:szCs w:val="18"/>
          <w:highlight w:val="none"/>
        </w:rPr>
        <w:t>1.开标时间：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12 </w:t>
      </w:r>
      <w:r>
        <w:rPr>
          <w:rFonts w:hint="eastAsia" w:ascii="宋体" w:hAnsi="宋体"/>
          <w:bCs/>
          <w:sz w:val="24"/>
          <w:highlight w:val="none"/>
        </w:rPr>
        <w:t>日</w:t>
      </w:r>
      <w:r>
        <w:rPr>
          <w:rFonts w:hint="eastAsia" w:ascii="宋体" w:hAnsi="宋体"/>
          <w:bCs/>
          <w:sz w:val="24"/>
          <w:highlight w:val="none"/>
          <w:u w:val="single"/>
          <w:lang w:val="en-US" w:eastAsia="zh-CN"/>
        </w:rPr>
        <w:t xml:space="preserve"> 9 </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30</w:t>
      </w:r>
    </w:p>
    <w:p w14:paraId="1FD984EE">
      <w:pPr>
        <w:autoSpaceDE w:val="0"/>
        <w:autoSpaceDN w:val="0"/>
        <w:adjustRightInd w:val="0"/>
        <w:spacing w:line="360" w:lineRule="auto"/>
        <w:ind w:firstLine="200"/>
        <w:jc w:val="left"/>
        <w:rPr>
          <w:rFonts w:hint="default" w:ascii="宋体" w:hAnsi="宋体"/>
          <w:bCs/>
          <w:sz w:val="24"/>
          <w:szCs w:val="18"/>
          <w:highlight w:val="none"/>
          <w:lang w:val="en-US"/>
        </w:rPr>
      </w:pPr>
      <w:r>
        <w:rPr>
          <w:rFonts w:hint="eastAsia" w:ascii="宋体" w:hAnsi="宋体"/>
          <w:bCs/>
          <w:sz w:val="24"/>
          <w:szCs w:val="18"/>
          <w:highlight w:val="none"/>
        </w:rPr>
        <w:t>2.开标地点：</w:t>
      </w:r>
      <w:r>
        <w:rPr>
          <w:rFonts w:hint="eastAsia" w:ascii="宋体" w:hAnsi="宋体" w:eastAsia="宋体" w:cs="宋体"/>
          <w:i w:val="0"/>
          <w:iCs w:val="0"/>
          <w:caps w:val="0"/>
          <w:color w:val="111111"/>
          <w:spacing w:val="0"/>
          <w:sz w:val="24"/>
          <w:szCs w:val="24"/>
        </w:rPr>
        <w:t>合肥市包河区</w:t>
      </w:r>
      <w:r>
        <w:rPr>
          <w:rFonts w:hint="eastAsia" w:ascii="宋体" w:hAnsi="宋体" w:cs="宋体"/>
          <w:i w:val="0"/>
          <w:iCs w:val="0"/>
          <w:caps w:val="0"/>
          <w:color w:val="111111"/>
          <w:spacing w:val="0"/>
          <w:sz w:val="24"/>
          <w:szCs w:val="24"/>
          <w:lang w:val="en-US" w:eastAsia="zh-CN"/>
        </w:rPr>
        <w:t>罍街二期14栋六楼 罍街运营办公室</w:t>
      </w:r>
      <w:r>
        <w:rPr>
          <w:rFonts w:hint="eastAsia" w:ascii="宋体" w:hAnsi="宋体" w:eastAsia="宋体" w:cs="宋体"/>
          <w:color w:val="auto"/>
          <w:kern w:val="0"/>
          <w:sz w:val="24"/>
          <w:szCs w:val="24"/>
          <w:highlight w:val="none"/>
          <w:lang w:val="zh-CN"/>
        </w:rPr>
        <w:t xml:space="preserve">       </w:t>
      </w:r>
    </w:p>
    <w:p w14:paraId="273066C1">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五</w:t>
      </w:r>
      <w:r>
        <w:rPr>
          <w:rFonts w:hint="eastAsia" w:ascii="宋体" w:hAnsi="宋体"/>
          <w:b/>
          <w:bCs/>
          <w:sz w:val="24"/>
          <w:szCs w:val="18"/>
          <w:highlight w:val="none"/>
        </w:rPr>
        <w:t>、投标截止时间</w:t>
      </w:r>
    </w:p>
    <w:p w14:paraId="4CE06610">
      <w:pPr>
        <w:autoSpaceDE w:val="0"/>
        <w:autoSpaceDN w:val="0"/>
        <w:adjustRightInd w:val="0"/>
        <w:spacing w:line="360" w:lineRule="auto"/>
        <w:ind w:firstLine="200"/>
        <w:jc w:val="left"/>
        <w:rPr>
          <w:rFonts w:hint="eastAsia" w:ascii="宋体" w:hAnsi="宋体"/>
          <w:bCs/>
          <w:sz w:val="24"/>
          <w:highlight w:val="none"/>
          <w:u w:val="single"/>
          <w:lang w:val="en-US" w:eastAsia="zh-CN"/>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12 </w:t>
      </w:r>
      <w:r>
        <w:rPr>
          <w:rFonts w:hint="eastAsia" w:ascii="宋体" w:hAnsi="宋体"/>
          <w:bCs/>
          <w:sz w:val="24"/>
          <w:highlight w:val="none"/>
        </w:rPr>
        <w:t>日</w:t>
      </w:r>
      <w:r>
        <w:rPr>
          <w:rFonts w:hint="eastAsia" w:ascii="宋体" w:hAnsi="宋体"/>
          <w:bCs/>
          <w:sz w:val="24"/>
          <w:highlight w:val="none"/>
          <w:u w:val="single"/>
          <w:lang w:val="en-US" w:eastAsia="zh-CN"/>
        </w:rPr>
        <w:t xml:space="preserve"> 9 </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30</w:t>
      </w:r>
    </w:p>
    <w:p w14:paraId="1F9F8E86">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六</w:t>
      </w:r>
      <w:r>
        <w:rPr>
          <w:rFonts w:hint="eastAsia" w:ascii="宋体" w:hAnsi="宋体"/>
          <w:b/>
          <w:bCs/>
          <w:sz w:val="24"/>
          <w:szCs w:val="18"/>
          <w:highlight w:val="none"/>
        </w:rPr>
        <w:t>、联系方法</w:t>
      </w:r>
    </w:p>
    <w:p w14:paraId="1822469B">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ascii="Arial" w:hAnsi="Arial" w:cs="Arial"/>
          <w:i w:val="0"/>
          <w:iCs w:val="0"/>
          <w:caps w:val="0"/>
          <w:color w:val="111111"/>
          <w:spacing w:val="0"/>
          <w:sz w:val="27"/>
          <w:szCs w:val="27"/>
        </w:rPr>
      </w:pPr>
      <w:r>
        <w:rPr>
          <w:rFonts w:hint="eastAsia" w:ascii="宋体" w:hAnsi="宋体" w:eastAsia="宋体" w:cs="宋体"/>
          <w:i w:val="0"/>
          <w:iCs w:val="0"/>
          <w:caps w:val="0"/>
          <w:color w:val="111111"/>
          <w:spacing w:val="0"/>
          <w:sz w:val="24"/>
          <w:szCs w:val="24"/>
        </w:rPr>
        <w:t>招标单位：</w:t>
      </w:r>
      <w:r>
        <w:rPr>
          <w:rFonts w:hint="eastAsia" w:ascii="宋体" w:hAnsi="宋体" w:eastAsia="宋体" w:cs="宋体"/>
          <w:i w:val="0"/>
          <w:iCs w:val="0"/>
          <w:caps w:val="0"/>
          <w:color w:val="000000"/>
          <w:spacing w:val="0"/>
          <w:sz w:val="24"/>
          <w:szCs w:val="24"/>
        </w:rPr>
        <w:t>合肥罍街文化旅游发展有限公司</w:t>
      </w:r>
    </w:p>
    <w:p w14:paraId="4FF82380">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eastAsia="宋体" w:cs="Arial"/>
          <w:i w:val="0"/>
          <w:iCs w:val="0"/>
          <w:caps w:val="0"/>
          <w:color w:val="111111"/>
          <w:spacing w:val="0"/>
          <w:sz w:val="27"/>
          <w:szCs w:val="27"/>
          <w:lang w:val="en-US" w:eastAsia="zh-CN"/>
        </w:rPr>
      </w:pPr>
      <w:r>
        <w:rPr>
          <w:rFonts w:hint="eastAsia" w:ascii="宋体" w:hAnsi="宋体" w:eastAsia="宋体" w:cs="宋体"/>
          <w:i w:val="0"/>
          <w:iCs w:val="0"/>
          <w:caps w:val="0"/>
          <w:color w:val="111111"/>
          <w:spacing w:val="0"/>
          <w:sz w:val="24"/>
          <w:szCs w:val="24"/>
        </w:rPr>
        <w:t>地址：合肥市包河区</w:t>
      </w:r>
      <w:r>
        <w:rPr>
          <w:rFonts w:hint="eastAsia" w:ascii="宋体" w:hAnsi="宋体" w:cs="宋体"/>
          <w:i w:val="0"/>
          <w:iCs w:val="0"/>
          <w:caps w:val="0"/>
          <w:color w:val="111111"/>
          <w:spacing w:val="0"/>
          <w:sz w:val="24"/>
          <w:szCs w:val="24"/>
          <w:lang w:val="en-US" w:eastAsia="zh-CN"/>
        </w:rPr>
        <w:t>罍街二期14栋六楼 罍街运营办公室</w:t>
      </w:r>
    </w:p>
    <w:p w14:paraId="7BF28E9B">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cs="Arial"/>
          <w:i w:val="0"/>
          <w:iCs w:val="0"/>
          <w:caps w:val="0"/>
          <w:color w:val="111111"/>
          <w:spacing w:val="0"/>
          <w:sz w:val="27"/>
          <w:szCs w:val="27"/>
          <w:lang w:val="en-US"/>
        </w:rPr>
      </w:pPr>
      <w:r>
        <w:rPr>
          <w:rFonts w:hint="eastAsia" w:ascii="宋体" w:hAnsi="宋体" w:eastAsia="宋体" w:cs="宋体"/>
          <w:i w:val="0"/>
          <w:iCs w:val="0"/>
          <w:caps w:val="0"/>
          <w:color w:val="111111"/>
          <w:spacing w:val="0"/>
          <w:sz w:val="24"/>
          <w:szCs w:val="24"/>
        </w:rPr>
        <w:t>联系人：</w:t>
      </w:r>
      <w:r>
        <w:rPr>
          <w:rFonts w:hint="eastAsia" w:cs="宋体"/>
          <w:i w:val="0"/>
          <w:iCs w:val="0"/>
          <w:caps w:val="0"/>
          <w:color w:val="111111"/>
          <w:spacing w:val="0"/>
          <w:sz w:val="24"/>
          <w:szCs w:val="24"/>
          <w:lang w:val="en-US" w:eastAsia="zh-CN"/>
        </w:rPr>
        <w:t>李工</w:t>
      </w:r>
    </w:p>
    <w:p w14:paraId="6067748E">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eastAsia="宋体" w:cs="Arial"/>
          <w:i w:val="0"/>
          <w:iCs w:val="0"/>
          <w:caps w:val="0"/>
          <w:color w:val="111111"/>
          <w:spacing w:val="0"/>
          <w:sz w:val="27"/>
          <w:szCs w:val="27"/>
          <w:lang w:val="en-US" w:eastAsia="zh-CN"/>
        </w:rPr>
      </w:pPr>
      <w:r>
        <w:rPr>
          <w:rFonts w:hint="eastAsia" w:ascii="宋体" w:hAnsi="宋体" w:eastAsia="宋体" w:cs="宋体"/>
          <w:i w:val="0"/>
          <w:iCs w:val="0"/>
          <w:caps w:val="0"/>
          <w:color w:val="111111"/>
          <w:spacing w:val="0"/>
          <w:sz w:val="24"/>
          <w:szCs w:val="24"/>
        </w:rPr>
        <w:t>电话：</w:t>
      </w:r>
      <w:r>
        <w:rPr>
          <w:rFonts w:hint="eastAsia" w:cs="宋体"/>
          <w:i w:val="0"/>
          <w:iCs w:val="0"/>
          <w:caps w:val="0"/>
          <w:color w:val="111111"/>
          <w:spacing w:val="0"/>
          <w:sz w:val="24"/>
          <w:szCs w:val="24"/>
          <w:lang w:val="en-US" w:eastAsia="zh-CN"/>
        </w:rPr>
        <w:t>13665585814</w:t>
      </w:r>
    </w:p>
    <w:p w14:paraId="72695006">
      <w:pPr>
        <w:autoSpaceDE w:val="0"/>
        <w:autoSpaceDN w:val="0"/>
        <w:adjustRightInd w:val="0"/>
        <w:spacing w:line="360" w:lineRule="auto"/>
        <w:jc w:val="left"/>
        <w:rPr>
          <w:rFonts w:hint="eastAsia" w:ascii="宋体" w:hAnsi="宋体"/>
          <w:kern w:val="0"/>
          <w:sz w:val="24"/>
          <w:highlight w:val="none"/>
          <w:lang w:val="zh-CN"/>
        </w:rPr>
      </w:pPr>
    </w:p>
    <w:p w14:paraId="7CE89A70">
      <w:pPr>
        <w:autoSpaceDE w:val="0"/>
        <w:autoSpaceDN w:val="0"/>
        <w:adjustRightInd w:val="0"/>
        <w:spacing w:line="360" w:lineRule="auto"/>
        <w:jc w:val="left"/>
        <w:rPr>
          <w:rFonts w:hint="eastAsia" w:ascii="宋体" w:hAnsi="宋体"/>
          <w:kern w:val="0"/>
          <w:sz w:val="24"/>
          <w:highlight w:val="none"/>
          <w:lang w:val="zh-CN"/>
        </w:rPr>
      </w:pPr>
    </w:p>
    <w:bookmarkEnd w:id="537"/>
    <w:p w14:paraId="66BE3F45">
      <w:pPr>
        <w:autoSpaceDE w:val="0"/>
        <w:autoSpaceDN w:val="0"/>
        <w:adjustRightInd w:val="0"/>
        <w:spacing w:line="360" w:lineRule="auto"/>
        <w:jc w:val="left"/>
        <w:rPr>
          <w:rFonts w:hint="eastAsia" w:ascii="宋体" w:hAnsi="宋体"/>
          <w:bCs/>
          <w:color w:val="000000"/>
          <w:sz w:val="24"/>
          <w:highlight w:val="none"/>
        </w:rPr>
      </w:pPr>
    </w:p>
    <w:p w14:paraId="7D758BE2">
      <w:pPr>
        <w:pStyle w:val="3"/>
        <w:spacing w:line="500" w:lineRule="exact"/>
        <w:rPr>
          <w:rFonts w:hint="eastAsia" w:ascii="宋体" w:hAnsi="宋体" w:eastAsia="宋体"/>
          <w:color w:val="000000"/>
          <w:highlight w:val="none"/>
        </w:rPr>
      </w:pPr>
      <w:bookmarkStart w:id="8" w:name="_Hlt510343011"/>
      <w:bookmarkStart w:id="9" w:name="_Hlt510342998"/>
      <w:bookmarkStart w:id="10" w:name="_Toc328559327"/>
      <w:bookmarkStart w:id="11" w:name="_Toc245092760"/>
      <w:bookmarkStart w:id="12" w:name="_Toc273602340"/>
      <w:bookmarkStart w:id="13" w:name="_Toc229413619"/>
    </w:p>
    <w:p w14:paraId="2DD30002">
      <w:pPr>
        <w:rPr>
          <w:rFonts w:hint="eastAsia" w:ascii="宋体" w:hAnsi="宋体" w:eastAsia="宋体"/>
          <w:color w:val="000000"/>
          <w:highlight w:val="none"/>
        </w:rPr>
      </w:pPr>
    </w:p>
    <w:p w14:paraId="73E40F8F">
      <w:pPr>
        <w:pStyle w:val="52"/>
        <w:rPr>
          <w:rFonts w:hint="eastAsia" w:ascii="宋体" w:hAnsi="宋体" w:eastAsia="宋体"/>
          <w:color w:val="000000"/>
          <w:highlight w:val="none"/>
        </w:rPr>
      </w:pPr>
    </w:p>
    <w:p w14:paraId="4125A3A0">
      <w:pPr>
        <w:pStyle w:val="39"/>
        <w:rPr>
          <w:rFonts w:hint="eastAsia" w:ascii="宋体" w:hAnsi="宋体" w:eastAsia="宋体"/>
          <w:color w:val="000000"/>
          <w:highlight w:val="none"/>
        </w:rPr>
      </w:pPr>
    </w:p>
    <w:p w14:paraId="7601D5F5">
      <w:pPr>
        <w:pStyle w:val="39"/>
        <w:rPr>
          <w:rFonts w:hint="eastAsia" w:ascii="宋体" w:hAnsi="宋体" w:eastAsia="宋体"/>
          <w:color w:val="000000"/>
          <w:highlight w:val="none"/>
        </w:rPr>
      </w:pPr>
    </w:p>
    <w:p w14:paraId="10CF44E5">
      <w:pPr>
        <w:rPr>
          <w:rFonts w:hint="eastAsia" w:ascii="宋体" w:hAnsi="宋体" w:eastAsia="宋体"/>
          <w:color w:val="000000"/>
          <w:highlight w:val="none"/>
        </w:rPr>
      </w:pPr>
    </w:p>
    <w:p w14:paraId="51F96FFE">
      <w:pPr>
        <w:pStyle w:val="3"/>
        <w:spacing w:before="0" w:after="0" w:line="240" w:lineRule="auto"/>
        <w:ind w:firstLine="0"/>
        <w:rPr>
          <w:rFonts w:hint="eastAsia" w:ascii="宋体" w:hAnsi="宋体" w:eastAsia="宋体"/>
          <w:b w:val="0"/>
          <w:color w:val="000000"/>
          <w:highlight w:val="none"/>
        </w:rPr>
      </w:pPr>
      <w:r>
        <w:rPr>
          <w:rFonts w:hint="eastAsia" w:ascii="宋体" w:hAnsi="宋体" w:eastAsia="宋体"/>
          <w:color w:val="000000"/>
          <w:highlight w:val="none"/>
        </w:rPr>
        <w:br w:type="page"/>
      </w:r>
      <w:r>
        <w:rPr>
          <w:rFonts w:hint="eastAsia" w:ascii="宋体" w:hAnsi="宋体" w:eastAsia="宋体"/>
          <w:color w:val="000000"/>
          <w:highlight w:val="none"/>
        </w:rPr>
        <w:t>第二章 投标人须</w:t>
      </w:r>
      <w:bookmarkEnd w:id="8"/>
      <w:r>
        <w:rPr>
          <w:rFonts w:hint="eastAsia" w:ascii="宋体" w:hAnsi="宋体" w:eastAsia="宋体"/>
          <w:color w:val="000000"/>
          <w:highlight w:val="none"/>
        </w:rPr>
        <w:t>知前</w:t>
      </w:r>
      <w:bookmarkEnd w:id="9"/>
      <w:r>
        <w:rPr>
          <w:rFonts w:hint="eastAsia" w:ascii="宋体" w:hAnsi="宋体" w:eastAsia="宋体"/>
          <w:color w:val="000000"/>
          <w:highlight w:val="none"/>
        </w:rPr>
        <w:t>附表</w:t>
      </w:r>
      <w:bookmarkEnd w:id="10"/>
      <w:bookmarkEnd w:id="11"/>
      <w:bookmarkEnd w:id="12"/>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0"/>
        <w:gridCol w:w="6569"/>
      </w:tblGrid>
      <w:tr w14:paraId="6843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448165F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10" w:type="dxa"/>
            <w:noWrap w:val="0"/>
            <w:vAlign w:val="center"/>
          </w:tcPr>
          <w:p w14:paraId="3948805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6569" w:type="dxa"/>
            <w:noWrap w:val="0"/>
            <w:vAlign w:val="center"/>
          </w:tcPr>
          <w:p w14:paraId="184FCF13">
            <w:pPr>
              <w:pStyle w:val="102"/>
              <w:widowControl w:val="0"/>
              <w:spacing w:before="0" w:beforeAutospacing="0" w:after="0" w:afterAutospacing="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说明与要求</w:t>
            </w:r>
          </w:p>
        </w:tc>
      </w:tr>
      <w:tr w14:paraId="025A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1A215A9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10" w:type="dxa"/>
            <w:noWrap w:val="0"/>
            <w:vAlign w:val="center"/>
          </w:tcPr>
          <w:p w14:paraId="6EA76886">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招标人</w:t>
            </w:r>
          </w:p>
        </w:tc>
        <w:tc>
          <w:tcPr>
            <w:tcW w:w="6569" w:type="dxa"/>
            <w:noWrap w:val="0"/>
            <w:vAlign w:val="center"/>
          </w:tcPr>
          <w:p w14:paraId="2BFBEDE2">
            <w:pPr>
              <w:pStyle w:val="102"/>
              <w:widowControl w:val="0"/>
              <w:spacing w:before="0" w:beforeAutospacing="0" w:after="0" w:afterAutospacing="0"/>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i w:val="0"/>
                <w:iCs w:val="0"/>
                <w:caps w:val="0"/>
                <w:color w:val="000000"/>
                <w:spacing w:val="0"/>
                <w:sz w:val="24"/>
                <w:szCs w:val="24"/>
              </w:rPr>
              <w:t>合肥罍街文化旅游发展有限公司</w:t>
            </w:r>
          </w:p>
        </w:tc>
      </w:tr>
      <w:tr w14:paraId="0BCF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56247CE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10" w:type="dxa"/>
            <w:noWrap w:val="0"/>
            <w:vAlign w:val="center"/>
          </w:tcPr>
          <w:p w14:paraId="1FEDC323">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项目业主</w:t>
            </w:r>
          </w:p>
        </w:tc>
        <w:tc>
          <w:tcPr>
            <w:tcW w:w="6569" w:type="dxa"/>
            <w:noWrap w:val="0"/>
            <w:vAlign w:val="center"/>
          </w:tcPr>
          <w:p w14:paraId="3FC55987">
            <w:pPr>
              <w:pStyle w:val="102"/>
              <w:widowControl w:val="0"/>
              <w:spacing w:before="0" w:beforeAutospacing="0" w:after="0" w:afterAutospacing="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i w:val="0"/>
                <w:iCs w:val="0"/>
                <w:caps w:val="0"/>
                <w:color w:val="000000"/>
                <w:spacing w:val="0"/>
                <w:sz w:val="24"/>
                <w:szCs w:val="24"/>
              </w:rPr>
              <w:t>合肥罍街文化旅游发展有限公司</w:t>
            </w:r>
          </w:p>
        </w:tc>
      </w:tr>
      <w:tr w14:paraId="6CE5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40EC557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10" w:type="dxa"/>
            <w:noWrap w:val="0"/>
            <w:vAlign w:val="center"/>
          </w:tcPr>
          <w:p w14:paraId="0B3BAA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569" w:type="dxa"/>
            <w:noWrap w:val="0"/>
            <w:vAlign w:val="center"/>
          </w:tcPr>
          <w:p w14:paraId="071C57F1">
            <w:pPr>
              <w:rPr>
                <w:rFonts w:hint="eastAsia" w:ascii="宋体" w:hAnsi="宋体" w:eastAsia="宋体" w:cs="宋体"/>
                <w:color w:val="auto"/>
                <w:sz w:val="24"/>
                <w:szCs w:val="24"/>
                <w:highlight w:val="none"/>
                <w:lang w:eastAsia="zh-CN"/>
              </w:rPr>
            </w:pPr>
            <w:r>
              <w:rPr>
                <w:rFonts w:hint="eastAsia" w:ascii="宋体" w:hAnsi="宋体"/>
                <w:color w:val="auto"/>
                <w:kern w:val="0"/>
                <w:sz w:val="24"/>
                <w:highlight w:val="none"/>
                <w:lang w:val="en-US" w:eastAsia="zh-CN"/>
              </w:rPr>
              <w:t>罍街景观美陈提升工程</w:t>
            </w:r>
          </w:p>
        </w:tc>
      </w:tr>
      <w:tr w14:paraId="24E2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60FBAC4B">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10" w:type="dxa"/>
            <w:noWrap w:val="0"/>
            <w:vAlign w:val="center"/>
          </w:tcPr>
          <w:p w14:paraId="67F3FBA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tc>
        <w:tc>
          <w:tcPr>
            <w:tcW w:w="6569" w:type="dxa"/>
            <w:noWrap w:val="0"/>
            <w:vAlign w:val="center"/>
          </w:tcPr>
          <w:p w14:paraId="44313DA9">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1050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518D5E53">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10" w:type="dxa"/>
            <w:noWrap w:val="0"/>
            <w:vAlign w:val="center"/>
          </w:tcPr>
          <w:p w14:paraId="182B20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p>
        </w:tc>
        <w:tc>
          <w:tcPr>
            <w:tcW w:w="6569" w:type="dxa"/>
            <w:noWrap w:val="0"/>
            <w:vAlign w:val="center"/>
          </w:tcPr>
          <w:p w14:paraId="4E865459">
            <w:pP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18.7</w:t>
            </w:r>
            <w:r>
              <w:rPr>
                <w:rFonts w:hint="eastAsia" w:ascii="宋体" w:hAnsi="宋体" w:eastAsia="宋体" w:cs="宋体"/>
                <w:b/>
                <w:color w:val="auto"/>
                <w:sz w:val="24"/>
                <w:szCs w:val="24"/>
                <w:highlight w:val="none"/>
                <w:lang w:val="en-US" w:eastAsia="zh-CN"/>
              </w:rPr>
              <w:t>万元（含税）</w:t>
            </w:r>
          </w:p>
        </w:tc>
      </w:tr>
      <w:tr w14:paraId="353B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79C1EF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10" w:type="dxa"/>
            <w:noWrap w:val="0"/>
            <w:vAlign w:val="center"/>
          </w:tcPr>
          <w:p w14:paraId="1B23DD37">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包别划分</w:t>
            </w:r>
          </w:p>
        </w:tc>
        <w:tc>
          <w:tcPr>
            <w:tcW w:w="6569" w:type="dxa"/>
            <w:noWrap w:val="0"/>
            <w:vAlign w:val="center"/>
          </w:tcPr>
          <w:p w14:paraId="6ECCE4B4">
            <w:pPr>
              <w:ind w:left="841" w:hanging="841"/>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 xml:space="preserve">不分包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分为  包</w:t>
            </w:r>
          </w:p>
        </w:tc>
      </w:tr>
      <w:tr w14:paraId="2AAB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3CFD4A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10" w:type="dxa"/>
            <w:noWrap w:val="0"/>
            <w:vAlign w:val="center"/>
          </w:tcPr>
          <w:p w14:paraId="713F1E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6569" w:type="dxa"/>
            <w:noWrap w:val="0"/>
            <w:vAlign w:val="center"/>
          </w:tcPr>
          <w:p w14:paraId="05569E39">
            <w:pPr>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工程施工</w:t>
            </w:r>
            <w:r>
              <w:rPr>
                <w:rFonts w:hint="eastAsia" w:ascii="宋体" w:hAnsi="宋体" w:eastAsia="宋体" w:cs="宋体"/>
                <w:color w:val="auto"/>
                <w:sz w:val="24"/>
                <w:szCs w:val="24"/>
                <w:highlight w:val="none"/>
              </w:rPr>
              <w:t>类</w:t>
            </w:r>
          </w:p>
        </w:tc>
      </w:tr>
      <w:tr w14:paraId="3B79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17E854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10" w:type="dxa"/>
            <w:noWrap w:val="0"/>
            <w:vAlign w:val="center"/>
          </w:tcPr>
          <w:p w14:paraId="1CDA3B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形式</w:t>
            </w:r>
          </w:p>
        </w:tc>
        <w:tc>
          <w:tcPr>
            <w:tcW w:w="6569" w:type="dxa"/>
            <w:noWrap w:val="0"/>
            <w:vAlign w:val="center"/>
          </w:tcPr>
          <w:p w14:paraId="2C26B4E1">
            <w:pPr>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20B7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66" w:type="dxa"/>
            <w:noWrap w:val="0"/>
            <w:vAlign w:val="center"/>
          </w:tcPr>
          <w:p w14:paraId="4E4E5B40">
            <w:pPr>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p>
        </w:tc>
        <w:tc>
          <w:tcPr>
            <w:tcW w:w="1910" w:type="dxa"/>
            <w:noWrap w:val="0"/>
            <w:vAlign w:val="center"/>
          </w:tcPr>
          <w:p w14:paraId="24F565A9">
            <w:pPr>
              <w:pStyle w:val="102"/>
              <w:widowControl w:val="0"/>
              <w:spacing w:before="0" w:beforeAutospacing="0" w:after="0" w:afterAutospacing="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付款方式</w:t>
            </w:r>
          </w:p>
        </w:tc>
        <w:tc>
          <w:tcPr>
            <w:tcW w:w="6569" w:type="dxa"/>
            <w:noWrap w:val="0"/>
            <w:vAlign w:val="center"/>
          </w:tcPr>
          <w:p w14:paraId="27B424A2">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工程完工、竣工验收合格</w:t>
            </w:r>
            <w:r>
              <w:rPr>
                <w:rFonts w:hint="eastAsia"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竣工结算定案后累计支付至结算价的97%，余款3%作为质保金，待工程质量保修期（贰年）满后付清（无息）。</w:t>
            </w:r>
          </w:p>
          <w:p w14:paraId="252394FA">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票要求：在付款前承包人须按照一般计税方法提供增值税专用发票（税率9%），如未按约定开具增值税专用发票或实际开具的增值税专用发票税率低于合同中约定税率的，承包人应向发包人支付无法抵扣部分的税款金额。</w:t>
            </w:r>
          </w:p>
          <w:p w14:paraId="0FF16D73">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投标人提交的投标文件中如有关于付款条件的表述与</w:t>
            </w:r>
            <w:r>
              <w:rPr>
                <w:rFonts w:hint="eastAsia" w:cs="宋体"/>
                <w:b w:val="0"/>
                <w:bCs/>
                <w:color w:val="auto"/>
                <w:sz w:val="24"/>
                <w:szCs w:val="24"/>
                <w:highlight w:val="none"/>
                <w:lang w:eastAsia="zh-CN"/>
              </w:rPr>
              <w:t>采购文件</w:t>
            </w:r>
            <w:r>
              <w:rPr>
                <w:rFonts w:hint="eastAsia" w:ascii="宋体" w:hAnsi="宋体" w:eastAsia="宋体" w:cs="宋体"/>
                <w:b w:val="0"/>
                <w:bCs/>
                <w:color w:val="auto"/>
                <w:sz w:val="24"/>
                <w:szCs w:val="24"/>
                <w:highlight w:val="none"/>
              </w:rPr>
              <w:t>规定不符，将被视为实质性不响应，将导致投标无效。</w:t>
            </w:r>
          </w:p>
        </w:tc>
      </w:tr>
      <w:tr w14:paraId="36C0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14:paraId="1C171727">
            <w:pPr>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p>
        </w:tc>
        <w:tc>
          <w:tcPr>
            <w:tcW w:w="1910" w:type="dxa"/>
            <w:noWrap w:val="0"/>
            <w:vAlign w:val="center"/>
          </w:tcPr>
          <w:p w14:paraId="249CD7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569" w:type="dxa"/>
            <w:noWrap w:val="0"/>
            <w:vAlign w:val="center"/>
          </w:tcPr>
          <w:p w14:paraId="397219A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允许   </w:t>
            </w: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不允许</w:t>
            </w:r>
          </w:p>
        </w:tc>
      </w:tr>
      <w:tr w14:paraId="1419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14:paraId="15FD4C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10" w:type="dxa"/>
            <w:noWrap w:val="0"/>
            <w:vAlign w:val="center"/>
          </w:tcPr>
          <w:p w14:paraId="084625C4">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投标有效期</w:t>
            </w:r>
          </w:p>
        </w:tc>
        <w:tc>
          <w:tcPr>
            <w:tcW w:w="6569" w:type="dxa"/>
            <w:noWrap w:val="0"/>
            <w:vAlign w:val="center"/>
          </w:tcPr>
          <w:p w14:paraId="21226C29">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开标后</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rPr>
              <w:t>天</w:t>
            </w:r>
          </w:p>
        </w:tc>
      </w:tr>
      <w:tr w14:paraId="64A6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66" w:type="dxa"/>
            <w:noWrap w:val="0"/>
            <w:vAlign w:val="center"/>
          </w:tcPr>
          <w:p w14:paraId="351DFE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10" w:type="dxa"/>
            <w:noWrap w:val="0"/>
            <w:vAlign w:val="center"/>
          </w:tcPr>
          <w:p w14:paraId="6178346F">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工期</w:t>
            </w:r>
          </w:p>
        </w:tc>
        <w:tc>
          <w:tcPr>
            <w:tcW w:w="6569" w:type="dxa"/>
            <w:noWrap w:val="0"/>
            <w:vAlign w:val="center"/>
          </w:tcPr>
          <w:p w14:paraId="64344210">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日历天</w:t>
            </w:r>
          </w:p>
        </w:tc>
      </w:tr>
      <w:tr w14:paraId="1E26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866" w:type="dxa"/>
            <w:noWrap w:val="0"/>
            <w:vAlign w:val="center"/>
          </w:tcPr>
          <w:p w14:paraId="635B50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10" w:type="dxa"/>
            <w:noWrap w:val="0"/>
            <w:vAlign w:val="center"/>
          </w:tcPr>
          <w:p w14:paraId="17202254">
            <w:pPr>
              <w:pStyle w:val="84"/>
              <w:pBdr>
                <w:bottom w:val="none" w:color="auto" w:sz="0" w:space="0"/>
              </w:pBdr>
              <w:tabs>
                <w:tab w:val="clear" w:pos="4153"/>
                <w:tab w:val="clear" w:pos="8306"/>
              </w:tabs>
              <w:adjustRightInd/>
              <w:spacing w:line="240" w:lineRule="auto"/>
              <w:textAlignment w:val="auto"/>
              <w:rPr>
                <w:rFonts w:hint="eastAsia" w:ascii="宋体" w:hAnsi="宋体" w:eastAsia="宋体" w:cs="宋体"/>
                <w:b/>
                <w:bCs/>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en-US" w:eastAsia="zh-CN"/>
              </w:rPr>
              <w:t>投标保证金</w:t>
            </w:r>
          </w:p>
        </w:tc>
        <w:tc>
          <w:tcPr>
            <w:tcW w:w="6569" w:type="dxa"/>
            <w:noWrap w:val="0"/>
            <w:vAlign w:val="center"/>
          </w:tcPr>
          <w:p w14:paraId="68E1E41A">
            <w:pPr>
              <w:snapToGrid w:val="0"/>
              <w:rPr>
                <w:rFonts w:hint="eastAsia"/>
                <w:color w:val="auto"/>
                <w:highlight w:val="none"/>
              </w:rPr>
            </w:pPr>
            <w:r>
              <w:rPr>
                <w:rFonts w:hint="eastAsia"/>
                <w:color w:val="auto"/>
                <w:highlight w:val="none"/>
              </w:rPr>
              <w:t>是否要求投标人递交投标保证金：</w:t>
            </w:r>
          </w:p>
          <w:p w14:paraId="068F785F">
            <w:pPr>
              <w:snapToGrid w:val="0"/>
              <w:rPr>
                <w:rFonts w:hint="eastAsia"/>
                <w:color w:val="auto"/>
                <w:highlight w:val="none"/>
              </w:rPr>
            </w:pPr>
            <w:r>
              <w:rPr>
                <w:rFonts w:hint="eastAsia"/>
                <w:color w:val="auto"/>
                <w:highlight w:val="none"/>
              </w:rPr>
              <w:sym w:font="Wingdings 2" w:char="0052"/>
            </w:r>
            <w:r>
              <w:rPr>
                <w:rFonts w:hint="eastAsia"/>
                <w:color w:val="auto"/>
                <w:highlight w:val="none"/>
                <w:lang w:val="en-US" w:eastAsia="zh-CN"/>
              </w:rPr>
              <w:t>不</w:t>
            </w:r>
            <w:r>
              <w:rPr>
                <w:rFonts w:hint="eastAsia"/>
                <w:color w:val="auto"/>
                <w:highlight w:val="none"/>
              </w:rPr>
              <w:t>要求</w:t>
            </w:r>
          </w:p>
          <w:p w14:paraId="061B0798">
            <w:pPr>
              <w:pStyle w:val="52"/>
              <w:ind w:left="0" w:leftChars="0" w:firstLine="0" w:firstLineChars="0"/>
              <w:rPr>
                <w:rFonts w:hint="eastAsia" w:eastAsia="宋体"/>
                <w:color w:val="auto"/>
                <w:highlight w:val="none"/>
                <w:lang w:eastAsia="zh-CN"/>
              </w:rPr>
            </w:pPr>
          </w:p>
        </w:tc>
      </w:tr>
      <w:tr w14:paraId="0DBE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66" w:type="dxa"/>
            <w:noWrap w:val="0"/>
            <w:vAlign w:val="center"/>
          </w:tcPr>
          <w:p w14:paraId="643E5B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10" w:type="dxa"/>
            <w:noWrap w:val="0"/>
            <w:vAlign w:val="center"/>
          </w:tcPr>
          <w:p w14:paraId="3C22E98D">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答疑</w:t>
            </w:r>
          </w:p>
        </w:tc>
        <w:tc>
          <w:tcPr>
            <w:tcW w:w="6569" w:type="dxa"/>
            <w:noWrap w:val="0"/>
            <w:vAlign w:val="center"/>
          </w:tcPr>
          <w:p w14:paraId="280F9C61">
            <w:pPr>
              <w:rPr>
                <w:rFonts w:hint="eastAsia" w:ascii="宋体" w:hAnsi="宋体" w:eastAsia="宋体" w:cs="宋体"/>
                <w:color w:val="auto"/>
                <w:sz w:val="24"/>
                <w:szCs w:val="24"/>
                <w:highlight w:val="none"/>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12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9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现场答疑</w:t>
            </w:r>
            <w:r>
              <w:rPr>
                <w:rFonts w:hint="eastAsia"/>
                <w:bCs/>
                <w:color w:val="auto"/>
                <w:sz w:val="24"/>
                <w:szCs w:val="24"/>
                <w:highlight w:val="none"/>
                <w:lang w:eastAsia="zh-CN"/>
              </w:rPr>
              <w:t>。</w:t>
            </w:r>
          </w:p>
        </w:tc>
      </w:tr>
      <w:tr w14:paraId="7DD7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7410FC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10" w:type="dxa"/>
            <w:noWrap w:val="0"/>
            <w:vAlign w:val="center"/>
          </w:tcPr>
          <w:p w14:paraId="5365EB81">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勘察现场</w:t>
            </w:r>
          </w:p>
        </w:tc>
        <w:tc>
          <w:tcPr>
            <w:tcW w:w="6569" w:type="dxa"/>
            <w:noWrap w:val="0"/>
            <w:vAlign w:val="center"/>
          </w:tcPr>
          <w:p w14:paraId="7B5D7DDE">
            <w:pP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bCs/>
                <w:color w:val="auto"/>
                <w:sz w:val="24"/>
                <w:szCs w:val="24"/>
                <w:highlight w:val="none"/>
              </w:rPr>
              <w:t xml:space="preserve">自行勘察  </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 xml:space="preserve"> 统一组织</w:t>
            </w:r>
          </w:p>
        </w:tc>
      </w:tr>
      <w:tr w14:paraId="13EF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5FE820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10" w:type="dxa"/>
            <w:noWrap w:val="0"/>
            <w:vAlign w:val="center"/>
          </w:tcPr>
          <w:p w14:paraId="13614E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标书份数及封装</w:t>
            </w:r>
          </w:p>
        </w:tc>
        <w:tc>
          <w:tcPr>
            <w:tcW w:w="6569" w:type="dxa"/>
            <w:noWrap w:val="0"/>
            <w:vAlign w:val="center"/>
          </w:tcPr>
          <w:p w14:paraId="6CC85BFC">
            <w:pPr>
              <w:pStyle w:val="79"/>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1、商务标文件：1份正本，</w:t>
            </w:r>
            <w:r>
              <w:rPr>
                <w:rFonts w:hint="eastAsia" w:ascii="宋体" w:hAnsi="宋体" w:eastAsia="宋体" w:cs="宋体"/>
                <w:color w:val="auto"/>
                <w:sz w:val="24"/>
                <w:szCs w:val="24"/>
                <w:highlight w:val="none"/>
                <w:lang w:val="en-US" w:eastAsia="zh-CN"/>
              </w:rPr>
              <w:t>1分副本。</w:t>
            </w:r>
          </w:p>
          <w:p w14:paraId="6139FB0D">
            <w:pPr>
              <w:pStyle w:val="7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2、技术标文件：1份正本，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份副本。</w:t>
            </w:r>
          </w:p>
          <w:p w14:paraId="601A9F25">
            <w:pPr>
              <w:pStyle w:val="21"/>
              <w:rPr>
                <w:rFonts w:hint="eastAsia" w:ascii="宋体" w:hAnsi="宋体" w:eastAsia="宋体" w:cs="宋体"/>
                <w:b/>
                <w:bCs/>
                <w:color w:val="auto"/>
                <w:sz w:val="24"/>
                <w:szCs w:val="24"/>
                <w:highlight w:val="none"/>
              </w:rPr>
            </w:pP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、技术标、商务标必须分别封装,密封提交。</w:t>
            </w:r>
          </w:p>
        </w:tc>
      </w:tr>
      <w:tr w14:paraId="4256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7CDB27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910" w:type="dxa"/>
            <w:noWrap w:val="0"/>
            <w:vAlign w:val="center"/>
          </w:tcPr>
          <w:p w14:paraId="3DDB4443">
            <w:pPr>
              <w:ind w:left="841" w:hanging="84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投标时间及地点</w:t>
            </w:r>
          </w:p>
        </w:tc>
        <w:tc>
          <w:tcPr>
            <w:tcW w:w="6569" w:type="dxa"/>
            <w:noWrap w:val="0"/>
            <w:vAlign w:val="center"/>
          </w:tcPr>
          <w:p w14:paraId="267508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投标截止时间：同开标时间</w:t>
            </w:r>
          </w:p>
          <w:p w14:paraId="3A7832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标书递交地点：同开标地点</w:t>
            </w:r>
          </w:p>
          <w:p w14:paraId="74DBB530">
            <w:pPr>
              <w:ind w:left="-3" w:firstLine="3"/>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投标文件接收时间：北京时间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12</w:t>
            </w:r>
            <w:r>
              <w:rPr>
                <w:rFonts w:hint="eastAsia" w:ascii="宋体" w:hAnsi="宋体"/>
                <w:bCs/>
                <w:sz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 :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 xml:space="preserve"> 至北京时间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12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9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p>
        </w:tc>
      </w:tr>
      <w:tr w14:paraId="68D7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66" w:type="dxa"/>
            <w:noWrap w:val="0"/>
            <w:vAlign w:val="center"/>
          </w:tcPr>
          <w:p w14:paraId="74BA16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910" w:type="dxa"/>
            <w:noWrap w:val="0"/>
            <w:vAlign w:val="center"/>
          </w:tcPr>
          <w:p w14:paraId="223646AA">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开标时间及地点</w:t>
            </w:r>
          </w:p>
        </w:tc>
        <w:tc>
          <w:tcPr>
            <w:tcW w:w="6569" w:type="dxa"/>
            <w:noWrap w:val="0"/>
            <w:vAlign w:val="center"/>
          </w:tcPr>
          <w:p w14:paraId="2101EAFB">
            <w:pPr>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12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9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p>
          <w:p w14:paraId="63D8FE49">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开标地点：</w:t>
            </w:r>
            <w:r>
              <w:rPr>
                <w:rFonts w:hint="eastAsia" w:ascii="宋体" w:hAnsi="宋体" w:eastAsia="宋体" w:cs="宋体"/>
                <w:i w:val="0"/>
                <w:iCs w:val="0"/>
                <w:caps w:val="0"/>
                <w:color w:val="111111"/>
                <w:spacing w:val="0"/>
                <w:sz w:val="24"/>
                <w:szCs w:val="24"/>
              </w:rPr>
              <w:t>合肥市包河区罍街二期14栋六楼 罍街运营办公室</w:t>
            </w:r>
            <w:r>
              <w:rPr>
                <w:rFonts w:hint="eastAsia" w:ascii="宋体" w:hAnsi="宋体" w:eastAsia="宋体" w:cs="宋体"/>
                <w:color w:val="auto"/>
                <w:kern w:val="0"/>
                <w:sz w:val="24"/>
                <w:szCs w:val="24"/>
                <w:highlight w:val="none"/>
                <w:lang w:val="zh-CN"/>
              </w:rPr>
              <w:t xml:space="preserve">                                                                                                                                                                                                                                                                                                                                                                                                                                                                                                                                                                                                                                                                                                                                                                                                                                                                                                                                                                                                                                                                                                                                                                                                                                                                                                                                                                                                                                                                                                                                                                                                                                                                                                                                                                                                                                                                                                                                                                                                                                                                                                                                                                                                                                                                                                                                                                                                                                                                                                                                                                                                                                                                                                                                                                                                                                                                                                                                                                                                                                                                                                                                                                                                                            </w:t>
            </w:r>
          </w:p>
        </w:tc>
      </w:tr>
      <w:tr w14:paraId="30BD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6" w:type="dxa"/>
            <w:noWrap w:val="0"/>
            <w:vAlign w:val="center"/>
          </w:tcPr>
          <w:p w14:paraId="2A904A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910" w:type="dxa"/>
            <w:noWrap w:val="0"/>
            <w:vAlign w:val="center"/>
          </w:tcPr>
          <w:p w14:paraId="0A3CEF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569" w:type="dxa"/>
            <w:noWrap w:val="0"/>
            <w:vAlign w:val="center"/>
          </w:tcPr>
          <w:p w14:paraId="2636145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简易中位值法</w:t>
            </w: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第一部分第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章评标办法。</w:t>
            </w:r>
          </w:p>
        </w:tc>
      </w:tr>
      <w:tr w14:paraId="63B8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7C9B01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10" w:type="dxa"/>
            <w:noWrap w:val="0"/>
            <w:vAlign w:val="center"/>
          </w:tcPr>
          <w:p w14:paraId="5D57FF89">
            <w:pPr>
              <w:jc w:val="center"/>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履约保证金</w:t>
            </w:r>
          </w:p>
        </w:tc>
        <w:tc>
          <w:tcPr>
            <w:tcW w:w="6569" w:type="dxa"/>
            <w:noWrap w:val="0"/>
            <w:vAlign w:val="center"/>
          </w:tcPr>
          <w:p w14:paraId="1E34865D">
            <w:pPr>
              <w:rPr>
                <w:rFonts w:hint="eastAsia" w:ascii="宋体" w:hAnsi="宋体" w:eastAsia="宋体" w:cs="宋体"/>
                <w:b/>
                <w:bCs/>
                <w:color w:val="auto"/>
                <w:sz w:val="24"/>
                <w:szCs w:val="24"/>
                <w:highlight w:val="none"/>
                <w:lang w:val="en-US" w:eastAsia="zh-CN"/>
              </w:rPr>
            </w:pPr>
            <w:r>
              <w:rPr>
                <w:rFonts w:hint="eastAsia" w:ascii="宋体" w:hAnsi="宋体" w:cs="宋体"/>
                <w:bCs/>
                <w:color w:val="FF0000"/>
                <w:sz w:val="24"/>
                <w:szCs w:val="24"/>
                <w:highlight w:val="none"/>
                <w:lang w:val="en-US" w:eastAsia="zh-CN"/>
              </w:rPr>
              <w:t>/</w:t>
            </w:r>
          </w:p>
        </w:tc>
      </w:tr>
      <w:tr w14:paraId="40D2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3B7C30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10" w:type="dxa"/>
            <w:noWrap w:val="0"/>
            <w:vAlign w:val="center"/>
          </w:tcPr>
          <w:p w14:paraId="21AA96D4">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投标人信用记录</w:t>
            </w:r>
          </w:p>
        </w:tc>
        <w:tc>
          <w:tcPr>
            <w:tcW w:w="6569" w:type="dxa"/>
            <w:shd w:val="clear" w:color="auto" w:fill="auto"/>
            <w:noWrap w:val="0"/>
            <w:vAlign w:val="center"/>
          </w:tcPr>
          <w:p w14:paraId="06E8D825">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投标文件中须提供投标人信用承诺（格式见第</w:t>
            </w: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章“投标人信用承诺”）【“投标人信用承诺”须盖投标人公章（或投标人电子签章）】。</w:t>
            </w:r>
            <w:r>
              <w:rPr>
                <w:rFonts w:hint="eastAsia" w:ascii="宋体" w:hAnsi="宋体" w:eastAsia="宋体" w:cs="宋体"/>
                <w:b/>
                <w:sz w:val="24"/>
                <w:szCs w:val="24"/>
                <w:highlight w:val="none"/>
              </w:rPr>
              <w:t>（未提供或提供不符合的，投标无效）</w:t>
            </w:r>
          </w:p>
        </w:tc>
      </w:tr>
      <w:tr w14:paraId="563D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379CB4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910" w:type="dxa"/>
            <w:noWrap w:val="0"/>
            <w:vAlign w:val="center"/>
          </w:tcPr>
          <w:p w14:paraId="65573D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569" w:type="dxa"/>
            <w:noWrap w:val="0"/>
            <w:vAlign w:val="center"/>
          </w:tcPr>
          <w:p w14:paraId="7337D0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先</w:t>
            </w:r>
            <w:r>
              <w:rPr>
                <w:rFonts w:hint="eastAsia" w:ascii="宋体" w:hAnsi="宋体" w:eastAsia="宋体" w:cs="宋体"/>
                <w:color w:val="auto"/>
                <w:sz w:val="24"/>
                <w:szCs w:val="24"/>
                <w:highlight w:val="none"/>
              </w:rPr>
              <w:t>审。</w:t>
            </w:r>
          </w:p>
        </w:tc>
      </w:tr>
      <w:tr w14:paraId="5256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66" w:type="dxa"/>
            <w:noWrap w:val="0"/>
            <w:vAlign w:val="center"/>
          </w:tcPr>
          <w:p w14:paraId="73EB8BF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1910" w:type="dxa"/>
            <w:noWrap w:val="0"/>
            <w:vAlign w:val="center"/>
          </w:tcPr>
          <w:p w14:paraId="27F800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本项目提供除电子版</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以外的其他资料</w:t>
            </w:r>
          </w:p>
        </w:tc>
        <w:tc>
          <w:tcPr>
            <w:tcW w:w="6569" w:type="dxa"/>
            <w:noWrap w:val="0"/>
            <w:vAlign w:val="center"/>
          </w:tcPr>
          <w:p w14:paraId="38A5A9C2">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sym w:font="Wingdings" w:char="00A8"/>
            </w:r>
            <w:r>
              <w:rPr>
                <w:rFonts w:hint="eastAsia" w:ascii="宋体" w:hAnsi="宋体" w:eastAsia="宋体" w:cs="宋体"/>
                <w:bCs/>
                <w:color w:val="auto"/>
                <w:sz w:val="24"/>
                <w:szCs w:val="24"/>
                <w:highlight w:val="none"/>
              </w:rPr>
              <w:t xml:space="preserve">无   </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 xml:space="preserve">电子版图纸   </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光盘</w:t>
            </w:r>
          </w:p>
        </w:tc>
      </w:tr>
      <w:tr w14:paraId="7F4D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noWrap w:val="0"/>
            <w:vAlign w:val="center"/>
          </w:tcPr>
          <w:p w14:paraId="41F2782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1910" w:type="dxa"/>
            <w:noWrap w:val="0"/>
            <w:vAlign w:val="center"/>
          </w:tcPr>
          <w:p w14:paraId="33851373">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工程重难点</w:t>
            </w:r>
          </w:p>
        </w:tc>
        <w:tc>
          <w:tcPr>
            <w:tcW w:w="6569" w:type="dxa"/>
            <w:noWrap w:val="0"/>
            <w:vAlign w:val="center"/>
          </w:tcPr>
          <w:p w14:paraId="45BE55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中标人在工程施工中必须严格执行本项目</w:t>
            </w:r>
            <w:r>
              <w:rPr>
                <w:rFonts w:hint="eastAsia" w:ascii="宋体" w:hAnsi="宋体" w:cs="宋体"/>
                <w:bCs/>
                <w:sz w:val="24"/>
                <w:szCs w:val="24"/>
                <w:lang w:eastAsia="zh-CN"/>
              </w:rPr>
              <w:t>采购文件</w:t>
            </w:r>
            <w:r>
              <w:rPr>
                <w:rFonts w:hint="eastAsia" w:ascii="宋体" w:hAnsi="宋体" w:eastAsia="宋体" w:cs="宋体"/>
                <w:bCs/>
                <w:sz w:val="24"/>
                <w:szCs w:val="24"/>
              </w:rPr>
              <w:t>中要求的技术标准和要求，遵守发包人制定的项目管理相关制度规定，满足发包人的各项管理规定要求。本项目工程管理严格按照招标人《滨湖集团安全生产管理办法》《滨湖集团工程管理检查制度》《滨湖集团建设工程合约单位违约行为违约金支付标准管理办法》《滨湖集团工程变更及签证管理办法》《滨湖集团工程款支付申请管理办法》《滨湖集团工程结算管理办法》等相关制度执行；</w:t>
            </w:r>
          </w:p>
          <w:p w14:paraId="5809C11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该项目任务重、工期紧，中标人需合理布置施工进度计划，提前做好材料采购计划。承包人在收到发包人发出的开工令后，须严格按照合同工期要求，保质保量按期完成工程全部内容，并通过竣工验收。每延期竣工一天，承包人支付发包人</w:t>
            </w:r>
            <w:r>
              <w:rPr>
                <w:rFonts w:hint="eastAsia" w:ascii="宋体" w:hAnsi="宋体" w:eastAsia="宋体" w:cs="宋体"/>
                <w:bCs/>
                <w:sz w:val="24"/>
                <w:szCs w:val="24"/>
                <w:lang w:val="en-US" w:eastAsia="zh-CN"/>
              </w:rPr>
              <w:t>1</w:t>
            </w:r>
            <w:r>
              <w:rPr>
                <w:rFonts w:hint="eastAsia" w:ascii="宋体" w:hAnsi="宋体" w:eastAsia="宋体" w:cs="宋体"/>
                <w:bCs/>
                <w:sz w:val="24"/>
                <w:szCs w:val="24"/>
              </w:rPr>
              <w:t>000元/天的违约金；延期竣工15日以上的，发包人有权解除合同，并追究连带损失（因非承包人原因引起的逾期除外）；</w:t>
            </w:r>
          </w:p>
          <w:p w14:paraId="742AAA40">
            <w:pPr>
              <w:pStyle w:val="52"/>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4"/>
                <w:highlight w:val="none"/>
                <w:lang w:val="en-US" w:eastAsia="zh-CN"/>
              </w:rPr>
            </w:pPr>
            <w:r>
              <w:rPr>
                <w:rFonts w:hint="eastAsia" w:ascii="宋体" w:hAnsi="宋体" w:eastAsia="宋体" w:cs="宋体"/>
                <w:bCs/>
                <w:sz w:val="24"/>
                <w:szCs w:val="24"/>
                <w:lang w:val="en-US" w:eastAsia="zh-CN"/>
              </w:rPr>
              <w:t>3、</w:t>
            </w:r>
            <w:r>
              <w:rPr>
                <w:rFonts w:hint="eastAsia" w:ascii="宋体" w:hAnsi="宋体" w:eastAsia="宋体" w:cs="宋体"/>
                <w:sz w:val="24"/>
                <w:highlight w:val="none"/>
                <w:lang w:val="en-US" w:eastAsia="zh-CN"/>
              </w:rPr>
              <w:t>施工过程中不得影响景区正常经营。</w:t>
            </w:r>
          </w:p>
          <w:p w14:paraId="5558F724">
            <w:pPr>
              <w:pStyle w:val="52"/>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bCs/>
                <w:sz w:val="24"/>
                <w:szCs w:val="24"/>
                <w:lang w:eastAsia="zh-CN"/>
              </w:rPr>
            </w:pPr>
            <w:r>
              <w:rPr>
                <w:rFonts w:hint="eastAsia" w:ascii="宋体" w:hAnsi="宋体" w:eastAsia="宋体" w:cs="宋体"/>
                <w:sz w:val="24"/>
                <w:highlight w:val="none"/>
                <w:lang w:val="en-US" w:eastAsia="zh-CN"/>
              </w:rPr>
              <w:t>4、</w:t>
            </w:r>
            <w:r>
              <w:rPr>
                <w:rFonts w:hint="eastAsia" w:ascii="宋体" w:hAnsi="宋体" w:eastAsia="宋体" w:cs="宋体"/>
                <w:bCs/>
                <w:sz w:val="24"/>
                <w:szCs w:val="24"/>
              </w:rPr>
              <w:t>临时用水、临时用电由投标人结合现场情况自行考虑，费用由中标人自行承担，中标后不予调整</w:t>
            </w:r>
            <w:r>
              <w:rPr>
                <w:rFonts w:hint="eastAsia" w:ascii="宋体" w:hAnsi="宋体" w:eastAsia="宋体" w:cs="宋体"/>
                <w:bCs/>
                <w:sz w:val="24"/>
                <w:szCs w:val="24"/>
                <w:lang w:eastAsia="zh-CN"/>
              </w:rPr>
              <w:t>；</w:t>
            </w:r>
          </w:p>
          <w:p w14:paraId="2C0ABD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本次招标投标人投标报价时应充分考虑因进度需要可能发生的如夜间加班、人员及机械投入、恶劣气候下施工等一切费用的产生，文明施工等费用投入以及维稳协调等产生的费用，后期不得以任何名义要求增加工程造价</w:t>
            </w:r>
            <w:r>
              <w:rPr>
                <w:rFonts w:hint="eastAsia" w:ascii="宋体" w:hAnsi="宋体" w:eastAsia="宋体" w:cs="宋体"/>
                <w:bCs/>
                <w:sz w:val="24"/>
                <w:szCs w:val="24"/>
                <w:lang w:eastAsia="zh-CN"/>
              </w:rPr>
              <w:t>；</w:t>
            </w:r>
          </w:p>
          <w:p w14:paraId="4577D4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highlight w:val="none"/>
                <w:lang w:val="en-US" w:eastAsia="zh-CN"/>
              </w:rPr>
              <w:t>本工程施工前中标人需对贡街主仪门现场进行勘察，勘察完成后出具施工方案，业主同意后方可施工，费用由中标人自行承担，中标后不予调整；</w:t>
            </w:r>
          </w:p>
          <w:p w14:paraId="5415AAC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7、项目施工完成后需经第三方检测机构检测合格后，方可办理竣工验收，费用由中标人自行承担，中标后不予调整，投标人需谨慎报价。</w:t>
            </w:r>
          </w:p>
        </w:tc>
      </w:tr>
    </w:tbl>
    <w:p w14:paraId="39CB6D1A">
      <w:pPr>
        <w:adjustRightInd w:val="0"/>
        <w:snapToGrid w:val="0"/>
        <w:rPr>
          <w:rFonts w:ascii="宋体" w:hAnsi="宋体"/>
          <w:bCs/>
          <w:sz w:val="24"/>
          <w:szCs w:val="24"/>
          <w:highlight w:val="none"/>
        </w:rPr>
      </w:pPr>
      <w:bookmarkStart w:id="14" w:name="_Hlt519045778"/>
      <w:bookmarkEnd w:id="14"/>
      <w:bookmarkStart w:id="15" w:name="_Hlt509650027"/>
      <w:bookmarkEnd w:id="15"/>
      <w:r>
        <w:rPr>
          <w:rFonts w:hint="eastAsia" w:ascii="宋体" w:hAnsi="宋体" w:eastAsia="宋体"/>
          <w:color w:val="000000"/>
          <w:sz w:val="28"/>
          <w:highlight w:val="none"/>
          <w:lang w:eastAsia="zh-CN"/>
        </w:rPr>
        <w:br w:type="page"/>
      </w:r>
    </w:p>
    <w:bookmarkEnd w:id="13"/>
    <w:p w14:paraId="066D497B">
      <w:pPr>
        <w:pStyle w:val="3"/>
        <w:spacing w:line="500" w:lineRule="exact"/>
        <w:jc w:val="center"/>
        <w:rPr>
          <w:rFonts w:hint="eastAsia" w:ascii="黑体"/>
          <w:color w:val="auto"/>
          <w:highlight w:val="none"/>
        </w:rPr>
      </w:pPr>
      <w:r>
        <w:rPr>
          <w:rFonts w:hint="eastAsia" w:ascii="宋体" w:hAnsi="宋体" w:eastAsia="宋体"/>
          <w:color w:val="auto"/>
          <w:highlight w:val="none"/>
        </w:rPr>
        <w:t>第</w:t>
      </w:r>
      <w:bookmarkStart w:id="16" w:name="_Hlt240110027"/>
      <w:bookmarkEnd w:id="16"/>
      <w:r>
        <w:rPr>
          <w:rFonts w:hint="eastAsia" w:ascii="宋体" w:hAnsi="宋体" w:eastAsia="宋体"/>
          <w:color w:val="auto"/>
          <w:highlight w:val="none"/>
        </w:rPr>
        <w:t>三章 评标办法</w:t>
      </w:r>
    </w:p>
    <w:p w14:paraId="3349C1F4">
      <w:pPr>
        <w:tabs>
          <w:tab w:val="left" w:pos="360"/>
          <w:tab w:val="left" w:pos="540"/>
          <w:tab w:val="left" w:pos="3600"/>
          <w:tab w:val="left" w:pos="3780"/>
          <w:tab w:val="left" w:pos="8460"/>
          <w:tab w:val="left" w:pos="9180"/>
        </w:tabs>
        <w:adjustRightInd w:val="0"/>
        <w:snapToGrid w:val="0"/>
        <w:spacing w:line="360" w:lineRule="auto"/>
        <w:ind w:right="-21" w:rightChars="-10" w:firstLine="361" w:firstLineChars="150"/>
        <w:jc w:val="center"/>
        <w:rPr>
          <w:rFonts w:hint="eastAsia" w:ascii="宋体" w:hAnsi="宋体"/>
          <w:b/>
          <w:color w:val="auto"/>
          <w:sz w:val="24"/>
          <w:highlight w:val="none"/>
        </w:rPr>
      </w:pPr>
      <w:r>
        <w:rPr>
          <w:rFonts w:hint="eastAsia" w:ascii="宋体" w:hAnsi="宋体"/>
          <w:b/>
          <w:color w:val="auto"/>
          <w:sz w:val="24"/>
          <w:highlight w:val="none"/>
        </w:rPr>
        <w:t>一、    总  则</w:t>
      </w:r>
    </w:p>
    <w:p w14:paraId="3A6D4BE4">
      <w:pPr>
        <w:adjustRightInd w:val="0"/>
        <w:snapToGrid w:val="0"/>
        <w:spacing w:line="360" w:lineRule="auto"/>
        <w:ind w:right="-10" w:firstLine="482" w:firstLineChars="200"/>
        <w:rPr>
          <w:rFonts w:hint="eastAsia" w:ascii="宋体" w:hAnsi="宋体"/>
          <w:color w:val="auto"/>
          <w:sz w:val="24"/>
          <w:highlight w:val="none"/>
        </w:rPr>
      </w:pPr>
      <w:r>
        <w:rPr>
          <w:rFonts w:hint="eastAsia" w:ascii="宋体" w:hAnsi="宋体"/>
          <w:b/>
          <w:bCs/>
          <w:color w:val="auto"/>
          <w:sz w:val="24"/>
          <w:highlight w:val="none"/>
        </w:rPr>
        <w:t xml:space="preserve">第一条 </w:t>
      </w:r>
      <w:r>
        <w:rPr>
          <w:rFonts w:hint="eastAsia" w:ascii="宋体" w:hAnsi="宋体"/>
          <w:color w:val="auto"/>
          <w:sz w:val="24"/>
          <w:highlight w:val="none"/>
        </w:rPr>
        <w:t>为了做好“</w:t>
      </w:r>
      <w:r>
        <w:rPr>
          <w:rFonts w:hint="eastAsia" w:ascii="宋体" w:hAnsi="宋体"/>
          <w:color w:val="auto"/>
          <w:sz w:val="24"/>
          <w:highlight w:val="none"/>
          <w:u w:val="single"/>
          <w:lang w:eastAsia="zh-CN"/>
        </w:rPr>
        <w:t>罍街景观美陈提升工程</w:t>
      </w:r>
      <w:r>
        <w:rPr>
          <w:rFonts w:hint="eastAsia" w:ascii="宋体" w:hAnsi="宋体"/>
          <w:color w:val="auto"/>
          <w:sz w:val="24"/>
          <w:szCs w:val="18"/>
          <w:highlight w:val="none"/>
        </w:rPr>
        <w:t>”</w:t>
      </w:r>
      <w:r>
        <w:rPr>
          <w:rFonts w:hint="eastAsia" w:ascii="宋体" w:hAnsi="宋体"/>
          <w:color w:val="auto"/>
          <w:sz w:val="24"/>
          <w:highlight w:val="none"/>
        </w:rPr>
        <w:t>项目（项目编号</w:t>
      </w:r>
      <w:r>
        <w:rPr>
          <w:rFonts w:hint="eastAsia" w:ascii="宋体" w:hAnsi="宋体"/>
          <w:color w:val="auto"/>
          <w:sz w:val="24"/>
          <w:highlight w:val="none"/>
          <w:lang w:eastAsia="zh-CN"/>
        </w:rPr>
        <w:t>：****</w:t>
      </w:r>
      <w:r>
        <w:rPr>
          <w:rFonts w:hint="eastAsia" w:ascii="宋体" w:hAnsi="宋体"/>
          <w:color w:val="auto"/>
          <w:sz w:val="24"/>
          <w:highlight w:val="none"/>
        </w:rPr>
        <w:t>）的招标评标工作，保证项目评审工作的正常有序进行，依据《中华人民共和国政府采购法》、《中华人民共和国招标投标法》及其它相关法律法规，本着公开、公平、公正的原则，制定评标办法。</w:t>
      </w:r>
    </w:p>
    <w:p w14:paraId="044C9638">
      <w:pPr>
        <w:adjustRightInd w:val="0"/>
        <w:snapToGrid w:val="0"/>
        <w:spacing w:line="360" w:lineRule="auto"/>
        <w:ind w:right="-10" w:firstLine="482" w:firstLineChars="200"/>
        <w:rPr>
          <w:rFonts w:hint="eastAsia" w:ascii="宋体" w:hAnsi="宋体"/>
          <w:color w:val="auto"/>
          <w:sz w:val="24"/>
          <w:highlight w:val="none"/>
        </w:rPr>
      </w:pPr>
      <w:r>
        <w:rPr>
          <w:rFonts w:hint="eastAsia" w:ascii="宋体" w:hAnsi="宋体"/>
          <w:b/>
          <w:bCs/>
          <w:color w:val="auto"/>
          <w:sz w:val="24"/>
          <w:highlight w:val="none"/>
        </w:rPr>
        <w:t xml:space="preserve">第二条 </w:t>
      </w:r>
      <w:r>
        <w:rPr>
          <w:rFonts w:hint="eastAsia" w:ascii="宋体" w:hAnsi="宋体"/>
          <w:color w:val="auto"/>
          <w:sz w:val="24"/>
          <w:highlight w:val="none"/>
        </w:rPr>
        <w:t>本次项目评标采用</w:t>
      </w:r>
      <w:r>
        <w:rPr>
          <w:rFonts w:hint="eastAsia" w:ascii="宋体" w:hAnsi="宋体"/>
          <w:b/>
          <w:color w:val="auto"/>
          <w:sz w:val="24"/>
          <w:highlight w:val="none"/>
          <w:lang w:eastAsia="zh-CN"/>
        </w:rPr>
        <w:t>简易中位值</w:t>
      </w:r>
      <w:r>
        <w:rPr>
          <w:rFonts w:hint="eastAsia" w:ascii="宋体" w:hAnsi="宋体"/>
          <w:b/>
          <w:color w:val="auto"/>
          <w:sz w:val="24"/>
          <w:highlight w:val="none"/>
        </w:rPr>
        <w:t>法</w:t>
      </w:r>
      <w:r>
        <w:rPr>
          <w:rFonts w:hint="eastAsia" w:ascii="宋体" w:hAnsi="宋体"/>
          <w:color w:val="auto"/>
          <w:sz w:val="24"/>
          <w:highlight w:val="none"/>
        </w:rPr>
        <w:t>作为对投标人标书的比较方法</w:t>
      </w:r>
      <w:r>
        <w:rPr>
          <w:rFonts w:hint="eastAsia" w:ascii="宋体" w:hAnsi="宋体" w:cs="宋体-18030"/>
          <w:color w:val="auto"/>
          <w:sz w:val="24"/>
          <w:highlight w:val="none"/>
        </w:rPr>
        <w:t>。</w:t>
      </w:r>
    </w:p>
    <w:p w14:paraId="4DFB0381">
      <w:pPr>
        <w:adjustRightInd w:val="0"/>
        <w:snapToGrid w:val="0"/>
        <w:spacing w:line="360" w:lineRule="auto"/>
        <w:ind w:left="-61" w:leftChars="-29" w:right="-10" w:firstLine="602" w:firstLineChars="250"/>
        <w:rPr>
          <w:rFonts w:hint="eastAsia" w:ascii="宋体" w:hAnsi="宋体"/>
          <w:color w:val="auto"/>
          <w:sz w:val="24"/>
          <w:highlight w:val="none"/>
        </w:rPr>
      </w:pPr>
      <w:r>
        <w:rPr>
          <w:rFonts w:hint="eastAsia" w:ascii="宋体" w:hAnsi="宋体"/>
          <w:b/>
          <w:color w:val="auto"/>
          <w:sz w:val="24"/>
          <w:highlight w:val="none"/>
        </w:rPr>
        <w:t xml:space="preserve">第三条 </w:t>
      </w:r>
      <w:r>
        <w:rPr>
          <w:rFonts w:hint="eastAsia" w:ascii="宋体" w:hAnsi="宋体"/>
          <w:color w:val="auto"/>
          <w:sz w:val="24"/>
          <w:highlight w:val="none"/>
        </w:rPr>
        <w:t>招标人将</w:t>
      </w:r>
      <w:r>
        <w:rPr>
          <w:rFonts w:hint="eastAsia" w:ascii="宋体" w:hAnsi="宋体"/>
          <w:bCs/>
          <w:color w:val="auto"/>
          <w:sz w:val="24"/>
          <w:highlight w:val="none"/>
        </w:rPr>
        <w:t>组织</w:t>
      </w:r>
      <w:r>
        <w:rPr>
          <w:rFonts w:hint="eastAsia" w:ascii="宋体" w:hAnsi="宋体"/>
          <w:color w:val="auto"/>
          <w:sz w:val="24"/>
          <w:highlight w:val="none"/>
        </w:rPr>
        <w:t>不少于</w:t>
      </w:r>
      <w:r>
        <w:rPr>
          <w:rFonts w:hint="eastAsia" w:ascii="宋体" w:hAnsi="宋体"/>
          <w:b/>
          <w:color w:val="auto"/>
          <w:sz w:val="24"/>
          <w:highlight w:val="none"/>
          <w:u w:val="single"/>
        </w:rPr>
        <w:t>3</w:t>
      </w:r>
      <w:r>
        <w:rPr>
          <w:rFonts w:hint="eastAsia" w:ascii="宋体" w:hAnsi="宋体"/>
          <w:color w:val="auto"/>
          <w:sz w:val="24"/>
          <w:highlight w:val="none"/>
        </w:rPr>
        <w:t>人组成的评标委员会（以下简称评委会），负责本项目的评标工作。招标人内部监督小组，负责评标过程中的记录、联络及评委会交办的其他工作。</w:t>
      </w:r>
    </w:p>
    <w:p w14:paraId="338EA215">
      <w:pPr>
        <w:adjustRightInd w:val="0"/>
        <w:snapToGrid w:val="0"/>
        <w:spacing w:line="360" w:lineRule="auto"/>
        <w:ind w:right="-10" w:firstLine="482" w:firstLineChars="200"/>
        <w:rPr>
          <w:rFonts w:hint="eastAsia" w:ascii="宋体" w:hAnsi="宋体"/>
          <w:color w:val="auto"/>
          <w:sz w:val="24"/>
          <w:highlight w:val="none"/>
        </w:rPr>
      </w:pPr>
      <w:r>
        <w:rPr>
          <w:rFonts w:hint="eastAsia" w:ascii="宋体" w:hAnsi="宋体"/>
          <w:b/>
          <w:color w:val="auto"/>
          <w:sz w:val="24"/>
          <w:highlight w:val="none"/>
        </w:rPr>
        <w:t xml:space="preserve">第四条 </w:t>
      </w:r>
      <w:r>
        <w:rPr>
          <w:rFonts w:hint="eastAsia" w:ascii="宋体" w:hAnsi="宋体"/>
          <w:color w:val="auto"/>
          <w:sz w:val="24"/>
          <w:highlight w:val="none"/>
        </w:rPr>
        <w:t>评委会按照“客观公正，实事求是”的原则，评价参加本次招标的投标人所提供的服务对</w:t>
      </w:r>
      <w:r>
        <w:rPr>
          <w:rFonts w:hint="eastAsia" w:ascii="宋体" w:hAnsi="宋体"/>
          <w:color w:val="auto"/>
          <w:sz w:val="24"/>
          <w:highlight w:val="none"/>
          <w:lang w:eastAsia="zh-CN"/>
        </w:rPr>
        <w:t>采购文件</w:t>
      </w:r>
      <w:r>
        <w:rPr>
          <w:rFonts w:hint="eastAsia" w:ascii="宋体" w:hAnsi="宋体"/>
          <w:color w:val="auto"/>
          <w:sz w:val="24"/>
          <w:highlight w:val="none"/>
        </w:rPr>
        <w:t>的符合性及响应性。</w:t>
      </w:r>
    </w:p>
    <w:p w14:paraId="0015A607">
      <w:pPr>
        <w:adjustRightInd w:val="0"/>
        <w:snapToGrid w:val="0"/>
        <w:spacing w:line="360" w:lineRule="auto"/>
        <w:ind w:right="-10"/>
        <w:jc w:val="center"/>
        <w:rPr>
          <w:rFonts w:hint="eastAsia" w:ascii="宋体" w:hAnsi="宋体"/>
          <w:color w:val="auto"/>
          <w:sz w:val="24"/>
          <w:highlight w:val="none"/>
        </w:rPr>
      </w:pPr>
      <w:r>
        <w:rPr>
          <w:rFonts w:hint="eastAsia" w:ascii="宋体" w:hAnsi="宋体"/>
          <w:b/>
          <w:color w:val="auto"/>
          <w:sz w:val="24"/>
          <w:highlight w:val="none"/>
        </w:rPr>
        <w:t>二、  评标程序及评审细则</w:t>
      </w:r>
    </w:p>
    <w:p w14:paraId="208D1BBB">
      <w:pPr>
        <w:adjustRightInd w:val="0"/>
        <w:snapToGrid w:val="0"/>
        <w:spacing w:line="360" w:lineRule="auto"/>
        <w:ind w:right="-10" w:firstLine="480"/>
        <w:rPr>
          <w:rFonts w:hint="eastAsia"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评标工作于开标后进行。评委会应认真研究</w:t>
      </w:r>
      <w:r>
        <w:rPr>
          <w:rFonts w:hint="eastAsia" w:ascii="宋体" w:hAnsi="宋体"/>
          <w:color w:val="auto"/>
          <w:sz w:val="24"/>
          <w:highlight w:val="none"/>
          <w:lang w:eastAsia="zh-CN"/>
        </w:rPr>
        <w:t>采购文件</w:t>
      </w:r>
      <w:r>
        <w:rPr>
          <w:rFonts w:hint="eastAsia" w:ascii="宋体" w:hAnsi="宋体"/>
          <w:color w:val="auto"/>
          <w:sz w:val="24"/>
          <w:highlight w:val="none"/>
        </w:rPr>
        <w:t>，至少应了解和熟悉以下内容：</w:t>
      </w:r>
    </w:p>
    <w:p w14:paraId="377CFD99">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（一）招标的目标；</w:t>
      </w:r>
    </w:p>
    <w:p w14:paraId="1F656A3D">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（二）招标项目的范围和性质；</w:t>
      </w:r>
    </w:p>
    <w:p w14:paraId="0BC55592">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采购文件</w:t>
      </w:r>
      <w:r>
        <w:rPr>
          <w:rFonts w:hint="eastAsia" w:ascii="宋体" w:hAnsi="宋体"/>
          <w:color w:val="auto"/>
          <w:sz w:val="24"/>
          <w:highlight w:val="none"/>
        </w:rPr>
        <w:t>中规定的主要服务要求、标准和商务条款；</w:t>
      </w:r>
    </w:p>
    <w:p w14:paraId="5EA0B799">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（四）</w:t>
      </w:r>
      <w:r>
        <w:rPr>
          <w:rFonts w:hint="eastAsia" w:ascii="宋体" w:hAnsi="宋体"/>
          <w:color w:val="auto"/>
          <w:sz w:val="24"/>
          <w:highlight w:val="none"/>
          <w:lang w:eastAsia="zh-CN"/>
        </w:rPr>
        <w:t>采购文件</w:t>
      </w:r>
      <w:r>
        <w:rPr>
          <w:rFonts w:hint="eastAsia" w:ascii="宋体" w:hAnsi="宋体"/>
          <w:color w:val="auto"/>
          <w:sz w:val="24"/>
          <w:highlight w:val="none"/>
        </w:rPr>
        <w:t>规定的评标标准、评标方法和在评标过程中考虑的相关因素。</w:t>
      </w:r>
    </w:p>
    <w:p w14:paraId="0CDF9C6A">
      <w:pPr>
        <w:adjustRightInd w:val="0"/>
        <w:snapToGrid w:val="0"/>
        <w:spacing w:line="360" w:lineRule="auto"/>
        <w:ind w:right="-10" w:firstLine="482" w:firstLineChars="200"/>
        <w:rPr>
          <w:rFonts w:hint="eastAsia"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有效投标应符合以下原则：</w:t>
      </w:r>
    </w:p>
    <w:p w14:paraId="71FFF02E">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（一）满足</w:t>
      </w:r>
      <w:r>
        <w:rPr>
          <w:rFonts w:hint="eastAsia" w:ascii="宋体" w:hAnsi="宋体"/>
          <w:color w:val="auto"/>
          <w:sz w:val="24"/>
          <w:highlight w:val="none"/>
          <w:lang w:eastAsia="zh-CN"/>
        </w:rPr>
        <w:t>采购文件</w:t>
      </w:r>
      <w:r>
        <w:rPr>
          <w:rFonts w:hint="eastAsia" w:ascii="宋体" w:hAnsi="宋体"/>
          <w:color w:val="auto"/>
          <w:sz w:val="24"/>
          <w:highlight w:val="none"/>
        </w:rPr>
        <w:t>的实质性要求；</w:t>
      </w:r>
    </w:p>
    <w:p w14:paraId="6806C798">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（二）无重大偏离、保留或招标人不能接受的附加条件；</w:t>
      </w:r>
    </w:p>
    <w:p w14:paraId="3121B9D2">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（三）通过投标初审；</w:t>
      </w:r>
    </w:p>
    <w:p w14:paraId="3F461434">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color w:val="auto"/>
          <w:sz w:val="24"/>
          <w:highlight w:val="none"/>
        </w:rPr>
        <w:t>（四）报价不低于投标成本；</w:t>
      </w:r>
    </w:p>
    <w:p w14:paraId="7BF7CAED">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color w:val="auto"/>
          <w:sz w:val="24"/>
          <w:highlight w:val="none"/>
        </w:rPr>
        <w:t>（五）评委会依据</w:t>
      </w:r>
      <w:r>
        <w:rPr>
          <w:rFonts w:hint="eastAsia" w:ascii="宋体" w:hAnsi="宋体"/>
          <w:color w:val="auto"/>
          <w:sz w:val="24"/>
          <w:highlight w:val="none"/>
          <w:lang w:eastAsia="zh-CN"/>
        </w:rPr>
        <w:t>采购文件</w:t>
      </w:r>
      <w:r>
        <w:rPr>
          <w:rFonts w:hint="eastAsia" w:ascii="宋体" w:hAnsi="宋体"/>
          <w:color w:val="auto"/>
          <w:sz w:val="24"/>
          <w:highlight w:val="none"/>
        </w:rPr>
        <w:t>认定的其他原则。</w:t>
      </w:r>
    </w:p>
    <w:p w14:paraId="525EE0D0">
      <w:pPr>
        <w:adjustRightInd w:val="0"/>
        <w:snapToGrid w:val="0"/>
        <w:spacing w:line="360" w:lineRule="auto"/>
        <w:ind w:right="-10" w:firstLine="482" w:firstLineChars="200"/>
        <w:rPr>
          <w:rFonts w:hint="eastAsia" w:ascii="宋体" w:hAnsi="宋体"/>
          <w:color w:val="auto"/>
          <w:sz w:val="24"/>
          <w:highlight w:val="none"/>
        </w:rPr>
      </w:pPr>
      <w:r>
        <w:rPr>
          <w:rFonts w:hint="eastAsia" w:ascii="宋体" w:hAnsi="宋体"/>
          <w:b/>
          <w:color w:val="auto"/>
          <w:sz w:val="24"/>
          <w:highlight w:val="none"/>
        </w:rPr>
        <w:t xml:space="preserve">第七条 </w:t>
      </w:r>
      <w:r>
        <w:rPr>
          <w:rFonts w:hint="eastAsia" w:ascii="宋体" w:hAnsi="宋体" w:cs="宋体-18030"/>
          <w:color w:val="auto"/>
          <w:sz w:val="24"/>
          <w:highlight w:val="none"/>
        </w:rPr>
        <w:t>评委会遵循公开、公平、公正和科学诚信的原则，对所有投标文件均采用相同程序和标准，进行评定。</w:t>
      </w:r>
    </w:p>
    <w:p w14:paraId="15B628DA">
      <w:pPr>
        <w:adjustRightInd w:val="0"/>
        <w:snapToGrid w:val="0"/>
        <w:spacing w:line="360" w:lineRule="auto"/>
        <w:ind w:right="-10" w:firstLine="482" w:firstLineChars="200"/>
        <w:rPr>
          <w:rFonts w:hint="eastAsia" w:ascii="宋体" w:hAnsi="宋体" w:cs="宋体-18030"/>
          <w:color w:val="auto"/>
          <w:sz w:val="24"/>
          <w:szCs w:val="22"/>
          <w:highlight w:val="none"/>
        </w:rPr>
      </w:pPr>
      <w:r>
        <w:rPr>
          <w:rFonts w:hint="eastAsia" w:ascii="宋体" w:hAnsi="宋体"/>
          <w:b/>
          <w:color w:val="auto"/>
          <w:sz w:val="24"/>
          <w:highlight w:val="none"/>
        </w:rPr>
        <w:t>第八条</w:t>
      </w:r>
      <w:r>
        <w:rPr>
          <w:rFonts w:hint="eastAsia" w:ascii="宋体" w:hAnsi="宋体" w:cs="宋体-18030"/>
          <w:color w:val="auto"/>
          <w:sz w:val="24"/>
          <w:highlight w:val="none"/>
        </w:rPr>
        <w:t xml:space="preserve"> 评审</w:t>
      </w:r>
      <w:r>
        <w:rPr>
          <w:rFonts w:hint="eastAsia" w:ascii="宋体" w:hAnsi="宋体" w:cs="宋体-18030"/>
          <w:color w:val="auto"/>
          <w:sz w:val="24"/>
          <w:szCs w:val="22"/>
          <w:highlight w:val="none"/>
        </w:rPr>
        <w:t>程序</w:t>
      </w:r>
    </w:p>
    <w:p w14:paraId="32D8E805">
      <w:pPr>
        <w:spacing w:line="360" w:lineRule="auto"/>
        <w:ind w:firstLine="480" w:firstLineChars="200"/>
        <w:rPr>
          <w:rFonts w:hint="eastAsia" w:ascii="宋体" w:hAnsi="宋体"/>
          <w:color w:val="auto"/>
          <w:sz w:val="24"/>
          <w:szCs w:val="24"/>
          <w:highlight w:val="none"/>
        </w:rPr>
      </w:pPr>
      <w:r>
        <w:rPr>
          <w:rFonts w:hint="eastAsia" w:ascii="宋体" w:hAnsi="宋体" w:cs="宋体-18030"/>
          <w:color w:val="auto"/>
          <w:sz w:val="24"/>
          <w:szCs w:val="22"/>
          <w:highlight w:val="none"/>
        </w:rPr>
        <w:t>1、本次评标采用</w:t>
      </w:r>
      <w:r>
        <w:rPr>
          <w:rFonts w:hint="eastAsia" w:ascii="宋体" w:hAnsi="宋体" w:cs="宋体-18030"/>
          <w:color w:val="auto"/>
          <w:sz w:val="24"/>
          <w:szCs w:val="22"/>
          <w:highlight w:val="none"/>
          <w:lang w:eastAsia="zh-CN"/>
        </w:rPr>
        <w:t>简易中位值</w:t>
      </w:r>
      <w:r>
        <w:rPr>
          <w:rFonts w:hint="eastAsia" w:ascii="宋体" w:hAnsi="宋体"/>
          <w:color w:val="auto"/>
          <w:sz w:val="24"/>
          <w:szCs w:val="22"/>
          <w:highlight w:val="none"/>
        </w:rPr>
        <w:t>评审法，</w:t>
      </w:r>
      <w:r>
        <w:rPr>
          <w:rFonts w:hint="eastAsia" w:ascii="宋体" w:hAnsi="宋体"/>
          <w:color w:val="auto"/>
          <w:sz w:val="24"/>
          <w:szCs w:val="24"/>
          <w:highlight w:val="none"/>
        </w:rPr>
        <w:t>即评标委员会遵循规定评标原则，对通过初步筛查的投标人的投标报价，按规定计算办法计算出有效值后，对高于或等于有效值的投标报价从低到高（不高于控制价）依次进行资格后审申请评审、商务标评审和技术标评审，评审均通过的即为第一中标候选人。如投标人资格后审申请评审、商务标和技术标评审中任一项被判定为未通过评审，再按报价由低到高依次进行递补，按顺序依次评出第一中标候选人、第二中标候选人（如有）。</w:t>
      </w:r>
    </w:p>
    <w:p w14:paraId="67C215AB">
      <w:pPr>
        <w:pStyle w:val="10"/>
        <w:rPr>
          <w:rFonts w:hint="eastAsia"/>
          <w:color w:val="auto"/>
          <w:sz w:val="24"/>
          <w:szCs w:val="24"/>
          <w:highlight w:val="none"/>
        </w:rPr>
      </w:pPr>
      <w:bookmarkStart w:id="17" w:name="_Toc460660143"/>
      <w:bookmarkStart w:id="18" w:name="_Toc471820133"/>
      <w:bookmarkStart w:id="19" w:name="_Toc471819760"/>
      <w:r>
        <w:rPr>
          <w:rFonts w:hint="eastAsia"/>
          <w:color w:val="auto"/>
          <w:sz w:val="24"/>
          <w:szCs w:val="24"/>
          <w:highlight w:val="none"/>
        </w:rPr>
        <w:t>一、初步筛查评审表</w:t>
      </w:r>
      <w:bookmarkEnd w:id="17"/>
      <w:bookmarkEnd w:id="18"/>
      <w:bookmarkEnd w:id="19"/>
    </w:p>
    <w:tbl>
      <w:tblPr>
        <w:tblStyle w:val="53"/>
        <w:tblW w:w="470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8"/>
        <w:gridCol w:w="7643"/>
      </w:tblGrid>
      <w:tr w14:paraId="09C6D8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29" w:hRule="atLeast"/>
          <w:jc w:val="center"/>
        </w:trPr>
        <w:tc>
          <w:tcPr>
            <w:tcW w:w="791" w:type="pct"/>
            <w:tcBorders>
              <w:top w:val="outset" w:color="auto" w:sz="6" w:space="0"/>
              <w:left w:val="outset" w:color="auto" w:sz="6" w:space="0"/>
              <w:bottom w:val="outset" w:color="auto" w:sz="6" w:space="0"/>
              <w:right w:val="outset" w:color="auto" w:sz="6" w:space="0"/>
            </w:tcBorders>
            <w:noWrap w:val="0"/>
            <w:vAlign w:val="center"/>
          </w:tcPr>
          <w:p w14:paraId="696ED21F">
            <w:pPr>
              <w:pStyle w:val="104"/>
              <w:adjustRightInd w:val="0"/>
              <w:snapToGrid w:val="0"/>
              <w:spacing w:line="360" w:lineRule="auto"/>
              <w:ind w:firstLine="120" w:firstLineChars="50"/>
              <w:jc w:val="center"/>
              <w:rPr>
                <w:rFonts w:ascii="宋体" w:hAnsi="宋体" w:eastAsia="宋体"/>
                <w:color w:val="auto"/>
                <w:highlight w:val="none"/>
              </w:rPr>
            </w:pPr>
            <w:r>
              <w:rPr>
                <w:rFonts w:ascii="宋体" w:hAnsi="宋体" w:eastAsia="宋体"/>
                <w:bCs/>
                <w:color w:val="auto"/>
                <w:highlight w:val="none"/>
              </w:rPr>
              <w:t>评审因素</w:t>
            </w:r>
          </w:p>
        </w:tc>
        <w:tc>
          <w:tcPr>
            <w:tcW w:w="4208" w:type="pct"/>
            <w:tcBorders>
              <w:top w:val="outset" w:color="auto" w:sz="6" w:space="0"/>
              <w:left w:val="outset" w:color="auto" w:sz="6" w:space="0"/>
              <w:bottom w:val="outset" w:color="auto" w:sz="6" w:space="0"/>
              <w:right w:val="outset" w:color="auto" w:sz="6" w:space="0"/>
            </w:tcBorders>
            <w:noWrap w:val="0"/>
            <w:vAlign w:val="center"/>
          </w:tcPr>
          <w:p w14:paraId="7A30B74F">
            <w:pPr>
              <w:pStyle w:val="104"/>
              <w:adjustRightInd w:val="0"/>
              <w:snapToGrid w:val="0"/>
              <w:spacing w:line="360" w:lineRule="auto"/>
              <w:ind w:firstLine="120" w:firstLineChars="50"/>
              <w:jc w:val="center"/>
              <w:rPr>
                <w:rFonts w:ascii="宋体" w:hAnsi="宋体" w:eastAsia="宋体"/>
                <w:color w:val="auto"/>
                <w:highlight w:val="none"/>
              </w:rPr>
            </w:pPr>
            <w:r>
              <w:rPr>
                <w:rFonts w:ascii="宋体" w:hAnsi="宋体" w:eastAsia="宋体"/>
                <w:bCs/>
                <w:color w:val="auto"/>
                <w:highlight w:val="none"/>
              </w:rPr>
              <w:t>评审标准</w:t>
            </w:r>
          </w:p>
        </w:tc>
      </w:tr>
      <w:tr w14:paraId="2C07931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pct"/>
            <w:vMerge w:val="restart"/>
            <w:tcBorders>
              <w:top w:val="outset" w:color="auto" w:sz="6" w:space="0"/>
              <w:left w:val="outset" w:color="auto" w:sz="6" w:space="0"/>
              <w:right w:val="outset" w:color="auto" w:sz="6" w:space="0"/>
            </w:tcBorders>
            <w:noWrap w:val="0"/>
            <w:vAlign w:val="center"/>
          </w:tcPr>
          <w:p w14:paraId="256D413E">
            <w:pPr>
              <w:pStyle w:val="104"/>
              <w:adjustRightInd w:val="0"/>
              <w:snapToGrid w:val="0"/>
              <w:spacing w:line="360" w:lineRule="auto"/>
              <w:jc w:val="center"/>
              <w:rPr>
                <w:rFonts w:hint="eastAsia" w:ascii="宋体" w:hAnsi="宋体" w:eastAsia="宋体"/>
                <w:bCs/>
                <w:color w:val="auto"/>
                <w:highlight w:val="none"/>
                <w:lang w:eastAsia="zh-CN"/>
              </w:rPr>
            </w:pPr>
            <w:r>
              <w:rPr>
                <w:rFonts w:hint="eastAsia" w:ascii="宋体" w:hAnsi="宋体" w:eastAsia="宋体"/>
                <w:bCs/>
                <w:color w:val="auto"/>
                <w:highlight w:val="none"/>
                <w:lang w:eastAsia="zh-CN"/>
              </w:rPr>
              <w:t>初步筛查</w:t>
            </w:r>
          </w:p>
          <w:p w14:paraId="79BCF209">
            <w:pPr>
              <w:pStyle w:val="104"/>
              <w:adjustRightInd w:val="0"/>
              <w:snapToGrid w:val="0"/>
              <w:spacing w:line="360" w:lineRule="auto"/>
              <w:jc w:val="center"/>
              <w:rPr>
                <w:rFonts w:hint="eastAsia" w:ascii="宋体" w:hAnsi="宋体" w:eastAsia="宋体"/>
                <w:color w:val="auto"/>
                <w:highlight w:val="none"/>
                <w:lang w:eastAsia="zh-CN"/>
              </w:rPr>
            </w:pPr>
            <w:r>
              <w:rPr>
                <w:rFonts w:ascii="宋体" w:hAnsi="宋体" w:eastAsia="宋体"/>
                <w:bCs/>
                <w:color w:val="auto"/>
                <w:highlight w:val="none"/>
              </w:rPr>
              <w:t>评审标准</w:t>
            </w: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61A957E">
            <w:pPr>
              <w:pStyle w:val="104"/>
              <w:adjustRightInd w:val="0"/>
              <w:snapToGrid w:val="0"/>
              <w:spacing w:line="360" w:lineRule="auto"/>
              <w:rPr>
                <w:rFonts w:ascii="宋体" w:hAnsi="宋体" w:eastAsia="宋体"/>
                <w:color w:val="auto"/>
                <w:highlight w:val="none"/>
                <w:lang w:eastAsia="zh-CN"/>
              </w:rPr>
            </w:pPr>
            <w:r>
              <w:rPr>
                <w:rFonts w:hint="eastAsia" w:ascii="宋体" w:hAnsi="宋体"/>
                <w:color w:val="auto"/>
                <w:highlight w:val="none"/>
              </w:rPr>
              <w:t>投标报价高于或等于控制价的</w:t>
            </w:r>
          </w:p>
        </w:tc>
      </w:tr>
      <w:tr w14:paraId="7C3CA75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pct"/>
            <w:vMerge w:val="continue"/>
            <w:tcBorders>
              <w:left w:val="outset" w:color="auto" w:sz="6" w:space="0"/>
              <w:right w:val="outset" w:color="auto" w:sz="6" w:space="0"/>
            </w:tcBorders>
            <w:noWrap w:val="0"/>
            <w:vAlign w:val="center"/>
          </w:tcPr>
          <w:p w14:paraId="598C7A81">
            <w:pPr>
              <w:pStyle w:val="104"/>
              <w:adjustRightInd w:val="0"/>
              <w:snapToGrid w:val="0"/>
              <w:spacing w:line="360" w:lineRule="auto"/>
              <w:jc w:val="center"/>
              <w:rPr>
                <w:rFonts w:hint="eastAsia" w:ascii="宋体" w:hAnsi="宋体" w:eastAsia="宋体"/>
                <w:color w:val="auto"/>
                <w:highlight w:val="none"/>
                <w:lang w:eastAsia="zh-CN"/>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856EEED">
            <w:pPr>
              <w:pStyle w:val="104"/>
              <w:adjustRightInd w:val="0"/>
              <w:snapToGrid w:val="0"/>
              <w:spacing w:line="360" w:lineRule="auto"/>
              <w:rPr>
                <w:rFonts w:ascii="宋体" w:hAnsi="宋体" w:eastAsia="宋体"/>
                <w:color w:val="auto"/>
                <w:highlight w:val="none"/>
                <w:lang w:eastAsia="zh-CN"/>
              </w:rPr>
            </w:pPr>
            <w:r>
              <w:rPr>
                <w:rFonts w:hint="eastAsia" w:ascii="宋体" w:hAnsi="宋体"/>
                <w:color w:val="auto"/>
                <w:highlight w:val="none"/>
              </w:rPr>
              <w:t>报名不通过的投标单位</w:t>
            </w:r>
          </w:p>
        </w:tc>
      </w:tr>
      <w:tr w14:paraId="4214D6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pct"/>
            <w:vMerge w:val="continue"/>
            <w:tcBorders>
              <w:left w:val="outset" w:color="auto" w:sz="6" w:space="0"/>
              <w:right w:val="outset" w:color="auto" w:sz="6" w:space="0"/>
            </w:tcBorders>
            <w:noWrap w:val="0"/>
            <w:vAlign w:val="center"/>
          </w:tcPr>
          <w:p w14:paraId="015314FC">
            <w:pPr>
              <w:pStyle w:val="104"/>
              <w:adjustRightInd w:val="0"/>
              <w:snapToGrid w:val="0"/>
              <w:spacing w:line="360" w:lineRule="auto"/>
              <w:jc w:val="center"/>
              <w:rPr>
                <w:rFonts w:ascii="宋体" w:hAnsi="宋体" w:eastAsia="宋体"/>
                <w:color w:val="auto"/>
                <w:highlight w:val="none"/>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1A49FE2">
            <w:pPr>
              <w:pStyle w:val="104"/>
              <w:adjustRightInd w:val="0"/>
              <w:snapToGrid w:val="0"/>
              <w:spacing w:line="360" w:lineRule="auto"/>
              <w:rPr>
                <w:rFonts w:ascii="宋体" w:hAnsi="宋体" w:eastAsia="宋体"/>
                <w:color w:val="auto"/>
                <w:highlight w:val="none"/>
              </w:rPr>
            </w:pPr>
            <w:r>
              <w:rPr>
                <w:rFonts w:hint="eastAsia" w:ascii="宋体" w:hAnsi="宋体"/>
                <w:color w:val="auto"/>
                <w:highlight w:val="none"/>
              </w:rPr>
              <w:t>投标保证金不通过的投标单位</w:t>
            </w:r>
          </w:p>
        </w:tc>
      </w:tr>
      <w:tr w14:paraId="41CE02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pct"/>
            <w:vMerge w:val="continue"/>
            <w:tcBorders>
              <w:left w:val="outset" w:color="auto" w:sz="6" w:space="0"/>
              <w:right w:val="outset" w:color="auto" w:sz="6" w:space="0"/>
            </w:tcBorders>
            <w:noWrap w:val="0"/>
            <w:vAlign w:val="center"/>
          </w:tcPr>
          <w:p w14:paraId="02983383">
            <w:pPr>
              <w:pStyle w:val="104"/>
              <w:adjustRightInd w:val="0"/>
              <w:snapToGrid w:val="0"/>
              <w:spacing w:line="360" w:lineRule="auto"/>
              <w:jc w:val="center"/>
              <w:rPr>
                <w:rFonts w:ascii="宋体" w:hAnsi="宋体" w:eastAsia="宋体"/>
                <w:color w:val="auto"/>
                <w:highlight w:val="none"/>
                <w:lang w:eastAsia="zh-CN"/>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1197AB68">
            <w:pPr>
              <w:pStyle w:val="104"/>
              <w:adjustRightInd w:val="0"/>
              <w:snapToGrid w:val="0"/>
              <w:spacing w:line="360" w:lineRule="auto"/>
              <w:rPr>
                <w:rFonts w:hint="eastAsia" w:ascii="宋体" w:hAnsi="宋体" w:eastAsia="宋体"/>
                <w:color w:val="auto"/>
                <w:highlight w:val="none"/>
                <w:lang w:eastAsia="zh-CN"/>
              </w:rPr>
            </w:pPr>
            <w:r>
              <w:rPr>
                <w:rFonts w:hint="eastAsia" w:ascii="宋体" w:hAnsi="宋体" w:eastAsia="宋体" w:cs="宋体"/>
                <w:color w:val="auto"/>
                <w:sz w:val="24"/>
                <w:szCs w:val="24"/>
                <w:highlight w:val="none"/>
              </w:rPr>
              <w:t>标书份数及封装</w:t>
            </w:r>
            <w:r>
              <w:rPr>
                <w:rFonts w:hint="eastAsia" w:ascii="宋体" w:hAnsi="宋体" w:eastAsia="宋体" w:cs="宋体"/>
                <w:color w:val="auto"/>
                <w:sz w:val="24"/>
                <w:szCs w:val="24"/>
                <w:highlight w:val="none"/>
                <w:lang w:eastAsia="zh-CN"/>
              </w:rPr>
              <w:t>不符合采购文件要求的</w:t>
            </w:r>
          </w:p>
        </w:tc>
      </w:tr>
      <w:tr w14:paraId="3F1EFA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pct"/>
            <w:vMerge w:val="continue"/>
            <w:tcBorders>
              <w:left w:val="outset" w:color="auto" w:sz="6" w:space="0"/>
              <w:right w:val="outset" w:color="auto" w:sz="6" w:space="0"/>
            </w:tcBorders>
            <w:noWrap w:val="0"/>
            <w:vAlign w:val="center"/>
          </w:tcPr>
          <w:p w14:paraId="0AABB280">
            <w:pPr>
              <w:pStyle w:val="104"/>
              <w:adjustRightInd w:val="0"/>
              <w:snapToGrid w:val="0"/>
              <w:spacing w:line="360" w:lineRule="auto"/>
              <w:jc w:val="center"/>
              <w:rPr>
                <w:rFonts w:ascii="宋体" w:hAnsi="宋体" w:eastAsia="宋体"/>
                <w:color w:val="auto"/>
                <w:highlight w:val="none"/>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920B64D">
            <w:pPr>
              <w:pStyle w:val="104"/>
              <w:adjustRightInd w:val="0"/>
              <w:snapToGrid w:val="0"/>
              <w:spacing w:line="360" w:lineRule="auto"/>
              <w:rPr>
                <w:rFonts w:ascii="宋体" w:hAnsi="宋体" w:eastAsia="宋体"/>
                <w:color w:val="auto"/>
                <w:highlight w:val="none"/>
                <w:lang w:val="en-US" w:eastAsia="zh-CN"/>
              </w:rPr>
            </w:pPr>
            <w:r>
              <w:rPr>
                <w:rFonts w:hint="eastAsia" w:ascii="宋体" w:hAnsi="宋体"/>
                <w:color w:val="auto"/>
                <w:highlight w:val="none"/>
              </w:rPr>
              <w:t>总价明显失误经评委会重点评审不通过的，如数量级错误、报价金额单位错误等；</w:t>
            </w:r>
          </w:p>
        </w:tc>
      </w:tr>
    </w:tbl>
    <w:p w14:paraId="6CA980F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有以上情况的作无效标判定，不再参与后续评审。</w:t>
      </w:r>
    </w:p>
    <w:p w14:paraId="68230741">
      <w:pPr>
        <w:keepNext/>
        <w:keepLines/>
        <w:spacing w:before="260" w:after="260" w:line="416" w:lineRule="auto"/>
        <w:jc w:val="center"/>
        <w:outlineLvl w:val="1"/>
        <w:rPr>
          <w:rFonts w:hint="eastAsia" w:ascii="宋体" w:hAnsi="宋体"/>
          <w:bCs/>
          <w:color w:val="auto"/>
          <w:sz w:val="32"/>
          <w:szCs w:val="21"/>
          <w:highlight w:val="none"/>
        </w:rPr>
      </w:pPr>
      <w:r>
        <w:rPr>
          <w:rFonts w:hint="eastAsia" w:ascii="黑体" w:hAnsi="黑体" w:eastAsia="黑体"/>
          <w:bCs/>
          <w:color w:val="auto"/>
          <w:sz w:val="32"/>
          <w:szCs w:val="32"/>
          <w:highlight w:val="none"/>
          <w:lang w:eastAsia="zh-CN"/>
        </w:rPr>
        <w:t>二、</w:t>
      </w:r>
      <w:r>
        <w:rPr>
          <w:rFonts w:hint="eastAsia" w:ascii="黑体" w:hAnsi="黑体" w:eastAsia="黑体"/>
          <w:bCs/>
          <w:color w:val="auto"/>
          <w:sz w:val="32"/>
          <w:szCs w:val="32"/>
          <w:highlight w:val="none"/>
        </w:rPr>
        <w:t>有效值计算方法</w:t>
      </w:r>
    </w:p>
    <w:p w14:paraId="56FF91E4">
      <w:pPr>
        <w:keepNext/>
        <w:keepLines/>
        <w:spacing w:before="100" w:line="400" w:lineRule="exact"/>
        <w:outlineLvl w:val="1"/>
        <w:rPr>
          <w:rFonts w:hint="eastAsia" w:eastAsia="黑体" w:cs="宋体"/>
          <w:color w:val="auto"/>
          <w:sz w:val="28"/>
          <w:szCs w:val="20"/>
          <w:highlight w:val="none"/>
        </w:rPr>
      </w:pPr>
      <w:bookmarkStart w:id="20" w:name="_Toc43725783"/>
      <w:bookmarkStart w:id="21" w:name="_Toc11078185"/>
      <w:r>
        <w:rPr>
          <w:rFonts w:hint="eastAsia" w:eastAsia="黑体" w:cs="宋体"/>
          <w:color w:val="auto"/>
          <w:sz w:val="28"/>
          <w:szCs w:val="20"/>
          <w:highlight w:val="none"/>
        </w:rPr>
        <w:t>1. 评审系数一览表</w:t>
      </w:r>
      <w:bookmarkEnd w:id="20"/>
      <w:bookmarkEnd w:id="21"/>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07"/>
        <w:gridCol w:w="2907"/>
      </w:tblGrid>
      <w:tr w14:paraId="3749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noWrap w:val="0"/>
            <w:vAlign w:val="center"/>
          </w:tcPr>
          <w:p w14:paraId="24C6A18C">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序号</w:t>
            </w:r>
          </w:p>
        </w:tc>
        <w:tc>
          <w:tcPr>
            <w:tcW w:w="2907" w:type="dxa"/>
            <w:noWrap w:val="0"/>
            <w:vAlign w:val="center"/>
          </w:tcPr>
          <w:p w14:paraId="6F4A01AE">
            <w:pPr>
              <w:jc w:val="center"/>
              <w:rPr>
                <w:rFonts w:hint="eastAsia" w:ascii="宋体" w:hAnsi="宋体"/>
                <w:color w:val="auto"/>
                <w:sz w:val="24"/>
                <w:szCs w:val="24"/>
                <w:highlight w:val="none"/>
              </w:rPr>
            </w:pPr>
            <w:r>
              <w:rPr>
                <w:rFonts w:hint="eastAsia" w:ascii="宋体" w:hAnsi="宋体"/>
                <w:color w:val="auto"/>
                <w:sz w:val="24"/>
                <w:szCs w:val="24"/>
                <w:highlight w:val="none"/>
              </w:rPr>
              <w:t>系数名称</w:t>
            </w:r>
          </w:p>
        </w:tc>
        <w:tc>
          <w:tcPr>
            <w:tcW w:w="2907" w:type="dxa"/>
            <w:noWrap w:val="0"/>
            <w:vAlign w:val="center"/>
          </w:tcPr>
          <w:p w14:paraId="78A06E46">
            <w:pPr>
              <w:jc w:val="center"/>
              <w:rPr>
                <w:rFonts w:hint="eastAsia" w:ascii="宋体" w:hAnsi="宋体"/>
                <w:color w:val="auto"/>
                <w:sz w:val="24"/>
                <w:szCs w:val="24"/>
                <w:highlight w:val="none"/>
              </w:rPr>
            </w:pPr>
            <w:r>
              <w:rPr>
                <w:rFonts w:hint="eastAsia" w:ascii="宋体" w:hAnsi="宋体"/>
                <w:color w:val="auto"/>
                <w:sz w:val="24"/>
                <w:szCs w:val="24"/>
                <w:highlight w:val="none"/>
              </w:rPr>
              <w:t>系数取值</w:t>
            </w:r>
          </w:p>
        </w:tc>
      </w:tr>
      <w:tr w14:paraId="5717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noWrap w:val="0"/>
            <w:vAlign w:val="center"/>
          </w:tcPr>
          <w:p w14:paraId="6F1BF795">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2907" w:type="dxa"/>
            <w:noWrap w:val="0"/>
            <w:vAlign w:val="center"/>
          </w:tcPr>
          <w:p w14:paraId="73457541">
            <w:pPr>
              <w:jc w:val="center"/>
              <w:rPr>
                <w:rFonts w:ascii="宋体" w:hAnsi="宋体"/>
                <w:color w:val="auto"/>
                <w:sz w:val="24"/>
                <w:szCs w:val="24"/>
                <w:highlight w:val="none"/>
              </w:rPr>
            </w:pPr>
            <w:r>
              <w:rPr>
                <w:rFonts w:hint="eastAsia" w:ascii="宋体" w:hAnsi="宋体"/>
                <w:color w:val="auto"/>
                <w:sz w:val="24"/>
                <w:szCs w:val="24"/>
                <w:highlight w:val="none"/>
              </w:rPr>
              <w:t>K</w:t>
            </w:r>
          </w:p>
        </w:tc>
        <w:tc>
          <w:tcPr>
            <w:tcW w:w="2907" w:type="dxa"/>
            <w:noWrap w:val="0"/>
            <w:vAlign w:val="center"/>
          </w:tcPr>
          <w:p w14:paraId="76DAA2C1">
            <w:pPr>
              <w:jc w:val="center"/>
              <w:rPr>
                <w:rFonts w:ascii="宋体" w:hAnsi="宋体"/>
                <w:b/>
                <w:color w:val="auto"/>
                <w:sz w:val="24"/>
                <w:szCs w:val="24"/>
                <w:highlight w:val="none"/>
              </w:rPr>
            </w:pPr>
            <w:r>
              <w:rPr>
                <w:rFonts w:hint="eastAsia" w:ascii="宋体" w:hAnsi="宋体"/>
                <w:b/>
                <w:color w:val="auto"/>
                <w:sz w:val="24"/>
                <w:szCs w:val="24"/>
                <w:highlight w:val="none"/>
                <w:u w:val="single"/>
                <w:lang w:val="en-US" w:eastAsia="zh-CN"/>
              </w:rPr>
              <w:t xml:space="preserve"> 10 </w:t>
            </w:r>
            <w:r>
              <w:rPr>
                <w:rFonts w:hint="eastAsia" w:ascii="宋体" w:hAnsi="宋体"/>
                <w:b/>
                <w:color w:val="auto"/>
                <w:sz w:val="24"/>
                <w:szCs w:val="24"/>
                <w:highlight w:val="none"/>
              </w:rPr>
              <w:t>%</w:t>
            </w:r>
          </w:p>
        </w:tc>
      </w:tr>
      <w:tr w14:paraId="59B8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noWrap w:val="0"/>
            <w:vAlign w:val="center"/>
          </w:tcPr>
          <w:p w14:paraId="5061410A">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2907" w:type="dxa"/>
            <w:noWrap w:val="0"/>
            <w:vAlign w:val="center"/>
          </w:tcPr>
          <w:p w14:paraId="1BAF8A82">
            <w:pPr>
              <w:jc w:val="center"/>
              <w:rPr>
                <w:rFonts w:hint="eastAsia" w:ascii="宋体" w:hAnsi="宋体"/>
                <w:color w:val="auto"/>
                <w:sz w:val="24"/>
                <w:szCs w:val="24"/>
                <w:highlight w:val="none"/>
              </w:rPr>
            </w:pPr>
            <w:r>
              <w:rPr>
                <w:rFonts w:hint="eastAsia" w:ascii="宋体" w:hAnsi="宋体"/>
                <w:color w:val="auto"/>
                <w:sz w:val="24"/>
                <w:szCs w:val="24"/>
                <w:highlight w:val="none"/>
              </w:rPr>
              <w:t>M</w:t>
            </w:r>
          </w:p>
        </w:tc>
        <w:tc>
          <w:tcPr>
            <w:tcW w:w="2907" w:type="dxa"/>
            <w:noWrap w:val="0"/>
            <w:vAlign w:val="center"/>
          </w:tcPr>
          <w:p w14:paraId="0547EDCD">
            <w:pPr>
              <w:jc w:val="center"/>
              <w:rPr>
                <w:rFonts w:hint="eastAsia" w:ascii="宋体" w:hAnsi="宋体"/>
                <w:b/>
                <w:color w:val="auto"/>
                <w:sz w:val="24"/>
                <w:szCs w:val="24"/>
                <w:highlight w:val="none"/>
              </w:rPr>
            </w:pPr>
            <w:r>
              <w:rPr>
                <w:rFonts w:hint="eastAsia" w:ascii="宋体" w:hAnsi="宋体"/>
                <w:b/>
                <w:color w:val="auto"/>
                <w:sz w:val="24"/>
                <w:szCs w:val="24"/>
                <w:highlight w:val="none"/>
                <w:u w:val="single"/>
                <w:lang w:val="en-US" w:eastAsia="zh-CN"/>
              </w:rPr>
              <w:t xml:space="preserve"> 10 </w:t>
            </w:r>
            <w:r>
              <w:rPr>
                <w:rFonts w:hint="eastAsia" w:ascii="宋体" w:hAnsi="宋体"/>
                <w:b/>
                <w:color w:val="auto"/>
                <w:sz w:val="24"/>
                <w:szCs w:val="24"/>
                <w:highlight w:val="none"/>
              </w:rPr>
              <w:t>%</w:t>
            </w:r>
          </w:p>
        </w:tc>
      </w:tr>
    </w:tbl>
    <w:p w14:paraId="2FCB3AEE">
      <w:pPr>
        <w:keepNext/>
        <w:keepLines/>
        <w:spacing w:before="100" w:line="400" w:lineRule="exact"/>
        <w:outlineLvl w:val="1"/>
        <w:rPr>
          <w:rFonts w:hint="default" w:eastAsia="黑体" w:cs="宋体"/>
          <w:color w:val="auto"/>
          <w:sz w:val="28"/>
          <w:szCs w:val="20"/>
          <w:highlight w:val="none"/>
          <w:lang w:val="en-US" w:eastAsia="zh-CN"/>
        </w:rPr>
      </w:pPr>
      <w:bookmarkStart w:id="22" w:name="_Toc11078186"/>
      <w:bookmarkStart w:id="23" w:name="_Toc43725784"/>
    </w:p>
    <w:p w14:paraId="6C476A54">
      <w:pPr>
        <w:keepNext/>
        <w:keepLines/>
        <w:spacing w:before="100" w:line="400" w:lineRule="exact"/>
        <w:outlineLvl w:val="1"/>
        <w:rPr>
          <w:rFonts w:hint="eastAsia" w:eastAsia="黑体" w:cs="宋体"/>
          <w:color w:val="auto"/>
          <w:sz w:val="28"/>
          <w:szCs w:val="20"/>
          <w:highlight w:val="none"/>
          <w:lang w:val="en-US" w:eastAsia="zh-CN"/>
        </w:rPr>
      </w:pPr>
      <w:r>
        <w:rPr>
          <w:rFonts w:hint="eastAsia" w:eastAsia="黑体" w:cs="宋体"/>
          <w:color w:val="auto"/>
          <w:sz w:val="28"/>
          <w:szCs w:val="20"/>
          <w:highlight w:val="none"/>
        </w:rPr>
        <w:t xml:space="preserve">2. </w:t>
      </w:r>
      <w:bookmarkEnd w:id="22"/>
      <w:bookmarkEnd w:id="23"/>
      <w:r>
        <w:rPr>
          <w:rFonts w:hint="eastAsia" w:eastAsia="黑体" w:cs="宋体"/>
          <w:color w:val="auto"/>
          <w:sz w:val="28"/>
          <w:szCs w:val="20"/>
          <w:highlight w:val="none"/>
          <w:lang w:eastAsia="zh-CN"/>
        </w:rPr>
        <w:t>计算平均值</w:t>
      </w:r>
    </w:p>
    <w:p w14:paraId="517E47C3">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对通过初步筛查的投标报价，</w:t>
      </w:r>
      <w:r>
        <w:rPr>
          <w:rFonts w:hint="eastAsia" w:ascii="宋体" w:hAnsi="宋体"/>
          <w:color w:val="auto"/>
          <w:sz w:val="24"/>
          <w:szCs w:val="24"/>
          <w:highlight w:val="none"/>
          <w:lang w:eastAsia="zh-CN"/>
        </w:rPr>
        <w:t>即作为有效评标价，</w:t>
      </w:r>
      <w:r>
        <w:rPr>
          <w:rFonts w:hint="eastAsia" w:ascii="宋体" w:hAnsi="宋体"/>
          <w:color w:val="auto"/>
          <w:sz w:val="24"/>
          <w:szCs w:val="24"/>
          <w:highlight w:val="none"/>
        </w:rPr>
        <w:t>按以下规定确定纳入计算</w:t>
      </w:r>
      <w:r>
        <w:rPr>
          <w:rFonts w:hint="eastAsia" w:ascii="宋体" w:hAnsi="宋体"/>
          <w:color w:val="auto"/>
          <w:sz w:val="24"/>
          <w:szCs w:val="24"/>
          <w:highlight w:val="none"/>
          <w:lang w:eastAsia="zh-CN"/>
        </w:rPr>
        <w:t>平均值</w:t>
      </w:r>
      <w:r>
        <w:rPr>
          <w:rFonts w:hint="eastAsia" w:ascii="宋体" w:hAnsi="宋体"/>
          <w:color w:val="auto"/>
          <w:sz w:val="24"/>
          <w:szCs w:val="24"/>
          <w:highlight w:val="none"/>
        </w:rPr>
        <w:t>计算范围：</w:t>
      </w:r>
    </w:p>
    <w:p w14:paraId="2B6DDD25">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计算</w:t>
      </w:r>
      <w:r>
        <w:rPr>
          <w:rFonts w:hint="eastAsia" w:ascii="宋体" w:hAnsi="宋体"/>
          <w:color w:val="auto"/>
          <w:sz w:val="24"/>
          <w:szCs w:val="24"/>
          <w:highlight w:val="none"/>
          <w:lang w:eastAsia="zh-CN"/>
        </w:rPr>
        <w:t>有效评标价</w:t>
      </w:r>
      <w:r>
        <w:rPr>
          <w:rFonts w:hint="eastAsia" w:ascii="宋体" w:hAnsi="宋体"/>
          <w:color w:val="auto"/>
          <w:sz w:val="24"/>
          <w:szCs w:val="24"/>
          <w:highlight w:val="none"/>
        </w:rPr>
        <w:t>较最高投标限价的降幅。降幅小于K</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lang w:eastAsia="zh-CN"/>
        </w:rPr>
        <w:t>）</w:t>
      </w:r>
      <w:r>
        <w:rPr>
          <w:rFonts w:hint="eastAsia" w:ascii="宋体" w:hAnsi="宋体"/>
          <w:color w:val="auto"/>
          <w:sz w:val="24"/>
          <w:szCs w:val="24"/>
          <w:highlight w:val="none"/>
        </w:rPr>
        <w:t>值的</w:t>
      </w:r>
      <w:r>
        <w:rPr>
          <w:rFonts w:hint="eastAsia" w:ascii="宋体" w:hAnsi="宋体"/>
          <w:color w:val="auto"/>
          <w:sz w:val="24"/>
          <w:szCs w:val="24"/>
          <w:highlight w:val="none"/>
          <w:lang w:eastAsia="zh-CN"/>
        </w:rPr>
        <w:t>有效评标价</w:t>
      </w:r>
      <w:r>
        <w:rPr>
          <w:rFonts w:hint="eastAsia" w:ascii="宋体" w:hAnsi="宋体"/>
          <w:color w:val="auto"/>
          <w:sz w:val="24"/>
          <w:szCs w:val="24"/>
          <w:highlight w:val="none"/>
        </w:rPr>
        <w:t>作为A系列，降幅不小于K值的</w:t>
      </w:r>
      <w:r>
        <w:rPr>
          <w:rFonts w:hint="eastAsia" w:ascii="宋体" w:hAnsi="宋体"/>
          <w:color w:val="auto"/>
          <w:sz w:val="24"/>
          <w:szCs w:val="24"/>
          <w:highlight w:val="none"/>
          <w:lang w:eastAsia="zh-CN"/>
        </w:rPr>
        <w:t>有效评标价</w:t>
      </w:r>
      <w:r>
        <w:rPr>
          <w:rFonts w:hint="eastAsia" w:ascii="宋体" w:hAnsi="宋体"/>
          <w:color w:val="auto"/>
          <w:sz w:val="24"/>
          <w:szCs w:val="24"/>
          <w:highlight w:val="none"/>
        </w:rPr>
        <w:t>作为B系列。A系列数据不参与平均数计算。</w:t>
      </w:r>
    </w:p>
    <w:p w14:paraId="39DB06E4">
      <w:pPr>
        <w:spacing w:line="4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对于B系列的各</w:t>
      </w:r>
      <w:r>
        <w:rPr>
          <w:rFonts w:hint="eastAsia" w:ascii="宋体" w:hAnsi="宋体"/>
          <w:color w:val="auto"/>
          <w:sz w:val="24"/>
          <w:szCs w:val="24"/>
          <w:highlight w:val="none"/>
          <w:lang w:eastAsia="zh-CN"/>
        </w:rPr>
        <w:t>有效评标价，按照下列要求计算平均值：</w:t>
      </w:r>
    </w:p>
    <w:p w14:paraId="57ECCEB2">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a)当</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（有效评标价对应的投标人数量，下同）≤5、n=0，有效评标价全部进行算术平均；5＜</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≤10、n=1，现场去掉1个最高和1个最低有效评标价，其他有效评标价进行算术平均；</w:t>
      </w:r>
    </w:p>
    <w:p w14:paraId="72C218BB">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b)当10＜</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≤20、n=2，现场去掉2个最高和2个最低有效评标价，其他有效评标价进行算术平均；20＜</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≤30、n=3，现场去掉3个最高和3个最低有效评标价，其他有效评标价进行算术平均；以此类推。</w:t>
      </w:r>
    </w:p>
    <w:p w14:paraId="3A40EB14">
      <w:pPr>
        <w:spacing w:line="400" w:lineRule="exact"/>
        <w:ind w:firstLine="482" w:firstLineChars="200"/>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注：</w:t>
      </w:r>
      <w:r>
        <w:rPr>
          <w:rFonts w:hint="eastAsia" w:ascii="宋体" w:hAnsi="宋体"/>
          <w:b/>
          <w:bCs/>
          <w:color w:val="auto"/>
          <w:sz w:val="24"/>
          <w:szCs w:val="24"/>
          <w:highlight w:val="none"/>
        </w:rPr>
        <w:t>若</w:t>
      </w:r>
      <w:r>
        <w:rPr>
          <w:rFonts w:hint="eastAsia" w:ascii="宋体" w:hAnsi="宋体"/>
          <w:b/>
          <w:bCs/>
          <w:color w:val="auto"/>
          <w:sz w:val="24"/>
          <w:szCs w:val="24"/>
          <w:highlight w:val="none"/>
          <w:lang w:val="en-US" w:eastAsia="zh-CN"/>
        </w:rPr>
        <w:t>B系列投标人数量少于3家，则不再进行后续平均值、有效值等计算，直接采用有效最低价进行评审。有效最低价评审规则：按照</w:t>
      </w:r>
      <w:r>
        <w:rPr>
          <w:rFonts w:hint="eastAsia"/>
          <w:b/>
          <w:bCs/>
          <w:color w:val="auto"/>
          <w:sz w:val="24"/>
          <w:szCs w:val="24"/>
          <w:highlight w:val="none"/>
          <w:lang w:eastAsia="zh-CN"/>
        </w:rPr>
        <w:t>有效</w:t>
      </w:r>
      <w:r>
        <w:rPr>
          <w:rFonts w:hint="eastAsia"/>
          <w:b/>
          <w:bCs/>
          <w:color w:val="auto"/>
          <w:sz w:val="24"/>
          <w:szCs w:val="24"/>
          <w:highlight w:val="none"/>
        </w:rPr>
        <w:t>投标报价由低到高依次进行</w:t>
      </w:r>
      <w:r>
        <w:rPr>
          <w:rFonts w:hint="eastAsia"/>
          <w:b/>
          <w:bCs/>
          <w:color w:val="auto"/>
          <w:sz w:val="24"/>
          <w:szCs w:val="24"/>
          <w:highlight w:val="none"/>
          <w:lang w:eastAsia="zh-CN"/>
        </w:rPr>
        <w:t>资格审查评审、商务标详评、技术标评审</w:t>
      </w:r>
      <w:r>
        <w:rPr>
          <w:rFonts w:hint="eastAsia"/>
          <w:b/>
          <w:bCs/>
          <w:color w:val="auto"/>
          <w:sz w:val="24"/>
          <w:szCs w:val="24"/>
          <w:highlight w:val="none"/>
        </w:rPr>
        <w:t>，对评审通过的投标人，按照投标报价由低到高依次推荐中标候选人。如投标人未通过评审，则按照投标报价由低到高依次进行递补，直至评出中标候选人。</w:t>
      </w:r>
    </w:p>
    <w:p w14:paraId="3706010B">
      <w:pPr>
        <w:keepNext/>
        <w:keepLines/>
        <w:spacing w:before="100" w:line="400" w:lineRule="exact"/>
        <w:outlineLvl w:val="1"/>
        <w:rPr>
          <w:rFonts w:hint="eastAsia" w:eastAsia="黑体" w:cs="宋体"/>
          <w:color w:val="auto"/>
          <w:sz w:val="28"/>
          <w:szCs w:val="20"/>
          <w:highlight w:val="none"/>
        </w:rPr>
      </w:pPr>
      <w:r>
        <w:rPr>
          <w:rFonts w:hint="eastAsia" w:eastAsia="黑体" w:cs="宋体"/>
          <w:color w:val="auto"/>
          <w:sz w:val="28"/>
          <w:szCs w:val="20"/>
          <w:highlight w:val="none"/>
          <w:lang w:val="en-US" w:eastAsia="zh-CN"/>
        </w:rPr>
        <w:t>3</w:t>
      </w:r>
      <w:r>
        <w:rPr>
          <w:rFonts w:hint="eastAsia" w:eastAsia="黑体" w:cs="宋体"/>
          <w:color w:val="auto"/>
          <w:sz w:val="28"/>
          <w:szCs w:val="20"/>
          <w:highlight w:val="none"/>
        </w:rPr>
        <w:t>. 计算有效值</w:t>
      </w:r>
    </w:p>
    <w:p w14:paraId="210C4614">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.1以最高投标限价乘以(1-下浮系数M)为参考价，即参考价=最高投标限价*（1-M）。</w:t>
      </w:r>
    </w:p>
    <w:p w14:paraId="53198A76">
      <w:pPr>
        <w:spacing w:line="4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 取</w:t>
      </w:r>
      <w:r>
        <w:rPr>
          <w:rFonts w:hint="eastAsia" w:ascii="宋体" w:hAnsi="宋体"/>
          <w:color w:val="auto"/>
          <w:sz w:val="24"/>
          <w:szCs w:val="24"/>
          <w:highlight w:val="none"/>
          <w:lang w:eastAsia="zh-CN"/>
        </w:rPr>
        <w:t>平均</w:t>
      </w:r>
      <w:r>
        <w:rPr>
          <w:rFonts w:hint="eastAsia" w:ascii="宋体" w:hAnsi="宋体"/>
          <w:color w:val="auto"/>
          <w:sz w:val="24"/>
          <w:szCs w:val="24"/>
          <w:highlight w:val="none"/>
        </w:rPr>
        <w:t>值与参考价中的低值为基准价D</w:t>
      </w:r>
      <w:r>
        <w:rPr>
          <w:rFonts w:hint="eastAsia" w:ascii="宋体" w:hAnsi="宋体"/>
          <w:color w:val="auto"/>
          <w:sz w:val="24"/>
          <w:szCs w:val="24"/>
          <w:highlight w:val="none"/>
          <w:lang w:eastAsia="zh-CN"/>
        </w:rPr>
        <w:t>。</w:t>
      </w:r>
    </w:p>
    <w:p w14:paraId="383B2C64">
      <w:pPr>
        <w:spacing w:line="400" w:lineRule="exact"/>
        <w:ind w:firstLine="480" w:firstLineChars="200"/>
        <w:rPr>
          <w:rFonts w:hint="default" w:ascii="宋体" w:hAnsi="宋体" w:eastAsia="宋体"/>
          <w:color w:val="auto"/>
          <w:szCs w:val="22"/>
          <w:highlight w:val="non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 基准价D</w:t>
      </w:r>
      <w:r>
        <w:rPr>
          <w:rFonts w:hint="eastAsia" w:ascii="宋体" w:hAnsi="宋体"/>
          <w:color w:val="auto"/>
          <w:sz w:val="24"/>
          <w:szCs w:val="24"/>
          <w:highlight w:val="none"/>
          <w:lang w:val="en-US" w:eastAsia="zh-CN"/>
        </w:rPr>
        <w:t>即为有效值。</w:t>
      </w:r>
    </w:p>
    <w:p w14:paraId="5B6C23E5">
      <w:pPr>
        <w:keepNext/>
        <w:keepLines/>
        <w:spacing w:before="100" w:line="400" w:lineRule="exact"/>
        <w:outlineLvl w:val="1"/>
        <w:rPr>
          <w:rFonts w:hint="default" w:eastAsia="黑体" w:cs="宋体"/>
          <w:color w:val="auto"/>
          <w:sz w:val="28"/>
          <w:szCs w:val="20"/>
          <w:highlight w:val="none"/>
          <w:lang w:val="en-US" w:eastAsia="zh-CN"/>
        </w:rPr>
      </w:pPr>
      <w:r>
        <w:rPr>
          <w:rFonts w:hint="eastAsia" w:eastAsia="黑体" w:cs="宋体"/>
          <w:color w:val="auto"/>
          <w:sz w:val="28"/>
          <w:szCs w:val="20"/>
          <w:highlight w:val="none"/>
          <w:lang w:val="en-US" w:eastAsia="zh-CN"/>
        </w:rPr>
        <w:t>4.确定中标候选人</w:t>
      </w:r>
    </w:p>
    <w:p w14:paraId="20477243">
      <w:pPr>
        <w:spacing w:line="400" w:lineRule="exact"/>
        <w:ind w:firstLine="480" w:firstLineChars="200"/>
        <w:rPr>
          <w:rFonts w:hint="eastAsia"/>
          <w:color w:val="auto"/>
          <w:sz w:val="24"/>
          <w:szCs w:val="24"/>
          <w:highlight w:val="none"/>
        </w:rPr>
      </w:pPr>
      <w:r>
        <w:rPr>
          <w:rFonts w:hint="eastAsia"/>
          <w:color w:val="auto"/>
          <w:sz w:val="24"/>
          <w:szCs w:val="24"/>
          <w:highlight w:val="none"/>
        </w:rPr>
        <w:t>评标委员会对不低于有效值的</w:t>
      </w:r>
      <w:r>
        <w:rPr>
          <w:rFonts w:hint="eastAsia"/>
          <w:color w:val="auto"/>
          <w:sz w:val="24"/>
          <w:szCs w:val="24"/>
          <w:highlight w:val="none"/>
          <w:lang w:eastAsia="zh-CN"/>
        </w:rPr>
        <w:t>有效</w:t>
      </w:r>
      <w:r>
        <w:rPr>
          <w:rFonts w:hint="eastAsia"/>
          <w:color w:val="auto"/>
          <w:sz w:val="24"/>
          <w:szCs w:val="24"/>
          <w:highlight w:val="none"/>
        </w:rPr>
        <w:t>投标报价由低到高依次进行</w:t>
      </w:r>
      <w:r>
        <w:rPr>
          <w:rFonts w:hint="eastAsia" w:ascii="宋体" w:hAnsi="宋体"/>
          <w:color w:val="auto"/>
          <w:sz w:val="24"/>
          <w:szCs w:val="24"/>
          <w:highlight w:val="none"/>
        </w:rPr>
        <w:t>资格后审申请评审、商务标评审和技术标评审</w:t>
      </w:r>
      <w:r>
        <w:rPr>
          <w:rFonts w:hint="eastAsia"/>
          <w:color w:val="auto"/>
          <w:sz w:val="24"/>
          <w:szCs w:val="24"/>
          <w:highlight w:val="none"/>
        </w:rPr>
        <w:t>，</w:t>
      </w:r>
      <w:r>
        <w:rPr>
          <w:rFonts w:hint="eastAsia" w:ascii="宋体" w:hAnsi="宋体"/>
          <w:color w:val="auto"/>
          <w:sz w:val="24"/>
          <w:szCs w:val="24"/>
          <w:highlight w:val="none"/>
        </w:rPr>
        <w:t>评审均通过的即为第一中标候选人</w:t>
      </w:r>
      <w:r>
        <w:rPr>
          <w:rFonts w:hint="eastAsia"/>
          <w:color w:val="auto"/>
          <w:sz w:val="24"/>
          <w:szCs w:val="24"/>
          <w:highlight w:val="none"/>
        </w:rPr>
        <w:t>。</w:t>
      </w:r>
      <w:r>
        <w:rPr>
          <w:rFonts w:hint="eastAsia" w:ascii="宋体" w:hAnsi="宋体"/>
          <w:color w:val="auto"/>
          <w:sz w:val="24"/>
          <w:szCs w:val="24"/>
          <w:highlight w:val="none"/>
        </w:rPr>
        <w:t>如投标人资格后审申请评审、商务标和技术标评审中任一项被判定为未通过评审，再按报价由低到高依次进行递补，按顺序依次评出第一中标候选人、第二中标候选人（如有）。</w:t>
      </w:r>
    </w:p>
    <w:p w14:paraId="247D4ED2">
      <w:pPr>
        <w:snapToGrid w:val="0"/>
        <w:spacing w:line="560" w:lineRule="exact"/>
        <w:jc w:val="center"/>
        <w:rPr>
          <w:rFonts w:hint="eastAsia" w:eastAsia="宋体"/>
          <w:b/>
          <w:color w:val="auto"/>
          <w:sz w:val="28"/>
          <w:szCs w:val="28"/>
          <w:highlight w:val="none"/>
          <w:lang w:eastAsia="zh-CN"/>
        </w:rPr>
      </w:pPr>
      <w:r>
        <w:rPr>
          <w:rFonts w:hint="eastAsia"/>
          <w:b/>
          <w:color w:val="auto"/>
          <w:sz w:val="28"/>
          <w:szCs w:val="28"/>
          <w:highlight w:val="none"/>
          <w:lang w:eastAsia="zh-CN"/>
        </w:rPr>
        <w:t>三</w:t>
      </w:r>
      <w:r>
        <w:rPr>
          <w:rFonts w:hint="eastAsia"/>
          <w:b/>
          <w:color w:val="auto"/>
          <w:sz w:val="28"/>
          <w:szCs w:val="28"/>
          <w:highlight w:val="none"/>
        </w:rPr>
        <w:t>、</w:t>
      </w:r>
      <w:r>
        <w:rPr>
          <w:rFonts w:hint="eastAsia"/>
          <w:b/>
          <w:color w:val="auto"/>
          <w:sz w:val="28"/>
          <w:szCs w:val="28"/>
          <w:highlight w:val="none"/>
          <w:lang w:eastAsia="zh-CN"/>
        </w:rPr>
        <w:t>资格审查评审表</w:t>
      </w:r>
    </w:p>
    <w:tbl>
      <w:tblPr>
        <w:tblStyle w:val="5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3008"/>
        <w:gridCol w:w="819"/>
        <w:gridCol w:w="2926"/>
      </w:tblGrid>
      <w:tr w14:paraId="1247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370" w:type="dxa"/>
            <w:gridSpan w:val="5"/>
            <w:noWrap w:val="0"/>
            <w:vAlign w:val="center"/>
          </w:tcPr>
          <w:p w14:paraId="47A910AA">
            <w:pPr>
              <w:pStyle w:val="84"/>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rPr>
            </w:pPr>
            <w:r>
              <w:rPr>
                <w:rFonts w:hint="eastAsia" w:ascii="宋体" w:hAnsi="宋体"/>
                <w:b/>
                <w:color w:val="auto"/>
                <w:highlight w:val="none"/>
                <w:lang w:eastAsia="zh-CN"/>
              </w:rPr>
              <w:t>资格审查评审</w:t>
            </w:r>
            <w:r>
              <w:rPr>
                <w:rFonts w:hint="eastAsia" w:ascii="宋体" w:hAnsi="宋体"/>
                <w:b/>
                <w:color w:val="auto"/>
                <w:highlight w:val="none"/>
              </w:rPr>
              <w:t>表（废标指标一览表）</w:t>
            </w:r>
          </w:p>
        </w:tc>
      </w:tr>
      <w:tr w14:paraId="24B4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tcBorders>
              <w:bottom w:val="single" w:color="auto" w:sz="4" w:space="0"/>
            </w:tcBorders>
            <w:noWrap w:val="0"/>
            <w:vAlign w:val="center"/>
          </w:tcPr>
          <w:p w14:paraId="395E9DC3">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序号</w:t>
            </w:r>
          </w:p>
        </w:tc>
        <w:tc>
          <w:tcPr>
            <w:tcW w:w="1897" w:type="dxa"/>
            <w:tcBorders>
              <w:bottom w:val="single" w:color="auto" w:sz="4" w:space="0"/>
            </w:tcBorders>
            <w:noWrap w:val="0"/>
            <w:vAlign w:val="center"/>
          </w:tcPr>
          <w:p w14:paraId="688EBA27">
            <w:pPr>
              <w:pStyle w:val="84"/>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rPr>
            </w:pPr>
            <w:r>
              <w:rPr>
                <w:rFonts w:hint="eastAsia" w:ascii="宋体" w:hAnsi="宋体"/>
                <w:color w:val="auto"/>
                <w:kern w:val="2"/>
                <w:szCs w:val="24"/>
                <w:highlight w:val="none"/>
              </w:rPr>
              <w:t>指标名称</w:t>
            </w:r>
          </w:p>
        </w:tc>
        <w:tc>
          <w:tcPr>
            <w:tcW w:w="3008" w:type="dxa"/>
            <w:tcBorders>
              <w:bottom w:val="single" w:color="auto" w:sz="4" w:space="0"/>
            </w:tcBorders>
            <w:noWrap w:val="0"/>
            <w:vAlign w:val="center"/>
          </w:tcPr>
          <w:p w14:paraId="0F7798AA">
            <w:pPr>
              <w:adjustRightInd w:val="0"/>
              <w:snapToGrid w:val="0"/>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指标要求</w:t>
            </w:r>
          </w:p>
        </w:tc>
        <w:tc>
          <w:tcPr>
            <w:tcW w:w="819" w:type="dxa"/>
            <w:tcBorders>
              <w:bottom w:val="single" w:color="auto" w:sz="4" w:space="0"/>
            </w:tcBorders>
            <w:noWrap w:val="0"/>
            <w:vAlign w:val="center"/>
          </w:tcPr>
          <w:p w14:paraId="186DB831">
            <w:pPr>
              <w:adjustRightInd w:val="0"/>
              <w:snapToGrid w:val="0"/>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是否通过</w:t>
            </w:r>
          </w:p>
        </w:tc>
        <w:tc>
          <w:tcPr>
            <w:tcW w:w="2926" w:type="dxa"/>
            <w:tcBorders>
              <w:bottom w:val="single" w:color="auto" w:sz="4" w:space="0"/>
            </w:tcBorders>
            <w:noWrap w:val="0"/>
            <w:vAlign w:val="center"/>
          </w:tcPr>
          <w:p w14:paraId="68CEA2D2">
            <w:pPr>
              <w:adjustRightInd w:val="0"/>
              <w:snapToGrid w:val="0"/>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投标文件格式及提交资料要求</w:t>
            </w:r>
          </w:p>
        </w:tc>
      </w:tr>
      <w:tr w14:paraId="70A6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tcBorders>
              <w:bottom w:val="single" w:color="auto" w:sz="4" w:space="0"/>
            </w:tcBorders>
            <w:noWrap w:val="0"/>
            <w:vAlign w:val="center"/>
          </w:tcPr>
          <w:p w14:paraId="0FBB2132">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897" w:type="dxa"/>
            <w:tcBorders>
              <w:bottom w:val="single" w:color="auto" w:sz="4" w:space="0"/>
            </w:tcBorders>
            <w:noWrap w:val="0"/>
            <w:vAlign w:val="center"/>
          </w:tcPr>
          <w:p w14:paraId="3E904EDE">
            <w:pPr>
              <w:spacing w:line="420" w:lineRule="exact"/>
              <w:ind w:right="-11" w:rightChars="0"/>
              <w:jc w:val="center"/>
              <w:rPr>
                <w:rFonts w:ascii="宋体" w:hAnsi="宋体"/>
                <w:color w:val="auto"/>
                <w:sz w:val="24"/>
                <w:szCs w:val="24"/>
                <w:highlight w:val="none"/>
              </w:rPr>
            </w:pPr>
            <w:r>
              <w:rPr>
                <w:rFonts w:hint="eastAsia" w:ascii="宋体" w:hAnsi="宋体"/>
                <w:color w:val="auto"/>
                <w:sz w:val="24"/>
                <w:szCs w:val="28"/>
                <w:highlight w:val="none"/>
              </w:rPr>
              <w:t>投标函</w:t>
            </w:r>
          </w:p>
        </w:tc>
        <w:tc>
          <w:tcPr>
            <w:tcW w:w="3008" w:type="dxa"/>
            <w:tcBorders>
              <w:bottom w:val="single" w:color="auto" w:sz="4" w:space="0"/>
            </w:tcBorders>
            <w:noWrap w:val="0"/>
            <w:vAlign w:val="center"/>
          </w:tcPr>
          <w:p w14:paraId="54A04796">
            <w:pPr>
              <w:spacing w:line="420" w:lineRule="exact"/>
              <w:ind w:right="-11" w:rightChars="0"/>
              <w:jc w:val="center"/>
              <w:rPr>
                <w:rFonts w:ascii="宋体" w:hAnsi="宋体"/>
                <w:color w:val="auto"/>
                <w:sz w:val="24"/>
                <w:szCs w:val="24"/>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tcBorders>
              <w:bottom w:val="single" w:color="auto" w:sz="4" w:space="0"/>
            </w:tcBorders>
            <w:noWrap w:val="0"/>
            <w:vAlign w:val="center"/>
          </w:tcPr>
          <w:p w14:paraId="16657CF6">
            <w:pPr>
              <w:adjustRightInd w:val="0"/>
              <w:snapToGrid w:val="0"/>
              <w:spacing w:line="420" w:lineRule="exact"/>
              <w:ind w:right="-11" w:rightChars="0"/>
              <w:jc w:val="center"/>
              <w:rPr>
                <w:rFonts w:hint="eastAsia" w:ascii="宋体" w:hAnsi="宋体"/>
                <w:color w:val="auto"/>
                <w:sz w:val="24"/>
                <w:szCs w:val="24"/>
                <w:highlight w:val="none"/>
              </w:rPr>
            </w:pPr>
          </w:p>
        </w:tc>
        <w:tc>
          <w:tcPr>
            <w:tcW w:w="2926" w:type="dxa"/>
            <w:tcBorders>
              <w:bottom w:val="single" w:color="auto" w:sz="4" w:space="0"/>
            </w:tcBorders>
            <w:noWrap w:val="0"/>
            <w:vAlign w:val="center"/>
          </w:tcPr>
          <w:p w14:paraId="37476003">
            <w:pPr>
              <w:adjustRightInd w:val="0"/>
              <w:snapToGrid w:val="0"/>
              <w:spacing w:line="420" w:lineRule="exact"/>
              <w:ind w:right="-11" w:rightChars="0"/>
              <w:jc w:val="center"/>
              <w:rPr>
                <w:rFonts w:hint="eastAsia" w:ascii="宋体" w:hAnsi="宋体"/>
                <w:color w:val="auto"/>
                <w:sz w:val="24"/>
                <w:szCs w:val="24"/>
                <w:highlight w:val="none"/>
              </w:rPr>
            </w:pPr>
          </w:p>
        </w:tc>
      </w:tr>
      <w:tr w14:paraId="2F81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tcBorders>
              <w:bottom w:val="single" w:color="auto" w:sz="4" w:space="0"/>
            </w:tcBorders>
            <w:noWrap w:val="0"/>
            <w:vAlign w:val="center"/>
          </w:tcPr>
          <w:p w14:paraId="5C4F5B22">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897" w:type="dxa"/>
            <w:tcBorders>
              <w:bottom w:val="single" w:color="auto" w:sz="4" w:space="0"/>
            </w:tcBorders>
            <w:noWrap w:val="0"/>
            <w:vAlign w:val="center"/>
          </w:tcPr>
          <w:p w14:paraId="2E5AD778">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8"/>
                <w:highlight w:val="none"/>
              </w:rPr>
              <w:t>投标授权书</w:t>
            </w:r>
          </w:p>
        </w:tc>
        <w:tc>
          <w:tcPr>
            <w:tcW w:w="3008" w:type="dxa"/>
            <w:tcBorders>
              <w:bottom w:val="single" w:color="auto" w:sz="4" w:space="0"/>
            </w:tcBorders>
            <w:noWrap w:val="0"/>
            <w:vAlign w:val="center"/>
          </w:tcPr>
          <w:p w14:paraId="6EDA7FEE">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tcBorders>
              <w:bottom w:val="single" w:color="auto" w:sz="4" w:space="0"/>
            </w:tcBorders>
            <w:noWrap w:val="0"/>
            <w:vAlign w:val="center"/>
          </w:tcPr>
          <w:p w14:paraId="09C246EA">
            <w:pPr>
              <w:adjustRightInd w:val="0"/>
              <w:snapToGrid w:val="0"/>
              <w:spacing w:line="420" w:lineRule="exact"/>
              <w:ind w:right="-11" w:rightChars="0"/>
              <w:jc w:val="center"/>
              <w:rPr>
                <w:rFonts w:hint="eastAsia" w:ascii="宋体" w:hAnsi="宋体"/>
                <w:color w:val="auto"/>
                <w:sz w:val="24"/>
                <w:szCs w:val="24"/>
                <w:highlight w:val="none"/>
              </w:rPr>
            </w:pPr>
          </w:p>
        </w:tc>
        <w:tc>
          <w:tcPr>
            <w:tcW w:w="2926" w:type="dxa"/>
            <w:tcBorders>
              <w:bottom w:val="single" w:color="auto" w:sz="4" w:space="0"/>
            </w:tcBorders>
            <w:noWrap w:val="0"/>
            <w:vAlign w:val="center"/>
          </w:tcPr>
          <w:p w14:paraId="678CE439">
            <w:pPr>
              <w:adjustRightInd w:val="0"/>
              <w:snapToGrid w:val="0"/>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highlight w:val="none"/>
              </w:rPr>
              <w:t>详见第七章投标文件格式“投标授权书”</w:t>
            </w:r>
          </w:p>
        </w:tc>
      </w:tr>
      <w:tr w14:paraId="51D8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0" w:type="dxa"/>
            <w:noWrap w:val="0"/>
            <w:vAlign w:val="center"/>
          </w:tcPr>
          <w:p w14:paraId="42082164">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3</w:t>
            </w:r>
          </w:p>
        </w:tc>
        <w:tc>
          <w:tcPr>
            <w:tcW w:w="1897" w:type="dxa"/>
            <w:noWrap w:val="0"/>
            <w:vAlign w:val="center"/>
          </w:tcPr>
          <w:p w14:paraId="0B679E82">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8"/>
                <w:highlight w:val="none"/>
              </w:rPr>
              <w:t>投标保证金</w:t>
            </w:r>
          </w:p>
        </w:tc>
        <w:tc>
          <w:tcPr>
            <w:tcW w:w="3008" w:type="dxa"/>
            <w:noWrap w:val="0"/>
            <w:vAlign w:val="center"/>
          </w:tcPr>
          <w:p w14:paraId="4027C46A">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noWrap w:val="0"/>
            <w:vAlign w:val="center"/>
          </w:tcPr>
          <w:p w14:paraId="715F20F7">
            <w:pPr>
              <w:adjustRightInd w:val="0"/>
              <w:snapToGrid w:val="0"/>
              <w:spacing w:line="420" w:lineRule="exact"/>
              <w:ind w:right="-11" w:rightChars="0"/>
              <w:jc w:val="center"/>
              <w:rPr>
                <w:rFonts w:hint="eastAsia" w:ascii="宋体" w:hAnsi="宋体"/>
                <w:color w:val="auto"/>
                <w:sz w:val="24"/>
                <w:highlight w:val="none"/>
              </w:rPr>
            </w:pPr>
          </w:p>
        </w:tc>
        <w:tc>
          <w:tcPr>
            <w:tcW w:w="2926" w:type="dxa"/>
            <w:noWrap w:val="0"/>
            <w:vAlign w:val="center"/>
          </w:tcPr>
          <w:p w14:paraId="4054757A">
            <w:pPr>
              <w:adjustRightInd w:val="0"/>
              <w:snapToGrid w:val="0"/>
              <w:spacing w:line="420" w:lineRule="exact"/>
              <w:ind w:right="-11" w:rightChars="0"/>
              <w:jc w:val="center"/>
              <w:rPr>
                <w:rFonts w:hint="eastAsia" w:ascii="宋体" w:hAnsi="宋体"/>
                <w:color w:val="auto"/>
                <w:sz w:val="24"/>
                <w:highlight w:val="none"/>
              </w:rPr>
            </w:pPr>
            <w:r>
              <w:rPr>
                <w:rFonts w:hint="eastAsia" w:ascii="宋体" w:hAnsi="宋体"/>
                <w:color w:val="auto"/>
                <w:sz w:val="24"/>
                <w:highlight w:val="none"/>
              </w:rPr>
              <w:t>第二章投标人须知21条</w:t>
            </w:r>
          </w:p>
        </w:tc>
      </w:tr>
      <w:tr w14:paraId="365D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1F0ED5C">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4</w:t>
            </w:r>
          </w:p>
        </w:tc>
        <w:tc>
          <w:tcPr>
            <w:tcW w:w="1897" w:type="dxa"/>
            <w:noWrap w:val="0"/>
            <w:vAlign w:val="center"/>
          </w:tcPr>
          <w:p w14:paraId="07D356C1">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营业执照</w:t>
            </w:r>
          </w:p>
        </w:tc>
        <w:tc>
          <w:tcPr>
            <w:tcW w:w="3008" w:type="dxa"/>
            <w:noWrap w:val="0"/>
            <w:vAlign w:val="center"/>
          </w:tcPr>
          <w:p w14:paraId="566D9E8D">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合法有效</w:t>
            </w:r>
          </w:p>
        </w:tc>
        <w:tc>
          <w:tcPr>
            <w:tcW w:w="819" w:type="dxa"/>
            <w:noWrap w:val="0"/>
            <w:vAlign w:val="center"/>
          </w:tcPr>
          <w:p w14:paraId="6A38969D">
            <w:pPr>
              <w:adjustRightInd w:val="0"/>
              <w:snapToGrid w:val="0"/>
              <w:spacing w:line="420" w:lineRule="exact"/>
              <w:ind w:right="-11" w:rightChars="0"/>
              <w:jc w:val="center"/>
              <w:rPr>
                <w:rFonts w:hint="eastAsia" w:ascii="宋体" w:hAnsi="宋体"/>
                <w:color w:val="auto"/>
                <w:sz w:val="24"/>
                <w:highlight w:val="none"/>
              </w:rPr>
            </w:pPr>
          </w:p>
        </w:tc>
        <w:tc>
          <w:tcPr>
            <w:tcW w:w="2926" w:type="dxa"/>
            <w:noWrap w:val="0"/>
            <w:vAlign w:val="center"/>
          </w:tcPr>
          <w:p w14:paraId="7007A150">
            <w:pPr>
              <w:adjustRightInd w:val="0"/>
              <w:snapToGrid w:val="0"/>
              <w:spacing w:line="420" w:lineRule="exact"/>
              <w:ind w:right="-11" w:rightChars="0"/>
              <w:jc w:val="center"/>
              <w:rPr>
                <w:rFonts w:hint="eastAsia" w:ascii="宋体" w:hAnsi="宋体"/>
                <w:color w:val="auto"/>
                <w:sz w:val="24"/>
                <w:highlight w:val="none"/>
              </w:rPr>
            </w:pPr>
            <w:r>
              <w:rPr>
                <w:rFonts w:hint="eastAsia" w:ascii="宋体" w:hAnsi="宋体"/>
                <w:color w:val="auto"/>
                <w:sz w:val="24"/>
                <w:szCs w:val="24"/>
                <w:highlight w:val="none"/>
              </w:rPr>
              <w:t>提供有效的营业执照（或事业单位法人证书）的扫描件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r>
              <w:rPr>
                <w:rFonts w:hint="eastAsia" w:ascii="宋体" w:hAnsi="宋体"/>
                <w:bCs/>
                <w:color w:val="auto"/>
                <w:sz w:val="24"/>
                <w:szCs w:val="24"/>
                <w:highlight w:val="none"/>
              </w:rPr>
              <w:t>联合体投标的，联合体各方均须提供。</w:t>
            </w:r>
          </w:p>
        </w:tc>
      </w:tr>
      <w:tr w14:paraId="67DE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55422477">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5</w:t>
            </w:r>
          </w:p>
        </w:tc>
        <w:tc>
          <w:tcPr>
            <w:tcW w:w="1897" w:type="dxa"/>
            <w:noWrap w:val="0"/>
            <w:vAlign w:val="center"/>
          </w:tcPr>
          <w:p w14:paraId="6F4DCF0E">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安全生产许可证</w:t>
            </w:r>
          </w:p>
        </w:tc>
        <w:tc>
          <w:tcPr>
            <w:tcW w:w="3008" w:type="dxa"/>
            <w:noWrap w:val="0"/>
            <w:vAlign w:val="center"/>
          </w:tcPr>
          <w:p w14:paraId="0D4E7452">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合法有效</w:t>
            </w:r>
          </w:p>
        </w:tc>
        <w:tc>
          <w:tcPr>
            <w:tcW w:w="819" w:type="dxa"/>
            <w:noWrap w:val="0"/>
            <w:vAlign w:val="center"/>
          </w:tcPr>
          <w:p w14:paraId="77D11CA5">
            <w:pPr>
              <w:adjustRightInd w:val="0"/>
              <w:snapToGrid w:val="0"/>
              <w:spacing w:line="420" w:lineRule="exact"/>
              <w:ind w:right="-11" w:rightChars="0"/>
              <w:jc w:val="center"/>
              <w:rPr>
                <w:rFonts w:hint="eastAsia" w:ascii="宋体" w:hAnsi="宋体"/>
                <w:color w:val="auto"/>
                <w:sz w:val="24"/>
                <w:highlight w:val="none"/>
              </w:rPr>
            </w:pPr>
          </w:p>
        </w:tc>
        <w:tc>
          <w:tcPr>
            <w:tcW w:w="2926" w:type="dxa"/>
            <w:noWrap w:val="0"/>
            <w:vAlign w:val="center"/>
          </w:tcPr>
          <w:p w14:paraId="2B8F86E4">
            <w:pPr>
              <w:adjustRightInd w:val="0"/>
              <w:snapToGrid w:val="0"/>
              <w:spacing w:line="420" w:lineRule="exact"/>
              <w:ind w:right="-11" w:rightChars="0"/>
              <w:jc w:val="center"/>
              <w:rPr>
                <w:rFonts w:hint="eastAsia" w:ascii="宋体" w:hAnsi="宋体"/>
                <w:color w:val="auto"/>
                <w:sz w:val="24"/>
                <w:highlight w:val="none"/>
              </w:rPr>
            </w:pPr>
          </w:p>
        </w:tc>
      </w:tr>
      <w:tr w14:paraId="67DB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AC08FAC">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1897" w:type="dxa"/>
            <w:noWrap w:val="0"/>
            <w:vAlign w:val="center"/>
          </w:tcPr>
          <w:p w14:paraId="448C9CA3">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投标人资质</w:t>
            </w:r>
          </w:p>
        </w:tc>
        <w:tc>
          <w:tcPr>
            <w:tcW w:w="3008" w:type="dxa"/>
            <w:noWrap w:val="0"/>
            <w:vAlign w:val="center"/>
          </w:tcPr>
          <w:p w14:paraId="5EE0BB1E">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符合招标公告要求</w:t>
            </w:r>
          </w:p>
        </w:tc>
        <w:tc>
          <w:tcPr>
            <w:tcW w:w="819" w:type="dxa"/>
            <w:noWrap w:val="0"/>
            <w:vAlign w:val="center"/>
          </w:tcPr>
          <w:p w14:paraId="66CB1972">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926" w:type="dxa"/>
            <w:noWrap w:val="0"/>
            <w:vAlign w:val="center"/>
          </w:tcPr>
          <w:p w14:paraId="6C3961D1">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提供资质证书扫描件</w:t>
            </w:r>
          </w:p>
        </w:tc>
      </w:tr>
      <w:tr w14:paraId="7794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93F6797">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1897" w:type="dxa"/>
            <w:noWrap w:val="0"/>
            <w:vAlign w:val="center"/>
          </w:tcPr>
          <w:p w14:paraId="617CD64C">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4"/>
                <w:highlight w:val="none"/>
              </w:rPr>
              <w:t>业绩</w:t>
            </w:r>
          </w:p>
        </w:tc>
        <w:tc>
          <w:tcPr>
            <w:tcW w:w="3008" w:type="dxa"/>
            <w:noWrap w:val="0"/>
            <w:vAlign w:val="center"/>
          </w:tcPr>
          <w:p w14:paraId="2EC70535">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符合招标公告要求</w:t>
            </w:r>
          </w:p>
        </w:tc>
        <w:tc>
          <w:tcPr>
            <w:tcW w:w="819" w:type="dxa"/>
            <w:noWrap w:val="0"/>
            <w:vAlign w:val="center"/>
          </w:tcPr>
          <w:p w14:paraId="364A0057">
            <w:pPr>
              <w:adjustRightInd w:val="0"/>
              <w:snapToGrid w:val="0"/>
              <w:spacing w:line="420" w:lineRule="exact"/>
              <w:ind w:right="-11" w:rightChars="0"/>
              <w:jc w:val="center"/>
              <w:rPr>
                <w:rFonts w:ascii="宋体" w:hAnsi="宋体"/>
                <w:color w:val="auto"/>
                <w:sz w:val="24"/>
                <w:highlight w:val="none"/>
              </w:rPr>
            </w:pPr>
          </w:p>
        </w:tc>
        <w:tc>
          <w:tcPr>
            <w:tcW w:w="2926" w:type="dxa"/>
            <w:noWrap w:val="0"/>
            <w:vAlign w:val="center"/>
          </w:tcPr>
          <w:p w14:paraId="3239B9B1">
            <w:pPr>
              <w:adjustRightInd w:val="0"/>
              <w:snapToGrid w:val="0"/>
              <w:spacing w:line="360" w:lineRule="auto"/>
              <w:ind w:right="-10" w:rightChars="0"/>
              <w:jc w:val="center"/>
              <w:rPr>
                <w:rFonts w:hint="eastAsia" w:ascii="宋体" w:hAnsi="宋体"/>
                <w:color w:val="auto"/>
                <w:sz w:val="24"/>
                <w:szCs w:val="24"/>
                <w:highlight w:val="none"/>
              </w:rPr>
            </w:pPr>
            <w:r>
              <w:rPr>
                <w:rFonts w:hint="eastAsia" w:ascii="宋体" w:hAnsi="宋体"/>
                <w:color w:val="auto"/>
                <w:sz w:val="24"/>
                <w:szCs w:val="24"/>
                <w:highlight w:val="none"/>
              </w:rPr>
              <w:t>详见投标人须知前附表</w:t>
            </w:r>
          </w:p>
        </w:tc>
      </w:tr>
      <w:tr w14:paraId="19E2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A826A79">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c>
          <w:tcPr>
            <w:tcW w:w="1897" w:type="dxa"/>
            <w:noWrap w:val="0"/>
            <w:vAlign w:val="center"/>
          </w:tcPr>
          <w:p w14:paraId="14330E54">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4"/>
                <w:highlight w:val="none"/>
              </w:rPr>
              <w:t>拟任项目经理资格</w:t>
            </w:r>
          </w:p>
        </w:tc>
        <w:tc>
          <w:tcPr>
            <w:tcW w:w="3008" w:type="dxa"/>
            <w:noWrap w:val="0"/>
            <w:vAlign w:val="center"/>
          </w:tcPr>
          <w:p w14:paraId="1DE92EF8">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要求</w:t>
            </w:r>
          </w:p>
        </w:tc>
        <w:tc>
          <w:tcPr>
            <w:tcW w:w="819" w:type="dxa"/>
            <w:noWrap w:val="0"/>
            <w:vAlign w:val="center"/>
          </w:tcPr>
          <w:p w14:paraId="0AFFB2EF">
            <w:pPr>
              <w:adjustRightInd w:val="0"/>
              <w:snapToGrid w:val="0"/>
              <w:spacing w:line="420" w:lineRule="exact"/>
              <w:ind w:right="-11" w:rightChars="0"/>
              <w:jc w:val="center"/>
              <w:rPr>
                <w:rFonts w:ascii="宋体" w:hAnsi="宋体"/>
                <w:color w:val="auto"/>
                <w:sz w:val="24"/>
                <w:highlight w:val="none"/>
              </w:rPr>
            </w:pPr>
          </w:p>
        </w:tc>
        <w:tc>
          <w:tcPr>
            <w:tcW w:w="2926" w:type="dxa"/>
            <w:noWrap w:val="0"/>
            <w:vAlign w:val="center"/>
          </w:tcPr>
          <w:p w14:paraId="5C433C6B">
            <w:pPr>
              <w:pStyle w:val="67"/>
              <w:widowControl/>
              <w:jc w:val="left"/>
              <w:rPr>
                <w:rFonts w:hint="eastAsia" w:ascii="宋体" w:hAnsi="宋体"/>
                <w:color w:val="auto"/>
                <w:sz w:val="24"/>
                <w:szCs w:val="24"/>
                <w:highlight w:val="none"/>
              </w:rPr>
            </w:pPr>
            <w:r>
              <w:rPr>
                <w:rFonts w:hint="eastAsia" w:ascii="宋体" w:hAnsi="宋体"/>
                <w:color w:val="auto"/>
                <w:sz w:val="24"/>
                <w:szCs w:val="24"/>
                <w:highlight w:val="none"/>
              </w:rPr>
              <w:t>（1）项目经理资格条件见招标公告要求，且必须是本单位人员（招标公告中要求的注册证书注册单位应当与投标人名称一致，提供投标人所属社保机构出具的拟委任的项目经理开标之日前半年内连续三个月（社保时间要求）社保缴费证明或其他能够证明拟委任的项目经理参加社保的有效证明材料，项目经理的社会保险的缴纳单位应当是投标人或者投标人不具备独立法人资格的分支机构）。</w:t>
            </w:r>
          </w:p>
          <w:p w14:paraId="4B3757D6">
            <w:pPr>
              <w:widowControl/>
              <w:jc w:val="left"/>
              <w:rPr>
                <w:rFonts w:hint="eastAsia" w:ascii="宋体" w:hAnsi="宋体"/>
                <w:color w:val="auto"/>
                <w:sz w:val="24"/>
                <w:szCs w:val="24"/>
                <w:highlight w:val="none"/>
              </w:rPr>
            </w:pPr>
            <w:r>
              <w:rPr>
                <w:rFonts w:hint="eastAsia" w:ascii="宋体" w:hAnsi="宋体"/>
                <w:color w:val="auto"/>
                <w:sz w:val="24"/>
                <w:szCs w:val="24"/>
                <w:highlight w:val="none"/>
              </w:rPr>
              <w:t>（2）项目经理业绩具体要求见招标公告。</w:t>
            </w:r>
          </w:p>
          <w:p w14:paraId="2E1C1047">
            <w:pPr>
              <w:widowControl/>
              <w:jc w:val="left"/>
              <w:rPr>
                <w:rFonts w:hint="eastAsia" w:ascii="宋体" w:hAnsi="宋体"/>
                <w:color w:val="auto"/>
                <w:sz w:val="24"/>
                <w:szCs w:val="24"/>
                <w:highlight w:val="none"/>
              </w:rPr>
            </w:pPr>
            <w:r>
              <w:rPr>
                <w:rFonts w:hint="eastAsia" w:ascii="宋体" w:hAnsi="宋体"/>
                <w:color w:val="auto"/>
                <w:sz w:val="24"/>
                <w:szCs w:val="24"/>
                <w:highlight w:val="none"/>
              </w:rPr>
              <w:t>（3）项目经理不得同时担任两个及以上建设工程施工项目负责人，以下情形除外：</w:t>
            </w:r>
          </w:p>
          <w:p w14:paraId="5A355676">
            <w:pPr>
              <w:widowControl/>
              <w:jc w:val="left"/>
              <w:rPr>
                <w:rFonts w:hint="eastAsia" w:ascii="宋体" w:hAnsi="宋体"/>
                <w:color w:val="auto"/>
                <w:sz w:val="24"/>
                <w:szCs w:val="24"/>
                <w:highlight w:val="none"/>
              </w:rPr>
            </w:pPr>
            <w:r>
              <w:rPr>
                <w:rFonts w:hint="eastAsia" w:ascii="宋体" w:hAnsi="宋体"/>
                <w:color w:val="auto"/>
                <w:sz w:val="24"/>
                <w:szCs w:val="24"/>
                <w:highlight w:val="none"/>
              </w:rPr>
              <w:t>①法定情形；</w:t>
            </w:r>
          </w:p>
          <w:p w14:paraId="591E0E6F">
            <w:pPr>
              <w:adjustRightInd w:val="0"/>
              <w:snapToGrid w:val="0"/>
              <w:spacing w:line="360" w:lineRule="auto"/>
              <w:ind w:right="-10" w:rightChars="0"/>
              <w:jc w:val="center"/>
              <w:rPr>
                <w:rFonts w:hint="eastAsia" w:ascii="宋体" w:hAnsi="宋体"/>
                <w:color w:val="auto"/>
                <w:sz w:val="24"/>
                <w:szCs w:val="24"/>
                <w:highlight w:val="none"/>
              </w:rPr>
            </w:pPr>
            <w:r>
              <w:rPr>
                <w:rFonts w:hint="eastAsia" w:ascii="宋体" w:hAnsi="宋体"/>
                <w:color w:val="auto"/>
                <w:sz w:val="24"/>
                <w:szCs w:val="24"/>
                <w:highlight w:val="none"/>
              </w:rPr>
              <w:t>②虽在其他项目上担任项目经理岗位，但承诺在本项目中标后合同签订前能够从其他项目变更至本项目并全面履约。</w:t>
            </w:r>
          </w:p>
        </w:tc>
      </w:tr>
      <w:tr w14:paraId="07A5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08E16EE">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1897" w:type="dxa"/>
            <w:noWrap w:val="0"/>
            <w:vAlign w:val="center"/>
          </w:tcPr>
          <w:p w14:paraId="63C5F67D">
            <w:pPr>
              <w:spacing w:after="50" w:line="360" w:lineRule="auto"/>
              <w:ind w:right="-10"/>
              <w:jc w:val="center"/>
              <w:rPr>
                <w:rFonts w:ascii="宋体" w:hAnsi="宋体"/>
                <w:color w:val="auto"/>
                <w:sz w:val="24"/>
                <w:szCs w:val="28"/>
                <w:highlight w:val="none"/>
              </w:rPr>
            </w:pPr>
            <w:r>
              <w:rPr>
                <w:rFonts w:hint="eastAsia" w:ascii="宋体" w:hAnsi="宋体"/>
                <w:color w:val="auto"/>
                <w:sz w:val="24"/>
                <w:szCs w:val="24"/>
                <w:highlight w:val="none"/>
              </w:rPr>
              <w:t>投标人信用承诺</w:t>
            </w:r>
          </w:p>
        </w:tc>
        <w:tc>
          <w:tcPr>
            <w:tcW w:w="3008" w:type="dxa"/>
            <w:noWrap w:val="0"/>
            <w:vAlign w:val="center"/>
          </w:tcPr>
          <w:p w14:paraId="40FACFCA">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noWrap w:val="0"/>
            <w:vAlign w:val="center"/>
          </w:tcPr>
          <w:p w14:paraId="70F25EBA">
            <w:pPr>
              <w:adjustRightInd w:val="0"/>
              <w:snapToGrid w:val="0"/>
              <w:spacing w:line="360" w:lineRule="auto"/>
              <w:ind w:right="-10"/>
              <w:jc w:val="center"/>
              <w:rPr>
                <w:rFonts w:ascii="宋体" w:hAnsi="宋体"/>
                <w:color w:val="auto"/>
                <w:sz w:val="24"/>
                <w:highlight w:val="none"/>
              </w:rPr>
            </w:pPr>
          </w:p>
        </w:tc>
        <w:tc>
          <w:tcPr>
            <w:tcW w:w="2926" w:type="dxa"/>
            <w:noWrap w:val="0"/>
            <w:vAlign w:val="center"/>
          </w:tcPr>
          <w:p w14:paraId="77187EBA">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szCs w:val="24"/>
                <w:highlight w:val="none"/>
              </w:rPr>
              <w:t>详见第七章投标文件格式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联合体投标的，联合体各方均须承诺。</w:t>
            </w:r>
          </w:p>
        </w:tc>
      </w:tr>
      <w:tr w14:paraId="2491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2A955E7">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11</w:t>
            </w:r>
          </w:p>
        </w:tc>
        <w:tc>
          <w:tcPr>
            <w:tcW w:w="1897" w:type="dxa"/>
            <w:noWrap w:val="0"/>
            <w:vAlign w:val="center"/>
          </w:tcPr>
          <w:p w14:paraId="4AE0DBE2">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标书响应情况</w:t>
            </w:r>
          </w:p>
        </w:tc>
        <w:tc>
          <w:tcPr>
            <w:tcW w:w="3008" w:type="dxa"/>
            <w:noWrap w:val="0"/>
            <w:vAlign w:val="center"/>
          </w:tcPr>
          <w:p w14:paraId="3041B445">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付款响应、服务期限响应</w:t>
            </w:r>
          </w:p>
        </w:tc>
        <w:tc>
          <w:tcPr>
            <w:tcW w:w="819" w:type="dxa"/>
            <w:noWrap w:val="0"/>
            <w:vAlign w:val="center"/>
          </w:tcPr>
          <w:p w14:paraId="49E6485C">
            <w:pPr>
              <w:adjustRightInd w:val="0"/>
              <w:snapToGrid w:val="0"/>
              <w:spacing w:line="420" w:lineRule="exact"/>
              <w:ind w:right="-11"/>
              <w:jc w:val="center"/>
              <w:rPr>
                <w:rFonts w:hint="eastAsia" w:ascii="宋体" w:hAnsi="宋体"/>
                <w:color w:val="auto"/>
                <w:sz w:val="24"/>
                <w:highlight w:val="none"/>
              </w:rPr>
            </w:pPr>
          </w:p>
        </w:tc>
        <w:tc>
          <w:tcPr>
            <w:tcW w:w="2926" w:type="dxa"/>
            <w:noWrap w:val="0"/>
            <w:vAlign w:val="center"/>
          </w:tcPr>
          <w:p w14:paraId="75B61AEE">
            <w:pPr>
              <w:adjustRightInd w:val="0"/>
              <w:snapToGrid w:val="0"/>
              <w:spacing w:line="420" w:lineRule="exact"/>
              <w:ind w:right="-11"/>
              <w:jc w:val="center"/>
              <w:rPr>
                <w:rFonts w:hint="eastAsia" w:ascii="宋体" w:hAnsi="宋体"/>
                <w:color w:val="auto"/>
                <w:sz w:val="24"/>
                <w:highlight w:val="none"/>
              </w:rPr>
            </w:pPr>
          </w:p>
        </w:tc>
      </w:tr>
      <w:tr w14:paraId="713E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70A6B0F">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12</w:t>
            </w:r>
          </w:p>
        </w:tc>
        <w:tc>
          <w:tcPr>
            <w:tcW w:w="1897" w:type="dxa"/>
            <w:noWrap w:val="0"/>
            <w:vAlign w:val="center"/>
          </w:tcPr>
          <w:p w14:paraId="6AE5A7FC">
            <w:pPr>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标书规范性</w:t>
            </w:r>
          </w:p>
        </w:tc>
        <w:tc>
          <w:tcPr>
            <w:tcW w:w="3008" w:type="dxa"/>
            <w:noWrap w:val="0"/>
            <w:vAlign w:val="center"/>
          </w:tcPr>
          <w:p w14:paraId="64A2712D">
            <w:pPr>
              <w:pStyle w:val="84"/>
              <w:pBdr>
                <w:bottom w:val="none" w:color="auto" w:sz="0" w:space="0"/>
              </w:pBdr>
              <w:tabs>
                <w:tab w:val="clear" w:pos="4153"/>
                <w:tab w:val="clear" w:pos="8306"/>
              </w:tabs>
              <w:adjustRightInd/>
              <w:spacing w:line="420" w:lineRule="exact"/>
              <w:ind w:right="-11"/>
              <w:jc w:val="both"/>
              <w:textAlignment w:val="auto"/>
              <w:rPr>
                <w:rFonts w:hint="eastAsia" w:ascii="宋体" w:hAnsi="宋体"/>
                <w:color w:val="auto"/>
                <w:kern w:val="2"/>
                <w:highlight w:val="none"/>
              </w:rPr>
            </w:pPr>
            <w:r>
              <w:rPr>
                <w:rFonts w:hint="eastAsia" w:ascii="宋体" w:hAnsi="宋体"/>
                <w:color w:val="auto"/>
                <w:highlight w:val="none"/>
              </w:rPr>
              <w:t>无严重的编排混乱、内容不全或字迹模糊辨认不清、前后矛盾情况，对评标无实质性影响的</w:t>
            </w:r>
          </w:p>
        </w:tc>
        <w:tc>
          <w:tcPr>
            <w:tcW w:w="819" w:type="dxa"/>
            <w:noWrap w:val="0"/>
            <w:vAlign w:val="center"/>
          </w:tcPr>
          <w:p w14:paraId="5BF664C2">
            <w:pPr>
              <w:adjustRightInd w:val="0"/>
              <w:snapToGrid w:val="0"/>
              <w:spacing w:line="420" w:lineRule="exact"/>
              <w:ind w:right="-11"/>
              <w:jc w:val="center"/>
              <w:rPr>
                <w:rFonts w:hint="eastAsia" w:ascii="宋体" w:hAnsi="宋体"/>
                <w:color w:val="auto"/>
                <w:sz w:val="24"/>
                <w:highlight w:val="none"/>
              </w:rPr>
            </w:pPr>
          </w:p>
        </w:tc>
        <w:tc>
          <w:tcPr>
            <w:tcW w:w="2926" w:type="dxa"/>
            <w:noWrap w:val="0"/>
            <w:vAlign w:val="center"/>
          </w:tcPr>
          <w:p w14:paraId="05294091">
            <w:pPr>
              <w:adjustRightInd w:val="0"/>
              <w:snapToGrid w:val="0"/>
              <w:spacing w:line="420" w:lineRule="exact"/>
              <w:ind w:right="-11"/>
              <w:jc w:val="center"/>
              <w:rPr>
                <w:rFonts w:hint="eastAsia" w:ascii="宋体" w:hAnsi="宋体"/>
                <w:color w:val="auto"/>
                <w:sz w:val="24"/>
                <w:highlight w:val="none"/>
              </w:rPr>
            </w:pPr>
          </w:p>
        </w:tc>
      </w:tr>
      <w:tr w14:paraId="7FF5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7089202">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13</w:t>
            </w:r>
          </w:p>
        </w:tc>
        <w:tc>
          <w:tcPr>
            <w:tcW w:w="1897" w:type="dxa"/>
            <w:noWrap w:val="0"/>
            <w:vAlign w:val="center"/>
          </w:tcPr>
          <w:p w14:paraId="4BF61798">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其他要求</w:t>
            </w:r>
          </w:p>
        </w:tc>
        <w:tc>
          <w:tcPr>
            <w:tcW w:w="3008" w:type="dxa"/>
            <w:noWrap w:val="0"/>
            <w:vAlign w:val="center"/>
          </w:tcPr>
          <w:p w14:paraId="50E025E2">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上述指标中未列出，但国家相关法律法规或</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有明确规定的</w:t>
            </w:r>
          </w:p>
        </w:tc>
        <w:tc>
          <w:tcPr>
            <w:tcW w:w="819" w:type="dxa"/>
            <w:noWrap w:val="0"/>
            <w:vAlign w:val="center"/>
          </w:tcPr>
          <w:p w14:paraId="11365000">
            <w:pPr>
              <w:adjustRightInd w:val="0"/>
              <w:snapToGrid w:val="0"/>
              <w:spacing w:line="420" w:lineRule="exact"/>
              <w:ind w:right="-11"/>
              <w:jc w:val="center"/>
              <w:rPr>
                <w:rFonts w:hint="eastAsia" w:ascii="宋体" w:hAnsi="宋体"/>
                <w:color w:val="auto"/>
                <w:sz w:val="24"/>
                <w:highlight w:val="none"/>
              </w:rPr>
            </w:pPr>
          </w:p>
        </w:tc>
        <w:tc>
          <w:tcPr>
            <w:tcW w:w="2926" w:type="dxa"/>
            <w:noWrap w:val="0"/>
            <w:vAlign w:val="center"/>
          </w:tcPr>
          <w:p w14:paraId="0AC99F7C">
            <w:pPr>
              <w:adjustRightInd w:val="0"/>
              <w:snapToGrid w:val="0"/>
              <w:spacing w:line="420" w:lineRule="exact"/>
              <w:ind w:right="-11"/>
              <w:jc w:val="center"/>
              <w:rPr>
                <w:rFonts w:hint="eastAsia" w:ascii="宋体" w:hAnsi="宋体"/>
                <w:color w:val="auto"/>
                <w:sz w:val="24"/>
                <w:highlight w:val="none"/>
              </w:rPr>
            </w:pPr>
          </w:p>
        </w:tc>
      </w:tr>
      <w:tr w14:paraId="2D50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0" w:type="dxa"/>
            <w:gridSpan w:val="5"/>
            <w:noWrap w:val="0"/>
            <w:vAlign w:val="center"/>
          </w:tcPr>
          <w:p w14:paraId="06F0CAC6">
            <w:pPr>
              <w:adjustRightInd w:val="0"/>
              <w:snapToGrid w:val="0"/>
              <w:spacing w:line="360" w:lineRule="auto"/>
              <w:ind w:right="-10"/>
              <w:jc w:val="left"/>
              <w:rPr>
                <w:rFonts w:hint="eastAsia" w:ascii="宋体" w:hAnsi="宋体"/>
                <w:color w:val="auto"/>
                <w:sz w:val="24"/>
                <w:highlight w:val="none"/>
              </w:rPr>
            </w:pPr>
            <w:r>
              <w:rPr>
                <w:rFonts w:hint="eastAsia" w:ascii="宋体" w:hAnsi="宋体"/>
                <w:color w:val="auto"/>
                <w:sz w:val="24"/>
                <w:highlight w:val="none"/>
                <w:lang w:eastAsia="zh-CN"/>
              </w:rPr>
              <w:t>资格审核</w:t>
            </w:r>
            <w:r>
              <w:rPr>
                <w:rFonts w:hint="eastAsia" w:ascii="宋体" w:hAnsi="宋体"/>
                <w:color w:val="auto"/>
                <w:sz w:val="24"/>
                <w:highlight w:val="none"/>
              </w:rPr>
              <w:t>指标通过标准：投标人必须通过上述全部指标。</w:t>
            </w:r>
          </w:p>
          <w:p w14:paraId="71BE47FD">
            <w:pPr>
              <w:adjustRightInd w:val="0"/>
              <w:snapToGrid w:val="0"/>
              <w:spacing w:line="420" w:lineRule="exact"/>
              <w:ind w:right="-11"/>
              <w:jc w:val="left"/>
              <w:rPr>
                <w:rFonts w:hint="eastAsia" w:ascii="宋体" w:hAnsi="宋体"/>
                <w:color w:val="auto"/>
                <w:sz w:val="24"/>
                <w:highlight w:val="none"/>
              </w:rPr>
            </w:pPr>
            <w:r>
              <w:rPr>
                <w:rFonts w:hint="eastAsia" w:ascii="宋体" w:hAnsi="宋体"/>
                <w:color w:val="auto"/>
                <w:sz w:val="24"/>
                <w:highlight w:val="none"/>
              </w:rPr>
              <w:t>评标委员会根据表中所列各项指标对投标人是否为有效标进行评审，未列入上表中的指标不得作为废标依据。</w:t>
            </w:r>
          </w:p>
        </w:tc>
      </w:tr>
    </w:tbl>
    <w:p w14:paraId="69DB8E69">
      <w:pPr>
        <w:widowControl w:val="0"/>
        <w:numPr>
          <w:ilvl w:val="0"/>
          <w:numId w:val="0"/>
        </w:numPr>
        <w:adjustRightInd w:val="0"/>
        <w:snapToGrid w:val="0"/>
        <w:spacing w:line="360" w:lineRule="auto"/>
        <w:ind w:right="-10" w:rightChars="0"/>
        <w:jc w:val="center"/>
        <w:rPr>
          <w:rFonts w:hint="eastAsia" w:ascii="宋体" w:hAnsi="宋体"/>
          <w:color w:val="auto"/>
          <w:sz w:val="24"/>
          <w:szCs w:val="22"/>
          <w:highlight w:val="none"/>
          <w:lang w:eastAsia="zh-CN"/>
        </w:rPr>
      </w:pPr>
    </w:p>
    <w:p w14:paraId="5D31FEF5">
      <w:pPr>
        <w:pStyle w:val="95"/>
        <w:widowControl w:val="0"/>
        <w:tabs>
          <w:tab w:val="left" w:pos="3960"/>
        </w:tabs>
        <w:spacing w:before="0" w:beforeAutospacing="0" w:after="0" w:afterAutospacing="0"/>
        <w:jc w:val="center"/>
        <w:outlineLvl w:val="1"/>
        <w:rPr>
          <w:rFonts w:hint="eastAsia"/>
          <w:b/>
          <w:color w:val="auto"/>
          <w:sz w:val="28"/>
          <w:szCs w:val="28"/>
          <w:highlight w:val="none"/>
        </w:rPr>
      </w:pPr>
      <w:bookmarkStart w:id="24" w:name="_Toc390411611"/>
      <w:bookmarkStart w:id="25" w:name="_Toc460227057"/>
      <w:bookmarkStart w:id="26" w:name="_Toc460226788"/>
      <w:bookmarkStart w:id="27" w:name="_Toc421916991"/>
      <w:bookmarkStart w:id="28" w:name="_Toc460660146"/>
      <w:r>
        <w:rPr>
          <w:rFonts w:hint="eastAsia"/>
          <w:b/>
          <w:bCs/>
          <w:color w:val="auto"/>
          <w:sz w:val="28"/>
          <w:szCs w:val="28"/>
          <w:highlight w:val="none"/>
          <w:lang w:val="en-US" w:eastAsia="zh-CN"/>
        </w:rPr>
        <w:t>四</w:t>
      </w:r>
      <w:r>
        <w:rPr>
          <w:rFonts w:hint="eastAsia"/>
          <w:b/>
          <w:bCs/>
          <w:color w:val="auto"/>
          <w:sz w:val="28"/>
          <w:szCs w:val="28"/>
          <w:highlight w:val="none"/>
        </w:rPr>
        <w:t>、技术标评审</w:t>
      </w:r>
      <w:bookmarkEnd w:id="24"/>
      <w:bookmarkEnd w:id="25"/>
      <w:bookmarkEnd w:id="26"/>
      <w:bookmarkEnd w:id="27"/>
      <w:bookmarkEnd w:id="28"/>
      <w:bookmarkStart w:id="29" w:name="EB681719b034a741018f7c8d35e4b33163"/>
    </w:p>
    <w:tbl>
      <w:tblPr>
        <w:tblStyle w:val="53"/>
        <w:tblW w:w="5126" w:type="pct"/>
        <w:tblInd w:w="-142"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708"/>
        <w:gridCol w:w="616"/>
        <w:gridCol w:w="1441"/>
        <w:gridCol w:w="123"/>
        <w:gridCol w:w="6409"/>
        <w:gridCol w:w="600"/>
      </w:tblGrid>
      <w:tr w14:paraId="45C118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358" w:type="pct"/>
            <w:tcBorders>
              <w:top w:val="outset" w:color="auto" w:sz="6" w:space="0"/>
              <w:left w:val="outset" w:color="auto" w:sz="6" w:space="0"/>
              <w:bottom w:val="outset" w:color="auto" w:sz="6" w:space="0"/>
              <w:right w:val="outset" w:color="auto" w:sz="6" w:space="0"/>
            </w:tcBorders>
            <w:noWrap w:val="0"/>
            <w:vAlign w:val="center"/>
          </w:tcPr>
          <w:p w14:paraId="1610D418">
            <w:pPr>
              <w:pStyle w:val="105"/>
              <w:spacing w:line="360" w:lineRule="auto"/>
              <w:jc w:val="center"/>
              <w:rPr>
                <w:rFonts w:ascii="宋体" w:hAnsi="宋体" w:eastAsia="宋体"/>
                <w:color w:val="auto"/>
                <w:sz w:val="21"/>
                <w:szCs w:val="21"/>
                <w:highlight w:val="none"/>
              </w:rPr>
            </w:pPr>
            <w:r>
              <w:rPr>
                <w:rFonts w:ascii="宋体" w:hAnsi="宋体" w:eastAsia="宋体"/>
                <w:b/>
                <w:bCs/>
                <w:color w:val="auto"/>
                <w:sz w:val="21"/>
                <w:szCs w:val="21"/>
                <w:highlight w:val="none"/>
              </w:rPr>
              <w:t>条款号</w:t>
            </w:r>
          </w:p>
        </w:tc>
        <w:tc>
          <w:tcPr>
            <w:tcW w:w="1039" w:type="pct"/>
            <w:gridSpan w:val="2"/>
            <w:tcBorders>
              <w:top w:val="outset" w:color="auto" w:sz="6" w:space="0"/>
              <w:left w:val="outset" w:color="auto" w:sz="6" w:space="0"/>
              <w:bottom w:val="outset" w:color="auto" w:sz="6" w:space="0"/>
              <w:right w:val="outset" w:color="auto" w:sz="6" w:space="0"/>
            </w:tcBorders>
            <w:noWrap w:val="0"/>
            <w:vAlign w:val="center"/>
          </w:tcPr>
          <w:p w14:paraId="631E93F6">
            <w:pPr>
              <w:pStyle w:val="105"/>
              <w:spacing w:line="360" w:lineRule="auto"/>
              <w:jc w:val="center"/>
              <w:rPr>
                <w:rFonts w:ascii="宋体" w:hAnsi="宋体" w:eastAsia="宋体"/>
                <w:color w:val="auto"/>
                <w:sz w:val="21"/>
                <w:szCs w:val="21"/>
                <w:highlight w:val="none"/>
              </w:rPr>
            </w:pPr>
            <w:r>
              <w:rPr>
                <w:rFonts w:ascii="宋体" w:hAnsi="宋体" w:eastAsia="宋体"/>
                <w:b/>
                <w:bCs/>
                <w:color w:val="auto"/>
                <w:sz w:val="21"/>
                <w:szCs w:val="21"/>
                <w:highlight w:val="none"/>
              </w:rPr>
              <w:t>评审因素</w:t>
            </w:r>
          </w:p>
        </w:tc>
        <w:tc>
          <w:tcPr>
            <w:tcW w:w="3300" w:type="pct"/>
            <w:gridSpan w:val="2"/>
            <w:tcBorders>
              <w:top w:val="outset" w:color="auto" w:sz="6" w:space="0"/>
              <w:left w:val="outset" w:color="auto" w:sz="6" w:space="0"/>
              <w:bottom w:val="outset" w:color="auto" w:sz="6" w:space="0"/>
              <w:right w:val="outset" w:color="auto" w:sz="6" w:space="0"/>
            </w:tcBorders>
            <w:noWrap w:val="0"/>
            <w:vAlign w:val="center"/>
          </w:tcPr>
          <w:p w14:paraId="6721520C">
            <w:pPr>
              <w:pStyle w:val="105"/>
              <w:spacing w:line="360" w:lineRule="auto"/>
              <w:jc w:val="center"/>
              <w:rPr>
                <w:rFonts w:ascii="宋体" w:hAnsi="宋体" w:eastAsia="宋体"/>
                <w:color w:val="auto"/>
                <w:sz w:val="21"/>
                <w:szCs w:val="21"/>
                <w:highlight w:val="none"/>
              </w:rPr>
            </w:pPr>
            <w:r>
              <w:rPr>
                <w:rFonts w:ascii="宋体" w:hAnsi="宋体" w:eastAsia="宋体"/>
                <w:b/>
                <w:bCs/>
                <w:color w:val="auto"/>
                <w:sz w:val="21"/>
                <w:szCs w:val="21"/>
                <w:highlight w:val="none"/>
              </w:rPr>
              <w:t>评审标准</w:t>
            </w:r>
          </w:p>
        </w:tc>
        <w:tc>
          <w:tcPr>
            <w:tcW w:w="303" w:type="pct"/>
            <w:tcBorders>
              <w:top w:val="outset" w:color="auto" w:sz="6" w:space="0"/>
              <w:left w:val="outset" w:color="auto" w:sz="6" w:space="0"/>
              <w:bottom w:val="outset" w:color="auto" w:sz="6" w:space="0"/>
              <w:right w:val="outset" w:color="auto" w:sz="6" w:space="0"/>
            </w:tcBorders>
            <w:noWrap w:val="0"/>
            <w:vAlign w:val="center"/>
          </w:tcPr>
          <w:p w14:paraId="3844DAFD">
            <w:pPr>
              <w:pStyle w:val="105"/>
              <w:spacing w:line="360" w:lineRule="auto"/>
              <w:jc w:val="center"/>
              <w:rPr>
                <w:rFonts w:ascii="宋体" w:hAnsi="宋体" w:eastAsia="宋体"/>
                <w:color w:val="auto"/>
                <w:highlight w:val="none"/>
              </w:rPr>
            </w:pPr>
          </w:p>
        </w:tc>
      </w:tr>
      <w:tr w14:paraId="21D3AF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restart"/>
            <w:tcBorders>
              <w:top w:val="outset" w:color="auto" w:sz="6" w:space="0"/>
              <w:left w:val="outset" w:color="auto" w:sz="6" w:space="0"/>
              <w:bottom w:val="outset" w:color="auto" w:sz="6" w:space="0"/>
              <w:right w:val="outset" w:color="auto" w:sz="6" w:space="0"/>
            </w:tcBorders>
            <w:noWrap w:val="0"/>
            <w:vAlign w:val="top"/>
          </w:tcPr>
          <w:p w14:paraId="450E57D1">
            <w:pPr>
              <w:pStyle w:val="105"/>
              <w:spacing w:line="360" w:lineRule="auto"/>
              <w:jc w:val="both"/>
              <w:rPr>
                <w:rFonts w:hint="eastAsia" w:ascii="宋体" w:hAnsi="宋体" w:eastAsia="宋体"/>
                <w:b/>
                <w:bCs/>
                <w:color w:val="auto"/>
                <w:highlight w:val="none"/>
                <w:lang w:eastAsia="zh-CN"/>
              </w:rPr>
            </w:pPr>
          </w:p>
          <w:p w14:paraId="4122B01E">
            <w:pPr>
              <w:pStyle w:val="105"/>
              <w:spacing w:line="360" w:lineRule="auto"/>
              <w:jc w:val="both"/>
              <w:rPr>
                <w:rFonts w:hint="eastAsia" w:ascii="宋体" w:hAnsi="宋体" w:eastAsia="宋体"/>
                <w:b/>
                <w:bCs/>
                <w:color w:val="auto"/>
                <w:highlight w:val="none"/>
                <w:lang w:eastAsia="zh-CN"/>
              </w:rPr>
            </w:pPr>
          </w:p>
          <w:p w14:paraId="032ED4C4">
            <w:pPr>
              <w:pStyle w:val="105"/>
              <w:spacing w:line="360" w:lineRule="auto"/>
              <w:jc w:val="both"/>
              <w:rPr>
                <w:rFonts w:hint="eastAsia" w:ascii="宋体" w:hAnsi="宋体" w:eastAsia="宋体"/>
                <w:b/>
                <w:bCs/>
                <w:color w:val="auto"/>
                <w:highlight w:val="none"/>
                <w:lang w:eastAsia="zh-CN"/>
              </w:rPr>
            </w:pPr>
          </w:p>
          <w:p w14:paraId="07489DFD">
            <w:pPr>
              <w:pStyle w:val="105"/>
              <w:spacing w:line="360" w:lineRule="auto"/>
              <w:jc w:val="both"/>
              <w:rPr>
                <w:rFonts w:hint="eastAsia" w:ascii="宋体" w:hAnsi="宋体" w:eastAsia="宋体"/>
                <w:b/>
                <w:bCs/>
                <w:color w:val="auto"/>
                <w:highlight w:val="none"/>
                <w:lang w:eastAsia="zh-CN"/>
              </w:rPr>
            </w:pPr>
          </w:p>
          <w:p w14:paraId="605A8039">
            <w:pPr>
              <w:pStyle w:val="105"/>
              <w:spacing w:line="360" w:lineRule="auto"/>
              <w:jc w:val="both"/>
              <w:rPr>
                <w:rFonts w:hint="eastAsia" w:ascii="宋体" w:hAnsi="宋体" w:eastAsia="宋体"/>
                <w:b/>
                <w:bCs/>
                <w:color w:val="auto"/>
                <w:highlight w:val="none"/>
                <w:lang w:eastAsia="zh-CN"/>
              </w:rPr>
            </w:pPr>
          </w:p>
          <w:p w14:paraId="7B8F45B0">
            <w:pPr>
              <w:pStyle w:val="105"/>
              <w:spacing w:line="360" w:lineRule="auto"/>
              <w:jc w:val="both"/>
              <w:rPr>
                <w:rFonts w:hint="eastAsia" w:ascii="宋体" w:hAnsi="宋体" w:eastAsia="宋体"/>
                <w:b/>
                <w:bCs/>
                <w:color w:val="auto"/>
                <w:highlight w:val="none"/>
                <w:lang w:eastAsia="zh-CN"/>
              </w:rPr>
            </w:pPr>
          </w:p>
          <w:p w14:paraId="5888C501">
            <w:pPr>
              <w:pStyle w:val="105"/>
              <w:spacing w:line="360" w:lineRule="auto"/>
              <w:jc w:val="both"/>
              <w:rPr>
                <w:rFonts w:hint="eastAsia" w:ascii="宋体" w:hAnsi="宋体" w:eastAsia="宋体"/>
                <w:b/>
                <w:bCs/>
                <w:color w:val="auto"/>
                <w:highlight w:val="none"/>
                <w:lang w:eastAsia="zh-CN"/>
              </w:rPr>
            </w:pPr>
          </w:p>
          <w:p w14:paraId="7F004988">
            <w:pPr>
              <w:pStyle w:val="105"/>
              <w:spacing w:line="360" w:lineRule="auto"/>
              <w:jc w:val="both"/>
              <w:rPr>
                <w:rFonts w:hint="eastAsia" w:ascii="宋体" w:hAnsi="宋体" w:eastAsia="宋体"/>
                <w:b/>
                <w:bCs/>
                <w:color w:val="auto"/>
                <w:highlight w:val="none"/>
                <w:lang w:eastAsia="zh-CN"/>
              </w:rPr>
            </w:pPr>
          </w:p>
          <w:p w14:paraId="469B7C7E">
            <w:pPr>
              <w:pStyle w:val="105"/>
              <w:spacing w:line="360" w:lineRule="auto"/>
              <w:ind w:firstLine="120" w:firstLineChars="50"/>
              <w:jc w:val="both"/>
              <w:rPr>
                <w:rFonts w:ascii="宋体" w:hAnsi="宋体" w:eastAsia="宋体"/>
                <w:color w:val="auto"/>
                <w:highlight w:val="none"/>
              </w:rPr>
            </w:pPr>
            <w:r>
              <w:rPr>
                <w:rFonts w:ascii="宋体" w:hAnsi="宋体" w:eastAsia="宋体"/>
                <w:b/>
                <w:bCs/>
                <w:color w:val="auto"/>
                <w:highlight w:val="none"/>
              </w:rPr>
              <w:t>5.</w:t>
            </w:r>
            <w:r>
              <w:rPr>
                <w:rFonts w:hint="eastAsia" w:ascii="宋体" w:hAnsi="宋体" w:eastAsia="宋体"/>
                <w:b/>
                <w:bCs/>
                <w:color w:val="auto"/>
                <w:highlight w:val="none"/>
                <w:lang w:eastAsia="zh-CN"/>
              </w:rPr>
              <w:t>4</w:t>
            </w:r>
          </w:p>
        </w:tc>
        <w:tc>
          <w:tcPr>
            <w:tcW w:w="311" w:type="pct"/>
            <w:vMerge w:val="restart"/>
            <w:tcBorders>
              <w:top w:val="outset" w:color="auto" w:sz="6" w:space="0"/>
              <w:left w:val="outset" w:color="auto" w:sz="6" w:space="0"/>
              <w:bottom w:val="outset" w:color="auto" w:sz="6" w:space="0"/>
              <w:right w:val="outset" w:color="auto" w:sz="6" w:space="0"/>
            </w:tcBorders>
            <w:noWrap w:val="0"/>
            <w:vAlign w:val="top"/>
          </w:tcPr>
          <w:p w14:paraId="426FCD85">
            <w:pPr>
              <w:pStyle w:val="105"/>
              <w:spacing w:line="360" w:lineRule="auto"/>
              <w:jc w:val="center"/>
              <w:rPr>
                <w:rFonts w:hint="eastAsia" w:ascii="宋体" w:hAnsi="宋体" w:eastAsia="宋体"/>
                <w:b/>
                <w:bCs/>
                <w:color w:val="auto"/>
                <w:highlight w:val="none"/>
                <w:lang w:eastAsia="zh-CN"/>
              </w:rPr>
            </w:pPr>
          </w:p>
          <w:p w14:paraId="5EB86A99">
            <w:pPr>
              <w:pStyle w:val="105"/>
              <w:spacing w:line="360" w:lineRule="auto"/>
              <w:jc w:val="center"/>
              <w:rPr>
                <w:rFonts w:hint="eastAsia" w:ascii="宋体" w:hAnsi="宋体" w:eastAsia="宋体"/>
                <w:b/>
                <w:bCs/>
                <w:color w:val="auto"/>
                <w:highlight w:val="none"/>
                <w:lang w:eastAsia="zh-CN"/>
              </w:rPr>
            </w:pPr>
          </w:p>
          <w:p w14:paraId="0E78E065">
            <w:pPr>
              <w:pStyle w:val="105"/>
              <w:spacing w:line="360" w:lineRule="auto"/>
              <w:jc w:val="center"/>
              <w:rPr>
                <w:rFonts w:hint="eastAsia" w:ascii="宋体" w:hAnsi="宋体" w:eastAsia="宋体"/>
                <w:b/>
                <w:bCs/>
                <w:color w:val="auto"/>
                <w:highlight w:val="none"/>
                <w:lang w:eastAsia="zh-CN"/>
              </w:rPr>
            </w:pPr>
          </w:p>
          <w:p w14:paraId="1CDED23F">
            <w:pPr>
              <w:pStyle w:val="105"/>
              <w:spacing w:line="360" w:lineRule="auto"/>
              <w:jc w:val="center"/>
              <w:rPr>
                <w:rFonts w:hint="eastAsia" w:ascii="宋体" w:hAnsi="宋体" w:eastAsia="宋体"/>
                <w:b/>
                <w:bCs/>
                <w:color w:val="auto"/>
                <w:highlight w:val="none"/>
                <w:lang w:eastAsia="zh-CN"/>
              </w:rPr>
            </w:pPr>
          </w:p>
          <w:p w14:paraId="355EC3C5">
            <w:pPr>
              <w:pStyle w:val="105"/>
              <w:spacing w:line="360" w:lineRule="auto"/>
              <w:jc w:val="center"/>
              <w:rPr>
                <w:rFonts w:hint="eastAsia" w:ascii="宋体" w:hAnsi="宋体" w:eastAsia="宋体"/>
                <w:b/>
                <w:bCs/>
                <w:color w:val="auto"/>
                <w:highlight w:val="none"/>
                <w:lang w:eastAsia="zh-CN"/>
              </w:rPr>
            </w:pPr>
          </w:p>
          <w:p w14:paraId="456C7D49">
            <w:pPr>
              <w:pStyle w:val="105"/>
              <w:spacing w:line="360" w:lineRule="auto"/>
              <w:jc w:val="center"/>
              <w:rPr>
                <w:rFonts w:hint="eastAsia" w:ascii="宋体" w:hAnsi="宋体" w:eastAsia="宋体"/>
                <w:b/>
                <w:bCs/>
                <w:color w:val="auto"/>
                <w:highlight w:val="none"/>
                <w:lang w:eastAsia="zh-CN"/>
              </w:rPr>
            </w:pPr>
          </w:p>
          <w:p w14:paraId="0847CAB3">
            <w:pPr>
              <w:pStyle w:val="105"/>
              <w:spacing w:line="360" w:lineRule="auto"/>
              <w:jc w:val="center"/>
              <w:rPr>
                <w:rFonts w:hint="eastAsia" w:ascii="宋体" w:hAnsi="宋体" w:eastAsia="宋体"/>
                <w:b/>
                <w:bCs/>
                <w:color w:val="auto"/>
                <w:highlight w:val="none"/>
                <w:lang w:eastAsia="zh-CN"/>
              </w:rPr>
            </w:pPr>
          </w:p>
          <w:p w14:paraId="697F1222">
            <w:pPr>
              <w:pStyle w:val="105"/>
              <w:spacing w:line="360" w:lineRule="auto"/>
              <w:jc w:val="center"/>
              <w:rPr>
                <w:rFonts w:hint="eastAsia" w:ascii="宋体" w:hAnsi="宋体" w:eastAsia="宋体"/>
                <w:b/>
                <w:bCs/>
                <w:color w:val="auto"/>
                <w:highlight w:val="none"/>
                <w:lang w:eastAsia="zh-CN"/>
              </w:rPr>
            </w:pPr>
          </w:p>
          <w:p w14:paraId="61C14FB9">
            <w:pPr>
              <w:pStyle w:val="105"/>
              <w:spacing w:line="360" w:lineRule="auto"/>
              <w:jc w:val="center"/>
              <w:rPr>
                <w:rFonts w:hint="eastAsia" w:ascii="宋体" w:hAnsi="宋体" w:eastAsia="宋体"/>
                <w:b/>
                <w:bCs/>
                <w:color w:val="auto"/>
                <w:highlight w:val="none"/>
                <w:lang w:eastAsia="zh-CN"/>
              </w:rPr>
            </w:pPr>
          </w:p>
          <w:p w14:paraId="0B92B48E">
            <w:pPr>
              <w:pStyle w:val="105"/>
              <w:spacing w:line="360" w:lineRule="auto"/>
              <w:jc w:val="center"/>
              <w:rPr>
                <w:rFonts w:hint="eastAsia" w:ascii="宋体" w:hAnsi="宋体" w:eastAsia="宋体"/>
                <w:b/>
                <w:bCs/>
                <w:color w:val="auto"/>
                <w:highlight w:val="none"/>
                <w:lang w:eastAsia="zh-CN"/>
              </w:rPr>
            </w:pPr>
          </w:p>
          <w:p w14:paraId="07D83942">
            <w:pPr>
              <w:pStyle w:val="105"/>
              <w:spacing w:line="360" w:lineRule="auto"/>
              <w:jc w:val="center"/>
              <w:rPr>
                <w:rFonts w:ascii="宋体" w:hAnsi="宋体" w:eastAsia="宋体"/>
                <w:color w:val="auto"/>
                <w:highlight w:val="none"/>
              </w:rPr>
            </w:pPr>
            <w:r>
              <w:rPr>
                <w:rFonts w:ascii="宋体" w:hAnsi="宋体" w:eastAsia="宋体"/>
                <w:b/>
                <w:bCs/>
                <w:color w:val="auto"/>
                <w:highlight w:val="none"/>
              </w:rPr>
              <w:t>技术详评标准</w:t>
            </w:r>
          </w:p>
        </w:tc>
        <w:tc>
          <w:tcPr>
            <w:tcW w:w="4331" w:type="pct"/>
            <w:gridSpan w:val="4"/>
            <w:tcBorders>
              <w:top w:val="outset" w:color="auto" w:sz="6" w:space="0"/>
              <w:left w:val="outset" w:color="auto" w:sz="6" w:space="0"/>
              <w:bottom w:val="outset" w:color="auto" w:sz="6" w:space="0"/>
              <w:right w:val="outset" w:color="auto" w:sz="6" w:space="0"/>
            </w:tcBorders>
            <w:noWrap w:val="0"/>
            <w:tcMar>
              <w:left w:w="75" w:type="dxa"/>
            </w:tcMar>
            <w:vAlign w:val="top"/>
          </w:tcPr>
          <w:p w14:paraId="2EB974E7">
            <w:pPr>
              <w:pStyle w:val="105"/>
              <w:spacing w:line="360" w:lineRule="auto"/>
              <w:jc w:val="center"/>
              <w:rPr>
                <w:rFonts w:ascii="宋体" w:hAnsi="宋体" w:eastAsia="宋体"/>
                <w:color w:val="auto"/>
                <w:highlight w:val="none"/>
              </w:rPr>
            </w:pPr>
            <w:r>
              <w:rPr>
                <w:rFonts w:hint="eastAsia" w:ascii="宋体" w:hAnsi="宋体"/>
                <w:color w:val="auto"/>
                <w:highlight w:val="none"/>
              </w:rPr>
              <w:t>施工组织设计</w:t>
            </w:r>
          </w:p>
        </w:tc>
      </w:tr>
      <w:tr w14:paraId="28EA0A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6F08947C">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2B5EA83E">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6101DE55">
            <w:pPr>
              <w:pStyle w:val="105"/>
              <w:spacing w:line="360" w:lineRule="auto"/>
              <w:jc w:val="center"/>
              <w:rPr>
                <w:rFonts w:ascii="宋体" w:hAnsi="宋体" w:eastAsia="宋体"/>
                <w:color w:val="auto"/>
                <w:highlight w:val="none"/>
              </w:rPr>
            </w:pPr>
            <w:r>
              <w:rPr>
                <w:rFonts w:ascii="宋体" w:hAnsi="宋体" w:eastAsia="宋体"/>
                <w:color w:val="auto"/>
                <w:highlight w:val="none"/>
              </w:rPr>
              <w:t>工程概况</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6F3E19E5">
            <w:pPr>
              <w:pStyle w:val="105"/>
              <w:spacing w:line="360" w:lineRule="auto"/>
              <w:jc w:val="both"/>
              <w:rPr>
                <w:rFonts w:ascii="宋体" w:hAnsi="宋体" w:eastAsia="宋体"/>
                <w:color w:val="auto"/>
                <w:highlight w:val="none"/>
              </w:rPr>
            </w:pPr>
            <w:r>
              <w:rPr>
                <w:rFonts w:ascii="宋体" w:hAnsi="宋体" w:eastAsia="宋体"/>
                <w:color w:val="auto"/>
                <w:highlight w:val="none"/>
              </w:rPr>
              <w:t>描述是否准确</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011FC674">
            <w:pPr>
              <w:pStyle w:val="105"/>
              <w:spacing w:line="360" w:lineRule="auto"/>
              <w:jc w:val="center"/>
              <w:rPr>
                <w:rFonts w:ascii="宋体" w:hAnsi="宋体" w:eastAsia="宋体"/>
                <w:color w:val="auto"/>
                <w:highlight w:val="none"/>
              </w:rPr>
            </w:pPr>
          </w:p>
        </w:tc>
      </w:tr>
      <w:tr w14:paraId="660266C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35DC0C6F">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66267415">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0659796D">
            <w:pPr>
              <w:pStyle w:val="105"/>
              <w:spacing w:line="360" w:lineRule="auto"/>
              <w:jc w:val="center"/>
              <w:rPr>
                <w:rFonts w:ascii="宋体" w:hAnsi="宋体" w:eastAsia="宋体"/>
                <w:color w:val="auto"/>
                <w:highlight w:val="none"/>
              </w:rPr>
            </w:pPr>
            <w:r>
              <w:rPr>
                <w:rFonts w:ascii="宋体" w:hAnsi="宋体" w:eastAsia="宋体"/>
                <w:color w:val="auto"/>
                <w:highlight w:val="none"/>
              </w:rPr>
              <w:t>主要施工方法</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0236A5D">
            <w:pPr>
              <w:pStyle w:val="105"/>
              <w:spacing w:line="360" w:lineRule="auto"/>
              <w:jc w:val="both"/>
              <w:rPr>
                <w:rFonts w:ascii="宋体" w:hAnsi="宋体" w:eastAsia="宋体"/>
                <w:color w:val="auto"/>
                <w:highlight w:val="none"/>
              </w:rPr>
            </w:pPr>
            <w:r>
              <w:rPr>
                <w:rFonts w:ascii="宋体" w:hAnsi="宋体" w:eastAsia="宋体"/>
                <w:color w:val="auto"/>
                <w:highlight w:val="none"/>
              </w:rPr>
              <w:t>各主要分部施工方法符合项目实际，须有详尽的施工技术方案，工艺先进、方法科学合理、可行，能指导具体施工并确保安全。</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BA242D2">
            <w:pPr>
              <w:pStyle w:val="105"/>
              <w:spacing w:line="360" w:lineRule="auto"/>
              <w:jc w:val="center"/>
              <w:rPr>
                <w:rFonts w:ascii="宋体" w:hAnsi="宋体" w:eastAsia="宋体"/>
                <w:color w:val="auto"/>
                <w:highlight w:val="none"/>
              </w:rPr>
            </w:pPr>
          </w:p>
        </w:tc>
      </w:tr>
      <w:tr w14:paraId="488E02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6B9D9BDA">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54AEBFD9">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4B5A6EA4">
            <w:pPr>
              <w:pStyle w:val="105"/>
              <w:spacing w:line="360" w:lineRule="auto"/>
              <w:jc w:val="center"/>
              <w:rPr>
                <w:rFonts w:ascii="宋体" w:hAnsi="宋体" w:eastAsia="宋体"/>
                <w:color w:val="auto"/>
                <w:highlight w:val="none"/>
              </w:rPr>
            </w:pPr>
            <w:r>
              <w:rPr>
                <w:rFonts w:ascii="宋体" w:hAnsi="宋体" w:eastAsia="宋体"/>
                <w:color w:val="auto"/>
                <w:highlight w:val="none"/>
              </w:rPr>
              <w:t>拟投入的主要物资计划</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DA9C34E">
            <w:pPr>
              <w:pStyle w:val="105"/>
              <w:spacing w:line="360" w:lineRule="auto"/>
              <w:jc w:val="both"/>
              <w:rPr>
                <w:rFonts w:ascii="宋体" w:hAnsi="宋体" w:eastAsia="宋体"/>
                <w:color w:val="auto"/>
                <w:highlight w:val="none"/>
              </w:rPr>
            </w:pPr>
            <w:r>
              <w:rPr>
                <w:rFonts w:ascii="宋体" w:hAnsi="宋体" w:eastAsia="宋体"/>
                <w:color w:val="auto"/>
                <w:highlight w:val="none"/>
              </w:rPr>
              <w:t>投入的施工材料有详细计划且计划周密，数量、选型配置、进场数量、时间安排合理，满足施工需要</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121E2173">
            <w:pPr>
              <w:pStyle w:val="105"/>
              <w:spacing w:line="360" w:lineRule="auto"/>
              <w:jc w:val="center"/>
              <w:rPr>
                <w:rFonts w:ascii="宋体" w:hAnsi="宋体" w:eastAsia="宋体"/>
                <w:color w:val="auto"/>
                <w:highlight w:val="none"/>
              </w:rPr>
            </w:pPr>
          </w:p>
        </w:tc>
      </w:tr>
      <w:tr w14:paraId="3EF7FA5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4F420043">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B2BDD57">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5C0B5D9E">
            <w:pPr>
              <w:pStyle w:val="105"/>
              <w:spacing w:line="360" w:lineRule="auto"/>
              <w:jc w:val="center"/>
              <w:rPr>
                <w:rFonts w:ascii="宋体" w:hAnsi="宋体" w:eastAsia="宋体"/>
                <w:color w:val="auto"/>
                <w:highlight w:val="none"/>
              </w:rPr>
            </w:pPr>
            <w:r>
              <w:rPr>
                <w:rFonts w:ascii="宋体" w:hAnsi="宋体" w:eastAsia="宋体"/>
                <w:color w:val="auto"/>
                <w:highlight w:val="none"/>
              </w:rPr>
              <w:t>拟投入的主要施工机械、设备计划</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5AFE03A3">
            <w:pPr>
              <w:pStyle w:val="105"/>
              <w:spacing w:line="360" w:lineRule="auto"/>
              <w:jc w:val="both"/>
              <w:rPr>
                <w:rFonts w:ascii="宋体" w:hAnsi="宋体" w:eastAsia="宋体"/>
                <w:color w:val="auto"/>
                <w:highlight w:val="none"/>
              </w:rPr>
            </w:pPr>
            <w:r>
              <w:rPr>
                <w:rFonts w:ascii="宋体" w:hAnsi="宋体" w:eastAsia="宋体"/>
                <w:color w:val="auto"/>
                <w:highlight w:val="none"/>
              </w:rPr>
              <w:t>投入的施工机械、设备、机具有详细计划且计划周密，设备数量、选型配置、进场数量、时间安排合理，满足施工需要。</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6F9F6584">
            <w:pPr>
              <w:pStyle w:val="105"/>
              <w:spacing w:line="360" w:lineRule="auto"/>
              <w:jc w:val="center"/>
              <w:rPr>
                <w:rFonts w:ascii="宋体" w:hAnsi="宋体" w:eastAsia="宋体"/>
                <w:color w:val="auto"/>
                <w:highlight w:val="none"/>
              </w:rPr>
            </w:pPr>
          </w:p>
        </w:tc>
      </w:tr>
      <w:tr w14:paraId="0299F2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0C9DDE28">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22CF2B85">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5FF09950">
            <w:pPr>
              <w:pStyle w:val="105"/>
              <w:spacing w:line="360" w:lineRule="auto"/>
              <w:jc w:val="center"/>
              <w:rPr>
                <w:rFonts w:hint="eastAsia" w:ascii="宋体" w:hAnsi="宋体" w:eastAsia="宋体"/>
                <w:color w:val="auto"/>
                <w:highlight w:val="none"/>
                <w:lang w:eastAsia="zh-CN"/>
              </w:rPr>
            </w:pPr>
            <w:r>
              <w:rPr>
                <w:rFonts w:ascii="宋体" w:hAnsi="宋体" w:eastAsia="宋体"/>
                <w:color w:val="auto"/>
                <w:highlight w:val="none"/>
              </w:rPr>
              <w:t>劳动力安排</w:t>
            </w:r>
          </w:p>
          <w:p w14:paraId="217AF592">
            <w:pPr>
              <w:pStyle w:val="105"/>
              <w:spacing w:line="360" w:lineRule="auto"/>
              <w:jc w:val="center"/>
              <w:rPr>
                <w:rFonts w:ascii="宋体" w:hAnsi="宋体" w:eastAsia="宋体"/>
                <w:color w:val="auto"/>
                <w:highlight w:val="none"/>
              </w:rPr>
            </w:pPr>
            <w:r>
              <w:rPr>
                <w:rFonts w:ascii="宋体" w:hAnsi="宋体" w:eastAsia="宋体"/>
                <w:color w:val="auto"/>
                <w:highlight w:val="none"/>
              </w:rPr>
              <w:t>计划</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18CA77BA">
            <w:pPr>
              <w:pStyle w:val="105"/>
              <w:spacing w:line="360" w:lineRule="auto"/>
              <w:jc w:val="both"/>
              <w:rPr>
                <w:rFonts w:ascii="宋体" w:hAnsi="宋体" w:eastAsia="宋体"/>
                <w:color w:val="auto"/>
                <w:highlight w:val="none"/>
              </w:rPr>
            </w:pPr>
            <w:r>
              <w:rPr>
                <w:rFonts w:ascii="宋体" w:hAnsi="宋体" w:eastAsia="宋体"/>
                <w:color w:val="auto"/>
                <w:highlight w:val="none"/>
              </w:rPr>
              <w:t>各主要施工工序应有详细周密的劳动力安排计划明细，有各工种劳动力安排计划，劳动力投入经济合理，满足施工需要。</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C18E4DA">
            <w:pPr>
              <w:pStyle w:val="105"/>
              <w:spacing w:line="360" w:lineRule="auto"/>
              <w:jc w:val="center"/>
              <w:rPr>
                <w:rFonts w:ascii="宋体" w:hAnsi="宋体" w:eastAsia="宋体"/>
                <w:color w:val="auto"/>
                <w:highlight w:val="none"/>
              </w:rPr>
            </w:pPr>
          </w:p>
        </w:tc>
      </w:tr>
      <w:tr w14:paraId="36A725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27170286">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32BC14E">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54F0E452">
            <w:pPr>
              <w:pStyle w:val="105"/>
              <w:spacing w:line="360" w:lineRule="auto"/>
              <w:jc w:val="center"/>
              <w:rPr>
                <w:rFonts w:ascii="宋体" w:hAnsi="宋体" w:eastAsia="宋体"/>
                <w:color w:val="auto"/>
                <w:highlight w:val="none"/>
              </w:rPr>
            </w:pPr>
            <w:r>
              <w:rPr>
                <w:rFonts w:ascii="宋体" w:hAnsi="宋体" w:eastAsia="宋体"/>
                <w:color w:val="auto"/>
                <w:highlight w:val="none"/>
              </w:rPr>
              <w:t>确保工程质量的技术组织措施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60A8F174">
            <w:pPr>
              <w:pStyle w:val="105"/>
              <w:spacing w:line="360" w:lineRule="auto"/>
              <w:jc w:val="both"/>
              <w:rPr>
                <w:rFonts w:ascii="宋体" w:hAnsi="宋体" w:eastAsia="宋体"/>
                <w:color w:val="auto"/>
                <w:highlight w:val="none"/>
              </w:rPr>
            </w:pPr>
            <w:r>
              <w:rPr>
                <w:rFonts w:ascii="宋体" w:hAnsi="宋体" w:eastAsia="宋体"/>
                <w:color w:val="auto"/>
                <w:highlight w:val="none"/>
              </w:rPr>
              <w:t>施工项目应有专门的质量技术管理班子和制度，且人员配备合理，制度健全。主要工序应有质量技术保证措施和手段，自控体系完整，能有效保证技术质量，达到承诺的质量标准。</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6A74DE6">
            <w:pPr>
              <w:pStyle w:val="105"/>
              <w:spacing w:line="360" w:lineRule="auto"/>
              <w:jc w:val="center"/>
              <w:rPr>
                <w:rFonts w:ascii="宋体" w:hAnsi="宋体" w:eastAsia="宋体"/>
                <w:color w:val="auto"/>
                <w:highlight w:val="none"/>
              </w:rPr>
            </w:pPr>
          </w:p>
        </w:tc>
      </w:tr>
      <w:tr w14:paraId="091F62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473CA275">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234F16DF">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7BA92C28">
            <w:pPr>
              <w:pStyle w:val="105"/>
              <w:spacing w:line="360" w:lineRule="auto"/>
              <w:jc w:val="center"/>
              <w:rPr>
                <w:rFonts w:ascii="宋体" w:hAnsi="宋体" w:eastAsia="宋体"/>
                <w:color w:val="auto"/>
                <w:highlight w:val="none"/>
              </w:rPr>
            </w:pPr>
            <w:r>
              <w:rPr>
                <w:rFonts w:ascii="宋体" w:hAnsi="宋体" w:eastAsia="宋体"/>
                <w:color w:val="auto"/>
                <w:highlight w:val="none"/>
              </w:rPr>
              <w:t>确保安全生产的技术组织措施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648C9A78">
            <w:pPr>
              <w:pStyle w:val="105"/>
              <w:spacing w:line="360" w:lineRule="auto"/>
              <w:jc w:val="both"/>
              <w:rPr>
                <w:rFonts w:ascii="宋体" w:hAnsi="宋体" w:eastAsia="宋体"/>
                <w:color w:val="auto"/>
                <w:highlight w:val="none"/>
              </w:rPr>
            </w:pPr>
            <w:r>
              <w:rPr>
                <w:rFonts w:ascii="宋体" w:hAnsi="宋体" w:eastAsia="宋体"/>
                <w:color w:val="auto"/>
                <w:highlight w:val="none"/>
              </w:rPr>
              <w:t>施工项目应有专门的安全管理人员和制度，且人员配备合理，制度健全，各道工序安全技术措施针对性强，符合实际且满足有关安全技术标准要求。现场防火、社会治安安全措施得力。</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56BA7209">
            <w:pPr>
              <w:pStyle w:val="105"/>
              <w:spacing w:line="360" w:lineRule="auto"/>
              <w:jc w:val="center"/>
              <w:rPr>
                <w:rFonts w:ascii="宋体" w:hAnsi="宋体" w:eastAsia="宋体"/>
                <w:color w:val="auto"/>
                <w:highlight w:val="none"/>
              </w:rPr>
            </w:pPr>
          </w:p>
        </w:tc>
      </w:tr>
      <w:tr w14:paraId="67B2D12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0B894205">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FD53E78">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455C0596">
            <w:pPr>
              <w:pStyle w:val="105"/>
              <w:spacing w:line="360" w:lineRule="auto"/>
              <w:jc w:val="center"/>
              <w:rPr>
                <w:rFonts w:ascii="宋体" w:hAnsi="宋体" w:eastAsia="宋体"/>
                <w:color w:val="auto"/>
                <w:highlight w:val="none"/>
              </w:rPr>
            </w:pPr>
            <w:r>
              <w:rPr>
                <w:rFonts w:ascii="宋体" w:hAnsi="宋体" w:eastAsia="宋体"/>
                <w:color w:val="auto"/>
                <w:highlight w:val="none"/>
              </w:rPr>
              <w:t>确保工期的技术组织措施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1F9946F">
            <w:pPr>
              <w:pStyle w:val="105"/>
              <w:spacing w:line="360" w:lineRule="auto"/>
              <w:jc w:val="both"/>
              <w:rPr>
                <w:rFonts w:ascii="宋体" w:hAnsi="宋体" w:eastAsia="宋体"/>
                <w:color w:val="auto"/>
                <w:highlight w:val="none"/>
              </w:rPr>
            </w:pPr>
            <w:r>
              <w:rPr>
                <w:rFonts w:ascii="宋体" w:hAnsi="宋体" w:eastAsia="宋体"/>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F1F9415">
            <w:pPr>
              <w:pStyle w:val="105"/>
              <w:spacing w:line="360" w:lineRule="auto"/>
              <w:jc w:val="center"/>
              <w:rPr>
                <w:rFonts w:ascii="宋体" w:hAnsi="宋体" w:eastAsia="宋体"/>
                <w:color w:val="auto"/>
                <w:highlight w:val="none"/>
              </w:rPr>
            </w:pPr>
          </w:p>
        </w:tc>
      </w:tr>
      <w:tr w14:paraId="719115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31911226">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2F2D5CB8">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661558E4">
            <w:pPr>
              <w:pStyle w:val="105"/>
              <w:spacing w:line="360" w:lineRule="auto"/>
              <w:jc w:val="center"/>
              <w:rPr>
                <w:rFonts w:ascii="宋体" w:hAnsi="宋体" w:eastAsia="宋体"/>
                <w:color w:val="auto"/>
                <w:highlight w:val="none"/>
              </w:rPr>
            </w:pPr>
            <w:r>
              <w:rPr>
                <w:rFonts w:ascii="宋体" w:hAnsi="宋体" w:eastAsia="宋体"/>
                <w:color w:val="auto"/>
                <w:highlight w:val="none"/>
              </w:rPr>
              <w:t>确保文明施工的技术组织措施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2D6D972">
            <w:pPr>
              <w:pStyle w:val="105"/>
              <w:spacing w:line="360" w:lineRule="auto"/>
              <w:jc w:val="both"/>
              <w:rPr>
                <w:rFonts w:ascii="宋体" w:hAnsi="宋体" w:eastAsia="宋体"/>
                <w:color w:val="auto"/>
                <w:highlight w:val="none"/>
              </w:rPr>
            </w:pPr>
            <w:r>
              <w:rPr>
                <w:rFonts w:ascii="宋体" w:hAnsi="宋体" w:eastAsia="宋体"/>
                <w:color w:val="auto"/>
                <w:highlight w:val="none"/>
              </w:rPr>
              <w:t>针对本工程项目特点，应有现场文明施工计划，环境保护措施，且计划措施内容应达到“安全文明示范工地”标准。各项措施周全、具体、有效。有具体实现现场文明施工目标的承诺。</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63726D7">
            <w:pPr>
              <w:pStyle w:val="105"/>
              <w:spacing w:line="360" w:lineRule="auto"/>
              <w:jc w:val="center"/>
              <w:rPr>
                <w:rFonts w:ascii="宋体" w:hAnsi="宋体" w:eastAsia="宋体"/>
                <w:color w:val="auto"/>
                <w:highlight w:val="none"/>
              </w:rPr>
            </w:pPr>
          </w:p>
        </w:tc>
      </w:tr>
      <w:tr w14:paraId="1C8D7A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27BB80DB">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3CF0DC7">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5A6F05AE">
            <w:pPr>
              <w:pStyle w:val="105"/>
              <w:spacing w:line="360" w:lineRule="auto"/>
              <w:jc w:val="center"/>
              <w:rPr>
                <w:rFonts w:ascii="宋体" w:hAnsi="宋体" w:eastAsia="宋体"/>
                <w:color w:val="auto"/>
                <w:highlight w:val="none"/>
              </w:rPr>
            </w:pPr>
            <w:r>
              <w:rPr>
                <w:rFonts w:ascii="宋体" w:hAnsi="宋体" w:eastAsia="宋体"/>
                <w:color w:val="auto"/>
                <w:highlight w:val="none"/>
              </w:rPr>
              <w:t>施工总平面布置图</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31FF5810">
            <w:pPr>
              <w:pStyle w:val="105"/>
              <w:spacing w:line="360" w:lineRule="auto"/>
              <w:jc w:val="both"/>
              <w:rPr>
                <w:rFonts w:ascii="宋体" w:hAnsi="宋体" w:eastAsia="宋体"/>
                <w:color w:val="auto"/>
                <w:highlight w:val="none"/>
              </w:rPr>
            </w:pPr>
            <w:r>
              <w:rPr>
                <w:rFonts w:ascii="宋体" w:hAnsi="宋体" w:eastAsia="宋体"/>
                <w:color w:val="auto"/>
                <w:highlight w:val="none"/>
              </w:rPr>
              <w:t>应有施工总平面布置图，安排科学合理，符合本项目施工实际要求。</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E3B1D0B">
            <w:pPr>
              <w:pStyle w:val="105"/>
              <w:spacing w:line="360" w:lineRule="auto"/>
              <w:jc w:val="center"/>
              <w:rPr>
                <w:rFonts w:ascii="宋体" w:hAnsi="宋体" w:eastAsia="宋体"/>
                <w:color w:val="auto"/>
                <w:highlight w:val="none"/>
              </w:rPr>
            </w:pPr>
          </w:p>
        </w:tc>
      </w:tr>
      <w:tr w14:paraId="7EFBCB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4F9CC808">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147E2825">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448A803C">
            <w:pPr>
              <w:pStyle w:val="105"/>
              <w:spacing w:line="360" w:lineRule="auto"/>
              <w:jc w:val="center"/>
              <w:rPr>
                <w:rFonts w:ascii="宋体" w:hAnsi="宋体" w:eastAsia="宋体"/>
                <w:color w:val="auto"/>
                <w:highlight w:val="none"/>
              </w:rPr>
            </w:pPr>
            <w:r>
              <w:rPr>
                <w:rFonts w:ascii="宋体" w:hAnsi="宋体" w:eastAsia="宋体"/>
                <w:color w:val="auto"/>
                <w:highlight w:val="none"/>
              </w:rPr>
              <w:t>重点、难点</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00AE1854">
            <w:pPr>
              <w:pStyle w:val="105"/>
              <w:spacing w:line="360" w:lineRule="auto"/>
              <w:jc w:val="both"/>
              <w:rPr>
                <w:rFonts w:ascii="宋体" w:hAnsi="宋体" w:eastAsia="宋体"/>
                <w:color w:val="auto"/>
                <w:highlight w:val="none"/>
              </w:rPr>
            </w:pPr>
            <w:r>
              <w:rPr>
                <w:rFonts w:ascii="宋体" w:hAnsi="宋体" w:eastAsia="宋体"/>
                <w:color w:val="auto"/>
                <w:highlight w:val="none"/>
              </w:rPr>
              <w:t>满足</w:t>
            </w:r>
            <w:r>
              <w:rPr>
                <w:rFonts w:hint="eastAsia" w:ascii="宋体" w:hAnsi="宋体" w:eastAsia="宋体"/>
                <w:color w:val="auto"/>
                <w:highlight w:val="none"/>
                <w:lang w:eastAsia="zh-CN"/>
              </w:rPr>
              <w:t>采购文件</w:t>
            </w:r>
            <w:r>
              <w:rPr>
                <w:rFonts w:ascii="宋体" w:hAnsi="宋体" w:eastAsia="宋体"/>
                <w:color w:val="auto"/>
                <w:highlight w:val="none"/>
              </w:rPr>
              <w:t>前附表重难点要求，应单独成章，可以根据投标人理解另行增加内容。</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3B5F811">
            <w:pPr>
              <w:pStyle w:val="105"/>
              <w:spacing w:line="360" w:lineRule="auto"/>
              <w:jc w:val="center"/>
              <w:rPr>
                <w:rFonts w:ascii="宋体" w:hAnsi="宋体" w:eastAsia="宋体"/>
                <w:color w:val="auto"/>
                <w:highlight w:val="none"/>
              </w:rPr>
            </w:pPr>
          </w:p>
        </w:tc>
      </w:tr>
      <w:tr w14:paraId="28AD79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40663D95">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16866418">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center"/>
          </w:tcPr>
          <w:p w14:paraId="29F55BD4">
            <w:pPr>
              <w:pStyle w:val="105"/>
              <w:adjustRightInd w:val="0"/>
              <w:snapToGrid w:val="0"/>
              <w:spacing w:line="360" w:lineRule="auto"/>
              <w:jc w:val="center"/>
              <w:rPr>
                <w:rFonts w:ascii="宋体" w:hAnsi="宋体" w:eastAsia="宋体"/>
                <w:color w:val="auto"/>
                <w:highlight w:val="none"/>
              </w:rPr>
            </w:pPr>
            <w:r>
              <w:rPr>
                <w:rFonts w:ascii="宋体" w:hAnsi="宋体" w:eastAsia="宋体"/>
                <w:color w:val="auto"/>
                <w:highlight w:val="none"/>
              </w:rPr>
              <w:t>施工组织设计整体</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5687E89C">
            <w:pPr>
              <w:pStyle w:val="105"/>
              <w:adjustRightInd w:val="0"/>
              <w:snapToGrid w:val="0"/>
              <w:spacing w:line="360" w:lineRule="auto"/>
              <w:jc w:val="both"/>
              <w:rPr>
                <w:rFonts w:hint="eastAsia" w:ascii="宋体" w:hAnsi="宋体" w:eastAsia="宋体"/>
                <w:color w:val="auto"/>
                <w:highlight w:val="none"/>
                <w:lang w:eastAsia="zh-CN"/>
              </w:rPr>
            </w:pPr>
            <w:r>
              <w:rPr>
                <w:rFonts w:ascii="宋体" w:hAnsi="宋体" w:eastAsia="宋体"/>
                <w:color w:val="auto"/>
                <w:highlight w:val="none"/>
              </w:rPr>
              <w:t>针对性、完整性符合要求。</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27C8653">
            <w:pPr>
              <w:pStyle w:val="105"/>
              <w:spacing w:line="360" w:lineRule="auto"/>
              <w:jc w:val="center"/>
              <w:rPr>
                <w:rFonts w:ascii="宋体" w:hAnsi="宋体" w:eastAsia="宋体"/>
                <w:color w:val="auto"/>
                <w:highlight w:val="none"/>
              </w:rPr>
            </w:pPr>
          </w:p>
        </w:tc>
      </w:tr>
      <w:tr w14:paraId="540793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61964BA6">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65034EA">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0C0F225C">
            <w:pPr>
              <w:pStyle w:val="105"/>
              <w:spacing w:line="360" w:lineRule="auto"/>
              <w:ind w:firstLine="240" w:firstLineChars="100"/>
              <w:jc w:val="center"/>
              <w:rPr>
                <w:rFonts w:ascii="宋体" w:hAnsi="宋体" w:eastAsia="宋体"/>
                <w:color w:val="auto"/>
                <w:highlight w:val="none"/>
              </w:rPr>
            </w:pPr>
            <w:r>
              <w:rPr>
                <w:rFonts w:ascii="宋体" w:hAnsi="宋体" w:eastAsia="宋体"/>
                <w:color w:val="auto"/>
                <w:highlight w:val="none"/>
              </w:rPr>
              <w:t>其它</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39AB536">
            <w:pPr>
              <w:pStyle w:val="105"/>
              <w:spacing w:line="360" w:lineRule="auto"/>
              <w:jc w:val="both"/>
              <w:rPr>
                <w:rFonts w:ascii="宋体" w:hAnsi="宋体" w:eastAsia="宋体"/>
                <w:color w:val="auto"/>
                <w:highlight w:val="none"/>
              </w:rPr>
            </w:pP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B4F456B">
            <w:pPr>
              <w:pStyle w:val="105"/>
              <w:spacing w:line="360" w:lineRule="auto"/>
              <w:jc w:val="center"/>
              <w:rPr>
                <w:rFonts w:ascii="宋体" w:hAnsi="宋体" w:eastAsia="宋体"/>
                <w:color w:val="auto"/>
                <w:highlight w:val="none"/>
              </w:rPr>
            </w:pPr>
          </w:p>
        </w:tc>
      </w:tr>
    </w:tbl>
    <w:p w14:paraId="0ABFC140">
      <w:pPr>
        <w:rPr>
          <w:rFonts w:ascii="宋体" w:hAnsi="宋体"/>
          <w:color w:val="auto"/>
          <w:highlight w:val="none"/>
        </w:rPr>
      </w:pPr>
      <w:r>
        <w:rPr>
          <w:rFonts w:ascii="宋体" w:hAnsi="宋体"/>
          <w:color w:val="auto"/>
          <w:highlight w:val="none"/>
        </w:rPr>
        <w:t xml:space="preserve"> </w:t>
      </w:r>
      <w:bookmarkEnd w:id="29"/>
    </w:p>
    <w:p w14:paraId="23B2A692">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说明：</w:t>
      </w:r>
    </w:p>
    <w:p w14:paraId="13FA1ADF">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1.技术标评审采用定性方法。</w:t>
      </w:r>
    </w:p>
    <w:p w14:paraId="6916E367">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2.评标专家根据评审要求判断每项评审内容是否合格，并在投标人评审空格内用“通过”、“不通过”表示。</w:t>
      </w:r>
    </w:p>
    <w:p w14:paraId="0731F840">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3.所有选项必须通过</w:t>
      </w:r>
      <w:r>
        <w:rPr>
          <w:rFonts w:hint="eastAsia" w:ascii="宋体" w:hAnsi="宋体"/>
          <w:color w:val="auto"/>
          <w:sz w:val="24"/>
          <w:szCs w:val="24"/>
          <w:highlight w:val="none"/>
          <w:lang w:val="en-US" w:eastAsia="zh-CN"/>
        </w:rPr>
        <w:t>100</w:t>
      </w:r>
      <w:r>
        <w:rPr>
          <w:rFonts w:hint="eastAsia" w:ascii="宋体" w:hAnsi="宋体"/>
          <w:color w:val="auto"/>
          <w:sz w:val="24"/>
          <w:szCs w:val="24"/>
          <w:highlight w:val="none"/>
        </w:rPr>
        <w:t>%以上，技术标方为通过。</w:t>
      </w:r>
    </w:p>
    <w:p w14:paraId="10386CD2">
      <w:pPr>
        <w:pStyle w:val="95"/>
        <w:widowControl w:val="0"/>
        <w:spacing w:before="0" w:beforeAutospacing="0" w:after="0" w:afterAutospacing="0"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4、对否定的技术标，评委要提出充足的否定理由，并填写在技术标评标记录上。</w:t>
      </w:r>
    </w:p>
    <w:p w14:paraId="4ACB1DC0">
      <w:pPr>
        <w:widowControl w:val="0"/>
        <w:numPr>
          <w:ilvl w:val="0"/>
          <w:numId w:val="0"/>
        </w:numPr>
        <w:adjustRightInd w:val="0"/>
        <w:snapToGrid w:val="0"/>
        <w:spacing w:line="360" w:lineRule="auto"/>
        <w:ind w:right="-10" w:rightChars="0"/>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val="en-US" w:eastAsia="zh-CN"/>
        </w:rPr>
        <w:t>五</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报价文件</w:t>
      </w:r>
      <w:r>
        <w:rPr>
          <w:rFonts w:hint="eastAsia" w:ascii="宋体" w:hAnsi="宋体"/>
          <w:b/>
          <w:bCs/>
          <w:color w:val="auto"/>
          <w:sz w:val="28"/>
          <w:szCs w:val="28"/>
          <w:highlight w:val="none"/>
          <w:lang w:eastAsia="zh-CN"/>
        </w:rPr>
        <w:t>评审</w:t>
      </w:r>
    </w:p>
    <w:tbl>
      <w:tblPr>
        <w:tblStyle w:val="53"/>
        <w:tblW w:w="9335"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329"/>
        <w:gridCol w:w="7006"/>
      </w:tblGrid>
      <w:tr w14:paraId="48F70CC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trPr>
        <w:tc>
          <w:tcPr>
            <w:tcW w:w="2329" w:type="dxa"/>
            <w:tcBorders>
              <w:top w:val="outset" w:color="auto" w:sz="6" w:space="0"/>
              <w:left w:val="single" w:color="auto" w:sz="4" w:space="0"/>
              <w:bottom w:val="outset" w:color="auto" w:sz="6" w:space="0"/>
              <w:right w:val="single" w:color="auto" w:sz="4" w:space="0"/>
            </w:tcBorders>
            <w:noWrap w:val="0"/>
            <w:vAlign w:val="center"/>
          </w:tcPr>
          <w:p w14:paraId="3C5BAB8B">
            <w:pPr>
              <w:widowControl/>
              <w:ind w:firstLine="105" w:firstLineChars="50"/>
              <w:jc w:val="center"/>
              <w:rPr>
                <w:color w:val="auto"/>
                <w:kern w:val="0"/>
                <w:szCs w:val="21"/>
                <w:highlight w:val="none"/>
              </w:rPr>
            </w:pPr>
            <w:r>
              <w:rPr>
                <w:b/>
                <w:bCs/>
                <w:color w:val="auto"/>
                <w:kern w:val="0"/>
                <w:szCs w:val="21"/>
                <w:highlight w:val="none"/>
              </w:rPr>
              <w:t>评审因素</w:t>
            </w:r>
          </w:p>
        </w:tc>
        <w:tc>
          <w:tcPr>
            <w:tcW w:w="7006" w:type="dxa"/>
            <w:tcBorders>
              <w:top w:val="outset" w:color="auto" w:sz="6" w:space="0"/>
              <w:left w:val="single" w:color="auto" w:sz="4" w:space="0"/>
              <w:bottom w:val="outset" w:color="auto" w:sz="6" w:space="0"/>
              <w:right w:val="outset" w:color="auto" w:sz="6" w:space="0"/>
            </w:tcBorders>
            <w:noWrap w:val="0"/>
            <w:vAlign w:val="center"/>
          </w:tcPr>
          <w:p w14:paraId="03DC4518">
            <w:pPr>
              <w:widowControl/>
              <w:ind w:firstLine="105" w:firstLineChars="50"/>
              <w:jc w:val="center"/>
              <w:rPr>
                <w:rFonts w:hint="eastAsia"/>
                <w:color w:val="auto"/>
                <w:kern w:val="0"/>
                <w:szCs w:val="21"/>
                <w:highlight w:val="none"/>
              </w:rPr>
            </w:pPr>
            <w:r>
              <w:rPr>
                <w:rFonts w:hint="eastAsia"/>
                <w:b/>
                <w:bCs/>
                <w:color w:val="auto"/>
                <w:kern w:val="0"/>
                <w:szCs w:val="21"/>
                <w:highlight w:val="none"/>
              </w:rPr>
              <w:t>评审标准</w:t>
            </w:r>
          </w:p>
        </w:tc>
      </w:tr>
      <w:tr w14:paraId="6A8FD5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59C6B99">
            <w:pPr>
              <w:widowControl/>
              <w:jc w:val="center"/>
              <w:rPr>
                <w:color w:val="auto"/>
                <w:kern w:val="0"/>
                <w:sz w:val="24"/>
                <w:szCs w:val="24"/>
                <w:highlight w:val="none"/>
              </w:rPr>
            </w:pPr>
            <w:r>
              <w:rPr>
                <w:color w:val="auto"/>
                <w:kern w:val="0"/>
                <w:sz w:val="24"/>
                <w:szCs w:val="24"/>
                <w:highlight w:val="none"/>
              </w:rPr>
              <w:t>报价规范性评审</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54939CEB">
            <w:pPr>
              <w:widowControl/>
              <w:rPr>
                <w:rFonts w:hint="eastAsia"/>
                <w:color w:val="auto"/>
                <w:kern w:val="0"/>
                <w:sz w:val="24"/>
                <w:szCs w:val="24"/>
                <w:highlight w:val="none"/>
              </w:rPr>
            </w:pPr>
            <w:r>
              <w:rPr>
                <w:color w:val="auto"/>
                <w:kern w:val="0"/>
                <w:sz w:val="24"/>
                <w:szCs w:val="24"/>
                <w:highlight w:val="none"/>
              </w:rPr>
              <w:t>对</w:t>
            </w:r>
            <w:r>
              <w:rPr>
                <w:rFonts w:hint="eastAsia"/>
                <w:color w:val="auto"/>
                <w:kern w:val="0"/>
                <w:sz w:val="24"/>
                <w:szCs w:val="24"/>
                <w:highlight w:val="none"/>
              </w:rPr>
              <w:t>已标价的工程量清单报价书“分部分项工程量清单综合单价分析表”</w:t>
            </w:r>
            <w:r>
              <w:rPr>
                <w:color w:val="auto"/>
                <w:kern w:val="0"/>
                <w:sz w:val="24"/>
                <w:szCs w:val="24"/>
                <w:highlight w:val="none"/>
              </w:rPr>
              <w:t>中</w:t>
            </w:r>
            <w:r>
              <w:rPr>
                <w:rFonts w:hint="eastAsia"/>
                <w:color w:val="auto"/>
                <w:kern w:val="0"/>
                <w:sz w:val="24"/>
                <w:szCs w:val="24"/>
                <w:highlight w:val="none"/>
              </w:rPr>
              <w:t>的</w:t>
            </w:r>
            <w:r>
              <w:rPr>
                <w:color w:val="auto"/>
                <w:kern w:val="0"/>
                <w:sz w:val="24"/>
                <w:szCs w:val="24"/>
                <w:highlight w:val="none"/>
              </w:rPr>
              <w:t>综合单价、主要材料价格、人工费（含工日数量及工日单价）、机械费</w:t>
            </w:r>
            <w:r>
              <w:rPr>
                <w:rFonts w:hint="eastAsia"/>
                <w:color w:val="auto"/>
                <w:kern w:val="0"/>
                <w:sz w:val="24"/>
                <w:szCs w:val="24"/>
                <w:highlight w:val="none"/>
              </w:rPr>
              <w:t>，“措施项目清单与计价表”中的措施费及“不可竞争项目清单与计价表”的不可竞争费</w:t>
            </w:r>
            <w:r>
              <w:rPr>
                <w:color w:val="auto"/>
                <w:kern w:val="0"/>
                <w:sz w:val="24"/>
                <w:szCs w:val="24"/>
                <w:highlight w:val="none"/>
              </w:rPr>
              <w:t>等进行规范性评审，对明显相互冲突、自相矛盾或不合理的，</w:t>
            </w:r>
            <w:r>
              <w:rPr>
                <w:rFonts w:hint="eastAsia"/>
                <w:color w:val="auto"/>
                <w:kern w:val="0"/>
                <w:sz w:val="24"/>
                <w:szCs w:val="24"/>
                <w:highlight w:val="none"/>
              </w:rPr>
              <w:t>或</w:t>
            </w:r>
            <w:r>
              <w:rPr>
                <w:color w:val="auto"/>
                <w:kern w:val="0"/>
                <w:sz w:val="24"/>
                <w:szCs w:val="24"/>
                <w:highlight w:val="none"/>
              </w:rPr>
              <w:t>未按照工程量清单计价规范要求计价的，可</w:t>
            </w:r>
            <w:r>
              <w:rPr>
                <w:rFonts w:hint="eastAsia"/>
                <w:color w:val="auto"/>
                <w:kern w:val="0"/>
                <w:sz w:val="24"/>
                <w:szCs w:val="24"/>
                <w:highlight w:val="none"/>
              </w:rPr>
              <w:t>否决其投标</w:t>
            </w:r>
            <w:r>
              <w:rPr>
                <w:color w:val="auto"/>
                <w:kern w:val="0"/>
                <w:sz w:val="24"/>
                <w:szCs w:val="24"/>
                <w:highlight w:val="none"/>
              </w:rPr>
              <w:t>（如：</w:t>
            </w:r>
            <w:r>
              <w:rPr>
                <w:rFonts w:hint="eastAsia"/>
                <w:color w:val="auto"/>
                <w:kern w:val="0"/>
                <w:sz w:val="24"/>
                <w:szCs w:val="24"/>
                <w:highlight w:val="none"/>
              </w:rPr>
              <w:t>“分部分项工程量清单综合单价分析表”</w:t>
            </w:r>
            <w:r>
              <w:rPr>
                <w:color w:val="auto"/>
                <w:kern w:val="0"/>
                <w:sz w:val="24"/>
                <w:szCs w:val="24"/>
                <w:highlight w:val="none"/>
              </w:rPr>
              <w:t>中</w:t>
            </w:r>
            <w:r>
              <w:rPr>
                <w:rFonts w:hint="eastAsia"/>
                <w:color w:val="auto"/>
                <w:kern w:val="0"/>
                <w:sz w:val="24"/>
                <w:szCs w:val="24"/>
                <w:highlight w:val="none"/>
              </w:rPr>
              <w:t>的</w:t>
            </w:r>
            <w:r>
              <w:rPr>
                <w:color w:val="auto"/>
                <w:kern w:val="0"/>
                <w:sz w:val="24"/>
                <w:szCs w:val="24"/>
                <w:highlight w:val="none"/>
              </w:rPr>
              <w:t>综合单价低于主材价格等情况）。</w:t>
            </w:r>
          </w:p>
        </w:tc>
      </w:tr>
      <w:tr w14:paraId="701B67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6A0C46E9">
            <w:pPr>
              <w:widowControl/>
              <w:ind w:left="105" w:hanging="120" w:hangingChars="50"/>
              <w:jc w:val="center"/>
              <w:rPr>
                <w:color w:val="auto"/>
                <w:kern w:val="0"/>
                <w:sz w:val="24"/>
                <w:szCs w:val="24"/>
                <w:highlight w:val="none"/>
              </w:rPr>
            </w:pPr>
            <w:r>
              <w:rPr>
                <w:color w:val="auto"/>
                <w:kern w:val="0"/>
                <w:sz w:val="24"/>
                <w:szCs w:val="24"/>
                <w:highlight w:val="none"/>
              </w:rPr>
              <w:t>不平衡报价评审</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071E5710">
            <w:pPr>
              <w:widowControl/>
              <w:jc w:val="left"/>
              <w:rPr>
                <w:rFonts w:hint="eastAsia"/>
                <w:color w:val="auto"/>
                <w:kern w:val="0"/>
                <w:sz w:val="24"/>
                <w:szCs w:val="24"/>
                <w:highlight w:val="none"/>
              </w:rPr>
            </w:pPr>
            <w:r>
              <w:rPr>
                <w:color w:val="auto"/>
                <w:kern w:val="0"/>
                <w:sz w:val="24"/>
                <w:szCs w:val="24"/>
                <w:highlight w:val="none"/>
              </w:rPr>
              <w:t>对</w:t>
            </w:r>
            <w:r>
              <w:rPr>
                <w:rFonts w:hint="eastAsia"/>
                <w:color w:val="auto"/>
                <w:kern w:val="0"/>
                <w:sz w:val="24"/>
                <w:szCs w:val="24"/>
                <w:highlight w:val="none"/>
              </w:rPr>
              <w:t>已标价的工程量清单报价书“分部分项工程量清单综合单价分析表”</w:t>
            </w:r>
            <w:r>
              <w:rPr>
                <w:color w:val="auto"/>
                <w:kern w:val="0"/>
                <w:sz w:val="24"/>
                <w:szCs w:val="24"/>
                <w:highlight w:val="none"/>
              </w:rPr>
              <w:t>中</w:t>
            </w:r>
            <w:r>
              <w:rPr>
                <w:rFonts w:hint="eastAsia"/>
                <w:color w:val="auto"/>
                <w:kern w:val="0"/>
                <w:sz w:val="24"/>
                <w:szCs w:val="24"/>
                <w:highlight w:val="none"/>
              </w:rPr>
              <w:t>的</w:t>
            </w:r>
            <w:r>
              <w:rPr>
                <w:color w:val="auto"/>
                <w:kern w:val="0"/>
                <w:sz w:val="24"/>
                <w:szCs w:val="24"/>
                <w:highlight w:val="none"/>
              </w:rPr>
              <w:t>综合单价、主要材料价格、人工费（含工日数量及工日单价）、机械费</w:t>
            </w:r>
            <w:r>
              <w:rPr>
                <w:rFonts w:hint="eastAsia"/>
                <w:color w:val="auto"/>
                <w:kern w:val="0"/>
                <w:sz w:val="24"/>
                <w:szCs w:val="24"/>
                <w:highlight w:val="none"/>
              </w:rPr>
              <w:t>，“措施项目清单与计价表”中的措施费明显高出最高投标限价（招标控制价）对应部分，或与最高投标限价（招标控制价）对应部分相比明显降幅过大的情况，评标委员会可认定为恶意不平衡报价，否决其投标。</w:t>
            </w:r>
          </w:p>
        </w:tc>
      </w:tr>
      <w:tr w14:paraId="428149C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75048DA">
            <w:pPr>
              <w:pStyle w:val="78"/>
              <w:spacing w:line="360" w:lineRule="auto"/>
              <w:jc w:val="center"/>
              <w:rPr>
                <w:rFonts w:hint="eastAsia" w:ascii="宋体" w:hAnsi="宋体" w:eastAsia="宋体"/>
                <w:b w:val="0"/>
                <w:bCs/>
                <w:color w:val="auto"/>
                <w:sz w:val="24"/>
                <w:szCs w:val="24"/>
                <w:highlight w:val="none"/>
                <w:lang w:eastAsia="zh-CN"/>
              </w:rPr>
            </w:pPr>
            <w:r>
              <w:rPr>
                <w:rFonts w:ascii="宋体" w:hAnsi="宋体" w:eastAsia="宋体"/>
                <w:b w:val="0"/>
                <w:bCs/>
                <w:color w:val="auto"/>
                <w:sz w:val="24"/>
                <w:szCs w:val="24"/>
                <w:highlight w:val="none"/>
              </w:rPr>
              <w:t>不可</w:t>
            </w:r>
          </w:p>
          <w:p w14:paraId="7CE59490">
            <w:pPr>
              <w:widowControl/>
              <w:ind w:left="105" w:hanging="120" w:hangingChars="50"/>
              <w:jc w:val="center"/>
              <w:rPr>
                <w:color w:val="auto"/>
                <w:kern w:val="0"/>
                <w:sz w:val="24"/>
                <w:szCs w:val="24"/>
                <w:highlight w:val="none"/>
              </w:rPr>
            </w:pPr>
            <w:r>
              <w:rPr>
                <w:rFonts w:ascii="宋体" w:hAnsi="宋体" w:eastAsia="宋体"/>
                <w:b w:val="0"/>
                <w:bCs/>
                <w:color w:val="auto"/>
                <w:sz w:val="24"/>
                <w:szCs w:val="24"/>
                <w:highlight w:val="none"/>
              </w:rPr>
              <w:t>竞争费</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67E10EC6">
            <w:pPr>
              <w:pStyle w:val="78"/>
              <w:spacing w:line="360" w:lineRule="auto"/>
              <w:rPr>
                <w:rFonts w:hint="eastAsia" w:ascii="宋体" w:hAnsi="宋体" w:eastAsia="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单位工程</w:t>
            </w:r>
            <w:r>
              <w:rPr>
                <w:rFonts w:ascii="宋体" w:hAnsi="宋体" w:eastAsia="宋体"/>
                <w:b w:val="0"/>
                <w:bCs/>
                <w:color w:val="auto"/>
                <w:sz w:val="24"/>
                <w:szCs w:val="24"/>
                <w:highlight w:val="none"/>
              </w:rPr>
              <w:t>环境保护、文明施工、安全施工、临时设施费</w:t>
            </w:r>
            <w:r>
              <w:rPr>
                <w:rFonts w:hint="eastAsia" w:ascii="宋体" w:hAnsi="宋体" w:eastAsia="宋体"/>
                <w:b w:val="0"/>
                <w:bCs/>
                <w:color w:val="auto"/>
                <w:sz w:val="24"/>
                <w:szCs w:val="24"/>
                <w:highlight w:val="none"/>
                <w:lang w:eastAsia="zh-CN"/>
              </w:rPr>
              <w:t>、扬尘防治增加费</w:t>
            </w:r>
            <w:r>
              <w:rPr>
                <w:rFonts w:ascii="宋体" w:hAnsi="宋体" w:eastAsia="宋体"/>
                <w:b w:val="0"/>
                <w:bCs/>
                <w:color w:val="auto"/>
                <w:sz w:val="24"/>
                <w:szCs w:val="24"/>
                <w:highlight w:val="none"/>
              </w:rPr>
              <w:t>报价</w:t>
            </w:r>
            <w:r>
              <w:rPr>
                <w:rFonts w:hint="eastAsia" w:ascii="宋体" w:hAnsi="宋体" w:eastAsia="宋体"/>
                <w:b w:val="0"/>
                <w:bCs/>
                <w:color w:val="auto"/>
                <w:sz w:val="24"/>
                <w:szCs w:val="24"/>
                <w:highlight w:val="none"/>
                <w:lang w:eastAsia="zh-CN"/>
              </w:rPr>
              <w:t>费</w:t>
            </w:r>
            <w:r>
              <w:rPr>
                <w:rFonts w:hint="eastAsia" w:ascii="宋体" w:hAnsi="宋体" w:eastAsia="宋体" w:cs="宋体"/>
                <w:b w:val="0"/>
                <w:bCs/>
                <w:color w:val="auto"/>
                <w:sz w:val="24"/>
                <w:szCs w:val="24"/>
                <w:highlight w:val="none"/>
              </w:rPr>
              <w:t>率低于</w:t>
            </w:r>
            <w:r>
              <w:rPr>
                <w:rFonts w:hint="eastAsia" w:ascii="宋体" w:hAnsi="宋体" w:eastAsia="宋体" w:cs="宋体"/>
                <w:b w:val="0"/>
                <w:bCs/>
                <w:color w:val="auto"/>
                <w:sz w:val="24"/>
                <w:szCs w:val="24"/>
                <w:highlight w:val="none"/>
                <w:lang w:eastAsia="zh-CN"/>
              </w:rPr>
              <w:t>采购文件</w:t>
            </w:r>
            <w:r>
              <w:rPr>
                <w:rFonts w:hint="eastAsia" w:ascii="宋体" w:hAnsi="宋体" w:eastAsia="宋体" w:cs="宋体"/>
                <w:b w:val="0"/>
                <w:bCs/>
                <w:color w:val="auto"/>
                <w:sz w:val="24"/>
                <w:szCs w:val="24"/>
                <w:highlight w:val="none"/>
              </w:rPr>
              <w:t>规定的；</w:t>
            </w:r>
          </w:p>
          <w:p w14:paraId="4E6DD773">
            <w:pPr>
              <w:pStyle w:val="78"/>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投标人工费工日单价低于</w:t>
            </w:r>
            <w:r>
              <w:rPr>
                <w:rFonts w:hint="eastAsia" w:ascii="宋体" w:hAnsi="宋体" w:eastAsia="宋体"/>
                <w:color w:val="auto"/>
                <w:sz w:val="24"/>
                <w:szCs w:val="24"/>
                <w:highlight w:val="none"/>
                <w:lang w:eastAsia="zh-CN"/>
              </w:rPr>
              <w:t>采购文件</w:t>
            </w:r>
            <w:r>
              <w:rPr>
                <w:rFonts w:ascii="宋体" w:hAnsi="宋体" w:eastAsia="宋体"/>
                <w:color w:val="auto"/>
                <w:sz w:val="24"/>
                <w:szCs w:val="24"/>
                <w:highlight w:val="none"/>
              </w:rPr>
              <w:t xml:space="preserve">规定的； </w:t>
            </w:r>
          </w:p>
          <w:p w14:paraId="544876D5">
            <w:pPr>
              <w:widowControl/>
              <w:jc w:val="left"/>
              <w:rPr>
                <w:color w:val="auto"/>
                <w:kern w:val="0"/>
                <w:sz w:val="24"/>
                <w:szCs w:val="24"/>
                <w:highlight w:val="none"/>
              </w:rPr>
            </w:pPr>
            <w:r>
              <w:rPr>
                <w:rFonts w:hint="eastAsia" w:ascii="宋体" w:hAnsi="宋体"/>
                <w:color w:val="auto"/>
                <w:sz w:val="24"/>
                <w:szCs w:val="24"/>
                <w:highlight w:val="none"/>
                <w:lang w:val="en-US" w:eastAsia="zh-CN"/>
              </w:rPr>
              <w:t>3.</w:t>
            </w:r>
            <w:r>
              <w:rPr>
                <w:rFonts w:ascii="宋体" w:hAnsi="宋体" w:eastAsia="宋体"/>
                <w:color w:val="auto"/>
                <w:sz w:val="24"/>
                <w:szCs w:val="24"/>
                <w:highlight w:val="none"/>
              </w:rPr>
              <w:t>投标报价中变更暂列金额</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预留金</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招标人提供的暂估价的。</w:t>
            </w:r>
          </w:p>
        </w:tc>
      </w:tr>
      <w:tr w14:paraId="522080A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E338B58">
            <w:pPr>
              <w:widowControl/>
              <w:ind w:left="105" w:hanging="120" w:hangingChars="50"/>
              <w:jc w:val="center"/>
              <w:rPr>
                <w:rFonts w:hint="default"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投标函</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36062C77">
            <w:pPr>
              <w:widowControl/>
              <w:jc w:val="left"/>
              <w:rPr>
                <w:rFonts w:hint="eastAsia" w:ascii="宋体" w:hAnsi="宋体"/>
                <w:color w:val="auto"/>
                <w:sz w:val="24"/>
                <w:szCs w:val="24"/>
                <w:highlight w:val="none"/>
                <w:lang w:val="en-US" w:eastAsia="zh-CN"/>
              </w:rPr>
            </w:pPr>
          </w:p>
        </w:tc>
      </w:tr>
    </w:tbl>
    <w:p w14:paraId="22735EDA">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说明：</w:t>
      </w:r>
    </w:p>
    <w:p w14:paraId="16BB1E8B">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1.商务标评审采用定性方法。</w:t>
      </w:r>
    </w:p>
    <w:p w14:paraId="3278CBD3">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2.评标专家根据评审要求判断每项评审内容是否合格，并在投标人评审空格内用“</w:t>
      </w:r>
      <w:r>
        <w:rPr>
          <w:rFonts w:hint="eastAsia"/>
          <w:bCs/>
          <w:color w:val="auto"/>
          <w:szCs w:val="24"/>
          <w:highlight w:val="none"/>
          <w:lang w:val="en-US" w:eastAsia="zh-CN"/>
        </w:rPr>
        <w:t>通过</w:t>
      </w:r>
      <w:r>
        <w:rPr>
          <w:rFonts w:hint="eastAsia"/>
          <w:bCs/>
          <w:color w:val="auto"/>
          <w:szCs w:val="24"/>
          <w:highlight w:val="none"/>
        </w:rPr>
        <w:t>”、“</w:t>
      </w:r>
      <w:r>
        <w:rPr>
          <w:rFonts w:hint="eastAsia"/>
          <w:bCs/>
          <w:color w:val="auto"/>
          <w:szCs w:val="24"/>
          <w:highlight w:val="none"/>
          <w:lang w:val="en-US" w:eastAsia="zh-CN"/>
        </w:rPr>
        <w:t>不通过</w:t>
      </w:r>
      <w:r>
        <w:rPr>
          <w:rFonts w:hint="eastAsia"/>
          <w:bCs/>
          <w:color w:val="auto"/>
          <w:szCs w:val="24"/>
          <w:highlight w:val="none"/>
        </w:rPr>
        <w:t>”表示。</w:t>
      </w:r>
    </w:p>
    <w:p w14:paraId="742A85F2">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3.</w:t>
      </w:r>
      <w:r>
        <w:rPr>
          <w:rFonts w:hint="eastAsia"/>
          <w:color w:val="auto"/>
          <w:szCs w:val="24"/>
          <w:highlight w:val="none"/>
        </w:rPr>
        <w:t xml:space="preserve"> </w:t>
      </w:r>
      <w:r>
        <w:rPr>
          <w:rFonts w:hint="eastAsia"/>
          <w:bCs/>
          <w:color w:val="auto"/>
          <w:szCs w:val="24"/>
          <w:highlight w:val="none"/>
        </w:rPr>
        <w:t>所有商务标详细评审选项必须全部通过方为合格。</w:t>
      </w:r>
    </w:p>
    <w:p w14:paraId="17C31F11">
      <w:pPr>
        <w:spacing w:line="360" w:lineRule="auto"/>
        <w:rPr>
          <w:rFonts w:hint="eastAsia" w:ascii="宋体" w:hAnsi="宋体"/>
          <w:color w:val="auto"/>
          <w:sz w:val="24"/>
          <w:szCs w:val="24"/>
          <w:highlight w:val="none"/>
        </w:rPr>
      </w:pPr>
    </w:p>
    <w:p w14:paraId="2D2F53D0">
      <w:pPr>
        <w:adjustRightInd w:val="0"/>
        <w:snapToGrid w:val="0"/>
        <w:spacing w:line="360" w:lineRule="auto"/>
        <w:ind w:right="-10" w:firstLine="422" w:firstLineChars="175"/>
        <w:rPr>
          <w:rFonts w:hint="eastAsia" w:ascii="宋体" w:hAnsi="宋体"/>
          <w:bCs/>
          <w:color w:val="auto"/>
          <w:sz w:val="24"/>
          <w:highlight w:val="none"/>
        </w:rPr>
      </w:pPr>
      <w:r>
        <w:rPr>
          <w:rFonts w:hint="eastAsia" w:ascii="宋体" w:hAnsi="宋体"/>
          <w:b/>
          <w:color w:val="auto"/>
          <w:sz w:val="24"/>
          <w:highlight w:val="none"/>
        </w:rPr>
        <w:t>第九条</w:t>
      </w:r>
      <w:r>
        <w:rPr>
          <w:rFonts w:hint="eastAsia" w:ascii="宋体" w:hAnsi="宋体"/>
          <w:bCs/>
          <w:color w:val="auto"/>
          <w:sz w:val="24"/>
          <w:highlight w:val="none"/>
        </w:rPr>
        <w:t xml:space="preserve"> 评标委员会在评标过程中发现的问题，应当及时作出处理或者向招标人提出处理建议，并作书面记录。</w:t>
      </w:r>
    </w:p>
    <w:p w14:paraId="498BBD63">
      <w:pPr>
        <w:adjustRightInd w:val="0"/>
        <w:snapToGrid w:val="0"/>
        <w:spacing w:line="360" w:lineRule="auto"/>
        <w:ind w:right="-10" w:firstLine="422" w:firstLineChars="175"/>
        <w:rPr>
          <w:rFonts w:hint="eastAsia" w:ascii="宋体" w:hAnsi="宋体"/>
          <w:bCs/>
          <w:color w:val="auto"/>
          <w:sz w:val="24"/>
          <w:highlight w:val="none"/>
        </w:rPr>
      </w:pPr>
      <w:r>
        <w:rPr>
          <w:rFonts w:hint="eastAsia" w:ascii="宋体" w:hAnsi="宋体"/>
          <w:b/>
          <w:color w:val="auto"/>
          <w:sz w:val="24"/>
          <w:highlight w:val="none"/>
        </w:rPr>
        <w:t>第十条</w:t>
      </w:r>
      <w:r>
        <w:rPr>
          <w:rFonts w:hint="eastAsia" w:ascii="宋体" w:hAnsi="宋体"/>
          <w:bCs/>
          <w:color w:val="auto"/>
          <w:sz w:val="24"/>
          <w:highlight w:val="none"/>
        </w:rPr>
        <w:t xml:space="preserve"> 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14:paraId="0469D282">
      <w:pPr>
        <w:adjustRightInd w:val="0"/>
        <w:snapToGrid w:val="0"/>
        <w:spacing w:line="360" w:lineRule="auto"/>
        <w:ind w:right="-10" w:firstLine="422" w:firstLineChars="175"/>
        <w:rPr>
          <w:rFonts w:ascii="宋体" w:hAnsi="宋体"/>
          <w:bCs/>
          <w:color w:val="auto"/>
          <w:sz w:val="24"/>
          <w:highlight w:val="none"/>
        </w:rPr>
      </w:pPr>
      <w:r>
        <w:rPr>
          <w:rFonts w:hint="eastAsia" w:ascii="宋体" w:hAnsi="宋体"/>
          <w:b/>
          <w:color w:val="auto"/>
          <w:sz w:val="24"/>
          <w:highlight w:val="none"/>
        </w:rPr>
        <w:t>第十一条</w:t>
      </w:r>
      <w:r>
        <w:rPr>
          <w:rFonts w:hint="eastAsia" w:ascii="宋体" w:hAnsi="宋体"/>
          <w:bCs/>
          <w:color w:val="auto"/>
          <w:sz w:val="24"/>
          <w:highlight w:val="none"/>
        </w:rPr>
        <w:t xml:space="preserve"> 评标委员会和评标工作人员应严格遵守国家的法律、法规和规章制度；严格按照本次</w:t>
      </w:r>
      <w:r>
        <w:rPr>
          <w:rFonts w:hint="eastAsia" w:ascii="宋体" w:hAnsi="宋体"/>
          <w:bCs/>
          <w:color w:val="auto"/>
          <w:sz w:val="24"/>
          <w:highlight w:val="none"/>
          <w:lang w:eastAsia="zh-CN"/>
        </w:rPr>
        <w:t>采购文件</w:t>
      </w:r>
      <w:r>
        <w:rPr>
          <w:rFonts w:hint="eastAsia" w:ascii="宋体" w:hAnsi="宋体"/>
          <w:bCs/>
          <w:color w:val="auto"/>
          <w:sz w:val="24"/>
          <w:highlight w:val="none"/>
        </w:rPr>
        <w:t>进行评标；公正廉洁、不徇私情，不得损害国家利益；保护招、投标人的合法权益。</w:t>
      </w:r>
    </w:p>
    <w:p w14:paraId="5D55CC9B">
      <w:pPr>
        <w:pStyle w:val="22"/>
        <w:spacing w:line="360" w:lineRule="auto"/>
        <w:ind w:right="-10" w:firstLine="482"/>
        <w:rPr>
          <w:rFonts w:hint="eastAsia" w:ascii="宋体" w:hAnsi="宋体" w:eastAsia="宋体"/>
          <w:bCs/>
          <w:color w:val="auto"/>
          <w:sz w:val="24"/>
          <w:highlight w:val="none"/>
        </w:rPr>
      </w:pPr>
      <w:r>
        <w:rPr>
          <w:rFonts w:hint="eastAsia" w:ascii="宋体" w:hAnsi="宋体" w:eastAsia="宋体"/>
          <w:b/>
          <w:color w:val="auto"/>
          <w:sz w:val="24"/>
          <w:highlight w:val="none"/>
        </w:rPr>
        <w:t>第十二条</w:t>
      </w:r>
      <w:r>
        <w:rPr>
          <w:rFonts w:hint="eastAsia" w:ascii="宋体" w:hAnsi="宋体" w:eastAsia="宋体"/>
          <w:bCs/>
          <w:color w:val="auto"/>
          <w:sz w:val="24"/>
          <w:highlight w:val="none"/>
        </w:rPr>
        <w:t xml:space="preserve"> 在评标过程中，评委及其他评标工作人员必须对评标情况严格保密，任何人不得将评标情况透露给与投标人有关的单位和个人。如有违反评标纪律的情况发生，将依据《中华人民共和国招标投标法》、《中华人民共和国招标投标法实施条例》及其他有关法律法规的规定，追究有关当事人的责任。</w:t>
      </w:r>
    </w:p>
    <w:p w14:paraId="0E97B87F">
      <w:pPr>
        <w:snapToGrid w:val="0"/>
        <w:spacing w:line="560" w:lineRule="exact"/>
        <w:rPr>
          <w:rFonts w:hint="eastAsia"/>
          <w:b/>
          <w:color w:val="auto"/>
          <w:sz w:val="28"/>
          <w:szCs w:val="28"/>
          <w:highlight w:val="none"/>
        </w:rPr>
      </w:pPr>
    </w:p>
    <w:p w14:paraId="78D7AB0B">
      <w:pPr>
        <w:pStyle w:val="4"/>
        <w:spacing w:before="0" w:after="0" w:line="360" w:lineRule="auto"/>
        <w:ind w:firstLine="643" w:firstLineChars="200"/>
        <w:rPr>
          <w:rFonts w:hint="eastAsia" w:hAnsi="宋体"/>
          <w:color w:val="auto"/>
          <w:sz w:val="24"/>
          <w:szCs w:val="24"/>
          <w:highlight w:val="none"/>
        </w:rPr>
      </w:pPr>
      <w:r>
        <w:rPr>
          <w:rFonts w:ascii="Times New Roman" w:eastAsia="黑体"/>
          <w:color w:val="000000"/>
          <w:highlight w:val="none"/>
        </w:rPr>
        <w:br w:type="page"/>
      </w:r>
      <w:r>
        <w:rPr>
          <w:rFonts w:hint="eastAsia" w:hAnsi="宋体"/>
          <w:color w:val="auto"/>
          <w:sz w:val="24"/>
          <w:szCs w:val="24"/>
          <w:highlight w:val="none"/>
        </w:rPr>
        <w:t>第</w:t>
      </w:r>
      <w:r>
        <w:rPr>
          <w:rFonts w:hint="eastAsia" w:hAnsi="宋体"/>
          <w:color w:val="auto"/>
          <w:sz w:val="24"/>
          <w:szCs w:val="24"/>
          <w:highlight w:val="none"/>
          <w:lang w:eastAsia="zh-CN"/>
        </w:rPr>
        <w:t>四</w:t>
      </w:r>
      <w:r>
        <w:rPr>
          <w:rFonts w:hint="eastAsia" w:hAnsi="宋体"/>
          <w:color w:val="auto"/>
          <w:sz w:val="24"/>
          <w:szCs w:val="24"/>
          <w:highlight w:val="none"/>
        </w:rPr>
        <w:t>章 开标与评标</w:t>
      </w:r>
    </w:p>
    <w:p w14:paraId="17AE2E7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一、开标</w:t>
      </w:r>
    </w:p>
    <w:p w14:paraId="516CADBD">
      <w:pPr>
        <w:spacing w:line="440" w:lineRule="exact"/>
        <w:ind w:firstLine="55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招标人</w:t>
      </w:r>
      <w:r>
        <w:rPr>
          <w:rFonts w:hint="eastAsia" w:ascii="宋体" w:hAnsi="宋体"/>
          <w:color w:val="auto"/>
          <w:sz w:val="24"/>
          <w:highlight w:val="none"/>
        </w:rPr>
        <w:t>将在投标人须知前附表规定的时间和地点组织公开开标。</w:t>
      </w:r>
    </w:p>
    <w:p w14:paraId="4C6EB4C0">
      <w:pPr>
        <w:spacing w:line="440" w:lineRule="exact"/>
        <w:ind w:firstLine="550"/>
        <w:rPr>
          <w:rFonts w:hint="eastAsia" w:ascii="宋体" w:hAnsi="宋体"/>
          <w:bCs/>
          <w:color w:val="auto"/>
          <w:sz w:val="24"/>
          <w:highlight w:val="none"/>
        </w:rPr>
      </w:pPr>
      <w:r>
        <w:rPr>
          <w:rFonts w:hint="eastAsia" w:ascii="宋体" w:hAnsi="宋体"/>
          <w:bCs/>
          <w:color w:val="auto"/>
          <w:sz w:val="24"/>
          <w:highlight w:val="none"/>
        </w:rPr>
        <w:t>2、开标前，</w:t>
      </w:r>
      <w:r>
        <w:rPr>
          <w:rFonts w:hint="eastAsia" w:ascii="宋体" w:hAnsi="宋体"/>
          <w:bCs/>
          <w:color w:val="auto"/>
          <w:sz w:val="24"/>
          <w:highlight w:val="none"/>
          <w:lang w:eastAsia="zh-CN"/>
        </w:rPr>
        <w:t>招标人</w:t>
      </w:r>
      <w:r>
        <w:rPr>
          <w:rFonts w:hint="eastAsia" w:ascii="宋体" w:hAnsi="宋体"/>
          <w:bCs/>
          <w:color w:val="auto"/>
          <w:sz w:val="24"/>
          <w:highlight w:val="none"/>
        </w:rPr>
        <w:t>将会同监督人员或公证人员进行验标（检查投标文件密封情况），并宣布检查结果。确认无误后开标。</w:t>
      </w:r>
    </w:p>
    <w:p w14:paraId="3C54BE53">
      <w:pPr>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eastAsia="zh-CN"/>
        </w:rPr>
        <w:t>评标时对通过初步筛查的投标人首先</w:t>
      </w:r>
      <w:r>
        <w:rPr>
          <w:rFonts w:hint="eastAsia" w:ascii="宋体" w:hAnsi="宋体"/>
          <w:color w:val="auto"/>
          <w:sz w:val="24"/>
          <w:szCs w:val="24"/>
          <w:highlight w:val="none"/>
        </w:rPr>
        <w:t>计算有效值，对高于或等于有效值的，按评审对象报价由低到高的顺序先进行资格评审，然后进行商务评审和技术评审。</w:t>
      </w:r>
    </w:p>
    <w:p w14:paraId="1779BA9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4、商务标开标时，</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将当众宣读投标人名称、投标价格、书面修改和撤回投标的通知，以及</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认为合适的其它详细内容。只有在开标时唱出的优惠，评标时才予以考虑。</w:t>
      </w:r>
    </w:p>
    <w:p w14:paraId="4AF308C8">
      <w:pPr>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5、在评审结束前，未得到</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允许，投标人授权代表不得离开开标现场。</w:t>
      </w:r>
    </w:p>
    <w:p w14:paraId="7E095CB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二、投标文件的澄清、说明或补正</w:t>
      </w:r>
    </w:p>
    <w:p w14:paraId="51F6E8A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218EE89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2、投标文件中大写金额和小写金额不一致的，以大写金额为准；总价金额与按单价汇总金额不一致的，以单价金额计算结果为准；单价金额小数点有明显错位的，应以总价为准，并修改单价。</w:t>
      </w:r>
    </w:p>
    <w:p w14:paraId="391BC76F">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3、</w:t>
      </w:r>
      <w:r>
        <w:rPr>
          <w:rFonts w:hint="eastAsia" w:ascii="宋体" w:hAnsi="宋体"/>
          <w:bCs/>
          <w:color w:val="auto"/>
          <w:sz w:val="24"/>
          <w:szCs w:val="24"/>
          <w:highlight w:val="none"/>
        </w:rPr>
        <w:t>开标一览表内容与投标文件中明细表内容不一致的，以开标一览表为准。</w:t>
      </w:r>
    </w:p>
    <w:p w14:paraId="56A4DAFD">
      <w:pPr>
        <w:spacing w:line="360" w:lineRule="auto"/>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rPr>
        <w:t>三、评标</w:t>
      </w:r>
    </w:p>
    <w:p w14:paraId="47CD846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1、评委会将按照</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规定的评标办法对投标人进行评审。</w:t>
      </w:r>
    </w:p>
    <w:p w14:paraId="14862BF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资格审核</w:t>
      </w:r>
      <w:r>
        <w:rPr>
          <w:rFonts w:hint="eastAsia" w:ascii="宋体" w:hAnsi="宋体"/>
          <w:color w:val="auto"/>
          <w:sz w:val="24"/>
          <w:highlight w:val="none"/>
        </w:rPr>
        <w:t>时，评委会将首先审查投标文件是否实质上响应</w:t>
      </w:r>
      <w:r>
        <w:rPr>
          <w:rFonts w:hint="eastAsia" w:ascii="宋体" w:hAnsi="宋体"/>
          <w:color w:val="auto"/>
          <w:sz w:val="24"/>
          <w:highlight w:val="none"/>
          <w:lang w:eastAsia="zh-CN"/>
        </w:rPr>
        <w:t>采购文件</w:t>
      </w:r>
      <w:r>
        <w:rPr>
          <w:rFonts w:hint="eastAsia" w:ascii="宋体" w:hAnsi="宋体"/>
          <w:color w:val="auto"/>
          <w:sz w:val="24"/>
          <w:highlight w:val="none"/>
        </w:rPr>
        <w:t>的</w:t>
      </w:r>
      <w:r>
        <w:rPr>
          <w:rFonts w:hint="eastAsia" w:ascii="宋体" w:hAnsi="宋体"/>
          <w:color w:val="auto"/>
          <w:sz w:val="24"/>
          <w:highlight w:val="none"/>
          <w:lang w:eastAsia="zh-CN"/>
        </w:rPr>
        <w:t>资格审核</w:t>
      </w:r>
      <w:r>
        <w:rPr>
          <w:rFonts w:hint="eastAsia" w:ascii="宋体" w:hAnsi="宋体"/>
          <w:color w:val="auto"/>
          <w:sz w:val="24"/>
          <w:highlight w:val="none"/>
        </w:rPr>
        <w:t>指标要求。实质上响应的投标应与</w:t>
      </w:r>
      <w:r>
        <w:rPr>
          <w:rFonts w:hint="eastAsia" w:ascii="宋体" w:hAnsi="宋体"/>
          <w:color w:val="auto"/>
          <w:sz w:val="24"/>
          <w:highlight w:val="none"/>
          <w:lang w:eastAsia="zh-CN"/>
        </w:rPr>
        <w:t>采购文件</w:t>
      </w:r>
      <w:r>
        <w:rPr>
          <w:rFonts w:hint="eastAsia" w:ascii="宋体" w:hAnsi="宋体"/>
          <w:color w:val="auto"/>
          <w:sz w:val="24"/>
          <w:highlight w:val="none"/>
        </w:rPr>
        <w:t>的全部条款、条件相符，没有重大偏离或保留。所谓重大偏离或保留是指影响合同的质量等；或者在实质上与</w:t>
      </w:r>
      <w:r>
        <w:rPr>
          <w:rFonts w:hint="eastAsia" w:ascii="宋体" w:hAnsi="宋体"/>
          <w:color w:val="auto"/>
          <w:sz w:val="24"/>
          <w:highlight w:val="none"/>
          <w:lang w:eastAsia="zh-CN"/>
        </w:rPr>
        <w:t>采购文件</w:t>
      </w:r>
      <w:r>
        <w:rPr>
          <w:rFonts w:hint="eastAsia" w:ascii="宋体" w:hAnsi="宋体"/>
          <w:color w:val="auto"/>
          <w:sz w:val="24"/>
          <w:highlight w:val="none"/>
        </w:rPr>
        <w:t>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14:paraId="0A0B9FF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3、如果投标文件未通过</w:t>
      </w:r>
      <w:r>
        <w:rPr>
          <w:rFonts w:hint="eastAsia" w:ascii="宋体" w:hAnsi="宋体"/>
          <w:color w:val="auto"/>
          <w:sz w:val="24"/>
          <w:highlight w:val="none"/>
          <w:lang w:eastAsia="zh-CN"/>
        </w:rPr>
        <w:t>资格审核</w:t>
      </w:r>
      <w:r>
        <w:rPr>
          <w:rFonts w:hint="eastAsia" w:ascii="宋体" w:hAnsi="宋体"/>
          <w:color w:val="auto"/>
          <w:sz w:val="24"/>
          <w:highlight w:val="none"/>
        </w:rPr>
        <w:t>，投标无效。</w:t>
      </w:r>
    </w:p>
    <w:p w14:paraId="2226468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4、评委会决定投标文件的响应性及符合性只根据投标文件本身的内容，而不寻求其他外部证据。</w:t>
      </w:r>
    </w:p>
    <w:p w14:paraId="7690256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四、有下列情况之一者，投标文件无效</w:t>
      </w:r>
    </w:p>
    <w:p w14:paraId="51BD99D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1、未在规定时间内（30分钟）解密的</w:t>
      </w:r>
      <w:r>
        <w:rPr>
          <w:rFonts w:hint="eastAsia" w:ascii="宋体" w:hAnsi="宋体"/>
          <w:color w:val="auto"/>
          <w:sz w:val="24"/>
          <w:szCs w:val="24"/>
          <w:highlight w:val="none"/>
        </w:rPr>
        <w:t>；</w:t>
      </w:r>
    </w:p>
    <w:p w14:paraId="5B9DDD0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商务报价文件有2个或以上报价的；</w:t>
      </w:r>
    </w:p>
    <w:p w14:paraId="106C16F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投标报价高于控制价的；</w:t>
      </w:r>
    </w:p>
    <w:p w14:paraId="3F4F248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企业资质条件或建造师（或相关专业项目经理）资质条件不符合</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要求的；</w:t>
      </w:r>
    </w:p>
    <w:p w14:paraId="7BC1AE9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明显低价又未能给出合理说明的；</w:t>
      </w:r>
    </w:p>
    <w:p w14:paraId="216D859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未实质性响应</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要求的（包括工期、质量和质保期等重要条件）；</w:t>
      </w:r>
    </w:p>
    <w:p w14:paraId="2E58DE9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未提供规范合理的施工组织设计；</w:t>
      </w:r>
    </w:p>
    <w:p w14:paraId="63C0EF2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发现提供虚假资料、虚假承诺的一切弄虚作假行为的。</w:t>
      </w:r>
    </w:p>
    <w:p w14:paraId="2D34DBE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其他未能实质性响应</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的。</w:t>
      </w:r>
    </w:p>
    <w:p w14:paraId="6649D753">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五、废标处理</w:t>
      </w:r>
    </w:p>
    <w:p w14:paraId="3B84E3A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在招标采购中，出现下列情形之一的，</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有权宣布废标：</w:t>
      </w:r>
    </w:p>
    <w:p w14:paraId="01B8979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1、符合专业条件的投标人或对</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作实质响应的投标人不足三家的；</w:t>
      </w:r>
    </w:p>
    <w:p w14:paraId="7201E53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2、投标人的报价均超过</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预算，招标人不能支付的；</w:t>
      </w:r>
    </w:p>
    <w:p w14:paraId="7CA9C92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3、出现影响采购公正的违法、违规行为的；</w:t>
      </w:r>
    </w:p>
    <w:p w14:paraId="58A03C7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4、因重大变故，</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任务取消的。</w:t>
      </w:r>
    </w:p>
    <w:p w14:paraId="7A96B60A">
      <w:pPr>
        <w:numPr>
          <w:ilvl w:val="0"/>
          <w:numId w:val="0"/>
        </w:numPr>
        <w:rPr>
          <w:rFonts w:hint="eastAsia"/>
        </w:rPr>
      </w:pPr>
      <w:r>
        <w:rPr>
          <w:rFonts w:hint="eastAsia" w:ascii="Times New Roman" w:hAnsi="Times New Roman"/>
          <w:color w:val="000000"/>
          <w:highlight w:val="none"/>
        </w:rPr>
        <w:br w:type="page"/>
      </w:r>
    </w:p>
    <w:p w14:paraId="5C0BCA7D">
      <w:pPr>
        <w:pStyle w:val="4"/>
        <w:spacing w:before="0" w:after="0" w:line="360" w:lineRule="auto"/>
        <w:ind w:firstLine="482" w:firstLineChars="200"/>
        <w:rPr>
          <w:rFonts w:hint="eastAsia" w:hAnsi="宋体"/>
          <w:color w:val="000000"/>
          <w:sz w:val="24"/>
          <w:szCs w:val="24"/>
          <w:highlight w:val="none"/>
        </w:rPr>
      </w:pPr>
      <w:bookmarkStart w:id="30" w:name="_Toc232819545"/>
      <w:bookmarkStart w:id="31" w:name="_Toc516969091"/>
      <w:bookmarkStart w:id="32" w:name="_Toc297563648"/>
      <w:bookmarkStart w:id="33" w:name="_Toc245714168"/>
      <w:bookmarkStart w:id="34" w:name="_Toc273602350"/>
      <w:bookmarkStart w:id="35" w:name="_Toc328559331"/>
      <w:r>
        <w:rPr>
          <w:rFonts w:hint="eastAsia" w:hAnsi="宋体"/>
          <w:color w:val="000000"/>
          <w:sz w:val="24"/>
          <w:szCs w:val="24"/>
          <w:highlight w:val="none"/>
        </w:rPr>
        <w:t>第</w:t>
      </w:r>
      <w:r>
        <w:rPr>
          <w:rFonts w:hint="eastAsia" w:hAnsi="宋体"/>
          <w:color w:val="000000"/>
          <w:sz w:val="24"/>
          <w:szCs w:val="24"/>
          <w:highlight w:val="none"/>
          <w:lang w:eastAsia="zh-CN"/>
        </w:rPr>
        <w:t>五</w:t>
      </w:r>
      <w:r>
        <w:rPr>
          <w:rFonts w:hint="eastAsia" w:hAnsi="宋体"/>
          <w:color w:val="000000"/>
          <w:sz w:val="24"/>
          <w:szCs w:val="24"/>
          <w:highlight w:val="none"/>
        </w:rPr>
        <w:t>章 定标与签订合同</w:t>
      </w:r>
      <w:bookmarkEnd w:id="30"/>
      <w:bookmarkEnd w:id="31"/>
      <w:bookmarkEnd w:id="32"/>
      <w:bookmarkEnd w:id="33"/>
      <w:bookmarkEnd w:id="34"/>
      <w:bookmarkEnd w:id="35"/>
    </w:p>
    <w:p w14:paraId="10A29471">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一、定标</w:t>
      </w:r>
    </w:p>
    <w:p w14:paraId="0A3B683F">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1、评委会按</w:t>
      </w:r>
      <w:r>
        <w:rPr>
          <w:rFonts w:hint="eastAsia" w:ascii="宋体" w:hAnsi="宋体"/>
          <w:color w:val="000000"/>
          <w:sz w:val="24"/>
          <w:szCs w:val="24"/>
          <w:highlight w:val="none"/>
          <w:lang w:eastAsia="zh-CN"/>
        </w:rPr>
        <w:t>采购文件</w:t>
      </w:r>
      <w:r>
        <w:rPr>
          <w:rFonts w:hint="eastAsia" w:ascii="宋体" w:hAnsi="宋体"/>
          <w:color w:val="000000"/>
          <w:sz w:val="24"/>
          <w:szCs w:val="24"/>
          <w:highlight w:val="none"/>
        </w:rPr>
        <w:t>规定的评标办法排出中标候选人。</w:t>
      </w:r>
    </w:p>
    <w:p w14:paraId="43209F8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如评委会认为有必要，首先对第一中标候选人就投标文件所提供的内容进行资格审查。资格审查视为本项目采购活动的延续，以书面报告作为最终审查的结果。如果确定第一中标候选人无法履行合同，将按排名依次对其余中标候选人进行类似的审查。</w:t>
      </w:r>
    </w:p>
    <w:p w14:paraId="476EC382">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3、原则上把合同授予实质上响应</w:t>
      </w:r>
      <w:r>
        <w:rPr>
          <w:rFonts w:hint="eastAsia" w:ascii="宋体" w:hAnsi="宋体"/>
          <w:color w:val="000000"/>
          <w:sz w:val="24"/>
          <w:szCs w:val="24"/>
          <w:highlight w:val="none"/>
          <w:lang w:eastAsia="zh-CN"/>
        </w:rPr>
        <w:t>采购文件</w:t>
      </w:r>
      <w:r>
        <w:rPr>
          <w:rFonts w:hint="eastAsia" w:ascii="宋体" w:hAnsi="宋体"/>
          <w:color w:val="000000"/>
          <w:sz w:val="24"/>
          <w:szCs w:val="24"/>
          <w:highlight w:val="none"/>
        </w:rPr>
        <w:t>要求的排名最前的中标候选人或通过上条资格审查的中标候选人。</w:t>
      </w:r>
    </w:p>
    <w:p w14:paraId="48C2563F">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 最低报价并不是被授予合同的保证。</w:t>
      </w:r>
    </w:p>
    <w:p w14:paraId="4F55156F">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二、中标通知书</w:t>
      </w:r>
    </w:p>
    <w:p w14:paraId="5A7C298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eastAsia="zh-CN"/>
        </w:rPr>
        <w:t>招标人</w:t>
      </w:r>
      <w:r>
        <w:rPr>
          <w:rFonts w:hint="eastAsia" w:ascii="宋体" w:hAnsi="宋体"/>
          <w:color w:val="000000"/>
          <w:sz w:val="24"/>
          <w:szCs w:val="24"/>
          <w:highlight w:val="none"/>
        </w:rPr>
        <w:t>将以中标通知书形式通知中标人，其投标已被接受。</w:t>
      </w:r>
    </w:p>
    <w:p w14:paraId="178F2BF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olor w:val="000000"/>
          <w:sz w:val="24"/>
          <w:szCs w:val="24"/>
          <w:highlight w:val="none"/>
          <w:lang w:eastAsia="zh-CN"/>
        </w:rPr>
        <w:t>招标人</w:t>
      </w:r>
      <w:r>
        <w:rPr>
          <w:rFonts w:hint="eastAsia" w:ascii="宋体" w:hAnsi="宋体"/>
          <w:color w:val="000000"/>
          <w:sz w:val="24"/>
          <w:szCs w:val="24"/>
          <w:highlight w:val="none"/>
        </w:rPr>
        <w:t>对未中标的投标人不做未中标原因的解释。</w:t>
      </w:r>
    </w:p>
    <w:p w14:paraId="204C1498">
      <w:pPr>
        <w:spacing w:line="360" w:lineRule="auto"/>
        <w:ind w:firstLine="482" w:firstLineChars="200"/>
        <w:rPr>
          <w:rFonts w:hint="eastAsia" w:ascii="宋体" w:hAnsi="宋体"/>
          <w:b/>
          <w:color w:val="000000"/>
          <w:sz w:val="24"/>
          <w:szCs w:val="24"/>
          <w:highlight w:val="none"/>
        </w:rPr>
      </w:pPr>
      <w:r>
        <w:rPr>
          <w:rFonts w:hint="eastAsia" w:ascii="宋体" w:hAnsi="宋体"/>
          <w:b/>
          <w:sz w:val="24"/>
          <w:szCs w:val="24"/>
          <w:highlight w:val="none"/>
        </w:rPr>
        <w:t>三、</w:t>
      </w:r>
      <w:r>
        <w:rPr>
          <w:rFonts w:hint="eastAsia" w:ascii="宋体" w:hAnsi="宋体"/>
          <w:b/>
          <w:color w:val="000000"/>
          <w:sz w:val="24"/>
          <w:szCs w:val="24"/>
          <w:highlight w:val="none"/>
        </w:rPr>
        <w:t>签订合同</w:t>
      </w:r>
    </w:p>
    <w:p w14:paraId="07AB2A7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1、中标人应在中标通知书发出之日起三</w:t>
      </w:r>
      <w:r>
        <w:rPr>
          <w:rFonts w:hint="eastAsia" w:ascii="宋体" w:hAnsi="宋体"/>
          <w:color w:val="000000"/>
          <w:sz w:val="24"/>
          <w:szCs w:val="24"/>
          <w:highlight w:val="none"/>
          <w:lang w:eastAsia="zh-CN"/>
        </w:rPr>
        <w:t>十</w:t>
      </w:r>
      <w:r>
        <w:rPr>
          <w:rFonts w:hint="eastAsia" w:ascii="宋体" w:hAnsi="宋体"/>
          <w:color w:val="000000"/>
          <w:sz w:val="24"/>
          <w:szCs w:val="24"/>
          <w:highlight w:val="none"/>
        </w:rPr>
        <w:t>日内（具体时间、地点见中标通知书）与委托人签订合同。</w:t>
      </w:r>
      <w:r>
        <w:rPr>
          <w:rFonts w:hint="eastAsia" w:ascii="宋体" w:hAnsi="宋体"/>
          <w:color w:val="000000"/>
          <w:sz w:val="24"/>
          <w:szCs w:val="24"/>
          <w:highlight w:val="none"/>
          <w:lang w:eastAsia="zh-CN"/>
        </w:rPr>
        <w:t>采购文件</w:t>
      </w:r>
      <w:r>
        <w:rPr>
          <w:rFonts w:hint="eastAsia" w:ascii="宋体" w:hAnsi="宋体"/>
          <w:color w:val="000000"/>
          <w:sz w:val="24"/>
          <w:szCs w:val="24"/>
          <w:highlight w:val="none"/>
        </w:rPr>
        <w:t>、中标人的投标文件及澄清文件等，均作为合同的附件。</w:t>
      </w:r>
    </w:p>
    <w:p w14:paraId="61F4C618">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2、招标人保留以书面形式要求合同的卖方对其所投服务的地点及服务细则等作适当调整的权利。</w:t>
      </w:r>
    </w:p>
    <w:p w14:paraId="1E26B86B">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四、未尽事宜</w:t>
      </w:r>
    </w:p>
    <w:p w14:paraId="36E3C3AC">
      <w:pPr>
        <w:spacing w:line="360" w:lineRule="auto"/>
        <w:ind w:firstLine="480" w:firstLineChars="200"/>
        <w:rPr>
          <w:rFonts w:hint="eastAsia" w:ascii="宋体" w:hAnsi="宋体"/>
          <w:b/>
          <w:color w:val="000000"/>
          <w:sz w:val="24"/>
          <w:szCs w:val="24"/>
          <w:highlight w:val="none"/>
        </w:rPr>
      </w:pPr>
      <w:r>
        <w:rPr>
          <w:rFonts w:hint="eastAsia" w:ascii="宋体" w:hAnsi="宋体"/>
          <w:color w:val="000000"/>
          <w:sz w:val="24"/>
          <w:szCs w:val="24"/>
          <w:highlight w:val="none"/>
        </w:rPr>
        <w:t>按</w:t>
      </w:r>
      <w:r>
        <w:rPr>
          <w:rFonts w:hint="eastAsia" w:ascii="宋体" w:hAnsi="宋体" w:eastAsia="宋体"/>
          <w:bCs/>
          <w:sz w:val="24"/>
          <w:highlight w:val="none"/>
        </w:rPr>
        <w:t>《中华人民共和国招标投标法》</w:t>
      </w:r>
      <w:r>
        <w:rPr>
          <w:rFonts w:hint="eastAsia" w:ascii="宋体" w:hAnsi="宋体" w:eastAsia="宋体"/>
          <w:bCs/>
          <w:sz w:val="24"/>
          <w:highlight w:val="none"/>
          <w:lang w:eastAsia="zh-CN"/>
        </w:rPr>
        <w:t>、</w:t>
      </w:r>
      <w:r>
        <w:rPr>
          <w:rFonts w:hint="eastAsia" w:ascii="宋体" w:hAnsi="宋体"/>
          <w:color w:val="000000"/>
          <w:sz w:val="24"/>
          <w:szCs w:val="24"/>
          <w:highlight w:val="none"/>
        </w:rPr>
        <w:t>《中华人民共和国政府采购法》及其他有关法律法规的规定执行。</w:t>
      </w:r>
    </w:p>
    <w:p w14:paraId="7BCD78BF">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五、解释权</w:t>
      </w:r>
    </w:p>
    <w:p w14:paraId="45708DF6">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本</w:t>
      </w:r>
      <w:r>
        <w:rPr>
          <w:rFonts w:hint="eastAsia" w:ascii="宋体" w:hAnsi="宋体"/>
          <w:bCs/>
          <w:color w:val="000000"/>
          <w:sz w:val="24"/>
          <w:szCs w:val="24"/>
          <w:highlight w:val="none"/>
          <w:lang w:eastAsia="zh-CN"/>
        </w:rPr>
        <w:t>采购文件</w:t>
      </w:r>
      <w:r>
        <w:rPr>
          <w:rFonts w:hint="eastAsia" w:ascii="宋体" w:hAnsi="宋体"/>
          <w:bCs/>
          <w:color w:val="000000"/>
          <w:sz w:val="24"/>
          <w:szCs w:val="24"/>
          <w:highlight w:val="none"/>
        </w:rPr>
        <w:t>的解释权属于</w:t>
      </w:r>
      <w:r>
        <w:rPr>
          <w:rFonts w:hint="eastAsia" w:ascii="宋体" w:hAnsi="宋体"/>
          <w:bCs/>
          <w:color w:val="000000"/>
          <w:sz w:val="24"/>
          <w:szCs w:val="24"/>
          <w:highlight w:val="none"/>
          <w:lang w:val="en-US" w:eastAsia="zh-CN"/>
        </w:rPr>
        <w:t>合肥合肥罍街文化旅游发展有限公司</w:t>
      </w:r>
      <w:r>
        <w:rPr>
          <w:rFonts w:hint="eastAsia" w:ascii="宋体" w:hAnsi="宋体"/>
          <w:bCs/>
          <w:color w:val="000000"/>
          <w:sz w:val="24"/>
          <w:szCs w:val="24"/>
          <w:highlight w:val="none"/>
        </w:rPr>
        <w:t>。</w:t>
      </w:r>
    </w:p>
    <w:p w14:paraId="09AC05E5">
      <w:pPr>
        <w:rPr>
          <w:rFonts w:hint="eastAsia" w:ascii="宋体" w:hAnsi="宋体" w:eastAsia="宋体"/>
          <w:szCs w:val="36"/>
          <w:highlight w:val="none"/>
        </w:rPr>
      </w:pPr>
      <w:bookmarkStart w:id="36" w:name="_Toc236562395"/>
      <w:bookmarkStart w:id="37" w:name="_Toc220232392"/>
      <w:bookmarkStart w:id="38" w:name="_Toc328559332"/>
      <w:r>
        <w:rPr>
          <w:rFonts w:hint="eastAsia" w:ascii="宋体" w:hAnsi="宋体" w:eastAsia="宋体"/>
          <w:szCs w:val="36"/>
          <w:highlight w:val="none"/>
        </w:rPr>
        <w:br w:type="page"/>
      </w:r>
    </w:p>
    <w:p w14:paraId="30111E23">
      <w:pPr>
        <w:pStyle w:val="3"/>
        <w:keepNext/>
        <w:keepLines/>
        <w:pageBreakBefore/>
        <w:widowControl w:val="0"/>
        <w:kinsoku/>
        <w:wordWrap/>
        <w:overflowPunct/>
        <w:topLinePunct w:val="0"/>
        <w:autoSpaceDE/>
        <w:autoSpaceDN/>
        <w:bidi w:val="0"/>
        <w:adjustRightInd/>
        <w:snapToGrid/>
        <w:spacing w:before="0" w:after="0" w:line="240" w:lineRule="auto"/>
        <w:ind w:firstLine="0"/>
        <w:textAlignment w:val="auto"/>
        <w:outlineLvl w:val="0"/>
        <w:rPr>
          <w:rFonts w:hint="eastAsia" w:ascii="宋体" w:hAnsi="宋体" w:eastAsia="宋体"/>
          <w:szCs w:val="36"/>
        </w:rPr>
      </w:pPr>
      <w:r>
        <w:rPr>
          <w:rFonts w:hint="eastAsia" w:ascii="宋体" w:hAnsi="宋体" w:eastAsia="宋体"/>
          <w:szCs w:val="36"/>
        </w:rPr>
        <w:t>第</w:t>
      </w:r>
      <w:r>
        <w:rPr>
          <w:rFonts w:hint="eastAsia" w:ascii="宋体" w:hAnsi="宋体" w:eastAsia="宋体"/>
          <w:szCs w:val="36"/>
          <w:lang w:eastAsia="zh-CN"/>
        </w:rPr>
        <w:t>六</w:t>
      </w:r>
      <w:r>
        <w:rPr>
          <w:rFonts w:hint="eastAsia" w:ascii="宋体" w:hAnsi="宋体" w:eastAsia="宋体"/>
          <w:szCs w:val="36"/>
        </w:rPr>
        <w:t xml:space="preserve">章 </w:t>
      </w:r>
      <w:r>
        <w:rPr>
          <w:rFonts w:ascii="宋体" w:hAnsi="宋体" w:eastAsia="宋体"/>
          <w:szCs w:val="36"/>
        </w:rPr>
        <w:t>合同</w:t>
      </w:r>
      <w:r>
        <w:rPr>
          <w:rFonts w:hint="eastAsia" w:ascii="宋体" w:hAnsi="宋体" w:eastAsia="宋体"/>
          <w:szCs w:val="36"/>
        </w:rPr>
        <w:t>文本及主要条款</w:t>
      </w:r>
    </w:p>
    <w:p w14:paraId="2D0ECDA3">
      <w:pPr>
        <w:pStyle w:val="96"/>
        <w:numPr>
          <w:ilvl w:val="0"/>
          <w:numId w:val="0"/>
        </w:numPr>
        <w:ind w:firstLine="3120" w:firstLineChars="1300"/>
        <w:jc w:val="both"/>
        <w:outlineLvl w:val="1"/>
        <w:rPr>
          <w:rFonts w:hint="eastAsia" w:ascii="宋体" w:hAnsi="宋体"/>
          <w:b w:val="0"/>
          <w:sz w:val="24"/>
          <w:szCs w:val="24"/>
        </w:rPr>
      </w:pPr>
      <w:bookmarkStart w:id="39" w:name="_Toc460660194"/>
      <w:bookmarkStart w:id="40" w:name="_Toc460227079"/>
      <w:bookmarkStart w:id="41" w:name="_Toc273602352"/>
      <w:bookmarkStart w:id="42" w:name="_Toc245714170"/>
      <w:bookmarkStart w:id="43" w:name="_Toc245028818"/>
      <w:r>
        <w:rPr>
          <w:rFonts w:hint="eastAsia" w:ascii="宋体" w:hAnsi="宋体"/>
          <w:b w:val="0"/>
          <w:sz w:val="24"/>
          <w:szCs w:val="24"/>
        </w:rPr>
        <w:t>第一部分  合同协议书</w:t>
      </w:r>
      <w:bookmarkEnd w:id="39"/>
      <w:bookmarkEnd w:id="40"/>
    </w:p>
    <w:p w14:paraId="21D78B1F">
      <w:pPr>
        <w:pStyle w:val="73"/>
        <w:spacing w:line="360" w:lineRule="auto"/>
        <w:ind w:firstLine="482" w:firstLineChars="200"/>
        <w:rPr>
          <w:rFonts w:hint="eastAsia" w:ascii="宋体" w:hAnsi="宋体"/>
          <w:b/>
          <w:sz w:val="24"/>
          <w:u w:val="single"/>
        </w:rPr>
      </w:pPr>
      <w:r>
        <w:rPr>
          <w:rFonts w:hint="eastAsia" w:ascii="宋体" w:hAnsi="宋体"/>
          <w:b/>
          <w:sz w:val="24"/>
        </w:rPr>
        <w:t>发包人（全称）：</w:t>
      </w:r>
      <w:r>
        <w:rPr>
          <w:rFonts w:hint="eastAsia" w:ascii="宋体" w:hAnsi="宋体"/>
          <w:b/>
          <w:sz w:val="24"/>
          <w:u w:val="single"/>
          <w:lang w:val="en-US" w:eastAsia="zh-CN"/>
        </w:rPr>
        <w:t xml:space="preserve">                                   </w:t>
      </w:r>
      <w:r>
        <w:rPr>
          <w:rFonts w:ascii="宋体" w:hAnsi="宋体" w:cs="宋体"/>
          <w:b/>
          <w:sz w:val="24"/>
          <w:u w:val="single"/>
        </w:rPr>
        <w:t></w:t>
      </w:r>
    </w:p>
    <w:p w14:paraId="232CED4F">
      <w:pPr>
        <w:pStyle w:val="73"/>
        <w:spacing w:line="360" w:lineRule="auto"/>
        <w:ind w:firstLine="482" w:firstLineChars="200"/>
        <w:rPr>
          <w:rFonts w:hint="eastAsia" w:ascii="宋体" w:hAnsi="宋体"/>
          <w:b/>
          <w:sz w:val="24"/>
          <w:u w:val="single"/>
        </w:rPr>
      </w:pPr>
      <w:r>
        <w:rPr>
          <w:rFonts w:hint="eastAsia" w:ascii="宋体" w:hAnsi="宋体"/>
          <w:b/>
          <w:sz w:val="24"/>
        </w:rPr>
        <w:t>承包人（全称）：</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p>
    <w:p w14:paraId="1BC1CE96">
      <w:pPr>
        <w:pStyle w:val="73"/>
        <w:spacing w:line="360" w:lineRule="auto"/>
        <w:ind w:firstLine="480" w:firstLineChars="200"/>
        <w:rPr>
          <w:rFonts w:hint="eastAsia" w:ascii="宋体" w:hAnsi="宋体"/>
          <w:sz w:val="24"/>
        </w:rPr>
      </w:pPr>
      <w:r>
        <w:rPr>
          <w:rFonts w:hint="eastAsia" w:ascii="宋体" w:hAnsi="宋体"/>
          <w:sz w:val="24"/>
        </w:rPr>
        <w:t>根据《中华人民共和国合同法》、《中华人民共和国建筑法》及有关法律规定，遵循平等、自愿、公平和诚实信用的原则，双方就</w:t>
      </w:r>
      <w:r>
        <w:rPr>
          <w:rFonts w:hint="eastAsia" w:ascii="宋体" w:hAnsi="宋体"/>
          <w:sz w:val="24"/>
          <w:u w:val="single"/>
          <w:lang w:val="en-US" w:eastAsia="zh-CN"/>
        </w:rPr>
        <w:t xml:space="preserve">                       </w:t>
      </w:r>
      <w:r>
        <w:rPr>
          <w:rFonts w:hint="eastAsia" w:ascii="宋体" w:hAnsi="宋体"/>
          <w:sz w:val="24"/>
        </w:rPr>
        <w:t>工程施工及有关事项协商一致，共同达成如下协议：</w:t>
      </w:r>
    </w:p>
    <w:p w14:paraId="11D2AB14">
      <w:pPr>
        <w:pStyle w:val="73"/>
        <w:spacing w:line="360" w:lineRule="auto"/>
        <w:ind w:firstLine="480" w:firstLineChars="200"/>
        <w:outlineLvl w:val="2"/>
        <w:rPr>
          <w:rFonts w:hint="eastAsia" w:ascii="宋体" w:hAnsi="宋体"/>
          <w:b/>
          <w:sz w:val="24"/>
        </w:rPr>
      </w:pPr>
      <w:bookmarkStart w:id="44" w:name="_Toc351203481"/>
      <w:r>
        <w:rPr>
          <w:rFonts w:hint="eastAsia" w:ascii="宋体" w:hAnsi="宋体"/>
          <w:bCs/>
          <w:sz w:val="24"/>
        </w:rPr>
        <w:t>一、工程概况</w:t>
      </w:r>
      <w:bookmarkEnd w:id="44"/>
    </w:p>
    <w:p w14:paraId="006D346D">
      <w:pPr>
        <w:pStyle w:val="73"/>
        <w:spacing w:line="360" w:lineRule="auto"/>
        <w:ind w:firstLine="480" w:firstLineChars="200"/>
        <w:rPr>
          <w:rFonts w:hint="eastAsia" w:ascii="宋体" w:hAnsi="宋体"/>
          <w:sz w:val="24"/>
          <w:u w:val="single"/>
        </w:rPr>
      </w:pPr>
      <w:r>
        <w:rPr>
          <w:rFonts w:hint="eastAsia" w:ascii="宋体" w:hAnsi="宋体"/>
          <w:bCs/>
          <w:sz w:val="24"/>
        </w:rPr>
        <w:t>1.工程名称</w:t>
      </w:r>
      <w:r>
        <w:rPr>
          <w:rFonts w:hint="eastAsia" w:ascii="宋体" w:hAnsi="宋体"/>
          <w:sz w:val="24"/>
        </w:rPr>
        <w:t>：</w:t>
      </w:r>
      <w:r>
        <w:rPr>
          <w:rFonts w:hint="eastAsia" w:ascii="宋体" w:hAnsi="宋体" w:cs="宋体"/>
          <w:sz w:val="24"/>
          <w:u w:val="single"/>
          <w:lang w:val="en-US" w:eastAsia="zh-CN"/>
        </w:rPr>
        <w:t xml:space="preserve">                        </w:t>
      </w:r>
      <w:r>
        <w:rPr>
          <w:rFonts w:hint="eastAsia" w:ascii="宋体" w:hAnsi="宋体"/>
          <w:sz w:val="24"/>
        </w:rPr>
        <w:t>。</w:t>
      </w:r>
    </w:p>
    <w:p w14:paraId="25E75154">
      <w:pPr>
        <w:pStyle w:val="73"/>
        <w:spacing w:line="360" w:lineRule="auto"/>
        <w:ind w:firstLine="480" w:firstLineChars="200"/>
        <w:rPr>
          <w:rFonts w:hint="eastAsia" w:ascii="宋体" w:hAnsi="宋体"/>
          <w:bCs/>
          <w:sz w:val="24"/>
        </w:rPr>
      </w:pPr>
      <w:r>
        <w:rPr>
          <w:rFonts w:hint="eastAsia" w:ascii="宋体" w:hAnsi="宋体"/>
          <w:bCs/>
          <w:sz w:val="24"/>
        </w:rPr>
        <w:t>2.工程地点：</w:t>
      </w:r>
      <w:r>
        <w:rPr>
          <w:rFonts w:hint="eastAsia" w:ascii="宋体" w:hAnsi="宋体"/>
          <w:bCs/>
          <w:sz w:val="24"/>
          <w:u w:val="single"/>
          <w:lang w:val="en-US" w:eastAsia="zh-CN"/>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w:t>
      </w:r>
    </w:p>
    <w:p w14:paraId="4A7B58D8">
      <w:pPr>
        <w:pStyle w:val="73"/>
        <w:spacing w:line="360" w:lineRule="auto"/>
        <w:ind w:firstLine="480" w:firstLineChars="200"/>
        <w:rPr>
          <w:rFonts w:hint="eastAsia" w:ascii="宋体" w:hAnsi="宋体"/>
          <w:bCs/>
          <w:sz w:val="24"/>
        </w:rPr>
      </w:pPr>
      <w:r>
        <w:rPr>
          <w:rFonts w:hint="eastAsia" w:ascii="宋体" w:hAnsi="宋体"/>
          <w:bCs/>
          <w:sz w:val="24"/>
        </w:rPr>
        <w:t>3.工程立项批准文号：</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5FB061B8">
      <w:pPr>
        <w:pStyle w:val="73"/>
        <w:spacing w:line="360" w:lineRule="auto"/>
        <w:ind w:firstLine="480" w:firstLineChars="200"/>
        <w:rPr>
          <w:rFonts w:hint="eastAsia" w:ascii="宋体" w:hAnsi="宋体"/>
          <w:bCs/>
          <w:sz w:val="24"/>
        </w:rPr>
      </w:pPr>
      <w:r>
        <w:rPr>
          <w:rFonts w:hint="eastAsia" w:ascii="宋体" w:hAnsi="宋体"/>
          <w:bCs/>
          <w:sz w:val="24"/>
        </w:rPr>
        <w:t>4.资金来源：</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2ED3EA22">
      <w:pPr>
        <w:pStyle w:val="73"/>
        <w:spacing w:line="360" w:lineRule="auto"/>
        <w:ind w:firstLine="480" w:firstLineChars="200"/>
        <w:rPr>
          <w:rFonts w:hint="eastAsia" w:ascii="宋体" w:hAnsi="宋体"/>
          <w:bCs/>
          <w:sz w:val="24"/>
        </w:rPr>
      </w:pPr>
      <w:r>
        <w:rPr>
          <w:rFonts w:hint="eastAsia" w:ascii="宋体" w:hAnsi="宋体"/>
          <w:bCs/>
          <w:sz w:val="24"/>
        </w:rPr>
        <w:t>5.工程内容：</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2F6EFA4A">
      <w:pPr>
        <w:pStyle w:val="73"/>
        <w:spacing w:line="360" w:lineRule="auto"/>
        <w:ind w:firstLine="480" w:firstLineChars="200"/>
        <w:rPr>
          <w:rFonts w:hint="eastAsia" w:ascii="宋体" w:hAnsi="宋体"/>
          <w:bCs/>
          <w:sz w:val="24"/>
        </w:rPr>
      </w:pPr>
      <w:r>
        <w:rPr>
          <w:rFonts w:hint="eastAsia" w:ascii="宋体" w:hAnsi="宋体"/>
          <w:sz w:val="24"/>
        </w:rPr>
        <w:t>群体工程应附《承包人承揽工程项目一览表》（附件1）。</w:t>
      </w:r>
    </w:p>
    <w:p w14:paraId="16D02D14">
      <w:pPr>
        <w:pStyle w:val="73"/>
        <w:spacing w:line="360" w:lineRule="auto"/>
        <w:ind w:firstLine="480" w:firstLineChars="200"/>
        <w:outlineLvl w:val="3"/>
        <w:rPr>
          <w:rFonts w:hint="eastAsia" w:ascii="宋体" w:hAnsi="宋体"/>
          <w:sz w:val="24"/>
        </w:rPr>
      </w:pPr>
      <w:r>
        <w:rPr>
          <w:rFonts w:hint="eastAsia" w:ascii="宋体" w:hAnsi="宋体"/>
          <w:bCs/>
          <w:sz w:val="24"/>
        </w:rPr>
        <w:t>6.工程承包范围：</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p>
    <w:p w14:paraId="4ABB9DAE">
      <w:pPr>
        <w:pStyle w:val="73"/>
        <w:spacing w:line="360" w:lineRule="auto"/>
        <w:ind w:firstLine="480" w:firstLineChars="200"/>
        <w:outlineLvl w:val="2"/>
        <w:rPr>
          <w:rFonts w:hint="eastAsia" w:ascii="宋体" w:hAnsi="宋体"/>
          <w:bCs/>
          <w:sz w:val="24"/>
        </w:rPr>
      </w:pPr>
      <w:bookmarkStart w:id="45" w:name="_Toc351203482"/>
      <w:r>
        <w:rPr>
          <w:rFonts w:hint="eastAsia" w:ascii="宋体" w:hAnsi="宋体"/>
          <w:bCs/>
          <w:sz w:val="24"/>
        </w:rPr>
        <w:t>二、合同工期</w:t>
      </w:r>
      <w:bookmarkEnd w:id="45"/>
    </w:p>
    <w:p w14:paraId="0A8044BD">
      <w:pPr>
        <w:pStyle w:val="73"/>
        <w:spacing w:line="360" w:lineRule="auto"/>
        <w:ind w:firstLine="480" w:firstLineChars="200"/>
        <w:rPr>
          <w:rFonts w:hint="eastAsia" w:ascii="宋体" w:hAnsi="宋体"/>
          <w:sz w:val="24"/>
        </w:rPr>
      </w:pPr>
      <w:r>
        <w:rPr>
          <w:rFonts w:hint="eastAsia" w:ascii="宋体" w:hAnsi="宋体"/>
          <w:sz w:val="24"/>
        </w:rPr>
        <w:t>计划开工日期：</w:t>
      </w:r>
      <w:r>
        <w:rPr>
          <w:rFonts w:ascii="宋体" w:hAnsi="宋体" w:cs="宋体"/>
          <w:sz w:val="24"/>
          <w:u w:val="single"/>
        </w:rPr>
        <w:t></w:t>
      </w:r>
      <w:r>
        <w:rPr>
          <w:rFonts w:hint="eastAsia" w:ascii="宋体" w:hAnsi="宋体"/>
          <w:sz w:val="24"/>
        </w:rPr>
        <w:t>年</w:t>
      </w:r>
      <w:r>
        <w:rPr>
          <w:rFonts w:ascii="宋体" w:hAnsi="宋体" w:cs="宋体"/>
          <w:sz w:val="24"/>
          <w:u w:val="single"/>
        </w:rPr>
        <w:t></w:t>
      </w:r>
      <w:r>
        <w:rPr>
          <w:rFonts w:hint="eastAsia" w:ascii="宋体" w:hAnsi="宋体"/>
          <w:sz w:val="24"/>
        </w:rPr>
        <w:t>月</w:t>
      </w:r>
      <w:r>
        <w:rPr>
          <w:rFonts w:ascii="宋体" w:hAnsi="宋体" w:cs="宋体"/>
          <w:sz w:val="24"/>
          <w:u w:val="single"/>
        </w:rPr>
        <w:t></w:t>
      </w:r>
      <w:r>
        <w:rPr>
          <w:rFonts w:hint="eastAsia" w:ascii="宋体" w:hAnsi="宋体"/>
          <w:sz w:val="24"/>
        </w:rPr>
        <w:t>日。</w:t>
      </w:r>
    </w:p>
    <w:p w14:paraId="59C6BC2B">
      <w:pPr>
        <w:pStyle w:val="73"/>
        <w:spacing w:line="360" w:lineRule="auto"/>
        <w:ind w:firstLine="480" w:firstLineChars="200"/>
        <w:rPr>
          <w:rFonts w:hint="eastAsia" w:ascii="宋体" w:hAnsi="宋体"/>
          <w:sz w:val="24"/>
        </w:rPr>
      </w:pPr>
      <w:r>
        <w:rPr>
          <w:rFonts w:hint="eastAsia" w:ascii="宋体" w:hAnsi="宋体"/>
          <w:sz w:val="24"/>
        </w:rPr>
        <w:t>计划竣工日期：</w:t>
      </w:r>
      <w:r>
        <w:rPr>
          <w:rFonts w:ascii="宋体" w:hAnsi="宋体" w:cs="宋体"/>
          <w:sz w:val="24"/>
          <w:u w:val="single"/>
        </w:rPr>
        <w:t></w:t>
      </w:r>
      <w:r>
        <w:rPr>
          <w:rFonts w:hint="eastAsia" w:ascii="宋体" w:hAnsi="宋体"/>
          <w:sz w:val="24"/>
        </w:rPr>
        <w:t>年</w:t>
      </w:r>
      <w:r>
        <w:rPr>
          <w:rFonts w:ascii="宋体" w:hAnsi="宋体" w:cs="宋体"/>
          <w:sz w:val="24"/>
          <w:u w:val="single"/>
        </w:rPr>
        <w:t></w:t>
      </w:r>
      <w:r>
        <w:rPr>
          <w:rFonts w:hint="eastAsia" w:ascii="宋体" w:hAnsi="宋体"/>
          <w:sz w:val="24"/>
        </w:rPr>
        <w:t>月</w:t>
      </w:r>
      <w:r>
        <w:rPr>
          <w:rFonts w:ascii="宋体" w:hAnsi="宋体" w:cs="宋体"/>
          <w:sz w:val="24"/>
          <w:u w:val="single"/>
        </w:rPr>
        <w:t></w:t>
      </w:r>
      <w:r>
        <w:rPr>
          <w:rFonts w:hint="eastAsia" w:ascii="宋体" w:hAnsi="宋体"/>
          <w:sz w:val="24"/>
        </w:rPr>
        <w:t>日。</w:t>
      </w:r>
    </w:p>
    <w:p w14:paraId="30EA3D1D">
      <w:pPr>
        <w:pStyle w:val="73"/>
        <w:spacing w:line="360" w:lineRule="auto"/>
        <w:ind w:firstLine="480" w:firstLineChars="200"/>
        <w:rPr>
          <w:rFonts w:hint="eastAsia" w:ascii="宋体" w:hAnsi="宋体"/>
          <w:sz w:val="24"/>
        </w:rPr>
      </w:pPr>
      <w:r>
        <w:rPr>
          <w:rFonts w:hint="eastAsia" w:ascii="宋体" w:hAnsi="宋体"/>
          <w:sz w:val="24"/>
        </w:rPr>
        <w:t>工期总日历天数：</w:t>
      </w:r>
      <w:r>
        <w:rPr>
          <w:rFonts w:ascii="宋体" w:hAnsi="宋体" w:cs="宋体"/>
          <w:sz w:val="24"/>
          <w:u w:val="single"/>
        </w:rPr>
        <w:t></w:t>
      </w:r>
      <w:r>
        <w:rPr>
          <w:rFonts w:hint="eastAsia" w:ascii="宋体" w:hAnsi="宋体"/>
          <w:sz w:val="24"/>
        </w:rPr>
        <w:t>天。</w:t>
      </w:r>
    </w:p>
    <w:p w14:paraId="0D9459A3">
      <w:pPr>
        <w:pStyle w:val="73"/>
        <w:spacing w:line="360" w:lineRule="auto"/>
        <w:ind w:firstLine="480" w:firstLineChars="200"/>
        <w:rPr>
          <w:rFonts w:hint="eastAsia" w:ascii="宋体" w:hAnsi="宋体"/>
          <w:sz w:val="24"/>
        </w:rPr>
      </w:pPr>
      <w:r>
        <w:rPr>
          <w:rFonts w:hint="eastAsia" w:ascii="宋体" w:hAnsi="宋体"/>
          <w:sz w:val="24"/>
        </w:rPr>
        <w:t>工期总日历天数与根据前述计划开竣工日期计算的工期天数不一致的，以工期总日历天数为准。</w:t>
      </w:r>
    </w:p>
    <w:p w14:paraId="459CE7FC">
      <w:pPr>
        <w:pStyle w:val="73"/>
        <w:spacing w:line="360" w:lineRule="auto"/>
        <w:ind w:firstLine="480" w:firstLineChars="200"/>
        <w:outlineLvl w:val="2"/>
        <w:rPr>
          <w:rFonts w:hint="eastAsia" w:ascii="宋体" w:hAnsi="宋体"/>
          <w:b/>
          <w:sz w:val="24"/>
        </w:rPr>
      </w:pPr>
      <w:bookmarkStart w:id="46" w:name="_Toc351203483"/>
      <w:r>
        <w:rPr>
          <w:rFonts w:hint="eastAsia" w:ascii="宋体" w:hAnsi="宋体"/>
          <w:bCs/>
          <w:sz w:val="24"/>
        </w:rPr>
        <w:t>三、质量标准</w:t>
      </w:r>
      <w:bookmarkEnd w:id="46"/>
    </w:p>
    <w:p w14:paraId="6B80CD32">
      <w:pPr>
        <w:pStyle w:val="73"/>
        <w:spacing w:line="360" w:lineRule="auto"/>
        <w:ind w:firstLine="480" w:firstLineChars="200"/>
        <w:rPr>
          <w:rFonts w:hint="eastAsia" w:ascii="宋体" w:hAnsi="宋体"/>
          <w:sz w:val="24"/>
        </w:rPr>
      </w:pPr>
      <w:r>
        <w:rPr>
          <w:rFonts w:hint="eastAsia" w:ascii="宋体" w:hAnsi="宋体"/>
          <w:sz w:val="24"/>
        </w:rPr>
        <w:t>工程质量符合</w:t>
      </w:r>
      <w:r>
        <w:rPr>
          <w:rFonts w:ascii="宋体" w:hAnsi="宋体" w:cs="宋体"/>
          <w:sz w:val="24"/>
          <w:u w:val="single"/>
        </w:rPr>
        <w:t></w:t>
      </w:r>
      <w:r>
        <w:rPr>
          <w:rFonts w:hint="eastAsia" w:ascii="宋体" w:hAnsi="宋体"/>
          <w:sz w:val="24"/>
        </w:rPr>
        <w:t>标准。</w:t>
      </w:r>
    </w:p>
    <w:p w14:paraId="6E96D062">
      <w:pPr>
        <w:pStyle w:val="73"/>
        <w:spacing w:line="360" w:lineRule="auto"/>
        <w:ind w:firstLine="480" w:firstLineChars="200"/>
        <w:outlineLvl w:val="2"/>
        <w:rPr>
          <w:rFonts w:hint="eastAsia" w:ascii="宋体" w:hAnsi="宋体"/>
          <w:b/>
          <w:sz w:val="24"/>
        </w:rPr>
      </w:pPr>
      <w:bookmarkStart w:id="47" w:name="_Toc351203484"/>
      <w:r>
        <w:rPr>
          <w:rFonts w:hint="eastAsia" w:ascii="宋体" w:hAnsi="宋体"/>
          <w:bCs/>
          <w:sz w:val="24"/>
        </w:rPr>
        <w:t>四、签约合同价与合同价格形式</w:t>
      </w:r>
      <w:bookmarkEnd w:id="47"/>
    </w:p>
    <w:p w14:paraId="5033B0B5">
      <w:pPr>
        <w:pStyle w:val="73"/>
        <w:spacing w:line="360" w:lineRule="auto"/>
        <w:ind w:firstLine="480" w:firstLineChars="200"/>
        <w:outlineLvl w:val="3"/>
        <w:rPr>
          <w:rFonts w:hint="eastAsia" w:ascii="宋体" w:hAnsi="宋体"/>
          <w:sz w:val="24"/>
        </w:rPr>
      </w:pPr>
      <w:r>
        <w:rPr>
          <w:rFonts w:hint="eastAsia" w:ascii="宋体" w:hAnsi="宋体"/>
          <w:sz w:val="24"/>
        </w:rPr>
        <w:t>1.签约合同价为：</w:t>
      </w:r>
    </w:p>
    <w:p w14:paraId="1447A2DC">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46C42F0F">
      <w:pPr>
        <w:pStyle w:val="73"/>
        <w:spacing w:line="360" w:lineRule="auto"/>
        <w:ind w:firstLine="480" w:firstLineChars="200"/>
        <w:rPr>
          <w:rFonts w:hint="eastAsia" w:ascii="宋体" w:hAnsi="宋体"/>
          <w:sz w:val="24"/>
        </w:rPr>
      </w:pPr>
      <w:r>
        <w:rPr>
          <w:rFonts w:hint="eastAsia" w:ascii="宋体" w:hAnsi="宋体"/>
          <w:sz w:val="24"/>
        </w:rPr>
        <w:t>其中：</w:t>
      </w:r>
    </w:p>
    <w:p w14:paraId="2102EF4A">
      <w:pPr>
        <w:pStyle w:val="73"/>
        <w:spacing w:line="360" w:lineRule="auto"/>
        <w:ind w:firstLine="480" w:firstLineChars="200"/>
        <w:outlineLvl w:val="4"/>
        <w:rPr>
          <w:rFonts w:hint="eastAsia" w:ascii="宋体" w:hAnsi="宋体"/>
          <w:sz w:val="24"/>
        </w:rPr>
      </w:pPr>
      <w:r>
        <w:rPr>
          <w:rFonts w:hint="eastAsia" w:ascii="宋体" w:hAnsi="宋体"/>
          <w:sz w:val="24"/>
        </w:rPr>
        <w:t>（1）安全文明施工费：</w:t>
      </w:r>
    </w:p>
    <w:p w14:paraId="6AD31D1D">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5FF969D8">
      <w:pPr>
        <w:pStyle w:val="73"/>
        <w:spacing w:line="360" w:lineRule="auto"/>
        <w:ind w:firstLine="480" w:firstLineChars="200"/>
        <w:outlineLvl w:val="4"/>
        <w:rPr>
          <w:rFonts w:hint="eastAsia" w:ascii="宋体" w:hAnsi="宋体"/>
          <w:sz w:val="24"/>
        </w:rPr>
      </w:pPr>
      <w:r>
        <w:rPr>
          <w:rFonts w:hint="eastAsia" w:ascii="宋体" w:hAnsi="宋体"/>
          <w:sz w:val="24"/>
        </w:rPr>
        <w:t>（2）材料和工程设备暂估价金额：</w:t>
      </w:r>
    </w:p>
    <w:p w14:paraId="48DE00F8">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0D204931">
      <w:pPr>
        <w:pStyle w:val="73"/>
        <w:spacing w:line="360" w:lineRule="auto"/>
        <w:ind w:firstLine="480" w:firstLineChars="200"/>
        <w:outlineLvl w:val="4"/>
        <w:rPr>
          <w:rFonts w:hint="eastAsia" w:ascii="宋体" w:hAnsi="宋体"/>
          <w:sz w:val="24"/>
        </w:rPr>
      </w:pPr>
      <w:r>
        <w:rPr>
          <w:rFonts w:hint="eastAsia" w:ascii="宋体" w:hAnsi="宋体"/>
          <w:sz w:val="24"/>
        </w:rPr>
        <w:t>（3）专业工程暂估价金额：</w:t>
      </w:r>
    </w:p>
    <w:p w14:paraId="72D5FAC0">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0A1974D9">
      <w:pPr>
        <w:pStyle w:val="73"/>
        <w:spacing w:line="360" w:lineRule="auto"/>
        <w:ind w:firstLine="480" w:firstLineChars="200"/>
        <w:outlineLvl w:val="4"/>
        <w:rPr>
          <w:rFonts w:hint="eastAsia" w:ascii="宋体" w:hAnsi="宋体"/>
          <w:sz w:val="24"/>
        </w:rPr>
      </w:pPr>
      <w:r>
        <w:rPr>
          <w:rFonts w:hint="eastAsia" w:ascii="宋体" w:hAnsi="宋体"/>
          <w:sz w:val="24"/>
        </w:rPr>
        <w:t>（4）暂列金额：</w:t>
      </w:r>
    </w:p>
    <w:p w14:paraId="3C6440CD">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7B3ED3EE">
      <w:pPr>
        <w:pStyle w:val="73"/>
        <w:spacing w:line="360" w:lineRule="auto"/>
        <w:ind w:firstLine="480" w:firstLineChars="200"/>
        <w:outlineLvl w:val="3"/>
        <w:rPr>
          <w:rFonts w:hint="eastAsia" w:ascii="宋体" w:hAnsi="宋体"/>
          <w:sz w:val="24"/>
        </w:rPr>
      </w:pPr>
      <w:r>
        <w:rPr>
          <w:rFonts w:hint="eastAsia" w:ascii="宋体" w:hAnsi="宋体"/>
          <w:sz w:val="24"/>
        </w:rPr>
        <w:t>2.合同价格形式：</w:t>
      </w:r>
      <w:r>
        <w:rPr>
          <w:rFonts w:ascii="宋体" w:hAnsi="宋体" w:cs="宋体"/>
          <w:b/>
          <w:sz w:val="24"/>
          <w:u w:val="single"/>
        </w:rPr>
        <w:t></w:t>
      </w:r>
      <w:r>
        <w:rPr>
          <w:rFonts w:hint="eastAsia" w:ascii="宋体" w:hAnsi="宋体"/>
          <w:b/>
          <w:sz w:val="24"/>
          <w:u w:val="single"/>
        </w:rPr>
        <w:t xml:space="preserve">总价合同       </w:t>
      </w:r>
      <w:r>
        <w:rPr>
          <w:rFonts w:ascii="宋体" w:hAnsi="宋体" w:cs="宋体"/>
          <w:b/>
          <w:sz w:val="24"/>
          <w:u w:val="single"/>
        </w:rPr>
        <w:t></w:t>
      </w:r>
      <w:r>
        <w:rPr>
          <w:rFonts w:hint="eastAsia" w:ascii="宋体" w:hAnsi="宋体"/>
          <w:sz w:val="24"/>
        </w:rPr>
        <w:t>。</w:t>
      </w:r>
    </w:p>
    <w:p w14:paraId="199C6586">
      <w:pPr>
        <w:pStyle w:val="73"/>
        <w:spacing w:line="360" w:lineRule="auto"/>
        <w:ind w:firstLine="480" w:firstLineChars="200"/>
        <w:outlineLvl w:val="2"/>
        <w:rPr>
          <w:rFonts w:hint="eastAsia" w:ascii="宋体" w:hAnsi="宋体"/>
          <w:bCs/>
          <w:sz w:val="24"/>
        </w:rPr>
      </w:pPr>
      <w:bookmarkStart w:id="48" w:name="_Toc351203485"/>
      <w:r>
        <w:rPr>
          <w:rFonts w:hint="eastAsia" w:ascii="宋体" w:hAnsi="宋体"/>
          <w:bCs/>
          <w:sz w:val="24"/>
        </w:rPr>
        <w:t>五、</w:t>
      </w:r>
      <w:bookmarkEnd w:id="48"/>
      <w:r>
        <w:rPr>
          <w:rFonts w:hint="eastAsia" w:ascii="宋体" w:hAnsi="宋体"/>
          <w:bCs/>
          <w:sz w:val="24"/>
        </w:rPr>
        <w:t>项目经理</w:t>
      </w:r>
    </w:p>
    <w:p w14:paraId="4DA9D49E">
      <w:pPr>
        <w:pStyle w:val="73"/>
        <w:spacing w:line="360" w:lineRule="auto"/>
        <w:ind w:firstLine="480" w:firstLineChars="200"/>
        <w:rPr>
          <w:rFonts w:hint="eastAsia" w:ascii="宋体" w:hAnsi="宋体"/>
          <w:sz w:val="24"/>
        </w:rPr>
      </w:pPr>
      <w:r>
        <w:rPr>
          <w:rFonts w:hint="eastAsia" w:ascii="宋体" w:hAnsi="宋体"/>
          <w:sz w:val="24"/>
        </w:rPr>
        <w:t>承包人项目经理：</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rPr>
        <w:t>。</w:t>
      </w:r>
    </w:p>
    <w:p w14:paraId="19A4EF26">
      <w:pPr>
        <w:pStyle w:val="73"/>
        <w:spacing w:line="360" w:lineRule="auto"/>
        <w:ind w:firstLine="480" w:firstLineChars="200"/>
        <w:outlineLvl w:val="2"/>
        <w:rPr>
          <w:rFonts w:hint="eastAsia" w:ascii="宋体" w:hAnsi="宋体"/>
          <w:b/>
          <w:sz w:val="24"/>
        </w:rPr>
      </w:pPr>
      <w:bookmarkStart w:id="49" w:name="_Toc351203486"/>
      <w:r>
        <w:rPr>
          <w:rFonts w:hint="eastAsia" w:ascii="宋体" w:hAnsi="宋体"/>
          <w:bCs/>
          <w:sz w:val="24"/>
        </w:rPr>
        <w:t>六、合同文件构成</w:t>
      </w:r>
      <w:bookmarkEnd w:id="49"/>
    </w:p>
    <w:p w14:paraId="6385AA53">
      <w:pPr>
        <w:pStyle w:val="73"/>
        <w:spacing w:line="360" w:lineRule="auto"/>
        <w:ind w:firstLine="480" w:firstLineChars="200"/>
        <w:rPr>
          <w:rFonts w:hint="eastAsia" w:ascii="宋体" w:hAnsi="宋体"/>
          <w:bCs/>
          <w:sz w:val="24"/>
        </w:rPr>
      </w:pPr>
      <w:r>
        <w:rPr>
          <w:rFonts w:hint="eastAsia" w:ascii="宋体" w:hAnsi="宋体"/>
          <w:bCs/>
          <w:sz w:val="24"/>
        </w:rPr>
        <w:t>本协议书与下列文件一起构成合同文件：</w:t>
      </w:r>
    </w:p>
    <w:p w14:paraId="127A7169">
      <w:pPr>
        <w:pStyle w:val="73"/>
        <w:spacing w:line="360" w:lineRule="auto"/>
        <w:ind w:firstLine="480" w:firstLineChars="200"/>
        <w:rPr>
          <w:rFonts w:hint="eastAsia" w:ascii="宋体" w:hAnsi="宋体"/>
          <w:sz w:val="24"/>
        </w:rPr>
      </w:pPr>
      <w:r>
        <w:rPr>
          <w:rFonts w:hint="eastAsia" w:ascii="宋体" w:hAnsi="宋体"/>
          <w:sz w:val="24"/>
        </w:rPr>
        <w:t>（1）中标通知书（如果有）；</w:t>
      </w:r>
    </w:p>
    <w:p w14:paraId="4D963A48">
      <w:pPr>
        <w:pStyle w:val="73"/>
        <w:spacing w:line="360" w:lineRule="auto"/>
        <w:ind w:firstLine="480" w:firstLineChars="200"/>
        <w:rPr>
          <w:rFonts w:hint="eastAsia" w:ascii="宋体" w:hAnsi="宋体"/>
          <w:sz w:val="24"/>
        </w:rPr>
      </w:pPr>
      <w:r>
        <w:rPr>
          <w:rFonts w:hint="eastAsia" w:ascii="宋体" w:hAnsi="宋体"/>
          <w:sz w:val="24"/>
        </w:rPr>
        <w:t xml:space="preserve">（2）投标函及其附录（如果有）； </w:t>
      </w:r>
    </w:p>
    <w:p w14:paraId="4A06089A">
      <w:pPr>
        <w:pStyle w:val="73"/>
        <w:spacing w:line="360" w:lineRule="auto"/>
        <w:ind w:firstLine="480" w:firstLineChars="200"/>
        <w:rPr>
          <w:rFonts w:hint="eastAsia" w:ascii="宋体" w:hAnsi="宋体"/>
          <w:sz w:val="24"/>
        </w:rPr>
      </w:pPr>
      <w:r>
        <w:rPr>
          <w:rFonts w:hint="eastAsia" w:ascii="宋体" w:hAnsi="宋体"/>
          <w:sz w:val="24"/>
        </w:rPr>
        <w:t>（3）专用合同条款及其附件；</w:t>
      </w:r>
    </w:p>
    <w:p w14:paraId="01791789">
      <w:pPr>
        <w:pStyle w:val="73"/>
        <w:spacing w:line="360" w:lineRule="auto"/>
        <w:ind w:firstLine="480" w:firstLineChars="200"/>
        <w:rPr>
          <w:rFonts w:hint="eastAsia" w:ascii="宋体" w:hAnsi="宋体"/>
          <w:sz w:val="24"/>
        </w:rPr>
      </w:pPr>
      <w:r>
        <w:rPr>
          <w:rFonts w:hint="eastAsia" w:ascii="宋体" w:hAnsi="宋体"/>
          <w:sz w:val="24"/>
        </w:rPr>
        <w:t>（4）通用合同条款；</w:t>
      </w:r>
    </w:p>
    <w:p w14:paraId="17DFE927">
      <w:pPr>
        <w:pStyle w:val="73"/>
        <w:spacing w:line="360" w:lineRule="auto"/>
        <w:ind w:firstLine="480" w:firstLineChars="200"/>
        <w:rPr>
          <w:rFonts w:hint="eastAsia" w:ascii="宋体" w:hAnsi="宋体"/>
          <w:sz w:val="24"/>
        </w:rPr>
      </w:pPr>
      <w:r>
        <w:rPr>
          <w:rFonts w:hint="eastAsia" w:ascii="宋体" w:hAnsi="宋体"/>
          <w:sz w:val="24"/>
        </w:rPr>
        <w:t>（5）技术标准和要求；</w:t>
      </w:r>
    </w:p>
    <w:p w14:paraId="75C3E3DA">
      <w:pPr>
        <w:pStyle w:val="73"/>
        <w:spacing w:line="360" w:lineRule="auto"/>
        <w:ind w:firstLine="480" w:firstLineChars="200"/>
        <w:rPr>
          <w:rFonts w:hint="eastAsia" w:ascii="宋体" w:hAnsi="宋体"/>
          <w:sz w:val="24"/>
        </w:rPr>
      </w:pPr>
      <w:r>
        <w:rPr>
          <w:rFonts w:hint="eastAsia" w:ascii="宋体" w:hAnsi="宋体"/>
          <w:sz w:val="24"/>
        </w:rPr>
        <w:t>（6）图纸；</w:t>
      </w:r>
    </w:p>
    <w:p w14:paraId="117B8E0F">
      <w:pPr>
        <w:pStyle w:val="73"/>
        <w:spacing w:line="360" w:lineRule="auto"/>
        <w:ind w:firstLine="480" w:firstLineChars="200"/>
        <w:rPr>
          <w:rFonts w:hint="eastAsia" w:ascii="宋体" w:hAnsi="宋体"/>
          <w:sz w:val="24"/>
        </w:rPr>
      </w:pPr>
      <w:r>
        <w:rPr>
          <w:rFonts w:hint="eastAsia" w:ascii="宋体" w:hAnsi="宋体"/>
          <w:sz w:val="24"/>
        </w:rPr>
        <w:t>（7）已标价工程量清单或预算书；</w:t>
      </w:r>
    </w:p>
    <w:p w14:paraId="04606EBD">
      <w:pPr>
        <w:pStyle w:val="73"/>
        <w:spacing w:line="360" w:lineRule="auto"/>
        <w:ind w:firstLine="480" w:firstLineChars="200"/>
        <w:rPr>
          <w:rFonts w:hint="eastAsia" w:ascii="宋体" w:hAnsi="宋体"/>
          <w:sz w:val="24"/>
        </w:rPr>
      </w:pPr>
      <w:r>
        <w:rPr>
          <w:rFonts w:hint="eastAsia" w:ascii="宋体" w:hAnsi="宋体"/>
          <w:sz w:val="24"/>
        </w:rPr>
        <w:t>（8）其他合同文件。</w:t>
      </w:r>
    </w:p>
    <w:p w14:paraId="398A04C2">
      <w:pPr>
        <w:pStyle w:val="73"/>
        <w:spacing w:line="360" w:lineRule="auto"/>
        <w:ind w:firstLine="480" w:firstLineChars="200"/>
        <w:rPr>
          <w:rFonts w:hint="eastAsia" w:ascii="宋体" w:hAnsi="宋体"/>
          <w:sz w:val="24"/>
        </w:rPr>
      </w:pPr>
      <w:r>
        <w:rPr>
          <w:rFonts w:hint="eastAsia" w:ascii="宋体" w:hAnsi="宋体"/>
          <w:sz w:val="24"/>
        </w:rPr>
        <w:t>在合同订立及履行过程中形成的与合同有关的文件均构成合同文件组成部分。</w:t>
      </w:r>
    </w:p>
    <w:p w14:paraId="280842DD">
      <w:pPr>
        <w:pStyle w:val="73"/>
        <w:spacing w:line="360" w:lineRule="auto"/>
        <w:ind w:firstLine="480" w:firstLineChars="200"/>
        <w:rPr>
          <w:rFonts w:hint="eastAsia" w:ascii="宋体" w:hAnsi="宋体"/>
          <w:sz w:val="24"/>
        </w:rPr>
      </w:pPr>
      <w:r>
        <w:rPr>
          <w:rFonts w:hint="eastAsia" w:ascii="宋体" w:hAnsi="宋体"/>
          <w:sz w:val="24"/>
        </w:rPr>
        <w:t>上述各项合同文件包括合同当事人就该项合同文件所作出的补充和修改，属于同一类内容的文件，应以最新签署的为准。专用合同条款及其附件须经合同当事人签字或盖章。</w:t>
      </w:r>
    </w:p>
    <w:p w14:paraId="3C10A254">
      <w:pPr>
        <w:pStyle w:val="73"/>
        <w:spacing w:line="360" w:lineRule="auto"/>
        <w:ind w:firstLine="480" w:firstLineChars="200"/>
        <w:outlineLvl w:val="2"/>
        <w:rPr>
          <w:rFonts w:hint="eastAsia" w:ascii="宋体" w:hAnsi="宋体"/>
          <w:sz w:val="24"/>
        </w:rPr>
      </w:pPr>
      <w:bookmarkStart w:id="50" w:name="_Toc351203487"/>
      <w:r>
        <w:rPr>
          <w:rFonts w:hint="eastAsia" w:ascii="宋体" w:hAnsi="宋体"/>
          <w:bCs/>
          <w:sz w:val="24"/>
        </w:rPr>
        <w:t>七、承诺</w:t>
      </w:r>
      <w:bookmarkEnd w:id="50"/>
    </w:p>
    <w:p w14:paraId="19108EA5">
      <w:pPr>
        <w:pStyle w:val="73"/>
        <w:spacing w:line="360" w:lineRule="auto"/>
        <w:ind w:firstLine="480" w:firstLineChars="200"/>
        <w:rPr>
          <w:rFonts w:hint="eastAsia" w:ascii="宋体" w:hAnsi="宋体"/>
          <w:bCs/>
          <w:sz w:val="24"/>
        </w:rPr>
      </w:pPr>
      <w:r>
        <w:rPr>
          <w:rFonts w:hint="eastAsia" w:ascii="宋体" w:hAnsi="宋体"/>
          <w:bCs/>
          <w:sz w:val="24"/>
        </w:rPr>
        <w:t>1.发包人承诺按照法律规定履行项目审批手续、筹集工程建设资金并按照合同约定的期限和方式支付合同价款。</w:t>
      </w:r>
    </w:p>
    <w:p w14:paraId="48B0A915">
      <w:pPr>
        <w:pStyle w:val="73"/>
        <w:spacing w:line="360" w:lineRule="auto"/>
        <w:ind w:firstLine="480" w:firstLineChars="200"/>
        <w:rPr>
          <w:rFonts w:hint="eastAsia" w:ascii="宋体" w:hAnsi="宋体"/>
          <w:bCs/>
          <w:sz w:val="24"/>
        </w:rPr>
      </w:pPr>
      <w:r>
        <w:rPr>
          <w:rFonts w:hint="eastAsia" w:ascii="宋体" w:hAnsi="宋体"/>
          <w:bCs/>
          <w:sz w:val="24"/>
        </w:rPr>
        <w:t>2.承包人承诺按照法律规定及合同约定组织完成工程施工，确保工程质量和安全，不进行转包及违法分包，并在缺陷责任期及保修期内承担相应的工程维修责任。</w:t>
      </w:r>
    </w:p>
    <w:p w14:paraId="7567EB43">
      <w:pPr>
        <w:pStyle w:val="73"/>
        <w:spacing w:line="360" w:lineRule="auto"/>
        <w:ind w:firstLine="480" w:firstLineChars="200"/>
        <w:rPr>
          <w:rFonts w:hint="eastAsia" w:ascii="宋体" w:hAnsi="宋体"/>
          <w:bCs/>
          <w:sz w:val="24"/>
        </w:rPr>
      </w:pPr>
      <w:r>
        <w:rPr>
          <w:rFonts w:hint="eastAsia" w:ascii="宋体" w:hAnsi="宋体"/>
          <w:bCs/>
          <w:sz w:val="24"/>
        </w:rPr>
        <w:t>3.发包人和承包人通过招投标形式签订合同的，双方理解并承诺不再就同一工程另行签订与合同实质性内容相背离的协议。</w:t>
      </w:r>
    </w:p>
    <w:p w14:paraId="1F01585D">
      <w:pPr>
        <w:pStyle w:val="73"/>
        <w:spacing w:line="360" w:lineRule="auto"/>
        <w:ind w:firstLine="482" w:firstLineChars="200"/>
        <w:outlineLvl w:val="2"/>
        <w:rPr>
          <w:rFonts w:hint="eastAsia" w:ascii="宋体" w:hAnsi="宋体"/>
          <w:bCs/>
          <w:sz w:val="24"/>
        </w:rPr>
      </w:pPr>
      <w:bookmarkStart w:id="51" w:name="_Toc351203488"/>
      <w:r>
        <w:rPr>
          <w:rFonts w:hint="eastAsia" w:ascii="宋体" w:hAnsi="宋体"/>
          <w:b/>
          <w:sz w:val="24"/>
        </w:rPr>
        <w:t>八、词语含义</w:t>
      </w:r>
      <w:bookmarkEnd w:id="51"/>
    </w:p>
    <w:p w14:paraId="42C27179">
      <w:pPr>
        <w:pStyle w:val="73"/>
        <w:spacing w:line="360" w:lineRule="auto"/>
        <w:ind w:firstLine="480" w:firstLineChars="200"/>
        <w:rPr>
          <w:rFonts w:hint="eastAsia" w:ascii="宋体" w:hAnsi="宋体"/>
          <w:bCs/>
          <w:sz w:val="24"/>
        </w:rPr>
      </w:pPr>
      <w:r>
        <w:rPr>
          <w:rFonts w:hint="eastAsia" w:ascii="宋体" w:hAnsi="宋体"/>
          <w:bCs/>
          <w:sz w:val="24"/>
        </w:rPr>
        <w:t>本协议书中词语含义与第二部分通用合同条款中赋予的含义相同。</w:t>
      </w:r>
    </w:p>
    <w:p w14:paraId="030B1E54">
      <w:pPr>
        <w:pStyle w:val="73"/>
        <w:spacing w:line="360" w:lineRule="auto"/>
        <w:ind w:firstLine="480" w:firstLineChars="200"/>
        <w:outlineLvl w:val="2"/>
        <w:rPr>
          <w:rFonts w:hint="eastAsia" w:ascii="宋体" w:hAnsi="宋体"/>
          <w:b/>
          <w:sz w:val="24"/>
        </w:rPr>
      </w:pPr>
      <w:bookmarkStart w:id="52" w:name="_Toc351203489"/>
      <w:r>
        <w:rPr>
          <w:rFonts w:hint="eastAsia" w:ascii="宋体" w:hAnsi="宋体"/>
          <w:bCs/>
          <w:sz w:val="24"/>
        </w:rPr>
        <w:t>九、签订时间</w:t>
      </w:r>
      <w:bookmarkEnd w:id="52"/>
    </w:p>
    <w:p w14:paraId="05072E42">
      <w:pPr>
        <w:pStyle w:val="73"/>
        <w:spacing w:line="360" w:lineRule="auto"/>
        <w:ind w:firstLine="480" w:firstLineChars="200"/>
        <w:rPr>
          <w:rFonts w:hint="eastAsia" w:ascii="宋体" w:hAnsi="宋体"/>
          <w:bCs/>
          <w:sz w:val="24"/>
        </w:rPr>
      </w:pPr>
      <w:r>
        <w:rPr>
          <w:rFonts w:hint="eastAsia" w:ascii="宋体" w:hAnsi="宋体"/>
          <w:bCs/>
          <w:sz w:val="24"/>
        </w:rPr>
        <w:t>本合同于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日签订。</w:t>
      </w:r>
    </w:p>
    <w:p w14:paraId="19E1BA80">
      <w:pPr>
        <w:pStyle w:val="73"/>
        <w:spacing w:line="360" w:lineRule="auto"/>
        <w:ind w:firstLine="480" w:firstLineChars="200"/>
        <w:outlineLvl w:val="2"/>
        <w:rPr>
          <w:rFonts w:hint="eastAsia" w:ascii="宋体" w:hAnsi="宋体"/>
          <w:b/>
          <w:sz w:val="24"/>
        </w:rPr>
      </w:pPr>
      <w:bookmarkStart w:id="53" w:name="_Toc351203490"/>
      <w:r>
        <w:rPr>
          <w:rFonts w:hint="eastAsia" w:ascii="宋体" w:hAnsi="宋体"/>
          <w:bCs/>
          <w:sz w:val="24"/>
        </w:rPr>
        <w:t>十、签订地点</w:t>
      </w:r>
      <w:bookmarkEnd w:id="53"/>
    </w:p>
    <w:p w14:paraId="7B1EEEF4">
      <w:pPr>
        <w:pStyle w:val="73"/>
        <w:spacing w:line="360" w:lineRule="auto"/>
        <w:ind w:firstLine="480" w:firstLineChars="200"/>
        <w:rPr>
          <w:rFonts w:hint="eastAsia" w:ascii="宋体" w:hAnsi="宋体"/>
          <w:bCs/>
          <w:sz w:val="24"/>
        </w:rPr>
      </w:pPr>
      <w:r>
        <w:rPr>
          <w:rFonts w:hint="eastAsia" w:ascii="宋体" w:hAnsi="宋体"/>
          <w:bCs/>
          <w:sz w:val="24"/>
        </w:rPr>
        <w:t>本合同在</w:t>
      </w:r>
      <w:r>
        <w:rPr>
          <w:rFonts w:hint="eastAsia" w:ascii="宋体" w:hAnsi="宋体"/>
          <w:bCs/>
          <w:sz w:val="24"/>
          <w:u w:val="single"/>
        </w:rPr>
        <w:t xml:space="preserve">                                    </w:t>
      </w:r>
      <w:r>
        <w:rPr>
          <w:rFonts w:hint="eastAsia" w:ascii="宋体" w:hAnsi="宋体"/>
          <w:bCs/>
          <w:sz w:val="24"/>
        </w:rPr>
        <w:t>签订。</w:t>
      </w:r>
    </w:p>
    <w:p w14:paraId="2BE10328">
      <w:pPr>
        <w:pStyle w:val="73"/>
        <w:spacing w:line="360" w:lineRule="auto"/>
        <w:ind w:firstLine="480" w:firstLineChars="200"/>
        <w:outlineLvl w:val="2"/>
        <w:rPr>
          <w:rFonts w:hint="eastAsia" w:ascii="宋体" w:hAnsi="宋体"/>
          <w:b/>
          <w:sz w:val="24"/>
        </w:rPr>
      </w:pPr>
      <w:bookmarkStart w:id="54" w:name="_Toc351203491"/>
      <w:r>
        <w:rPr>
          <w:rFonts w:hint="eastAsia" w:ascii="宋体" w:hAnsi="宋体"/>
          <w:bCs/>
          <w:sz w:val="24"/>
        </w:rPr>
        <w:t>十一、补充协议</w:t>
      </w:r>
      <w:bookmarkEnd w:id="54"/>
    </w:p>
    <w:p w14:paraId="33479EF1">
      <w:pPr>
        <w:pStyle w:val="73"/>
        <w:spacing w:line="360" w:lineRule="auto"/>
        <w:ind w:firstLine="480" w:firstLineChars="200"/>
        <w:rPr>
          <w:rFonts w:hint="eastAsia" w:ascii="宋体" w:hAnsi="宋体"/>
          <w:b/>
          <w:bCs/>
          <w:sz w:val="24"/>
        </w:rPr>
      </w:pPr>
      <w:r>
        <w:rPr>
          <w:rFonts w:hint="eastAsia" w:ascii="宋体" w:hAnsi="宋体"/>
          <w:bCs/>
          <w:sz w:val="24"/>
        </w:rPr>
        <w:t>合同未尽事宜，合同当事人另行签订补充协议，补充协议是合同的组成部分。</w:t>
      </w:r>
    </w:p>
    <w:p w14:paraId="6659CEAF">
      <w:pPr>
        <w:pStyle w:val="73"/>
        <w:spacing w:line="360" w:lineRule="auto"/>
        <w:ind w:firstLine="480" w:firstLineChars="200"/>
        <w:outlineLvl w:val="2"/>
        <w:rPr>
          <w:rFonts w:hint="eastAsia" w:ascii="宋体" w:hAnsi="宋体"/>
          <w:b/>
          <w:sz w:val="24"/>
        </w:rPr>
      </w:pPr>
      <w:bookmarkStart w:id="55" w:name="_Toc351203492"/>
      <w:r>
        <w:rPr>
          <w:rFonts w:hint="eastAsia" w:ascii="宋体" w:hAnsi="宋体"/>
          <w:bCs/>
          <w:sz w:val="24"/>
        </w:rPr>
        <w:t>十二、合同生效</w:t>
      </w:r>
      <w:bookmarkEnd w:id="55"/>
    </w:p>
    <w:p w14:paraId="34E8875C">
      <w:pPr>
        <w:pStyle w:val="73"/>
        <w:spacing w:line="360" w:lineRule="auto"/>
        <w:ind w:firstLine="480" w:firstLineChars="200"/>
        <w:rPr>
          <w:rFonts w:hint="eastAsia" w:ascii="宋体" w:hAnsi="宋体"/>
          <w:bCs/>
          <w:sz w:val="24"/>
        </w:rPr>
      </w:pPr>
      <w:r>
        <w:rPr>
          <w:rFonts w:hint="eastAsia" w:ascii="宋体" w:hAnsi="宋体"/>
          <w:bCs/>
          <w:sz w:val="24"/>
        </w:rPr>
        <w:t>本合同自</w:t>
      </w:r>
      <w:r>
        <w:rPr>
          <w:rFonts w:hint="eastAsia" w:ascii="宋体" w:hAnsi="宋体"/>
          <w:bCs/>
          <w:sz w:val="24"/>
          <w:u w:val="single"/>
        </w:rPr>
        <w:t xml:space="preserve">                                   </w:t>
      </w:r>
      <w:r>
        <w:rPr>
          <w:rFonts w:hint="eastAsia" w:ascii="宋体" w:hAnsi="宋体"/>
          <w:bCs/>
          <w:sz w:val="24"/>
        </w:rPr>
        <w:t>生效。</w:t>
      </w:r>
    </w:p>
    <w:p w14:paraId="375B6BBF">
      <w:pPr>
        <w:pStyle w:val="73"/>
        <w:spacing w:line="360" w:lineRule="auto"/>
        <w:ind w:firstLine="480" w:firstLineChars="200"/>
        <w:outlineLvl w:val="2"/>
        <w:rPr>
          <w:rFonts w:hint="eastAsia" w:ascii="宋体" w:hAnsi="宋体"/>
          <w:b/>
          <w:sz w:val="24"/>
        </w:rPr>
      </w:pPr>
      <w:bookmarkStart w:id="56" w:name="_Toc351203493"/>
      <w:r>
        <w:rPr>
          <w:rFonts w:hint="eastAsia" w:ascii="宋体" w:hAnsi="宋体"/>
          <w:bCs/>
          <w:sz w:val="24"/>
        </w:rPr>
        <w:t>十三、合同份数</w:t>
      </w:r>
      <w:bookmarkEnd w:id="56"/>
    </w:p>
    <w:p w14:paraId="49E1C591">
      <w:pPr>
        <w:pStyle w:val="73"/>
        <w:spacing w:line="360" w:lineRule="auto"/>
        <w:ind w:firstLine="480" w:firstLineChars="200"/>
        <w:rPr>
          <w:rFonts w:hint="eastAsia" w:ascii="宋体" w:hAnsi="宋体"/>
          <w:bCs/>
          <w:sz w:val="24"/>
        </w:rPr>
      </w:pPr>
      <w:r>
        <w:rPr>
          <w:rFonts w:hint="eastAsia" w:ascii="宋体" w:hAnsi="宋体"/>
          <w:bCs/>
          <w:sz w:val="24"/>
        </w:rPr>
        <w:t>本合同一式</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份，均具有同等法律效力，发包人执</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份，承包人执</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w:t>
      </w:r>
    </w:p>
    <w:p w14:paraId="4F0328E5">
      <w:pPr>
        <w:pStyle w:val="73"/>
        <w:spacing w:line="360" w:lineRule="auto"/>
        <w:rPr>
          <w:rFonts w:hint="eastAsia" w:ascii="宋体" w:hAnsi="宋体"/>
          <w:sz w:val="24"/>
        </w:rPr>
      </w:pPr>
      <w:r>
        <w:rPr>
          <w:rFonts w:hint="eastAsia" w:ascii="宋体" w:hAnsi="宋体"/>
          <w:sz w:val="24"/>
        </w:rPr>
        <w:t>发包人：  (公章)                           承包人：  (公章)</w:t>
      </w:r>
    </w:p>
    <w:p w14:paraId="7B0C9360">
      <w:pPr>
        <w:pStyle w:val="73"/>
        <w:spacing w:line="360" w:lineRule="auto"/>
        <w:rPr>
          <w:rFonts w:hint="eastAsia" w:ascii="宋体" w:hAnsi="宋体"/>
          <w:sz w:val="24"/>
        </w:rPr>
      </w:pPr>
      <w:r>
        <w:rPr>
          <w:rFonts w:hint="eastAsia" w:ascii="宋体" w:hAnsi="宋体"/>
          <w:sz w:val="24"/>
        </w:rPr>
        <w:t>法定代表人或其委托代理人：                 法定代表人或其委托代理人：</w:t>
      </w:r>
    </w:p>
    <w:p w14:paraId="46370D28">
      <w:pPr>
        <w:pStyle w:val="73"/>
        <w:spacing w:line="360" w:lineRule="auto"/>
        <w:rPr>
          <w:rFonts w:hint="eastAsia" w:ascii="宋体" w:hAnsi="宋体"/>
          <w:sz w:val="24"/>
        </w:rPr>
      </w:pPr>
      <w:r>
        <w:rPr>
          <w:rFonts w:hint="eastAsia" w:ascii="宋体" w:hAnsi="宋体"/>
          <w:sz w:val="24"/>
        </w:rPr>
        <w:t>（签字）                                  （签字）</w:t>
      </w:r>
    </w:p>
    <w:p w14:paraId="717A4E18">
      <w:pPr>
        <w:pStyle w:val="73"/>
        <w:spacing w:line="360" w:lineRule="auto"/>
        <w:rPr>
          <w:rFonts w:hint="eastAsia" w:ascii="宋体" w:hAnsi="宋体"/>
          <w:sz w:val="24"/>
        </w:rPr>
      </w:pPr>
      <w:r>
        <w:rPr>
          <w:rFonts w:hint="eastAsia" w:ascii="宋体" w:hAnsi="宋体"/>
          <w:sz w:val="24"/>
        </w:rPr>
        <w:t>组织机构代码：</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组织机构代码：</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w:t>
      </w:r>
    </w:p>
    <w:p w14:paraId="17DAFCDC">
      <w:pPr>
        <w:pStyle w:val="73"/>
        <w:spacing w:line="360" w:lineRule="auto"/>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地  址：</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211CDCF4">
      <w:pPr>
        <w:pStyle w:val="73"/>
        <w:spacing w:line="360" w:lineRule="auto"/>
        <w:rPr>
          <w:rFonts w:hint="eastAsia" w:ascii="宋体" w:hAnsi="宋体"/>
          <w:sz w:val="24"/>
        </w:rPr>
      </w:pPr>
      <w:r>
        <w:rPr>
          <w:rFonts w:hint="eastAsia" w:ascii="宋体" w:hAnsi="宋体"/>
          <w:sz w:val="24"/>
        </w:rPr>
        <w:t>邮政编码：</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邮政编码：</w:t>
      </w:r>
      <w:r>
        <w:rPr>
          <w:rFonts w:ascii="宋体" w:hAnsi="宋体" w:cs="宋体"/>
          <w:sz w:val="24"/>
          <w:u w:val="single"/>
        </w:rPr>
        <w:t></w:t>
      </w:r>
      <w:r>
        <w:rPr>
          <w:rFonts w:hint="eastAsia" w:ascii="宋体" w:hAnsi="宋体"/>
          <w:sz w:val="24"/>
          <w:u w:val="single"/>
        </w:rPr>
        <w:t xml:space="preserve">   </w:t>
      </w:r>
    </w:p>
    <w:p w14:paraId="24899C10">
      <w:pPr>
        <w:pStyle w:val="73"/>
        <w:spacing w:line="360" w:lineRule="auto"/>
        <w:rPr>
          <w:rFonts w:hint="eastAsia" w:ascii="宋体" w:hAnsi="宋体"/>
          <w:sz w:val="24"/>
        </w:rPr>
      </w:pPr>
      <w:r>
        <w:rPr>
          <w:rFonts w:hint="eastAsia" w:ascii="宋体" w:hAnsi="宋体"/>
          <w:sz w:val="24"/>
        </w:rPr>
        <w:t>法定代表人：</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法定代表人：</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0566BE7A">
      <w:pPr>
        <w:pStyle w:val="73"/>
        <w:spacing w:line="360" w:lineRule="auto"/>
        <w:rPr>
          <w:rFonts w:hint="eastAsia" w:ascii="宋体" w:hAnsi="宋体"/>
          <w:sz w:val="24"/>
        </w:rPr>
      </w:pPr>
      <w:r>
        <w:rPr>
          <w:rFonts w:hint="eastAsia" w:ascii="宋体" w:hAnsi="宋体"/>
          <w:sz w:val="24"/>
        </w:rPr>
        <w:t>委托代理人：</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委托代理人：</w:t>
      </w:r>
      <w:r>
        <w:rPr>
          <w:rFonts w:ascii="宋体" w:hAnsi="宋体" w:cs="宋体"/>
          <w:sz w:val="24"/>
          <w:u w:val="single"/>
        </w:rPr>
        <w:t></w:t>
      </w:r>
      <w:r>
        <w:rPr>
          <w:rFonts w:hint="eastAsia" w:ascii="宋体" w:hAnsi="宋体"/>
          <w:sz w:val="24"/>
          <w:u w:val="single"/>
        </w:rPr>
        <w:t xml:space="preserve">             </w:t>
      </w:r>
    </w:p>
    <w:p w14:paraId="2F0E8F06">
      <w:pPr>
        <w:pStyle w:val="73"/>
        <w:spacing w:line="360" w:lineRule="auto"/>
        <w:rPr>
          <w:rFonts w:hint="eastAsia" w:ascii="宋体" w:hAnsi="宋体"/>
          <w:sz w:val="24"/>
        </w:rPr>
      </w:pPr>
      <w:r>
        <w:rPr>
          <w:rFonts w:hint="eastAsia" w:ascii="宋体" w:hAnsi="宋体"/>
          <w:sz w:val="24"/>
        </w:rPr>
        <w:t>电  话：</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电  话：</w:t>
      </w:r>
      <w:r>
        <w:rPr>
          <w:rFonts w:ascii="宋体" w:hAnsi="宋体" w:cs="宋体"/>
          <w:sz w:val="24"/>
          <w:u w:val="single"/>
        </w:rPr>
        <w:t></w:t>
      </w:r>
      <w:r>
        <w:rPr>
          <w:rFonts w:hint="eastAsia" w:ascii="宋体" w:hAnsi="宋体"/>
          <w:sz w:val="24"/>
          <w:u w:val="single"/>
        </w:rPr>
        <w:t xml:space="preserve">     </w:t>
      </w:r>
    </w:p>
    <w:p w14:paraId="603FE592">
      <w:pPr>
        <w:pStyle w:val="73"/>
        <w:spacing w:line="360" w:lineRule="auto"/>
        <w:rPr>
          <w:rFonts w:hint="eastAsia" w:ascii="宋体" w:hAnsi="宋体"/>
          <w:sz w:val="24"/>
        </w:rPr>
      </w:pPr>
      <w:r>
        <w:rPr>
          <w:rFonts w:hint="eastAsia" w:ascii="宋体" w:hAnsi="宋体"/>
          <w:sz w:val="24"/>
        </w:rPr>
        <w:t>传  真：</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传  真：</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2F824BE4">
      <w:pPr>
        <w:pStyle w:val="73"/>
        <w:spacing w:line="360" w:lineRule="auto"/>
        <w:rPr>
          <w:rFonts w:hint="eastAsia" w:ascii="宋体" w:hAnsi="宋体"/>
          <w:sz w:val="24"/>
        </w:rPr>
      </w:pPr>
      <w:r>
        <w:rPr>
          <w:rFonts w:hint="eastAsia" w:ascii="宋体" w:hAnsi="宋体"/>
          <w:sz w:val="24"/>
        </w:rPr>
        <w:t>电子信箱：</w:t>
      </w:r>
      <w:r>
        <w:rPr>
          <w:rFonts w:hint="eastAsia" w:ascii="宋体" w:hAnsi="宋体"/>
          <w:sz w:val="24"/>
          <w:u w:val="single"/>
        </w:rPr>
        <w:t xml:space="preserve">                 </w:t>
      </w:r>
      <w:r>
        <w:rPr>
          <w:rFonts w:hint="eastAsia" w:ascii="宋体" w:hAnsi="宋体"/>
          <w:sz w:val="24"/>
        </w:rPr>
        <w:t xml:space="preserve">                电子信箱：</w:t>
      </w:r>
      <w:r>
        <w:rPr>
          <w:rFonts w:ascii="宋体" w:hAnsi="宋体" w:cs="宋体"/>
          <w:sz w:val="24"/>
          <w:u w:val="single"/>
        </w:rPr>
        <w:t></w:t>
      </w:r>
      <w:r>
        <w:rPr>
          <w:rFonts w:hint="eastAsia" w:ascii="宋体" w:hAnsi="宋体"/>
          <w:sz w:val="24"/>
          <w:u w:val="single"/>
        </w:rPr>
        <w:t xml:space="preserve">   </w:t>
      </w:r>
    </w:p>
    <w:p w14:paraId="101EE213">
      <w:pPr>
        <w:pStyle w:val="73"/>
        <w:spacing w:line="360" w:lineRule="auto"/>
        <w:rPr>
          <w:rFonts w:hint="eastAsia" w:ascii="宋体" w:hAnsi="宋体"/>
          <w:sz w:val="24"/>
        </w:rPr>
      </w:pPr>
      <w:r>
        <w:rPr>
          <w:rFonts w:hint="eastAsia" w:ascii="宋体" w:hAnsi="宋体"/>
          <w:sz w:val="24"/>
        </w:rPr>
        <w:t>开户银行：</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开户银行：</w:t>
      </w:r>
      <w:r>
        <w:rPr>
          <w:rFonts w:ascii="宋体" w:hAnsi="宋体" w:cs="宋体"/>
          <w:sz w:val="24"/>
          <w:u w:val="single"/>
        </w:rPr>
        <w:t></w:t>
      </w:r>
      <w:r>
        <w:rPr>
          <w:rFonts w:hint="eastAsia" w:ascii="宋体" w:hAnsi="宋体"/>
          <w:sz w:val="24"/>
          <w:u w:val="single"/>
        </w:rPr>
        <w:t xml:space="preserve">   </w:t>
      </w:r>
    </w:p>
    <w:p w14:paraId="03AEDFBC">
      <w:pPr>
        <w:pStyle w:val="73"/>
        <w:spacing w:line="360" w:lineRule="auto"/>
        <w:rPr>
          <w:rFonts w:hint="eastAsia" w:ascii="宋体" w:hAnsi="宋体"/>
          <w:sz w:val="24"/>
        </w:rPr>
      </w:pPr>
      <w:r>
        <w:rPr>
          <w:rFonts w:hint="eastAsia" w:ascii="宋体" w:hAnsi="宋体"/>
          <w:sz w:val="24"/>
        </w:rPr>
        <w:t>账  号：</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账  号：</w:t>
      </w:r>
      <w:r>
        <w:rPr>
          <w:rFonts w:ascii="宋体" w:hAnsi="宋体" w:cs="宋体"/>
          <w:sz w:val="24"/>
          <w:u w:val="single"/>
        </w:rPr>
        <w:t></w:t>
      </w:r>
      <w:r>
        <w:rPr>
          <w:rFonts w:hint="eastAsia" w:ascii="宋体" w:hAnsi="宋体"/>
          <w:sz w:val="24"/>
          <w:u w:val="single"/>
        </w:rPr>
        <w:t xml:space="preserve">     </w:t>
      </w:r>
    </w:p>
    <w:p w14:paraId="52FF4DED">
      <w:pPr>
        <w:pStyle w:val="72"/>
        <w:spacing w:line="360" w:lineRule="auto"/>
        <w:ind w:left="250" w:right="0"/>
        <w:rPr>
          <w:rFonts w:hint="eastAsia" w:ascii="宋体" w:hAnsi="宋体"/>
          <w:szCs w:val="24"/>
        </w:rPr>
      </w:pPr>
    </w:p>
    <w:p w14:paraId="7ADAB7FB">
      <w:pPr>
        <w:pStyle w:val="72"/>
        <w:spacing w:line="360" w:lineRule="auto"/>
        <w:ind w:left="0" w:right="0"/>
        <w:rPr>
          <w:rFonts w:hint="eastAsia" w:ascii="宋体" w:hAnsi="宋体"/>
          <w:szCs w:val="24"/>
          <w:lang w:eastAsia="zh-CN"/>
        </w:rPr>
      </w:pPr>
    </w:p>
    <w:p w14:paraId="4A6262F0">
      <w:pPr>
        <w:pStyle w:val="72"/>
        <w:spacing w:line="360" w:lineRule="auto"/>
        <w:ind w:left="0" w:right="0"/>
        <w:rPr>
          <w:rFonts w:hint="eastAsia" w:ascii="宋体" w:hAnsi="宋体"/>
          <w:szCs w:val="24"/>
          <w:lang w:eastAsia="zh-CN"/>
        </w:rPr>
      </w:pPr>
    </w:p>
    <w:p w14:paraId="6CF5C4CD">
      <w:pPr>
        <w:pStyle w:val="72"/>
        <w:spacing w:line="360" w:lineRule="auto"/>
        <w:ind w:left="0" w:right="0"/>
        <w:rPr>
          <w:rFonts w:hint="eastAsia" w:ascii="宋体" w:hAnsi="宋体"/>
          <w:szCs w:val="24"/>
          <w:lang w:eastAsia="zh-CN"/>
        </w:rPr>
      </w:pPr>
    </w:p>
    <w:p w14:paraId="2C12FCF5">
      <w:pPr>
        <w:pStyle w:val="96"/>
        <w:numPr>
          <w:ilvl w:val="0"/>
          <w:numId w:val="0"/>
        </w:numPr>
        <w:outlineLvl w:val="1"/>
        <w:rPr>
          <w:rFonts w:hint="eastAsia" w:ascii="宋体" w:hAnsi="宋体"/>
          <w:b w:val="0"/>
          <w:sz w:val="24"/>
          <w:szCs w:val="24"/>
        </w:rPr>
      </w:pPr>
      <w:bookmarkStart w:id="57" w:name="_Toc460660195"/>
      <w:bookmarkStart w:id="58" w:name="_Toc460227080"/>
      <w:bookmarkStart w:id="59" w:name="_Toc416787470"/>
      <w:bookmarkStart w:id="60" w:name="_Toc351203494"/>
      <w:bookmarkStart w:id="61" w:name="_Toc460226810"/>
      <w:r>
        <w:rPr>
          <w:rFonts w:hint="eastAsia" w:ascii="宋体" w:hAnsi="宋体"/>
          <w:b w:val="0"/>
          <w:sz w:val="24"/>
          <w:szCs w:val="24"/>
        </w:rPr>
        <w:t>第二部分  通用合同条款</w:t>
      </w:r>
      <w:bookmarkEnd w:id="57"/>
      <w:bookmarkEnd w:id="58"/>
      <w:bookmarkEnd w:id="59"/>
      <w:bookmarkEnd w:id="60"/>
      <w:bookmarkEnd w:id="61"/>
      <w:bookmarkStart w:id="62" w:name="_Toc337558727"/>
    </w:p>
    <w:p w14:paraId="3375B1E9">
      <w:pPr>
        <w:pStyle w:val="80"/>
        <w:spacing w:line="360" w:lineRule="auto"/>
        <w:ind w:firstLine="1320" w:firstLineChars="550"/>
        <w:rPr>
          <w:rFonts w:hint="eastAsia" w:ascii="宋体" w:hAnsi="宋体"/>
          <w:sz w:val="24"/>
          <w:szCs w:val="24"/>
        </w:rPr>
      </w:pPr>
      <w:r>
        <w:rPr>
          <w:rFonts w:hint="eastAsia" w:ascii="宋体" w:hAnsi="宋体"/>
          <w:sz w:val="24"/>
          <w:szCs w:val="24"/>
        </w:rPr>
        <w:t>详见《建设工程施工合同(示范文本) 》(GF-2013-0201)中通用合同条款</w:t>
      </w:r>
      <w:bookmarkEnd w:id="62"/>
    </w:p>
    <w:p w14:paraId="5A979760">
      <w:pPr>
        <w:pStyle w:val="96"/>
        <w:numPr>
          <w:ilvl w:val="0"/>
          <w:numId w:val="0"/>
        </w:numPr>
        <w:outlineLvl w:val="1"/>
        <w:rPr>
          <w:rFonts w:hint="eastAsia" w:ascii="宋体" w:hAnsi="宋体"/>
          <w:b w:val="0"/>
          <w:sz w:val="24"/>
          <w:szCs w:val="24"/>
          <w:lang w:eastAsia="zh-CN"/>
        </w:rPr>
      </w:pPr>
      <w:bookmarkStart w:id="63" w:name="_Toc416787471"/>
      <w:bookmarkStart w:id="64" w:name="_Toc460227081"/>
      <w:bookmarkStart w:id="65" w:name="_Toc460226811"/>
      <w:bookmarkStart w:id="66" w:name="_Toc460660196"/>
      <w:r>
        <w:rPr>
          <w:rFonts w:hint="eastAsia" w:ascii="宋体" w:hAnsi="宋体"/>
          <w:b w:val="0"/>
          <w:sz w:val="24"/>
          <w:szCs w:val="24"/>
        </w:rPr>
        <w:t>第三部分　专用合同条款</w:t>
      </w:r>
      <w:bookmarkEnd w:id="63"/>
      <w:bookmarkEnd w:id="64"/>
      <w:bookmarkEnd w:id="65"/>
      <w:bookmarkEnd w:id="66"/>
    </w:p>
    <w:p w14:paraId="28931ADC">
      <w:pPr>
        <w:pStyle w:val="5"/>
        <w:adjustRightInd w:val="0"/>
        <w:snapToGrid w:val="0"/>
        <w:spacing w:before="0" w:after="0" w:line="360" w:lineRule="auto"/>
        <w:outlineLvl w:val="2"/>
        <w:rPr>
          <w:rFonts w:ascii="宋体" w:hAnsi="宋体" w:eastAsia="宋体"/>
          <w:b w:val="0"/>
          <w:sz w:val="24"/>
          <w:szCs w:val="24"/>
        </w:rPr>
      </w:pPr>
      <w:bookmarkStart w:id="67" w:name="_Toc460660197"/>
      <w:bookmarkStart w:id="68" w:name="_Toc460226812"/>
      <w:bookmarkStart w:id="69" w:name="_Toc460227082"/>
      <w:r>
        <w:rPr>
          <w:rFonts w:ascii="宋体" w:hAnsi="宋体" w:eastAsia="宋体"/>
          <w:b w:val="0"/>
          <w:sz w:val="24"/>
          <w:szCs w:val="24"/>
        </w:rPr>
        <w:t>1. 一般约定</w:t>
      </w:r>
      <w:bookmarkEnd w:id="67"/>
      <w:bookmarkEnd w:id="68"/>
      <w:bookmarkEnd w:id="69"/>
    </w:p>
    <w:p w14:paraId="5AADB21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70" w:name="_Toc351203633"/>
      <w:bookmarkStart w:id="71" w:name="_Toc351203652"/>
      <w:r>
        <w:rPr>
          <w:rFonts w:hint="eastAsia" w:ascii="宋体" w:hAnsi="宋体"/>
          <w:sz w:val="24"/>
        </w:rPr>
        <w:t>1.1 词语定义</w:t>
      </w:r>
    </w:p>
    <w:p w14:paraId="35880AD4">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1.1.1合同</w:t>
      </w:r>
    </w:p>
    <w:p w14:paraId="08624774">
      <w:pPr>
        <w:pStyle w:val="91"/>
        <w:tabs>
          <w:tab w:val="left" w:pos="360"/>
        </w:tabs>
        <w:snapToGrid w:val="0"/>
        <w:spacing w:before="0" w:after="0" w:line="360" w:lineRule="auto"/>
        <w:ind w:left="250" w:leftChars="119" w:right="178" w:rightChars="85" w:firstLine="480" w:firstLineChars="200"/>
        <w:rPr>
          <w:rFonts w:hint="eastAsia" w:ascii="宋体" w:hAnsi="宋体"/>
          <w:szCs w:val="24"/>
        </w:rPr>
      </w:pPr>
      <w:r>
        <w:rPr>
          <w:rFonts w:hint="eastAsia" w:ascii="宋体" w:hAnsi="宋体"/>
          <w:szCs w:val="24"/>
        </w:rPr>
        <w:t>1.1.1.10其他合同文件包括：</w:t>
      </w:r>
      <w:r>
        <w:rPr>
          <w:rFonts w:hint="eastAsia" w:ascii="宋体" w:hAnsi="宋体"/>
          <w:szCs w:val="24"/>
          <w:u w:val="single"/>
        </w:rPr>
        <w:t>合同履行过程中双方就有关工程的洽商、变更等书面协议或文件视为本合同的组成部分。</w:t>
      </w:r>
    </w:p>
    <w:p w14:paraId="55AF8D8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1.1.2 合同当事人及其他相关方</w:t>
      </w:r>
    </w:p>
    <w:p w14:paraId="136DC18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1.1.2.4监理人：</w:t>
      </w:r>
    </w:p>
    <w:p w14:paraId="4ABDCE9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名称：</w:t>
      </w:r>
      <w:r>
        <w:rPr>
          <w:rFonts w:hint="eastAsia" w:ascii="宋体" w:hAnsi="宋体"/>
          <w:sz w:val="24"/>
          <w:u w:val="single"/>
        </w:rPr>
        <w:t xml:space="preserve">            </w:t>
      </w:r>
      <w:r>
        <w:rPr>
          <w:rFonts w:hint="eastAsia" w:ascii="宋体" w:hAnsi="宋体"/>
          <w:sz w:val="24"/>
        </w:rPr>
        <w:t>；</w:t>
      </w:r>
    </w:p>
    <w:p w14:paraId="24387F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资质类别和等级：</w:t>
      </w:r>
      <w:r>
        <w:rPr>
          <w:rFonts w:hint="eastAsia" w:ascii="宋体" w:hAnsi="宋体"/>
          <w:sz w:val="24"/>
          <w:u w:val="single"/>
        </w:rPr>
        <w:t>            </w:t>
      </w:r>
      <w:r>
        <w:rPr>
          <w:rFonts w:hint="eastAsia" w:ascii="宋体" w:hAnsi="宋体"/>
          <w:sz w:val="24"/>
        </w:rPr>
        <w:t>；</w:t>
      </w:r>
    </w:p>
    <w:p w14:paraId="65B0DB5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；电子信箱：</w:t>
      </w:r>
      <w:r>
        <w:rPr>
          <w:rFonts w:hint="eastAsia" w:ascii="宋体" w:hAnsi="宋体"/>
          <w:sz w:val="24"/>
          <w:u w:val="single"/>
        </w:rPr>
        <w:t> /</w:t>
      </w:r>
      <w:r>
        <w:rPr>
          <w:rFonts w:hint="eastAsia" w:ascii="宋体" w:hAnsi="宋体"/>
          <w:sz w:val="24"/>
        </w:rPr>
        <w:t>；通信地址：</w:t>
      </w:r>
      <w:r>
        <w:rPr>
          <w:rFonts w:hint="eastAsia" w:ascii="宋体" w:hAnsi="宋体"/>
          <w:sz w:val="24"/>
          <w:u w:val="single"/>
        </w:rPr>
        <w:t> /</w:t>
      </w:r>
      <w:r>
        <w:rPr>
          <w:rFonts w:hint="eastAsia" w:ascii="宋体" w:hAnsi="宋体"/>
          <w:sz w:val="24"/>
        </w:rPr>
        <w:t>；</w:t>
      </w:r>
    </w:p>
    <w:p w14:paraId="3DCCE61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1.1.2.5 设计人：</w:t>
      </w:r>
    </w:p>
    <w:p w14:paraId="5E64DF7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名称：</w:t>
      </w:r>
      <w:r>
        <w:rPr>
          <w:rFonts w:hint="eastAsia" w:ascii="宋体" w:hAnsi="宋体"/>
          <w:sz w:val="24"/>
          <w:u w:val="single"/>
        </w:rPr>
        <w:t xml:space="preserve">                </w:t>
      </w:r>
      <w:r>
        <w:rPr>
          <w:rFonts w:hint="eastAsia" w:ascii="宋体" w:hAnsi="宋体"/>
          <w:sz w:val="24"/>
        </w:rPr>
        <w:t>；</w:t>
      </w:r>
    </w:p>
    <w:p w14:paraId="262069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资质类别和等级：</w:t>
      </w:r>
      <w:r>
        <w:rPr>
          <w:rFonts w:hint="eastAsia" w:ascii="宋体" w:hAnsi="宋体"/>
          <w:sz w:val="24"/>
          <w:u w:val="single"/>
        </w:rPr>
        <w:t>        </w:t>
      </w:r>
      <w:r>
        <w:rPr>
          <w:rFonts w:hint="eastAsia" w:ascii="宋体" w:hAnsi="宋体"/>
          <w:sz w:val="24"/>
        </w:rPr>
        <w:t>；</w:t>
      </w:r>
    </w:p>
    <w:p w14:paraId="698F28C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；电子信箱：</w:t>
      </w:r>
      <w:r>
        <w:rPr>
          <w:rFonts w:hint="eastAsia" w:ascii="宋体" w:hAnsi="宋体"/>
          <w:sz w:val="24"/>
          <w:u w:val="single"/>
        </w:rPr>
        <w:t> /</w:t>
      </w:r>
      <w:r>
        <w:rPr>
          <w:rFonts w:hint="eastAsia" w:ascii="宋体" w:hAnsi="宋体"/>
          <w:sz w:val="24"/>
        </w:rPr>
        <w:t>；通信地址：</w:t>
      </w:r>
      <w:r>
        <w:rPr>
          <w:rFonts w:hint="eastAsia" w:ascii="宋体" w:hAnsi="宋体"/>
          <w:sz w:val="24"/>
          <w:u w:val="single"/>
        </w:rPr>
        <w:t> /</w:t>
      </w:r>
      <w:r>
        <w:rPr>
          <w:rFonts w:hint="eastAsia" w:ascii="宋体" w:hAnsi="宋体"/>
          <w:sz w:val="24"/>
        </w:rPr>
        <w:t>；</w:t>
      </w:r>
    </w:p>
    <w:p w14:paraId="1C6723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1.1.3 工程和设备</w:t>
      </w:r>
    </w:p>
    <w:p w14:paraId="15B3526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1.1.3.7 作为施工现场组成部分的其他场所包括：</w:t>
      </w:r>
      <w:r>
        <w:rPr>
          <w:rFonts w:hint="eastAsia" w:ascii="宋体" w:hAnsi="宋体"/>
          <w:sz w:val="24"/>
          <w:u w:val="single"/>
        </w:rPr>
        <w:t> /</w:t>
      </w:r>
    </w:p>
    <w:p w14:paraId="6483FA8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1.1.3.9 永久占地包括：</w:t>
      </w:r>
      <w:r>
        <w:rPr>
          <w:rFonts w:hint="eastAsia" w:ascii="宋体" w:hAnsi="宋体"/>
          <w:sz w:val="24"/>
          <w:u w:val="single"/>
        </w:rPr>
        <w:t xml:space="preserve"> / </w:t>
      </w:r>
    </w:p>
    <w:p w14:paraId="199F459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1.1.3.10 临时占地包括：</w:t>
      </w:r>
      <w:r>
        <w:rPr>
          <w:rFonts w:hint="eastAsia" w:ascii="宋体" w:hAnsi="宋体"/>
          <w:sz w:val="24"/>
          <w:u w:val="single"/>
        </w:rPr>
        <w:t> /</w:t>
      </w:r>
    </w:p>
    <w:p w14:paraId="5DD23DF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 xml:space="preserve">1.3法律 </w:t>
      </w:r>
    </w:p>
    <w:p w14:paraId="03124E5F">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适用于合同的其他规范性文件：</w:t>
      </w:r>
      <w:r>
        <w:rPr>
          <w:rFonts w:hint="eastAsia" w:ascii="宋体" w:hAnsi="宋体"/>
          <w:sz w:val="24"/>
          <w:u w:val="single"/>
        </w:rPr>
        <w:t xml:space="preserve">  《中华人民共和国合同法》、《中华人民共和国建筑法》、《中华人民共和国招标投标法》、《建设工程质量管理条例》、《建设工程安全生产管理条例》、《合肥市公共资源交易条例》等国家及工程所在地现行有效的法律法规和规章。  </w:t>
      </w:r>
    </w:p>
    <w:p w14:paraId="47C5D80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 标准和规范</w:t>
      </w:r>
    </w:p>
    <w:p w14:paraId="615DFBF8">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1.4.1适用于工程的标准规范包括：</w:t>
      </w:r>
      <w:r>
        <w:rPr>
          <w:rFonts w:hint="eastAsia" w:ascii="宋体" w:hAnsi="宋体"/>
          <w:sz w:val="24"/>
          <w:u w:val="single"/>
        </w:rPr>
        <w:t>执行通用条款。</w:t>
      </w:r>
    </w:p>
    <w:p w14:paraId="62B6B7A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1.4.2 发包人提供国外标准、规范的名称：</w:t>
      </w:r>
      <w:r>
        <w:rPr>
          <w:rFonts w:hint="eastAsia" w:ascii="宋体" w:hAnsi="宋体"/>
          <w:kern w:val="0"/>
          <w:sz w:val="24"/>
          <w:u w:val="single"/>
        </w:rPr>
        <w:t xml:space="preserve">  不采用。   </w:t>
      </w:r>
      <w:r>
        <w:rPr>
          <w:rFonts w:hint="eastAsia" w:ascii="宋体" w:hAnsi="宋体"/>
          <w:kern w:val="0"/>
          <w:sz w:val="24"/>
        </w:rPr>
        <w:t xml:space="preserve"> </w:t>
      </w:r>
    </w:p>
    <w:p w14:paraId="05C50FD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发包人提供国外标准、规范的份数：</w:t>
      </w:r>
      <w:r>
        <w:rPr>
          <w:rFonts w:hint="eastAsia" w:ascii="宋体" w:hAnsi="宋体"/>
          <w:kern w:val="0"/>
          <w:sz w:val="24"/>
          <w:u w:val="single"/>
        </w:rPr>
        <w:t xml:space="preserve">  不采用。  </w:t>
      </w:r>
    </w:p>
    <w:p w14:paraId="546F82A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发包人提供国外标准、规范的名称：</w:t>
      </w:r>
      <w:r>
        <w:rPr>
          <w:rFonts w:hint="eastAsia" w:ascii="宋体" w:hAnsi="宋体"/>
          <w:kern w:val="0"/>
          <w:sz w:val="24"/>
          <w:u w:val="single"/>
        </w:rPr>
        <w:t xml:space="preserve"> 不采用。  </w:t>
      </w:r>
    </w:p>
    <w:p w14:paraId="4F1ABF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1.4.3发包人对工程的技术标准和功能要求的特殊要求：</w:t>
      </w:r>
      <w:r>
        <w:rPr>
          <w:rFonts w:hint="eastAsia" w:ascii="宋体" w:hAnsi="宋体"/>
          <w:sz w:val="24"/>
          <w:u w:val="single"/>
        </w:rPr>
        <w:t> /</w:t>
      </w:r>
    </w:p>
    <w:p w14:paraId="0179EEA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 合同文件的优先顺序</w:t>
      </w:r>
    </w:p>
    <w:p w14:paraId="2326806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合同文件组成及优先顺序为：</w:t>
      </w:r>
      <w:r>
        <w:rPr>
          <w:rFonts w:hint="eastAsia" w:ascii="宋体" w:hAnsi="宋体"/>
          <w:sz w:val="24"/>
          <w:u w:val="single"/>
        </w:rPr>
        <w:t xml:space="preserve">本合同协议书→中标通知书→投标书及其附件→本合同专用条款→本合同通用条款→技术标准和要求→图纸→已标价工程量清单→其他合同文件。 </w:t>
      </w:r>
    </w:p>
    <w:p w14:paraId="7DB8E96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 图纸和承包人文件</w:t>
      </w:r>
    </w:p>
    <w:p w14:paraId="43DB3AA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 图纸的提供</w:t>
      </w:r>
    </w:p>
    <w:p w14:paraId="6D696E1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发包人向承包人提供图纸的期限：</w:t>
      </w:r>
      <w:r>
        <w:rPr>
          <w:rFonts w:hint="eastAsia" w:ascii="宋体" w:hAnsi="宋体"/>
          <w:sz w:val="24"/>
          <w:u w:val="single"/>
        </w:rPr>
        <w:t>执行通用条款。</w:t>
      </w:r>
    </w:p>
    <w:p w14:paraId="48CF196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发包人向承包人提供图纸的数量：</w:t>
      </w:r>
      <w:r>
        <w:rPr>
          <w:rFonts w:hint="eastAsia" w:ascii="宋体" w:hAnsi="宋体"/>
          <w:sz w:val="24"/>
          <w:u w:val="single"/>
        </w:rPr>
        <w:t>提供 五套施工图蓝图（含竣工图两套），不足的由承包人自行复制，费用自理。</w:t>
      </w:r>
    </w:p>
    <w:p w14:paraId="119D4F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发包人向承包人提供图纸的内容：</w:t>
      </w:r>
      <w:r>
        <w:rPr>
          <w:rFonts w:hint="eastAsia" w:ascii="宋体" w:hAnsi="宋体"/>
          <w:sz w:val="24"/>
          <w:u w:val="single"/>
        </w:rPr>
        <w:t> 设计施工图、施工图审查资料、施工图消防专项审查资料、人防施工图审查资料、在本项目投标截止日期之前的所有施工图设计变更资料、岩土工程勘察报告等。</w:t>
      </w:r>
    </w:p>
    <w:p w14:paraId="2C04CB2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1.6.4 承包人文件</w:t>
      </w:r>
    </w:p>
    <w:p w14:paraId="6A4C44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需要由承包人提供的文件，包括：</w:t>
      </w:r>
      <w:r>
        <w:rPr>
          <w:rFonts w:hint="eastAsia" w:ascii="宋体" w:hAnsi="宋体"/>
          <w:sz w:val="24"/>
          <w:u w:val="single"/>
        </w:rPr>
        <w:t>执行通用条款。</w:t>
      </w:r>
    </w:p>
    <w:p w14:paraId="647EAF2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承包人提供的文件的期限为：</w:t>
      </w:r>
      <w:r>
        <w:rPr>
          <w:rFonts w:hint="eastAsia" w:ascii="宋体" w:hAnsi="宋体"/>
          <w:sz w:val="24"/>
          <w:u w:val="single"/>
        </w:rPr>
        <w:t>执行通用条款。</w:t>
      </w:r>
    </w:p>
    <w:p w14:paraId="45C33A4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承包人提供的文件的数量为：</w:t>
      </w:r>
      <w:r>
        <w:rPr>
          <w:rFonts w:hint="eastAsia" w:ascii="宋体" w:hAnsi="宋体"/>
          <w:sz w:val="24"/>
          <w:u w:val="single"/>
        </w:rPr>
        <w:t>执行通用条款。</w:t>
      </w:r>
    </w:p>
    <w:p w14:paraId="785C93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承包人提供的文件的形式为：</w:t>
      </w:r>
      <w:r>
        <w:rPr>
          <w:rFonts w:hint="eastAsia" w:ascii="宋体" w:hAnsi="宋体"/>
          <w:sz w:val="24"/>
          <w:u w:val="single"/>
        </w:rPr>
        <w:t>执行通用条款。</w:t>
      </w:r>
    </w:p>
    <w:p w14:paraId="093B2A1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发包人审批承包人文件的期限：</w:t>
      </w:r>
      <w:r>
        <w:rPr>
          <w:rFonts w:hint="eastAsia" w:ascii="宋体" w:hAnsi="宋体"/>
          <w:sz w:val="24"/>
          <w:u w:val="single"/>
        </w:rPr>
        <w:t>执行通用条款。</w:t>
      </w:r>
    </w:p>
    <w:p w14:paraId="414CB18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1.6.5 现场图纸准备</w:t>
      </w:r>
    </w:p>
    <w:p w14:paraId="1B2BE4D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关于现场图纸准备的约定：</w:t>
      </w:r>
      <w:r>
        <w:rPr>
          <w:rFonts w:hint="eastAsia" w:ascii="宋体" w:hAnsi="宋体"/>
          <w:sz w:val="24"/>
          <w:u w:val="single"/>
        </w:rPr>
        <w:t>执行通用条款。</w:t>
      </w:r>
    </w:p>
    <w:p w14:paraId="7DD6C3C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 联络</w:t>
      </w:r>
    </w:p>
    <w:p w14:paraId="79C672A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1.7.1发包人和承包人应当在</w:t>
      </w:r>
      <w:r>
        <w:rPr>
          <w:rFonts w:hint="eastAsia" w:ascii="宋体" w:hAnsi="宋体"/>
          <w:sz w:val="24"/>
          <w:u w:val="single"/>
        </w:rPr>
        <w:t xml:space="preserve"> 7  </w:t>
      </w:r>
      <w:r>
        <w:rPr>
          <w:rFonts w:hint="eastAsia" w:ascii="宋体" w:hAnsi="宋体"/>
          <w:kern w:val="0"/>
          <w:sz w:val="24"/>
        </w:rPr>
        <w:t>天内将与合同有关的通知、批准、证明、证书、指示、指令、要求、请求、同意、意见、确定和决定等书面函件送达对方当事人。</w:t>
      </w:r>
    </w:p>
    <w:p w14:paraId="46939BA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1.7.2 发包人接收文件的地点、发包人指定的接收人为、承包人接收文件的地点、</w:t>
      </w:r>
    </w:p>
    <w:p w14:paraId="22672209">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承包人指定的接收人为、监理人接收文件的地点、监理人指定的接收人为：</w:t>
      </w:r>
      <w:r>
        <w:rPr>
          <w:rFonts w:hint="eastAsia" w:ascii="宋体" w:hAnsi="宋体"/>
          <w:sz w:val="24"/>
          <w:u w:val="single"/>
        </w:rPr>
        <w:t>履行约定。</w:t>
      </w:r>
    </w:p>
    <w:p w14:paraId="4E2D687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1.10 交通运输</w:t>
      </w:r>
    </w:p>
    <w:p w14:paraId="585DE25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Start w:id="72" w:name="_Toc312677986"/>
      <w:bookmarkStart w:id="73" w:name="_Toc318581155"/>
      <w:bookmarkStart w:id="74" w:name="_Toc303539100"/>
      <w:bookmarkStart w:id="75" w:name="_Toc304295521"/>
      <w:bookmarkStart w:id="76" w:name="_Toc300934943"/>
      <w:r>
        <w:rPr>
          <w:rFonts w:hint="eastAsia" w:ascii="宋体" w:hAnsi="宋体"/>
          <w:sz w:val="24"/>
        </w:rPr>
        <w:t>.10.1 出入现场的权利</w:t>
      </w:r>
    </w:p>
    <w:p w14:paraId="1D4F730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关于出入现场的权利的约定：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w:t>
      </w:r>
      <w:r>
        <w:rPr>
          <w:rFonts w:hint="eastAsia" w:ascii="宋体" w:hAnsi="宋体"/>
          <w:sz w:val="24"/>
        </w:rPr>
        <w:t>。</w:t>
      </w:r>
    </w:p>
    <w:bookmarkEnd w:id="72"/>
    <w:bookmarkEnd w:id="73"/>
    <w:bookmarkEnd w:id="74"/>
    <w:bookmarkEnd w:id="75"/>
    <w:bookmarkEnd w:id="76"/>
    <w:p w14:paraId="3C1F4DD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Start w:id="77" w:name="_Toc300934944"/>
      <w:bookmarkStart w:id="78" w:name="_Toc312677987"/>
      <w:bookmarkStart w:id="79" w:name="_Toc318581156"/>
      <w:bookmarkStart w:id="80" w:name="_Toc303539101"/>
      <w:bookmarkStart w:id="81" w:name="_Toc304295522"/>
      <w:r>
        <w:rPr>
          <w:rFonts w:hint="eastAsia" w:ascii="宋体" w:hAnsi="宋体"/>
          <w:sz w:val="24"/>
        </w:rPr>
        <w:t>.10.3 场内交通</w:t>
      </w:r>
    </w:p>
    <w:p w14:paraId="4141614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关于场外交通和场内交通的边界的约定：</w:t>
      </w:r>
      <w:r>
        <w:rPr>
          <w:rFonts w:hint="eastAsia" w:ascii="宋体" w:hAnsi="宋体"/>
          <w:sz w:val="24"/>
          <w:u w:val="single"/>
        </w:rPr>
        <w:t xml:space="preserve"> </w:t>
      </w:r>
      <w:r>
        <w:rPr>
          <w:rFonts w:hint="eastAsia" w:ascii="宋体" w:hAnsi="宋体"/>
          <w:kern w:val="0"/>
          <w:sz w:val="24"/>
          <w:u w:val="single"/>
        </w:rPr>
        <w:t xml:space="preserve">以本项目用地红线作为场内外交通边界线。   </w:t>
      </w:r>
    </w:p>
    <w:p w14:paraId="33D185E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关于发包人向承包人免费提供满足工程施工需要的场内道路和交通设施的约定：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bookmarkEnd w:id="77"/>
      <w:bookmarkEnd w:id="78"/>
      <w:bookmarkEnd w:id="79"/>
      <w:bookmarkEnd w:id="80"/>
      <w:bookmarkEnd w:id="81"/>
      <w:bookmarkStart w:id="82" w:name="_Toc318581157"/>
    </w:p>
    <w:p w14:paraId="57A687A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1.10.4超大件和超重件的运输运输超大件或超重件所需的道路和桥梁临时加固改造费用和其他有关费用由</w:t>
      </w:r>
      <w:r>
        <w:rPr>
          <w:rFonts w:hint="eastAsia" w:ascii="宋体" w:hAnsi="宋体"/>
          <w:sz w:val="24"/>
          <w:u w:val="single"/>
        </w:rPr>
        <w:t xml:space="preserve">  /</w:t>
      </w:r>
      <w:r>
        <w:rPr>
          <w:rFonts w:hint="eastAsia" w:ascii="宋体" w:hAnsi="宋体"/>
          <w:sz w:val="24"/>
        </w:rPr>
        <w:t>承担。</w:t>
      </w:r>
    </w:p>
    <w:bookmarkEnd w:id="82"/>
    <w:p w14:paraId="3634E8F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1.11 知识产权</w:t>
      </w:r>
    </w:p>
    <w:p w14:paraId="04DBFE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sz w:val="24"/>
          <w:u w:val="single"/>
        </w:rPr>
        <w:t xml:space="preserve">发包人。 </w:t>
      </w:r>
    </w:p>
    <w:p w14:paraId="516F60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关于发包人提供的上述文件的使用限制的要求：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4D4FEDBF">
      <w:pPr>
        <w:pStyle w:val="77"/>
        <w:tabs>
          <w:tab w:val="left" w:pos="360"/>
        </w:tabs>
        <w:adjustRightInd w:val="0"/>
        <w:snapToGrid w:val="0"/>
        <w:spacing w:line="360" w:lineRule="auto"/>
        <w:ind w:right="178" w:rightChars="85"/>
        <w:rPr>
          <w:rFonts w:hint="eastAsia" w:ascii="宋体" w:hAnsi="宋体"/>
          <w:sz w:val="24"/>
        </w:rPr>
      </w:pPr>
      <w:r>
        <w:rPr>
          <w:rFonts w:hint="eastAsia" w:ascii="宋体" w:hAnsi="宋体"/>
          <w:sz w:val="24"/>
        </w:rPr>
        <w:t>1.11.2 关于承包人为实施工程所编制文件的著作权的归属：</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3C819C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关于承包人提供的上述文件的使用限制的要求：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6D05ACA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1.11.4 承包人在施工过程中所采用的专利、专有技术、技术秘密的使用费的承担方式：</w:t>
      </w:r>
      <w:r>
        <w:rPr>
          <w:rFonts w:hint="eastAsia" w:ascii="宋体" w:hAnsi="宋体"/>
          <w:kern w:val="0"/>
          <w:sz w:val="24"/>
          <w:u w:val="single"/>
        </w:rPr>
        <w:t>执行通用条款。</w:t>
      </w:r>
      <w:r>
        <w:rPr>
          <w:rFonts w:hint="eastAsia" w:ascii="宋体" w:hAnsi="宋体"/>
          <w:sz w:val="24"/>
          <w:u w:val="single"/>
        </w:rPr>
        <w:t xml:space="preserve"> </w:t>
      </w:r>
    </w:p>
    <w:p w14:paraId="339C356C">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1.13工程量清单错误的修正</w:t>
      </w:r>
    </w:p>
    <w:p w14:paraId="53B1693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出现工程量清单错误时，是否调整合同价格：</w:t>
      </w:r>
      <w:r>
        <w:rPr>
          <w:rFonts w:hint="eastAsia" w:ascii="宋体" w:hAnsi="宋体"/>
          <w:sz w:val="24"/>
          <w:u w:val="single"/>
        </w:rPr>
        <w:t xml:space="preserve">  不采用通用条款，按下列规定办理：</w:t>
      </w:r>
      <w:r>
        <w:rPr>
          <w:rFonts w:hint="eastAsia" w:ascii="宋体" w:hAnsi="宋体" w:cs="Courier New"/>
          <w:sz w:val="24"/>
          <w:u w:val="single"/>
        </w:rPr>
        <w:t xml:space="preserve">除本补充条款另有规定外，工程总造价在招标范围内一次性包死。  </w:t>
      </w:r>
    </w:p>
    <w:p w14:paraId="1C638AA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允许调整合同价格的工程量偏差范围：</w:t>
      </w:r>
      <w:r>
        <w:rPr>
          <w:rFonts w:hint="eastAsia" w:ascii="宋体" w:hAnsi="宋体"/>
          <w:sz w:val="24"/>
          <w:u w:val="single"/>
        </w:rPr>
        <w:t> /</w:t>
      </w:r>
    </w:p>
    <w:p w14:paraId="07713152">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2. 发包人</w:t>
      </w:r>
    </w:p>
    <w:p w14:paraId="6188345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2.2 发包人代表</w:t>
      </w:r>
    </w:p>
    <w:p w14:paraId="4286D03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发包人代表：</w:t>
      </w:r>
    </w:p>
    <w:p w14:paraId="4C73F33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 xml:space="preserve">； </w:t>
      </w:r>
    </w:p>
    <w:p w14:paraId="07CAA96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发包人对发包人代表的授权范围如下：</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p>
    <w:p w14:paraId="56C2C80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2.4 施工现场、施工条件和基础资料的提供</w:t>
      </w:r>
    </w:p>
    <w:p w14:paraId="6426F5D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2.4.1 提供施工现场</w:t>
      </w:r>
    </w:p>
    <w:p w14:paraId="685B29C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关于发包人移交施工现场的期限要求：</w:t>
      </w:r>
      <w:r>
        <w:rPr>
          <w:rFonts w:hint="eastAsia" w:ascii="宋体" w:hAnsi="宋体"/>
          <w:sz w:val="24"/>
          <w:u w:val="single"/>
        </w:rPr>
        <w:t>开工日期7天前（</w:t>
      </w:r>
      <w:r>
        <w:rPr>
          <w:rFonts w:hint="eastAsia" w:ascii="宋体" w:hAnsi="宋体"/>
          <w:kern w:val="0"/>
          <w:sz w:val="24"/>
          <w:u w:val="single"/>
        </w:rPr>
        <w:t>执行通用条款）。</w:t>
      </w:r>
      <w:r>
        <w:rPr>
          <w:rFonts w:hint="eastAsia" w:ascii="宋体" w:hAnsi="宋体"/>
          <w:sz w:val="24"/>
          <w:u w:val="single"/>
        </w:rPr>
        <w:t xml:space="preserve"> </w:t>
      </w:r>
    </w:p>
    <w:p w14:paraId="41C6544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2.4.2 提供施工条件</w:t>
      </w:r>
    </w:p>
    <w:p w14:paraId="600A4160">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关于发包人应负责提供施工所需要的条件，包括：</w:t>
      </w:r>
      <w:r>
        <w:rPr>
          <w:rFonts w:hint="eastAsia" w:ascii="宋体" w:hAnsi="宋体"/>
          <w:sz w:val="24"/>
          <w:u w:val="single"/>
        </w:rPr>
        <w:t xml:space="preserve">  执行通用条款。  </w:t>
      </w:r>
    </w:p>
    <w:p w14:paraId="70B9015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2.5 资金来源证明及支付担保</w:t>
      </w:r>
    </w:p>
    <w:p w14:paraId="29BCAA8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发包人提供资金来源证明的期限要求：</w:t>
      </w:r>
      <w:r>
        <w:rPr>
          <w:rFonts w:hint="eastAsia" w:ascii="宋体" w:hAnsi="宋体"/>
          <w:sz w:val="24"/>
          <w:u w:val="single"/>
        </w:rPr>
        <w:t xml:space="preserve">不采用。   </w:t>
      </w:r>
    </w:p>
    <w:p w14:paraId="4FFCC0E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发包人是否提供支付担保：</w:t>
      </w:r>
      <w:r>
        <w:rPr>
          <w:rFonts w:hint="eastAsia" w:ascii="宋体" w:hAnsi="宋体"/>
          <w:sz w:val="24"/>
          <w:u w:val="single"/>
        </w:rPr>
        <w:t xml:space="preserve">不采用。   </w:t>
      </w:r>
    </w:p>
    <w:p w14:paraId="1B8A267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发包人提供支付担保的形式：</w:t>
      </w:r>
      <w:r>
        <w:rPr>
          <w:rFonts w:hint="eastAsia" w:ascii="宋体" w:hAnsi="宋体"/>
          <w:sz w:val="24"/>
          <w:u w:val="single"/>
        </w:rPr>
        <w:t xml:space="preserve">不采用。   </w:t>
      </w:r>
    </w:p>
    <w:p w14:paraId="7B07A63D">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83" w:name="_Toc351203635"/>
      <w:r>
        <w:rPr>
          <w:rFonts w:hint="eastAsia" w:ascii="宋体" w:hAnsi="宋体"/>
          <w:kern w:val="0"/>
          <w:sz w:val="24"/>
        </w:rPr>
        <w:t>3</w:t>
      </w:r>
      <w:bookmarkStart w:id="84" w:name="_Toc292559363"/>
      <w:bookmarkStart w:id="85" w:name="_Toc296891198"/>
      <w:bookmarkStart w:id="86" w:name="_Toc296346659"/>
      <w:bookmarkStart w:id="87" w:name="_Toc297048344"/>
      <w:bookmarkStart w:id="88" w:name="_Toc296347157"/>
      <w:bookmarkStart w:id="89" w:name="_Toc296503158"/>
      <w:bookmarkStart w:id="90" w:name="_Toc296890986"/>
      <w:bookmarkStart w:id="91" w:name="_Toc296944497"/>
      <w:bookmarkStart w:id="92" w:name="_Toc297120458"/>
      <w:bookmarkStart w:id="93" w:name="_Toc292559868"/>
      <w:r>
        <w:rPr>
          <w:rFonts w:hint="eastAsia" w:ascii="宋体" w:hAnsi="宋体"/>
          <w:kern w:val="0"/>
          <w:sz w:val="24"/>
        </w:rPr>
        <w:t>. 承包人</w:t>
      </w:r>
      <w:bookmarkEnd w:id="83"/>
    </w:p>
    <w:bookmarkEnd w:id="84"/>
    <w:bookmarkEnd w:id="85"/>
    <w:bookmarkEnd w:id="86"/>
    <w:bookmarkEnd w:id="87"/>
    <w:bookmarkEnd w:id="88"/>
    <w:bookmarkEnd w:id="89"/>
    <w:bookmarkEnd w:id="90"/>
    <w:bookmarkEnd w:id="91"/>
    <w:bookmarkEnd w:id="92"/>
    <w:bookmarkEnd w:id="93"/>
    <w:p w14:paraId="1C357C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3.1 承包人的一般义务</w:t>
      </w:r>
    </w:p>
    <w:p w14:paraId="3F007D8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（5）</w:t>
      </w:r>
      <w:r>
        <w:rPr>
          <w:rFonts w:hint="eastAsia" w:ascii="宋体" w:hAnsi="宋体"/>
          <w:sz w:val="24"/>
        </w:rPr>
        <w:t>承包人提交的竣工资料的内容：</w:t>
      </w:r>
      <w:r>
        <w:rPr>
          <w:rFonts w:hint="eastAsia" w:ascii="宋体" w:hAnsi="宋体"/>
          <w:sz w:val="24"/>
          <w:u w:val="single"/>
        </w:rPr>
        <w:t xml:space="preserve">   承包人提供全套竣工图，所有竣工图应为新晒蓝图。  </w:t>
      </w:r>
    </w:p>
    <w:p w14:paraId="0018595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承包人需要提交的竣工资料套数：</w:t>
      </w:r>
      <w:r>
        <w:rPr>
          <w:rFonts w:hint="eastAsia" w:ascii="宋体" w:hAnsi="宋体"/>
          <w:sz w:val="24"/>
          <w:u w:val="single"/>
        </w:rPr>
        <w:t xml:space="preserve">    两套。  </w:t>
      </w:r>
    </w:p>
    <w:p w14:paraId="1EECA8A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承包人提交的竣工资料的费用承担：</w:t>
      </w:r>
      <w:r>
        <w:rPr>
          <w:rFonts w:hint="eastAsia" w:ascii="宋体" w:hAnsi="宋体"/>
          <w:sz w:val="24"/>
          <w:u w:val="single"/>
        </w:rPr>
        <w:t xml:space="preserve">  此项费用由承包人承担。   </w:t>
      </w:r>
    </w:p>
    <w:p w14:paraId="60BDC51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承包人提交的竣工资料移交时间：</w:t>
      </w:r>
      <w:r>
        <w:rPr>
          <w:rFonts w:hint="eastAsia" w:ascii="宋体" w:hAnsi="宋体"/>
          <w:sz w:val="24"/>
          <w:u w:val="single"/>
        </w:rPr>
        <w:t xml:space="preserve">  单位工程办理竣工初验之前两周内。   </w:t>
      </w:r>
    </w:p>
    <w:p w14:paraId="1360091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承包人提交的竣工资料形式要求：</w:t>
      </w:r>
      <w:r>
        <w:rPr>
          <w:rFonts w:hint="eastAsia" w:ascii="宋体" w:hAnsi="宋体"/>
          <w:sz w:val="24"/>
          <w:u w:val="single"/>
        </w:rPr>
        <w:t xml:space="preserve">  纸介版及其电子版。   </w:t>
      </w:r>
    </w:p>
    <w:p w14:paraId="682A77A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（6）承包人应履行的其他义务：</w:t>
      </w:r>
      <w:r>
        <w:rPr>
          <w:rFonts w:hint="eastAsia" w:ascii="宋体" w:hAnsi="宋体"/>
          <w:sz w:val="24"/>
          <w:u w:val="single"/>
        </w:rPr>
        <w:t xml:space="preserve"> 每月25日提交本月工程报表和下月工程计划表，（报表和计划表应包括质量、进度、安全、投资、材料计划等内容，反映存在的问题和应对措施；一式叁份提交发包人)。  </w:t>
      </w:r>
    </w:p>
    <w:p w14:paraId="43483A4C">
      <w:pPr>
        <w:pStyle w:val="77"/>
        <w:tabs>
          <w:tab w:val="left" w:pos="360"/>
        </w:tabs>
        <w:adjustRightInd w:val="0"/>
        <w:snapToGrid w:val="0"/>
        <w:spacing w:line="360" w:lineRule="auto"/>
        <w:ind w:right="178" w:rightChars="85" w:firstLine="480" w:firstLineChars="200"/>
        <w:rPr>
          <w:rFonts w:hint="eastAsia" w:ascii="宋体" w:hAnsi="宋体"/>
          <w:bCs/>
          <w:sz w:val="24"/>
          <w:u w:val="single"/>
        </w:rPr>
      </w:pPr>
      <w:r>
        <w:rPr>
          <w:rFonts w:hint="eastAsia" w:ascii="宋体" w:hAnsi="宋体"/>
          <w:sz w:val="24"/>
        </w:rPr>
        <w:t>承包人向发包人提供办公和生活房屋及设施的要求：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Cs/>
          <w:sz w:val="24"/>
          <w:u w:val="single"/>
        </w:rPr>
        <w:t xml:space="preserve">。 </w:t>
      </w:r>
    </w:p>
    <w:p w14:paraId="5B5E5C7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施工现场清洁卫生的要求：</w:t>
      </w:r>
      <w:r>
        <w:rPr>
          <w:rFonts w:hint="eastAsia" w:ascii="宋体" w:hAnsi="宋体"/>
          <w:sz w:val="24"/>
          <w:u w:val="single"/>
          <w:lang w:val="en-US" w:eastAsia="zh-CN"/>
        </w:rPr>
        <w:t xml:space="preserve">                </w:t>
      </w:r>
      <w:r>
        <w:rPr>
          <w:rFonts w:hint="eastAsia" w:ascii="宋体" w:hAnsi="宋体"/>
          <w:sz w:val="24"/>
          <w:u w:val="single"/>
        </w:rPr>
        <w:t xml:space="preserve">。  </w:t>
      </w:r>
    </w:p>
    <w:p w14:paraId="273F25E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3.2 项目经理</w:t>
      </w:r>
    </w:p>
    <w:p w14:paraId="29B18B6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kern w:val="0"/>
          <w:sz w:val="24"/>
        </w:rPr>
        <w:t xml:space="preserve">3.2.1 </w:t>
      </w:r>
      <w:r>
        <w:rPr>
          <w:rFonts w:hint="eastAsia" w:ascii="宋体" w:hAnsi="宋体"/>
          <w:sz w:val="24"/>
        </w:rPr>
        <w:t>项目经理：</w:t>
      </w:r>
    </w:p>
    <w:p w14:paraId="22A07CF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w:t>
      </w:r>
    </w:p>
    <w:p w14:paraId="7B30156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身份证号：</w:t>
      </w:r>
      <w:r>
        <w:rPr>
          <w:rFonts w:hint="eastAsia" w:ascii="宋体" w:hAnsi="宋体"/>
          <w:sz w:val="24"/>
          <w:u w:val="single"/>
        </w:rPr>
        <w:t>    </w:t>
      </w:r>
      <w:r>
        <w:rPr>
          <w:rFonts w:hint="eastAsia" w:ascii="宋体" w:hAnsi="宋体"/>
          <w:sz w:val="24"/>
        </w:rPr>
        <w:t>；</w:t>
      </w:r>
    </w:p>
    <w:p w14:paraId="2E05D9E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建造师执业资格等级：</w:t>
      </w:r>
      <w:r>
        <w:rPr>
          <w:rFonts w:hint="eastAsia" w:ascii="宋体" w:hAnsi="宋体"/>
          <w:sz w:val="24"/>
          <w:u w:val="single"/>
        </w:rPr>
        <w:t> </w:t>
      </w:r>
      <w:r>
        <w:rPr>
          <w:rFonts w:hint="eastAsia" w:ascii="宋体" w:hAnsi="宋体"/>
          <w:sz w:val="24"/>
        </w:rPr>
        <w:t>；</w:t>
      </w:r>
    </w:p>
    <w:p w14:paraId="29E98F2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建造师注册证书号：</w:t>
      </w:r>
      <w:r>
        <w:rPr>
          <w:rFonts w:hint="eastAsia" w:ascii="宋体" w:hAnsi="宋体"/>
          <w:sz w:val="24"/>
          <w:u w:val="single"/>
        </w:rPr>
        <w:t>  </w:t>
      </w:r>
      <w:r>
        <w:rPr>
          <w:rFonts w:hint="eastAsia" w:ascii="宋体" w:hAnsi="宋体"/>
          <w:sz w:val="24"/>
        </w:rPr>
        <w:t xml:space="preserve">； </w:t>
      </w:r>
    </w:p>
    <w:p w14:paraId="50E446F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承包人对项目经理的授权范围如下：</w:t>
      </w:r>
      <w:r>
        <w:rPr>
          <w:rFonts w:hint="eastAsia" w:ascii="宋体" w:hAnsi="宋体"/>
          <w:sz w:val="24"/>
          <w:u w:val="single"/>
        </w:rPr>
        <w:t xml:space="preserve">   详见承包人对本工程项目经理授权委托书。   </w:t>
      </w:r>
    </w:p>
    <w:p w14:paraId="485DFC4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关于项目经理每月在施工现场的时间要求：</w:t>
      </w:r>
      <w:r>
        <w:rPr>
          <w:rFonts w:hint="eastAsia" w:ascii="宋体" w:hAnsi="宋体"/>
          <w:sz w:val="24"/>
          <w:u w:val="single"/>
        </w:rPr>
        <w:t xml:space="preserve">   驻场时间每月不少于 25天，每天在岗工作时间不得少于8小时。 </w:t>
      </w:r>
    </w:p>
    <w:p w14:paraId="64DF755B">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承包人未提交劳动合同，以及没有为项目经理缴纳社会保险证明的违约责任：</w:t>
      </w:r>
      <w:r>
        <w:rPr>
          <w:rFonts w:hint="eastAsia" w:ascii="宋体" w:hAnsi="宋体"/>
          <w:kern w:val="0"/>
          <w:sz w:val="24"/>
          <w:u w:val="single"/>
        </w:rPr>
        <w:t xml:space="preserve">   </w:t>
      </w:r>
      <w:r>
        <w:rPr>
          <w:rFonts w:hint="eastAsia" w:ascii="宋体" w:hAnsi="宋体"/>
          <w:sz w:val="24"/>
          <w:u w:val="single"/>
        </w:rPr>
        <w:t xml:space="preserve">执行行业管理有关处罚规定。   </w:t>
      </w:r>
    </w:p>
    <w:p w14:paraId="555E1AC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项目经理未经批准，擅自离开施工现场的违约责任：</w:t>
      </w:r>
      <w:r>
        <w:rPr>
          <w:rFonts w:hint="eastAsia" w:ascii="宋体" w:hAnsi="宋体"/>
          <w:sz w:val="24"/>
          <w:u w:val="single"/>
        </w:rPr>
        <w:t xml:space="preserve">   责令改正，并承包人须支付发包人每天￥0.5万元/人次违约金。    </w:t>
      </w:r>
    </w:p>
    <w:p w14:paraId="48FAD67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3.2.3 承包人擅自更换项目经理的违约责任：</w:t>
      </w:r>
      <w:r>
        <w:rPr>
          <w:rFonts w:hint="eastAsia" w:ascii="宋体" w:hAnsi="宋体"/>
          <w:sz w:val="24"/>
          <w:u w:val="single"/>
        </w:rPr>
        <w:t xml:space="preserve">   承包人须支付发包人￥</w:t>
      </w:r>
      <w:r>
        <w:rPr>
          <w:rFonts w:hint="eastAsia" w:ascii="宋体" w:hAnsi="宋体"/>
          <w:sz w:val="24"/>
          <w:u w:val="single"/>
          <w:lang w:val="en-US" w:eastAsia="zh-CN"/>
        </w:rPr>
        <w:t>1</w:t>
      </w:r>
      <w:r>
        <w:rPr>
          <w:rFonts w:hint="eastAsia" w:ascii="宋体" w:hAnsi="宋体"/>
          <w:sz w:val="24"/>
          <w:u w:val="single"/>
        </w:rPr>
        <w:t xml:space="preserve">.00万元违约金，并且更换后的项目经理资历、业务水平不得降低。   </w:t>
      </w:r>
    </w:p>
    <w:p w14:paraId="2901426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3.2.4 承包人无正当理由拒绝更换项目经理的违约责任：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1</w:t>
      </w:r>
      <w:r>
        <w:rPr>
          <w:rFonts w:hint="eastAsia" w:ascii="宋体" w:hAnsi="宋体"/>
          <w:sz w:val="24"/>
          <w:u w:val="single"/>
        </w:rPr>
        <w:t xml:space="preserve">.00万元违约金。   </w:t>
      </w:r>
    </w:p>
    <w:p w14:paraId="5FB356D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3.3 承包人人员</w:t>
      </w:r>
    </w:p>
    <w:p w14:paraId="664587B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3.3.1 承包人提交项目管理机构及施工现场管理人员名单的期限：</w:t>
      </w:r>
      <w:r>
        <w:rPr>
          <w:rFonts w:hint="eastAsia" w:ascii="宋体" w:hAnsi="宋体"/>
          <w:sz w:val="24"/>
          <w:u w:val="single"/>
        </w:rPr>
        <w:t xml:space="preserve">  执行通用条款。 </w:t>
      </w:r>
    </w:p>
    <w:p w14:paraId="541AF1D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3.3.3 承包人无正当理由拒绝撤换主要施工管理人员的违约责任：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0</w:t>
      </w:r>
      <w:r>
        <w:rPr>
          <w:rFonts w:hint="eastAsia" w:ascii="宋体" w:hAnsi="宋体"/>
          <w:sz w:val="24"/>
          <w:u w:val="single"/>
        </w:rPr>
        <w:t>.</w:t>
      </w:r>
      <w:r>
        <w:rPr>
          <w:rFonts w:hint="eastAsia" w:ascii="宋体" w:hAnsi="宋体"/>
          <w:sz w:val="24"/>
          <w:u w:val="single"/>
          <w:lang w:val="en-US" w:eastAsia="zh-CN"/>
        </w:rPr>
        <w:t>5</w:t>
      </w:r>
      <w:r>
        <w:rPr>
          <w:rFonts w:hint="eastAsia" w:ascii="宋体" w:hAnsi="宋体"/>
          <w:sz w:val="24"/>
          <w:u w:val="single"/>
        </w:rPr>
        <w:t xml:space="preserve">0万元/人次违约金。   </w:t>
      </w:r>
    </w:p>
    <w:p w14:paraId="64711B0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3.3.4 承包人主要施工管理人员离开施工现场的批准要求：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036BB15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3.3.5承包人擅自更换主要施工管理人员的违约责任：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0</w:t>
      </w:r>
      <w:r>
        <w:rPr>
          <w:rFonts w:hint="eastAsia" w:ascii="宋体" w:hAnsi="宋体"/>
          <w:sz w:val="24"/>
          <w:u w:val="single"/>
        </w:rPr>
        <w:t>.</w:t>
      </w:r>
      <w:r>
        <w:rPr>
          <w:rFonts w:hint="eastAsia" w:ascii="宋体" w:hAnsi="宋体"/>
          <w:sz w:val="24"/>
          <w:u w:val="single"/>
          <w:lang w:val="en-US" w:eastAsia="zh-CN"/>
        </w:rPr>
        <w:t>5</w:t>
      </w:r>
      <w:r>
        <w:rPr>
          <w:rFonts w:hint="eastAsia" w:ascii="宋体" w:hAnsi="宋体"/>
          <w:sz w:val="24"/>
          <w:u w:val="single"/>
        </w:rPr>
        <w:t xml:space="preserve">0万元/人次违约金。   </w:t>
      </w:r>
    </w:p>
    <w:p w14:paraId="587AB32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承包人主要施工管理人员擅自离开施工现场的违约责任：</w:t>
      </w:r>
      <w:r>
        <w:rPr>
          <w:rFonts w:hint="eastAsia" w:ascii="宋体" w:hAnsi="宋体"/>
          <w:sz w:val="24"/>
          <w:u w:val="single"/>
        </w:rPr>
        <w:t xml:space="preserve">   责令改正，并承包人须支付发包人每天￥0.20万元/人次违约金。  </w:t>
      </w:r>
    </w:p>
    <w:p w14:paraId="6FFD4E6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w:t>
      </w:r>
      <w:bookmarkStart w:id="94" w:name="_Toc296346660"/>
      <w:bookmarkStart w:id="95" w:name="_Toc296944498"/>
      <w:bookmarkStart w:id="96" w:name="_Toc297216151"/>
      <w:bookmarkStart w:id="97" w:name="_Toc312677988"/>
      <w:bookmarkStart w:id="98" w:name="_Toc297120459"/>
      <w:bookmarkStart w:id="99" w:name="_Toc297123492"/>
      <w:bookmarkStart w:id="100" w:name="_Toc297048345"/>
      <w:bookmarkStart w:id="101" w:name="_Toc300934945"/>
      <w:bookmarkStart w:id="102" w:name="_Toc303539102"/>
      <w:bookmarkStart w:id="103" w:name="_Toc304295523"/>
      <w:bookmarkStart w:id="104" w:name="_Toc296891199"/>
      <w:bookmarkStart w:id="105" w:name="_Toc296890987"/>
      <w:bookmarkStart w:id="106" w:name="_Toc296347158"/>
      <w:bookmarkStart w:id="107" w:name="_Toc292559869"/>
      <w:bookmarkStart w:id="108" w:name="_Toc296503159"/>
      <w:bookmarkStart w:id="109" w:name="_Toc292559364"/>
      <w:r>
        <w:rPr>
          <w:rFonts w:hint="eastAsia" w:ascii="宋体" w:hAnsi="宋体"/>
          <w:sz w:val="24"/>
        </w:rPr>
        <w:t>.5 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0FCBA86D">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3.5.1 分包的一般约定</w:t>
      </w:r>
    </w:p>
    <w:p w14:paraId="6093DF5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禁止分包的工程包括：</w:t>
      </w:r>
      <w:r>
        <w:rPr>
          <w:rFonts w:hint="eastAsia" w:ascii="宋体" w:hAnsi="宋体"/>
          <w:sz w:val="24"/>
          <w:u w:val="single"/>
        </w:rPr>
        <w:t xml:space="preserve">执行通用条款。    </w:t>
      </w:r>
    </w:p>
    <w:p w14:paraId="3CC2060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主体结构、关键性工作的范围：</w:t>
      </w:r>
      <w:r>
        <w:rPr>
          <w:rFonts w:hint="eastAsia" w:ascii="宋体" w:hAnsi="宋体"/>
          <w:sz w:val="24"/>
          <w:u w:val="single"/>
        </w:rPr>
        <w:t xml:space="preserve"> 执行通用条款。   </w:t>
      </w:r>
      <w:bookmarkStart w:id="110" w:name="_Toc297120461"/>
      <w:bookmarkStart w:id="111" w:name="_Toc296347160"/>
      <w:bookmarkStart w:id="112" w:name="_Toc296503161"/>
      <w:bookmarkStart w:id="113" w:name="_Toc300934947"/>
      <w:bookmarkStart w:id="114" w:name="_Toc303539104"/>
      <w:bookmarkStart w:id="115" w:name="_Toc296346662"/>
      <w:bookmarkStart w:id="116" w:name="_Toc297216153"/>
      <w:bookmarkStart w:id="117" w:name="_Toc297048347"/>
      <w:bookmarkStart w:id="118" w:name="_Toc297123494"/>
      <w:bookmarkStart w:id="119" w:name="_Toc304295525"/>
      <w:bookmarkStart w:id="120" w:name="_Toc296891201"/>
      <w:bookmarkStart w:id="121" w:name="_Toc296944500"/>
      <w:bookmarkStart w:id="122" w:name="_Toc296890989"/>
    </w:p>
    <w:bookmarkEnd w:id="110"/>
    <w:bookmarkEnd w:id="111"/>
    <w:bookmarkEnd w:id="112"/>
    <w:bookmarkEnd w:id="113"/>
    <w:bookmarkEnd w:id="114"/>
    <w:bookmarkEnd w:id="115"/>
    <w:bookmarkEnd w:id="116"/>
    <w:bookmarkEnd w:id="117"/>
    <w:bookmarkEnd w:id="118"/>
    <w:bookmarkEnd w:id="119"/>
    <w:bookmarkEnd w:id="120"/>
    <w:bookmarkEnd w:id="121"/>
    <w:bookmarkEnd w:id="122"/>
    <w:p w14:paraId="6506BAC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 xml:space="preserve">    3</w:t>
      </w:r>
      <w:bookmarkStart w:id="123" w:name="_Toc312677990"/>
      <w:bookmarkStart w:id="124" w:name="_Toc318581159"/>
      <w:r>
        <w:rPr>
          <w:rFonts w:hint="eastAsia" w:ascii="宋体" w:hAnsi="宋体"/>
          <w:sz w:val="24"/>
        </w:rPr>
        <w:t>.5.2分包的确定</w:t>
      </w:r>
    </w:p>
    <w:p w14:paraId="08149F2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允许分包的专业工程包括：</w:t>
      </w:r>
      <w:r>
        <w:rPr>
          <w:rFonts w:hint="eastAsia" w:ascii="宋体" w:hAnsi="宋体"/>
          <w:sz w:val="24"/>
          <w:u w:val="single"/>
        </w:rPr>
        <w:t xml:space="preserve">执行通用条款，并且按照投标文件有关承诺确定。   </w:t>
      </w:r>
    </w:p>
    <w:p w14:paraId="2562580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其他关于分包的约定：</w:t>
      </w:r>
      <w:r>
        <w:rPr>
          <w:rFonts w:hint="eastAsia" w:ascii="宋体" w:hAnsi="宋体"/>
          <w:sz w:val="24"/>
          <w:u w:val="single"/>
        </w:rPr>
        <w:t xml:space="preserve">  / </w:t>
      </w:r>
    </w:p>
    <w:p w14:paraId="58B96F1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3.5.4 分包合同价款</w:t>
      </w:r>
    </w:p>
    <w:p w14:paraId="1F85684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关于分包合同价款支付的约定：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p>
    <w:bookmarkEnd w:id="123"/>
    <w:bookmarkEnd w:id="124"/>
    <w:p w14:paraId="431FB22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3.6 工程照管与成品、半成品保护</w:t>
      </w:r>
    </w:p>
    <w:p w14:paraId="644516F3">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承包人负责照管工程及工程相关的材料、工程设备的起始时间：</w:t>
      </w:r>
      <w:r>
        <w:rPr>
          <w:rFonts w:hint="eastAsia" w:ascii="宋体" w:hAnsi="宋体"/>
          <w:kern w:val="0"/>
          <w:sz w:val="24"/>
          <w:u w:val="single"/>
        </w:rPr>
        <w:t xml:space="preserve">  自发包人向承包人移交施工现场之日起，承包人应负责照管工程及工程相关的材料、工程设备，直到颁发工程接收证书之日止。    </w:t>
      </w:r>
    </w:p>
    <w:p w14:paraId="5FBDDE7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3.7 履约担保</w:t>
      </w:r>
    </w:p>
    <w:p w14:paraId="0426B41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承包人是否提供履约担保：</w:t>
      </w:r>
      <w:r>
        <w:rPr>
          <w:rFonts w:hint="eastAsia" w:ascii="宋体" w:hAnsi="宋体"/>
          <w:sz w:val="24"/>
          <w:u w:val="single"/>
        </w:rPr>
        <w:t xml:space="preserve">  见第二章投标人须知前附表  </w:t>
      </w:r>
    </w:p>
    <w:p w14:paraId="18546974">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25" w:name="_Toc351203636"/>
      <w:r>
        <w:rPr>
          <w:rFonts w:hint="eastAsia" w:ascii="宋体" w:hAnsi="宋体"/>
          <w:kern w:val="0"/>
          <w:sz w:val="24"/>
        </w:rPr>
        <w:t>4</w:t>
      </w:r>
      <w:bookmarkStart w:id="126" w:name="_Toc267251413"/>
      <w:bookmarkStart w:id="127" w:name="_Toc296944501"/>
      <w:bookmarkStart w:id="128" w:name="_Toc296890990"/>
      <w:bookmarkStart w:id="129" w:name="_Toc296891202"/>
      <w:bookmarkStart w:id="130" w:name="_Toc292559366"/>
      <w:bookmarkStart w:id="131" w:name="_Toc296346663"/>
      <w:bookmarkStart w:id="132" w:name="_Toc296503162"/>
      <w:bookmarkStart w:id="133" w:name="_Toc296347161"/>
      <w:bookmarkStart w:id="134" w:name="_Toc297120462"/>
      <w:bookmarkStart w:id="135" w:name="_Toc297048348"/>
      <w:bookmarkStart w:id="136" w:name="_Toc292559871"/>
      <w:r>
        <w:rPr>
          <w:rFonts w:hint="eastAsia" w:ascii="宋体" w:hAnsi="宋体"/>
          <w:kern w:val="0"/>
          <w:sz w:val="24"/>
        </w:rPr>
        <w:t>. 监</w:t>
      </w:r>
      <w:bookmarkEnd w:id="126"/>
      <w:bookmarkEnd w:id="127"/>
      <w:bookmarkEnd w:id="128"/>
      <w:bookmarkEnd w:id="129"/>
      <w:bookmarkEnd w:id="130"/>
      <w:bookmarkEnd w:id="131"/>
      <w:bookmarkEnd w:id="132"/>
      <w:bookmarkEnd w:id="133"/>
      <w:bookmarkEnd w:id="134"/>
      <w:bookmarkEnd w:id="135"/>
      <w:bookmarkEnd w:id="136"/>
      <w:r>
        <w:rPr>
          <w:rFonts w:hint="eastAsia" w:ascii="宋体" w:hAnsi="宋体"/>
          <w:kern w:val="0"/>
          <w:sz w:val="24"/>
        </w:rPr>
        <w:t>理人</w:t>
      </w:r>
      <w:bookmarkEnd w:id="125"/>
    </w:p>
    <w:p w14:paraId="028C950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4.1监理人的一般规定</w:t>
      </w:r>
    </w:p>
    <w:p w14:paraId="57F54E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关于监理人的监理内容：</w:t>
      </w:r>
      <w:r>
        <w:rPr>
          <w:rFonts w:hint="eastAsia" w:ascii="宋体" w:hAnsi="宋体"/>
          <w:sz w:val="24"/>
          <w:u w:val="single"/>
        </w:rPr>
        <w:t xml:space="preserve">   </w:t>
      </w:r>
      <w:r>
        <w:rPr>
          <w:rFonts w:hint="eastAsia" w:ascii="宋体" w:hAnsi="宋体"/>
          <w:kern w:val="0"/>
          <w:sz w:val="24"/>
          <w:u w:val="single"/>
        </w:rPr>
        <w:t>执行监理合同。</w:t>
      </w:r>
      <w:r>
        <w:rPr>
          <w:rFonts w:hint="eastAsia" w:ascii="宋体" w:hAnsi="宋体"/>
          <w:sz w:val="24"/>
          <w:u w:val="single"/>
        </w:rPr>
        <w:t xml:space="preserve">   </w:t>
      </w:r>
    </w:p>
    <w:p w14:paraId="5D88B77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关于监理人的监理权限：</w:t>
      </w:r>
      <w:r>
        <w:rPr>
          <w:rFonts w:hint="eastAsia" w:ascii="宋体" w:hAnsi="宋体"/>
          <w:sz w:val="24"/>
          <w:u w:val="single"/>
        </w:rPr>
        <w:t xml:space="preserve">   </w:t>
      </w:r>
      <w:r>
        <w:rPr>
          <w:rFonts w:hint="eastAsia" w:ascii="宋体" w:hAnsi="宋体"/>
          <w:kern w:val="0"/>
          <w:sz w:val="24"/>
          <w:u w:val="single"/>
        </w:rPr>
        <w:t>执行监理合同。</w:t>
      </w:r>
      <w:r>
        <w:rPr>
          <w:rFonts w:hint="eastAsia" w:ascii="宋体" w:hAnsi="宋体"/>
          <w:sz w:val="24"/>
          <w:u w:val="single"/>
        </w:rPr>
        <w:t xml:space="preserve">   </w:t>
      </w:r>
    </w:p>
    <w:p w14:paraId="6E35020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关于监理人在施工现场的办公场所、生活场所的提供和费用承担的约定：</w:t>
      </w:r>
      <w:r>
        <w:rPr>
          <w:rFonts w:hint="eastAsia" w:ascii="宋体" w:hAnsi="宋体"/>
          <w:kern w:val="0"/>
          <w:sz w:val="24"/>
          <w:u w:val="single"/>
        </w:rPr>
        <w:t>执行监理合同。</w:t>
      </w:r>
      <w:r>
        <w:rPr>
          <w:rFonts w:hint="eastAsia" w:ascii="宋体" w:hAnsi="宋体"/>
          <w:sz w:val="24"/>
          <w:u w:val="single"/>
        </w:rPr>
        <w:t xml:space="preserve"> </w:t>
      </w:r>
    </w:p>
    <w:p w14:paraId="55B0327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4.2 监理人员</w:t>
      </w:r>
    </w:p>
    <w:p w14:paraId="6F698B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总监理工程师：</w:t>
      </w:r>
    </w:p>
    <w:p w14:paraId="1A92D9B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w:t>
      </w:r>
    </w:p>
    <w:p w14:paraId="7D28B4E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w:t>
      </w:r>
    </w:p>
    <w:p w14:paraId="5DD0314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监理工程师执业资格证书号：</w:t>
      </w:r>
      <w:r>
        <w:rPr>
          <w:rFonts w:hint="eastAsia" w:ascii="宋体" w:hAnsi="宋体"/>
          <w:sz w:val="24"/>
          <w:u w:val="single"/>
        </w:rPr>
        <w:t>   </w:t>
      </w:r>
      <w:r>
        <w:rPr>
          <w:rFonts w:hint="eastAsia" w:ascii="宋体" w:hAnsi="宋体"/>
          <w:sz w:val="24"/>
        </w:rPr>
        <w:t>；</w:t>
      </w:r>
    </w:p>
    <w:p w14:paraId="1835BF8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w:t>
      </w:r>
    </w:p>
    <w:p w14:paraId="2687BE6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电子信箱：</w:t>
      </w:r>
      <w:r>
        <w:rPr>
          <w:rFonts w:hint="eastAsia" w:ascii="宋体" w:hAnsi="宋体"/>
          <w:sz w:val="24"/>
          <w:u w:val="single"/>
        </w:rPr>
        <w:t xml:space="preserve">        </w:t>
      </w:r>
      <w:r>
        <w:rPr>
          <w:rFonts w:hint="eastAsia" w:ascii="宋体" w:hAnsi="宋体"/>
          <w:sz w:val="24"/>
        </w:rPr>
        <w:t>；</w:t>
      </w:r>
    </w:p>
    <w:p w14:paraId="1544EA5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通信地址：</w:t>
      </w:r>
      <w:r>
        <w:rPr>
          <w:rFonts w:hint="eastAsia" w:ascii="宋体" w:hAnsi="宋体"/>
          <w:sz w:val="24"/>
          <w:u w:val="single"/>
        </w:rPr>
        <w:t xml:space="preserve">        </w:t>
      </w:r>
      <w:r>
        <w:rPr>
          <w:rFonts w:hint="eastAsia" w:ascii="宋体" w:hAnsi="宋体"/>
          <w:sz w:val="24"/>
        </w:rPr>
        <w:t>；</w:t>
      </w:r>
    </w:p>
    <w:p w14:paraId="07A2B9E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关于监理人的其他约定：</w:t>
      </w:r>
      <w:r>
        <w:rPr>
          <w:rFonts w:hint="eastAsia" w:ascii="宋体" w:hAnsi="宋体"/>
          <w:sz w:val="24"/>
          <w:u w:val="single"/>
        </w:rPr>
        <w:t xml:space="preserve">        </w:t>
      </w:r>
      <w:r>
        <w:rPr>
          <w:rFonts w:hint="eastAsia" w:ascii="宋体" w:hAnsi="宋体"/>
          <w:sz w:val="24"/>
        </w:rPr>
        <w:t>。</w:t>
      </w:r>
    </w:p>
    <w:p w14:paraId="0738EE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4.4 商定或确定</w:t>
      </w:r>
    </w:p>
    <w:p w14:paraId="26E2D646">
      <w:pPr>
        <w:pStyle w:val="77"/>
        <w:tabs>
          <w:tab w:val="left" w:pos="360"/>
        </w:tabs>
        <w:adjustRightInd w:val="0"/>
        <w:snapToGrid w:val="0"/>
        <w:spacing w:line="360" w:lineRule="auto"/>
        <w:ind w:right="178" w:rightChars="85" w:firstLine="480" w:firstLineChars="200"/>
        <w:rPr>
          <w:rFonts w:hint="eastAsia" w:ascii="宋体" w:hAnsi="宋体"/>
          <w:sz w:val="24"/>
        </w:rPr>
      </w:pPr>
      <w:bookmarkStart w:id="137" w:name="_Toc267251418"/>
      <w:r>
        <w:rPr>
          <w:rFonts w:hint="eastAsia" w:ascii="宋体" w:hAnsi="宋体"/>
          <w:sz w:val="24"/>
        </w:rPr>
        <w:t>在发包人和承包人不能通过协商达成一致意见时，发包人授权监理人对以下事项进行确定：</w:t>
      </w:r>
      <w:r>
        <w:rPr>
          <w:rFonts w:hint="eastAsia" w:ascii="宋体" w:hAnsi="宋体"/>
          <w:sz w:val="24"/>
          <w:u w:val="single"/>
        </w:rPr>
        <w:t xml:space="preserve">  若在本合同履行过程中发生此类情况时，双方就具体争议事项另行委托监理人协助解决，如仍不能达成一致意见，则按照本专用条款第20条（争议解决条款）执行。  </w:t>
      </w:r>
    </w:p>
    <w:p w14:paraId="4CAF5CB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5</w:t>
      </w:r>
      <w:bookmarkEnd w:id="137"/>
      <w:bookmarkStart w:id="138" w:name="_Toc296503163"/>
      <w:bookmarkStart w:id="139" w:name="_Toc297048349"/>
      <w:bookmarkStart w:id="140" w:name="_Toc292559367"/>
      <w:bookmarkStart w:id="141" w:name="_Toc296346664"/>
      <w:bookmarkStart w:id="142" w:name="_Toc297120463"/>
      <w:bookmarkStart w:id="143" w:name="_Toc296944502"/>
      <w:bookmarkStart w:id="144" w:name="_Toc296890991"/>
      <w:bookmarkStart w:id="145" w:name="_Toc292559872"/>
      <w:bookmarkStart w:id="146" w:name="_Toc296891203"/>
      <w:bookmarkStart w:id="147" w:name="_Toc296347162"/>
      <w:r>
        <w:rPr>
          <w:rFonts w:hint="eastAsia" w:ascii="宋体" w:hAnsi="宋体"/>
          <w:kern w:val="0"/>
          <w:sz w:val="24"/>
        </w:rPr>
        <w:t>. 工程质量</w:t>
      </w:r>
    </w:p>
    <w:p w14:paraId="21FCB2C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5.1 质量要求</w:t>
      </w:r>
    </w:p>
    <w:p w14:paraId="5C3C1616">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5</w:t>
      </w:r>
      <w:bookmarkStart w:id="148" w:name="_Toc312677997"/>
      <w:bookmarkStart w:id="149" w:name="_Toc304295527"/>
      <w:bookmarkStart w:id="150" w:name="_Toc297216155"/>
      <w:bookmarkStart w:id="151" w:name="_Toc300934949"/>
      <w:bookmarkStart w:id="152" w:name="_Toc303539106"/>
      <w:bookmarkStart w:id="153" w:name="_Toc318581164"/>
      <w:bookmarkStart w:id="154" w:name="_Toc297123496"/>
      <w:r>
        <w:rPr>
          <w:rFonts w:hint="eastAsia" w:ascii="宋体" w:hAnsi="宋体"/>
          <w:sz w:val="24"/>
        </w:rPr>
        <w:t>.1.1 特殊质量标准和要求：</w:t>
      </w:r>
      <w:r>
        <w:rPr>
          <w:rFonts w:hint="eastAsia" w:ascii="宋体" w:hAnsi="宋体"/>
          <w:sz w:val="24"/>
          <w:u w:val="single"/>
        </w:rPr>
        <w:t xml:space="preserve">  不采用。  </w:t>
      </w:r>
    </w:p>
    <w:p w14:paraId="69CA88C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关于工程奖项的约定：</w:t>
      </w:r>
      <w:r>
        <w:rPr>
          <w:rFonts w:hint="eastAsia" w:ascii="宋体" w:hAnsi="宋体"/>
          <w:sz w:val="24"/>
          <w:u w:val="single"/>
        </w:rPr>
        <w:t xml:space="preserve">  不采用。  </w:t>
      </w:r>
    </w:p>
    <w:p w14:paraId="1306161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5.3 隐蔽工程检查</w:t>
      </w:r>
    </w:p>
    <w:p w14:paraId="431264A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5.3.2承包人提前通知监理人隐蔽工程检查的期限的约定：</w:t>
      </w:r>
      <w:r>
        <w:rPr>
          <w:rFonts w:hint="eastAsia" w:ascii="宋体" w:hAnsi="宋体"/>
          <w:sz w:val="24"/>
          <w:u w:val="single"/>
        </w:rPr>
        <w:t xml:space="preserve">   共同检查前48小时（</w:t>
      </w:r>
      <w:r>
        <w:rPr>
          <w:rFonts w:hint="eastAsia" w:ascii="宋体" w:hAnsi="宋体"/>
          <w:kern w:val="0"/>
          <w:sz w:val="24"/>
          <w:u w:val="single"/>
        </w:rPr>
        <w:t xml:space="preserve">执行通用条款）。   </w:t>
      </w:r>
    </w:p>
    <w:p w14:paraId="06421D8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监理人不能按时进行检查时，应提前</w:t>
      </w:r>
      <w:r>
        <w:rPr>
          <w:rFonts w:hint="eastAsia" w:ascii="宋体" w:hAnsi="宋体"/>
          <w:sz w:val="24"/>
          <w:u w:val="single"/>
        </w:rPr>
        <w:t xml:space="preserve">   24小时（</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小时提交书面延期要求。</w:t>
      </w:r>
    </w:p>
    <w:p w14:paraId="2152AF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w:t>
      </w:r>
    </w:p>
    <w:p w14:paraId="02E2CAA0">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55" w:name="_Toc351203638"/>
      <w:r>
        <w:rPr>
          <w:rFonts w:hint="eastAsia" w:ascii="宋体" w:hAnsi="宋体"/>
          <w:kern w:val="0"/>
          <w:sz w:val="24"/>
        </w:rPr>
        <w:t>6. 安全文明施工与环境保护</w:t>
      </w:r>
      <w:bookmarkEnd w:id="155"/>
    </w:p>
    <w:p w14:paraId="13D0E5C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6.1安全文明施工</w:t>
      </w:r>
    </w:p>
    <w:p w14:paraId="277A2061">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6.1.1 项目安全生产的达标目标及相应事项的约定：</w:t>
      </w:r>
      <w:r>
        <w:rPr>
          <w:rFonts w:hint="eastAsia" w:ascii="宋体" w:hAnsi="宋体"/>
          <w:sz w:val="24"/>
          <w:u w:val="single"/>
        </w:rPr>
        <w:t xml:space="preserve"> 应通过合肥市建筑业协会依照《建筑施工安全检查标准》（JGJ59-2011）检查验评得分为85分及以上，综合验评为合格。  </w:t>
      </w:r>
    </w:p>
    <w:p w14:paraId="356BC2C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6.1.4 关于治安保卫的特别约定：</w:t>
      </w:r>
      <w:r>
        <w:rPr>
          <w:rFonts w:hint="eastAsia" w:ascii="宋体" w:hAnsi="宋体"/>
          <w:sz w:val="24"/>
          <w:u w:val="single"/>
        </w:rPr>
        <w:t xml:space="preserve">  </w:t>
      </w:r>
      <w:r>
        <w:rPr>
          <w:rFonts w:hint="eastAsia" w:ascii="宋体" w:hAnsi="宋体"/>
          <w:kern w:val="0"/>
          <w:sz w:val="24"/>
          <w:u w:val="single"/>
        </w:rPr>
        <w:t>执行通用条款及</w:t>
      </w:r>
      <w:r>
        <w:rPr>
          <w:rFonts w:hint="eastAsia" w:ascii="宋体" w:hAnsi="宋体"/>
          <w:sz w:val="24"/>
          <w:u w:val="single"/>
        </w:rPr>
        <w:t>满足合肥市相关行业管理部门相关规定</w:t>
      </w:r>
      <w:r>
        <w:rPr>
          <w:rFonts w:hint="eastAsia" w:ascii="宋体" w:hAnsi="宋体"/>
          <w:kern w:val="0"/>
          <w:sz w:val="24"/>
          <w:u w:val="single"/>
        </w:rPr>
        <w:t xml:space="preserve">。 </w:t>
      </w:r>
    </w:p>
    <w:p w14:paraId="77FFB66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关于编制施工场地治安管理计划的约定：</w:t>
      </w:r>
      <w:r>
        <w:rPr>
          <w:rFonts w:hint="eastAsia" w:ascii="宋体" w:hAnsi="宋体"/>
          <w:sz w:val="24"/>
          <w:u w:val="single"/>
        </w:rPr>
        <w:t xml:space="preserve">  </w:t>
      </w:r>
      <w:r>
        <w:rPr>
          <w:rFonts w:hint="eastAsia" w:ascii="宋体" w:hAnsi="宋体"/>
          <w:kern w:val="0"/>
          <w:sz w:val="24"/>
          <w:u w:val="single"/>
        </w:rPr>
        <w:t xml:space="preserve">执行通用条款。 </w:t>
      </w:r>
      <w:r>
        <w:rPr>
          <w:rFonts w:hint="eastAsia" w:ascii="宋体" w:hAnsi="宋体"/>
          <w:sz w:val="24"/>
          <w:u w:val="single"/>
        </w:rPr>
        <w:t xml:space="preserve">   </w:t>
      </w:r>
    </w:p>
    <w:p w14:paraId="7300FFF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6.1.5 文明施工</w:t>
      </w:r>
    </w:p>
    <w:p w14:paraId="59D97F8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合同当事人对文明施工的要求：</w:t>
      </w:r>
      <w:r>
        <w:rPr>
          <w:rFonts w:hint="eastAsia" w:ascii="宋体" w:hAnsi="宋体"/>
          <w:sz w:val="24"/>
          <w:u w:val="single"/>
        </w:rPr>
        <w:t xml:space="preserve">  </w:t>
      </w:r>
      <w:r>
        <w:rPr>
          <w:rFonts w:hint="eastAsia" w:ascii="宋体" w:hAnsi="宋体"/>
          <w:kern w:val="0"/>
          <w:sz w:val="24"/>
          <w:u w:val="single"/>
        </w:rPr>
        <w:t>执行通用条款及</w:t>
      </w:r>
      <w:r>
        <w:rPr>
          <w:rFonts w:hint="eastAsia" w:ascii="宋体" w:hAnsi="宋体"/>
          <w:sz w:val="24"/>
          <w:u w:val="single"/>
        </w:rPr>
        <w:t xml:space="preserve">满足合肥市相关行业管理部门相关规定。  </w:t>
      </w:r>
    </w:p>
    <w:p w14:paraId="4C3859E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6.1.6 关于安全文明施工费支付比例和支付期限的约定：</w:t>
      </w:r>
      <w:r>
        <w:rPr>
          <w:rFonts w:hint="eastAsia" w:ascii="宋体" w:hAnsi="宋体"/>
          <w:sz w:val="24"/>
          <w:u w:val="single"/>
        </w:rPr>
        <w:t xml:space="preserve">  参照本专用条款第12条第4款（工程进度款支付）执行。   </w:t>
      </w:r>
    </w:p>
    <w:bookmarkEnd w:id="148"/>
    <w:bookmarkEnd w:id="149"/>
    <w:bookmarkEnd w:id="150"/>
    <w:bookmarkEnd w:id="151"/>
    <w:bookmarkEnd w:id="152"/>
    <w:bookmarkEnd w:id="153"/>
    <w:bookmarkEnd w:id="154"/>
    <w:p w14:paraId="18E99A9A">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56" w:name="_Toc351203639"/>
      <w:r>
        <w:rPr>
          <w:rFonts w:hint="eastAsia" w:ascii="宋体" w:hAnsi="宋体"/>
          <w:kern w:val="0"/>
          <w:sz w:val="24"/>
        </w:rPr>
        <w:t>7. 工期和进度</w:t>
      </w:r>
      <w:bookmarkEnd w:id="156"/>
    </w:p>
    <w:p w14:paraId="4EA78EB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7.1 施工组织设计</w:t>
      </w:r>
    </w:p>
    <w:p w14:paraId="5E8D178C">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eastAsia="宋体"/>
          <w:kern w:val="0"/>
          <w:sz w:val="24"/>
          <w:lang w:eastAsia="zh-CN"/>
        </w:rPr>
      </w:pPr>
      <w:r>
        <w:rPr>
          <w:rFonts w:hint="eastAsia" w:ascii="宋体" w:hAnsi="宋体"/>
          <w:sz w:val="24"/>
        </w:rPr>
        <w:t>7.1.1 合</w:t>
      </w:r>
      <w:r>
        <w:rPr>
          <w:rFonts w:hint="eastAsia" w:ascii="宋体" w:hAnsi="宋体"/>
          <w:kern w:val="0"/>
          <w:sz w:val="24"/>
        </w:rPr>
        <w:t>同当事人约定的施工组织设计应包括的其他内容：</w:t>
      </w:r>
      <w:r>
        <w:rPr>
          <w:rFonts w:hint="eastAsia" w:ascii="宋体" w:hAnsi="宋体"/>
          <w:kern w:val="0"/>
          <w:sz w:val="24"/>
          <w:u w:val="single"/>
        </w:rPr>
        <w:t xml:space="preserve">  </w:t>
      </w:r>
      <w:r>
        <w:rPr>
          <w:rFonts w:hint="eastAsia" w:ascii="宋体" w:hAnsi="宋体"/>
          <w:sz w:val="24"/>
          <w:u w:val="single"/>
        </w:rPr>
        <w:t xml:space="preserve">总进度计划需包含网络图、横道图。  </w:t>
      </w:r>
    </w:p>
    <w:p w14:paraId="52F9BABF">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sz w:val="24"/>
        </w:rPr>
        <w:t xml:space="preserve">7.1.2 </w:t>
      </w:r>
      <w:r>
        <w:rPr>
          <w:rFonts w:hint="eastAsia" w:ascii="宋体" w:hAnsi="宋体"/>
          <w:kern w:val="0"/>
          <w:sz w:val="24"/>
        </w:rPr>
        <w:t>施工组织设计的提交和修改</w:t>
      </w:r>
    </w:p>
    <w:p w14:paraId="6E0E796D">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承包人提交详细施工组织设计的期限的约定：</w:t>
      </w:r>
      <w:r>
        <w:rPr>
          <w:rFonts w:hint="eastAsia" w:ascii="宋体" w:hAnsi="宋体"/>
          <w:sz w:val="24"/>
          <w:u w:val="single"/>
        </w:rPr>
        <w:t xml:space="preserve">  合同签订后14天内，并不得迟于第7.3.2项〔开工通知〕载明的开工日期前7天</w:t>
      </w:r>
      <w:r>
        <w:rPr>
          <w:rFonts w:hint="eastAsia" w:ascii="宋体" w:hAnsi="宋体"/>
          <w:kern w:val="0"/>
          <w:sz w:val="24"/>
          <w:u w:val="single"/>
        </w:rPr>
        <w:t xml:space="preserve">(执行通用条款)。 </w:t>
      </w:r>
      <w:r>
        <w:rPr>
          <w:rFonts w:hint="eastAsia" w:ascii="宋体" w:hAnsi="宋体"/>
          <w:sz w:val="24"/>
          <w:u w:val="single"/>
        </w:rPr>
        <w:t xml:space="preserve">  </w:t>
      </w:r>
    </w:p>
    <w:p w14:paraId="0F7196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发包人和监理人在收到详细的施工组织设计后确认或提出修改意见的期限：</w:t>
      </w:r>
      <w:r>
        <w:rPr>
          <w:rFonts w:hint="eastAsia" w:ascii="宋体" w:hAnsi="宋体"/>
          <w:sz w:val="24"/>
          <w:u w:val="single"/>
        </w:rPr>
        <w:t xml:space="preserve">  收到施工组织设计后7天内（</w:t>
      </w:r>
      <w:r>
        <w:rPr>
          <w:rFonts w:hint="eastAsia" w:ascii="宋体" w:hAnsi="宋体"/>
          <w:kern w:val="0"/>
          <w:sz w:val="24"/>
          <w:u w:val="single"/>
        </w:rPr>
        <w:t xml:space="preserve">执行通用条款）。 </w:t>
      </w:r>
      <w:r>
        <w:rPr>
          <w:rFonts w:hint="eastAsia" w:ascii="宋体" w:hAnsi="宋体"/>
          <w:sz w:val="24"/>
          <w:u w:val="single"/>
        </w:rPr>
        <w:t xml:space="preserve">  </w:t>
      </w:r>
    </w:p>
    <w:p w14:paraId="606D4D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w:t>
      </w:r>
      <w:bookmarkStart w:id="157" w:name="_Toc297123514"/>
      <w:bookmarkStart w:id="158" w:name="_Toc312678005"/>
      <w:bookmarkStart w:id="159" w:name="_Toc300934966"/>
      <w:bookmarkStart w:id="160" w:name="_Toc304295541"/>
      <w:bookmarkStart w:id="161" w:name="_Toc312677479"/>
      <w:bookmarkStart w:id="162" w:name="_Toc303539123"/>
      <w:bookmarkStart w:id="163" w:name="_Toc297216173"/>
      <w:r>
        <w:rPr>
          <w:rFonts w:hint="eastAsia" w:ascii="宋体" w:hAnsi="宋体"/>
          <w:sz w:val="24"/>
        </w:rPr>
        <w:t>.2 施工进度计划</w:t>
      </w:r>
    </w:p>
    <w:p w14:paraId="31A7A0D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7.2.2 施工进度计划的修订</w:t>
      </w:r>
    </w:p>
    <w:p w14:paraId="26A875E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发包人和监理人在收到修订的施工进度计划后确认或提出修改意见的期限：</w:t>
      </w:r>
      <w:r>
        <w:rPr>
          <w:rFonts w:hint="eastAsia" w:ascii="宋体" w:hAnsi="宋体"/>
          <w:sz w:val="24"/>
          <w:u w:val="single"/>
        </w:rPr>
        <w:t xml:space="preserve">  收到修订的施工进度计划后7天内(</w:t>
      </w:r>
      <w:r>
        <w:rPr>
          <w:rFonts w:hint="eastAsia" w:ascii="宋体" w:hAnsi="宋体"/>
          <w:kern w:val="0"/>
          <w:sz w:val="24"/>
          <w:u w:val="single"/>
        </w:rPr>
        <w:t>执行通用条款)</w:t>
      </w:r>
      <w:r>
        <w:rPr>
          <w:rFonts w:hint="eastAsia" w:ascii="宋体" w:hAnsi="宋体"/>
          <w:kern w:val="0"/>
          <w:sz w:val="24"/>
        </w:rPr>
        <w:t xml:space="preserve">。 </w:t>
      </w:r>
      <w:r>
        <w:rPr>
          <w:rFonts w:hint="eastAsia" w:ascii="宋体" w:hAnsi="宋体"/>
          <w:sz w:val="24"/>
        </w:rPr>
        <w:t xml:space="preserve">   </w:t>
      </w:r>
    </w:p>
    <w:p w14:paraId="1AA300A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7.3 开工</w:t>
      </w:r>
    </w:p>
    <w:p w14:paraId="0D510DD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7.3.1 开工准备</w:t>
      </w:r>
    </w:p>
    <w:p w14:paraId="4BED7814">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关于承包人提交</w:t>
      </w:r>
      <w:r>
        <w:rPr>
          <w:rFonts w:hint="eastAsia" w:ascii="宋体" w:hAnsi="宋体"/>
          <w:kern w:val="0"/>
          <w:sz w:val="24"/>
        </w:rPr>
        <w:t>工程开工报审表的期限：</w:t>
      </w:r>
      <w:r>
        <w:rPr>
          <w:rFonts w:hint="eastAsia" w:ascii="宋体" w:hAnsi="宋体"/>
          <w:sz w:val="24"/>
          <w:u w:val="single"/>
        </w:rPr>
        <w:t xml:space="preserve">  开工前7天内。   </w:t>
      </w:r>
    </w:p>
    <w:p w14:paraId="7968900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关于发包人应完成的其他开工准备工作及期限：</w:t>
      </w:r>
      <w:r>
        <w:rPr>
          <w:rFonts w:hint="eastAsia" w:ascii="宋体" w:hAnsi="宋体"/>
          <w:sz w:val="24"/>
          <w:u w:val="single"/>
        </w:rPr>
        <w:t xml:space="preserve">  开工前7天内。    </w:t>
      </w:r>
    </w:p>
    <w:p w14:paraId="62263F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关于承包人应完成的其他开工准备工作及期限：</w:t>
      </w:r>
      <w:r>
        <w:rPr>
          <w:rFonts w:hint="eastAsia" w:ascii="宋体" w:hAnsi="宋体"/>
          <w:sz w:val="24"/>
          <w:u w:val="single"/>
        </w:rPr>
        <w:t xml:space="preserve">  开工前7天内。</w:t>
      </w:r>
      <w:r>
        <w:rPr>
          <w:rFonts w:hint="eastAsia" w:ascii="宋体" w:hAnsi="宋体"/>
          <w:kern w:val="0"/>
          <w:sz w:val="24"/>
          <w:u w:val="single"/>
        </w:rPr>
        <w:t xml:space="preserve"> </w:t>
      </w:r>
      <w:r>
        <w:rPr>
          <w:rFonts w:hint="eastAsia" w:ascii="宋体" w:hAnsi="宋体"/>
          <w:sz w:val="24"/>
          <w:u w:val="single"/>
        </w:rPr>
        <w:t xml:space="preserve">   </w:t>
      </w:r>
    </w:p>
    <w:p w14:paraId="56E579C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7.3.2开工通知</w:t>
      </w:r>
    </w:p>
    <w:p w14:paraId="0F2410E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因发包人原因造成监理人未能在计划开工日期之日起</w:t>
      </w:r>
      <w:r>
        <w:rPr>
          <w:rFonts w:hint="eastAsia" w:ascii="宋体" w:hAnsi="宋体"/>
          <w:sz w:val="24"/>
          <w:u w:val="single"/>
        </w:rPr>
        <w:t xml:space="preserve">  90（</w:t>
      </w:r>
      <w:r>
        <w:rPr>
          <w:rFonts w:hint="eastAsia" w:ascii="宋体" w:hAnsi="宋体"/>
          <w:kern w:val="0"/>
          <w:sz w:val="24"/>
          <w:u w:val="single"/>
        </w:rPr>
        <w:t xml:space="preserve">执行通用条款） </w:t>
      </w:r>
      <w:r>
        <w:rPr>
          <w:rFonts w:hint="eastAsia" w:ascii="宋体" w:hAnsi="宋体"/>
          <w:sz w:val="24"/>
          <w:u w:val="single"/>
        </w:rPr>
        <w:t xml:space="preserve"> </w:t>
      </w:r>
      <w:r>
        <w:rPr>
          <w:rFonts w:hint="eastAsia" w:ascii="宋体" w:hAnsi="宋体"/>
          <w:sz w:val="24"/>
        </w:rPr>
        <w:t>天内发出开工通知的，承包人有权提出价格调整要求，或者解除合同。</w:t>
      </w:r>
    </w:p>
    <w:bookmarkEnd w:id="157"/>
    <w:bookmarkEnd w:id="158"/>
    <w:bookmarkEnd w:id="159"/>
    <w:bookmarkEnd w:id="160"/>
    <w:bookmarkEnd w:id="161"/>
    <w:bookmarkEnd w:id="162"/>
    <w:bookmarkEnd w:id="163"/>
    <w:p w14:paraId="6F4F2F8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7.4 测量放线</w:t>
      </w:r>
    </w:p>
    <w:p w14:paraId="6943AA21">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7.4.1发包人通过监理人向承包人提供测量基准点、基准线和水准点及其书面资料的期限：</w:t>
      </w:r>
      <w:r>
        <w:rPr>
          <w:rFonts w:hint="eastAsia" w:ascii="宋体" w:hAnsi="宋体"/>
          <w:sz w:val="24"/>
          <w:u w:val="single"/>
        </w:rPr>
        <w:t xml:space="preserve">  开工前21天内</w:t>
      </w:r>
      <w:r>
        <w:rPr>
          <w:rFonts w:hint="eastAsia" w:ascii="宋体" w:hAnsi="宋体"/>
          <w:kern w:val="0"/>
          <w:sz w:val="24"/>
          <w:u w:val="single"/>
        </w:rPr>
        <w:t xml:space="preserve">(执行通用条款)。 </w:t>
      </w:r>
      <w:r>
        <w:rPr>
          <w:rFonts w:hint="eastAsia" w:ascii="宋体" w:hAnsi="宋体"/>
          <w:sz w:val="24"/>
          <w:u w:val="single"/>
        </w:rPr>
        <w:t xml:space="preserve">  </w:t>
      </w:r>
    </w:p>
    <w:p w14:paraId="706ED69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w:t>
      </w:r>
      <w:bookmarkStart w:id="164" w:name="_Toc304295546"/>
      <w:bookmarkStart w:id="165" w:name="_Toc312677484"/>
      <w:bookmarkStart w:id="166" w:name="_Toc297123516"/>
      <w:bookmarkStart w:id="167" w:name="_Toc300934968"/>
      <w:bookmarkStart w:id="168" w:name="_Toc312678010"/>
      <w:bookmarkStart w:id="169" w:name="_Toc303539125"/>
      <w:bookmarkStart w:id="170" w:name="_Toc297216175"/>
      <w:r>
        <w:rPr>
          <w:rFonts w:hint="eastAsia" w:ascii="宋体" w:hAnsi="宋体"/>
          <w:sz w:val="24"/>
        </w:rPr>
        <w:t>.5 工期延误</w:t>
      </w:r>
    </w:p>
    <w:bookmarkEnd w:id="164"/>
    <w:bookmarkEnd w:id="165"/>
    <w:bookmarkEnd w:id="166"/>
    <w:bookmarkEnd w:id="167"/>
    <w:bookmarkEnd w:id="168"/>
    <w:bookmarkEnd w:id="169"/>
    <w:bookmarkEnd w:id="170"/>
    <w:p w14:paraId="4991167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7.5.1 因发包人原因导致工期延误</w:t>
      </w:r>
    </w:p>
    <w:p w14:paraId="747855D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（7）因发包人原因导致工期延误的其他情形：</w:t>
      </w:r>
      <w:r>
        <w:rPr>
          <w:rFonts w:hint="eastAsia" w:ascii="宋体" w:hAnsi="宋体"/>
          <w:sz w:val="24"/>
          <w:u w:val="single"/>
        </w:rPr>
        <w:t xml:space="preserve">   /     </w:t>
      </w:r>
    </w:p>
    <w:p w14:paraId="238A86B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7.5.2 因承包人原因导致工期延误</w:t>
      </w:r>
    </w:p>
    <w:p w14:paraId="55F4591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因承包人原因造成工期延误，逾期竣工违约金的计算方法为：</w:t>
      </w:r>
      <w:r>
        <w:rPr>
          <w:rFonts w:hint="eastAsia" w:ascii="宋体" w:hAnsi="宋体"/>
          <w:sz w:val="24"/>
          <w:u w:val="single"/>
        </w:rPr>
        <w:t xml:space="preserve"> 按照本合同协议书约定施工总工期或者按照本</w:t>
      </w:r>
      <w:r>
        <w:rPr>
          <w:rFonts w:hint="eastAsia" w:ascii="宋体" w:hAnsi="宋体"/>
          <w:sz w:val="24"/>
          <w:u w:val="single"/>
          <w:lang w:eastAsia="zh-CN"/>
        </w:rPr>
        <w:t>采购文件</w:t>
      </w:r>
      <w:r>
        <w:rPr>
          <w:rFonts w:hint="eastAsia" w:ascii="宋体" w:hAnsi="宋体"/>
          <w:sz w:val="24"/>
          <w:u w:val="single"/>
        </w:rPr>
        <w:t xml:space="preserve">规定阶段节点施工工期发生施工工期延期的，每延期竣工一天，承包人支付发包人合同价款的万分之二的违约金；工程延期28天以上的，每天按合同价款万分之五向发包人支付违约金；延期竣工56天以上的，每天按合同价款万分之五向发包人支付违约金，并且发包人有权解除合同，并追究连带损失。   </w:t>
      </w:r>
    </w:p>
    <w:p w14:paraId="00D5E361">
      <w:pPr>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rPr>
        <w:t>因承包人原因造成工期延误，逾期竣工违约金的上限：</w:t>
      </w:r>
      <w:r>
        <w:rPr>
          <w:rFonts w:hint="eastAsia" w:ascii="宋体" w:hAnsi="宋体"/>
          <w:sz w:val="24"/>
          <w:szCs w:val="24"/>
          <w:u w:val="single"/>
        </w:rPr>
        <w:t xml:space="preserve">  违约金最高限额为合同价款的4% 。</w:t>
      </w:r>
    </w:p>
    <w:p w14:paraId="2A7892FC">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7.6 不利物质条件</w:t>
      </w:r>
    </w:p>
    <w:p w14:paraId="026EAA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不利物质条件的其他情形和有关约定：</w:t>
      </w:r>
      <w:r>
        <w:rPr>
          <w:rFonts w:hint="eastAsia" w:ascii="宋体" w:hAnsi="宋体"/>
          <w:sz w:val="24"/>
          <w:u w:val="single"/>
        </w:rPr>
        <w:t xml:space="preserve">  </w:t>
      </w:r>
      <w:r>
        <w:rPr>
          <w:rFonts w:hint="eastAsia" w:ascii="宋体" w:hAnsi="宋体"/>
          <w:kern w:val="0"/>
          <w:sz w:val="24"/>
          <w:u w:val="single"/>
        </w:rPr>
        <w:t xml:space="preserve">执行通用条款。 </w:t>
      </w:r>
      <w:r>
        <w:rPr>
          <w:rFonts w:hint="eastAsia" w:ascii="宋体" w:hAnsi="宋体"/>
          <w:sz w:val="24"/>
          <w:u w:val="single"/>
        </w:rPr>
        <w:t xml:space="preserve">   </w:t>
      </w:r>
    </w:p>
    <w:p w14:paraId="1059C49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7.7异常恶劣的气候条件</w:t>
      </w:r>
    </w:p>
    <w:p w14:paraId="0AFE1EA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发包人和承包人同意以下情形视为异常恶劣的气候条件：</w:t>
      </w:r>
      <w:r>
        <w:rPr>
          <w:rFonts w:hint="eastAsia" w:ascii="宋体" w:hAnsi="宋体"/>
          <w:sz w:val="24"/>
          <w:u w:val="single"/>
        </w:rPr>
        <w:t xml:space="preserve">  执行通用条款。   </w:t>
      </w:r>
    </w:p>
    <w:p w14:paraId="511336D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7.9 提前竣工的奖励</w:t>
      </w:r>
    </w:p>
    <w:p w14:paraId="7CE1452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7.9.2提前竣工的奖励：</w:t>
      </w:r>
      <w:r>
        <w:rPr>
          <w:rFonts w:hint="eastAsia" w:ascii="宋体" w:hAnsi="宋体"/>
          <w:sz w:val="24"/>
          <w:u w:val="single"/>
        </w:rPr>
        <w:t xml:space="preserve">  不采用。    </w:t>
      </w:r>
    </w:p>
    <w:p w14:paraId="5C2F6E59">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71" w:name="_Toc351203640"/>
      <w:r>
        <w:rPr>
          <w:rFonts w:hint="eastAsia" w:ascii="宋体" w:hAnsi="宋体"/>
          <w:kern w:val="0"/>
          <w:sz w:val="24"/>
        </w:rPr>
        <w:t>8. 材料与设备</w:t>
      </w:r>
      <w:bookmarkEnd w:id="171"/>
    </w:p>
    <w:bookmarkEnd w:id="138"/>
    <w:bookmarkEnd w:id="139"/>
    <w:bookmarkEnd w:id="140"/>
    <w:bookmarkEnd w:id="141"/>
    <w:bookmarkEnd w:id="142"/>
    <w:bookmarkEnd w:id="143"/>
    <w:bookmarkEnd w:id="144"/>
    <w:bookmarkEnd w:id="145"/>
    <w:bookmarkEnd w:id="146"/>
    <w:bookmarkEnd w:id="147"/>
    <w:p w14:paraId="52F19A46">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w:t>
      </w:r>
      <w:bookmarkStart w:id="172" w:name="_Toc267251424"/>
      <w:bookmarkStart w:id="173" w:name="_Toc280868655"/>
      <w:bookmarkStart w:id="174" w:name="_Toc280868656"/>
      <w:r>
        <w:rPr>
          <w:rFonts w:hint="eastAsia" w:ascii="宋体" w:hAnsi="宋体"/>
          <w:sz w:val="24"/>
        </w:rPr>
        <w:t>.4材料与工程设备的保管与使用</w:t>
      </w:r>
    </w:p>
    <w:p w14:paraId="1958C91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8</w:t>
      </w:r>
      <w:bookmarkStart w:id="175" w:name="_Toc296347167"/>
      <w:bookmarkStart w:id="176" w:name="_Toc318581173"/>
      <w:bookmarkStart w:id="177" w:name="_Toc296503168"/>
      <w:bookmarkStart w:id="178" w:name="_Toc297048354"/>
      <w:bookmarkStart w:id="179" w:name="_Toc300934980"/>
      <w:bookmarkStart w:id="180" w:name="_Toc303539137"/>
      <w:bookmarkStart w:id="181" w:name="_Toc297123528"/>
      <w:bookmarkStart w:id="182" w:name="_Toc296890996"/>
      <w:bookmarkStart w:id="183" w:name="_Toc296944507"/>
      <w:bookmarkStart w:id="184" w:name="_Toc312677494"/>
      <w:bookmarkStart w:id="185" w:name="_Toc312678020"/>
      <w:bookmarkStart w:id="186" w:name="_Toc304295557"/>
      <w:bookmarkStart w:id="187" w:name="_Toc296891208"/>
      <w:bookmarkStart w:id="188" w:name="_Toc297120468"/>
      <w:bookmarkStart w:id="189" w:name="_Toc297216187"/>
      <w:bookmarkStart w:id="190" w:name="_Toc296346669"/>
      <w:r>
        <w:rPr>
          <w:rFonts w:hint="eastAsia" w:ascii="宋体" w:hAnsi="宋体"/>
          <w:sz w:val="24"/>
        </w:rPr>
        <w:t>.4.1发包人供应的材料设备的保管费用的承担：</w:t>
      </w:r>
    </w:p>
    <w:p w14:paraId="542C49B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材料按照总价</w:t>
      </w:r>
      <w:r>
        <w:rPr>
          <w:rFonts w:hint="eastAsia" w:ascii="宋体" w:hAnsi="宋体"/>
          <w:sz w:val="24"/>
          <w:u w:val="single"/>
          <w:lang w:val="en-US" w:eastAsia="zh-CN"/>
        </w:rPr>
        <w:t xml:space="preserve">   </w:t>
      </w:r>
      <w:r>
        <w:rPr>
          <w:rFonts w:hint="eastAsia" w:ascii="宋体" w:hAnsi="宋体"/>
          <w:sz w:val="24"/>
          <w:u w:val="single"/>
        </w:rPr>
        <w:t>%计取保管费（材料数量最多不超过设计文件的用量（可以计算定额损耗））；设备按照总价</w:t>
      </w:r>
      <w:r>
        <w:rPr>
          <w:rFonts w:hint="eastAsia" w:ascii="宋体" w:hAnsi="宋体"/>
          <w:sz w:val="24"/>
          <w:u w:val="single"/>
          <w:lang w:val="en-US" w:eastAsia="zh-CN"/>
        </w:rPr>
        <w:t xml:space="preserve">   </w:t>
      </w:r>
      <w:r>
        <w:rPr>
          <w:rFonts w:hint="eastAsia" w:ascii="宋体" w:hAnsi="宋体"/>
          <w:sz w:val="24"/>
          <w:u w:val="single"/>
        </w:rPr>
        <w:t>%计取保管费；此费用仅计取税金。</w:t>
      </w:r>
    </w:p>
    <w:p w14:paraId="723B0E28">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2）</w:t>
      </w:r>
      <w:r>
        <w:rPr>
          <w:rFonts w:hint="eastAsia" w:ascii="宋体" w:hAnsi="宋体"/>
          <w:sz w:val="24"/>
          <w:u w:val="single"/>
        </w:rPr>
        <w:t xml:space="preserve">到货时间与《发包人供应材料设备一览表》不一致的，保管费用不予调整。  </w:t>
      </w:r>
    </w:p>
    <w:p w14:paraId="4B736EF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3）</w:t>
      </w:r>
      <w:r>
        <w:rPr>
          <w:rFonts w:hint="eastAsia" w:ascii="宋体" w:hAnsi="宋体"/>
          <w:sz w:val="24"/>
          <w:u w:val="single"/>
        </w:rPr>
        <w:t>开工前承包人提交材料需求明细计划；每种材料进场批次不超过2批。</w:t>
      </w:r>
    </w:p>
    <w:p w14:paraId="4EB6AD3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4）</w:t>
      </w:r>
      <w:r>
        <w:rPr>
          <w:rFonts w:hint="eastAsia" w:ascii="宋体" w:hAnsi="宋体"/>
          <w:sz w:val="24"/>
          <w:u w:val="single"/>
        </w:rPr>
        <w:t xml:space="preserve">发包人按照承包人提交的计划供应材料；当材料出现短缺时，承包人必须至少提前一周以书面通知发包人； </w:t>
      </w:r>
    </w:p>
    <w:p w14:paraId="37226A39">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5）</w:t>
      </w:r>
      <w:r>
        <w:rPr>
          <w:rFonts w:hint="eastAsia" w:ascii="宋体" w:hAnsi="宋体"/>
          <w:sz w:val="24"/>
          <w:u w:val="single"/>
        </w:rPr>
        <w:t>发包人供应的材料由承包人负责按相关规定检验，合格后方可用于工程；承包人未按规定检验造成的后果由承包人负责。</w:t>
      </w:r>
    </w:p>
    <w:p w14:paraId="608F9B26">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6）</w:t>
      </w:r>
      <w:r>
        <w:rPr>
          <w:rFonts w:hint="eastAsia" w:ascii="宋体" w:hAnsi="宋体"/>
          <w:sz w:val="24"/>
          <w:u w:val="single"/>
        </w:rPr>
        <w:t xml:space="preserve">发包人供应材料的检验检测费用由承包人在合同价款的投标报价中考虑，不再另行计取。若发包人自行检验的，须提供检验报告，检验费用从合同价款中扣除。 </w:t>
      </w:r>
    </w:p>
    <w:p w14:paraId="07D25E7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7）</w:t>
      </w:r>
      <w:r>
        <w:rPr>
          <w:rFonts w:hint="eastAsia" w:ascii="宋体" w:hAnsi="宋体"/>
          <w:sz w:val="24"/>
          <w:u w:val="single"/>
        </w:rPr>
        <w:t>因承包人计划不周造成增加费用由承包人承担，工期不予顺延。</w:t>
      </w:r>
    </w:p>
    <w:p w14:paraId="2BBFB48B">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8）</w:t>
      </w:r>
      <w:r>
        <w:rPr>
          <w:rFonts w:hint="eastAsia" w:ascii="宋体" w:hAnsi="宋体"/>
          <w:sz w:val="24"/>
          <w:u w:val="single"/>
        </w:rPr>
        <w:t xml:space="preserve">因承包人原因造成发包人供应材料超供的，如不能退货，该部分材料归承包人所有，其价款由发包人直接从工程款中扣除，承包人另赔偿发包人材料价款1.2%作为管理费用；可以退货的，退货产生的费用由承包人承担，承包人另赔偿发包人材料价款1.2%作为管理费用。 </w:t>
      </w:r>
    </w:p>
    <w:p w14:paraId="631CEB7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9）</w:t>
      </w:r>
      <w:r>
        <w:rPr>
          <w:rFonts w:hint="eastAsia" w:ascii="宋体" w:hAnsi="宋体"/>
          <w:sz w:val="24"/>
          <w:u w:val="single"/>
        </w:rPr>
        <w:t>发包人供应的材料数量为图纸用量。</w:t>
      </w:r>
    </w:p>
    <w:p w14:paraId="1746F699">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10）</w:t>
      </w:r>
      <w:r>
        <w:rPr>
          <w:rFonts w:hint="eastAsia" w:ascii="宋体" w:hAnsi="宋体"/>
          <w:sz w:val="24"/>
          <w:u w:val="single"/>
        </w:rPr>
        <w:t>发包人材料供应不及时影响关键线路工程施工的，工期顺延。</w:t>
      </w:r>
    </w:p>
    <w:p w14:paraId="70DD247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11）</w:t>
      </w:r>
      <w:r>
        <w:rPr>
          <w:rFonts w:hint="eastAsia" w:ascii="宋体" w:hAnsi="宋体"/>
          <w:sz w:val="24"/>
          <w:u w:val="single"/>
        </w:rPr>
        <w:t>发包人供应的材料进入现场即视为供应到位，由承包人负责卸货入库等其他工作，费用由承包人在合同价款中考虑，不再另行计取。</w:t>
      </w:r>
    </w:p>
    <w:p w14:paraId="0D60CCC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8.6 样品</w:t>
      </w:r>
    </w:p>
    <w:p w14:paraId="7E86335B">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8.6.1样品的报送与封存</w:t>
      </w:r>
    </w:p>
    <w:p w14:paraId="343C71E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需要承包人报送样品的材料或工程设备，样品的种类、名称、规格、数量要求：</w:t>
      </w:r>
      <w:r>
        <w:rPr>
          <w:rFonts w:hint="eastAsia" w:ascii="宋体" w:hAnsi="宋体"/>
          <w:sz w:val="24"/>
          <w:u w:val="single"/>
        </w:rPr>
        <w:t xml:space="preserve"> 承包人在签订本工程主要材料或设备采购合同前，需向发包人报送拟购材料设备样品，其报送材料设备样品须经发包人、监理单位共同确认并封样后，承包人方可签订主要材料或设备采购合同。</w:t>
      </w:r>
      <w:r>
        <w:rPr>
          <w:rFonts w:hint="eastAsia" w:ascii="宋体" w:hAnsi="宋体"/>
          <w:kern w:val="0"/>
          <w:sz w:val="24"/>
          <w:u w:val="single"/>
        </w:rPr>
        <w:t>承包人报送给发包人本工程所用主要材料或工程设备样品的具体种类、名称、规格、数量，在工程开工前</w:t>
      </w:r>
      <w:r>
        <w:rPr>
          <w:rFonts w:hint="eastAsia" w:ascii="宋体" w:hAnsi="宋体"/>
          <w:sz w:val="24"/>
          <w:u w:val="single"/>
        </w:rPr>
        <w:t xml:space="preserve">由发包人、承包人与监理人另行商定确定。   </w:t>
      </w:r>
    </w:p>
    <w:p w14:paraId="4E1B915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8.8 施工设备和临时设施</w:t>
      </w:r>
    </w:p>
    <w:p w14:paraId="0406ED4B">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8.8.1 承包人提供的施工设备和临时设施</w:t>
      </w:r>
    </w:p>
    <w:p w14:paraId="7D22300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关于修建临时设施费用承担的约定：</w:t>
      </w:r>
      <w:r>
        <w:rPr>
          <w:rFonts w:hint="eastAsia" w:ascii="宋体" w:hAnsi="宋体"/>
          <w:sz w:val="24"/>
          <w:u w:val="single"/>
        </w:rPr>
        <w:t xml:space="preserve">  承包人承担此费用，该费用已包含在投标报价</w:t>
      </w:r>
      <w:r>
        <w:rPr>
          <w:rFonts w:hint="eastAsia" w:ascii="宋体" w:hAnsi="宋体"/>
          <w:kern w:val="0"/>
          <w:sz w:val="24"/>
          <w:u w:val="single"/>
        </w:rPr>
        <w:t>。</w:t>
      </w:r>
      <w:r>
        <w:rPr>
          <w:rFonts w:hint="eastAsia" w:ascii="宋体" w:hAnsi="宋体"/>
          <w:sz w:val="24"/>
          <w:u w:val="single"/>
        </w:rPr>
        <w:t xml:space="preserve">   </w:t>
      </w:r>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14:paraId="14F149A8">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91" w:name="_Toc351203641"/>
      <w:r>
        <w:rPr>
          <w:rFonts w:hint="eastAsia" w:ascii="宋体" w:hAnsi="宋体"/>
          <w:kern w:val="0"/>
          <w:sz w:val="24"/>
        </w:rPr>
        <w:t>9</w:t>
      </w:r>
      <w:bookmarkEnd w:id="172"/>
      <w:bookmarkEnd w:id="173"/>
      <w:bookmarkEnd w:id="174"/>
      <w:bookmarkStart w:id="192" w:name="_Toc297123533"/>
      <w:bookmarkStart w:id="193" w:name="_Toc300934982"/>
      <w:bookmarkStart w:id="194" w:name="_Toc304295559"/>
      <w:bookmarkStart w:id="195" w:name="_Toc297216192"/>
      <w:bookmarkStart w:id="196" w:name="_Toc312678021"/>
      <w:bookmarkStart w:id="197" w:name="_Toc303539139"/>
      <w:bookmarkStart w:id="198" w:name="_Toc312677495"/>
      <w:bookmarkStart w:id="199" w:name="_Toc296346674"/>
      <w:bookmarkStart w:id="200" w:name="_Toc296891001"/>
      <w:bookmarkStart w:id="201" w:name="_Toc296944512"/>
      <w:bookmarkStart w:id="202" w:name="_Toc267251427"/>
      <w:bookmarkStart w:id="203" w:name="_Toc292559378"/>
      <w:bookmarkStart w:id="204" w:name="_Toc296347172"/>
      <w:bookmarkStart w:id="205" w:name="_Toc267251428"/>
      <w:bookmarkStart w:id="206" w:name="_Toc297120473"/>
      <w:bookmarkStart w:id="207" w:name="_Toc297048359"/>
      <w:bookmarkStart w:id="208" w:name="_Toc296891213"/>
      <w:bookmarkStart w:id="209" w:name="_Toc296503173"/>
      <w:bookmarkStart w:id="210" w:name="_Toc292559883"/>
      <w:r>
        <w:rPr>
          <w:rFonts w:hint="eastAsia" w:ascii="宋体" w:hAnsi="宋体"/>
          <w:kern w:val="0"/>
          <w:sz w:val="24"/>
        </w:rPr>
        <w:t>. 试验与检验</w:t>
      </w:r>
      <w:bookmarkEnd w:id="191"/>
    </w:p>
    <w:bookmarkEnd w:id="192"/>
    <w:bookmarkEnd w:id="193"/>
    <w:bookmarkEnd w:id="194"/>
    <w:bookmarkEnd w:id="195"/>
    <w:bookmarkEnd w:id="196"/>
    <w:bookmarkEnd w:id="197"/>
    <w:bookmarkEnd w:id="198"/>
    <w:p w14:paraId="260E945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9</w:t>
      </w:r>
      <w:bookmarkStart w:id="211" w:name="_Toc312677496"/>
      <w:bookmarkStart w:id="212" w:name="_Toc297123534"/>
      <w:bookmarkStart w:id="213" w:name="_Toc303539140"/>
      <w:bookmarkStart w:id="214" w:name="_Toc312678022"/>
      <w:bookmarkStart w:id="215" w:name="_Toc297216193"/>
      <w:bookmarkStart w:id="216" w:name="_Toc300934983"/>
      <w:bookmarkStart w:id="217" w:name="_Toc304295560"/>
      <w:r>
        <w:rPr>
          <w:rFonts w:hint="eastAsia" w:ascii="宋体" w:hAnsi="宋体"/>
          <w:sz w:val="24"/>
        </w:rPr>
        <w:t>.1试验设备与试验人员</w:t>
      </w:r>
    </w:p>
    <w:bookmarkEnd w:id="211"/>
    <w:bookmarkEnd w:id="212"/>
    <w:bookmarkEnd w:id="213"/>
    <w:bookmarkEnd w:id="214"/>
    <w:bookmarkEnd w:id="215"/>
    <w:bookmarkEnd w:id="216"/>
    <w:bookmarkEnd w:id="217"/>
    <w:p w14:paraId="5D74B15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9</w:t>
      </w:r>
      <w:bookmarkStart w:id="218" w:name="_Toc318581174"/>
      <w:r>
        <w:rPr>
          <w:rFonts w:hint="eastAsia" w:ascii="宋体" w:hAnsi="宋体"/>
          <w:sz w:val="24"/>
        </w:rPr>
        <w:t>.1.2 试验设备</w:t>
      </w:r>
    </w:p>
    <w:p w14:paraId="5383437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施工现场需要配置的试验场所：</w:t>
      </w:r>
      <w:bookmarkStart w:id="219" w:name="_Toc303539142"/>
      <w:bookmarkStart w:id="220" w:name="_Toc312678024"/>
      <w:bookmarkStart w:id="221" w:name="_Toc300934985"/>
      <w:bookmarkStart w:id="222" w:name="_Toc297216195"/>
      <w:bookmarkStart w:id="223" w:name="_Toc297123536"/>
      <w:bookmarkStart w:id="224" w:name="_Toc304295562"/>
      <w:bookmarkStart w:id="225" w:name="_Toc312677498"/>
      <w:r>
        <w:rPr>
          <w:rFonts w:hint="eastAsia" w:ascii="宋体" w:hAnsi="宋体"/>
          <w:sz w:val="24"/>
          <w:u w:val="single"/>
        </w:rPr>
        <w:t xml:space="preserve">  满足现场施工质量检验要求。    </w:t>
      </w:r>
    </w:p>
    <w:p w14:paraId="15AE109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施工现场需要配备的试验设备：</w:t>
      </w:r>
      <w:r>
        <w:rPr>
          <w:rFonts w:hint="eastAsia" w:ascii="宋体" w:hAnsi="宋体"/>
          <w:sz w:val="24"/>
          <w:u w:val="single"/>
        </w:rPr>
        <w:t xml:space="preserve">  满足现场施工质量检验要求。    </w:t>
      </w:r>
    </w:p>
    <w:p w14:paraId="6C2DAB5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施工现场需要具备的其他试验条件：</w:t>
      </w:r>
      <w:r>
        <w:rPr>
          <w:rFonts w:hint="eastAsia" w:ascii="宋体" w:hAnsi="宋体"/>
          <w:sz w:val="24"/>
          <w:u w:val="single"/>
        </w:rPr>
        <w:t xml:space="preserve">  满足现场施工质量检验要求。    </w:t>
      </w:r>
    </w:p>
    <w:p w14:paraId="6612FA7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 xml:space="preserve">9.4 现场工艺试验 </w:t>
      </w:r>
    </w:p>
    <w:p w14:paraId="3ED5313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现场工艺试验的有关约定：</w:t>
      </w:r>
    </w:p>
    <w:p w14:paraId="705F14A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highlight w:val="none"/>
          <w:u w:val="single"/>
          <w:lang w:val="en-US" w:eastAsia="zh-CN"/>
        </w:rPr>
        <w:t xml:space="preserve">     </w:t>
      </w:r>
      <w:r>
        <w:rPr>
          <w:rFonts w:hint="eastAsia" w:ascii="宋体" w:hAnsi="宋体"/>
          <w:kern w:val="0"/>
          <w:sz w:val="24"/>
          <w:highlight w:val="none"/>
          <w:u w:val="single"/>
        </w:rPr>
        <w:t xml:space="preserve">  </w:t>
      </w:r>
      <w:r>
        <w:rPr>
          <w:rFonts w:hint="eastAsia" w:ascii="宋体" w:hAnsi="宋体"/>
          <w:kern w:val="0"/>
          <w:sz w:val="24"/>
          <w:u w:val="single"/>
        </w:rPr>
        <w:t xml:space="preserve"> </w:t>
      </w:r>
    </w:p>
    <w:bookmarkEnd w:id="218"/>
    <w:bookmarkEnd w:id="219"/>
    <w:bookmarkEnd w:id="220"/>
    <w:bookmarkEnd w:id="221"/>
    <w:bookmarkEnd w:id="222"/>
    <w:bookmarkEnd w:id="223"/>
    <w:bookmarkEnd w:id="224"/>
    <w:bookmarkEnd w:id="225"/>
    <w:p w14:paraId="1F3BA285">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226" w:name="_Toc351203642"/>
      <w:r>
        <w:rPr>
          <w:rFonts w:hint="eastAsia" w:ascii="宋体" w:hAnsi="宋体"/>
          <w:kern w:val="0"/>
          <w:sz w:val="24"/>
        </w:rPr>
        <w:t>1</w:t>
      </w:r>
      <w:bookmarkEnd w:id="199"/>
      <w:bookmarkEnd w:id="200"/>
      <w:bookmarkEnd w:id="201"/>
      <w:bookmarkEnd w:id="202"/>
      <w:bookmarkEnd w:id="203"/>
      <w:bookmarkEnd w:id="204"/>
      <w:bookmarkEnd w:id="205"/>
      <w:bookmarkEnd w:id="206"/>
      <w:bookmarkEnd w:id="207"/>
      <w:bookmarkEnd w:id="208"/>
      <w:bookmarkEnd w:id="209"/>
      <w:bookmarkEnd w:id="210"/>
      <w:bookmarkStart w:id="227" w:name="_Toc297216199"/>
      <w:bookmarkStart w:id="228" w:name="_Toc292559398"/>
      <w:bookmarkStart w:id="229" w:name="_Toc303539146"/>
      <w:bookmarkStart w:id="230" w:name="_Toc296891021"/>
      <w:bookmarkStart w:id="231" w:name="_Toc296503193"/>
      <w:bookmarkStart w:id="232" w:name="_Toc297123540"/>
      <w:bookmarkStart w:id="233" w:name="_Toc297120493"/>
      <w:bookmarkStart w:id="234" w:name="_Toc300934989"/>
      <w:bookmarkStart w:id="235" w:name="_Toc304295566"/>
      <w:bookmarkStart w:id="236" w:name="_Toc292559903"/>
      <w:bookmarkStart w:id="237" w:name="_Toc296944532"/>
      <w:bookmarkStart w:id="238" w:name="_Toc296347192"/>
      <w:bookmarkStart w:id="239" w:name="_Toc297048379"/>
      <w:bookmarkStart w:id="240" w:name="_Toc296346694"/>
      <w:bookmarkStart w:id="241" w:name="_Toc296891233"/>
      <w:bookmarkStart w:id="242" w:name="_Toc312678025"/>
      <w:bookmarkStart w:id="243" w:name="_Toc312677499"/>
      <w:bookmarkStart w:id="244" w:name="_Toc267251441"/>
      <w:bookmarkStart w:id="245" w:name="_Toc267251440"/>
      <w:bookmarkStart w:id="246" w:name="_Toc267251437"/>
      <w:bookmarkStart w:id="247" w:name="_Toc267251439"/>
      <w:bookmarkStart w:id="248" w:name="_Toc267251435"/>
      <w:bookmarkStart w:id="249" w:name="_Toc267251433"/>
      <w:bookmarkStart w:id="250" w:name="_Toc267251442"/>
      <w:r>
        <w:rPr>
          <w:rFonts w:hint="eastAsia" w:ascii="宋体" w:hAnsi="宋体"/>
          <w:kern w:val="0"/>
          <w:sz w:val="24"/>
        </w:rPr>
        <w:t>0. 变更</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bookmarkEnd w:id="242"/>
    <w:bookmarkEnd w:id="243"/>
    <w:p w14:paraId="73356CB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Start w:id="251" w:name="_Toc304295567"/>
      <w:bookmarkStart w:id="252" w:name="_Toc312677500"/>
      <w:bookmarkStart w:id="253" w:name="_Toc296891234"/>
      <w:bookmarkStart w:id="254" w:name="_Toc297123541"/>
      <w:bookmarkStart w:id="255" w:name="_Toc300934990"/>
      <w:bookmarkStart w:id="256" w:name="_Toc296503194"/>
      <w:bookmarkStart w:id="257" w:name="_Toc296891022"/>
      <w:bookmarkStart w:id="258" w:name="_Toc303539147"/>
      <w:bookmarkStart w:id="259" w:name="_Toc296944533"/>
      <w:bookmarkStart w:id="260" w:name="_Toc292559399"/>
      <w:bookmarkStart w:id="261" w:name="_Toc297216200"/>
      <w:bookmarkStart w:id="262" w:name="_Toc297120494"/>
      <w:bookmarkStart w:id="263" w:name="_Toc296346695"/>
      <w:bookmarkStart w:id="264" w:name="_Toc292559904"/>
      <w:bookmarkStart w:id="265" w:name="_Toc312678026"/>
      <w:bookmarkStart w:id="266" w:name="_Toc296347193"/>
      <w:bookmarkStart w:id="267" w:name="_Toc297048380"/>
      <w:r>
        <w:rPr>
          <w:rFonts w:hint="eastAsia" w:ascii="宋体" w:hAnsi="宋体"/>
          <w:sz w:val="24"/>
        </w:rPr>
        <w:t>0.1变更的范围</w:t>
      </w:r>
    </w:p>
    <w:p w14:paraId="66DD6DB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关于变更的范围的约定：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931749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10.4 变更估价</w:t>
      </w:r>
    </w:p>
    <w:p w14:paraId="2715872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10.4.1 变更估价原则</w:t>
      </w:r>
    </w:p>
    <w:p w14:paraId="4786167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关于变更估价的约定: </w:t>
      </w:r>
    </w:p>
    <w:p w14:paraId="7AF946F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10.4.1.1因工程变更引起已标价工程量清单项目或其工程数量发生变化时，按下列规定调整：</w:t>
      </w:r>
    </w:p>
    <w:p w14:paraId="08DCB5C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已标价工程量清单中有适用于变更工程项目的，采用该项目的单价；但对于分部分项工程项目的单价投标报价高于控制价相应子目的单价的清单项目，工程量增加幅度超过本项目工程数量15%（不含15%）的，超过15%的增加部分工程量的单价按控制价相应子目的单价与投标总价降幅同比下浮标准，作为结算的依据；对于分部分项的单价投标报价降幅低于控制价相应子目的单价30%以上的清单项目，工程量减少幅度超过本项目工程数量15%（不含15%）的，超过15%的减少部分工程量的单价按控制价相应子目的单价与投标总价降幅同比下浮标准，提出变更工程项目的单价，作为结算的依据。</w:t>
      </w:r>
    </w:p>
    <w:p w14:paraId="579E3FB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2）</w:t>
      </w:r>
      <w:r>
        <w:rPr>
          <w:rFonts w:hint="eastAsia" w:ascii="宋体" w:hAnsi="宋体"/>
          <w:sz w:val="24"/>
          <w:u w:val="single"/>
        </w:rPr>
        <w:t>已标价工程量清单中没有适用但有类似于变更工程项目的，可在合理范围内参照类似项目的单价。</w:t>
      </w:r>
    </w:p>
    <w:p w14:paraId="7B975AC4">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3）</w:t>
      </w:r>
      <w:r>
        <w:rPr>
          <w:rFonts w:hint="eastAsia" w:ascii="宋体" w:hAnsi="宋体"/>
          <w:sz w:val="24"/>
          <w:u w:val="single"/>
        </w:rPr>
        <w:t>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w:t>
      </w:r>
    </w:p>
    <w:p w14:paraId="25D7623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  4）</w:t>
      </w:r>
      <w:r>
        <w:rPr>
          <w:rFonts w:hint="eastAsia" w:ascii="宋体" w:hAnsi="宋体"/>
          <w:sz w:val="24"/>
          <w:u w:val="single"/>
        </w:rPr>
        <w:t>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w:t>
      </w:r>
    </w:p>
    <w:p w14:paraId="3F3BDB4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10.4.1.2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31E76C4C">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安全文明施工费应按照实际发生变化的措施项目依据原</w:t>
      </w:r>
      <w:r>
        <w:rPr>
          <w:rFonts w:hint="eastAsia" w:ascii="宋体" w:hAnsi="宋体"/>
          <w:sz w:val="24"/>
          <w:u w:val="single"/>
          <w:lang w:eastAsia="zh-CN"/>
        </w:rPr>
        <w:t>采购文件</w:t>
      </w:r>
      <w:r>
        <w:rPr>
          <w:rFonts w:hint="eastAsia" w:ascii="宋体" w:hAnsi="宋体"/>
          <w:sz w:val="24"/>
          <w:u w:val="single"/>
        </w:rPr>
        <w:t xml:space="preserve">规定的费率计算；  </w:t>
      </w:r>
    </w:p>
    <w:p w14:paraId="5E84E159">
      <w:pPr>
        <w:pStyle w:val="77"/>
        <w:tabs>
          <w:tab w:val="left" w:pos="360"/>
        </w:tabs>
        <w:adjustRightInd w:val="0"/>
        <w:snapToGrid w:val="0"/>
        <w:spacing w:line="360" w:lineRule="auto"/>
        <w:ind w:right="178" w:rightChars="85" w:firstLine="480" w:firstLineChars="200"/>
        <w:jc w:val="left"/>
        <w:rPr>
          <w:rFonts w:hint="eastAsia" w:ascii="宋体" w:hAnsi="宋体"/>
          <w:sz w:val="24"/>
          <w:u w:val="single"/>
        </w:rPr>
      </w:pPr>
      <w:r>
        <w:rPr>
          <w:rFonts w:hint="eastAsia" w:ascii="宋体" w:hAnsi="宋体"/>
          <w:sz w:val="24"/>
        </w:rPr>
        <w:t xml:space="preserve"> 2）</w:t>
      </w:r>
      <w:r>
        <w:rPr>
          <w:rFonts w:hint="eastAsia" w:ascii="宋体" w:hAnsi="宋体"/>
          <w:sz w:val="24"/>
          <w:u w:val="single"/>
        </w:rPr>
        <w:t>按照单价计算的措施项目费，应按照实际发生变化的措施项目，按本合同专业条款第</w:t>
      </w:r>
      <w:r>
        <w:rPr>
          <w:rFonts w:hint="eastAsia" w:ascii="宋体" w:hAnsi="宋体"/>
          <w:kern w:val="0"/>
          <w:sz w:val="24"/>
          <w:u w:val="single"/>
        </w:rPr>
        <w:t xml:space="preserve">10.4.1.1条计算；   </w:t>
      </w:r>
    </w:p>
    <w:p w14:paraId="0F726F1E">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u w:val="single"/>
        </w:rPr>
        <w:t xml:space="preserve"> 3）按总价（或系数）计算的措施项目费，应按照实际发生变化的措施项目和承包人投标总价降幅同比下浮标准，提出新的措施项目费，作为结算的依据；  </w:t>
      </w:r>
    </w:p>
    <w:p w14:paraId="5D2B1BEF">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u w:val="single"/>
        </w:rPr>
        <w:t xml:space="preserve"> 4）如果承包人未事前将拟实施的方案提交给发包人确认，则应视为工程变更不引起措施项目费的调整或承包人放弃调整措施项目费的权利。  </w:t>
      </w:r>
    </w:p>
    <w:p w14:paraId="7CCC053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宋体" w:hAnsi="宋体"/>
          <w:sz w:val="24"/>
        </w:rPr>
        <w:t>0.5承包人的合理化建议</w:t>
      </w:r>
    </w:p>
    <w:p w14:paraId="1D22BD4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监理人审查承包人合理化建议的期限：</w:t>
      </w:r>
      <w:r>
        <w:rPr>
          <w:rFonts w:hint="eastAsia" w:ascii="宋体" w:hAnsi="宋体"/>
          <w:sz w:val="24"/>
          <w:u w:val="single"/>
        </w:rPr>
        <w:t xml:space="preserve">   收到承包人提交的合理化建议后7天内审查完毕(</w:t>
      </w:r>
      <w:r>
        <w:rPr>
          <w:rFonts w:hint="eastAsia" w:ascii="宋体" w:hAnsi="宋体"/>
          <w:kern w:val="0"/>
          <w:sz w:val="24"/>
          <w:u w:val="single"/>
        </w:rPr>
        <w:t>执行通用条款)。</w:t>
      </w:r>
      <w:r>
        <w:rPr>
          <w:rFonts w:hint="eastAsia" w:ascii="宋体" w:hAnsi="宋体"/>
          <w:sz w:val="24"/>
          <w:u w:val="single"/>
        </w:rPr>
        <w:t xml:space="preserve">    </w:t>
      </w:r>
    </w:p>
    <w:p w14:paraId="795860A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发包人审批承包人合理化建议的期限：</w:t>
      </w:r>
      <w:r>
        <w:rPr>
          <w:rFonts w:hint="eastAsia" w:ascii="宋体" w:hAnsi="宋体"/>
          <w:sz w:val="24"/>
          <w:u w:val="single"/>
        </w:rPr>
        <w:t xml:space="preserve">   收到监理人报送的合理化建议后7天内审批完毕(</w:t>
      </w:r>
      <w:r>
        <w:rPr>
          <w:rFonts w:hint="eastAsia" w:ascii="宋体" w:hAnsi="宋体"/>
          <w:kern w:val="0"/>
          <w:sz w:val="24"/>
          <w:u w:val="single"/>
        </w:rPr>
        <w:t>执行通用条款)。</w:t>
      </w:r>
      <w:r>
        <w:rPr>
          <w:rFonts w:hint="eastAsia" w:ascii="宋体" w:hAnsi="宋体"/>
          <w:sz w:val="24"/>
          <w:u w:val="single"/>
        </w:rPr>
        <w:t xml:space="preserve">    </w:t>
      </w:r>
    </w:p>
    <w:p w14:paraId="7C506D9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承</w:t>
      </w:r>
      <w:bookmarkStart w:id="268" w:name="_Toc292559914"/>
      <w:bookmarkStart w:id="269" w:name="_Toc296347203"/>
      <w:bookmarkStart w:id="270" w:name="_Toc312677504"/>
      <w:bookmarkStart w:id="271" w:name="_Toc296944543"/>
      <w:bookmarkStart w:id="272" w:name="_Toc297120504"/>
      <w:bookmarkStart w:id="273" w:name="_Toc296346705"/>
      <w:bookmarkStart w:id="274" w:name="_Toc296503204"/>
      <w:bookmarkStart w:id="275" w:name="_Toc297216205"/>
      <w:bookmarkStart w:id="276" w:name="_Toc297048390"/>
      <w:bookmarkStart w:id="277" w:name="_Toc296891032"/>
      <w:bookmarkStart w:id="278" w:name="_Toc318581175"/>
      <w:bookmarkStart w:id="279" w:name="_Toc297123546"/>
      <w:bookmarkStart w:id="280" w:name="_Toc304295571"/>
      <w:bookmarkStart w:id="281" w:name="_Toc296891244"/>
      <w:bookmarkStart w:id="282" w:name="_Toc300934995"/>
      <w:bookmarkStart w:id="283" w:name="_Toc292559409"/>
      <w:bookmarkStart w:id="284" w:name="_Toc303539152"/>
      <w:bookmarkStart w:id="285" w:name="_Toc312678030"/>
      <w:r>
        <w:rPr>
          <w:rFonts w:hint="eastAsia" w:ascii="宋体" w:hAnsi="宋体"/>
          <w:sz w:val="24"/>
        </w:rPr>
        <w:t>包人提出的合理化建议降低了合同价格或者提高了工程经济效益的奖励的方法和金额为：</w:t>
      </w:r>
      <w:r>
        <w:rPr>
          <w:rFonts w:hint="eastAsia" w:ascii="宋体" w:hAnsi="宋体"/>
          <w:sz w:val="24"/>
          <w:u w:val="single"/>
        </w:rPr>
        <w:t xml:space="preserve">  /   </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32A833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Start w:id="286" w:name="_Toc304295574"/>
      <w:bookmarkStart w:id="287" w:name="_Toc297048385"/>
      <w:bookmarkStart w:id="288" w:name="_Toc292559909"/>
      <w:bookmarkStart w:id="289" w:name="_Toc296944538"/>
      <w:bookmarkStart w:id="290" w:name="_Toc312677507"/>
      <w:bookmarkStart w:id="291" w:name="_Toc296503199"/>
      <w:bookmarkStart w:id="292" w:name="_Toc303539154"/>
      <w:bookmarkStart w:id="293" w:name="_Toc297123548"/>
      <w:bookmarkStart w:id="294" w:name="_Toc297216207"/>
      <w:bookmarkStart w:id="295" w:name="_Toc292559404"/>
      <w:bookmarkStart w:id="296" w:name="_Toc300934997"/>
      <w:bookmarkStart w:id="297" w:name="_Toc297120499"/>
      <w:bookmarkStart w:id="298" w:name="_Toc296347198"/>
      <w:bookmarkStart w:id="299" w:name="_Toc296891027"/>
      <w:bookmarkStart w:id="300" w:name="_Toc296891239"/>
      <w:bookmarkStart w:id="301" w:name="_Toc312678033"/>
      <w:bookmarkStart w:id="302" w:name="_Toc296346700"/>
      <w:r>
        <w:rPr>
          <w:rFonts w:hint="eastAsia" w:ascii="宋体" w:hAnsi="宋体"/>
          <w:sz w:val="24"/>
        </w:rPr>
        <w:t>0.7 暂估价</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14:paraId="7F249D6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暂</w:t>
      </w:r>
      <w:bookmarkStart w:id="303" w:name="_Toc318581176"/>
      <w:bookmarkStart w:id="304" w:name="_Toc312677508"/>
      <w:bookmarkStart w:id="305" w:name="_Toc312678034"/>
      <w:r>
        <w:rPr>
          <w:rFonts w:hint="eastAsia" w:ascii="宋体" w:hAnsi="宋体"/>
          <w:kern w:val="0"/>
          <w:sz w:val="24"/>
        </w:rPr>
        <w:t>估价材料和工程设备的明细详见附件11：《</w:t>
      </w:r>
      <w:r>
        <w:rPr>
          <w:rFonts w:hint="eastAsia" w:ascii="宋体" w:hAnsi="宋体"/>
          <w:sz w:val="24"/>
        </w:rPr>
        <w:t>暂估价一览表》</w:t>
      </w:r>
      <w:r>
        <w:rPr>
          <w:rFonts w:hint="eastAsia" w:ascii="宋体" w:hAnsi="宋体"/>
          <w:kern w:val="0"/>
          <w:sz w:val="24"/>
        </w:rPr>
        <w:t>。</w:t>
      </w:r>
    </w:p>
    <w:bookmarkEnd w:id="303"/>
    <w:bookmarkEnd w:id="304"/>
    <w:bookmarkEnd w:id="305"/>
    <w:p w14:paraId="163F7EC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10.7.1 依法必须招标的暂估价项目</w:t>
      </w:r>
    </w:p>
    <w:p w14:paraId="23A541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对于依法必须招标的暂估价项目的确认和批准采取第</w:t>
      </w:r>
      <w:r>
        <w:rPr>
          <w:rFonts w:hint="eastAsia" w:ascii="宋体" w:hAnsi="宋体"/>
          <w:sz w:val="24"/>
          <w:u w:val="single"/>
        </w:rPr>
        <w:t xml:space="preserve">  2  </w:t>
      </w:r>
      <w:r>
        <w:rPr>
          <w:rFonts w:hint="eastAsia" w:ascii="宋体" w:hAnsi="宋体"/>
          <w:sz w:val="24"/>
        </w:rPr>
        <w:t>种方式确定,</w:t>
      </w:r>
      <w:r>
        <w:rPr>
          <w:rFonts w:hint="eastAsia" w:ascii="宋体" w:hAnsi="宋体"/>
          <w:sz w:val="24"/>
          <w:u w:val="single"/>
        </w:rPr>
        <w:t xml:space="preserve">并应按相关规定在安徽合肥公共资源交易中心进行二次招标。    </w:t>
      </w:r>
    </w:p>
    <w:p w14:paraId="164AC1B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10.7.2 不属于依法必须招标的暂估价项目</w:t>
      </w:r>
    </w:p>
    <w:p w14:paraId="4567B3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对于不属于依法必须招标的暂估价项目的确认和批准采取第</w:t>
      </w:r>
      <w:r>
        <w:rPr>
          <w:rFonts w:hint="eastAsia" w:ascii="宋体" w:hAnsi="宋体"/>
          <w:sz w:val="24"/>
          <w:u w:val="single"/>
        </w:rPr>
        <w:t xml:space="preserve">  1 </w:t>
      </w:r>
      <w:r>
        <w:rPr>
          <w:rFonts w:hint="eastAsia" w:ascii="宋体" w:hAnsi="宋体"/>
          <w:sz w:val="24"/>
        </w:rPr>
        <w:t xml:space="preserve"> 种方式确定。</w:t>
      </w:r>
    </w:p>
    <w:p w14:paraId="3DFC07E4">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第3种方式：</w:t>
      </w:r>
      <w:r>
        <w:rPr>
          <w:rFonts w:hint="eastAsia" w:ascii="宋体" w:hAnsi="宋体"/>
          <w:kern w:val="0"/>
          <w:sz w:val="24"/>
        </w:rPr>
        <w:t>承包人直接实施的暂估价项目</w:t>
      </w:r>
    </w:p>
    <w:p w14:paraId="32E313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承包人直接实施的暂估价项目的约定：</w:t>
      </w:r>
      <w:r>
        <w:rPr>
          <w:rFonts w:hint="eastAsia" w:ascii="宋体" w:hAnsi="宋体"/>
          <w:sz w:val="24"/>
          <w:u w:val="single"/>
        </w:rPr>
        <w:t xml:space="preserve">    /    </w:t>
      </w:r>
    </w:p>
    <w:p w14:paraId="54E81CC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10.8 暂列金额</w:t>
      </w:r>
    </w:p>
    <w:p w14:paraId="54E21DF3">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合同当事人关于暂列金额使用的约定：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7BD115C8">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06" w:name="_Toc351203643"/>
      <w:r>
        <w:rPr>
          <w:rFonts w:hint="eastAsia" w:ascii="宋体" w:hAnsi="宋体"/>
          <w:kern w:val="0"/>
          <w:sz w:val="24"/>
        </w:rPr>
        <w:t>11. 价格调整</w:t>
      </w:r>
      <w:bookmarkEnd w:id="306"/>
    </w:p>
    <w:p w14:paraId="6D3815E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11.1 市场价格波动引起的调整</w:t>
      </w:r>
    </w:p>
    <w:p w14:paraId="04AD1356">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市场价格波动是否调整合同价格的约定：</w:t>
      </w:r>
      <w:r>
        <w:rPr>
          <w:rFonts w:hint="eastAsia" w:ascii="宋体" w:hAnsi="宋体"/>
          <w:sz w:val="24"/>
          <w:u w:val="single"/>
        </w:rPr>
        <w:t xml:space="preserve">  在本合同履行期间，</w:t>
      </w:r>
      <w:r>
        <w:rPr>
          <w:rFonts w:hint="eastAsia" w:ascii="宋体" w:hAnsi="宋体"/>
          <w:kern w:val="0"/>
          <w:sz w:val="24"/>
          <w:u w:val="single"/>
        </w:rPr>
        <w:t>市场价格波动时合同价格</w:t>
      </w:r>
      <w:r>
        <w:rPr>
          <w:rFonts w:hint="eastAsia" w:ascii="宋体" w:hAnsi="宋体"/>
          <w:sz w:val="24"/>
          <w:u w:val="single"/>
        </w:rPr>
        <w:t xml:space="preserve">不予调整。  </w:t>
      </w:r>
    </w:p>
    <w:p w14:paraId="0CFA8D7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因市场价格波动调整合同价格，采用以下第</w:t>
      </w:r>
      <w:r>
        <w:rPr>
          <w:rFonts w:hint="eastAsia" w:ascii="宋体" w:hAnsi="宋体"/>
          <w:sz w:val="24"/>
          <w:u w:val="single"/>
        </w:rPr>
        <w:t xml:space="preserve">  不采用  </w:t>
      </w:r>
      <w:r>
        <w:rPr>
          <w:rFonts w:hint="eastAsia" w:ascii="宋体" w:hAnsi="宋体"/>
          <w:sz w:val="24"/>
        </w:rPr>
        <w:t>种方式对合同价格进行调整：</w:t>
      </w:r>
    </w:p>
    <w:p w14:paraId="6703E38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第1种方式：采用价格指数进行价格调整。</w:t>
      </w:r>
    </w:p>
    <w:p w14:paraId="1A02EBC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关于各可调因子、定值和变值权重，以及基本价格指数及其来源的约定：</w:t>
      </w:r>
      <w:r>
        <w:rPr>
          <w:rFonts w:hint="eastAsia" w:ascii="宋体" w:hAnsi="宋体"/>
          <w:sz w:val="24"/>
          <w:u w:val="single"/>
        </w:rPr>
        <w:t xml:space="preserve">  不采用。 </w:t>
      </w:r>
    </w:p>
    <w:p w14:paraId="43D6E68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第2种方式：采用造价信息进行价格调整。</w:t>
      </w:r>
    </w:p>
    <w:p w14:paraId="54FC8CC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（2）关于基准价格的约定：</w:t>
      </w:r>
      <w:r>
        <w:rPr>
          <w:rFonts w:hint="eastAsia" w:ascii="宋体" w:hAnsi="宋体"/>
          <w:sz w:val="24"/>
          <w:u w:val="single"/>
        </w:rPr>
        <w:t xml:space="preserve">  不采用。   </w:t>
      </w:r>
    </w:p>
    <w:p w14:paraId="564EA42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专用合同条款</w:t>
      </w:r>
      <w:r>
        <w:rPr>
          <w:rFonts w:hint="eastAsia" w:ascii="宋体" w:hAnsi="宋体" w:cs="宋体"/>
          <w:sz w:val="24"/>
        </w:rPr>
        <w:t>①</w:t>
      </w:r>
      <w:r>
        <w:rPr>
          <w:rFonts w:hint="eastAsia" w:ascii="宋体" w:hAnsi="宋体"/>
          <w:sz w:val="24"/>
        </w:rPr>
        <w:t>承包人在已标价工程量清单或预算书中载明的材料单价低于基准价格的：专用合同条款合同履行期间材料单价涨幅以基准价格为基础超过</w:t>
      </w:r>
      <w:r>
        <w:rPr>
          <w:rFonts w:hint="eastAsia" w:ascii="宋体" w:hAnsi="宋体"/>
          <w:sz w:val="24"/>
          <w:u w:val="single"/>
        </w:rPr>
        <w:t xml:space="preserve">   </w:t>
      </w:r>
      <w:r>
        <w:rPr>
          <w:rFonts w:hint="eastAsia" w:ascii="宋体" w:hAnsi="宋体"/>
          <w:sz w:val="24"/>
        </w:rPr>
        <w:t>%时，或材料单价跌幅以已标价工程量清单或预算书中载明材料单价为基础超过</w:t>
      </w:r>
      <w:r>
        <w:rPr>
          <w:rFonts w:hint="eastAsia" w:ascii="宋体" w:hAnsi="宋体"/>
          <w:sz w:val="24"/>
          <w:u w:val="single"/>
        </w:rPr>
        <w:t xml:space="preserve">   </w:t>
      </w:r>
      <w:r>
        <w:rPr>
          <w:rFonts w:hint="eastAsia" w:ascii="宋体" w:hAnsi="宋体"/>
          <w:sz w:val="24"/>
        </w:rPr>
        <w:t>%时，其超过部分据实调整。</w:t>
      </w:r>
    </w:p>
    <w:p w14:paraId="102752B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cs="宋体"/>
          <w:sz w:val="24"/>
        </w:rPr>
        <w:t>②</w:t>
      </w:r>
      <w:r>
        <w:rPr>
          <w:rFonts w:hint="eastAsia" w:ascii="宋体" w:hAnsi="宋体"/>
          <w:sz w:val="24"/>
        </w:rPr>
        <w:t>承包人在已标价工程量清单或预算书中载明的材料单价高于基准价格的：专用合同条款合同履行期间材料单价跌幅以基准价格为基础超过</w:t>
      </w:r>
      <w:r>
        <w:rPr>
          <w:rFonts w:hint="eastAsia" w:ascii="宋体" w:hAnsi="宋体"/>
          <w:sz w:val="24"/>
          <w:u w:val="single"/>
        </w:rPr>
        <w:t xml:space="preserve">   </w:t>
      </w:r>
      <w:r>
        <w:rPr>
          <w:rFonts w:hint="eastAsia" w:ascii="宋体" w:hAnsi="宋体"/>
          <w:sz w:val="24"/>
        </w:rPr>
        <w:t>%时，材料单价涨幅以已标价工程量清单或预算书中载明材料单价为基础超过</w:t>
      </w:r>
      <w:r>
        <w:rPr>
          <w:rFonts w:hint="eastAsia" w:ascii="宋体" w:hAnsi="宋体"/>
          <w:sz w:val="24"/>
          <w:u w:val="single"/>
        </w:rPr>
        <w:t xml:space="preserve">   </w:t>
      </w:r>
      <w:r>
        <w:rPr>
          <w:rFonts w:hint="eastAsia" w:ascii="宋体" w:hAnsi="宋体"/>
          <w:sz w:val="24"/>
        </w:rPr>
        <w:t>%时，其超过部分据实调整。</w:t>
      </w:r>
    </w:p>
    <w:p w14:paraId="03618A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cs="宋体"/>
          <w:sz w:val="24"/>
        </w:rPr>
        <w:t>③</w:t>
      </w:r>
      <w:r>
        <w:rPr>
          <w:rFonts w:hint="eastAsia" w:ascii="宋体" w:hAnsi="宋体"/>
          <w:sz w:val="24"/>
        </w:rPr>
        <w:t>承包人在已标价工程量清单或预算书中载明的材料单价等于基准单价的：专用合同条款合同履行期间材料单价涨跌幅以基准单价为基础超过±</w:t>
      </w:r>
      <w:r>
        <w:rPr>
          <w:rFonts w:hint="eastAsia" w:ascii="宋体" w:hAnsi="宋体"/>
          <w:sz w:val="24"/>
          <w:u w:val="single"/>
        </w:rPr>
        <w:t xml:space="preserve">   </w:t>
      </w:r>
      <w:r>
        <w:rPr>
          <w:rFonts w:hint="eastAsia" w:ascii="宋体" w:hAnsi="宋体"/>
          <w:sz w:val="24"/>
        </w:rPr>
        <w:t>%时，其超过部分据实调整。</w:t>
      </w:r>
    </w:p>
    <w:p w14:paraId="364E70E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第3种方式：其他价格调整方式：</w:t>
      </w:r>
      <w:r>
        <w:rPr>
          <w:rFonts w:hint="eastAsia" w:ascii="宋体" w:hAnsi="宋体"/>
          <w:sz w:val="24"/>
          <w:u w:val="single"/>
        </w:rPr>
        <w:t xml:space="preserve">  /     </w:t>
      </w:r>
    </w:p>
    <w:bookmarkEnd w:id="244"/>
    <w:bookmarkEnd w:id="245"/>
    <w:bookmarkEnd w:id="246"/>
    <w:bookmarkEnd w:id="247"/>
    <w:bookmarkEnd w:id="248"/>
    <w:bookmarkEnd w:id="249"/>
    <w:p w14:paraId="126E559F">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07" w:name="_Toc296347204"/>
      <w:bookmarkStart w:id="308" w:name="_Toc297120505"/>
      <w:bookmarkStart w:id="309" w:name="_Toc292559410"/>
      <w:bookmarkStart w:id="310" w:name="_Toc296944544"/>
      <w:bookmarkStart w:id="311" w:name="_Toc296891033"/>
      <w:bookmarkStart w:id="312" w:name="_Toc296346706"/>
      <w:bookmarkStart w:id="313" w:name="_Toc292559915"/>
      <w:bookmarkStart w:id="314" w:name="_Toc296891245"/>
      <w:bookmarkStart w:id="315" w:name="_Toc296503205"/>
      <w:bookmarkStart w:id="316" w:name="_Toc297048391"/>
      <w:bookmarkStart w:id="317" w:name="_Toc351203644"/>
      <w:bookmarkStart w:id="318" w:name="_Toc303539159"/>
      <w:bookmarkStart w:id="319" w:name="_Toc312678040"/>
      <w:bookmarkStart w:id="320" w:name="_Toc300935002"/>
      <w:bookmarkStart w:id="321" w:name="_Toc297216211"/>
      <w:bookmarkStart w:id="322" w:name="_Toc304295579"/>
      <w:bookmarkStart w:id="323" w:name="_Toc297123552"/>
      <w:r>
        <w:rPr>
          <w:rFonts w:hint="eastAsia" w:ascii="宋体" w:hAnsi="宋体"/>
          <w:kern w:val="0"/>
          <w:sz w:val="24"/>
        </w:rPr>
        <w:t xml:space="preserve">12. </w:t>
      </w:r>
      <w:bookmarkEnd w:id="307"/>
      <w:bookmarkEnd w:id="308"/>
      <w:bookmarkEnd w:id="309"/>
      <w:bookmarkEnd w:id="310"/>
      <w:bookmarkEnd w:id="311"/>
      <w:bookmarkEnd w:id="312"/>
      <w:bookmarkEnd w:id="313"/>
      <w:bookmarkEnd w:id="314"/>
      <w:bookmarkEnd w:id="315"/>
      <w:bookmarkEnd w:id="316"/>
      <w:r>
        <w:rPr>
          <w:rFonts w:hint="eastAsia" w:ascii="宋体" w:hAnsi="宋体"/>
          <w:kern w:val="0"/>
          <w:sz w:val="24"/>
        </w:rPr>
        <w:t>合同价格、计量与支付</w:t>
      </w:r>
      <w:bookmarkEnd w:id="317"/>
    </w:p>
    <w:bookmarkEnd w:id="318"/>
    <w:bookmarkEnd w:id="319"/>
    <w:bookmarkEnd w:id="320"/>
    <w:bookmarkEnd w:id="321"/>
    <w:bookmarkEnd w:id="322"/>
    <w:bookmarkEnd w:id="323"/>
    <w:p w14:paraId="5095CAC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12.1 合同价格形式：</w:t>
      </w:r>
      <w:r>
        <w:rPr>
          <w:rFonts w:hint="eastAsia" w:ascii="宋体" w:hAnsi="宋体"/>
          <w:b/>
          <w:sz w:val="24"/>
          <w:u w:val="single"/>
        </w:rPr>
        <w:t xml:space="preserve">  总价合同。 </w:t>
      </w:r>
    </w:p>
    <w:p w14:paraId="45D52332">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1、单价合同。</w:t>
      </w:r>
    </w:p>
    <w:p w14:paraId="4337E39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综合单价包含的风险范围：</w:t>
      </w:r>
      <w:r>
        <w:rPr>
          <w:rFonts w:hint="eastAsia" w:ascii="宋体" w:hAnsi="宋体"/>
          <w:sz w:val="24"/>
          <w:u w:val="single"/>
        </w:rPr>
        <w:t xml:space="preserve">  /     </w:t>
      </w:r>
    </w:p>
    <w:p w14:paraId="0863EA7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p>
    <w:p w14:paraId="4B2439D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     </w:t>
      </w:r>
    </w:p>
    <w:p w14:paraId="5738CB4D">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2、总价合同。</w:t>
      </w:r>
    </w:p>
    <w:p w14:paraId="0483C20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总价包含的风险范围：</w:t>
      </w:r>
      <w:r>
        <w:rPr>
          <w:rFonts w:hint="eastAsia" w:ascii="宋体" w:hAnsi="宋体"/>
          <w:sz w:val="24"/>
          <w:u w:val="single"/>
        </w:rPr>
        <w:t xml:space="preserve">  人工、材料、机械费用的市场价格变化，以及除不可抗力以外的其它风险。  </w:t>
      </w:r>
    </w:p>
    <w:p w14:paraId="3C78095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承包人在投标报价时已经考虑风险费用，不再另行计取。 </w:t>
      </w:r>
    </w:p>
    <w:p w14:paraId="4E0D457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见补充条款。   </w:t>
      </w:r>
    </w:p>
    <w:p w14:paraId="5598ACF6">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3、其他价格方式：</w:t>
      </w:r>
      <w:r>
        <w:rPr>
          <w:rFonts w:hint="eastAsia" w:ascii="宋体" w:hAnsi="宋体"/>
          <w:sz w:val="24"/>
          <w:u w:val="single"/>
        </w:rPr>
        <w:t xml:space="preserve">  /     </w:t>
      </w:r>
    </w:p>
    <w:p w14:paraId="7B3EA6F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324" w:name="_Toc297048393"/>
      <w:bookmarkStart w:id="325" w:name="_Toc296503207"/>
      <w:bookmarkStart w:id="326" w:name="_Toc297120507"/>
      <w:bookmarkStart w:id="327" w:name="_Toc292559412"/>
      <w:bookmarkStart w:id="328" w:name="_Toc292559917"/>
      <w:bookmarkStart w:id="329" w:name="_Toc296944546"/>
      <w:bookmarkStart w:id="330" w:name="_Toc296891247"/>
      <w:bookmarkStart w:id="331" w:name="_Toc296891035"/>
      <w:bookmarkStart w:id="332" w:name="_Toc296347206"/>
      <w:bookmarkStart w:id="333" w:name="_Toc296346708"/>
      <w:r>
        <w:rPr>
          <w:rFonts w:hint="eastAsia" w:ascii="宋体" w:hAnsi="宋体"/>
          <w:sz w:val="24"/>
        </w:rPr>
        <w:t>12.2 预付款</w:t>
      </w:r>
    </w:p>
    <w:p w14:paraId="2D38B84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12.2.1 预付款的支付</w:t>
      </w:r>
    </w:p>
    <w:p w14:paraId="46A5B66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预付款支付比例或金额：</w:t>
      </w:r>
      <w:r>
        <w:rPr>
          <w:rFonts w:hint="eastAsia" w:ascii="宋体" w:hAnsi="宋体"/>
          <w:sz w:val="24"/>
          <w:u w:val="single"/>
        </w:rPr>
        <w:t xml:space="preserve">  不采用。   </w:t>
      </w:r>
    </w:p>
    <w:p w14:paraId="6B69C3B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预付款支付期限：</w:t>
      </w:r>
      <w:r>
        <w:rPr>
          <w:rFonts w:hint="eastAsia" w:ascii="宋体" w:hAnsi="宋体"/>
          <w:sz w:val="24"/>
          <w:u w:val="single"/>
        </w:rPr>
        <w:t xml:space="preserve">  不采用。   </w:t>
      </w:r>
    </w:p>
    <w:p w14:paraId="3D8616B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预付款扣回的方式：</w:t>
      </w:r>
      <w:r>
        <w:rPr>
          <w:rFonts w:hint="eastAsia" w:ascii="宋体" w:hAnsi="宋体"/>
          <w:sz w:val="24"/>
          <w:u w:val="single"/>
        </w:rPr>
        <w:t xml:space="preserve">  不采用。   </w:t>
      </w:r>
    </w:p>
    <w:p w14:paraId="58A172A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12.2.2 预付款担保</w:t>
      </w:r>
    </w:p>
    <w:p w14:paraId="7A3A257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承包人提交预付款担保的期限：</w:t>
      </w:r>
      <w:r>
        <w:rPr>
          <w:rFonts w:hint="eastAsia" w:ascii="宋体" w:hAnsi="宋体"/>
          <w:sz w:val="24"/>
          <w:u w:val="single"/>
        </w:rPr>
        <w:t xml:space="preserve">  不采用。   </w:t>
      </w:r>
    </w:p>
    <w:p w14:paraId="49BE033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预付款担保的形式为：</w:t>
      </w:r>
      <w:r>
        <w:rPr>
          <w:rFonts w:hint="eastAsia" w:ascii="宋体" w:hAnsi="宋体"/>
          <w:sz w:val="24"/>
          <w:u w:val="single"/>
        </w:rPr>
        <w:t xml:space="preserve">  不采用。   </w:t>
      </w:r>
    </w:p>
    <w:bookmarkEnd w:id="324"/>
    <w:bookmarkEnd w:id="325"/>
    <w:bookmarkEnd w:id="326"/>
    <w:bookmarkEnd w:id="327"/>
    <w:bookmarkEnd w:id="328"/>
    <w:bookmarkEnd w:id="329"/>
    <w:bookmarkEnd w:id="330"/>
    <w:bookmarkEnd w:id="331"/>
    <w:bookmarkEnd w:id="332"/>
    <w:bookmarkEnd w:id="333"/>
    <w:p w14:paraId="30DDB9EE">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12.3 计量</w:t>
      </w:r>
    </w:p>
    <w:p w14:paraId="7E4AEC3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12.3.1 计量原则</w:t>
      </w:r>
    </w:p>
    <w:p w14:paraId="06D6381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工程量计算规则：</w:t>
      </w:r>
      <w:r>
        <w:rPr>
          <w:rFonts w:hint="eastAsia" w:ascii="宋体" w:hAnsi="宋体"/>
          <w:sz w:val="24"/>
          <w:u w:val="single"/>
        </w:rPr>
        <w:t xml:space="preserve">  按</w:t>
      </w:r>
      <w:r>
        <w:rPr>
          <w:rFonts w:hint="eastAsia" w:ascii="宋体" w:hAnsi="宋体"/>
          <w:sz w:val="24"/>
          <w:u w:val="single"/>
          <w:lang w:eastAsia="zh-CN"/>
        </w:rPr>
        <w:t>采购文件</w:t>
      </w:r>
      <w:r>
        <w:rPr>
          <w:rFonts w:hint="eastAsia" w:ascii="宋体" w:hAnsi="宋体"/>
          <w:sz w:val="24"/>
          <w:u w:val="single"/>
        </w:rPr>
        <w:t xml:space="preserve">、招标工程量清单及控制价所采用的工程量清单计价规范及配套文件等执行。  </w:t>
      </w:r>
    </w:p>
    <w:p w14:paraId="0EF840A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12.3.2 计量周期</w:t>
      </w:r>
    </w:p>
    <w:p w14:paraId="2AE9036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关于计量周期的约定：</w:t>
      </w:r>
      <w:r>
        <w:rPr>
          <w:rFonts w:hint="eastAsia" w:ascii="宋体" w:hAnsi="宋体"/>
          <w:sz w:val="24"/>
          <w:u w:val="single"/>
        </w:rPr>
        <w:t xml:space="preserve">  工程量的计量按月进行(</w:t>
      </w:r>
      <w:r>
        <w:rPr>
          <w:rFonts w:hint="eastAsia" w:ascii="宋体" w:hAnsi="宋体"/>
          <w:kern w:val="0"/>
          <w:sz w:val="24"/>
          <w:u w:val="single"/>
        </w:rPr>
        <w:t>执行通用条款)。</w:t>
      </w:r>
      <w:r>
        <w:rPr>
          <w:rFonts w:hint="eastAsia" w:ascii="宋体" w:hAnsi="宋体"/>
          <w:sz w:val="24"/>
          <w:u w:val="single"/>
        </w:rPr>
        <w:t xml:space="preserve">   </w:t>
      </w:r>
    </w:p>
    <w:p w14:paraId="759DCC2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12.3.3 单价合同的计量</w:t>
      </w:r>
    </w:p>
    <w:p w14:paraId="7A28CF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关于单价合同计量的约定：</w:t>
      </w:r>
      <w:r>
        <w:rPr>
          <w:rFonts w:hint="eastAsia" w:ascii="宋体" w:hAnsi="宋体"/>
          <w:sz w:val="24"/>
          <w:u w:val="single"/>
        </w:rPr>
        <w:t xml:space="preserve">  /     </w:t>
      </w:r>
    </w:p>
    <w:p w14:paraId="6CE2F93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12.3.4 总价合同的计量</w:t>
      </w:r>
    </w:p>
    <w:p w14:paraId="0429736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关于总价合同计量的约定：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14D6E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12.3.5总价合同采用支付分解表计量支付的，是否适用第</w:t>
      </w:r>
      <w:r>
        <w:rPr>
          <w:rFonts w:hint="eastAsia" w:ascii="宋体" w:hAnsi="宋体"/>
          <w:kern w:val="0"/>
          <w:sz w:val="24"/>
        </w:rPr>
        <w:t xml:space="preserve">12.3.4 </w:t>
      </w:r>
      <w:r>
        <w:rPr>
          <w:rFonts w:hint="eastAsia" w:ascii="宋体" w:hAnsi="宋体"/>
          <w:sz w:val="24"/>
        </w:rPr>
        <w:t>项</w:t>
      </w:r>
      <w:r>
        <w:rPr>
          <w:rFonts w:hint="eastAsia" w:ascii="宋体" w:hAnsi="宋体"/>
          <w:kern w:val="0"/>
          <w:sz w:val="24"/>
        </w:rPr>
        <w:t>〔总价合同的计量〕</w:t>
      </w:r>
      <w:r>
        <w:rPr>
          <w:rFonts w:hint="eastAsia" w:ascii="宋体" w:hAnsi="宋体"/>
          <w:sz w:val="24"/>
        </w:rPr>
        <w:t>约定进行计量：</w:t>
      </w:r>
      <w:r>
        <w:rPr>
          <w:rFonts w:hint="eastAsia" w:ascii="宋体" w:hAnsi="宋体"/>
          <w:sz w:val="24"/>
          <w:u w:val="single"/>
        </w:rPr>
        <w:t xml:space="preserve">  不采用。  </w:t>
      </w:r>
    </w:p>
    <w:p w14:paraId="3567238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12.3.6 其他价格形式合同的计量</w:t>
      </w:r>
    </w:p>
    <w:p w14:paraId="512B56B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其他价格形式的计量方式和程序：</w:t>
      </w:r>
      <w:r>
        <w:rPr>
          <w:rFonts w:hint="eastAsia" w:ascii="宋体" w:hAnsi="宋体"/>
          <w:sz w:val="24"/>
          <w:u w:val="single"/>
        </w:rPr>
        <w:t xml:space="preserve">  不采用。   </w:t>
      </w:r>
    </w:p>
    <w:p w14:paraId="3B3F9CF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12.4 工程进度款支付</w:t>
      </w:r>
    </w:p>
    <w:p w14:paraId="500AB7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bookmarkStart w:id="334" w:name="_Toc296347210"/>
      <w:bookmarkStart w:id="335" w:name="_Toc303539163"/>
      <w:bookmarkStart w:id="336" w:name="_Toc292559921"/>
      <w:bookmarkStart w:id="337" w:name="_Toc297216215"/>
      <w:bookmarkStart w:id="338" w:name="_Toc297048397"/>
      <w:bookmarkStart w:id="339" w:name="_Toc296503211"/>
      <w:bookmarkStart w:id="340" w:name="_Toc296944550"/>
      <w:bookmarkStart w:id="341" w:name="_Toc297120511"/>
      <w:bookmarkStart w:id="342" w:name="_Toc296891251"/>
      <w:bookmarkStart w:id="343" w:name="_Toc296891039"/>
      <w:bookmarkStart w:id="344" w:name="_Toc292559416"/>
      <w:bookmarkStart w:id="345" w:name="_Toc300935006"/>
      <w:bookmarkStart w:id="346" w:name="_Toc296346712"/>
      <w:bookmarkStart w:id="347" w:name="_Toc297123556"/>
      <w:r>
        <w:rPr>
          <w:rFonts w:hint="eastAsia" w:ascii="宋体" w:hAnsi="宋体"/>
          <w:sz w:val="24"/>
        </w:rPr>
        <w:t>12.4.1 付款周期</w:t>
      </w:r>
    </w:p>
    <w:p w14:paraId="3BEC6E03">
      <w:pPr>
        <w:pStyle w:val="77"/>
        <w:tabs>
          <w:tab w:val="left" w:pos="360"/>
        </w:tabs>
        <w:adjustRightInd w:val="0"/>
        <w:snapToGrid w:val="0"/>
        <w:spacing w:line="360" w:lineRule="auto"/>
        <w:ind w:right="178" w:rightChars="85" w:firstLine="480" w:firstLineChars="200"/>
        <w:rPr>
          <w:rFonts w:hint="eastAsia" w:ascii="宋体" w:hAnsi="宋体"/>
          <w:b/>
          <w:sz w:val="24"/>
          <w:highlight w:val="yellow"/>
          <w:lang w:val="en-US" w:eastAsia="zh-CN"/>
        </w:rPr>
      </w:pPr>
      <w:r>
        <w:rPr>
          <w:rFonts w:hint="eastAsia" w:ascii="宋体" w:hAnsi="宋体"/>
          <w:sz w:val="24"/>
        </w:rPr>
        <w:t>关于付款周期的约定：</w:t>
      </w:r>
    </w:p>
    <w:p w14:paraId="47D65412">
      <w:pPr>
        <w:pStyle w:val="77"/>
        <w:tabs>
          <w:tab w:val="left" w:pos="360"/>
        </w:tabs>
        <w:adjustRightInd w:val="0"/>
        <w:snapToGrid w:val="0"/>
        <w:spacing w:line="360" w:lineRule="auto"/>
        <w:ind w:right="178" w:rightChars="85" w:firstLine="472" w:firstLineChars="196"/>
        <w:rPr>
          <w:rFonts w:hint="eastAsia" w:ascii="宋体" w:hAnsi="宋体"/>
          <w:b/>
          <w:sz w:val="24"/>
          <w:highlight w:val="yellow"/>
          <w:lang w:val="en-US" w:eastAsia="zh-CN"/>
        </w:rPr>
      </w:pPr>
      <w:r>
        <w:rPr>
          <w:rFonts w:hint="eastAsia" w:ascii="宋体" w:hAnsi="宋体"/>
          <w:b/>
          <w:sz w:val="24"/>
          <w:highlight w:val="yellow"/>
          <w:lang w:val="en-US" w:eastAsia="zh-CN"/>
        </w:rPr>
        <w:t>工程竣工验收合格后付至已完工程量的85%，最终审核完成后三个月内支付至最终审定价款的97%；余款3%作为质保金，待质量缺陷责任期（2年）满且中标人完全履行了保修义务质量回访合格后一次付清(无息)。</w:t>
      </w:r>
    </w:p>
    <w:p w14:paraId="6A29A4F0">
      <w:pPr>
        <w:pStyle w:val="77"/>
        <w:tabs>
          <w:tab w:val="left" w:pos="360"/>
        </w:tabs>
        <w:adjustRightInd w:val="0"/>
        <w:snapToGrid w:val="0"/>
        <w:spacing w:line="360" w:lineRule="auto"/>
        <w:ind w:right="178" w:rightChars="85" w:firstLine="472" w:firstLineChars="196"/>
        <w:rPr>
          <w:rFonts w:hint="default" w:ascii="宋体" w:hAnsi="宋体"/>
          <w:b/>
          <w:sz w:val="24"/>
          <w:highlight w:val="yellow"/>
          <w:lang w:val="en-US" w:eastAsia="zh-CN"/>
        </w:rPr>
      </w:pPr>
      <w:r>
        <w:rPr>
          <w:rFonts w:hint="eastAsia" w:ascii="宋体" w:hAnsi="宋体"/>
          <w:b/>
          <w:sz w:val="24"/>
          <w:highlight w:val="yellow"/>
          <w:lang w:val="en-US" w:eastAsia="zh-CN"/>
        </w:rPr>
        <w:t>开票要求：在付款前承包人须按照一般计税方法提供增值税专用发票（税率9%），如未按约定开具增值税专用发票或实际开具的增值税专用发票税率低于合同中约定税率的，承包人应向发包人支付无法抵扣部分的税款金额。</w:t>
      </w:r>
    </w:p>
    <w:p w14:paraId="602F4CE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12.4.2 进度付款申请单的编制</w:t>
      </w:r>
    </w:p>
    <w:p w14:paraId="593DFBA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关于进度付款申请单编制的约定：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E2EFF5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sz w:val="24"/>
        </w:rPr>
        <w:t>2.4.3 进度付款申请单的提交</w:t>
      </w:r>
    </w:p>
    <w:p w14:paraId="7AF0FDA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（1）单价合同进度付款申请单提交的约定：</w:t>
      </w:r>
      <w:r>
        <w:rPr>
          <w:rFonts w:hint="eastAsia" w:ascii="宋体" w:hAnsi="宋体"/>
          <w:sz w:val="24"/>
          <w:u w:val="single"/>
        </w:rPr>
        <w:t xml:space="preserve">   /     </w:t>
      </w:r>
    </w:p>
    <w:p w14:paraId="3A86E87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（2）总价合同进度付款申请单提交的约定：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F2F2C7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（3）其他价格形式合同进度付款申请单提交的约定：</w:t>
      </w:r>
      <w:r>
        <w:rPr>
          <w:rFonts w:hint="eastAsia" w:ascii="宋体" w:hAnsi="宋体"/>
          <w:sz w:val="24"/>
          <w:u w:val="single"/>
        </w:rPr>
        <w:t xml:space="preserve">   /     </w:t>
      </w:r>
    </w:p>
    <w:p w14:paraId="5EB0931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12.4.4 进度款审核和支付</w:t>
      </w:r>
    </w:p>
    <w:p w14:paraId="33C598D0">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（1）监理人审查并报送发包人的期限：</w:t>
      </w:r>
      <w:r>
        <w:rPr>
          <w:rFonts w:hint="eastAsia" w:ascii="宋体" w:hAnsi="宋体"/>
          <w:sz w:val="24"/>
          <w:u w:val="single"/>
        </w:rPr>
        <w:t xml:space="preserve">  收到承包人进度付款申请单以及相关资料后7天内完成审查并报送发包人(</w:t>
      </w:r>
      <w:r>
        <w:rPr>
          <w:rFonts w:hint="eastAsia" w:ascii="宋体" w:hAnsi="宋体"/>
          <w:kern w:val="0"/>
          <w:sz w:val="24"/>
          <w:u w:val="single"/>
        </w:rPr>
        <w:t>执行通用条款)。</w:t>
      </w:r>
      <w:r>
        <w:rPr>
          <w:rFonts w:hint="eastAsia" w:ascii="宋体" w:hAnsi="宋体"/>
          <w:sz w:val="24"/>
          <w:u w:val="single"/>
        </w:rPr>
        <w:t xml:space="preserve">    </w:t>
      </w:r>
    </w:p>
    <w:p w14:paraId="0B55C20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发包人完成审批并签发进度款支付证书的期限：</w:t>
      </w:r>
      <w:r>
        <w:rPr>
          <w:rFonts w:hint="eastAsia" w:ascii="宋体" w:hAnsi="宋体"/>
          <w:sz w:val="24"/>
          <w:u w:val="single"/>
        </w:rPr>
        <w:t xml:space="preserve">  应在收到监理人报送的进度付款申请单及相关资料后7天内</w:t>
      </w:r>
      <w:r>
        <w:rPr>
          <w:rFonts w:hint="eastAsia" w:ascii="宋体" w:hAnsi="宋体"/>
          <w:kern w:val="0"/>
          <w:sz w:val="24"/>
          <w:u w:val="single"/>
        </w:rPr>
        <w:t>（执行通用条款）。</w:t>
      </w:r>
      <w:r>
        <w:rPr>
          <w:rFonts w:hint="eastAsia" w:ascii="宋体" w:hAnsi="宋体"/>
          <w:sz w:val="24"/>
          <w:u w:val="single"/>
        </w:rPr>
        <w:t xml:space="preserve">   </w:t>
      </w:r>
    </w:p>
    <w:p w14:paraId="70254EE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（2）发包人支付进度款的期限：</w:t>
      </w:r>
      <w:r>
        <w:rPr>
          <w:rFonts w:hint="eastAsia" w:ascii="宋体" w:hAnsi="宋体"/>
          <w:sz w:val="24"/>
          <w:u w:val="single"/>
        </w:rPr>
        <w:t xml:space="preserve">  发包人应在进度款支付证书或临时进度款支付证书签发后14天内完成支付(执行通用条款)。   </w:t>
      </w:r>
    </w:p>
    <w:p w14:paraId="6A92AB8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发包人逾期支付进度款的违约金的计算方式：</w:t>
      </w:r>
      <w:r>
        <w:rPr>
          <w:rFonts w:hint="eastAsia" w:ascii="宋体" w:hAnsi="宋体"/>
          <w:sz w:val="24"/>
          <w:u w:val="single"/>
        </w:rPr>
        <w:t xml:space="preserve">  应按照中国人民银行发布的同期同类贷款基准利率支付违约金(执行通用条款)。   </w:t>
      </w:r>
    </w:p>
    <w:p w14:paraId="668D3C7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12.4.6 支付分解表的编制</w:t>
      </w:r>
    </w:p>
    <w:p w14:paraId="4A6EED8F">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2、总价合同支付分解表的编制与审批：</w:t>
      </w:r>
      <w:r>
        <w:rPr>
          <w:rFonts w:hint="eastAsia" w:ascii="宋体" w:hAnsi="宋体"/>
          <w:sz w:val="24"/>
          <w:u w:val="single"/>
        </w:rPr>
        <w:t xml:space="preserve">    /     </w:t>
      </w:r>
    </w:p>
    <w:p w14:paraId="4CAE89B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3、单价合同的总价项目支付分解表的编制与审批：</w:t>
      </w:r>
      <w:r>
        <w:rPr>
          <w:rFonts w:hint="eastAsia" w:ascii="宋体" w:hAnsi="宋体"/>
          <w:sz w:val="24"/>
          <w:u w:val="single"/>
        </w:rPr>
        <w:t xml:space="preserve">    /     </w:t>
      </w:r>
    </w:p>
    <w:p w14:paraId="0644AF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12.4.7农民工工资管理</w:t>
      </w:r>
    </w:p>
    <w:p w14:paraId="01A84C1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1、本工程农民工工资实行专用账户管理，承包人设立的专用账户开户行为：</w:t>
      </w:r>
      <w:r>
        <w:rPr>
          <w:rFonts w:hint="eastAsia" w:ascii="宋体" w:hAnsi="宋体"/>
          <w:sz w:val="24"/>
          <w:u w:val="single"/>
        </w:rPr>
        <w:t xml:space="preserve">         </w:t>
      </w:r>
      <w:r>
        <w:rPr>
          <w:rFonts w:hint="eastAsia" w:ascii="宋体" w:hAnsi="宋体"/>
          <w:sz w:val="24"/>
        </w:rPr>
        <w:t>，账号：</w:t>
      </w:r>
      <w:r>
        <w:rPr>
          <w:rFonts w:hint="eastAsia" w:ascii="宋体" w:hAnsi="宋体"/>
          <w:sz w:val="24"/>
          <w:u w:val="single"/>
        </w:rPr>
        <w:t xml:space="preserve">        </w:t>
      </w:r>
      <w:r>
        <w:rPr>
          <w:rFonts w:hint="eastAsia" w:ascii="宋体" w:hAnsi="宋体"/>
          <w:sz w:val="24"/>
        </w:rPr>
        <w:t>。</w:t>
      </w:r>
    </w:p>
    <w:p w14:paraId="56F925A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2、本工程工资性工程款</w:t>
      </w:r>
      <w:r>
        <w:rPr>
          <w:rFonts w:hint="eastAsia" w:ascii="宋体" w:hAnsi="宋体"/>
          <w:sz w:val="24"/>
          <w:u w:val="single"/>
        </w:rPr>
        <w:t xml:space="preserve">       </w:t>
      </w:r>
      <w:r>
        <w:rPr>
          <w:rFonts w:hint="eastAsia" w:ascii="宋体" w:hAnsi="宋体"/>
          <w:sz w:val="24"/>
        </w:rPr>
        <w:t>元（相应的最低工资标准乘建筑面积）；其中工资性工程预付款</w:t>
      </w:r>
      <w:r>
        <w:rPr>
          <w:rFonts w:hint="eastAsia" w:ascii="宋体" w:hAnsi="宋体"/>
          <w:sz w:val="24"/>
          <w:u w:val="single"/>
        </w:rPr>
        <w:t xml:space="preserve">       </w:t>
      </w:r>
      <w:r>
        <w:rPr>
          <w:rFonts w:hint="eastAsia" w:ascii="宋体" w:hAnsi="宋体"/>
          <w:sz w:val="24"/>
        </w:rPr>
        <w:t>元。(工资性工程款除月工期)</w:t>
      </w:r>
    </w:p>
    <w:p w14:paraId="35B3B13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3、发包人在监理人签发开工报告前，将工资性工程预付款转入承包人开立的农民工工资专用账户。工程开工后第一个月支付工资性工程进度款起，分三个月扣回工资性工程预付款。</w:t>
      </w:r>
    </w:p>
    <w:p w14:paraId="129000C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4、发包人于每月25日前将工资性工程进度款转入农民工工资专用账户。 </w:t>
      </w:r>
    </w:p>
    <w:p w14:paraId="54BE31A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5、承包人每月25日前上报本工程农民工工资清单，每月10日前委托开设农民工工资专用账户的银行支付农民工工资。 </w:t>
      </w:r>
    </w:p>
    <w:p w14:paraId="09154D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6、工程竣工后，经项目部农民工维权组确认无农民工工资拖欠后，发、承双方办理农民工工资专用账户撤销手续，农民工工资专用账户余额划至本合同约定的承包人账户。</w:t>
      </w:r>
    </w:p>
    <w:bookmarkEnd w:id="250"/>
    <w:p w14:paraId="0435673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48" w:name="_Toc351203645"/>
      <w:bookmarkStart w:id="349" w:name="_Toc296346720"/>
      <w:bookmarkStart w:id="350" w:name="_Toc297216223"/>
      <w:bookmarkStart w:id="351" w:name="_Toc296347218"/>
      <w:bookmarkStart w:id="352" w:name="_Toc297048405"/>
      <w:bookmarkStart w:id="353" w:name="_Toc296891047"/>
      <w:bookmarkStart w:id="354" w:name="_Toc292559424"/>
      <w:bookmarkStart w:id="355" w:name="_Toc296944558"/>
      <w:bookmarkStart w:id="356" w:name="_Toc304295593"/>
      <w:bookmarkStart w:id="357" w:name="_Toc296891259"/>
      <w:bookmarkStart w:id="358" w:name="_Toc292559929"/>
      <w:bookmarkStart w:id="359" w:name="_Toc312678053"/>
      <w:bookmarkStart w:id="360" w:name="_Toc296503219"/>
      <w:bookmarkStart w:id="361" w:name="_Toc300935015"/>
      <w:bookmarkStart w:id="362" w:name="_Toc297123564"/>
      <w:bookmarkStart w:id="363" w:name="_Toc303539172"/>
      <w:bookmarkStart w:id="364" w:name="_Toc297120519"/>
      <w:r>
        <w:rPr>
          <w:rFonts w:hint="eastAsia" w:ascii="宋体" w:hAnsi="宋体"/>
          <w:kern w:val="0"/>
          <w:sz w:val="24"/>
        </w:rPr>
        <w:t>13. 验收和工程试车</w:t>
      </w:r>
      <w:bookmarkEnd w:id="348"/>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65C42D2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13.1 分部分项工程验收</w:t>
      </w:r>
    </w:p>
    <w:p w14:paraId="40D15FB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13.1.2监理人不能按时进行验收时，应提前</w:t>
      </w:r>
      <w:r>
        <w:rPr>
          <w:rFonts w:hint="eastAsia" w:ascii="宋体" w:hAnsi="宋体"/>
          <w:sz w:val="24"/>
          <w:u w:val="single"/>
        </w:rPr>
        <w:t xml:space="preserve">  24(</w:t>
      </w:r>
      <w:r>
        <w:rPr>
          <w:rFonts w:hint="eastAsia" w:ascii="宋体" w:hAnsi="宋体"/>
          <w:kern w:val="0"/>
          <w:sz w:val="24"/>
          <w:u w:val="single"/>
        </w:rPr>
        <w:t xml:space="preserve">执行通用条款) </w:t>
      </w:r>
      <w:r>
        <w:rPr>
          <w:rFonts w:hint="eastAsia" w:ascii="宋体" w:hAnsi="宋体"/>
          <w:sz w:val="24"/>
          <w:u w:val="single"/>
        </w:rPr>
        <w:t xml:space="preserve"> </w:t>
      </w:r>
      <w:r>
        <w:rPr>
          <w:rFonts w:hint="eastAsia" w:ascii="宋体" w:hAnsi="宋体"/>
          <w:sz w:val="24"/>
        </w:rPr>
        <w:t>小时提交书面延期要求。</w:t>
      </w:r>
    </w:p>
    <w:p w14:paraId="0A1CC58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w:t>
      </w:r>
    </w:p>
    <w:p w14:paraId="5B6D172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365" w:name="_Toc296347222"/>
      <w:bookmarkStart w:id="366" w:name="_Toc292559428"/>
      <w:bookmarkStart w:id="367" w:name="_Toc296891263"/>
      <w:bookmarkStart w:id="368" w:name="_Toc312678056"/>
      <w:bookmarkStart w:id="369" w:name="_Toc300935016"/>
      <w:bookmarkStart w:id="370" w:name="_Toc297120523"/>
      <w:bookmarkStart w:id="371" w:name="_Toc292559933"/>
      <w:bookmarkStart w:id="372" w:name="_Toc297123565"/>
      <w:bookmarkStart w:id="373" w:name="_Toc296944562"/>
      <w:bookmarkStart w:id="374" w:name="_Toc303539173"/>
      <w:bookmarkStart w:id="375" w:name="_Toc297048409"/>
      <w:bookmarkStart w:id="376" w:name="_Toc296346724"/>
      <w:bookmarkStart w:id="377" w:name="_Toc304295596"/>
      <w:bookmarkStart w:id="378" w:name="_Toc297216224"/>
      <w:bookmarkStart w:id="379" w:name="_Toc296503223"/>
      <w:bookmarkStart w:id="380" w:name="_Toc296891051"/>
      <w:bookmarkStart w:id="381" w:name="_Toc267251470"/>
      <w:bookmarkStart w:id="382" w:name="_Toc267251474"/>
      <w:bookmarkStart w:id="383" w:name="_Toc267251473"/>
      <w:bookmarkStart w:id="384" w:name="_Toc267251472"/>
      <w:bookmarkStart w:id="385" w:name="_Toc267251476"/>
      <w:bookmarkStart w:id="386" w:name="_Toc267251475"/>
      <w:bookmarkStart w:id="387" w:name="_Toc267251471"/>
      <w:r>
        <w:rPr>
          <w:rFonts w:hint="eastAsia" w:ascii="宋体" w:hAnsi="宋体"/>
          <w:sz w:val="24"/>
        </w:rPr>
        <w:t>13.2 竣工验收</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14:paraId="37A5E70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bookmarkStart w:id="388" w:name="_Toc280868705"/>
      <w:bookmarkStart w:id="389" w:name="_Toc280868706"/>
      <w:bookmarkStart w:id="390" w:name="_Toc280868707"/>
      <w:bookmarkStart w:id="391" w:name="_Toc280868708"/>
      <w:bookmarkStart w:id="392" w:name="_Toc280868709"/>
      <w:r>
        <w:rPr>
          <w:rFonts w:hint="eastAsia" w:ascii="宋体" w:hAnsi="宋体"/>
          <w:sz w:val="24"/>
        </w:rPr>
        <w:t>13.2.2竣工验收程序</w:t>
      </w:r>
    </w:p>
    <w:p w14:paraId="3B0090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关于竣工验收程序的约定：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6C20C6B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发包人不按照本项约定组织竣工验收、颁发工程接收证书的违约金的计算方法：</w:t>
      </w:r>
      <w:r>
        <w:rPr>
          <w:rFonts w:hint="eastAsia" w:ascii="宋体" w:hAnsi="宋体"/>
          <w:sz w:val="24"/>
          <w:u w:val="single"/>
        </w:rPr>
        <w:t xml:space="preserve"> 每逾期一天，应以签约合同价为基数，按照中国人民银行发布的同期同类贷款基准利率支付违约金（</w:t>
      </w:r>
      <w:r>
        <w:rPr>
          <w:rFonts w:hint="eastAsia" w:ascii="宋体" w:hAnsi="宋体"/>
          <w:kern w:val="0"/>
          <w:sz w:val="24"/>
          <w:u w:val="single"/>
        </w:rPr>
        <w:t>执行通用条款）。</w:t>
      </w:r>
      <w:r>
        <w:rPr>
          <w:rFonts w:hint="eastAsia" w:ascii="宋体" w:hAnsi="宋体"/>
          <w:sz w:val="24"/>
          <w:u w:val="single"/>
        </w:rPr>
        <w:t xml:space="preserve">  </w:t>
      </w:r>
    </w:p>
    <w:bookmarkEnd w:id="388"/>
    <w:p w14:paraId="42D8A0A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13.2.5移交、接收全部与部分工程</w:t>
      </w:r>
    </w:p>
    <w:bookmarkEnd w:id="389"/>
    <w:p w14:paraId="62BFD0F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承包人向发包人移交工程的期限：</w:t>
      </w:r>
      <w:r>
        <w:rPr>
          <w:rFonts w:hint="eastAsia" w:ascii="宋体" w:hAnsi="宋体"/>
          <w:sz w:val="24"/>
          <w:u w:val="single"/>
        </w:rPr>
        <w:t xml:space="preserve">  颁发工程接收证书后7天内完成工程的移交</w:t>
      </w:r>
      <w:r>
        <w:rPr>
          <w:rFonts w:hint="eastAsia" w:ascii="宋体" w:hAnsi="宋体"/>
          <w:kern w:val="0"/>
          <w:sz w:val="24"/>
          <w:u w:val="single"/>
        </w:rPr>
        <w:t>（执行通用条款）。</w:t>
      </w:r>
      <w:r>
        <w:rPr>
          <w:rFonts w:hint="eastAsia" w:ascii="宋体" w:hAnsi="宋体"/>
          <w:sz w:val="24"/>
          <w:u w:val="single"/>
        </w:rPr>
        <w:t xml:space="preserve">   </w:t>
      </w:r>
    </w:p>
    <w:p w14:paraId="7B000E1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发包人未按本合同约定接收全部或部分工程的，违约金的计算方法为：</w:t>
      </w:r>
      <w:r>
        <w:rPr>
          <w:rFonts w:hint="eastAsia" w:ascii="宋体" w:hAnsi="宋体"/>
          <w:kern w:val="0"/>
          <w:sz w:val="24"/>
          <w:u w:val="single"/>
        </w:rPr>
        <w:t xml:space="preserve">  </w:t>
      </w:r>
      <w:r>
        <w:rPr>
          <w:rFonts w:hint="eastAsia" w:ascii="宋体" w:hAnsi="宋体"/>
          <w:sz w:val="24"/>
          <w:u w:val="single"/>
        </w:rPr>
        <w:t>发包人自应当接收工程之日起，承担工程照管、成品保护、保管等与工程有关的各项费用</w:t>
      </w:r>
      <w:r>
        <w:rPr>
          <w:rFonts w:hint="eastAsia" w:ascii="宋体" w:hAnsi="宋体"/>
          <w:kern w:val="0"/>
          <w:sz w:val="24"/>
          <w:u w:val="single"/>
        </w:rPr>
        <w:t>（执行通用条款）。</w:t>
      </w:r>
      <w:r>
        <w:rPr>
          <w:rFonts w:hint="eastAsia" w:ascii="宋体" w:hAnsi="宋体"/>
          <w:sz w:val="24"/>
          <w:u w:val="single"/>
        </w:rPr>
        <w:t xml:space="preserve">  </w:t>
      </w:r>
    </w:p>
    <w:bookmarkEnd w:id="390"/>
    <w:p w14:paraId="01BE7C7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承包人未按时移交工程的，违约金的计算方法为：</w:t>
      </w:r>
      <w:r>
        <w:rPr>
          <w:rFonts w:hint="eastAsia" w:ascii="宋体" w:hAnsi="宋体"/>
          <w:sz w:val="24"/>
          <w:u w:val="single"/>
        </w:rPr>
        <w:t xml:space="preserve">  承包人应承担工程照管、成品保护、保管等与工程有关的各项费用</w:t>
      </w:r>
      <w:r>
        <w:rPr>
          <w:rFonts w:hint="eastAsia" w:ascii="宋体" w:hAnsi="宋体"/>
          <w:kern w:val="0"/>
          <w:sz w:val="24"/>
          <w:u w:val="single"/>
        </w:rPr>
        <w:t>（执行通用条款）。</w:t>
      </w:r>
      <w:r>
        <w:rPr>
          <w:rFonts w:hint="eastAsia" w:ascii="宋体" w:hAnsi="宋体"/>
          <w:sz w:val="24"/>
          <w:u w:val="single"/>
        </w:rPr>
        <w:t xml:space="preserve">   </w:t>
      </w:r>
    </w:p>
    <w:p w14:paraId="7255FF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13.3 工程试车</w:t>
      </w:r>
    </w:p>
    <w:bookmarkEnd w:id="391"/>
    <w:p w14:paraId="6AD4F4AB">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13.3.1 试车程序</w:t>
      </w:r>
    </w:p>
    <w:p w14:paraId="6A979DB0">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工程试车内容：</w:t>
      </w:r>
      <w:r>
        <w:rPr>
          <w:rFonts w:hint="eastAsia" w:ascii="宋体" w:hAnsi="宋体"/>
          <w:sz w:val="24"/>
          <w:u w:val="single"/>
        </w:rPr>
        <w:t xml:space="preserve">   /    </w:t>
      </w:r>
    </w:p>
    <w:p w14:paraId="00E67866">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（1）单机无负荷试车费用由</w:t>
      </w:r>
      <w:r>
        <w:rPr>
          <w:rFonts w:hint="eastAsia" w:ascii="宋体" w:hAnsi="宋体"/>
          <w:sz w:val="24"/>
          <w:u w:val="single"/>
        </w:rPr>
        <w:t xml:space="preserve">   /  </w:t>
      </w:r>
      <w:r>
        <w:rPr>
          <w:rFonts w:hint="eastAsia" w:ascii="宋体" w:hAnsi="宋体"/>
          <w:kern w:val="0"/>
          <w:sz w:val="24"/>
        </w:rPr>
        <w:t>承担；</w:t>
      </w:r>
    </w:p>
    <w:p w14:paraId="2738716F">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（2）无负荷联动试车费用由</w:t>
      </w:r>
      <w:r>
        <w:rPr>
          <w:rFonts w:hint="eastAsia" w:ascii="宋体" w:hAnsi="宋体"/>
          <w:sz w:val="24"/>
          <w:u w:val="single"/>
        </w:rPr>
        <w:t xml:space="preserve">   /   </w:t>
      </w:r>
      <w:r>
        <w:rPr>
          <w:rFonts w:hint="eastAsia" w:ascii="宋体" w:hAnsi="宋体"/>
          <w:kern w:val="0"/>
          <w:sz w:val="24"/>
        </w:rPr>
        <w:t>承担。</w:t>
      </w:r>
    </w:p>
    <w:p w14:paraId="1423B44E">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13.3.3 投料试车</w:t>
      </w:r>
    </w:p>
    <w:p w14:paraId="1072134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关于投料试车相关事项的约定：</w:t>
      </w:r>
      <w:r>
        <w:rPr>
          <w:rFonts w:hint="eastAsia" w:ascii="宋体" w:hAnsi="宋体"/>
          <w:sz w:val="24"/>
          <w:u w:val="single"/>
        </w:rPr>
        <w:t xml:space="preserve">   /   </w:t>
      </w:r>
    </w:p>
    <w:p w14:paraId="15CAE59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13.6 竣工退场</w:t>
      </w:r>
    </w:p>
    <w:p w14:paraId="2BF681AC">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13.6.1 竣工退场</w:t>
      </w:r>
    </w:p>
    <w:p w14:paraId="0DB89E5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承包人完成竣工退场的期限：</w:t>
      </w:r>
      <w:r>
        <w:rPr>
          <w:rFonts w:hint="eastAsia" w:ascii="宋体" w:hAnsi="宋体"/>
          <w:sz w:val="24"/>
          <w:u w:val="single"/>
        </w:rPr>
        <w:t xml:space="preserve">  工程竣工验收合格后一周内完成竣工退场。    </w:t>
      </w:r>
    </w:p>
    <w:p w14:paraId="12AA04DE">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93" w:name="_Toc351203646"/>
      <w:r>
        <w:rPr>
          <w:rFonts w:hint="eastAsia" w:ascii="宋体" w:hAnsi="宋体"/>
          <w:kern w:val="0"/>
          <w:sz w:val="24"/>
        </w:rPr>
        <w:t>14. 竣工结算</w:t>
      </w:r>
      <w:bookmarkEnd w:id="393"/>
    </w:p>
    <w:p w14:paraId="3D1227D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14.1 竣工付款申请</w:t>
      </w:r>
    </w:p>
    <w:p w14:paraId="158839A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承包人提交竣工付款申请单的期限：</w:t>
      </w:r>
      <w:r>
        <w:rPr>
          <w:rFonts w:hint="eastAsia" w:ascii="宋体" w:hAnsi="宋体"/>
          <w:sz w:val="24"/>
          <w:u w:val="single"/>
        </w:rPr>
        <w:t xml:space="preserve">  承包人应在工程竣工验收合格后28天内（</w:t>
      </w:r>
      <w:r>
        <w:rPr>
          <w:rFonts w:hint="eastAsia" w:ascii="宋体" w:hAnsi="宋体"/>
          <w:kern w:val="0"/>
          <w:sz w:val="24"/>
          <w:u w:val="single"/>
        </w:rPr>
        <w:t>执行通用条款</w:t>
      </w:r>
      <w:r>
        <w:rPr>
          <w:rFonts w:hint="eastAsia" w:ascii="宋体" w:hAnsi="宋体"/>
          <w:sz w:val="24"/>
          <w:u w:val="single"/>
        </w:rPr>
        <w:t xml:space="preserve">）。   </w:t>
      </w:r>
    </w:p>
    <w:p w14:paraId="00DE6D8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竣工付款申请单应包括的内容：</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F225FF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14.2 竣工结算审核</w:t>
      </w:r>
    </w:p>
    <w:p w14:paraId="60CF4AE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发包人审批竣工付款申请单的期限：</w:t>
      </w:r>
      <w:r>
        <w:rPr>
          <w:rFonts w:hint="eastAsia" w:ascii="宋体" w:hAnsi="宋体"/>
          <w:sz w:val="24"/>
          <w:u w:val="single"/>
        </w:rPr>
        <w:t xml:space="preserve">  发包人应在收到监理人提交的经审核的竣工结算申请单后14天内完成审批 </w:t>
      </w:r>
      <w:r>
        <w:rPr>
          <w:rFonts w:hint="eastAsia" w:ascii="宋体" w:hAnsi="宋体"/>
          <w:kern w:val="0"/>
          <w:sz w:val="24"/>
          <w:u w:val="single"/>
        </w:rPr>
        <w:t>（执行通用条款）。</w:t>
      </w:r>
      <w:r>
        <w:rPr>
          <w:rFonts w:hint="eastAsia" w:ascii="宋体" w:hAnsi="宋体"/>
          <w:sz w:val="24"/>
          <w:u w:val="single"/>
        </w:rPr>
        <w:t xml:space="preserve">   </w:t>
      </w:r>
    </w:p>
    <w:p w14:paraId="2938833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发包人完成竣工付款的期限：</w:t>
      </w:r>
      <w:r>
        <w:rPr>
          <w:rFonts w:hint="eastAsia" w:ascii="宋体" w:hAnsi="宋体"/>
          <w:sz w:val="24"/>
          <w:u w:val="single"/>
        </w:rPr>
        <w:t xml:space="preserve">  发包人应在签发竣工付款证书后的14 天内，完成对承包人的竣工付款。</w:t>
      </w:r>
      <w:r>
        <w:rPr>
          <w:rFonts w:hint="eastAsia" w:ascii="宋体" w:hAnsi="宋体"/>
          <w:kern w:val="0"/>
          <w:sz w:val="24"/>
          <w:u w:val="single"/>
        </w:rPr>
        <w:t>（执行通用条款）。</w:t>
      </w:r>
      <w:r>
        <w:rPr>
          <w:rFonts w:hint="eastAsia" w:ascii="宋体" w:hAnsi="宋体"/>
          <w:sz w:val="24"/>
          <w:u w:val="single"/>
        </w:rPr>
        <w:t xml:space="preserve">   </w:t>
      </w:r>
    </w:p>
    <w:p w14:paraId="48E1D84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关于竣工付款证书异议部分复核的方式和程序：</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BFB20F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14.4 最终结清</w:t>
      </w:r>
    </w:p>
    <w:p w14:paraId="298F00BF">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14.4.1 最终结清申请单</w:t>
      </w:r>
    </w:p>
    <w:p w14:paraId="5510456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承包人提交最终结清申请单的份数：</w:t>
      </w:r>
      <w:r>
        <w:rPr>
          <w:rFonts w:hint="eastAsia" w:ascii="宋体" w:hAnsi="宋体"/>
          <w:sz w:val="24"/>
          <w:u w:val="single"/>
        </w:rPr>
        <w:t xml:space="preserve">  叁份。   </w:t>
      </w:r>
    </w:p>
    <w:p w14:paraId="3951328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承包人提交最终结算申请单的期限：</w:t>
      </w:r>
      <w:r>
        <w:rPr>
          <w:rFonts w:hint="eastAsia" w:ascii="宋体" w:hAnsi="宋体"/>
          <w:sz w:val="24"/>
          <w:u w:val="single"/>
        </w:rPr>
        <w:t xml:space="preserve">  缺陷责任期终止证书颁发后7天内</w:t>
      </w:r>
      <w:r>
        <w:rPr>
          <w:rFonts w:hint="eastAsia" w:ascii="宋体" w:hAnsi="宋体"/>
          <w:kern w:val="0"/>
          <w:sz w:val="24"/>
          <w:u w:val="single"/>
        </w:rPr>
        <w:t>（执行通用条款）。</w:t>
      </w:r>
      <w:r>
        <w:rPr>
          <w:rFonts w:hint="eastAsia" w:ascii="宋体" w:hAnsi="宋体"/>
          <w:sz w:val="24"/>
          <w:u w:val="single"/>
        </w:rPr>
        <w:t xml:space="preserve">   </w:t>
      </w:r>
    </w:p>
    <w:p w14:paraId="59E66A2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14.4.2 最终结清证书和支付</w:t>
      </w:r>
    </w:p>
    <w:p w14:paraId="62119B1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（1）发包人完成最终结清申请单的审批并颁发最终结清证书的期限：</w:t>
      </w:r>
      <w:r>
        <w:rPr>
          <w:rFonts w:hint="eastAsia" w:ascii="宋体" w:hAnsi="宋体"/>
          <w:sz w:val="24"/>
          <w:u w:val="single"/>
        </w:rPr>
        <w:t xml:space="preserve">  收到承包人提交的最终结清申请单后14天内</w:t>
      </w:r>
      <w:r>
        <w:rPr>
          <w:rFonts w:hint="eastAsia" w:ascii="宋体" w:hAnsi="宋体"/>
          <w:kern w:val="0"/>
          <w:sz w:val="24"/>
          <w:u w:val="single"/>
        </w:rPr>
        <w:t>（执行通用条款）。</w:t>
      </w:r>
      <w:r>
        <w:rPr>
          <w:rFonts w:hint="eastAsia" w:ascii="宋体" w:hAnsi="宋体"/>
          <w:sz w:val="24"/>
          <w:u w:val="single"/>
        </w:rPr>
        <w:t xml:space="preserve">    </w:t>
      </w:r>
    </w:p>
    <w:p w14:paraId="72C8D05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（2）发包人完成支付的期限：</w:t>
      </w:r>
      <w:r>
        <w:rPr>
          <w:rFonts w:hint="eastAsia" w:ascii="宋体" w:hAnsi="宋体"/>
          <w:sz w:val="24"/>
          <w:u w:val="single"/>
        </w:rPr>
        <w:t xml:space="preserve">  颁发最终结清证书后7天内完成支付</w:t>
      </w:r>
      <w:r>
        <w:rPr>
          <w:rFonts w:hint="eastAsia" w:ascii="宋体" w:hAnsi="宋体"/>
          <w:kern w:val="0"/>
          <w:sz w:val="24"/>
          <w:u w:val="single"/>
        </w:rPr>
        <w:t>（执行通用条款）。</w:t>
      </w:r>
      <w:r>
        <w:rPr>
          <w:rFonts w:hint="eastAsia" w:ascii="宋体" w:hAnsi="宋体"/>
          <w:sz w:val="24"/>
          <w:u w:val="single"/>
        </w:rPr>
        <w:t xml:space="preserve">    </w:t>
      </w:r>
    </w:p>
    <w:bookmarkEnd w:id="381"/>
    <w:bookmarkEnd w:id="382"/>
    <w:bookmarkEnd w:id="383"/>
    <w:bookmarkEnd w:id="384"/>
    <w:bookmarkEnd w:id="385"/>
    <w:bookmarkEnd w:id="386"/>
    <w:bookmarkEnd w:id="387"/>
    <w:bookmarkEnd w:id="392"/>
    <w:p w14:paraId="40D8B441">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94" w:name="_Toc351203647"/>
      <w:bookmarkStart w:id="395" w:name="_Toc267251483"/>
      <w:bookmarkStart w:id="396" w:name="_Toc267251484"/>
      <w:bookmarkStart w:id="397" w:name="_Toc267251482"/>
      <w:bookmarkStart w:id="398" w:name="_Toc267251485"/>
      <w:bookmarkStart w:id="399" w:name="_Toc267251486"/>
      <w:bookmarkStart w:id="400" w:name="_Toc267251490"/>
      <w:bookmarkStart w:id="401" w:name="_Toc267251488"/>
      <w:bookmarkStart w:id="402" w:name="_Toc267251489"/>
      <w:bookmarkStart w:id="403" w:name="_Toc267251498"/>
      <w:bookmarkStart w:id="404" w:name="_Toc267251503"/>
      <w:bookmarkStart w:id="405" w:name="_Toc267251502"/>
      <w:bookmarkStart w:id="406" w:name="_Toc267251494"/>
      <w:bookmarkStart w:id="407" w:name="_Toc267251496"/>
      <w:bookmarkStart w:id="408" w:name="_Toc267251495"/>
      <w:bookmarkStart w:id="409" w:name="_Toc267251497"/>
      <w:bookmarkStart w:id="410" w:name="_Toc267251492"/>
      <w:bookmarkStart w:id="411" w:name="_Toc267251499"/>
      <w:bookmarkStart w:id="412" w:name="_Toc267251501"/>
      <w:bookmarkStart w:id="413" w:name="_Toc267251493"/>
      <w:bookmarkStart w:id="414" w:name="_Toc267251491"/>
      <w:bookmarkStart w:id="415" w:name="_Toc267251506"/>
      <w:bookmarkStart w:id="416" w:name="_Toc267251504"/>
      <w:bookmarkStart w:id="417" w:name="_Toc267251507"/>
      <w:bookmarkStart w:id="418" w:name="_Toc267251508"/>
      <w:bookmarkStart w:id="419" w:name="_Toc267251509"/>
      <w:bookmarkStart w:id="420" w:name="_Toc267251511"/>
      <w:bookmarkStart w:id="421" w:name="_Toc267251514"/>
      <w:bookmarkStart w:id="422" w:name="_Toc267251515"/>
      <w:bookmarkStart w:id="423" w:name="_Toc267251513"/>
      <w:bookmarkStart w:id="424" w:name="_Toc267251510"/>
      <w:r>
        <w:rPr>
          <w:rFonts w:hint="eastAsia" w:ascii="宋体" w:hAnsi="宋体"/>
          <w:kern w:val="0"/>
          <w:sz w:val="24"/>
        </w:rPr>
        <w:t>15. 缺陷责任期与保修</w:t>
      </w:r>
      <w:bookmarkEnd w:id="394"/>
    </w:p>
    <w:p w14:paraId="78B172CE">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15.2缺陷责任期</w:t>
      </w:r>
      <w:bookmarkEnd w:id="395"/>
    </w:p>
    <w:p w14:paraId="6D850B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缺陷责任期的具体期限：</w:t>
      </w:r>
      <w:r>
        <w:rPr>
          <w:rFonts w:hint="eastAsia" w:ascii="宋体" w:hAnsi="宋体"/>
          <w:sz w:val="24"/>
          <w:u w:val="single"/>
        </w:rPr>
        <w:t xml:space="preserve">  24个月。   </w:t>
      </w:r>
    </w:p>
    <w:p w14:paraId="1FC1F7B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15.3 质量保证金</w:t>
      </w:r>
    </w:p>
    <w:p w14:paraId="513B9FE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关于是否扣留质量保证金的约定：</w:t>
      </w:r>
      <w:r>
        <w:rPr>
          <w:rFonts w:hint="eastAsia" w:ascii="宋体" w:hAnsi="宋体"/>
          <w:sz w:val="24"/>
          <w:u w:val="single"/>
        </w:rPr>
        <w:t xml:space="preserve">  扣留质量保证金。   </w:t>
      </w:r>
    </w:p>
    <w:p w14:paraId="14E0E78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15.3.1 承包人提供质量保证金的方式</w:t>
      </w:r>
    </w:p>
    <w:p w14:paraId="2BCAAE3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质量保证金采用以下第</w:t>
      </w:r>
      <w:r>
        <w:rPr>
          <w:rFonts w:hint="eastAsia" w:ascii="宋体" w:hAnsi="宋体"/>
          <w:sz w:val="24"/>
          <w:u w:val="single"/>
        </w:rPr>
        <w:t xml:space="preserve">  ( 2 )  </w:t>
      </w:r>
      <w:r>
        <w:rPr>
          <w:rFonts w:hint="eastAsia" w:ascii="宋体" w:hAnsi="宋体"/>
          <w:sz w:val="24"/>
        </w:rPr>
        <w:t>种方式：</w:t>
      </w:r>
    </w:p>
    <w:p w14:paraId="2D7FFA1B">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（1）质量保证金保函，保证金额为：</w:t>
      </w:r>
      <w:r>
        <w:rPr>
          <w:rFonts w:hint="eastAsia" w:ascii="宋体" w:hAnsi="宋体"/>
          <w:sz w:val="24"/>
          <w:u w:val="single"/>
        </w:rPr>
        <w:t xml:space="preserve">   /     </w:t>
      </w:r>
    </w:p>
    <w:p w14:paraId="49E44C17">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u w:val="single"/>
        </w:rPr>
        <w:t xml:space="preserve">  3  </w:t>
      </w:r>
      <w:r>
        <w:rPr>
          <w:rFonts w:hint="eastAsia" w:ascii="宋体" w:hAnsi="宋体"/>
          <w:kern w:val="0"/>
          <w:sz w:val="24"/>
        </w:rPr>
        <w:t>%的工程款；</w:t>
      </w:r>
    </w:p>
    <w:p w14:paraId="7BD517F8">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（3）其他方式:</w:t>
      </w:r>
      <w:r>
        <w:rPr>
          <w:rFonts w:hint="eastAsia" w:ascii="宋体" w:hAnsi="宋体"/>
          <w:sz w:val="24"/>
          <w:u w:val="single"/>
        </w:rPr>
        <w:t xml:space="preserve">   /     </w:t>
      </w:r>
    </w:p>
    <w:p w14:paraId="2BD62A26">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 xml:space="preserve">15.3.2 质量保证金的扣留 </w:t>
      </w:r>
    </w:p>
    <w:p w14:paraId="24A162E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质量保证金的扣留采取以下第</w:t>
      </w:r>
      <w:r>
        <w:rPr>
          <w:rFonts w:hint="eastAsia" w:ascii="宋体" w:hAnsi="宋体"/>
          <w:sz w:val="24"/>
          <w:u w:val="single"/>
        </w:rPr>
        <w:t xml:space="preserve"> ( 2 ) </w:t>
      </w:r>
      <w:r>
        <w:rPr>
          <w:rFonts w:hint="eastAsia" w:ascii="宋体" w:hAnsi="宋体"/>
          <w:sz w:val="24"/>
        </w:rPr>
        <w:t>种方式：</w:t>
      </w:r>
    </w:p>
    <w:p w14:paraId="1DED493C">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（1）在支付工程进度款时逐次扣留，在此情形下，质量保证金的计算基数不包括预付款的支付、扣回以及价格调整的金额；</w:t>
      </w:r>
    </w:p>
    <w:p w14:paraId="1B8B248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（2）工程竣工结算时一次性扣留质量保证金；</w:t>
      </w:r>
    </w:p>
    <w:p w14:paraId="10380C0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（3）其他扣留方式:</w:t>
      </w:r>
      <w:r>
        <w:rPr>
          <w:rFonts w:hint="eastAsia" w:ascii="宋体" w:hAnsi="宋体"/>
          <w:sz w:val="24"/>
          <w:u w:val="single"/>
        </w:rPr>
        <w:t xml:space="preserve">   /     </w:t>
      </w:r>
    </w:p>
    <w:p w14:paraId="32DC5AC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关于质量保证金的补充约定：</w:t>
      </w:r>
      <w:r>
        <w:rPr>
          <w:rFonts w:hint="eastAsia" w:ascii="宋体" w:hAnsi="宋体"/>
          <w:kern w:val="0"/>
          <w:sz w:val="24"/>
          <w:u w:val="single"/>
        </w:rPr>
        <w:t xml:space="preserve">  本工程竣工验收合格后，在两年质量保修期或五年质保期满前30日内，承包人须向发包人递交书面质量保修验收申请报告。发包人在收到承包人书面申请报告后15日内，会同监理单位、物业管理单位共同对承包人完成质量保修情况进行验收，在质量保修验收合格后15日内支付相应阶段的质量保修金。   </w:t>
      </w:r>
    </w:p>
    <w:bookmarkEnd w:id="396"/>
    <w:bookmarkEnd w:id="397"/>
    <w:p w14:paraId="7A77907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15.4保修</w:t>
      </w:r>
    </w:p>
    <w:bookmarkEnd w:id="398"/>
    <w:p w14:paraId="752CBCC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15.4.1 保修责任</w:t>
      </w:r>
    </w:p>
    <w:p w14:paraId="3D468AE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工程保修期为：</w:t>
      </w:r>
      <w:r>
        <w:rPr>
          <w:rFonts w:hint="eastAsia" w:ascii="宋体" w:hAnsi="宋体"/>
          <w:kern w:val="0"/>
          <w:sz w:val="24"/>
          <w:u w:val="single"/>
        </w:rPr>
        <w:t xml:space="preserve">  </w:t>
      </w:r>
      <w:r>
        <w:rPr>
          <w:rFonts w:hint="eastAsia" w:ascii="宋体" w:hAnsi="宋体"/>
          <w:sz w:val="24"/>
          <w:u w:val="single"/>
        </w:rPr>
        <w:t xml:space="preserve">执行《工程质量保修书》规定。 </w:t>
      </w:r>
      <w:r>
        <w:rPr>
          <w:rFonts w:hint="eastAsia" w:ascii="宋体" w:hAnsi="宋体"/>
          <w:kern w:val="0"/>
          <w:sz w:val="24"/>
          <w:u w:val="single"/>
        </w:rPr>
        <w:t xml:space="preserve">   </w:t>
      </w:r>
    </w:p>
    <w:p w14:paraId="37F7906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15.4.3 修复通知</w:t>
      </w:r>
    </w:p>
    <w:p w14:paraId="4960C72F">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承包人收到保修通知并到达工程现场的合理时间：</w:t>
      </w:r>
      <w:r>
        <w:rPr>
          <w:rFonts w:hint="eastAsia" w:ascii="宋体" w:hAnsi="宋体"/>
          <w:kern w:val="0"/>
          <w:sz w:val="24"/>
          <w:u w:val="single"/>
        </w:rPr>
        <w:t xml:space="preserve">  24小时内。  </w:t>
      </w:r>
    </w:p>
    <w:bookmarkEnd w:id="399"/>
    <w:bookmarkEnd w:id="400"/>
    <w:bookmarkEnd w:id="401"/>
    <w:bookmarkEnd w:id="402"/>
    <w:p w14:paraId="6E2F0D46">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25" w:name="_Toc351203648"/>
      <w:bookmarkStart w:id="426" w:name="_Toc280868717"/>
      <w:bookmarkStart w:id="427" w:name="_Toc280868718"/>
      <w:r>
        <w:rPr>
          <w:rFonts w:hint="eastAsia" w:ascii="宋体" w:hAnsi="宋体"/>
          <w:kern w:val="0"/>
          <w:sz w:val="24"/>
        </w:rPr>
        <w:t>16. 违约</w:t>
      </w:r>
      <w:bookmarkEnd w:id="425"/>
    </w:p>
    <w:p w14:paraId="109D4CD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16.1 发包人违约</w:t>
      </w:r>
    </w:p>
    <w:p w14:paraId="0B309B5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16.1.1发包人违约的情形</w:t>
      </w:r>
    </w:p>
    <w:p w14:paraId="565DF518">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发包人违约的其他情形：</w:t>
      </w:r>
      <w:r>
        <w:rPr>
          <w:rFonts w:hint="eastAsia" w:ascii="宋体" w:hAnsi="宋体"/>
          <w:sz w:val="24"/>
          <w:u w:val="single"/>
        </w:rPr>
        <w:t xml:space="preserve">    /     </w:t>
      </w:r>
    </w:p>
    <w:p w14:paraId="1979EC3C">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16.1.2 发包人违约的责任</w:t>
      </w:r>
    </w:p>
    <w:p w14:paraId="35E9104B">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发包人违约责任的承担方式和计算方法：</w:t>
      </w:r>
    </w:p>
    <w:p w14:paraId="2DFB223B">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（1）因发包人原因未能在计划开工日期前7天内下达开工通知的违约责任：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7AF7583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（2）因发包人原因未能按合同约定支付合同价款的违约责任：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73AFFACC">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（3）发包人违反第10.1款〔变更的范围〕第（2）项约定，自行实施被取消的工作或转由他人实施的违约责任：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39E7E6C0">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（4）发包人提供的材料、工程设备的规格、数量或质量不符合合同约定，或因发包人原因导致交货日期延误或交货地点变更等情况的违约责任：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4CA71BF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（5）因发包人违反合同约定造成暂停施工的违约责任：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0B7E0CA3">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（6）发包人无正当理由没有在约定期限内发出复工指示，导致承包人无法复工的违约责任：</w:t>
      </w:r>
      <w:r>
        <w:rPr>
          <w:rFonts w:hint="eastAsia" w:ascii="宋体" w:hAnsi="宋体"/>
          <w:kern w:val="0"/>
          <w:sz w:val="24"/>
          <w:u w:val="single"/>
        </w:rPr>
        <w:t xml:space="preserve">  </w:t>
      </w:r>
      <w:r>
        <w:rPr>
          <w:rFonts w:hint="eastAsia" w:ascii="宋体" w:hAnsi="宋体"/>
          <w:sz w:val="24"/>
          <w:u w:val="single"/>
        </w:rPr>
        <w:t xml:space="preserve">双方协商解决。  </w:t>
      </w:r>
      <w:r>
        <w:rPr>
          <w:rFonts w:hint="eastAsia" w:ascii="宋体" w:hAnsi="宋体"/>
          <w:kern w:val="0"/>
          <w:sz w:val="24"/>
          <w:u w:val="single"/>
        </w:rPr>
        <w:t xml:space="preserve"> </w:t>
      </w:r>
    </w:p>
    <w:p w14:paraId="6A84CBA6">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（7）其他：</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42B2BE7D">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16.1.3 因发包人违约解除合同</w:t>
      </w:r>
    </w:p>
    <w:p w14:paraId="0E876521">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承包人按16.1.1项〔发包人违约的情形〕约定暂停施工满</w:t>
      </w:r>
      <w:r>
        <w:rPr>
          <w:rFonts w:hint="eastAsia" w:ascii="宋体" w:hAnsi="宋体"/>
          <w:kern w:val="0"/>
          <w:sz w:val="24"/>
          <w:u w:val="single"/>
        </w:rPr>
        <w:t xml:space="preserve">  28（执行通用条款） </w:t>
      </w:r>
      <w:r>
        <w:rPr>
          <w:rFonts w:hint="eastAsia" w:ascii="宋体" w:hAnsi="宋体"/>
          <w:kern w:val="0"/>
          <w:sz w:val="24"/>
        </w:rPr>
        <w:t>天后发包人仍不纠正其违约行为并致使合同目的不能实现的，承包人有权解除合同。</w:t>
      </w:r>
    </w:p>
    <w:p w14:paraId="4F0BA526">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16.2 承包人违约</w:t>
      </w:r>
    </w:p>
    <w:p w14:paraId="1E361730">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16.2.1 承包人违约的情形</w:t>
      </w:r>
    </w:p>
    <w:p w14:paraId="1DBCE07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承包人违约的其他情形：</w:t>
      </w:r>
      <w:r>
        <w:rPr>
          <w:rFonts w:hint="eastAsia" w:ascii="宋体" w:hAnsi="宋体"/>
          <w:sz w:val="24"/>
          <w:u w:val="single"/>
        </w:rPr>
        <w:t xml:space="preserve">  因承包人自身债务问题导致司法机关裁定发包人协助执行（包括但不限于不予支付工程款等）或裁定保全发包人的财产，视为承包人违约。承包人自行承担因发包人工程款无法及时支付而产生的农民工工资、工程材料款和设备租赁费支付问题，并按照合同价款的5%承担违约金。同时，因此造成的工期延误，承包人仍需按照合同的约定承担违约责任。  </w:t>
      </w:r>
    </w:p>
    <w:p w14:paraId="22704C21">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16.2.2承包人违约的责任</w:t>
      </w:r>
    </w:p>
    <w:p w14:paraId="3BA0016C">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承包人违约责任的承担方式和计算方法：</w:t>
      </w:r>
      <w:r>
        <w:rPr>
          <w:rFonts w:hint="eastAsia" w:ascii="宋体" w:hAnsi="宋体"/>
          <w:kern w:val="0"/>
          <w:sz w:val="24"/>
          <w:u w:val="single"/>
        </w:rPr>
        <w:t xml:space="preserve">  </w:t>
      </w:r>
      <w:r>
        <w:rPr>
          <w:rFonts w:hint="eastAsia" w:ascii="宋体" w:hAnsi="宋体"/>
          <w:sz w:val="24"/>
          <w:u w:val="single"/>
        </w:rPr>
        <w:t xml:space="preserve">因承包人原因造成工程质量不合格的，承包人应无条件修复达到合同约定的质量标准；无法维修的，双方协商处理。发生该条违约时，发包人有权停止支付所有工程款项，不退还履约担保。  </w:t>
      </w:r>
      <w:r>
        <w:rPr>
          <w:rFonts w:hint="eastAsia" w:ascii="宋体" w:hAnsi="宋体"/>
          <w:kern w:val="0"/>
          <w:sz w:val="24"/>
          <w:u w:val="single"/>
        </w:rPr>
        <w:t xml:space="preserve"> </w:t>
      </w:r>
    </w:p>
    <w:p w14:paraId="186C895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16.2.3 因承包人违约解除合同</w:t>
      </w:r>
    </w:p>
    <w:p w14:paraId="3C5DA6CD">
      <w:pPr>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rPr>
        <w:t>关于承包人违约解除合同的特别约定：</w:t>
      </w:r>
      <w:r>
        <w:rPr>
          <w:rFonts w:hint="eastAsia" w:ascii="宋体" w:hAnsi="宋体"/>
          <w:sz w:val="24"/>
          <w:szCs w:val="24"/>
          <w:u w:val="single"/>
        </w:rPr>
        <w:t xml:space="preserve">            </w:t>
      </w:r>
    </w:p>
    <w:p w14:paraId="3F00EBC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发包人继续使用承包人在施工现场的材料、设备、临时工程、承包人文件和由承包人或以其名义编制的其他文件的费用承担方式：</w:t>
      </w:r>
      <w:r>
        <w:rPr>
          <w:rFonts w:hint="eastAsia" w:ascii="宋体" w:hAnsi="宋体"/>
          <w:sz w:val="24"/>
          <w:u w:val="single"/>
        </w:rPr>
        <w:t xml:space="preserve">  如实际发生时，双方另行协商确定。</w:t>
      </w:r>
    </w:p>
    <w:p w14:paraId="4FE1FD6C">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28" w:name="_Toc351203649"/>
      <w:r>
        <w:rPr>
          <w:rFonts w:hint="eastAsia" w:ascii="宋体" w:hAnsi="宋体"/>
          <w:kern w:val="0"/>
          <w:sz w:val="24"/>
        </w:rPr>
        <w:t>17. 不可抗力</w:t>
      </w:r>
      <w:bookmarkEnd w:id="426"/>
      <w:bookmarkEnd w:id="428"/>
    </w:p>
    <w:p w14:paraId="4A55EC7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17.1 不可抗力的确认</w:t>
      </w:r>
    </w:p>
    <w:p w14:paraId="4C6BF496">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sz w:val="24"/>
        </w:rPr>
        <w:t>除通用合同条款约定的不可抗力事件之外，视为不可抗力的其他情形：</w:t>
      </w:r>
      <w:r>
        <w:rPr>
          <w:rFonts w:hint="eastAsia" w:ascii="宋体" w:hAnsi="宋体"/>
          <w:sz w:val="24"/>
          <w:u w:val="single"/>
        </w:rPr>
        <w:t xml:space="preserve">  执行通用条款；发生不可抗力影响时，承包人有义务采取措施减小损失，否则扩大的损失由承包人承担。  </w:t>
      </w:r>
    </w:p>
    <w:p w14:paraId="32E0A69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17.4 因不可抗力解除合同</w:t>
      </w:r>
    </w:p>
    <w:p w14:paraId="108A9E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合同解除后，发包人应在商定或确定发包人应支付款项后</w:t>
      </w:r>
      <w:r>
        <w:rPr>
          <w:rFonts w:hint="eastAsia" w:ascii="宋体" w:hAnsi="宋体"/>
          <w:sz w:val="24"/>
          <w:u w:val="single"/>
        </w:rPr>
        <w:t xml:space="preserve">  28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天内完成款项的支付。</w:t>
      </w:r>
    </w:p>
    <w:p w14:paraId="2D424E6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29" w:name="_Toc351203650"/>
      <w:r>
        <w:rPr>
          <w:rFonts w:hint="eastAsia" w:ascii="宋体" w:hAnsi="宋体"/>
          <w:kern w:val="0"/>
          <w:sz w:val="24"/>
        </w:rPr>
        <w:t>18. 保险</w:t>
      </w:r>
      <w:bookmarkEnd w:id="429"/>
    </w:p>
    <w:bookmarkEnd w:id="427"/>
    <w:p w14:paraId="62EC672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18.1 工程保险</w:t>
      </w:r>
    </w:p>
    <w:p w14:paraId="135EABE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关于工程保险的特别约定：</w:t>
      </w:r>
      <w:r>
        <w:rPr>
          <w:rFonts w:hint="eastAsia" w:ascii="宋体" w:hAnsi="宋体"/>
          <w:kern w:val="0"/>
          <w:sz w:val="24"/>
          <w:u w:val="single"/>
        </w:rPr>
        <w:t xml:space="preserve">  承包人须依据《中华人民共和国建筑法》第48条规定，为其施工现场全部人员办理工伤保险、意外伤害保险并支付保险费，包括其员工及为履行合同聘请的第三方的人员（执行通用条款）。   </w:t>
      </w:r>
    </w:p>
    <w:p w14:paraId="7FD6549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18.3 其他保险</w:t>
      </w:r>
    </w:p>
    <w:p w14:paraId="34AF9819">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sz w:val="24"/>
        </w:rPr>
        <w:t>关于其他保险的约定：</w:t>
      </w:r>
      <w:r>
        <w:rPr>
          <w:rFonts w:hint="eastAsia" w:ascii="宋体" w:hAnsi="宋体"/>
          <w:kern w:val="0"/>
          <w:sz w:val="24"/>
          <w:u w:val="single"/>
        </w:rPr>
        <w:t xml:space="preserve">   /    </w:t>
      </w:r>
    </w:p>
    <w:p w14:paraId="3B0D12D8">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承包人是否应为其施工设备等办理财产保险：</w:t>
      </w:r>
      <w:r>
        <w:rPr>
          <w:rFonts w:hint="eastAsia" w:ascii="宋体" w:hAnsi="宋体"/>
          <w:sz w:val="24"/>
          <w:u w:val="single"/>
        </w:rPr>
        <w:t xml:space="preserve">  由承包人自行决定。   </w:t>
      </w:r>
    </w:p>
    <w:p w14:paraId="1DF0A5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18.7 通知义务</w:t>
      </w:r>
    </w:p>
    <w:p w14:paraId="79CFD50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关于变更保险合同时的通知义务的约定：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bookmarkEnd w:id="403"/>
    <w:bookmarkEnd w:id="404"/>
    <w:bookmarkEnd w:id="405"/>
    <w:bookmarkEnd w:id="406"/>
    <w:bookmarkEnd w:id="407"/>
    <w:bookmarkEnd w:id="408"/>
    <w:bookmarkEnd w:id="409"/>
    <w:bookmarkEnd w:id="410"/>
    <w:bookmarkEnd w:id="411"/>
    <w:bookmarkEnd w:id="412"/>
    <w:bookmarkEnd w:id="413"/>
    <w:bookmarkEnd w:id="414"/>
    <w:p w14:paraId="46CF4580">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30" w:name="_Toc351203651"/>
      <w:r>
        <w:rPr>
          <w:rFonts w:hint="eastAsia" w:ascii="宋体" w:hAnsi="宋体"/>
          <w:kern w:val="0"/>
          <w:sz w:val="24"/>
        </w:rPr>
        <w:t>20. 争议解决</w:t>
      </w:r>
      <w:bookmarkEnd w:id="430"/>
    </w:p>
    <w:bookmarkEnd w:id="415"/>
    <w:bookmarkEnd w:id="416"/>
    <w:p w14:paraId="45FF34E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20.3 争</w:t>
      </w:r>
      <w:bookmarkEnd w:id="417"/>
      <w:r>
        <w:rPr>
          <w:rFonts w:hint="eastAsia" w:ascii="宋体" w:hAnsi="宋体"/>
          <w:sz w:val="24"/>
        </w:rPr>
        <w:t>议评审</w:t>
      </w:r>
    </w:p>
    <w:p w14:paraId="0AC0D797">
      <w:pPr>
        <w:pStyle w:val="77"/>
        <w:tabs>
          <w:tab w:val="left" w:pos="360"/>
        </w:tabs>
        <w:adjustRightInd w:val="0"/>
        <w:snapToGrid w:val="0"/>
        <w:spacing w:line="360" w:lineRule="auto"/>
        <w:ind w:left="149" w:leftChars="71" w:right="178" w:rightChars="85" w:firstLine="480" w:firstLineChars="200"/>
        <w:rPr>
          <w:rFonts w:hint="eastAsia" w:ascii="宋体" w:hAnsi="宋体"/>
          <w:sz w:val="24"/>
        </w:rPr>
      </w:pPr>
      <w:r>
        <w:rPr>
          <w:rFonts w:hint="eastAsia" w:ascii="宋体" w:hAnsi="宋体"/>
          <w:sz w:val="24"/>
        </w:rPr>
        <w:t>合同当事人是否同意将工程争议提交争议评审小组决定：</w:t>
      </w:r>
      <w:r>
        <w:rPr>
          <w:rFonts w:hint="eastAsia" w:ascii="宋体" w:hAnsi="宋体"/>
          <w:sz w:val="24"/>
          <w:u w:val="single"/>
        </w:rPr>
        <w:t xml:space="preserve">  不采用。   </w:t>
      </w:r>
    </w:p>
    <w:p w14:paraId="1FE84B32">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20.3.1 争议评审小组的确定</w:t>
      </w:r>
    </w:p>
    <w:p w14:paraId="0DFC8C7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争议评审小组成员的确定：</w:t>
      </w:r>
      <w:r>
        <w:rPr>
          <w:rFonts w:hint="eastAsia" w:ascii="宋体" w:hAnsi="宋体"/>
          <w:sz w:val="24"/>
          <w:u w:val="single"/>
        </w:rPr>
        <w:t xml:space="preserve">  不采用。   </w:t>
      </w:r>
    </w:p>
    <w:p w14:paraId="0A1B586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选定争议评审员的期限：</w:t>
      </w:r>
      <w:r>
        <w:rPr>
          <w:rFonts w:hint="eastAsia" w:ascii="宋体" w:hAnsi="宋体"/>
          <w:sz w:val="24"/>
          <w:u w:val="single"/>
        </w:rPr>
        <w:t xml:space="preserve">  不采用。   </w:t>
      </w:r>
    </w:p>
    <w:p w14:paraId="65F5065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争议评审小组成员的报酬承担方式：</w:t>
      </w:r>
      <w:r>
        <w:rPr>
          <w:rFonts w:hint="eastAsia" w:ascii="宋体" w:hAnsi="宋体"/>
          <w:sz w:val="24"/>
          <w:u w:val="single"/>
        </w:rPr>
        <w:t xml:space="preserve">  不采用。   </w:t>
      </w:r>
    </w:p>
    <w:p w14:paraId="31A565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其他事项的约定：</w:t>
      </w:r>
      <w:r>
        <w:rPr>
          <w:rFonts w:hint="eastAsia" w:ascii="宋体" w:hAnsi="宋体"/>
          <w:sz w:val="24"/>
          <w:u w:val="single"/>
        </w:rPr>
        <w:t xml:space="preserve">  不采用。   </w:t>
      </w:r>
    </w:p>
    <w:p w14:paraId="7FAC103D">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20.3.2 争议评审小组的决定</w:t>
      </w:r>
    </w:p>
    <w:p w14:paraId="0BDD74B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合同当事人关于本项的约定：</w:t>
      </w:r>
      <w:r>
        <w:rPr>
          <w:rFonts w:hint="eastAsia" w:ascii="宋体" w:hAnsi="宋体"/>
          <w:sz w:val="24"/>
          <w:u w:val="single"/>
        </w:rPr>
        <w:t xml:space="preserve">  不采用。   </w:t>
      </w:r>
    </w:p>
    <w:p w14:paraId="3BF0081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20.4仲裁或诉讼</w:t>
      </w:r>
      <w:bookmarkEnd w:id="418"/>
    </w:p>
    <w:p w14:paraId="6A603EB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因合同及合同有关事项发生的争议，按下列第</w:t>
      </w:r>
      <w:r>
        <w:rPr>
          <w:rFonts w:hint="eastAsia" w:ascii="宋体" w:hAnsi="宋体"/>
          <w:sz w:val="24"/>
          <w:u w:val="single"/>
        </w:rPr>
        <w:t xml:space="preserve"> ( 2 ) </w:t>
      </w:r>
      <w:r>
        <w:rPr>
          <w:rFonts w:hint="eastAsia" w:ascii="宋体" w:hAnsi="宋体"/>
          <w:sz w:val="24"/>
        </w:rPr>
        <w:t>种方式解决：</w:t>
      </w:r>
    </w:p>
    <w:p w14:paraId="37D68C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（1）向</w:t>
      </w:r>
      <w:r>
        <w:rPr>
          <w:rFonts w:hint="eastAsia" w:ascii="宋体" w:hAnsi="宋体"/>
          <w:sz w:val="24"/>
          <w:u w:val="single"/>
        </w:rPr>
        <w:t xml:space="preserve">  合肥   </w:t>
      </w:r>
      <w:r>
        <w:rPr>
          <w:rFonts w:hint="eastAsia" w:ascii="宋体" w:hAnsi="宋体"/>
          <w:sz w:val="24"/>
        </w:rPr>
        <w:t>仲裁委员会申请仲裁；</w:t>
      </w:r>
    </w:p>
    <w:p w14:paraId="67CA5DE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（2）向</w:t>
      </w:r>
      <w:r>
        <w:rPr>
          <w:rFonts w:hint="eastAsia" w:ascii="宋体" w:hAnsi="宋体"/>
          <w:sz w:val="24"/>
          <w:u w:val="single"/>
        </w:rPr>
        <w:t xml:space="preserve">  工程所在地   </w:t>
      </w:r>
      <w:r>
        <w:rPr>
          <w:rFonts w:hint="eastAsia" w:ascii="宋体" w:hAnsi="宋体"/>
          <w:sz w:val="24"/>
        </w:rPr>
        <w:t>人民法院起诉。</w:t>
      </w:r>
      <w:bookmarkEnd w:id="419"/>
      <w:bookmarkEnd w:id="420"/>
      <w:bookmarkEnd w:id="421"/>
      <w:bookmarkEnd w:id="422"/>
      <w:bookmarkEnd w:id="423"/>
      <w:bookmarkEnd w:id="424"/>
    </w:p>
    <w:bookmarkEnd w:id="70"/>
    <w:p w14:paraId="4794586D">
      <w:pPr>
        <w:pStyle w:val="77"/>
        <w:tabs>
          <w:tab w:val="left" w:pos="360"/>
        </w:tabs>
        <w:autoSpaceDE w:val="0"/>
        <w:autoSpaceDN w:val="0"/>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21.补充条款</w:t>
      </w:r>
    </w:p>
    <w:p w14:paraId="0E2843A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本补充条款是专用条款的一部分，其解释顺序优先于专用条款内的其他条款。</w:t>
      </w:r>
    </w:p>
    <w:p w14:paraId="736A0E2F">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1.1人员及职责</w:t>
      </w:r>
    </w:p>
    <w:p w14:paraId="51620C7A">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1.1.1发包人委派的发包人代表或监理发包人代表（以下简称“发包人代表”）无权更改合同，也无权解除发包人和承包人的义务和责任。</w:t>
      </w:r>
    </w:p>
    <w:p w14:paraId="74F1CFA3">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1.1.2发包人代表的任何批准、检查、证书、同意、通知、建议、检验、指令和要求等不解除承包人在合同中的责任。</w:t>
      </w:r>
    </w:p>
    <w:p w14:paraId="0B5359CF">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1.1.3承包人只能从发包人代表或其授权代表处接受指令。</w:t>
      </w:r>
    </w:p>
    <w:p w14:paraId="1D618F5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1.1.4发包人如需更换发包人代表须提前7天通知承包人。</w:t>
      </w:r>
    </w:p>
    <w:p w14:paraId="0056195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1.1.5承包人的项目经理离开现场的，须经发包人代表同意，并书面指定临时代表，代为行使项目经理的权力；该临时代表的一切行为，甲方均认为是项目经理的行为。</w:t>
      </w:r>
    </w:p>
    <w:p w14:paraId="1991CDFB">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1.1.6承包人委派</w:t>
      </w:r>
      <w:r>
        <w:rPr>
          <w:rFonts w:hint="eastAsia" w:ascii="宋体" w:hAnsi="宋体"/>
          <w:kern w:val="0"/>
          <w:sz w:val="24"/>
          <w:u w:val="single"/>
        </w:rPr>
        <w:t xml:space="preserve">      </w:t>
      </w:r>
      <w:r>
        <w:rPr>
          <w:rFonts w:hint="eastAsia" w:ascii="宋体" w:hAnsi="宋体"/>
          <w:kern w:val="0"/>
          <w:sz w:val="24"/>
        </w:rPr>
        <w:t>经办人，负责工程施工过程中来往文件接收传递。</w:t>
      </w:r>
    </w:p>
    <w:p w14:paraId="166378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1.1.7承包人提交发包人的任何文件，发包人都认为该文件已经承包人内部程序批准；承包人提交的文件发生修改的，应及时将最新版本提交发包人代表。</w:t>
      </w:r>
    </w:p>
    <w:p w14:paraId="25203C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1.1.8承包人应始终采取一切合理防范措施来避免在项目人员内部发生违法、动乱或妨碍治安的行为，保持项目的安定；并保护好现场和周围的人员和财产安全。</w:t>
      </w:r>
    </w:p>
    <w:p w14:paraId="1F0AFFA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1.1.9承包人雇佣职员或工人应遵守相关法律法规的规定。</w:t>
      </w:r>
    </w:p>
    <w:p w14:paraId="4D44046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1.1.10参与本项目的承包人代表或其雇员不遵守合同规定或一贯行为不轨或或不能胜任工作或危害安全，发包人代表有权要求更换；原人选未经发包人许可不得再进入本项目（包括项目经理在内）。</w:t>
      </w:r>
    </w:p>
    <w:p w14:paraId="6C3289F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1.1.11承包人更换项目经理的，须提前14天通知发包人，并征得发包人同意；该行为视为违约，承包人须支付发包人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万元违约金。更换后的项目经理资历、水平不得降低。</w:t>
      </w:r>
    </w:p>
    <w:p w14:paraId="0087933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1.1.12承包人提交发包人的任何文件，都被认为该文件已经承包人内部程序批准；承包人提交的文件发生修改的，应及时将最新版本提交发包人代表。</w:t>
      </w:r>
    </w:p>
    <w:p w14:paraId="44069495">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1.2变更与调整</w:t>
      </w:r>
    </w:p>
    <w:p w14:paraId="710122F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1.2.1在工程移交前，发包人代表有权签发变更指令，承包人应按照指令来实施变更，并进行工期和费用的估算，提交发包人代表。</w:t>
      </w:r>
    </w:p>
    <w:p w14:paraId="69796A7D">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1.2.2发包人代表收到承包人的估算后，可以决定撤销、修改或确认实施该项变更。</w:t>
      </w:r>
    </w:p>
    <w:p w14:paraId="3D7C7FA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1.2.3如果承包人认为自己的建议能缩短工期、降低工程实施或运营成本，或对业主产生其他利益，可以向发包人代表提交建议书；建议书的编制费用自理。</w:t>
      </w:r>
    </w:p>
    <w:p w14:paraId="1665E73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1.2.4如果发包人采纳承包人的建议节省了工程费用，将给予承包人节约费用适当比例的奖励。</w:t>
      </w:r>
    </w:p>
    <w:p w14:paraId="2D9FD87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1.2.5上一款中节省费用的计算方法为：降低的合同额度减去因变更而引起在工程质量、寿命、以及运营效率等方面为发包人带来的潜在损失。</w:t>
      </w:r>
    </w:p>
    <w:p w14:paraId="5B793FF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1.2.6任何变更指令都应由发包人代表签发给承包人，承包人收到后应回函说明；涉及到费用调整的，按照相关条款执行。</w:t>
      </w:r>
    </w:p>
    <w:p w14:paraId="72BDF23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1.2.7设计文件示意内容的尺寸做法、要求等标注有错误、有遗漏，或理解不一致，发包人或其委托的勘查设计单位根据工程施工需要而对其进行更正和补充的，称为技术核定；技术核定不调整合同价款，也不调整工期。</w:t>
      </w:r>
    </w:p>
    <w:p w14:paraId="3A120347">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1.2.8未经发包人代表批准，承包人不得对工程进行任何变更。</w:t>
      </w:r>
    </w:p>
    <w:p w14:paraId="19E24297">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1.3分包与配合</w:t>
      </w:r>
    </w:p>
    <w:p w14:paraId="239914C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1.3.1承包人进行工程分包的，应遵守通用条款第38条的规定，发包人视其为承包人自行施工的工程；发包人代表对分包的同意或批准并不解除承包人的任何责任，也不代表发包人对此承担任何责任。</w:t>
      </w:r>
    </w:p>
    <w:p w14:paraId="1ED9287A">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1.4结算</w:t>
      </w:r>
    </w:p>
    <w:p w14:paraId="13854B0D">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1.4.1承包人的投标报价（合同价款）是承包人基于业主提供的资料和现场数据及承包人的解释和现场考察计算出来的，覆盖了完成合同义务所包括的一切工作，不得以漏项或考虑不周提出索赔。</w:t>
      </w:r>
    </w:p>
    <w:p w14:paraId="68EA6F76">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1.4.2水电费的结算：</w:t>
      </w:r>
    </w:p>
    <w:p w14:paraId="0534B94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（1）发包人在现场安装计量装置，承包人负责施工期间的保护，并在工程移交的同时完好地移交给发包人。</w:t>
      </w:r>
    </w:p>
    <w:p w14:paraId="73FA3BEB">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（2）承包人投标报价已经包含水电费用，工程结算时按照发包人实际缴纳的水电费在结算价（税前）中扣除。</w:t>
      </w:r>
    </w:p>
    <w:p w14:paraId="0D1622D9">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（3）因承包人保护不善造成计量装置损坏，承包人负责修复，并承担由此造成的增加费用（包括修复费用和水电损失费用以及可能发生的罚款或其他费用）。</w:t>
      </w:r>
    </w:p>
    <w:p w14:paraId="3369EDE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u w:val="single" w:color="FFFFFF"/>
        </w:rPr>
      </w:pPr>
      <w:r>
        <w:rPr>
          <w:rFonts w:hint="eastAsia" w:ascii="宋体" w:hAnsi="宋体"/>
          <w:kern w:val="0"/>
          <w:sz w:val="24"/>
          <w:u w:val="single" w:color="FFFFFF"/>
        </w:rPr>
        <w:t>1.4.3发包人供应材料设备的结算：材料按照总价的</w:t>
      </w:r>
      <w:r>
        <w:rPr>
          <w:rFonts w:hint="eastAsia" w:ascii="宋体" w:hAnsi="宋体"/>
          <w:kern w:val="0"/>
          <w:sz w:val="24"/>
          <w:u w:val="single"/>
        </w:rPr>
        <w:t xml:space="preserve">   /   </w:t>
      </w:r>
      <w:r>
        <w:rPr>
          <w:rFonts w:hint="eastAsia" w:ascii="宋体" w:hAnsi="宋体"/>
          <w:kern w:val="0"/>
          <w:sz w:val="24"/>
          <w:u w:val="single" w:color="FFFFFF"/>
        </w:rPr>
        <w:t>计取保管费（材料数量最多不超过设计文件的用量（可以计算定额损耗））；设备按照总价的</w:t>
      </w:r>
      <w:r>
        <w:rPr>
          <w:rFonts w:hint="eastAsia" w:ascii="宋体" w:hAnsi="宋体"/>
          <w:kern w:val="0"/>
          <w:sz w:val="24"/>
          <w:u w:val="single"/>
        </w:rPr>
        <w:t xml:space="preserve">   /   </w:t>
      </w:r>
      <w:r>
        <w:rPr>
          <w:rFonts w:hint="eastAsia" w:ascii="宋体" w:hAnsi="宋体"/>
          <w:kern w:val="0"/>
          <w:sz w:val="24"/>
          <w:u w:val="single" w:color="FFFFFF"/>
        </w:rPr>
        <w:t>计取保管费；此费用仅计取税金。</w:t>
      </w:r>
    </w:p>
    <w:p w14:paraId="24682106">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1.4.4分包工程的总承包配合费和配合工程的配合费：分包工程的总承包配合费按照分包工程价格（扣除设备费、预留金）确定，一次包死，不随分包工程结算价款的调整而调整；配合工程的配合费也一次包死；该两项费用仅计取税金。</w:t>
      </w:r>
    </w:p>
    <w:p w14:paraId="3341B8B4">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1.4.5对于发包人提供的工程量</w:t>
      </w:r>
    </w:p>
    <w:p w14:paraId="71E1030A">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清单中工程量的错误，承包人未在</w:t>
      </w:r>
      <w:r>
        <w:rPr>
          <w:rFonts w:hint="eastAsia" w:ascii="宋体" w:hAnsi="宋体"/>
          <w:kern w:val="0"/>
          <w:sz w:val="24"/>
          <w:lang w:eastAsia="zh-CN"/>
        </w:rPr>
        <w:t>采购文件</w:t>
      </w:r>
      <w:r>
        <w:rPr>
          <w:rFonts w:hint="eastAsia" w:ascii="宋体" w:hAnsi="宋体"/>
          <w:kern w:val="0"/>
          <w:sz w:val="24"/>
        </w:rPr>
        <w:t>规定的异议截止日期前提出异议并附计算书的，工程结算时不再调整。</w:t>
      </w:r>
    </w:p>
    <w:p w14:paraId="1C6D531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1.4.6对于发包人提供的工程量清单中单项子目工程量的误差，承包人在</w:t>
      </w:r>
      <w:r>
        <w:rPr>
          <w:rFonts w:hint="eastAsia" w:ascii="宋体" w:hAnsi="宋体"/>
          <w:kern w:val="0"/>
          <w:sz w:val="24"/>
          <w:lang w:eastAsia="zh-CN"/>
        </w:rPr>
        <w:t>采购文件</w:t>
      </w:r>
      <w:r>
        <w:rPr>
          <w:rFonts w:hint="eastAsia" w:ascii="宋体" w:hAnsi="宋体"/>
          <w:kern w:val="0"/>
          <w:sz w:val="24"/>
        </w:rPr>
        <w:t>规定的截止日期前提出异议未被招标人接受，但事后被证明异议的实质性内容是正确的，其工程量可以调整，但只调整单项子目工程量误差超出3%以外的部分。本条仅针对该单项子目造价占合同价款3%以上的情况。</w:t>
      </w:r>
    </w:p>
    <w:p w14:paraId="20920678">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1.4.7对于发包人提供的工程量清单中的单项子目，承包人没有报价的，发包人认为视同该项价格已经包括在其他项目中。</w:t>
      </w:r>
    </w:p>
    <w:p w14:paraId="04053CA0">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1.5其它补充条款：</w:t>
      </w:r>
    </w:p>
    <w:p w14:paraId="600676D6">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在工程施工工程中，因承包人违反有关工程建设法律、法规、规章以及施工技术标准、规范、规程等规定而受到工程建设行业主管部门停工、曝光、罚款等处罚的，承包人须按照5000.00元～10000.00元/次支付发包人违约金（此项违约金从当期支付工程款中直接扣除）。</w:t>
      </w:r>
    </w:p>
    <w:p w14:paraId="27A2EF81">
      <w:pPr>
        <w:pStyle w:val="91"/>
        <w:spacing w:line="360" w:lineRule="auto"/>
        <w:ind w:left="250" w:leftChars="119" w:right="0" w:firstLine="118" w:firstLineChars="49"/>
        <w:outlineLvl w:val="3"/>
        <w:rPr>
          <w:rFonts w:hint="eastAsia" w:ascii="宋体" w:hAnsi="宋体"/>
          <w:b/>
          <w:szCs w:val="24"/>
        </w:rPr>
      </w:pPr>
      <w:r>
        <w:rPr>
          <w:rFonts w:hint="eastAsia" w:ascii="宋体" w:hAnsi="宋体"/>
          <w:b/>
          <w:szCs w:val="24"/>
        </w:rPr>
        <w:t>1.6其他：</w:t>
      </w:r>
    </w:p>
    <w:p w14:paraId="65EB4394">
      <w:pPr>
        <w:pStyle w:val="91"/>
        <w:spacing w:line="360" w:lineRule="auto"/>
        <w:ind w:left="250" w:leftChars="119" w:right="0" w:firstLine="118" w:firstLineChars="49"/>
        <w:rPr>
          <w:rFonts w:hint="eastAsia" w:ascii="宋体" w:hAnsi="宋体"/>
          <w:b/>
          <w:szCs w:val="24"/>
        </w:rPr>
      </w:pPr>
      <w:r>
        <w:rPr>
          <w:rFonts w:hint="eastAsia" w:ascii="宋体" w:hAnsi="宋体"/>
          <w:b/>
          <w:szCs w:val="24"/>
        </w:rPr>
        <w:t>1、中标人需在本项目建筑服务发生地主管国税机关办理《外出经营活动税收管理证明》报验备案，并依法预缴增值税、城市维护建设税及教育附加等相关税费（仅针对外地来肥建筑安装企业）。</w:t>
      </w:r>
    </w:p>
    <w:p w14:paraId="3C93DCA9">
      <w:pPr>
        <w:pStyle w:val="91"/>
        <w:spacing w:line="360" w:lineRule="auto"/>
        <w:ind w:left="250" w:right="0" w:firstLine="480"/>
        <w:rPr>
          <w:rFonts w:ascii="宋体" w:hAnsi="宋体"/>
          <w:b/>
          <w:szCs w:val="24"/>
        </w:rPr>
      </w:pPr>
      <w:r>
        <w:rPr>
          <w:rFonts w:hint="eastAsia" w:ascii="宋体" w:hAnsi="宋体"/>
          <w:b/>
          <w:szCs w:val="24"/>
        </w:rPr>
        <w:t>2、根据合政〔2016〕189号文要求，工程结算审计核减额超过报审金额10%的，其超过10%以上部分的审计咨询费用由施工单位（合同乙方）承担，建设单位在支付工程结算款时予以代扣，并支付给审计委托的工程造价咨询单位。</w:t>
      </w:r>
    </w:p>
    <w:p w14:paraId="531D598A">
      <w:pPr>
        <w:adjustRightInd w:val="0"/>
        <w:snapToGrid w:val="0"/>
        <w:spacing w:line="360" w:lineRule="auto"/>
        <w:ind w:right="420"/>
        <w:rPr>
          <w:rFonts w:hint="eastAsia" w:ascii="宋体" w:hAnsi="宋体"/>
          <w:b/>
          <w:color w:val="000000"/>
          <w:sz w:val="24"/>
          <w:szCs w:val="24"/>
        </w:rPr>
      </w:pPr>
    </w:p>
    <w:p w14:paraId="0968D34C">
      <w:pPr>
        <w:adjustRightInd w:val="0"/>
        <w:snapToGrid w:val="0"/>
        <w:spacing w:line="360" w:lineRule="auto"/>
        <w:rPr>
          <w:rFonts w:ascii="宋体" w:hAnsi="宋体"/>
          <w:sz w:val="24"/>
          <w:szCs w:val="24"/>
        </w:rPr>
      </w:pPr>
      <w:r>
        <w:rPr>
          <w:rFonts w:hint="eastAsia" w:ascii="宋体" w:hAnsi="宋体"/>
          <w:sz w:val="24"/>
          <w:szCs w:val="24"/>
        </w:rPr>
        <w:t>发包人：</w:t>
      </w:r>
      <w:r>
        <w:rPr>
          <w:rFonts w:ascii="宋体" w:hAnsi="宋体"/>
          <w:sz w:val="24"/>
          <w:szCs w:val="24"/>
        </w:rPr>
        <w:t xml:space="preserve">  (</w:t>
      </w:r>
      <w:r>
        <w:rPr>
          <w:rFonts w:hint="eastAsia" w:ascii="宋体" w:hAnsi="宋体"/>
          <w:sz w:val="24"/>
          <w:szCs w:val="24"/>
        </w:rPr>
        <w:t>公章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承包人：</w:t>
      </w:r>
      <w:r>
        <w:rPr>
          <w:rFonts w:ascii="宋体" w:hAnsi="宋体"/>
          <w:sz w:val="24"/>
          <w:szCs w:val="24"/>
        </w:rPr>
        <w:t xml:space="preserve">  (</w:t>
      </w:r>
      <w:r>
        <w:rPr>
          <w:rFonts w:hint="eastAsia" w:ascii="宋体" w:hAnsi="宋体"/>
          <w:sz w:val="24"/>
          <w:szCs w:val="24"/>
        </w:rPr>
        <w:t>公章</w:t>
      </w:r>
      <w:r>
        <w:rPr>
          <w:rFonts w:ascii="宋体" w:hAnsi="宋体"/>
          <w:sz w:val="24"/>
          <w:szCs w:val="24"/>
        </w:rPr>
        <w:t>)</w:t>
      </w:r>
    </w:p>
    <w:p w14:paraId="5EE180A6">
      <w:pPr>
        <w:adjustRightInd w:val="0"/>
        <w:snapToGrid w:val="0"/>
        <w:spacing w:line="360" w:lineRule="auto"/>
        <w:rPr>
          <w:rFonts w:ascii="宋体" w:hAnsi="宋体"/>
          <w:sz w:val="24"/>
          <w:szCs w:val="24"/>
        </w:rPr>
      </w:pPr>
      <w:r>
        <w:rPr>
          <w:rFonts w:hint="eastAsia" w:ascii="宋体" w:hAnsi="宋体"/>
          <w:sz w:val="24"/>
          <w:szCs w:val="24"/>
        </w:rPr>
        <w:t>法定代表人或其委托代理人：</w:t>
      </w:r>
      <w:r>
        <w:rPr>
          <w:rFonts w:ascii="宋体" w:hAnsi="宋体"/>
          <w:sz w:val="24"/>
          <w:szCs w:val="24"/>
        </w:rPr>
        <w:t xml:space="preserve">  </w:t>
      </w:r>
      <w:r>
        <w:rPr>
          <w:rFonts w:hint="eastAsia" w:ascii="宋体" w:hAnsi="宋体"/>
          <w:sz w:val="24"/>
          <w:szCs w:val="24"/>
        </w:rPr>
        <w:t xml:space="preserve">               法定代表人或其委托代理人：</w:t>
      </w:r>
    </w:p>
    <w:p w14:paraId="5A76ED74">
      <w:pPr>
        <w:adjustRightInd w:val="0"/>
        <w:snapToGrid w:val="0"/>
        <w:spacing w:line="360" w:lineRule="auto"/>
        <w:rPr>
          <w:rFonts w:ascii="宋体" w:hAnsi="宋体"/>
          <w:sz w:val="24"/>
          <w:szCs w:val="24"/>
        </w:rPr>
      </w:pPr>
      <w:r>
        <w:rPr>
          <w:rFonts w:hint="eastAsia" w:ascii="宋体" w:hAnsi="宋体"/>
          <w:sz w:val="24"/>
          <w:szCs w:val="24"/>
        </w:rPr>
        <w:t>（签字）</w:t>
      </w:r>
      <w:r>
        <w:rPr>
          <w:rFonts w:ascii="宋体" w:hAnsi="宋体"/>
          <w:sz w:val="24"/>
          <w:szCs w:val="24"/>
        </w:rPr>
        <w:t xml:space="preserve">                    </w:t>
      </w:r>
      <w:r>
        <w:rPr>
          <w:rFonts w:hint="eastAsia" w:ascii="宋体" w:hAnsi="宋体"/>
          <w:sz w:val="24"/>
          <w:szCs w:val="24"/>
        </w:rPr>
        <w:t xml:space="preserve">              （签字）</w:t>
      </w:r>
    </w:p>
    <w:p w14:paraId="464B2CDF">
      <w:pPr>
        <w:adjustRightInd w:val="0"/>
        <w:snapToGrid w:val="0"/>
        <w:spacing w:line="360" w:lineRule="auto"/>
        <w:rPr>
          <w:rFonts w:ascii="宋体" w:hAnsi="宋体"/>
          <w:sz w:val="24"/>
          <w:szCs w:val="24"/>
        </w:rPr>
      </w:pPr>
      <w:r>
        <w:rPr>
          <w:rFonts w:hint="eastAsia" w:ascii="宋体" w:hAnsi="宋体"/>
          <w:sz w:val="24"/>
          <w:szCs w:val="24"/>
        </w:rPr>
        <w:t>组织机构代码：</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组织机构代码：</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p>
    <w:p w14:paraId="6387F39B">
      <w:pPr>
        <w:adjustRightInd w:val="0"/>
        <w:snapToGrid w:val="0"/>
        <w:spacing w:line="360" w:lineRule="auto"/>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地</w:t>
      </w:r>
      <w:r>
        <w:rPr>
          <w:rFonts w:ascii="宋体" w:hAnsi="宋体"/>
          <w:sz w:val="24"/>
          <w:szCs w:val="24"/>
        </w:rPr>
        <w:t xml:space="preserve">  </w:t>
      </w:r>
      <w:r>
        <w:rPr>
          <w:rFonts w:hint="eastAsia" w:ascii="宋体" w:hAnsi="宋体"/>
          <w:sz w:val="24"/>
          <w:szCs w:val="24"/>
        </w:rPr>
        <w:t>址：</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6C05F757">
      <w:pPr>
        <w:adjustRightInd w:val="0"/>
        <w:snapToGrid w:val="0"/>
        <w:spacing w:line="360" w:lineRule="auto"/>
        <w:rPr>
          <w:rFonts w:ascii="宋体" w:hAnsi="宋体"/>
          <w:sz w:val="24"/>
          <w:szCs w:val="24"/>
        </w:rPr>
      </w:pPr>
      <w:r>
        <w:rPr>
          <w:rFonts w:hint="eastAsia" w:ascii="宋体" w:hAnsi="宋体"/>
          <w:sz w:val="24"/>
          <w:szCs w:val="24"/>
        </w:rPr>
        <w:t>邮政编码：</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邮政编码：</w:t>
      </w:r>
      <w:r>
        <w:rPr>
          <w:rFonts w:hint="eastAsia" w:ascii="宋体" w:hAnsi="宋体" w:cs="宋体"/>
          <w:sz w:val="24"/>
          <w:szCs w:val="24"/>
          <w:u w:val="single"/>
        </w:rPr>
        <w:t></w:t>
      </w:r>
      <w:r>
        <w:rPr>
          <w:rFonts w:ascii="宋体" w:hAnsi="宋体"/>
          <w:sz w:val="24"/>
          <w:szCs w:val="24"/>
          <w:u w:val="single"/>
        </w:rPr>
        <w:t xml:space="preserve">   </w:t>
      </w:r>
    </w:p>
    <w:p w14:paraId="07CAE20B">
      <w:pPr>
        <w:adjustRightInd w:val="0"/>
        <w:snapToGrid w:val="0"/>
        <w:spacing w:line="360" w:lineRule="auto"/>
        <w:rPr>
          <w:rFonts w:ascii="宋体" w:hAnsi="宋体"/>
          <w:sz w:val="24"/>
          <w:szCs w:val="24"/>
        </w:rPr>
      </w:pPr>
      <w:r>
        <w:rPr>
          <w:rFonts w:hint="eastAsia" w:ascii="宋体" w:hAnsi="宋体"/>
          <w:sz w:val="24"/>
          <w:szCs w:val="24"/>
        </w:rPr>
        <w:t>法定代表人：</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法定代表人：</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29D5F842">
      <w:pPr>
        <w:adjustRightInd w:val="0"/>
        <w:snapToGrid w:val="0"/>
        <w:spacing w:line="360" w:lineRule="auto"/>
        <w:rPr>
          <w:rFonts w:ascii="宋体" w:hAnsi="宋体"/>
          <w:sz w:val="24"/>
          <w:szCs w:val="24"/>
        </w:rPr>
      </w:pPr>
      <w:r>
        <w:rPr>
          <w:rFonts w:hint="eastAsia" w:ascii="宋体" w:hAnsi="宋体"/>
          <w:sz w:val="24"/>
          <w:szCs w:val="24"/>
        </w:rPr>
        <w:t>委托代理人：</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委托代理人：</w:t>
      </w:r>
      <w:r>
        <w:rPr>
          <w:rFonts w:hint="eastAsia" w:ascii="宋体" w:hAnsi="宋体" w:cs="宋体"/>
          <w:sz w:val="24"/>
          <w:szCs w:val="24"/>
          <w:u w:val="single"/>
        </w:rPr>
        <w:t></w:t>
      </w:r>
      <w:r>
        <w:rPr>
          <w:rFonts w:ascii="宋体" w:hAnsi="宋体"/>
          <w:sz w:val="24"/>
          <w:szCs w:val="24"/>
          <w:u w:val="single"/>
        </w:rPr>
        <w:t xml:space="preserve">             </w:t>
      </w:r>
    </w:p>
    <w:p w14:paraId="02608440">
      <w:pPr>
        <w:adjustRightInd w:val="0"/>
        <w:snapToGrid w:val="0"/>
        <w:spacing w:line="360" w:lineRule="auto"/>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电</w:t>
      </w:r>
      <w:r>
        <w:rPr>
          <w:rFonts w:ascii="宋体" w:hAnsi="宋体"/>
          <w:sz w:val="24"/>
          <w:szCs w:val="24"/>
        </w:rPr>
        <w:t xml:space="preserve">  </w:t>
      </w:r>
      <w:r>
        <w:rPr>
          <w:rFonts w:hint="eastAsia" w:ascii="宋体" w:hAnsi="宋体"/>
          <w:sz w:val="24"/>
          <w:szCs w:val="24"/>
        </w:rPr>
        <w:t>话：</w:t>
      </w:r>
      <w:r>
        <w:rPr>
          <w:rFonts w:hint="eastAsia" w:ascii="宋体" w:hAnsi="宋体" w:cs="宋体"/>
          <w:sz w:val="24"/>
          <w:szCs w:val="24"/>
          <w:u w:val="single"/>
        </w:rPr>
        <w:t></w:t>
      </w:r>
      <w:r>
        <w:rPr>
          <w:rFonts w:ascii="宋体" w:hAnsi="宋体"/>
          <w:sz w:val="24"/>
          <w:szCs w:val="24"/>
          <w:u w:val="single"/>
        </w:rPr>
        <w:t xml:space="preserve">     </w:t>
      </w:r>
    </w:p>
    <w:p w14:paraId="2CD20188">
      <w:pPr>
        <w:adjustRightInd w:val="0"/>
        <w:snapToGrid w:val="0"/>
        <w:spacing w:line="360" w:lineRule="auto"/>
        <w:rPr>
          <w:rFonts w:ascii="宋体" w:hAns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传</w:t>
      </w:r>
      <w:r>
        <w:rPr>
          <w:rFonts w:ascii="宋体" w:hAnsi="宋体"/>
          <w:sz w:val="24"/>
          <w:szCs w:val="24"/>
        </w:rPr>
        <w:t xml:space="preserve">  </w:t>
      </w:r>
      <w:r>
        <w:rPr>
          <w:rFonts w:hint="eastAsia" w:ascii="宋体" w:hAnsi="宋体"/>
          <w:sz w:val="24"/>
          <w:szCs w:val="24"/>
        </w:rPr>
        <w:t>真：</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45398563">
      <w:pPr>
        <w:adjustRightInd w:val="0"/>
        <w:snapToGrid w:val="0"/>
        <w:spacing w:line="360" w:lineRule="auto"/>
        <w:rPr>
          <w:rFonts w:ascii="宋体" w:hAnsi="宋体"/>
          <w:sz w:val="24"/>
          <w:szCs w:val="24"/>
        </w:rPr>
      </w:pPr>
      <w:r>
        <w:rPr>
          <w:rFonts w:hint="eastAsia" w:ascii="宋体" w:hAnsi="宋体"/>
          <w:sz w:val="24"/>
          <w:szCs w:val="24"/>
        </w:rPr>
        <w:t>电子信箱：</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电子信箱：</w:t>
      </w:r>
      <w:r>
        <w:rPr>
          <w:rFonts w:hint="eastAsia" w:ascii="宋体" w:hAnsi="宋体" w:cs="宋体"/>
          <w:sz w:val="24"/>
          <w:szCs w:val="24"/>
          <w:u w:val="single"/>
        </w:rPr>
        <w:t></w:t>
      </w:r>
      <w:r>
        <w:rPr>
          <w:rFonts w:ascii="宋体" w:hAnsi="宋体"/>
          <w:sz w:val="24"/>
          <w:szCs w:val="24"/>
          <w:u w:val="single"/>
        </w:rPr>
        <w:t xml:space="preserve">   </w:t>
      </w:r>
    </w:p>
    <w:p w14:paraId="4BFC2373">
      <w:pPr>
        <w:adjustRightInd w:val="0"/>
        <w:snapToGrid w:val="0"/>
        <w:spacing w:line="360" w:lineRule="auto"/>
        <w:rPr>
          <w:rFonts w:ascii="宋体" w:hAnsi="宋体"/>
          <w:sz w:val="24"/>
          <w:szCs w:val="24"/>
        </w:rPr>
      </w:pPr>
      <w:r>
        <w:rPr>
          <w:rFonts w:hint="eastAsia" w:ascii="宋体" w:hAnsi="宋体"/>
          <w:sz w:val="24"/>
          <w:szCs w:val="24"/>
        </w:rPr>
        <w:t>开户银行：</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开户银行：</w:t>
      </w:r>
      <w:r>
        <w:rPr>
          <w:rFonts w:hint="eastAsia" w:ascii="宋体" w:hAnsi="宋体" w:cs="宋体"/>
          <w:sz w:val="24"/>
          <w:szCs w:val="24"/>
          <w:u w:val="single"/>
        </w:rPr>
        <w:t></w:t>
      </w:r>
      <w:r>
        <w:rPr>
          <w:rFonts w:ascii="宋体" w:hAnsi="宋体"/>
          <w:sz w:val="24"/>
          <w:szCs w:val="24"/>
          <w:u w:val="single"/>
        </w:rPr>
        <w:t xml:space="preserve">   </w:t>
      </w:r>
    </w:p>
    <w:p w14:paraId="72FA57B7">
      <w:pPr>
        <w:adjustRightInd w:val="0"/>
        <w:snapToGrid w:val="0"/>
        <w:spacing w:line="360" w:lineRule="auto"/>
        <w:rPr>
          <w:rFonts w:ascii="宋体" w:hAnsi="宋体"/>
          <w:sz w:val="24"/>
          <w:szCs w:val="24"/>
        </w:rPr>
      </w:pPr>
      <w:r>
        <w:rPr>
          <w:rFonts w:hint="eastAsia" w:ascii="宋体" w:hAnsi="宋体"/>
          <w:sz w:val="24"/>
          <w:szCs w:val="24"/>
        </w:rPr>
        <w:t>账</w:t>
      </w:r>
      <w:r>
        <w:rPr>
          <w:rFonts w:ascii="宋体" w:hAnsi="宋体"/>
          <w:sz w:val="24"/>
          <w:szCs w:val="24"/>
        </w:rPr>
        <w:t xml:space="preserve">  </w:t>
      </w:r>
      <w:r>
        <w:rPr>
          <w:rFonts w:hint="eastAsia" w:ascii="宋体" w:hAnsi="宋体"/>
          <w:sz w:val="24"/>
          <w:szCs w:val="24"/>
        </w:rPr>
        <w:t>号：</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账</w:t>
      </w:r>
      <w:r>
        <w:rPr>
          <w:rFonts w:ascii="宋体" w:hAnsi="宋体"/>
          <w:sz w:val="24"/>
          <w:szCs w:val="24"/>
        </w:rPr>
        <w:t xml:space="preserve">  </w:t>
      </w:r>
      <w:r>
        <w:rPr>
          <w:rFonts w:hint="eastAsia" w:ascii="宋体" w:hAnsi="宋体"/>
          <w:sz w:val="24"/>
          <w:szCs w:val="24"/>
        </w:rPr>
        <w:t>号：</w:t>
      </w:r>
      <w:r>
        <w:rPr>
          <w:rFonts w:hint="eastAsia" w:ascii="宋体" w:hAnsi="宋体" w:cs="宋体"/>
          <w:sz w:val="24"/>
          <w:szCs w:val="24"/>
          <w:u w:val="single"/>
        </w:rPr>
        <w:t></w:t>
      </w:r>
      <w:r>
        <w:rPr>
          <w:rFonts w:ascii="宋体" w:hAnsi="宋体"/>
          <w:sz w:val="24"/>
          <w:szCs w:val="24"/>
          <w:u w:val="single"/>
        </w:rPr>
        <w:t xml:space="preserve">     </w:t>
      </w:r>
    </w:p>
    <w:p w14:paraId="6DF78184">
      <w:pP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pPr>
    </w:p>
    <w:bookmarkEnd w:id="71"/>
    <w:p w14:paraId="5DC12A0D">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xml:space="preserve">  </w:t>
      </w:r>
    </w:p>
    <w:p w14:paraId="0114B192">
      <w:pPr>
        <w:adjustRightInd w:val="0"/>
        <w:snapToGrid w:val="0"/>
        <w:spacing w:before="120" w:beforeLines="50" w:after="120" w:afterLines="50" w:line="360" w:lineRule="auto"/>
        <w:jc w:val="center"/>
        <w:outlineLvl w:val="4"/>
        <w:rPr>
          <w:rFonts w:hint="eastAsia" w:ascii="宋体" w:hAnsi="宋体"/>
          <w:b/>
          <w:color w:val="000000"/>
          <w:sz w:val="24"/>
          <w:szCs w:val="24"/>
        </w:rPr>
      </w:pPr>
      <w:r>
        <w:rPr>
          <w:rFonts w:hint="eastAsia" w:ascii="宋体" w:hAnsi="宋体"/>
          <w:b/>
          <w:color w:val="000000"/>
          <w:sz w:val="24"/>
          <w:szCs w:val="24"/>
        </w:rPr>
        <w:t>工程质量保修书</w:t>
      </w:r>
    </w:p>
    <w:p w14:paraId="40A8067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发包人（全称）：</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14:paraId="5670D1B6">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承包人（全称）：</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14:paraId="2C401E0E">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发包人和承包人根据《中华人民共和国建筑法》和《建设工程质量管理条例》，经协商一致就</w:t>
      </w:r>
      <w:r>
        <w:rPr>
          <w:rFonts w:hint="eastAsia" w:ascii="宋体" w:hAnsi="宋体"/>
          <w:color w:val="000000"/>
          <w:sz w:val="24"/>
          <w:szCs w:val="24"/>
          <w:u w:val="single"/>
        </w:rPr>
        <w:t xml:space="preserve">                </w:t>
      </w:r>
      <w:r>
        <w:rPr>
          <w:rFonts w:hint="eastAsia" w:ascii="宋体" w:hAnsi="宋体"/>
          <w:color w:val="000000"/>
          <w:sz w:val="24"/>
          <w:szCs w:val="24"/>
        </w:rPr>
        <w:t>（工程全称）签订工程质量保修书。</w:t>
      </w:r>
    </w:p>
    <w:p w14:paraId="73B56351">
      <w:pPr>
        <w:adjustRightInd w:val="0"/>
        <w:snapToGrid w:val="0"/>
        <w:spacing w:line="360" w:lineRule="auto"/>
        <w:outlineLvl w:val="4"/>
        <w:rPr>
          <w:rFonts w:hint="eastAsia" w:ascii="宋体" w:hAnsi="宋体"/>
          <w:color w:val="000000"/>
          <w:sz w:val="24"/>
          <w:szCs w:val="24"/>
        </w:rPr>
      </w:pPr>
      <w:r>
        <w:rPr>
          <w:rFonts w:hint="eastAsia" w:ascii="宋体" w:hAnsi="宋体"/>
          <w:color w:val="000000"/>
          <w:sz w:val="24"/>
          <w:szCs w:val="24"/>
        </w:rPr>
        <w:t>　　一、工程质量保修范围和内容</w:t>
      </w:r>
    </w:p>
    <w:p w14:paraId="6A4A3F92">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承包人在质量保修期内，按照有关法律规定和合同约定，承担工程质量保修责任。</w:t>
      </w:r>
    </w:p>
    <w:p w14:paraId="3CAFE9CB">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05A61F6">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w:t>
      </w:r>
      <w:r>
        <w:rPr>
          <w:rFonts w:hint="eastAsia" w:ascii="宋体" w:hAnsi="宋体"/>
          <w:color w:val="000000"/>
          <w:sz w:val="24"/>
          <w:szCs w:val="24"/>
          <w:u w:val="single"/>
        </w:rPr>
        <w:t xml:space="preserve">                                                                            </w:t>
      </w:r>
    </w:p>
    <w:p w14:paraId="2FFE22EC">
      <w:pPr>
        <w:adjustRightInd w:val="0"/>
        <w:snapToGrid w:val="0"/>
        <w:spacing w:line="360" w:lineRule="auto"/>
        <w:outlineLvl w:val="4"/>
        <w:rPr>
          <w:rFonts w:hint="eastAsia" w:ascii="宋体" w:hAnsi="宋体"/>
          <w:color w:val="000000"/>
          <w:sz w:val="24"/>
          <w:szCs w:val="24"/>
        </w:rPr>
      </w:pPr>
      <w:r>
        <w:rPr>
          <w:rFonts w:hint="eastAsia" w:ascii="宋体" w:hAnsi="宋体"/>
          <w:b/>
          <w:color w:val="000000"/>
          <w:sz w:val="24"/>
          <w:szCs w:val="24"/>
        </w:rPr>
        <w:t>　　</w:t>
      </w:r>
      <w:r>
        <w:rPr>
          <w:rFonts w:hint="eastAsia" w:ascii="宋体" w:hAnsi="宋体"/>
          <w:color w:val="000000"/>
          <w:sz w:val="24"/>
          <w:szCs w:val="24"/>
        </w:rPr>
        <w:t>二、质量保修期</w:t>
      </w:r>
    </w:p>
    <w:p w14:paraId="5EDBF04D">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根据《建设工程质量管理条例》及有关规定，工程的质量保修期如下：</w:t>
      </w:r>
    </w:p>
    <w:p w14:paraId="2F979AE8">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color w:val="000000"/>
          <w:sz w:val="24"/>
          <w:szCs w:val="24"/>
        </w:rPr>
        <w:t>．</w:t>
      </w:r>
      <w:r>
        <w:rPr>
          <w:rFonts w:hint="eastAsia" w:ascii="宋体" w:hAnsi="宋体"/>
          <w:sz w:val="24"/>
          <w:szCs w:val="24"/>
        </w:rPr>
        <w:t>地基基础工程和主体结构工程为设计文件规定的工程合理使用年限；</w:t>
      </w:r>
    </w:p>
    <w:p w14:paraId="715597A0">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sz w:val="24"/>
          <w:szCs w:val="24"/>
        </w:rPr>
        <w:t>．</w:t>
      </w:r>
      <w:r>
        <w:rPr>
          <w:rFonts w:hint="eastAsia" w:ascii="宋体" w:hAnsi="宋体"/>
          <w:color w:val="000000"/>
          <w:sz w:val="24"/>
          <w:szCs w:val="24"/>
        </w:rPr>
        <w:t>屋面防水工程、有防水要求的卫生间、房间和外墙面的防渗为</w:t>
      </w:r>
      <w:r>
        <w:rPr>
          <w:rFonts w:hint="eastAsia" w:ascii="宋体" w:hAnsi="宋体"/>
          <w:color w:val="000000"/>
          <w:sz w:val="24"/>
          <w:szCs w:val="24"/>
          <w:u w:val="single"/>
        </w:rPr>
        <w:t xml:space="preserve">   5     </w:t>
      </w:r>
      <w:r>
        <w:rPr>
          <w:rFonts w:hint="eastAsia" w:ascii="宋体" w:hAnsi="宋体"/>
          <w:color w:val="000000"/>
          <w:sz w:val="24"/>
          <w:szCs w:val="24"/>
        </w:rPr>
        <w:t>年；</w:t>
      </w:r>
    </w:p>
    <w:p w14:paraId="6453E4AF">
      <w:pPr>
        <w:adjustRightInd w:val="0"/>
        <w:snapToGrid w:val="0"/>
        <w:spacing w:line="360" w:lineRule="auto"/>
        <w:ind w:firstLine="480" w:firstLineChars="200"/>
        <w:outlineLvl w:val="2"/>
        <w:rPr>
          <w:rFonts w:hint="eastAsia" w:ascii="宋体" w:hAnsi="宋体"/>
          <w:color w:val="000000"/>
          <w:sz w:val="24"/>
          <w:szCs w:val="24"/>
        </w:rPr>
      </w:pPr>
      <w:r>
        <w:rPr>
          <w:rFonts w:hint="eastAsia" w:ascii="宋体" w:hAnsi="宋体"/>
          <w:color w:val="000000"/>
          <w:sz w:val="24"/>
          <w:szCs w:val="24"/>
        </w:rPr>
        <w:t>3</w:t>
      </w:r>
      <w:r>
        <w:rPr>
          <w:rFonts w:hint="eastAsia" w:ascii="宋体" w:hAnsi="宋体"/>
          <w:sz w:val="24"/>
          <w:szCs w:val="24"/>
        </w:rPr>
        <w:t>．</w:t>
      </w:r>
      <w:r>
        <w:rPr>
          <w:rFonts w:hint="eastAsia" w:ascii="宋体" w:hAnsi="宋体"/>
          <w:color w:val="000000"/>
          <w:sz w:val="24"/>
          <w:szCs w:val="24"/>
        </w:rPr>
        <w:t>装修工程为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41C8927B">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w:t>
      </w:r>
      <w:r>
        <w:rPr>
          <w:rFonts w:hint="eastAsia" w:ascii="宋体" w:hAnsi="宋体"/>
          <w:sz w:val="24"/>
          <w:szCs w:val="24"/>
        </w:rPr>
        <w:t>．</w:t>
      </w:r>
      <w:r>
        <w:rPr>
          <w:rFonts w:hint="eastAsia" w:ascii="宋体" w:hAnsi="宋体"/>
          <w:color w:val="000000"/>
          <w:sz w:val="24"/>
          <w:szCs w:val="24"/>
        </w:rPr>
        <w:t>电气管线、给排水管道、设备安装工程为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5EE9BCAA">
      <w:pPr>
        <w:adjustRightInd w:val="0"/>
        <w:snapToGrid w:val="0"/>
        <w:spacing w:line="360" w:lineRule="auto"/>
        <w:ind w:firstLine="480" w:firstLineChars="200"/>
        <w:outlineLvl w:val="2"/>
        <w:rPr>
          <w:rFonts w:hint="eastAsia" w:ascii="宋体" w:hAnsi="宋体"/>
          <w:color w:val="000000"/>
          <w:sz w:val="24"/>
          <w:szCs w:val="24"/>
        </w:rPr>
      </w:pPr>
      <w:r>
        <w:rPr>
          <w:rFonts w:hint="eastAsia" w:ascii="宋体" w:hAnsi="宋体"/>
          <w:color w:val="000000"/>
          <w:sz w:val="24"/>
          <w:szCs w:val="24"/>
        </w:rPr>
        <w:t>5</w:t>
      </w:r>
      <w:r>
        <w:rPr>
          <w:rFonts w:hint="eastAsia" w:ascii="宋体" w:hAnsi="宋体"/>
          <w:sz w:val="24"/>
          <w:szCs w:val="24"/>
        </w:rPr>
        <w:t>．</w:t>
      </w:r>
      <w:r>
        <w:rPr>
          <w:rFonts w:hint="eastAsia" w:ascii="宋体" w:hAnsi="宋体"/>
          <w:color w:val="000000"/>
          <w:sz w:val="24"/>
          <w:szCs w:val="24"/>
        </w:rPr>
        <w:t>供热与供冷系统为</w:t>
      </w:r>
      <w:r>
        <w:rPr>
          <w:rFonts w:hint="eastAsia" w:ascii="宋体" w:hAnsi="宋体"/>
          <w:color w:val="000000"/>
          <w:sz w:val="24"/>
          <w:szCs w:val="24"/>
          <w:u w:val="single"/>
        </w:rPr>
        <w:t xml:space="preserve">     2    </w:t>
      </w:r>
      <w:r>
        <w:rPr>
          <w:rFonts w:hint="eastAsia" w:ascii="宋体" w:hAnsi="宋体"/>
          <w:color w:val="000000"/>
          <w:sz w:val="24"/>
          <w:szCs w:val="24"/>
        </w:rPr>
        <w:t>个采暖期、供冷期；</w:t>
      </w:r>
    </w:p>
    <w:p w14:paraId="466CDD93">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w:t>
      </w:r>
      <w:r>
        <w:rPr>
          <w:rFonts w:hint="eastAsia" w:ascii="宋体" w:hAnsi="宋体"/>
          <w:sz w:val="24"/>
          <w:szCs w:val="24"/>
        </w:rPr>
        <w:t>．</w:t>
      </w:r>
      <w:r>
        <w:rPr>
          <w:rFonts w:hint="eastAsia" w:ascii="宋体" w:hAnsi="宋体"/>
          <w:color w:val="000000"/>
          <w:sz w:val="24"/>
          <w:szCs w:val="24"/>
        </w:rPr>
        <w:t>住宅小区内的给排水设施、道路等配套工程为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70EB21B9">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w:t>
      </w:r>
      <w:r>
        <w:rPr>
          <w:rFonts w:hint="eastAsia" w:ascii="宋体" w:hAnsi="宋体"/>
          <w:sz w:val="24"/>
          <w:szCs w:val="24"/>
        </w:rPr>
        <w:t>．</w:t>
      </w:r>
      <w:r>
        <w:rPr>
          <w:rFonts w:hint="eastAsia" w:ascii="宋体" w:hAnsi="宋体"/>
          <w:color w:val="000000"/>
          <w:sz w:val="24"/>
          <w:szCs w:val="24"/>
        </w:rPr>
        <w:t>其他项目保修期限约定如下：</w:t>
      </w:r>
      <w:r>
        <w:rPr>
          <w:rFonts w:hint="eastAsia" w:ascii="宋体" w:hAnsi="宋体"/>
          <w:color w:val="000000"/>
          <w:sz w:val="24"/>
          <w:szCs w:val="24"/>
          <w:u w:val="single"/>
        </w:rPr>
        <w:t xml:space="preserve">     保温工程5年        </w:t>
      </w:r>
      <w:r>
        <w:rPr>
          <w:rFonts w:hint="eastAsia" w:ascii="宋体" w:hAnsi="宋体"/>
          <w:color w:val="000000"/>
          <w:sz w:val="24"/>
          <w:szCs w:val="24"/>
        </w:rPr>
        <w:t>。</w:t>
      </w:r>
    </w:p>
    <w:p w14:paraId="0D38C44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质量保修期自工程竣工验收合格之日起计算。</w:t>
      </w:r>
    </w:p>
    <w:p w14:paraId="1D7CC082">
      <w:pPr>
        <w:adjustRightInd w:val="0"/>
        <w:snapToGrid w:val="0"/>
        <w:spacing w:line="360" w:lineRule="auto"/>
        <w:ind w:firstLine="480" w:firstLineChars="200"/>
        <w:outlineLvl w:val="3"/>
        <w:rPr>
          <w:rFonts w:hint="eastAsia" w:ascii="宋体" w:hAnsi="宋体"/>
          <w:color w:val="000000"/>
          <w:sz w:val="24"/>
          <w:szCs w:val="24"/>
        </w:rPr>
      </w:pPr>
      <w:r>
        <w:rPr>
          <w:rFonts w:hint="eastAsia" w:ascii="宋体" w:hAnsi="宋体"/>
          <w:color w:val="000000"/>
          <w:sz w:val="24"/>
          <w:szCs w:val="24"/>
        </w:rPr>
        <w:t>三、缺陷责任期</w:t>
      </w:r>
    </w:p>
    <w:p w14:paraId="6C05544C">
      <w:pPr>
        <w:adjustRightInd w:val="0"/>
        <w:snapToGrid w:val="0"/>
        <w:spacing w:line="360" w:lineRule="auto"/>
        <w:ind w:firstLine="482" w:firstLineChars="200"/>
        <w:rPr>
          <w:rFonts w:hint="eastAsia" w:ascii="宋体" w:hAnsi="宋体"/>
          <w:color w:val="000000"/>
          <w:sz w:val="24"/>
          <w:szCs w:val="24"/>
        </w:rPr>
      </w:pPr>
      <w:r>
        <w:rPr>
          <w:rFonts w:hint="eastAsia" w:ascii="宋体" w:hAnsi="宋体"/>
          <w:b/>
          <w:color w:val="000000"/>
          <w:sz w:val="24"/>
          <w:szCs w:val="24"/>
        </w:rPr>
        <w:t>工程缺陷责任期为</w:t>
      </w:r>
      <w:r>
        <w:rPr>
          <w:rFonts w:hint="eastAsia" w:ascii="宋体" w:hAnsi="宋体"/>
          <w:b/>
          <w:color w:val="000000"/>
          <w:sz w:val="24"/>
          <w:szCs w:val="24"/>
          <w:u w:val="single"/>
        </w:rPr>
        <w:t xml:space="preserve">  24个月   </w:t>
      </w:r>
      <w:r>
        <w:rPr>
          <w:rFonts w:hint="eastAsia" w:ascii="宋体" w:hAnsi="宋体"/>
          <w:b/>
          <w:color w:val="000000"/>
          <w:sz w:val="24"/>
          <w:szCs w:val="24"/>
        </w:rPr>
        <w:t>，</w:t>
      </w:r>
      <w:r>
        <w:rPr>
          <w:rFonts w:hint="eastAsia" w:ascii="宋体" w:hAnsi="宋体"/>
          <w:color w:val="000000"/>
          <w:sz w:val="24"/>
          <w:szCs w:val="24"/>
        </w:rPr>
        <w:t>缺陷责任期自工程竣工验收合格之日起计算。单位工程先于全部工程进行验收，单位工程缺陷责任期自单位工程验收合格之日起算。</w:t>
      </w:r>
    </w:p>
    <w:p w14:paraId="314631B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缺陷责任期终止后，发包人应退还剩余的质量保证金。</w:t>
      </w:r>
    </w:p>
    <w:p w14:paraId="090B2CB0">
      <w:pPr>
        <w:adjustRightInd w:val="0"/>
        <w:snapToGrid w:val="0"/>
        <w:spacing w:line="360" w:lineRule="auto"/>
        <w:outlineLvl w:val="3"/>
        <w:rPr>
          <w:rFonts w:hint="eastAsia" w:ascii="宋体" w:hAnsi="宋体"/>
          <w:color w:val="000000"/>
          <w:sz w:val="24"/>
          <w:szCs w:val="24"/>
        </w:rPr>
      </w:pPr>
      <w:r>
        <w:rPr>
          <w:rFonts w:hint="eastAsia" w:ascii="宋体" w:hAnsi="宋体"/>
          <w:color w:val="000000"/>
          <w:sz w:val="24"/>
          <w:szCs w:val="24"/>
        </w:rPr>
        <w:t xml:space="preserve">    四、质量保修责任</w:t>
      </w:r>
    </w:p>
    <w:p w14:paraId="77711084">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1</w:t>
      </w:r>
      <w:r>
        <w:rPr>
          <w:rFonts w:hint="eastAsia" w:ascii="宋体" w:hAnsi="宋体"/>
          <w:sz w:val="24"/>
          <w:szCs w:val="24"/>
        </w:rPr>
        <w:t>．</w:t>
      </w:r>
      <w:r>
        <w:rPr>
          <w:rFonts w:hint="eastAsia" w:ascii="宋体" w:hAnsi="宋体"/>
          <w:color w:val="000000"/>
          <w:sz w:val="24"/>
          <w:szCs w:val="24"/>
        </w:rPr>
        <w:t>属于保修范围、内容的项目，承包人应当在接到保修通知之日起7天内派人保修。承包人不在约定期限内派人保修的，发包人可以委托他人修理。</w:t>
      </w:r>
    </w:p>
    <w:p w14:paraId="612EAE3F">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2</w:t>
      </w:r>
      <w:r>
        <w:rPr>
          <w:rFonts w:hint="eastAsia" w:ascii="宋体" w:hAnsi="宋体"/>
          <w:sz w:val="24"/>
          <w:szCs w:val="24"/>
        </w:rPr>
        <w:t>．</w:t>
      </w:r>
      <w:r>
        <w:rPr>
          <w:rFonts w:hint="eastAsia" w:ascii="宋体" w:hAnsi="宋体"/>
          <w:color w:val="000000"/>
          <w:sz w:val="24"/>
          <w:szCs w:val="24"/>
        </w:rPr>
        <w:t>发生紧急事故需抢修的，承包人在接到事故通知后，应当立即到达事故现场抢修。</w:t>
      </w:r>
    </w:p>
    <w:p w14:paraId="2964035F">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3</w:t>
      </w:r>
      <w:r>
        <w:rPr>
          <w:rFonts w:hint="eastAsia" w:ascii="宋体" w:hAnsi="宋体"/>
          <w:sz w:val="24"/>
          <w:szCs w:val="24"/>
        </w:rPr>
        <w:t>．</w:t>
      </w:r>
      <w:r>
        <w:rPr>
          <w:rFonts w:hint="eastAsia" w:ascii="宋体" w:hAnsi="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F90B429">
      <w:pPr>
        <w:adjustRightInd w:val="0"/>
        <w:snapToGrid w:val="0"/>
        <w:spacing w:line="360" w:lineRule="auto"/>
        <w:ind w:firstLine="491" w:firstLineChars="205"/>
        <w:outlineLvl w:val="2"/>
        <w:rPr>
          <w:rFonts w:hint="eastAsia" w:ascii="宋体" w:hAnsi="宋体"/>
          <w:color w:val="000000"/>
          <w:sz w:val="24"/>
          <w:szCs w:val="24"/>
        </w:rPr>
      </w:pPr>
      <w:r>
        <w:rPr>
          <w:rFonts w:hint="eastAsia" w:ascii="宋体" w:hAnsi="宋体"/>
          <w:color w:val="000000"/>
          <w:sz w:val="24"/>
          <w:szCs w:val="24"/>
        </w:rPr>
        <w:t>4</w:t>
      </w:r>
      <w:r>
        <w:rPr>
          <w:rFonts w:hint="eastAsia" w:ascii="宋体" w:hAnsi="宋体"/>
          <w:sz w:val="24"/>
          <w:szCs w:val="24"/>
        </w:rPr>
        <w:t>．</w:t>
      </w:r>
      <w:r>
        <w:rPr>
          <w:rFonts w:hint="eastAsia" w:ascii="宋体" w:hAnsi="宋体"/>
          <w:color w:val="000000"/>
          <w:sz w:val="24"/>
          <w:szCs w:val="24"/>
        </w:rPr>
        <w:t>质量保修完成后，由发包人组织验收。</w:t>
      </w:r>
    </w:p>
    <w:p w14:paraId="1CBCC5EB">
      <w:pPr>
        <w:adjustRightInd w:val="0"/>
        <w:snapToGrid w:val="0"/>
        <w:spacing w:line="360" w:lineRule="auto"/>
        <w:outlineLvl w:val="3"/>
        <w:rPr>
          <w:rFonts w:hint="eastAsia" w:ascii="宋体" w:hAnsi="宋体"/>
          <w:color w:val="000000"/>
          <w:sz w:val="24"/>
          <w:szCs w:val="24"/>
        </w:rPr>
      </w:pPr>
      <w:r>
        <w:rPr>
          <w:rFonts w:hint="eastAsia" w:ascii="宋体" w:hAnsi="宋体"/>
          <w:color w:val="000000"/>
          <w:sz w:val="24"/>
          <w:szCs w:val="24"/>
        </w:rPr>
        <w:t>　　五、保修费用</w:t>
      </w:r>
    </w:p>
    <w:p w14:paraId="6037327A">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保修费用由造成质量缺陷的责任方承担。</w:t>
      </w:r>
    </w:p>
    <w:p w14:paraId="3853FDB7">
      <w:pPr>
        <w:adjustRightInd w:val="0"/>
        <w:snapToGrid w:val="0"/>
        <w:spacing w:line="360" w:lineRule="auto"/>
        <w:ind w:firstLine="600"/>
        <w:rPr>
          <w:rFonts w:hint="eastAsia" w:ascii="宋体" w:hAnsi="宋体"/>
          <w:color w:val="000000"/>
          <w:sz w:val="24"/>
          <w:szCs w:val="24"/>
        </w:rPr>
      </w:pPr>
      <w:r>
        <w:rPr>
          <w:rFonts w:hint="eastAsia" w:ascii="宋体" w:hAnsi="宋体"/>
          <w:b/>
          <w:color w:val="000000"/>
          <w:sz w:val="24"/>
          <w:szCs w:val="24"/>
        </w:rPr>
        <w:t>六</w:t>
      </w:r>
      <w:r>
        <w:rPr>
          <w:rFonts w:hint="eastAsia" w:ascii="宋体" w:hAnsi="宋体"/>
          <w:color w:val="000000"/>
          <w:sz w:val="24"/>
          <w:szCs w:val="24"/>
        </w:rPr>
        <w:t>、双方约定的其他工程质量保修事项：</w:t>
      </w:r>
      <w:r>
        <w:rPr>
          <w:rFonts w:hint="eastAsia" w:ascii="宋体" w:hAnsi="宋体"/>
          <w:color w:val="000000"/>
          <w:sz w:val="24"/>
          <w:szCs w:val="24"/>
          <w:u w:val="single"/>
        </w:rPr>
        <w:t xml:space="preserve">             </w:t>
      </w:r>
      <w:r>
        <w:rPr>
          <w:rFonts w:hint="eastAsia" w:ascii="宋体" w:hAnsi="宋体"/>
          <w:color w:val="000000"/>
          <w:sz w:val="24"/>
          <w:szCs w:val="24"/>
        </w:rPr>
        <w:t>。</w:t>
      </w:r>
    </w:p>
    <w:p w14:paraId="3061352A">
      <w:pPr>
        <w:adjustRightInd w:val="0"/>
        <w:snapToGrid w:val="0"/>
        <w:spacing w:line="360" w:lineRule="auto"/>
        <w:ind w:firstLine="456" w:firstLineChars="190"/>
        <w:rPr>
          <w:rFonts w:hint="eastAsia" w:ascii="宋体" w:hAnsi="宋体"/>
          <w:color w:val="000000"/>
          <w:sz w:val="24"/>
          <w:szCs w:val="24"/>
        </w:rPr>
      </w:pPr>
      <w:r>
        <w:rPr>
          <w:rFonts w:hint="eastAsia" w:ascii="宋体" w:hAnsi="宋体"/>
          <w:color w:val="000000"/>
          <w:sz w:val="24"/>
          <w:szCs w:val="24"/>
        </w:rPr>
        <w:t>工程质量保修书由发包人、承包人在工程竣工验收前共同签署，作为施工合同附件，其有效期限至保修期满。</w:t>
      </w:r>
    </w:p>
    <w:p w14:paraId="147C55E3">
      <w:pPr>
        <w:adjustRightInd w:val="0"/>
        <w:snapToGrid w:val="0"/>
        <w:spacing w:line="360" w:lineRule="auto"/>
        <w:ind w:firstLine="420"/>
        <w:rPr>
          <w:rFonts w:hint="eastAsia" w:ascii="宋体" w:hAnsi="宋体"/>
          <w:color w:val="000000"/>
          <w:sz w:val="24"/>
          <w:szCs w:val="24"/>
        </w:rPr>
      </w:pPr>
    </w:p>
    <w:p w14:paraId="35240B8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发包人(公章)：</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承包人(公章)：</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6CB4DD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地  址：</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地  址：</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E46AED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法定代表人(签字)：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法定代表人(签字)：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5C589F0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委托代理人(签字)：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委托代理人(签字)：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4FA88F85">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电  话：</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电  话：</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011A4639">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传  真：</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传  真：</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F455D10">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开户银行：</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开户银行：</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124ADBED">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账  号：</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账  号：</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A3D08C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邮政编码：</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邮政编码：</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F10B6E4">
      <w:pPr>
        <w:spacing w:before="100" w:beforeLines="50" w:beforeAutospacing="1" w:after="100" w:afterLines="30" w:afterAutospacing="1" w:line="360" w:lineRule="auto"/>
        <w:rPr>
          <w:rFonts w:ascii="宋体" w:hAnsi="宋体"/>
          <w:sz w:val="24"/>
          <w:szCs w:val="27"/>
        </w:rPr>
      </w:pPr>
    </w:p>
    <w:p w14:paraId="1CB2E234">
      <w:pPr>
        <w:spacing w:before="120" w:beforeLines="50" w:after="72" w:afterLines="30" w:line="360" w:lineRule="auto"/>
        <w:rPr>
          <w:rFonts w:ascii="宋体" w:hAnsi="宋体"/>
          <w:sz w:val="24"/>
          <w:szCs w:val="27"/>
        </w:rPr>
      </w:pPr>
      <w:r>
        <w:rPr>
          <w:rFonts w:hint="eastAsia" w:ascii="宋体" w:hAnsi="宋体" w:cs="宋体"/>
          <w:b/>
          <w:kern w:val="0"/>
          <w:sz w:val="24"/>
          <w:szCs w:val="24"/>
        </w:rPr>
        <w:t>备注：本合同的约定如与本项目</w:t>
      </w:r>
      <w:r>
        <w:rPr>
          <w:rFonts w:hint="eastAsia" w:ascii="宋体" w:hAnsi="宋体" w:cs="宋体"/>
          <w:b/>
          <w:kern w:val="0"/>
          <w:sz w:val="24"/>
          <w:szCs w:val="24"/>
          <w:lang w:eastAsia="zh-CN"/>
        </w:rPr>
        <w:t>采购文件</w:t>
      </w:r>
      <w:r>
        <w:rPr>
          <w:rFonts w:hint="eastAsia" w:ascii="宋体" w:hAnsi="宋体" w:cs="宋体"/>
          <w:b/>
          <w:kern w:val="0"/>
          <w:sz w:val="24"/>
          <w:szCs w:val="24"/>
        </w:rPr>
        <w:t>的投标人须知前附表和招标需求的约定不一致的地方，以投标人须知前附表和招标需求的约定为准。</w:t>
      </w:r>
    </w:p>
    <w:p w14:paraId="1342D21F">
      <w:pPr>
        <w:spacing w:line="360" w:lineRule="auto"/>
        <w:rPr>
          <w:rFonts w:hint="eastAsia"/>
          <w:color w:val="000000"/>
        </w:rPr>
      </w:pPr>
    </w:p>
    <w:p w14:paraId="491FAE7D">
      <w:pPr>
        <w:spacing w:line="360" w:lineRule="auto"/>
        <w:rPr>
          <w:rFonts w:hint="eastAsia"/>
          <w:color w:val="000000"/>
        </w:rPr>
      </w:pPr>
    </w:p>
    <w:p w14:paraId="48C94EA7">
      <w:pPr>
        <w:spacing w:line="360" w:lineRule="auto"/>
        <w:rPr>
          <w:rFonts w:hint="eastAsia"/>
          <w:color w:val="000000"/>
        </w:rPr>
      </w:pPr>
    </w:p>
    <w:p w14:paraId="2A379C89">
      <w:pPr>
        <w:spacing w:line="360" w:lineRule="auto"/>
        <w:rPr>
          <w:rFonts w:hint="eastAsia"/>
          <w:color w:val="000000"/>
        </w:rPr>
      </w:pPr>
    </w:p>
    <w:p w14:paraId="6180DED8">
      <w:pPr>
        <w:spacing w:line="360" w:lineRule="auto"/>
        <w:rPr>
          <w:rFonts w:hint="eastAsia"/>
          <w:color w:val="000000"/>
        </w:rPr>
      </w:pPr>
    </w:p>
    <w:p w14:paraId="5475998C">
      <w:pPr>
        <w:spacing w:line="360" w:lineRule="auto"/>
        <w:rPr>
          <w:rFonts w:hint="eastAsia"/>
          <w:color w:val="000000"/>
        </w:rPr>
      </w:pPr>
    </w:p>
    <w:p w14:paraId="7E5C9B30">
      <w:pPr>
        <w:pStyle w:val="3"/>
        <w:keepNext/>
        <w:keepLines/>
        <w:pageBreakBefore/>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0"/>
        <w:rPr>
          <w:rFonts w:hint="eastAsia" w:ascii="黑体" w:hAnsi="宋体"/>
          <w:color w:val="000000"/>
        </w:rPr>
      </w:pPr>
      <w:bookmarkStart w:id="431" w:name="_Toc328559333"/>
      <w:r>
        <w:rPr>
          <w:rFonts w:hint="eastAsia" w:ascii="宋体" w:hAnsi="宋体" w:eastAsia="宋体"/>
          <w:color w:val="000000"/>
        </w:rPr>
        <w:t>第</w:t>
      </w:r>
      <w:r>
        <w:rPr>
          <w:rFonts w:hint="eastAsia" w:ascii="宋体" w:hAnsi="宋体" w:eastAsia="宋体"/>
          <w:color w:val="000000"/>
          <w:lang w:eastAsia="zh-CN"/>
        </w:rPr>
        <w:t>七</w:t>
      </w:r>
      <w:r>
        <w:rPr>
          <w:rFonts w:hint="eastAsia" w:ascii="宋体" w:hAnsi="宋体" w:eastAsia="宋体"/>
          <w:color w:val="000000"/>
        </w:rPr>
        <w:t>章 投标文件格式</w:t>
      </w:r>
      <w:bookmarkEnd w:id="41"/>
      <w:bookmarkEnd w:id="42"/>
      <w:bookmarkEnd w:id="43"/>
      <w:bookmarkEnd w:id="431"/>
    </w:p>
    <w:p w14:paraId="23EC65D1">
      <w:pPr>
        <w:pStyle w:val="3"/>
        <w:keepNext/>
        <w:keepLines/>
        <w:pageBreakBefore/>
        <w:widowControl w:val="0"/>
        <w:kinsoku/>
        <w:wordWrap/>
        <w:overflowPunct/>
        <w:topLinePunct w:val="0"/>
        <w:autoSpaceDE/>
        <w:autoSpaceDN/>
        <w:bidi w:val="0"/>
        <w:adjustRightInd/>
        <w:snapToGrid/>
        <w:spacing w:line="413" w:lineRule="auto"/>
        <w:ind w:firstLine="629"/>
        <w:textAlignment w:val="auto"/>
        <w:rPr>
          <w:rFonts w:hint="eastAsia"/>
          <w:color w:val="000000"/>
        </w:rPr>
      </w:pPr>
      <w:bookmarkStart w:id="432" w:name="_Toc273602354"/>
      <w:bookmarkStart w:id="433" w:name="_Toc245714172"/>
      <w:bookmarkStart w:id="434" w:name="_Toc328559335"/>
      <w:bookmarkStart w:id="435" w:name="_Toc232592019"/>
      <w:bookmarkStart w:id="436" w:name="_Toc220232394"/>
      <w:r>
        <w:rPr>
          <w:rFonts w:hint="eastAsia" w:ascii="黑体"/>
          <w:color w:val="000000"/>
        </w:rPr>
        <w:t>●</w:t>
      </w:r>
      <w:r>
        <w:rPr>
          <w:rFonts w:hint="eastAsia"/>
          <w:color w:val="000000"/>
        </w:rPr>
        <w:t>技术标</w:t>
      </w:r>
      <w:bookmarkEnd w:id="432"/>
      <w:bookmarkEnd w:id="433"/>
      <w:bookmarkEnd w:id="434"/>
    </w:p>
    <w:p w14:paraId="63BEA3A2">
      <w:pPr>
        <w:spacing w:line="900" w:lineRule="exact"/>
        <w:jc w:val="center"/>
        <w:rPr>
          <w:rFonts w:hint="eastAsia" w:ascii="宋体" w:hAnsi="宋体"/>
          <w:b/>
          <w:color w:val="000000"/>
          <w:sz w:val="44"/>
          <w:szCs w:val="44"/>
        </w:rPr>
      </w:pPr>
    </w:p>
    <w:p w14:paraId="1CDB8860">
      <w:pPr>
        <w:spacing w:line="900" w:lineRule="exact"/>
        <w:jc w:val="left"/>
        <w:rPr>
          <w:rFonts w:hint="default" w:ascii="宋体" w:hAnsi="宋体" w:eastAsia="宋体"/>
          <w:b/>
          <w:color w:val="000000"/>
          <w:sz w:val="44"/>
          <w:szCs w:val="44"/>
          <w:lang w:val="en-US" w:eastAsia="zh-CN"/>
        </w:rPr>
      </w:pPr>
      <w:r>
        <w:rPr>
          <w:rFonts w:hint="eastAsia" w:ascii="宋体" w:hAnsi="宋体"/>
          <w:b/>
          <w:color w:val="000000"/>
          <w:sz w:val="44"/>
          <w:szCs w:val="44"/>
          <w:u w:val="single"/>
          <w:lang w:val="en-US" w:eastAsia="zh-CN"/>
        </w:rPr>
        <w:t xml:space="preserve">                       </w:t>
      </w:r>
      <w:r>
        <w:rPr>
          <w:rFonts w:hint="eastAsia" w:ascii="宋体" w:hAnsi="宋体"/>
          <w:b/>
          <w:color w:val="000000"/>
          <w:sz w:val="44"/>
          <w:szCs w:val="44"/>
          <w:u w:val="none"/>
          <w:lang w:val="en-US" w:eastAsia="zh-CN"/>
        </w:rPr>
        <w:t>（项目名称）</w:t>
      </w:r>
    </w:p>
    <w:p w14:paraId="73A59AE0">
      <w:pPr>
        <w:spacing w:line="900" w:lineRule="exact"/>
        <w:jc w:val="center"/>
        <w:rPr>
          <w:rFonts w:hint="eastAsia" w:ascii="宋体" w:hAnsi="宋体"/>
          <w:b/>
          <w:color w:val="000000"/>
          <w:sz w:val="72"/>
        </w:rPr>
      </w:pPr>
      <w:r>
        <w:rPr>
          <w:rFonts w:hint="eastAsia" w:ascii="宋体" w:hAnsi="宋体"/>
          <w:b/>
          <w:color w:val="000000"/>
          <w:sz w:val="72"/>
        </w:rPr>
        <w:t>投</w:t>
      </w:r>
    </w:p>
    <w:p w14:paraId="5C23982D">
      <w:pPr>
        <w:spacing w:line="900" w:lineRule="exact"/>
        <w:jc w:val="center"/>
        <w:rPr>
          <w:rFonts w:hint="eastAsia" w:ascii="宋体" w:hAnsi="宋体"/>
          <w:b/>
          <w:color w:val="000000"/>
          <w:sz w:val="72"/>
        </w:rPr>
      </w:pPr>
      <w:r>
        <w:rPr>
          <w:rFonts w:hint="eastAsia" w:ascii="宋体" w:hAnsi="宋体"/>
          <w:b/>
          <w:color w:val="000000"/>
          <w:sz w:val="72"/>
        </w:rPr>
        <w:t>标</w:t>
      </w:r>
    </w:p>
    <w:p w14:paraId="3E9A2EF2">
      <w:pPr>
        <w:spacing w:line="900" w:lineRule="exact"/>
        <w:jc w:val="center"/>
        <w:rPr>
          <w:rFonts w:hint="eastAsia" w:ascii="宋体" w:hAnsi="宋体"/>
          <w:b/>
          <w:color w:val="000000"/>
          <w:sz w:val="72"/>
        </w:rPr>
      </w:pPr>
      <w:r>
        <w:rPr>
          <w:rFonts w:hint="eastAsia" w:ascii="宋体" w:hAnsi="宋体"/>
          <w:b/>
          <w:color w:val="000000"/>
          <w:sz w:val="72"/>
        </w:rPr>
        <w:t>文</w:t>
      </w:r>
    </w:p>
    <w:p w14:paraId="4E6B0D16">
      <w:pPr>
        <w:jc w:val="center"/>
        <w:rPr>
          <w:rFonts w:hint="eastAsia" w:ascii="宋体" w:hAnsi="宋体"/>
          <w:b/>
          <w:color w:val="000000"/>
          <w:sz w:val="72"/>
        </w:rPr>
      </w:pPr>
      <w:r>
        <w:rPr>
          <w:rFonts w:hint="eastAsia" w:ascii="宋体" w:hAnsi="宋体"/>
          <w:b/>
          <w:color w:val="000000"/>
          <w:sz w:val="72"/>
        </w:rPr>
        <w:t>件</w:t>
      </w:r>
    </w:p>
    <w:p w14:paraId="73CE656B">
      <w:pPr>
        <w:spacing w:after="120" w:afterLines="50" w:line="500" w:lineRule="exact"/>
        <w:jc w:val="center"/>
        <w:rPr>
          <w:rFonts w:hint="eastAsia" w:ascii="宋体" w:hAnsi="宋体"/>
          <w:b/>
          <w:color w:val="000000"/>
          <w:sz w:val="36"/>
          <w:szCs w:val="36"/>
        </w:rPr>
      </w:pPr>
      <w:r>
        <w:rPr>
          <w:rFonts w:hint="eastAsia" w:ascii="宋体" w:hAnsi="宋体"/>
          <w:b/>
          <w:color w:val="000000"/>
          <w:sz w:val="36"/>
          <w:szCs w:val="36"/>
        </w:rPr>
        <w:t>【技术标】</w:t>
      </w:r>
    </w:p>
    <w:p w14:paraId="1B6F4728">
      <w:pPr>
        <w:spacing w:after="120" w:afterLines="50" w:line="500" w:lineRule="exact"/>
        <w:jc w:val="center"/>
        <w:rPr>
          <w:rFonts w:hint="eastAsia" w:ascii="宋体" w:hAnsi="宋体"/>
          <w:b/>
          <w:color w:val="000000"/>
          <w:sz w:val="72"/>
        </w:rPr>
      </w:pPr>
    </w:p>
    <w:p w14:paraId="06AEAAD7">
      <w:pPr>
        <w:spacing w:after="120" w:afterLines="50" w:line="500" w:lineRule="exact"/>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u w:val="single"/>
        </w:rPr>
        <w:t xml:space="preserve">   </w:t>
      </w:r>
    </w:p>
    <w:p w14:paraId="69D3FD1D">
      <w:pPr>
        <w:spacing w:after="120" w:afterLines="50" w:line="500" w:lineRule="exact"/>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14:paraId="17FF1D49">
      <w:pPr>
        <w:pStyle w:val="4"/>
        <w:outlineLvl w:val="9"/>
        <w:rPr>
          <w:rFonts w:hint="eastAsia" w:hAnsi="宋体"/>
          <w:color w:val="000000"/>
          <w:sz w:val="28"/>
        </w:rPr>
      </w:pPr>
    </w:p>
    <w:p w14:paraId="0079920D">
      <w:pPr>
        <w:rPr>
          <w:rFonts w:hint="eastAsia"/>
          <w:color w:val="000000"/>
        </w:rPr>
      </w:pPr>
    </w:p>
    <w:p w14:paraId="5D05C301">
      <w:pPr>
        <w:rPr>
          <w:rFonts w:hint="eastAsia"/>
          <w:color w:val="000000"/>
        </w:rPr>
      </w:pPr>
    </w:p>
    <w:p w14:paraId="494EF8BA">
      <w:pPr>
        <w:rPr>
          <w:rFonts w:hint="eastAsia"/>
          <w:color w:val="000000"/>
        </w:rPr>
      </w:pPr>
    </w:p>
    <w:p w14:paraId="65542D26">
      <w:pPr>
        <w:rPr>
          <w:rFonts w:hint="eastAsia"/>
          <w:color w:val="000000"/>
        </w:rPr>
      </w:pPr>
    </w:p>
    <w:p w14:paraId="2D2A87AE">
      <w:pPr>
        <w:rPr>
          <w:rFonts w:hint="eastAsia"/>
          <w:color w:val="000000"/>
        </w:rPr>
      </w:pPr>
    </w:p>
    <w:p w14:paraId="28D25707">
      <w:pPr>
        <w:rPr>
          <w:rFonts w:hint="eastAsia"/>
          <w:color w:val="000000"/>
        </w:rPr>
      </w:pPr>
    </w:p>
    <w:p w14:paraId="66344B5C">
      <w:pPr>
        <w:rPr>
          <w:rFonts w:hint="eastAsia"/>
          <w:color w:val="000000"/>
        </w:rPr>
      </w:pPr>
    </w:p>
    <w:p w14:paraId="5B72213A">
      <w:pPr>
        <w:rPr>
          <w:rFonts w:hint="eastAsia"/>
          <w:color w:val="000000"/>
        </w:rPr>
      </w:pPr>
    </w:p>
    <w:p w14:paraId="24D5D56D">
      <w:pPr>
        <w:rPr>
          <w:rFonts w:hint="eastAsia"/>
          <w:color w:val="000000"/>
        </w:rPr>
      </w:pPr>
    </w:p>
    <w:p w14:paraId="4AB38A0B">
      <w:pPr>
        <w:rPr>
          <w:rFonts w:hint="eastAsia"/>
          <w:color w:val="000000"/>
        </w:rPr>
      </w:pPr>
    </w:p>
    <w:p w14:paraId="2B277382">
      <w:pPr>
        <w:rPr>
          <w:rFonts w:hint="eastAsia"/>
          <w:color w:val="000000"/>
        </w:rPr>
      </w:pPr>
    </w:p>
    <w:p w14:paraId="7C8A7168">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Ansi="宋体"/>
          <w:color w:val="000000"/>
          <w:sz w:val="28"/>
        </w:rPr>
      </w:pPr>
      <w:bookmarkStart w:id="437" w:name="_Toc245714173"/>
      <w:bookmarkStart w:id="438" w:name="_Toc328559336"/>
      <w:bookmarkStart w:id="439" w:name="_Toc273602355"/>
      <w:r>
        <w:rPr>
          <w:rFonts w:hint="eastAsia" w:hAnsi="宋体"/>
          <w:color w:val="000000"/>
          <w:sz w:val="28"/>
        </w:rPr>
        <w:t>一．投标函</w:t>
      </w:r>
      <w:bookmarkEnd w:id="437"/>
      <w:bookmarkEnd w:id="438"/>
      <w:bookmarkEnd w:id="439"/>
    </w:p>
    <w:p w14:paraId="41736FCD">
      <w:pPr>
        <w:autoSpaceDE w:val="0"/>
        <w:autoSpaceDN w:val="0"/>
        <w:adjustRightInd w:val="0"/>
        <w:spacing w:line="360" w:lineRule="auto"/>
        <w:ind w:firstLine="200"/>
        <w:jc w:val="left"/>
        <w:rPr>
          <w:rFonts w:hint="default" w:ascii="宋体" w:hAnsi="宋体" w:eastAsia="宋体" w:cs="Times New Roman"/>
          <w:color w:val="000000"/>
          <w:sz w:val="24"/>
          <w:lang w:val="en-US"/>
        </w:rPr>
      </w:pPr>
      <w:r>
        <w:rPr>
          <w:rFonts w:hint="eastAsia" w:ascii="宋体" w:hAnsi="宋体"/>
          <w:color w:val="000000"/>
          <w:sz w:val="24"/>
        </w:rPr>
        <w:t>致：</w:t>
      </w:r>
      <w:r>
        <w:rPr>
          <w:rFonts w:hint="eastAsia" w:ascii="宋体" w:hAnsi="宋体" w:eastAsia="宋体" w:cs="Times New Roman"/>
          <w:color w:val="000000"/>
          <w:sz w:val="24"/>
          <w:lang w:val="en-US" w:eastAsia="zh-CN"/>
        </w:rPr>
        <w:t>合肥罍街文化旅游发展有限公司</w:t>
      </w:r>
    </w:p>
    <w:p w14:paraId="0E884FF7">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14:paraId="7791E7CA">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u w:val="single"/>
        </w:rPr>
        <w:t xml:space="preserve">   </w:t>
      </w:r>
      <w:r>
        <w:rPr>
          <w:rFonts w:hint="eastAsia" w:ascii="宋体" w:hAnsi="宋体"/>
          <w:szCs w:val="22"/>
        </w:rPr>
        <w:t>标段</w:t>
      </w:r>
      <w:r>
        <w:rPr>
          <w:rFonts w:hint="eastAsia" w:ascii="宋体" w:hAnsi="宋体"/>
          <w:szCs w:val="22"/>
          <w:lang w:eastAsia="zh-CN"/>
        </w:rPr>
        <w:t>采购文件</w:t>
      </w:r>
      <w:r>
        <w:rPr>
          <w:rFonts w:hint="eastAsia" w:ascii="宋体" w:hAnsi="宋体"/>
          <w:szCs w:val="22"/>
        </w:rPr>
        <w:t>的全部内容，在考察工程现场后，愿以</w:t>
      </w:r>
      <w:r>
        <w:rPr>
          <w:rFonts w:hint="eastAsia" w:ascii="宋体" w:hAnsi="宋体"/>
          <w:szCs w:val="21"/>
          <w:u w:val="single"/>
        </w:rPr>
        <w:t>报价文件投标函中</w:t>
      </w:r>
      <w:r>
        <w:rPr>
          <w:rFonts w:hint="eastAsia" w:ascii="宋体" w:hAnsi="宋体"/>
          <w:szCs w:val="22"/>
          <w:u w:val="single"/>
        </w:rPr>
        <w:t>的</w:t>
      </w:r>
      <w:r>
        <w:rPr>
          <w:rFonts w:hint="eastAsia" w:ascii="宋体" w:hAnsi="宋体"/>
          <w:szCs w:val="22"/>
        </w:rPr>
        <w:t>投标总报价，按合同约定实施和完成承包工程，修补工程中的任何缺陷。</w:t>
      </w:r>
    </w:p>
    <w:p w14:paraId="45C05888">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2. 我方承诺在</w:t>
      </w:r>
      <w:r>
        <w:rPr>
          <w:rFonts w:hint="eastAsia" w:ascii="宋体" w:hAnsi="宋体"/>
          <w:szCs w:val="22"/>
          <w:lang w:eastAsia="zh-CN"/>
        </w:rPr>
        <w:t>采购文件</w:t>
      </w:r>
      <w:r>
        <w:rPr>
          <w:rFonts w:hint="eastAsia" w:ascii="宋体" w:hAnsi="宋体"/>
          <w:szCs w:val="22"/>
        </w:rPr>
        <w:t>规定的投标有效期内不撤销投标文件。</w:t>
      </w:r>
    </w:p>
    <w:p w14:paraId="6371C654">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3. 工程质量：</w:t>
      </w:r>
      <w:r>
        <w:rPr>
          <w:rFonts w:hint="eastAsia" w:ascii="宋体" w:hAnsi="宋体"/>
          <w:szCs w:val="22"/>
          <w:u w:val="single"/>
        </w:rPr>
        <w:t xml:space="preserve"> </w:t>
      </w:r>
      <w:r>
        <w:rPr>
          <w:rFonts w:hint="eastAsia" w:ascii="宋体" w:hAnsi="宋体"/>
          <w:szCs w:val="22"/>
          <w:u w:val="single"/>
          <w:lang w:eastAsia="zh-CN"/>
        </w:rPr>
        <w:t>合格</w:t>
      </w:r>
      <w:r>
        <w:rPr>
          <w:rFonts w:hint="eastAsia" w:ascii="宋体" w:hAnsi="宋体"/>
          <w:szCs w:val="22"/>
          <w:u w:val="single"/>
        </w:rPr>
        <w:t xml:space="preserve">  </w:t>
      </w:r>
      <w:r>
        <w:rPr>
          <w:rFonts w:hint="eastAsia" w:ascii="宋体" w:hAnsi="宋体"/>
          <w:szCs w:val="22"/>
        </w:rPr>
        <w:t>；工期：</w:t>
      </w:r>
      <w:r>
        <w:rPr>
          <w:rFonts w:hint="eastAsia" w:ascii="宋体" w:hAnsi="宋体"/>
          <w:szCs w:val="22"/>
          <w:u w:val="single"/>
        </w:rPr>
        <w:t xml:space="preserve">        </w:t>
      </w:r>
      <w:r>
        <w:rPr>
          <w:rFonts w:hint="eastAsia" w:ascii="宋体" w:hAnsi="宋体"/>
          <w:szCs w:val="22"/>
        </w:rPr>
        <w:t>日历天。</w:t>
      </w:r>
    </w:p>
    <w:p w14:paraId="0FA39DA4">
      <w:pPr>
        <w:tabs>
          <w:tab w:val="left" w:pos="7560"/>
        </w:tabs>
        <w:adjustRightInd w:val="0"/>
        <w:snapToGrid w:val="0"/>
        <w:spacing w:before="48" w:beforeLines="20" w:after="48" w:afterLines="20" w:line="400" w:lineRule="exact"/>
        <w:ind w:firstLine="420" w:firstLineChars="200"/>
        <w:jc w:val="left"/>
        <w:rPr>
          <w:rFonts w:hint="eastAsia" w:ascii="宋体" w:hAnsi="宋体"/>
          <w:bCs/>
          <w:szCs w:val="32"/>
        </w:rPr>
      </w:pPr>
      <w:r>
        <w:rPr>
          <w:rFonts w:hint="eastAsia" w:ascii="宋体" w:hAnsi="宋体"/>
          <w:bCs/>
          <w:szCs w:val="32"/>
        </w:rPr>
        <w:t>4. 我方将与本投标函一起提交投标保证金，且承诺投标保证金转出账户真实有效。</w:t>
      </w:r>
    </w:p>
    <w:p w14:paraId="04726ED7">
      <w:pPr>
        <w:tabs>
          <w:tab w:val="left" w:pos="7560"/>
        </w:tabs>
        <w:adjustRightInd w:val="0"/>
        <w:snapToGrid w:val="0"/>
        <w:spacing w:before="48" w:beforeLines="20" w:after="48" w:afterLines="20" w:line="400" w:lineRule="exact"/>
        <w:ind w:firstLine="420" w:firstLineChars="200"/>
        <w:jc w:val="left"/>
        <w:outlineLvl w:val="2"/>
        <w:rPr>
          <w:rFonts w:hint="eastAsia" w:ascii="宋体" w:hAnsi="宋体"/>
          <w:bCs/>
          <w:szCs w:val="32"/>
        </w:rPr>
      </w:pPr>
      <w:r>
        <w:rPr>
          <w:rFonts w:hint="eastAsia" w:ascii="宋体" w:hAnsi="宋体"/>
          <w:bCs/>
          <w:szCs w:val="32"/>
        </w:rPr>
        <w:t>5. 如我方中标，我方承诺：</w:t>
      </w:r>
    </w:p>
    <w:p w14:paraId="06D59B58">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（1）在收到中标通知书后，在中标通知书规定的期限内与你方签订合同；</w:t>
      </w:r>
    </w:p>
    <w:p w14:paraId="21EA0892">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（2）在签订合同时不向你方提出附加条件；</w:t>
      </w:r>
    </w:p>
    <w:p w14:paraId="121A616B">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（3）按照</w:t>
      </w:r>
      <w:r>
        <w:rPr>
          <w:rFonts w:hint="eastAsia" w:ascii="宋体" w:hAnsi="宋体"/>
          <w:bCs/>
          <w:szCs w:val="32"/>
          <w:lang w:eastAsia="zh-CN"/>
        </w:rPr>
        <w:t>采购文件</w:t>
      </w:r>
      <w:r>
        <w:rPr>
          <w:rFonts w:hint="eastAsia" w:ascii="宋体" w:hAnsi="宋体"/>
          <w:bCs/>
          <w:szCs w:val="32"/>
        </w:rPr>
        <w:t>要求提交履约保证金；</w:t>
      </w:r>
    </w:p>
    <w:p w14:paraId="38723DBF">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（4）在合同约定的期限内完成合同规定的全部义务；</w:t>
      </w:r>
    </w:p>
    <w:p w14:paraId="46DB5A50">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5）在你方和我方进行合同谈判之前，我方将按照合同附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14:paraId="69C2EFD8">
      <w:pPr>
        <w:adjustRightInd w:val="0"/>
        <w:snapToGrid w:val="0"/>
        <w:spacing w:before="48" w:beforeLines="20" w:after="48" w:afterLines="20" w:line="400" w:lineRule="exact"/>
        <w:ind w:firstLine="367" w:firstLineChars="175"/>
        <w:rPr>
          <w:rFonts w:hint="eastAsia" w:ascii="宋体" w:hAnsi="宋体"/>
          <w:szCs w:val="22"/>
        </w:rPr>
      </w:pPr>
      <w:r>
        <w:rPr>
          <w:rFonts w:hint="eastAsia" w:ascii="宋体" w:hAnsi="宋体"/>
          <w:bCs/>
          <w:szCs w:val="32"/>
        </w:rPr>
        <w:t>（6）</w:t>
      </w:r>
      <w:r>
        <w:rPr>
          <w:rFonts w:hint="eastAsia" w:ascii="宋体" w:hAnsi="宋体"/>
          <w:szCs w:val="22"/>
        </w:rPr>
        <w:t>按照《纳税人跨县（市、区）提供建筑服务增值税征收管理暂行办法》（国家税务总局公告2016年第17号）规定，在建筑服务发生地及时足额预缴增值税（适用于注册地不在合肥市行政区域范围（含四县一市）的中标人）；</w:t>
      </w:r>
    </w:p>
    <w:p w14:paraId="5DA506E1">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（7）投标报价中已包含</w:t>
      </w:r>
      <w:r>
        <w:rPr>
          <w:rFonts w:hint="eastAsia" w:ascii="宋体" w:hAnsi="宋体"/>
          <w:bCs/>
          <w:szCs w:val="32"/>
          <w:lang w:eastAsia="zh-CN"/>
        </w:rPr>
        <w:t>采购文件</w:t>
      </w:r>
      <w:r>
        <w:rPr>
          <w:rFonts w:hint="eastAsia" w:ascii="宋体" w:hAnsi="宋体"/>
          <w:bCs/>
          <w:szCs w:val="32"/>
        </w:rPr>
        <w:t>公布的施工扬尘污染防治措施费用，我方将按照</w:t>
      </w:r>
      <w:r>
        <w:rPr>
          <w:rFonts w:hint="eastAsia" w:ascii="宋体" w:hAnsi="宋体"/>
          <w:bCs/>
          <w:szCs w:val="32"/>
          <w:lang w:eastAsia="zh-CN"/>
        </w:rPr>
        <w:t>采购文件</w:t>
      </w:r>
      <w:r>
        <w:rPr>
          <w:rFonts w:hint="eastAsia" w:ascii="宋体" w:hAnsi="宋体"/>
          <w:bCs/>
          <w:szCs w:val="32"/>
        </w:rPr>
        <w:t>要求对农民工工资、扬尘污染防治进行办理专户设立、工资支付等事宜。</w:t>
      </w:r>
    </w:p>
    <w:p w14:paraId="21A15917">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6.</w:t>
      </w:r>
      <w:r>
        <w:rPr>
          <w:snapToGrid w:val="0"/>
          <w:kern w:val="0"/>
          <w:szCs w:val="21"/>
        </w:rPr>
        <w:t xml:space="preserve"> 我方在此声明，所递交的投标文件及有关资料内容完整、真实和准确，且不存在</w:t>
      </w:r>
      <w:r>
        <w:rPr>
          <w:rFonts w:hint="eastAsia"/>
          <w:snapToGrid w:val="0"/>
          <w:kern w:val="0"/>
          <w:szCs w:val="21"/>
          <w:lang w:eastAsia="zh-CN"/>
        </w:rPr>
        <w:t>采购文件</w:t>
      </w:r>
      <w:r>
        <w:rPr>
          <w:snapToGrid w:val="0"/>
          <w:kern w:val="0"/>
          <w:szCs w:val="21"/>
        </w:rPr>
        <w:t>第二章“投标人须知”第1.4.3项和第1.4.4项规定的任何一种情形。</w:t>
      </w:r>
    </w:p>
    <w:p w14:paraId="6BB53063">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 除非另外达成协议并生效，你方的中标通知书和本投标文件以及</w:t>
      </w:r>
      <w:r>
        <w:rPr>
          <w:rFonts w:hint="eastAsia" w:ascii="宋体" w:hAnsi="宋体"/>
          <w:bCs/>
          <w:szCs w:val="32"/>
          <w:lang w:eastAsia="zh-CN"/>
        </w:rPr>
        <w:t>采购文件</w:t>
      </w:r>
      <w:r>
        <w:rPr>
          <w:rFonts w:hint="eastAsia" w:ascii="宋体" w:hAnsi="宋体"/>
          <w:bCs/>
          <w:szCs w:val="32"/>
        </w:rPr>
        <w:t>、</w:t>
      </w:r>
      <w:r>
        <w:rPr>
          <w:rFonts w:hint="eastAsia" w:ascii="宋体" w:hAnsi="宋体"/>
          <w:bCs/>
          <w:szCs w:val="32"/>
          <w:lang w:eastAsia="zh-CN"/>
        </w:rPr>
        <w:t>采购文件</w:t>
      </w:r>
      <w:r>
        <w:rPr>
          <w:rFonts w:hint="eastAsia" w:ascii="宋体" w:hAnsi="宋体"/>
          <w:bCs/>
          <w:szCs w:val="32"/>
        </w:rPr>
        <w:t>澄清、修改、补充文件将成为约束双方的合同文件的组成部分。</w:t>
      </w:r>
    </w:p>
    <w:p w14:paraId="346A1FEA">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 xml:space="preserve">8. </w:t>
      </w:r>
      <w:r>
        <w:rPr>
          <w:rFonts w:hint="eastAsia" w:eastAsia="黑体"/>
          <w:snapToGrid w:val="0"/>
          <w:color w:val="000000"/>
          <w:kern w:val="0"/>
          <w:szCs w:val="21"/>
          <w:u w:val="single"/>
        </w:rPr>
        <w:t xml:space="preserve">                          </w:t>
      </w:r>
      <w:r>
        <w:rPr>
          <w:snapToGrid w:val="0"/>
          <w:kern w:val="0"/>
          <w:szCs w:val="21"/>
        </w:rPr>
        <w:t>（其他补充说明）。</w:t>
      </w:r>
    </w:p>
    <w:p w14:paraId="00690EEE">
      <w:pPr>
        <w:adjustRightInd w:val="0"/>
        <w:snapToGrid w:val="0"/>
        <w:spacing w:before="48" w:beforeLines="20" w:after="48" w:afterLines="20" w:line="400" w:lineRule="exact"/>
        <w:ind w:firstLine="490" w:firstLineChars="175"/>
        <w:rPr>
          <w:rFonts w:hint="eastAsia" w:ascii="宋体" w:hAnsi="宋体"/>
          <w:bCs/>
          <w:sz w:val="28"/>
          <w:szCs w:val="32"/>
        </w:rPr>
      </w:pPr>
    </w:p>
    <w:p w14:paraId="09D8BF8C">
      <w:pPr>
        <w:adjustRightInd w:val="0"/>
        <w:snapToGrid w:val="0"/>
        <w:spacing w:before="48" w:beforeLines="20" w:after="48" w:afterLines="20" w:line="400" w:lineRule="exact"/>
        <w:ind w:firstLine="367" w:firstLineChars="175"/>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0F689744">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2C10695A">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14:paraId="47AB4E06">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邮政编码</w:t>
      </w:r>
      <w:r>
        <w:rPr>
          <w:rFonts w:hint="eastAsia" w:ascii="宋体" w:hAnsi="宋体"/>
          <w:szCs w:val="21"/>
        </w:rPr>
        <w:t>：</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3F5319D9">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日期</w:t>
      </w:r>
      <w:r>
        <w:rPr>
          <w:rFonts w:hint="eastAsia" w:ascii="宋体" w:hAnsi="宋体"/>
          <w:szCs w:val="21"/>
        </w:rPr>
        <w:t>：</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664B61BF">
      <w:pPr>
        <w:tabs>
          <w:tab w:val="left" w:pos="630"/>
        </w:tabs>
        <w:spacing w:line="360" w:lineRule="auto"/>
        <w:ind w:firstLine="630"/>
        <w:rPr>
          <w:rFonts w:hint="eastAsia" w:ascii="宋体" w:hAnsi="宋体"/>
          <w:color w:val="000000"/>
          <w:sz w:val="24"/>
        </w:rPr>
      </w:pPr>
    </w:p>
    <w:p w14:paraId="42A0A60E">
      <w:pPr>
        <w:tabs>
          <w:tab w:val="left" w:pos="630"/>
        </w:tabs>
        <w:spacing w:line="360" w:lineRule="auto"/>
        <w:ind w:firstLine="630"/>
        <w:rPr>
          <w:rFonts w:hint="eastAsia" w:ascii="宋体" w:hAnsi="宋体"/>
          <w:color w:val="000000"/>
          <w:sz w:val="24"/>
        </w:rPr>
      </w:pPr>
    </w:p>
    <w:p w14:paraId="7F4118FC">
      <w:pPr>
        <w:tabs>
          <w:tab w:val="left" w:pos="630"/>
        </w:tabs>
        <w:spacing w:line="360" w:lineRule="auto"/>
        <w:ind w:firstLine="630"/>
        <w:rPr>
          <w:rFonts w:hint="eastAsia" w:ascii="宋体" w:hAnsi="宋体"/>
          <w:color w:val="000000"/>
          <w:sz w:val="24"/>
        </w:rPr>
      </w:pPr>
    </w:p>
    <w:p w14:paraId="583C44BB">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hAnsi="宋体"/>
          <w:color w:val="000000"/>
          <w:sz w:val="28"/>
        </w:rPr>
      </w:pPr>
      <w:bookmarkStart w:id="440" w:name="_Toc328559337"/>
      <w:bookmarkStart w:id="441" w:name="_Toc245714174"/>
      <w:bookmarkStart w:id="442" w:name="_Toc273602356"/>
      <w:r>
        <w:rPr>
          <w:rFonts w:hint="eastAsia" w:hAnsi="宋体"/>
          <w:color w:val="000000"/>
          <w:sz w:val="28"/>
        </w:rPr>
        <w:t>二．投标授权书</w:t>
      </w:r>
      <w:bookmarkEnd w:id="440"/>
      <w:bookmarkEnd w:id="441"/>
      <w:bookmarkEnd w:id="442"/>
    </w:p>
    <w:p w14:paraId="30223C47">
      <w:pPr>
        <w:jc w:val="center"/>
        <w:outlineLvl w:val="2"/>
        <w:rPr>
          <w:rFonts w:hint="eastAsia"/>
          <w:sz w:val="32"/>
          <w:szCs w:val="32"/>
        </w:rPr>
      </w:pPr>
      <w:r>
        <w:rPr>
          <w:rFonts w:hint="eastAsia" w:ascii="黑体" w:hAnsi="黑体" w:eastAsia="黑体"/>
          <w:bCs/>
          <w:sz w:val="24"/>
        </w:rPr>
        <w:t>授权委托书</w:t>
      </w:r>
    </w:p>
    <w:p w14:paraId="75D3EEAF">
      <w:pPr>
        <w:rPr>
          <w:rFonts w:hint="eastAsia"/>
        </w:rPr>
      </w:pPr>
    </w:p>
    <w:p w14:paraId="29ABA1D4">
      <w:pPr>
        <w:snapToGrid w:val="0"/>
        <w:spacing w:line="360" w:lineRule="auto"/>
        <w:ind w:firstLine="420" w:firstLineChars="200"/>
        <w:jc w:val="left"/>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56D0FA92">
      <w:pPr>
        <w:snapToGrid w:val="0"/>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1724CE9A">
      <w:pPr>
        <w:snapToGrid w:val="0"/>
        <w:spacing w:line="360" w:lineRule="auto"/>
        <w:ind w:firstLine="420" w:firstLineChars="200"/>
        <w:rPr>
          <w:rFonts w:hint="eastAsia" w:ascii="宋体" w:hAnsi="宋体"/>
          <w:szCs w:val="21"/>
        </w:rPr>
      </w:pPr>
      <w:r>
        <w:rPr>
          <w:rFonts w:hint="eastAsia" w:ascii="宋体" w:hAnsi="宋体"/>
          <w:szCs w:val="21"/>
        </w:rPr>
        <w:t>代理人无转委托权。</w:t>
      </w:r>
    </w:p>
    <w:p w14:paraId="4BC4D18E">
      <w:pPr>
        <w:snapToGrid w:val="0"/>
        <w:spacing w:line="360" w:lineRule="auto"/>
        <w:ind w:firstLine="420" w:firstLineChars="200"/>
        <w:rPr>
          <w:rFonts w:hint="eastAsia" w:ascii="宋体" w:hAnsi="宋体"/>
          <w:szCs w:val="21"/>
        </w:rPr>
      </w:pPr>
      <w:r>
        <w:rPr>
          <w:rFonts w:hint="eastAsia" w:ascii="宋体" w:hAnsi="宋体"/>
          <w:szCs w:val="21"/>
        </w:rPr>
        <w:t>附：法定代表人身份证明</w:t>
      </w:r>
    </w:p>
    <w:p w14:paraId="3DE6A035">
      <w:pPr>
        <w:snapToGrid w:val="0"/>
        <w:spacing w:line="360" w:lineRule="auto"/>
        <w:ind w:firstLine="630" w:firstLineChars="300"/>
        <w:rPr>
          <w:rFonts w:hint="eastAsia" w:ascii="宋体" w:hAnsi="宋体" w:eastAsia="宋体"/>
          <w:szCs w:val="21"/>
          <w:lang w:eastAsia="zh-CN"/>
        </w:rPr>
      </w:pPr>
      <w:r>
        <w:rPr>
          <w:rFonts w:hint="eastAsia" w:ascii="宋体" w:hAnsi="宋体"/>
          <w:szCs w:val="21"/>
          <w:lang w:eastAsia="zh-CN"/>
        </w:rPr>
        <w:t>被委托授权人身份证明</w:t>
      </w:r>
    </w:p>
    <w:p w14:paraId="6F790C7A">
      <w:pPr>
        <w:spacing w:line="500" w:lineRule="exact"/>
        <w:rPr>
          <w:rFonts w:hint="eastAsia" w:ascii="宋体" w:hAnsi="宋体"/>
          <w:szCs w:val="21"/>
        </w:rPr>
      </w:pPr>
    </w:p>
    <w:p w14:paraId="187344B3">
      <w:pPr>
        <w:spacing w:line="400" w:lineRule="exact"/>
        <w:ind w:firstLine="3570" w:firstLineChars="1700"/>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09C6FFA8">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0665670B">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3267AFD3">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BFD3A72">
      <w:pPr>
        <w:autoSpaceDE w:val="0"/>
        <w:autoSpaceDN w:val="0"/>
        <w:adjustRightInd w:val="0"/>
        <w:snapToGrid w:val="0"/>
        <w:spacing w:line="360" w:lineRule="auto"/>
        <w:jc w:val="left"/>
        <w:rPr>
          <w:rFonts w:hint="eastAsia" w:ascii="宋体" w:hAnsi="宋体"/>
          <w:kern w:val="0"/>
          <w:szCs w:val="22"/>
        </w:rPr>
      </w:pPr>
    </w:p>
    <w:p w14:paraId="77B15CE5">
      <w:pPr>
        <w:tabs>
          <w:tab w:val="left" w:pos="5760"/>
        </w:tabs>
        <w:autoSpaceDE w:val="0"/>
        <w:autoSpaceDN w:val="0"/>
        <w:adjustRightInd w:val="0"/>
        <w:spacing w:line="300" w:lineRule="exact"/>
        <w:ind w:right="11"/>
        <w:rPr>
          <w:rFonts w:hint="eastAsia" w:ascii="宋体" w:hAnsi="宋体"/>
          <w:kern w:val="0"/>
          <w:szCs w:val="22"/>
        </w:rPr>
      </w:pPr>
      <w:r>
        <w:rPr>
          <w:rFonts w:hint="eastAsia" w:ascii="宋体" w:hAnsi="宋体"/>
          <w:kern w:val="0"/>
          <w:szCs w:val="22"/>
        </w:rPr>
        <w:t>注：</w:t>
      </w:r>
    </w:p>
    <w:p w14:paraId="5A5BD224">
      <w:pPr>
        <w:tabs>
          <w:tab w:val="left" w:pos="5760"/>
        </w:tabs>
        <w:autoSpaceDE w:val="0"/>
        <w:autoSpaceDN w:val="0"/>
        <w:adjustRightInd w:val="0"/>
        <w:spacing w:line="300" w:lineRule="exact"/>
        <w:ind w:right="11"/>
        <w:rPr>
          <w:rFonts w:ascii="宋体" w:hAnsi="宋体"/>
          <w:kern w:val="0"/>
          <w:szCs w:val="22"/>
        </w:rPr>
      </w:pPr>
      <w:r>
        <w:rPr>
          <w:rFonts w:hint="eastAsia" w:ascii="宋体" w:hAnsi="宋体"/>
          <w:kern w:val="0"/>
          <w:szCs w:val="22"/>
        </w:rPr>
        <w:t>法定代表人参加投标活动并签署文件的不需要授权委托书，只需提供法定代表人身份证明；非法定代表人参加投标活动及签署文件的还须提供授权委托书。</w:t>
      </w:r>
    </w:p>
    <w:p w14:paraId="254F7EFB">
      <w:pPr>
        <w:rPr>
          <w:rFonts w:hint="eastAsia" w:ascii="宋体" w:hAnsi="宋体"/>
          <w:color w:val="000000"/>
          <w:sz w:val="24"/>
          <w:szCs w:val="28"/>
        </w:rPr>
      </w:pPr>
    </w:p>
    <w:p w14:paraId="3702A861">
      <w:pPr>
        <w:rPr>
          <w:rFonts w:hint="eastAsia" w:ascii="宋体" w:hAnsi="宋体"/>
          <w:color w:val="000000"/>
          <w:sz w:val="24"/>
          <w:szCs w:val="28"/>
        </w:rPr>
      </w:pPr>
    </w:p>
    <w:p w14:paraId="28FD7DCC">
      <w:pPr>
        <w:rPr>
          <w:rFonts w:hint="eastAsia" w:ascii="宋体" w:hAnsi="宋体"/>
          <w:color w:val="000000"/>
          <w:sz w:val="24"/>
          <w:szCs w:val="28"/>
        </w:rPr>
      </w:pPr>
    </w:p>
    <w:p w14:paraId="487A8AF6">
      <w:pPr>
        <w:rPr>
          <w:rFonts w:hint="eastAsia" w:ascii="宋体" w:hAnsi="宋体"/>
          <w:color w:val="000000"/>
          <w:sz w:val="24"/>
          <w:szCs w:val="28"/>
        </w:rPr>
      </w:pPr>
    </w:p>
    <w:p w14:paraId="4F126F51">
      <w:pPr>
        <w:rPr>
          <w:rFonts w:hint="eastAsia" w:ascii="宋体" w:hAnsi="宋体"/>
          <w:color w:val="000000"/>
          <w:sz w:val="24"/>
          <w:szCs w:val="28"/>
        </w:rPr>
      </w:pPr>
    </w:p>
    <w:p w14:paraId="193D0E84">
      <w:pPr>
        <w:rPr>
          <w:rFonts w:hint="eastAsia" w:ascii="宋体" w:hAnsi="宋体"/>
          <w:color w:val="000000"/>
          <w:sz w:val="24"/>
          <w:szCs w:val="28"/>
        </w:rPr>
      </w:pPr>
    </w:p>
    <w:p w14:paraId="402559E9">
      <w:pPr>
        <w:rPr>
          <w:rFonts w:hint="eastAsia" w:ascii="宋体" w:hAnsi="宋体"/>
          <w:color w:val="000000"/>
          <w:sz w:val="24"/>
          <w:szCs w:val="28"/>
        </w:rPr>
      </w:pPr>
    </w:p>
    <w:p w14:paraId="4731F8E0">
      <w:pPr>
        <w:rPr>
          <w:rFonts w:hint="eastAsia" w:ascii="宋体" w:hAnsi="宋体"/>
          <w:color w:val="000000"/>
          <w:sz w:val="24"/>
          <w:szCs w:val="28"/>
        </w:rPr>
      </w:pPr>
    </w:p>
    <w:p w14:paraId="6FF34DDD">
      <w:pPr>
        <w:rPr>
          <w:rFonts w:hint="eastAsia" w:ascii="宋体" w:hAnsi="宋体"/>
          <w:color w:val="000000"/>
          <w:sz w:val="24"/>
          <w:szCs w:val="28"/>
        </w:rPr>
      </w:pPr>
    </w:p>
    <w:p w14:paraId="23D85819">
      <w:pPr>
        <w:rPr>
          <w:rFonts w:hint="eastAsia" w:ascii="宋体" w:hAnsi="宋体"/>
          <w:color w:val="000000"/>
          <w:sz w:val="24"/>
          <w:szCs w:val="28"/>
        </w:rPr>
      </w:pPr>
    </w:p>
    <w:p w14:paraId="0AA7C84B">
      <w:pPr>
        <w:rPr>
          <w:rFonts w:hint="eastAsia" w:ascii="宋体" w:hAnsi="宋体"/>
          <w:color w:val="000000"/>
          <w:sz w:val="24"/>
          <w:szCs w:val="28"/>
        </w:rPr>
      </w:pPr>
    </w:p>
    <w:p w14:paraId="69BCE15C">
      <w:pPr>
        <w:rPr>
          <w:rFonts w:hint="eastAsia" w:ascii="宋体" w:hAnsi="宋体"/>
          <w:color w:val="000000"/>
          <w:sz w:val="24"/>
          <w:szCs w:val="28"/>
        </w:rPr>
      </w:pPr>
    </w:p>
    <w:p w14:paraId="47803C14">
      <w:pPr>
        <w:rPr>
          <w:rFonts w:hint="eastAsia" w:ascii="宋体" w:hAnsi="宋体"/>
          <w:color w:val="000000"/>
          <w:sz w:val="24"/>
          <w:szCs w:val="28"/>
        </w:rPr>
      </w:pPr>
    </w:p>
    <w:p w14:paraId="3ECB8A72">
      <w:pPr>
        <w:rPr>
          <w:rFonts w:hint="eastAsia" w:ascii="宋体" w:hAnsi="宋体"/>
          <w:color w:val="000000"/>
          <w:sz w:val="24"/>
          <w:szCs w:val="28"/>
        </w:rPr>
      </w:pPr>
    </w:p>
    <w:p w14:paraId="6C233FEE">
      <w:pPr>
        <w:rPr>
          <w:rFonts w:hint="eastAsia" w:ascii="宋体" w:hAnsi="宋体"/>
          <w:color w:val="000000"/>
          <w:sz w:val="24"/>
          <w:szCs w:val="28"/>
        </w:rPr>
      </w:pPr>
    </w:p>
    <w:p w14:paraId="07E0FD75">
      <w:pPr>
        <w:pStyle w:val="4"/>
        <w:keepNext/>
        <w:keepLines/>
        <w:pageBreakBefore/>
        <w:widowControl w:val="0"/>
        <w:numPr>
          <w:ilvl w:val="0"/>
          <w:numId w:val="5"/>
        </w:numPr>
        <w:kinsoku/>
        <w:wordWrap/>
        <w:overflowPunct/>
        <w:topLinePunct w:val="0"/>
        <w:autoSpaceDE/>
        <w:autoSpaceDN/>
        <w:bidi w:val="0"/>
        <w:adjustRightInd/>
        <w:snapToGrid/>
        <w:spacing w:line="413" w:lineRule="auto"/>
        <w:textAlignment w:val="auto"/>
        <w:outlineLvl w:val="1"/>
        <w:rPr>
          <w:rFonts w:hint="eastAsia"/>
          <w:color w:val="000000"/>
        </w:rPr>
      </w:pPr>
      <w:bookmarkStart w:id="443" w:name="_Toc245714175"/>
      <w:bookmarkStart w:id="444" w:name="_Toc328559338"/>
      <w:bookmarkStart w:id="445" w:name="_Toc273602357"/>
      <w:r>
        <w:rPr>
          <w:rFonts w:hint="eastAsia"/>
          <w:color w:val="000000"/>
        </w:rPr>
        <w:t>投标人</w:t>
      </w:r>
      <w:bookmarkEnd w:id="443"/>
      <w:bookmarkEnd w:id="444"/>
      <w:bookmarkEnd w:id="445"/>
      <w:r>
        <w:rPr>
          <w:rFonts w:hint="eastAsia"/>
          <w:color w:val="000000"/>
          <w:lang w:eastAsia="zh-CN"/>
        </w:rPr>
        <w:t>综合简介</w:t>
      </w:r>
    </w:p>
    <w:p w14:paraId="231D9517">
      <w:pPr>
        <w:spacing w:line="500" w:lineRule="exact"/>
        <w:jc w:val="center"/>
        <w:outlineLvl w:val="2"/>
        <w:rPr>
          <w:rFonts w:hint="eastAsia" w:ascii="宋体" w:hAnsi="宋体"/>
          <w:sz w:val="28"/>
        </w:rPr>
      </w:pPr>
      <w:r>
        <w:rPr>
          <w:rFonts w:hint="eastAsia" w:ascii="宋体" w:hAnsi="宋体"/>
          <w:b/>
          <w:bCs/>
          <w:sz w:val="24"/>
          <w:szCs w:val="24"/>
        </w:rPr>
        <w:t>（</w:t>
      </w:r>
      <w:r>
        <w:rPr>
          <w:rFonts w:hint="eastAsia" w:ascii="宋体" w:hAnsi="宋体"/>
          <w:bCs/>
          <w:sz w:val="24"/>
          <w:szCs w:val="24"/>
        </w:rPr>
        <w:t>投标人可自行制作格式</w:t>
      </w:r>
      <w:r>
        <w:rPr>
          <w:rFonts w:hint="eastAsia" w:ascii="宋体" w:hAnsi="宋体"/>
          <w:b/>
          <w:bCs/>
          <w:sz w:val="24"/>
          <w:szCs w:val="24"/>
        </w:rPr>
        <w:t>）</w:t>
      </w:r>
    </w:p>
    <w:p w14:paraId="627BF47F">
      <w:pPr>
        <w:numPr>
          <w:ilvl w:val="0"/>
          <w:numId w:val="0"/>
        </w:numPr>
        <w:rPr>
          <w:rFonts w:hint="eastAsia"/>
        </w:rPr>
      </w:pPr>
    </w:p>
    <w:p w14:paraId="5EA6D94A">
      <w:pPr>
        <w:rPr>
          <w:rFonts w:hint="eastAsia"/>
          <w:color w:val="000000"/>
          <w:sz w:val="30"/>
          <w:szCs w:val="30"/>
        </w:rPr>
      </w:pPr>
    </w:p>
    <w:p w14:paraId="6294074F">
      <w:pPr>
        <w:rPr>
          <w:rFonts w:hint="eastAsia"/>
          <w:color w:val="000000"/>
          <w:sz w:val="30"/>
          <w:szCs w:val="30"/>
        </w:rPr>
      </w:pPr>
    </w:p>
    <w:p w14:paraId="70EFF152">
      <w:pPr>
        <w:rPr>
          <w:rFonts w:hint="eastAsia"/>
          <w:color w:val="000000"/>
          <w:sz w:val="30"/>
          <w:szCs w:val="30"/>
        </w:rPr>
      </w:pPr>
    </w:p>
    <w:p w14:paraId="0F7DCB0D">
      <w:pPr>
        <w:rPr>
          <w:rFonts w:hint="eastAsia"/>
          <w:color w:val="000000"/>
          <w:sz w:val="30"/>
          <w:szCs w:val="30"/>
        </w:rPr>
      </w:pPr>
    </w:p>
    <w:p w14:paraId="7B30FABE">
      <w:pPr>
        <w:rPr>
          <w:rFonts w:hint="eastAsia"/>
          <w:color w:val="000000"/>
          <w:sz w:val="30"/>
          <w:szCs w:val="30"/>
        </w:rPr>
      </w:pPr>
    </w:p>
    <w:p w14:paraId="5CA6CC88">
      <w:pPr>
        <w:rPr>
          <w:rFonts w:hint="eastAsia"/>
          <w:color w:val="000000"/>
          <w:sz w:val="30"/>
          <w:szCs w:val="30"/>
        </w:rPr>
      </w:pPr>
    </w:p>
    <w:p w14:paraId="0A880B37">
      <w:pPr>
        <w:ind w:firstLine="281" w:firstLineChars="100"/>
        <w:rPr>
          <w:rFonts w:hint="eastAsia" w:ascii="仿宋_GB2312" w:eastAsia="仿宋_GB2312"/>
          <w:b/>
          <w:color w:val="000000"/>
          <w:sz w:val="28"/>
          <w:szCs w:val="28"/>
        </w:rPr>
      </w:pPr>
    </w:p>
    <w:p w14:paraId="2F06A7D7">
      <w:pPr>
        <w:ind w:firstLine="281" w:firstLineChars="100"/>
        <w:rPr>
          <w:rFonts w:hint="eastAsia" w:ascii="仿宋_GB2312" w:eastAsia="仿宋_GB2312"/>
          <w:b/>
          <w:color w:val="000000"/>
          <w:sz w:val="28"/>
          <w:szCs w:val="28"/>
        </w:rPr>
      </w:pPr>
    </w:p>
    <w:p w14:paraId="17B6E461">
      <w:pPr>
        <w:ind w:firstLine="281" w:firstLineChars="100"/>
        <w:rPr>
          <w:rFonts w:hint="eastAsia" w:ascii="仿宋_GB2312" w:eastAsia="仿宋_GB2312"/>
          <w:b/>
          <w:color w:val="000000"/>
          <w:sz w:val="28"/>
          <w:szCs w:val="28"/>
        </w:rPr>
      </w:pPr>
    </w:p>
    <w:p w14:paraId="0C0CD44C">
      <w:pPr>
        <w:ind w:firstLine="281" w:firstLineChars="100"/>
        <w:rPr>
          <w:rFonts w:hint="eastAsia" w:ascii="仿宋_GB2312" w:eastAsia="仿宋_GB2312"/>
          <w:b/>
          <w:color w:val="000000"/>
          <w:sz w:val="28"/>
          <w:szCs w:val="28"/>
        </w:rPr>
      </w:pPr>
    </w:p>
    <w:p w14:paraId="3CE2E7C9">
      <w:pPr>
        <w:ind w:firstLine="281" w:firstLineChars="100"/>
        <w:rPr>
          <w:rFonts w:hint="eastAsia" w:ascii="仿宋_GB2312" w:eastAsia="仿宋_GB2312"/>
          <w:b/>
          <w:color w:val="000000"/>
          <w:sz w:val="28"/>
          <w:szCs w:val="28"/>
        </w:rPr>
      </w:pPr>
    </w:p>
    <w:p w14:paraId="6695B216">
      <w:pPr>
        <w:ind w:firstLine="281" w:firstLineChars="100"/>
        <w:rPr>
          <w:rFonts w:hint="eastAsia" w:ascii="仿宋_GB2312" w:eastAsia="仿宋_GB2312"/>
          <w:b/>
          <w:color w:val="000000"/>
          <w:sz w:val="28"/>
          <w:szCs w:val="28"/>
        </w:rPr>
      </w:pPr>
    </w:p>
    <w:p w14:paraId="2F1D2FB1">
      <w:pPr>
        <w:ind w:firstLine="281" w:firstLineChars="100"/>
        <w:rPr>
          <w:rFonts w:hint="eastAsia" w:ascii="仿宋_GB2312" w:eastAsia="仿宋_GB2312"/>
          <w:b/>
          <w:color w:val="000000"/>
          <w:sz w:val="28"/>
          <w:szCs w:val="28"/>
        </w:rPr>
      </w:pPr>
    </w:p>
    <w:p w14:paraId="06B7165D">
      <w:pPr>
        <w:ind w:firstLine="281" w:firstLineChars="100"/>
        <w:rPr>
          <w:rFonts w:hint="eastAsia" w:ascii="仿宋_GB2312" w:eastAsia="仿宋_GB2312"/>
          <w:b/>
          <w:color w:val="000000"/>
          <w:sz w:val="28"/>
          <w:szCs w:val="28"/>
        </w:rPr>
      </w:pPr>
    </w:p>
    <w:p w14:paraId="4E885955">
      <w:pPr>
        <w:ind w:firstLine="281" w:firstLineChars="100"/>
        <w:rPr>
          <w:rFonts w:hint="eastAsia" w:ascii="仿宋_GB2312" w:eastAsia="仿宋_GB2312"/>
          <w:b/>
          <w:color w:val="000000"/>
          <w:sz w:val="28"/>
          <w:szCs w:val="28"/>
        </w:rPr>
      </w:pPr>
    </w:p>
    <w:p w14:paraId="2CB67005">
      <w:pPr>
        <w:ind w:firstLine="281" w:firstLineChars="100"/>
        <w:rPr>
          <w:rFonts w:hint="eastAsia" w:ascii="仿宋_GB2312" w:eastAsia="仿宋_GB2312"/>
          <w:b/>
          <w:color w:val="000000"/>
          <w:sz w:val="28"/>
          <w:szCs w:val="28"/>
        </w:rPr>
      </w:pPr>
    </w:p>
    <w:p w14:paraId="60FB9A36">
      <w:pPr>
        <w:ind w:firstLine="281" w:firstLineChars="100"/>
        <w:rPr>
          <w:rFonts w:hint="eastAsia" w:ascii="仿宋_GB2312" w:eastAsia="仿宋_GB2312"/>
          <w:b/>
          <w:color w:val="000000"/>
          <w:sz w:val="28"/>
          <w:szCs w:val="28"/>
        </w:rPr>
      </w:pPr>
    </w:p>
    <w:p w14:paraId="4CE475A1">
      <w:pPr>
        <w:ind w:firstLine="281" w:firstLineChars="100"/>
        <w:rPr>
          <w:rFonts w:hint="eastAsia" w:ascii="仿宋_GB2312" w:eastAsia="仿宋_GB2312"/>
          <w:b/>
          <w:color w:val="000000"/>
          <w:sz w:val="28"/>
          <w:szCs w:val="28"/>
        </w:rPr>
      </w:pPr>
    </w:p>
    <w:p w14:paraId="19A06E75">
      <w:pPr>
        <w:ind w:firstLine="281" w:firstLineChars="100"/>
        <w:rPr>
          <w:rFonts w:hint="eastAsia" w:ascii="仿宋_GB2312" w:eastAsia="仿宋_GB2312"/>
          <w:b/>
          <w:color w:val="000000"/>
          <w:sz w:val="28"/>
          <w:szCs w:val="28"/>
        </w:rPr>
      </w:pPr>
    </w:p>
    <w:p w14:paraId="29808926">
      <w:pPr>
        <w:ind w:firstLine="281" w:firstLineChars="100"/>
        <w:rPr>
          <w:rFonts w:hint="eastAsia" w:ascii="仿宋_GB2312" w:eastAsia="仿宋_GB2312"/>
          <w:b/>
          <w:color w:val="000000"/>
          <w:sz w:val="28"/>
          <w:szCs w:val="28"/>
        </w:rPr>
      </w:pPr>
    </w:p>
    <w:p w14:paraId="7008013D">
      <w:pPr>
        <w:ind w:firstLine="281" w:firstLineChars="100"/>
        <w:rPr>
          <w:rFonts w:hint="eastAsia" w:ascii="仿宋_GB2312" w:eastAsia="仿宋_GB2312"/>
          <w:b/>
          <w:color w:val="000000"/>
          <w:sz w:val="28"/>
          <w:szCs w:val="28"/>
        </w:rPr>
      </w:pPr>
    </w:p>
    <w:p w14:paraId="11CB3F5A">
      <w:pPr>
        <w:ind w:firstLine="281" w:firstLineChars="100"/>
        <w:rPr>
          <w:rFonts w:hint="eastAsia" w:ascii="仿宋_GB2312" w:eastAsia="仿宋_GB2312"/>
          <w:b/>
          <w:color w:val="000000"/>
          <w:sz w:val="28"/>
          <w:szCs w:val="28"/>
        </w:rPr>
      </w:pPr>
    </w:p>
    <w:p w14:paraId="60711AD5">
      <w:pPr>
        <w:ind w:firstLine="281" w:firstLineChars="100"/>
        <w:rPr>
          <w:rFonts w:hint="eastAsia" w:ascii="仿宋_GB2312" w:eastAsia="仿宋_GB2312"/>
          <w:b/>
          <w:color w:val="000000"/>
          <w:sz w:val="28"/>
          <w:szCs w:val="28"/>
        </w:rPr>
      </w:pPr>
    </w:p>
    <w:p w14:paraId="63EBA4D8">
      <w:pPr>
        <w:ind w:firstLine="281" w:firstLineChars="100"/>
        <w:rPr>
          <w:rFonts w:hint="eastAsia" w:ascii="仿宋_GB2312" w:eastAsia="仿宋_GB2312"/>
          <w:b/>
          <w:color w:val="000000"/>
          <w:sz w:val="28"/>
          <w:szCs w:val="28"/>
        </w:rPr>
      </w:pPr>
    </w:p>
    <w:p w14:paraId="121E7493">
      <w:pPr>
        <w:ind w:firstLine="281" w:firstLineChars="100"/>
        <w:rPr>
          <w:rFonts w:hint="eastAsia" w:ascii="仿宋_GB2312" w:eastAsia="仿宋_GB2312"/>
          <w:b/>
          <w:color w:val="000000"/>
          <w:sz w:val="28"/>
          <w:szCs w:val="28"/>
        </w:rPr>
      </w:pPr>
    </w:p>
    <w:p w14:paraId="22878BA8">
      <w:pPr>
        <w:rPr>
          <w:rFonts w:hint="eastAsia" w:ascii="仿宋_GB2312" w:eastAsia="仿宋_GB2312"/>
          <w:b/>
          <w:color w:val="000000"/>
          <w:sz w:val="28"/>
          <w:szCs w:val="28"/>
        </w:rPr>
      </w:pPr>
    </w:p>
    <w:p w14:paraId="27F62843">
      <w:pPr>
        <w:rPr>
          <w:rFonts w:hint="eastAsia" w:ascii="仿宋_GB2312" w:eastAsia="仿宋_GB2312"/>
          <w:b/>
          <w:color w:val="000000"/>
          <w:sz w:val="28"/>
          <w:szCs w:val="28"/>
        </w:rPr>
      </w:pPr>
    </w:p>
    <w:p w14:paraId="210AF980">
      <w:pPr>
        <w:ind w:firstLine="281" w:firstLineChars="100"/>
        <w:rPr>
          <w:rFonts w:hint="eastAsia" w:ascii="仿宋_GB2312" w:eastAsia="仿宋_GB2312"/>
          <w:b/>
          <w:color w:val="000000"/>
          <w:sz w:val="28"/>
          <w:szCs w:val="28"/>
        </w:rPr>
      </w:pPr>
    </w:p>
    <w:p w14:paraId="4C84CB28">
      <w:pPr>
        <w:ind w:firstLine="281" w:firstLineChars="100"/>
        <w:rPr>
          <w:rFonts w:hint="eastAsia" w:ascii="仿宋_GB2312" w:eastAsia="仿宋_GB2312"/>
          <w:b/>
          <w:color w:val="000000"/>
          <w:sz w:val="28"/>
          <w:szCs w:val="28"/>
        </w:rPr>
      </w:pPr>
    </w:p>
    <w:p w14:paraId="10B7017E">
      <w:pPr>
        <w:ind w:firstLine="281" w:firstLineChars="100"/>
        <w:rPr>
          <w:rFonts w:hint="eastAsia" w:ascii="仿宋_GB2312" w:eastAsia="仿宋_GB2312"/>
          <w:b/>
          <w:color w:val="000000"/>
          <w:sz w:val="28"/>
          <w:szCs w:val="28"/>
        </w:rPr>
      </w:pPr>
    </w:p>
    <w:p w14:paraId="2D326454">
      <w:pPr>
        <w:rPr>
          <w:rFonts w:hint="eastAsia"/>
          <w:color w:val="000000"/>
          <w:sz w:val="30"/>
          <w:szCs w:val="30"/>
        </w:rPr>
      </w:pPr>
    </w:p>
    <w:p w14:paraId="09E53F71">
      <w:pPr>
        <w:pStyle w:val="4"/>
        <w:jc w:val="center"/>
        <w:outlineLvl w:val="1"/>
        <w:rPr>
          <w:rFonts w:hint="eastAsia"/>
          <w:lang w:eastAsia="zh-CN"/>
        </w:rPr>
      </w:pPr>
      <w:bookmarkStart w:id="446" w:name="_Toc328559339"/>
      <w:bookmarkStart w:id="447" w:name="_Toc273602358"/>
      <w:bookmarkStart w:id="448" w:name="_Toc245714176"/>
      <w:r>
        <w:rPr>
          <w:rFonts w:hint="eastAsia"/>
          <w:color w:val="000000"/>
        </w:rPr>
        <w:t>四．</w:t>
      </w:r>
      <w:bookmarkEnd w:id="446"/>
      <w:bookmarkEnd w:id="447"/>
      <w:bookmarkEnd w:id="448"/>
      <w:r>
        <w:rPr>
          <w:rFonts w:hint="eastAsia"/>
          <w:lang w:eastAsia="zh-CN"/>
        </w:rPr>
        <w:t>拟委任的项目经理（项目技术负责人）简历</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0"/>
        <w:gridCol w:w="1433"/>
        <w:gridCol w:w="644"/>
        <w:gridCol w:w="437"/>
        <w:gridCol w:w="209"/>
        <w:gridCol w:w="1474"/>
        <w:gridCol w:w="1268"/>
        <w:gridCol w:w="391"/>
        <w:gridCol w:w="2011"/>
      </w:tblGrid>
      <w:tr w14:paraId="2A5D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14:paraId="542A58E4">
            <w:pPr>
              <w:jc w:val="center"/>
              <w:rPr>
                <w:rFonts w:ascii="宋体" w:hAnsi="宋体"/>
                <w:szCs w:val="21"/>
              </w:rPr>
            </w:pPr>
            <w:r>
              <w:rPr>
                <w:rFonts w:ascii="宋体" w:hAnsi="宋体"/>
                <w:szCs w:val="21"/>
              </w:rPr>
              <w:t>姓  名</w:t>
            </w:r>
          </w:p>
        </w:tc>
        <w:tc>
          <w:tcPr>
            <w:tcW w:w="792" w:type="pct"/>
            <w:gridSpan w:val="2"/>
            <w:noWrap w:val="0"/>
            <w:vAlign w:val="center"/>
          </w:tcPr>
          <w:p w14:paraId="231AC616">
            <w:pPr>
              <w:jc w:val="center"/>
              <w:rPr>
                <w:rFonts w:ascii="宋体" w:hAnsi="宋体"/>
                <w:szCs w:val="21"/>
              </w:rPr>
            </w:pPr>
          </w:p>
        </w:tc>
        <w:tc>
          <w:tcPr>
            <w:tcW w:w="703" w:type="pct"/>
            <w:gridSpan w:val="3"/>
            <w:noWrap w:val="0"/>
            <w:vAlign w:val="center"/>
          </w:tcPr>
          <w:p w14:paraId="4A192822">
            <w:pPr>
              <w:jc w:val="center"/>
              <w:rPr>
                <w:rFonts w:ascii="宋体" w:hAnsi="宋体"/>
                <w:szCs w:val="21"/>
              </w:rPr>
            </w:pPr>
            <w:r>
              <w:rPr>
                <w:rFonts w:ascii="宋体" w:hAnsi="宋体"/>
                <w:szCs w:val="21"/>
              </w:rPr>
              <w:t>年 龄</w:t>
            </w:r>
          </w:p>
        </w:tc>
        <w:tc>
          <w:tcPr>
            <w:tcW w:w="803" w:type="pct"/>
            <w:noWrap w:val="0"/>
            <w:vAlign w:val="center"/>
          </w:tcPr>
          <w:p w14:paraId="66C00939">
            <w:pPr>
              <w:jc w:val="center"/>
              <w:rPr>
                <w:rFonts w:ascii="宋体" w:hAnsi="宋体"/>
                <w:szCs w:val="21"/>
              </w:rPr>
            </w:pPr>
          </w:p>
        </w:tc>
        <w:tc>
          <w:tcPr>
            <w:tcW w:w="904" w:type="pct"/>
            <w:gridSpan w:val="2"/>
            <w:noWrap w:val="0"/>
            <w:vAlign w:val="center"/>
          </w:tcPr>
          <w:p w14:paraId="2E8BF667">
            <w:pPr>
              <w:jc w:val="center"/>
              <w:rPr>
                <w:rFonts w:ascii="宋体" w:hAnsi="宋体"/>
                <w:szCs w:val="21"/>
              </w:rPr>
            </w:pPr>
            <w:r>
              <w:rPr>
                <w:rFonts w:ascii="宋体" w:hAnsi="宋体"/>
                <w:szCs w:val="21"/>
              </w:rPr>
              <w:t>学</w:t>
            </w:r>
            <w:r>
              <w:rPr>
                <w:rFonts w:hint="eastAsia" w:ascii="宋体" w:hAnsi="宋体"/>
                <w:szCs w:val="21"/>
              </w:rPr>
              <w:t xml:space="preserve"> </w:t>
            </w:r>
            <w:r>
              <w:rPr>
                <w:rFonts w:ascii="宋体" w:hAnsi="宋体"/>
                <w:szCs w:val="21"/>
              </w:rPr>
              <w:t>历</w:t>
            </w:r>
          </w:p>
        </w:tc>
        <w:tc>
          <w:tcPr>
            <w:tcW w:w="1096" w:type="pct"/>
            <w:noWrap w:val="0"/>
            <w:vAlign w:val="center"/>
          </w:tcPr>
          <w:p w14:paraId="62838105">
            <w:pPr>
              <w:jc w:val="center"/>
              <w:rPr>
                <w:rFonts w:ascii="宋体" w:hAnsi="宋体"/>
                <w:szCs w:val="21"/>
              </w:rPr>
            </w:pPr>
          </w:p>
        </w:tc>
      </w:tr>
      <w:tr w14:paraId="5E23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14:paraId="5BF72EEE">
            <w:pPr>
              <w:jc w:val="center"/>
              <w:rPr>
                <w:rFonts w:ascii="宋体" w:hAnsi="宋体"/>
                <w:szCs w:val="21"/>
              </w:rPr>
            </w:pPr>
            <w:r>
              <w:rPr>
                <w:rFonts w:ascii="宋体" w:hAnsi="宋体"/>
                <w:szCs w:val="21"/>
              </w:rPr>
              <w:t>职  称</w:t>
            </w:r>
          </w:p>
        </w:tc>
        <w:tc>
          <w:tcPr>
            <w:tcW w:w="792" w:type="pct"/>
            <w:gridSpan w:val="2"/>
            <w:noWrap w:val="0"/>
            <w:vAlign w:val="center"/>
          </w:tcPr>
          <w:p w14:paraId="5156D968">
            <w:pPr>
              <w:jc w:val="center"/>
              <w:rPr>
                <w:rFonts w:ascii="宋体" w:hAnsi="宋体"/>
                <w:szCs w:val="21"/>
              </w:rPr>
            </w:pPr>
          </w:p>
        </w:tc>
        <w:tc>
          <w:tcPr>
            <w:tcW w:w="703" w:type="pct"/>
            <w:gridSpan w:val="3"/>
            <w:noWrap w:val="0"/>
            <w:vAlign w:val="center"/>
          </w:tcPr>
          <w:p w14:paraId="67EBB89D">
            <w:pPr>
              <w:jc w:val="center"/>
              <w:rPr>
                <w:rFonts w:ascii="宋体" w:hAnsi="宋体"/>
                <w:szCs w:val="21"/>
              </w:rPr>
            </w:pPr>
            <w:r>
              <w:rPr>
                <w:rFonts w:hint="eastAsia" w:ascii="宋体" w:hAnsi="宋体"/>
                <w:szCs w:val="21"/>
              </w:rPr>
              <w:t>单位</w:t>
            </w:r>
          </w:p>
          <w:p w14:paraId="5E862E12">
            <w:pPr>
              <w:jc w:val="center"/>
              <w:rPr>
                <w:rFonts w:ascii="宋体" w:hAnsi="宋体"/>
                <w:szCs w:val="21"/>
              </w:rPr>
            </w:pPr>
            <w:r>
              <w:rPr>
                <w:rFonts w:ascii="宋体" w:hAnsi="宋体"/>
                <w:szCs w:val="21"/>
              </w:rPr>
              <w:t>职务</w:t>
            </w:r>
          </w:p>
        </w:tc>
        <w:tc>
          <w:tcPr>
            <w:tcW w:w="803" w:type="pct"/>
            <w:noWrap w:val="0"/>
            <w:vAlign w:val="center"/>
          </w:tcPr>
          <w:p w14:paraId="39946272">
            <w:pPr>
              <w:jc w:val="center"/>
              <w:rPr>
                <w:rFonts w:ascii="宋体" w:hAnsi="宋体"/>
                <w:szCs w:val="21"/>
              </w:rPr>
            </w:pPr>
          </w:p>
        </w:tc>
        <w:tc>
          <w:tcPr>
            <w:tcW w:w="904" w:type="pct"/>
            <w:gridSpan w:val="2"/>
            <w:noWrap w:val="0"/>
            <w:vAlign w:val="center"/>
          </w:tcPr>
          <w:p w14:paraId="5354EB25">
            <w:pPr>
              <w:jc w:val="center"/>
              <w:rPr>
                <w:rFonts w:ascii="宋体" w:hAnsi="宋体"/>
                <w:szCs w:val="21"/>
              </w:rPr>
            </w:pPr>
            <w:r>
              <w:rPr>
                <w:rFonts w:ascii="宋体" w:hAnsi="宋体"/>
                <w:szCs w:val="21"/>
              </w:rPr>
              <w:t>拟在本</w:t>
            </w:r>
            <w:r>
              <w:rPr>
                <w:rFonts w:hint="eastAsia" w:ascii="宋体" w:hAnsi="宋体"/>
                <w:szCs w:val="21"/>
              </w:rPr>
              <w:t>标段</w:t>
            </w:r>
          </w:p>
          <w:p w14:paraId="69E923FD">
            <w:pPr>
              <w:jc w:val="center"/>
              <w:rPr>
                <w:rFonts w:ascii="宋体" w:hAnsi="宋体"/>
                <w:szCs w:val="21"/>
              </w:rPr>
            </w:pPr>
            <w:r>
              <w:rPr>
                <w:rFonts w:hint="eastAsia" w:ascii="宋体" w:hAnsi="宋体"/>
                <w:szCs w:val="21"/>
              </w:rPr>
              <w:t>工程担任职务</w:t>
            </w:r>
          </w:p>
        </w:tc>
        <w:tc>
          <w:tcPr>
            <w:tcW w:w="1096" w:type="pct"/>
            <w:noWrap w:val="0"/>
            <w:vAlign w:val="center"/>
          </w:tcPr>
          <w:p w14:paraId="3A1FDDE6">
            <w:pPr>
              <w:jc w:val="center"/>
              <w:rPr>
                <w:rFonts w:ascii="宋体" w:hAnsi="宋体"/>
                <w:szCs w:val="21"/>
              </w:rPr>
            </w:pPr>
          </w:p>
        </w:tc>
      </w:tr>
      <w:tr w14:paraId="7DD8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14:paraId="7C095E62">
            <w:pPr>
              <w:jc w:val="center"/>
              <w:rPr>
                <w:rFonts w:ascii="宋体" w:hAnsi="宋体"/>
                <w:szCs w:val="21"/>
              </w:rPr>
            </w:pPr>
            <w:r>
              <w:rPr>
                <w:rFonts w:ascii="宋体" w:hAnsi="宋体"/>
                <w:szCs w:val="21"/>
              </w:rPr>
              <w:t>毕业学校</w:t>
            </w:r>
          </w:p>
        </w:tc>
        <w:tc>
          <w:tcPr>
            <w:tcW w:w="4298" w:type="pct"/>
            <w:gridSpan w:val="9"/>
            <w:noWrap w:val="0"/>
            <w:vAlign w:val="center"/>
          </w:tcPr>
          <w:p w14:paraId="77C15F31">
            <w:pPr>
              <w:rPr>
                <w:rFonts w:ascii="宋体" w:hAnsi="宋体"/>
                <w:szCs w:val="21"/>
              </w:rPr>
            </w:pP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月</w:t>
            </w:r>
            <w:r>
              <w:rPr>
                <w:rFonts w:ascii="宋体" w:hAnsi="宋体"/>
                <w:szCs w:val="21"/>
              </w:rPr>
              <w:t>毕业于</w:t>
            </w:r>
            <w:r>
              <w:rPr>
                <w:rFonts w:ascii="宋体" w:hAnsi="宋体"/>
                <w:szCs w:val="21"/>
                <w:u w:val="single"/>
              </w:rPr>
              <w:t xml:space="preserve">            </w:t>
            </w:r>
            <w:r>
              <w:rPr>
                <w:rFonts w:ascii="宋体" w:hAnsi="宋体"/>
                <w:szCs w:val="21"/>
              </w:rPr>
              <w:t>学校</w:t>
            </w:r>
            <w:r>
              <w:rPr>
                <w:rFonts w:ascii="宋体" w:hAnsi="宋体"/>
                <w:szCs w:val="21"/>
                <w:u w:val="single"/>
              </w:rPr>
              <w:t xml:space="preserve">        </w:t>
            </w:r>
            <w:r>
              <w:rPr>
                <w:rFonts w:ascii="宋体" w:hAnsi="宋体"/>
                <w:szCs w:val="21"/>
              </w:rPr>
              <w:t>专业</w:t>
            </w:r>
            <w:r>
              <w:rPr>
                <w:rFonts w:hint="eastAsia" w:ascii="宋体" w:hAnsi="宋体"/>
                <w:szCs w:val="21"/>
              </w:rPr>
              <w:t>，学制</w:t>
            </w:r>
            <w:r>
              <w:rPr>
                <w:rFonts w:hint="eastAsia" w:ascii="宋体" w:hAnsi="宋体"/>
                <w:szCs w:val="21"/>
                <w:u w:val="single"/>
              </w:rPr>
              <w:t xml:space="preserve">   </w:t>
            </w:r>
            <w:r>
              <w:rPr>
                <w:rFonts w:hint="eastAsia" w:ascii="宋体" w:hAnsi="宋体"/>
                <w:szCs w:val="21"/>
              </w:rPr>
              <w:t>年</w:t>
            </w:r>
          </w:p>
        </w:tc>
      </w:tr>
      <w:tr w14:paraId="2751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0"/>
            <w:noWrap w:val="0"/>
            <w:vAlign w:val="center"/>
          </w:tcPr>
          <w:p w14:paraId="3164FD31">
            <w:pPr>
              <w:jc w:val="center"/>
              <w:rPr>
                <w:rFonts w:ascii="宋体" w:hAnsi="宋体"/>
              </w:rPr>
            </w:pPr>
            <w:r>
              <w:rPr>
                <w:rFonts w:ascii="宋体" w:hAnsi="宋体"/>
                <w:szCs w:val="21"/>
              </w:rPr>
              <w:t>经</w:t>
            </w:r>
            <w:r>
              <w:rPr>
                <w:rFonts w:hint="eastAsia" w:ascii="宋体" w:hAnsi="宋体"/>
                <w:szCs w:val="21"/>
              </w:rPr>
              <w:t xml:space="preserve">    </w:t>
            </w:r>
            <w:r>
              <w:rPr>
                <w:rFonts w:ascii="宋体" w:hAnsi="宋体"/>
                <w:szCs w:val="21"/>
              </w:rPr>
              <w:t>历</w:t>
            </w:r>
          </w:p>
        </w:tc>
      </w:tr>
      <w:tr w14:paraId="24ED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41E2E8AC">
            <w:pPr>
              <w:jc w:val="center"/>
              <w:rPr>
                <w:rFonts w:ascii="宋体" w:hAnsi="宋体"/>
                <w:szCs w:val="21"/>
              </w:rPr>
            </w:pPr>
            <w:r>
              <w:rPr>
                <w:rFonts w:hint="eastAsia" w:ascii="宋体" w:hAnsi="宋体"/>
                <w:szCs w:val="21"/>
              </w:rPr>
              <w:t>时间</w:t>
            </w:r>
          </w:p>
        </w:tc>
        <w:tc>
          <w:tcPr>
            <w:tcW w:w="1370" w:type="pct"/>
            <w:gridSpan w:val="3"/>
            <w:noWrap w:val="0"/>
            <w:vAlign w:val="center"/>
          </w:tcPr>
          <w:p w14:paraId="59FE7CB1">
            <w:pPr>
              <w:jc w:val="center"/>
              <w:rPr>
                <w:rFonts w:ascii="宋体" w:hAnsi="宋体"/>
                <w:szCs w:val="21"/>
              </w:rPr>
            </w:pPr>
            <w:r>
              <w:rPr>
                <w:rFonts w:ascii="宋体" w:hAnsi="宋体"/>
                <w:szCs w:val="21"/>
              </w:rPr>
              <w:t>参加过的</w:t>
            </w:r>
            <w:r>
              <w:rPr>
                <w:rFonts w:hint="eastAsia" w:ascii="宋体" w:hAnsi="宋体"/>
                <w:szCs w:val="21"/>
              </w:rPr>
              <w:t>工程</w:t>
            </w:r>
            <w:r>
              <w:rPr>
                <w:rFonts w:ascii="宋体" w:hAnsi="宋体"/>
                <w:szCs w:val="21"/>
              </w:rPr>
              <w:t>项目</w:t>
            </w:r>
            <w:r>
              <w:rPr>
                <w:rFonts w:hint="eastAsia" w:ascii="宋体" w:hAnsi="宋体"/>
                <w:szCs w:val="21"/>
              </w:rPr>
              <w:t>名称</w:t>
            </w:r>
          </w:p>
        </w:tc>
        <w:tc>
          <w:tcPr>
            <w:tcW w:w="917" w:type="pct"/>
            <w:gridSpan w:val="2"/>
            <w:noWrap w:val="0"/>
            <w:vAlign w:val="center"/>
          </w:tcPr>
          <w:p w14:paraId="584AF465">
            <w:pPr>
              <w:jc w:val="center"/>
              <w:rPr>
                <w:rFonts w:ascii="宋体" w:hAnsi="宋体"/>
                <w:szCs w:val="21"/>
              </w:rPr>
            </w:pPr>
            <w:r>
              <w:rPr>
                <w:rFonts w:hint="eastAsia" w:ascii="宋体" w:hAnsi="宋体"/>
                <w:szCs w:val="21"/>
              </w:rPr>
              <w:t>签约合同价金额（万元）</w:t>
            </w:r>
          </w:p>
        </w:tc>
        <w:tc>
          <w:tcPr>
            <w:tcW w:w="691" w:type="pct"/>
            <w:noWrap w:val="0"/>
            <w:vAlign w:val="center"/>
          </w:tcPr>
          <w:p w14:paraId="382E9747">
            <w:pPr>
              <w:jc w:val="center"/>
              <w:rPr>
                <w:rFonts w:ascii="宋体" w:hAnsi="宋体"/>
                <w:szCs w:val="21"/>
              </w:rPr>
            </w:pPr>
            <w:r>
              <w:rPr>
                <w:rFonts w:ascii="宋体" w:hAnsi="宋体"/>
                <w:szCs w:val="21"/>
              </w:rPr>
              <w:t>担任职务</w:t>
            </w:r>
          </w:p>
        </w:tc>
        <w:tc>
          <w:tcPr>
            <w:tcW w:w="1309" w:type="pct"/>
            <w:gridSpan w:val="2"/>
            <w:noWrap w:val="0"/>
            <w:vAlign w:val="center"/>
          </w:tcPr>
          <w:p w14:paraId="7067EEE2">
            <w:pPr>
              <w:rPr>
                <w:rFonts w:ascii="宋体" w:hAnsi="宋体"/>
                <w:szCs w:val="21"/>
              </w:rPr>
            </w:pPr>
            <w:r>
              <w:rPr>
                <w:rFonts w:ascii="宋体" w:hAnsi="宋体"/>
                <w:szCs w:val="21"/>
              </w:rPr>
              <w:t>发包人及联系电话</w:t>
            </w:r>
          </w:p>
        </w:tc>
      </w:tr>
      <w:tr w14:paraId="5E55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top"/>
          </w:tcPr>
          <w:p w14:paraId="5989C990">
            <w:pPr>
              <w:rPr>
                <w:rFonts w:ascii="宋体" w:hAnsi="宋体"/>
                <w:szCs w:val="21"/>
              </w:rPr>
            </w:pPr>
          </w:p>
        </w:tc>
        <w:tc>
          <w:tcPr>
            <w:tcW w:w="1370" w:type="pct"/>
            <w:gridSpan w:val="3"/>
            <w:noWrap w:val="0"/>
            <w:vAlign w:val="top"/>
          </w:tcPr>
          <w:p w14:paraId="5CB5DBCA">
            <w:pPr>
              <w:rPr>
                <w:rFonts w:ascii="宋体" w:hAnsi="宋体"/>
                <w:szCs w:val="21"/>
              </w:rPr>
            </w:pPr>
          </w:p>
        </w:tc>
        <w:tc>
          <w:tcPr>
            <w:tcW w:w="917" w:type="pct"/>
            <w:gridSpan w:val="2"/>
            <w:noWrap w:val="0"/>
            <w:vAlign w:val="top"/>
          </w:tcPr>
          <w:p w14:paraId="74BD9475">
            <w:pPr>
              <w:rPr>
                <w:rFonts w:ascii="宋体" w:hAnsi="宋体"/>
                <w:szCs w:val="21"/>
              </w:rPr>
            </w:pPr>
          </w:p>
        </w:tc>
        <w:tc>
          <w:tcPr>
            <w:tcW w:w="691" w:type="pct"/>
            <w:noWrap w:val="0"/>
            <w:vAlign w:val="top"/>
          </w:tcPr>
          <w:p w14:paraId="1430AB52">
            <w:pPr>
              <w:rPr>
                <w:rFonts w:ascii="宋体" w:hAnsi="宋体"/>
                <w:szCs w:val="21"/>
              </w:rPr>
            </w:pPr>
          </w:p>
        </w:tc>
        <w:tc>
          <w:tcPr>
            <w:tcW w:w="1309" w:type="pct"/>
            <w:gridSpan w:val="2"/>
            <w:noWrap w:val="0"/>
            <w:vAlign w:val="top"/>
          </w:tcPr>
          <w:p w14:paraId="6ACFAF76">
            <w:pPr>
              <w:rPr>
                <w:rFonts w:ascii="宋体" w:hAnsi="宋体"/>
                <w:szCs w:val="21"/>
              </w:rPr>
            </w:pPr>
          </w:p>
        </w:tc>
      </w:tr>
      <w:tr w14:paraId="3248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top"/>
          </w:tcPr>
          <w:p w14:paraId="17B34BC9">
            <w:pPr>
              <w:rPr>
                <w:rFonts w:eastAsia="黑体"/>
                <w:szCs w:val="21"/>
              </w:rPr>
            </w:pPr>
          </w:p>
        </w:tc>
        <w:tc>
          <w:tcPr>
            <w:tcW w:w="1370" w:type="pct"/>
            <w:gridSpan w:val="3"/>
            <w:noWrap w:val="0"/>
            <w:vAlign w:val="top"/>
          </w:tcPr>
          <w:p w14:paraId="739DD46D">
            <w:pPr>
              <w:pStyle w:val="35"/>
            </w:pPr>
          </w:p>
        </w:tc>
        <w:tc>
          <w:tcPr>
            <w:tcW w:w="917" w:type="pct"/>
            <w:gridSpan w:val="2"/>
            <w:noWrap w:val="0"/>
            <w:vAlign w:val="top"/>
          </w:tcPr>
          <w:p w14:paraId="37BFBF2A">
            <w:pPr>
              <w:pStyle w:val="35"/>
            </w:pPr>
          </w:p>
        </w:tc>
        <w:tc>
          <w:tcPr>
            <w:tcW w:w="691" w:type="pct"/>
            <w:noWrap w:val="0"/>
            <w:vAlign w:val="top"/>
          </w:tcPr>
          <w:p w14:paraId="15473FEE">
            <w:pPr>
              <w:pStyle w:val="35"/>
            </w:pPr>
          </w:p>
        </w:tc>
        <w:tc>
          <w:tcPr>
            <w:tcW w:w="1309" w:type="pct"/>
            <w:gridSpan w:val="2"/>
            <w:noWrap w:val="0"/>
            <w:vAlign w:val="top"/>
          </w:tcPr>
          <w:p w14:paraId="499D0805">
            <w:pPr>
              <w:rPr>
                <w:rFonts w:eastAsia="黑体"/>
                <w:szCs w:val="21"/>
              </w:rPr>
            </w:pPr>
          </w:p>
        </w:tc>
      </w:tr>
      <w:tr w14:paraId="1021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top"/>
          </w:tcPr>
          <w:p w14:paraId="1A8CB911">
            <w:pPr>
              <w:rPr>
                <w:rFonts w:eastAsia="黑体"/>
                <w:szCs w:val="21"/>
              </w:rPr>
            </w:pPr>
          </w:p>
        </w:tc>
        <w:tc>
          <w:tcPr>
            <w:tcW w:w="1370" w:type="pct"/>
            <w:gridSpan w:val="3"/>
            <w:noWrap w:val="0"/>
            <w:vAlign w:val="top"/>
          </w:tcPr>
          <w:p w14:paraId="6D330E44">
            <w:pPr>
              <w:rPr>
                <w:rFonts w:eastAsia="黑体"/>
                <w:szCs w:val="21"/>
              </w:rPr>
            </w:pPr>
          </w:p>
        </w:tc>
        <w:tc>
          <w:tcPr>
            <w:tcW w:w="917" w:type="pct"/>
            <w:gridSpan w:val="2"/>
            <w:noWrap w:val="0"/>
            <w:vAlign w:val="top"/>
          </w:tcPr>
          <w:p w14:paraId="09090193">
            <w:pPr>
              <w:rPr>
                <w:rFonts w:eastAsia="黑体"/>
                <w:szCs w:val="21"/>
              </w:rPr>
            </w:pPr>
          </w:p>
        </w:tc>
        <w:tc>
          <w:tcPr>
            <w:tcW w:w="691" w:type="pct"/>
            <w:noWrap w:val="0"/>
            <w:vAlign w:val="top"/>
          </w:tcPr>
          <w:p w14:paraId="279F09E2">
            <w:pPr>
              <w:rPr>
                <w:rFonts w:eastAsia="黑体"/>
                <w:szCs w:val="21"/>
              </w:rPr>
            </w:pPr>
          </w:p>
        </w:tc>
        <w:tc>
          <w:tcPr>
            <w:tcW w:w="1309" w:type="pct"/>
            <w:gridSpan w:val="2"/>
            <w:noWrap w:val="0"/>
            <w:vAlign w:val="top"/>
          </w:tcPr>
          <w:p w14:paraId="2668F4D8">
            <w:pPr>
              <w:rPr>
                <w:rFonts w:eastAsia="黑体"/>
                <w:szCs w:val="21"/>
              </w:rPr>
            </w:pPr>
          </w:p>
        </w:tc>
      </w:tr>
      <w:tr w14:paraId="4E10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7FD3A548">
            <w:pPr>
              <w:rPr>
                <w:rFonts w:eastAsia="黑体"/>
                <w:szCs w:val="21"/>
              </w:rPr>
            </w:pPr>
          </w:p>
        </w:tc>
        <w:tc>
          <w:tcPr>
            <w:tcW w:w="1370" w:type="pct"/>
            <w:gridSpan w:val="3"/>
            <w:noWrap w:val="0"/>
            <w:vAlign w:val="center"/>
          </w:tcPr>
          <w:p w14:paraId="72D16737">
            <w:pPr>
              <w:rPr>
                <w:rFonts w:eastAsia="黑体"/>
                <w:szCs w:val="21"/>
              </w:rPr>
            </w:pPr>
          </w:p>
        </w:tc>
        <w:tc>
          <w:tcPr>
            <w:tcW w:w="917" w:type="pct"/>
            <w:gridSpan w:val="2"/>
            <w:noWrap w:val="0"/>
            <w:vAlign w:val="center"/>
          </w:tcPr>
          <w:p w14:paraId="6582F96F">
            <w:pPr>
              <w:rPr>
                <w:rFonts w:eastAsia="黑体"/>
                <w:szCs w:val="21"/>
              </w:rPr>
            </w:pPr>
          </w:p>
        </w:tc>
        <w:tc>
          <w:tcPr>
            <w:tcW w:w="691" w:type="pct"/>
            <w:noWrap w:val="0"/>
            <w:vAlign w:val="center"/>
          </w:tcPr>
          <w:p w14:paraId="47882483">
            <w:pPr>
              <w:rPr>
                <w:rFonts w:eastAsia="黑体"/>
                <w:szCs w:val="21"/>
              </w:rPr>
            </w:pPr>
          </w:p>
        </w:tc>
        <w:tc>
          <w:tcPr>
            <w:tcW w:w="1309" w:type="pct"/>
            <w:gridSpan w:val="2"/>
            <w:noWrap w:val="0"/>
            <w:vAlign w:val="center"/>
          </w:tcPr>
          <w:p w14:paraId="3BFE1CD3">
            <w:pPr>
              <w:rPr>
                <w:rFonts w:eastAsia="黑体"/>
                <w:szCs w:val="21"/>
              </w:rPr>
            </w:pPr>
          </w:p>
        </w:tc>
      </w:tr>
      <w:tr w14:paraId="6CAF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634D42D4">
            <w:pPr>
              <w:rPr>
                <w:rFonts w:eastAsia="黑体"/>
                <w:szCs w:val="21"/>
              </w:rPr>
            </w:pPr>
          </w:p>
        </w:tc>
        <w:tc>
          <w:tcPr>
            <w:tcW w:w="1370" w:type="pct"/>
            <w:gridSpan w:val="3"/>
            <w:noWrap w:val="0"/>
            <w:vAlign w:val="center"/>
          </w:tcPr>
          <w:p w14:paraId="080B6B53">
            <w:pPr>
              <w:rPr>
                <w:rFonts w:eastAsia="黑体"/>
                <w:szCs w:val="21"/>
              </w:rPr>
            </w:pPr>
          </w:p>
        </w:tc>
        <w:tc>
          <w:tcPr>
            <w:tcW w:w="917" w:type="pct"/>
            <w:gridSpan w:val="2"/>
            <w:noWrap w:val="0"/>
            <w:vAlign w:val="center"/>
          </w:tcPr>
          <w:p w14:paraId="1206D05C">
            <w:pPr>
              <w:rPr>
                <w:rFonts w:eastAsia="黑体"/>
                <w:szCs w:val="21"/>
              </w:rPr>
            </w:pPr>
          </w:p>
        </w:tc>
        <w:tc>
          <w:tcPr>
            <w:tcW w:w="691" w:type="pct"/>
            <w:noWrap w:val="0"/>
            <w:vAlign w:val="center"/>
          </w:tcPr>
          <w:p w14:paraId="46F33AA1">
            <w:pPr>
              <w:rPr>
                <w:rFonts w:eastAsia="黑体"/>
                <w:szCs w:val="21"/>
              </w:rPr>
            </w:pPr>
          </w:p>
        </w:tc>
        <w:tc>
          <w:tcPr>
            <w:tcW w:w="1309" w:type="pct"/>
            <w:gridSpan w:val="2"/>
            <w:noWrap w:val="0"/>
            <w:vAlign w:val="center"/>
          </w:tcPr>
          <w:p w14:paraId="25620F2A">
            <w:pPr>
              <w:rPr>
                <w:rFonts w:eastAsia="黑体"/>
                <w:szCs w:val="21"/>
              </w:rPr>
            </w:pPr>
          </w:p>
        </w:tc>
      </w:tr>
      <w:tr w14:paraId="0786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45B25822">
            <w:pPr>
              <w:rPr>
                <w:rFonts w:eastAsia="黑体"/>
                <w:szCs w:val="21"/>
              </w:rPr>
            </w:pPr>
          </w:p>
        </w:tc>
        <w:tc>
          <w:tcPr>
            <w:tcW w:w="1370" w:type="pct"/>
            <w:gridSpan w:val="3"/>
            <w:noWrap w:val="0"/>
            <w:vAlign w:val="center"/>
          </w:tcPr>
          <w:p w14:paraId="18F50262">
            <w:pPr>
              <w:rPr>
                <w:rFonts w:eastAsia="黑体"/>
                <w:szCs w:val="21"/>
              </w:rPr>
            </w:pPr>
          </w:p>
        </w:tc>
        <w:tc>
          <w:tcPr>
            <w:tcW w:w="917" w:type="pct"/>
            <w:gridSpan w:val="2"/>
            <w:noWrap w:val="0"/>
            <w:vAlign w:val="center"/>
          </w:tcPr>
          <w:p w14:paraId="45AF2475">
            <w:pPr>
              <w:rPr>
                <w:rFonts w:eastAsia="黑体"/>
                <w:szCs w:val="21"/>
              </w:rPr>
            </w:pPr>
          </w:p>
        </w:tc>
        <w:tc>
          <w:tcPr>
            <w:tcW w:w="691" w:type="pct"/>
            <w:noWrap w:val="0"/>
            <w:vAlign w:val="center"/>
          </w:tcPr>
          <w:p w14:paraId="06B1082C">
            <w:pPr>
              <w:rPr>
                <w:rFonts w:eastAsia="黑体"/>
                <w:szCs w:val="21"/>
              </w:rPr>
            </w:pPr>
          </w:p>
        </w:tc>
        <w:tc>
          <w:tcPr>
            <w:tcW w:w="1309" w:type="pct"/>
            <w:gridSpan w:val="2"/>
            <w:noWrap w:val="0"/>
            <w:vAlign w:val="center"/>
          </w:tcPr>
          <w:p w14:paraId="38BD4AE5">
            <w:pPr>
              <w:rPr>
                <w:rFonts w:eastAsia="黑体"/>
                <w:szCs w:val="21"/>
              </w:rPr>
            </w:pPr>
          </w:p>
        </w:tc>
      </w:tr>
      <w:tr w14:paraId="10E5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530AD372">
            <w:pPr>
              <w:rPr>
                <w:rFonts w:eastAsia="黑体"/>
                <w:szCs w:val="21"/>
              </w:rPr>
            </w:pPr>
          </w:p>
        </w:tc>
        <w:tc>
          <w:tcPr>
            <w:tcW w:w="1370" w:type="pct"/>
            <w:gridSpan w:val="3"/>
            <w:noWrap w:val="0"/>
            <w:vAlign w:val="center"/>
          </w:tcPr>
          <w:p w14:paraId="43D6CDD5">
            <w:pPr>
              <w:rPr>
                <w:rFonts w:eastAsia="黑体"/>
                <w:szCs w:val="21"/>
              </w:rPr>
            </w:pPr>
          </w:p>
        </w:tc>
        <w:tc>
          <w:tcPr>
            <w:tcW w:w="917" w:type="pct"/>
            <w:gridSpan w:val="2"/>
            <w:tcBorders>
              <w:right w:val="single" w:color="auto" w:sz="8" w:space="0"/>
            </w:tcBorders>
            <w:noWrap w:val="0"/>
            <w:vAlign w:val="center"/>
          </w:tcPr>
          <w:p w14:paraId="44300133">
            <w:pPr>
              <w:rPr>
                <w:rFonts w:eastAsia="黑体"/>
                <w:szCs w:val="21"/>
              </w:rPr>
            </w:pPr>
          </w:p>
        </w:tc>
        <w:tc>
          <w:tcPr>
            <w:tcW w:w="691" w:type="pct"/>
            <w:tcBorders>
              <w:left w:val="single" w:color="auto" w:sz="8" w:space="0"/>
            </w:tcBorders>
            <w:noWrap w:val="0"/>
            <w:vAlign w:val="center"/>
          </w:tcPr>
          <w:p w14:paraId="0E21373F">
            <w:pPr>
              <w:rPr>
                <w:rFonts w:eastAsia="黑体"/>
                <w:szCs w:val="21"/>
              </w:rPr>
            </w:pPr>
          </w:p>
        </w:tc>
        <w:tc>
          <w:tcPr>
            <w:tcW w:w="1309" w:type="pct"/>
            <w:gridSpan w:val="2"/>
            <w:noWrap w:val="0"/>
            <w:vAlign w:val="center"/>
          </w:tcPr>
          <w:p w14:paraId="19766A80">
            <w:pPr>
              <w:rPr>
                <w:rFonts w:eastAsia="黑体"/>
                <w:szCs w:val="21"/>
              </w:rPr>
            </w:pPr>
          </w:p>
        </w:tc>
      </w:tr>
      <w:tr w14:paraId="46F8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270A7806">
            <w:pPr>
              <w:rPr>
                <w:rFonts w:ascii="宋体" w:hAnsi="宋体"/>
                <w:szCs w:val="21"/>
              </w:rPr>
            </w:pPr>
            <w:r>
              <w:rPr>
                <w:rFonts w:hint="eastAsia" w:ascii="宋体" w:hAnsi="宋体"/>
                <w:szCs w:val="21"/>
              </w:rPr>
              <w:t>获奖情况</w:t>
            </w:r>
          </w:p>
        </w:tc>
        <w:tc>
          <w:tcPr>
            <w:tcW w:w="4287" w:type="pct"/>
            <w:gridSpan w:val="8"/>
            <w:noWrap w:val="0"/>
            <w:vAlign w:val="center"/>
          </w:tcPr>
          <w:p w14:paraId="5BFCC80B">
            <w:pPr>
              <w:rPr>
                <w:rFonts w:eastAsia="黑体"/>
                <w:szCs w:val="21"/>
              </w:rPr>
            </w:pPr>
          </w:p>
        </w:tc>
      </w:tr>
      <w:tr w14:paraId="0D59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845" w:type="pct"/>
            <w:gridSpan w:val="4"/>
            <w:noWrap w:val="0"/>
            <w:vAlign w:val="center"/>
          </w:tcPr>
          <w:p w14:paraId="2688F298">
            <w:pPr>
              <w:rPr>
                <w:rFonts w:ascii="宋体" w:hAnsi="宋体"/>
                <w:szCs w:val="21"/>
              </w:rPr>
            </w:pPr>
            <w:r>
              <w:rPr>
                <w:rFonts w:hint="eastAsia" w:ascii="宋体" w:hAnsi="宋体"/>
                <w:szCs w:val="21"/>
              </w:rPr>
              <w:t>说明在岗情况</w:t>
            </w:r>
          </w:p>
        </w:tc>
        <w:tc>
          <w:tcPr>
            <w:tcW w:w="3155" w:type="pct"/>
            <w:gridSpan w:val="6"/>
            <w:noWrap w:val="0"/>
            <w:vAlign w:val="center"/>
          </w:tcPr>
          <w:p w14:paraId="76873B77">
            <w:pPr>
              <w:widowControl/>
              <w:rPr>
                <w:snapToGrid w:val="0"/>
                <w:kern w:val="0"/>
                <w:szCs w:val="21"/>
                <w:u w:val="single"/>
              </w:rPr>
            </w:pPr>
            <w:r>
              <w:rPr>
                <w:rFonts w:hint="eastAsia" w:ascii="宋体" w:hAnsi="宋体"/>
                <w:snapToGrid w:val="0"/>
                <w:kern w:val="0"/>
                <w:szCs w:val="21"/>
              </w:rPr>
              <w:t>□</w:t>
            </w:r>
            <w:r>
              <w:rPr>
                <w:snapToGrid w:val="0"/>
                <w:kern w:val="0"/>
                <w:szCs w:val="21"/>
              </w:rPr>
              <w:t>目前未在其他项目上任职，现从事工作为：</w:t>
            </w:r>
            <w:r>
              <w:rPr>
                <w:rFonts w:hint="eastAsia"/>
                <w:snapToGrid w:val="0"/>
                <w:kern w:val="0"/>
                <w:szCs w:val="21"/>
              </w:rPr>
              <w:t>______</w:t>
            </w:r>
          </w:p>
          <w:p w14:paraId="60A5A3C5">
            <w:pPr>
              <w:widowControl/>
              <w:rPr>
                <w:snapToGrid w:val="0"/>
                <w:kern w:val="0"/>
                <w:szCs w:val="21"/>
              </w:rPr>
            </w:pPr>
            <w:r>
              <w:rPr>
                <w:rFonts w:hint="eastAsia" w:ascii="宋体" w:hAnsi="宋体"/>
                <w:snapToGrid w:val="0"/>
                <w:kern w:val="0"/>
                <w:szCs w:val="21"/>
              </w:rPr>
              <w:t>□</w:t>
            </w:r>
            <w:r>
              <w:rPr>
                <w:snapToGrid w:val="0"/>
                <w:kern w:val="0"/>
                <w:szCs w:val="21"/>
              </w:rPr>
              <w:t>目前虽在其他项目上任职，但本项目中标后能够撤离，目前任职项目：</w:t>
            </w:r>
            <w:r>
              <w:rPr>
                <w:rFonts w:hint="eastAsia"/>
                <w:snapToGrid w:val="0"/>
                <w:kern w:val="0"/>
                <w:szCs w:val="21"/>
              </w:rPr>
              <w:t>______</w:t>
            </w:r>
            <w:r>
              <w:rPr>
                <w:snapToGrid w:val="0"/>
                <w:kern w:val="0"/>
                <w:szCs w:val="21"/>
              </w:rPr>
              <w:t>，担任职位：</w:t>
            </w:r>
            <w:r>
              <w:rPr>
                <w:rFonts w:hint="eastAsia"/>
                <w:snapToGrid w:val="0"/>
                <w:kern w:val="0"/>
                <w:szCs w:val="21"/>
              </w:rPr>
              <w:t>_____</w:t>
            </w:r>
            <w:r>
              <w:rPr>
                <w:snapToGrid w:val="0"/>
                <w:kern w:val="0"/>
                <w:szCs w:val="21"/>
              </w:rPr>
              <w:t>。</w:t>
            </w:r>
          </w:p>
        </w:tc>
      </w:tr>
    </w:tbl>
    <w:p w14:paraId="5330DA37">
      <w:pPr>
        <w:rPr>
          <w:rFonts w:hint="eastAsia"/>
          <w:color w:val="000000"/>
        </w:rPr>
      </w:pPr>
    </w:p>
    <w:p w14:paraId="0CCE765B">
      <w:pPr>
        <w:rPr>
          <w:rFonts w:hint="eastAsia"/>
          <w:color w:val="000000"/>
        </w:rPr>
      </w:pPr>
    </w:p>
    <w:p w14:paraId="468E604D">
      <w:pPr>
        <w:rPr>
          <w:rFonts w:hint="eastAsia"/>
          <w:color w:val="000000"/>
        </w:rPr>
      </w:pPr>
    </w:p>
    <w:p w14:paraId="5262D551">
      <w:pPr>
        <w:rPr>
          <w:rFonts w:hint="eastAsia"/>
          <w:color w:val="000000"/>
        </w:rPr>
      </w:pPr>
    </w:p>
    <w:p w14:paraId="394E708B">
      <w:pPr>
        <w:rPr>
          <w:rFonts w:hint="eastAsia"/>
          <w:color w:val="000000"/>
        </w:rPr>
      </w:pPr>
    </w:p>
    <w:p w14:paraId="0540F1B5">
      <w:pPr>
        <w:rPr>
          <w:rFonts w:hint="eastAsia"/>
          <w:color w:val="000000"/>
        </w:rPr>
      </w:pPr>
    </w:p>
    <w:p w14:paraId="4F49BC12">
      <w:pPr>
        <w:rPr>
          <w:rFonts w:hint="eastAsia"/>
          <w:color w:val="000000"/>
        </w:rPr>
      </w:pPr>
    </w:p>
    <w:p w14:paraId="5FA49ADC">
      <w:pPr>
        <w:rPr>
          <w:rFonts w:hint="eastAsia"/>
          <w:color w:val="000000"/>
        </w:rPr>
      </w:pPr>
    </w:p>
    <w:p w14:paraId="1967EFF4">
      <w:pPr>
        <w:rPr>
          <w:rFonts w:hint="eastAsia"/>
          <w:color w:val="000000"/>
        </w:rPr>
      </w:pPr>
    </w:p>
    <w:p w14:paraId="55B30885">
      <w:pPr>
        <w:rPr>
          <w:rFonts w:hint="eastAsia"/>
          <w:color w:val="000000"/>
        </w:rPr>
      </w:pPr>
    </w:p>
    <w:p w14:paraId="69F5DA9C">
      <w:pPr>
        <w:rPr>
          <w:rFonts w:hint="eastAsia"/>
          <w:color w:val="000000"/>
        </w:rPr>
      </w:pPr>
    </w:p>
    <w:p w14:paraId="2B07B80C">
      <w:pPr>
        <w:rPr>
          <w:rFonts w:hint="eastAsia"/>
          <w:color w:val="000000"/>
        </w:rPr>
      </w:pPr>
    </w:p>
    <w:p w14:paraId="164AC802">
      <w:pPr>
        <w:rPr>
          <w:rFonts w:hint="eastAsia"/>
          <w:color w:val="000000"/>
        </w:rPr>
      </w:pPr>
    </w:p>
    <w:p w14:paraId="01839DC1">
      <w:pPr>
        <w:rPr>
          <w:rFonts w:hint="eastAsia"/>
          <w:color w:val="000000"/>
        </w:rPr>
      </w:pPr>
    </w:p>
    <w:p w14:paraId="1FF20E60">
      <w:pPr>
        <w:rPr>
          <w:rFonts w:hint="eastAsia"/>
          <w:color w:val="000000"/>
        </w:rPr>
      </w:pPr>
    </w:p>
    <w:p w14:paraId="1A4D800D">
      <w:pPr>
        <w:rPr>
          <w:rFonts w:hint="eastAsia"/>
          <w:color w:val="000000"/>
        </w:rPr>
      </w:pPr>
    </w:p>
    <w:p w14:paraId="3F32E627">
      <w:pPr>
        <w:rPr>
          <w:rFonts w:hint="eastAsia"/>
          <w:color w:val="000000"/>
        </w:rPr>
      </w:pPr>
    </w:p>
    <w:p w14:paraId="5F9A2BF1">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eastAsia="宋体"/>
          <w:color w:val="000000"/>
          <w:lang w:eastAsia="zh-CN"/>
        </w:rPr>
      </w:pPr>
      <w:bookmarkStart w:id="449" w:name="_Toc273602359"/>
      <w:bookmarkStart w:id="450" w:name="_Toc328559340"/>
      <w:bookmarkStart w:id="451" w:name="_Toc245714177"/>
      <w:bookmarkStart w:id="452" w:name="_Toc516969110"/>
      <w:bookmarkStart w:id="453" w:name="_Toc220232405"/>
      <w:bookmarkStart w:id="454" w:name="_Toc220232400"/>
      <w:r>
        <w:rPr>
          <w:rFonts w:hint="eastAsia"/>
          <w:color w:val="000000"/>
        </w:rPr>
        <w:t>五．</w:t>
      </w:r>
      <w:bookmarkEnd w:id="449"/>
      <w:bookmarkEnd w:id="450"/>
      <w:bookmarkEnd w:id="451"/>
      <w:r>
        <w:rPr>
          <w:rFonts w:hint="eastAsia"/>
          <w:color w:val="000000"/>
          <w:lang w:eastAsia="zh-CN"/>
        </w:rPr>
        <w:t>投标业绩</w:t>
      </w:r>
    </w:p>
    <w:p w14:paraId="658503A4">
      <w:pPr>
        <w:spacing w:line="360" w:lineRule="auto"/>
        <w:jc w:val="center"/>
        <w:outlineLvl w:val="2"/>
        <w:rPr>
          <w:sz w:val="24"/>
          <w:szCs w:val="24"/>
        </w:rPr>
      </w:pPr>
      <w:r>
        <w:rPr>
          <w:rFonts w:hint="eastAsia"/>
          <w:sz w:val="24"/>
          <w:szCs w:val="24"/>
        </w:rPr>
        <w:t>（格式仅供参考）</w:t>
      </w:r>
    </w:p>
    <w:tbl>
      <w:tblPr>
        <w:tblStyle w:val="53"/>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55EA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EF5A885">
            <w:pPr>
              <w:autoSpaceDE w:val="0"/>
              <w:autoSpaceDN w:val="0"/>
              <w:adjustRightInd w:val="0"/>
              <w:spacing w:line="300" w:lineRule="exact"/>
              <w:jc w:val="center"/>
              <w:rPr>
                <w:rFonts w:hint="eastAsia"/>
                <w:color w:val="000000"/>
                <w:szCs w:val="22"/>
                <w:highlight w:val="white"/>
              </w:rPr>
            </w:pPr>
            <w:r>
              <w:rPr>
                <w:rFonts w:hint="eastAsia"/>
                <w:color w:val="000000"/>
                <w:szCs w:val="22"/>
                <w:highlight w:val="white"/>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2ADCE7B">
            <w:pPr>
              <w:autoSpaceDE w:val="0"/>
              <w:autoSpaceDN w:val="0"/>
              <w:adjustRightInd w:val="0"/>
              <w:spacing w:line="300" w:lineRule="exact"/>
              <w:jc w:val="center"/>
              <w:rPr>
                <w:rFonts w:ascii="宋体" w:hAnsi="宋体" w:cs="宋体"/>
                <w:kern w:val="0"/>
                <w:szCs w:val="21"/>
              </w:rPr>
            </w:pPr>
          </w:p>
        </w:tc>
      </w:tr>
      <w:tr w14:paraId="25C7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AC13782">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ADFF9DE">
            <w:pPr>
              <w:autoSpaceDE w:val="0"/>
              <w:autoSpaceDN w:val="0"/>
              <w:adjustRightInd w:val="0"/>
              <w:spacing w:line="300" w:lineRule="exact"/>
              <w:jc w:val="center"/>
              <w:rPr>
                <w:rFonts w:ascii="宋体" w:hAnsi="宋体" w:cs="宋体"/>
                <w:kern w:val="0"/>
                <w:szCs w:val="21"/>
              </w:rPr>
            </w:pPr>
          </w:p>
        </w:tc>
      </w:tr>
      <w:tr w14:paraId="54ED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2EFA20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B04B6E8">
            <w:pPr>
              <w:autoSpaceDE w:val="0"/>
              <w:autoSpaceDN w:val="0"/>
              <w:adjustRightInd w:val="0"/>
              <w:spacing w:line="300" w:lineRule="exact"/>
              <w:jc w:val="center"/>
              <w:rPr>
                <w:rFonts w:ascii="宋体" w:hAnsi="宋体" w:cs="宋体"/>
                <w:kern w:val="0"/>
                <w:szCs w:val="21"/>
              </w:rPr>
            </w:pPr>
          </w:p>
        </w:tc>
      </w:tr>
      <w:tr w14:paraId="5FD4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89098E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69855A5">
            <w:pPr>
              <w:autoSpaceDE w:val="0"/>
              <w:autoSpaceDN w:val="0"/>
              <w:adjustRightInd w:val="0"/>
              <w:spacing w:line="300" w:lineRule="exact"/>
              <w:jc w:val="center"/>
              <w:rPr>
                <w:rFonts w:ascii="宋体" w:hAnsi="宋体" w:cs="宋体"/>
                <w:kern w:val="0"/>
                <w:szCs w:val="21"/>
              </w:rPr>
            </w:pPr>
          </w:p>
        </w:tc>
      </w:tr>
      <w:tr w14:paraId="304C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6CA395A">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EE84CC4">
            <w:pPr>
              <w:autoSpaceDE w:val="0"/>
              <w:autoSpaceDN w:val="0"/>
              <w:adjustRightInd w:val="0"/>
              <w:spacing w:line="300" w:lineRule="exact"/>
              <w:jc w:val="center"/>
              <w:rPr>
                <w:rFonts w:ascii="宋体" w:hAnsi="宋体" w:cs="宋体"/>
                <w:kern w:val="0"/>
                <w:szCs w:val="21"/>
              </w:rPr>
            </w:pPr>
          </w:p>
        </w:tc>
      </w:tr>
      <w:tr w14:paraId="6915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48F023D">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68B466C">
            <w:pPr>
              <w:autoSpaceDE w:val="0"/>
              <w:autoSpaceDN w:val="0"/>
              <w:adjustRightInd w:val="0"/>
              <w:spacing w:line="300" w:lineRule="exact"/>
              <w:jc w:val="center"/>
              <w:rPr>
                <w:rFonts w:ascii="宋体" w:hAnsi="宋体" w:cs="宋体"/>
                <w:kern w:val="0"/>
                <w:szCs w:val="21"/>
              </w:rPr>
            </w:pPr>
          </w:p>
        </w:tc>
      </w:tr>
      <w:tr w14:paraId="7DB0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C7D748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C7876ED">
            <w:pPr>
              <w:autoSpaceDE w:val="0"/>
              <w:autoSpaceDN w:val="0"/>
              <w:adjustRightInd w:val="0"/>
              <w:spacing w:line="300" w:lineRule="exact"/>
              <w:jc w:val="center"/>
              <w:rPr>
                <w:rFonts w:ascii="宋体" w:hAnsi="宋体" w:cs="宋体"/>
                <w:kern w:val="0"/>
                <w:szCs w:val="21"/>
              </w:rPr>
            </w:pPr>
          </w:p>
        </w:tc>
      </w:tr>
      <w:tr w14:paraId="2F69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027562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开工日期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26EF22B">
            <w:pPr>
              <w:autoSpaceDE w:val="0"/>
              <w:autoSpaceDN w:val="0"/>
              <w:adjustRightInd w:val="0"/>
              <w:spacing w:line="300" w:lineRule="exact"/>
              <w:jc w:val="center"/>
              <w:rPr>
                <w:rFonts w:ascii="宋体" w:hAnsi="宋体" w:cs="宋体"/>
                <w:kern w:val="0"/>
                <w:szCs w:val="21"/>
              </w:rPr>
            </w:pPr>
          </w:p>
        </w:tc>
      </w:tr>
      <w:tr w14:paraId="3882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13798FF">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竣工日期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EEF3D5F">
            <w:pPr>
              <w:autoSpaceDE w:val="0"/>
              <w:autoSpaceDN w:val="0"/>
              <w:adjustRightInd w:val="0"/>
              <w:spacing w:line="300" w:lineRule="exact"/>
              <w:jc w:val="center"/>
              <w:rPr>
                <w:rFonts w:ascii="宋体" w:hAnsi="宋体" w:cs="宋体"/>
                <w:kern w:val="0"/>
                <w:szCs w:val="21"/>
              </w:rPr>
            </w:pPr>
          </w:p>
        </w:tc>
      </w:tr>
      <w:tr w14:paraId="013D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B523A4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承担的工作</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FF960F4">
            <w:pPr>
              <w:autoSpaceDE w:val="0"/>
              <w:autoSpaceDN w:val="0"/>
              <w:adjustRightInd w:val="0"/>
              <w:spacing w:line="300" w:lineRule="exact"/>
              <w:jc w:val="center"/>
              <w:rPr>
                <w:rFonts w:ascii="宋体" w:hAnsi="宋体" w:cs="宋体"/>
                <w:kern w:val="0"/>
                <w:szCs w:val="21"/>
              </w:rPr>
            </w:pPr>
          </w:p>
        </w:tc>
      </w:tr>
      <w:tr w14:paraId="156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A51DD8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工程质量</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771CA1E">
            <w:pPr>
              <w:autoSpaceDE w:val="0"/>
              <w:autoSpaceDN w:val="0"/>
              <w:adjustRightInd w:val="0"/>
              <w:spacing w:line="300" w:lineRule="exact"/>
              <w:jc w:val="center"/>
              <w:rPr>
                <w:rFonts w:ascii="宋体" w:hAnsi="宋体" w:cs="宋体"/>
                <w:kern w:val="0"/>
                <w:szCs w:val="21"/>
              </w:rPr>
            </w:pPr>
          </w:p>
        </w:tc>
      </w:tr>
      <w:tr w14:paraId="13DC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A8B40D0">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项目经理（或注册建造师）</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47484EA">
            <w:pPr>
              <w:autoSpaceDE w:val="0"/>
              <w:autoSpaceDN w:val="0"/>
              <w:adjustRightInd w:val="0"/>
              <w:spacing w:line="300" w:lineRule="exact"/>
              <w:jc w:val="center"/>
              <w:rPr>
                <w:rFonts w:ascii="宋体" w:hAnsi="宋体" w:cs="宋体"/>
                <w:kern w:val="0"/>
                <w:szCs w:val="21"/>
              </w:rPr>
            </w:pPr>
          </w:p>
        </w:tc>
      </w:tr>
      <w:tr w14:paraId="72AF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B99792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技术负责人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F19F506">
            <w:pPr>
              <w:autoSpaceDE w:val="0"/>
              <w:autoSpaceDN w:val="0"/>
              <w:adjustRightInd w:val="0"/>
              <w:spacing w:line="300" w:lineRule="exact"/>
              <w:jc w:val="center"/>
              <w:rPr>
                <w:rFonts w:ascii="宋体" w:hAnsi="宋体" w:cs="宋体"/>
                <w:kern w:val="0"/>
                <w:szCs w:val="21"/>
              </w:rPr>
            </w:pPr>
          </w:p>
        </w:tc>
      </w:tr>
      <w:tr w14:paraId="226E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01CB8CD">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监理单位及联系电话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DE17B10">
            <w:pPr>
              <w:autoSpaceDE w:val="0"/>
              <w:autoSpaceDN w:val="0"/>
              <w:adjustRightInd w:val="0"/>
              <w:spacing w:line="300" w:lineRule="exact"/>
              <w:jc w:val="center"/>
              <w:rPr>
                <w:rFonts w:ascii="宋体" w:hAnsi="宋体" w:cs="宋体"/>
                <w:kern w:val="0"/>
                <w:szCs w:val="21"/>
              </w:rPr>
            </w:pPr>
          </w:p>
        </w:tc>
      </w:tr>
      <w:tr w14:paraId="6697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4647440">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总监理工程师及电话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3F570E6">
            <w:pPr>
              <w:autoSpaceDE w:val="0"/>
              <w:autoSpaceDN w:val="0"/>
              <w:adjustRightInd w:val="0"/>
              <w:spacing w:line="300" w:lineRule="exact"/>
              <w:jc w:val="center"/>
              <w:rPr>
                <w:rFonts w:ascii="宋体" w:hAnsi="宋体" w:cs="宋体"/>
                <w:kern w:val="0"/>
                <w:szCs w:val="21"/>
              </w:rPr>
            </w:pPr>
          </w:p>
        </w:tc>
      </w:tr>
      <w:tr w14:paraId="5717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7CFC275">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212A2A1">
            <w:pPr>
              <w:autoSpaceDE w:val="0"/>
              <w:autoSpaceDN w:val="0"/>
              <w:adjustRightInd w:val="0"/>
              <w:spacing w:line="300" w:lineRule="exact"/>
              <w:jc w:val="center"/>
              <w:rPr>
                <w:rFonts w:ascii="宋体" w:hAnsi="宋体" w:cs="宋体"/>
                <w:kern w:val="0"/>
                <w:szCs w:val="21"/>
              </w:rPr>
            </w:pPr>
          </w:p>
        </w:tc>
      </w:tr>
      <w:tr w14:paraId="1CDC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51EF96A">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AA3B12A">
            <w:pPr>
              <w:autoSpaceDE w:val="0"/>
              <w:autoSpaceDN w:val="0"/>
              <w:adjustRightInd w:val="0"/>
              <w:spacing w:line="300" w:lineRule="exact"/>
              <w:ind w:left="360"/>
              <w:rPr>
                <w:rFonts w:ascii="宋体" w:hAnsi="宋体" w:cs="宋体"/>
                <w:kern w:val="0"/>
                <w:szCs w:val="21"/>
              </w:rPr>
            </w:pPr>
            <w:r>
              <w:rPr>
                <w:rFonts w:hint="eastAsia" w:ascii="楷体" w:hAnsi="楷体" w:eastAsia="楷体"/>
                <w:bCs/>
                <w:szCs w:val="21"/>
              </w:rPr>
              <w:t>□</w:t>
            </w:r>
            <w:r>
              <w:rPr>
                <w:rFonts w:hint="eastAsia"/>
                <w:color w:val="000000"/>
                <w:szCs w:val="22"/>
                <w:highlight w:val="white"/>
              </w:rPr>
              <w:t>资格审查用业绩</w:t>
            </w:r>
            <w:r>
              <w:rPr>
                <w:rFonts w:hint="eastAsia" w:ascii="楷体" w:hAnsi="楷体" w:eastAsia="楷体"/>
                <w:bCs/>
                <w:szCs w:val="21"/>
              </w:rPr>
              <w:t xml:space="preserve">      □</w:t>
            </w:r>
            <w:r>
              <w:rPr>
                <w:rFonts w:hint="eastAsia"/>
                <w:color w:val="000000"/>
                <w:szCs w:val="22"/>
                <w:highlight w:val="white"/>
              </w:rPr>
              <w:t>商务文件评分用业绩</w:t>
            </w:r>
          </w:p>
        </w:tc>
      </w:tr>
    </w:tbl>
    <w:p w14:paraId="1087AF8B">
      <w:pPr>
        <w:spacing w:before="48" w:beforeLines="20" w:after="48" w:afterLines="20" w:line="360" w:lineRule="auto"/>
        <w:jc w:val="center"/>
        <w:rPr>
          <w:rFonts w:ascii="宋体" w:hAnsi="宋体"/>
          <w:sz w:val="28"/>
        </w:rPr>
      </w:pPr>
    </w:p>
    <w:p w14:paraId="03689D37">
      <w:pPr>
        <w:rPr>
          <w:rFonts w:hint="eastAsia"/>
          <w:color w:val="000000"/>
          <w:sz w:val="28"/>
          <w:szCs w:val="28"/>
        </w:rPr>
      </w:pPr>
    </w:p>
    <w:p w14:paraId="58BA7C2C">
      <w:pPr>
        <w:rPr>
          <w:rFonts w:hint="eastAsia"/>
          <w:color w:val="000000"/>
          <w:sz w:val="28"/>
          <w:szCs w:val="28"/>
        </w:rPr>
      </w:pPr>
    </w:p>
    <w:p w14:paraId="16B2C471">
      <w:pPr>
        <w:rPr>
          <w:rFonts w:hint="eastAsia"/>
          <w:color w:val="000000"/>
          <w:sz w:val="28"/>
          <w:szCs w:val="28"/>
        </w:rPr>
      </w:pPr>
    </w:p>
    <w:p w14:paraId="6ABFFE2D">
      <w:pPr>
        <w:rPr>
          <w:rFonts w:hint="eastAsia"/>
          <w:color w:val="000000"/>
          <w:sz w:val="28"/>
          <w:szCs w:val="28"/>
        </w:rPr>
      </w:pPr>
    </w:p>
    <w:p w14:paraId="5BA74836">
      <w:pPr>
        <w:rPr>
          <w:rFonts w:hint="eastAsia"/>
          <w:color w:val="000000"/>
          <w:sz w:val="28"/>
          <w:szCs w:val="28"/>
        </w:rPr>
      </w:pPr>
    </w:p>
    <w:bookmarkEnd w:id="452"/>
    <w:bookmarkEnd w:id="453"/>
    <w:bookmarkEnd w:id="454"/>
    <w:p w14:paraId="2A7EBF55">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color w:val="000000"/>
        </w:rPr>
      </w:pPr>
      <w:bookmarkStart w:id="455" w:name="_Toc245714180"/>
      <w:bookmarkStart w:id="456" w:name="_Toc273602361"/>
      <w:bookmarkStart w:id="457" w:name="_Toc328559342"/>
      <w:r>
        <w:rPr>
          <w:rFonts w:hint="eastAsia"/>
          <w:color w:val="000000"/>
          <w:lang w:eastAsia="zh-CN"/>
        </w:rPr>
        <w:t>六</w:t>
      </w:r>
      <w:r>
        <w:rPr>
          <w:rFonts w:hint="eastAsia"/>
          <w:color w:val="000000"/>
        </w:rPr>
        <w:t>.资格证明文件</w:t>
      </w:r>
      <w:bookmarkEnd w:id="455"/>
      <w:bookmarkEnd w:id="456"/>
      <w:bookmarkEnd w:id="457"/>
    </w:p>
    <w:p w14:paraId="7F669761">
      <w:pPr>
        <w:tabs>
          <w:tab w:val="left" w:pos="4620"/>
        </w:tabs>
        <w:spacing w:line="360" w:lineRule="auto"/>
        <w:ind w:firstLine="480" w:firstLineChars="200"/>
        <w:rPr>
          <w:rFonts w:hint="eastAsia" w:ascii="宋体" w:hAnsi="宋体"/>
          <w:color w:val="000000"/>
          <w:sz w:val="24"/>
        </w:rPr>
      </w:pPr>
      <w:r>
        <w:rPr>
          <w:rFonts w:hint="eastAsia" w:ascii="宋体" w:hAnsi="宋体"/>
          <w:color w:val="000000"/>
          <w:sz w:val="24"/>
        </w:rPr>
        <w:t>提供符合投标邀请（招标公告）、招标范围及要求、评标办法规定的相关证明文件</w:t>
      </w:r>
    </w:p>
    <w:p w14:paraId="50E78C72">
      <w:pPr>
        <w:tabs>
          <w:tab w:val="left" w:pos="4620"/>
        </w:tabs>
        <w:spacing w:line="360" w:lineRule="auto"/>
        <w:ind w:firstLine="480" w:firstLineChars="200"/>
        <w:rPr>
          <w:rFonts w:hint="eastAsia" w:ascii="宋体" w:hAnsi="宋体"/>
          <w:color w:val="000000"/>
          <w:sz w:val="24"/>
        </w:rPr>
      </w:pPr>
    </w:p>
    <w:p w14:paraId="4D7FB62A">
      <w:pPr>
        <w:pStyle w:val="4"/>
        <w:outlineLvl w:val="9"/>
        <w:rPr>
          <w:rFonts w:hint="eastAsia"/>
          <w:b/>
          <w:color w:val="000000"/>
          <w:szCs w:val="22"/>
          <w:lang w:eastAsia="zh-CN"/>
        </w:rPr>
      </w:pPr>
      <w:bookmarkStart w:id="458" w:name="_Toc515390052"/>
    </w:p>
    <w:p w14:paraId="23171B91">
      <w:pPr>
        <w:pStyle w:val="4"/>
        <w:spacing w:before="0" w:after="0" w:line="240" w:lineRule="auto"/>
        <w:outlineLvl w:val="9"/>
        <w:rPr>
          <w:rFonts w:hint="eastAsia"/>
          <w:b/>
          <w:color w:val="000000"/>
          <w:szCs w:val="22"/>
          <w:lang w:eastAsia="zh-CN"/>
        </w:rPr>
      </w:pPr>
    </w:p>
    <w:p w14:paraId="78086DE1">
      <w:pPr>
        <w:rPr>
          <w:rFonts w:hint="eastAsia"/>
          <w:lang w:eastAsia="zh-CN"/>
        </w:rPr>
      </w:pPr>
    </w:p>
    <w:p w14:paraId="05E32E76">
      <w:pPr>
        <w:pStyle w:val="4"/>
        <w:keepNext/>
        <w:keepLines/>
        <w:pageBreakBefore/>
        <w:widowControl w:val="0"/>
        <w:kinsoku/>
        <w:wordWrap/>
        <w:overflowPunct/>
        <w:topLinePunct w:val="0"/>
        <w:autoSpaceDE/>
        <w:autoSpaceDN/>
        <w:bidi w:val="0"/>
        <w:adjustRightInd/>
        <w:snapToGrid/>
        <w:spacing w:before="0" w:after="0" w:line="240" w:lineRule="auto"/>
        <w:textAlignment w:val="auto"/>
        <w:outlineLvl w:val="1"/>
        <w:rPr>
          <w:rFonts w:hint="eastAsia"/>
          <w:b/>
          <w:color w:val="000000"/>
          <w:szCs w:val="22"/>
        </w:rPr>
      </w:pPr>
      <w:r>
        <w:rPr>
          <w:rFonts w:hint="eastAsia"/>
          <w:b/>
          <w:color w:val="000000"/>
          <w:szCs w:val="22"/>
          <w:lang w:eastAsia="zh-CN"/>
        </w:rPr>
        <w:t>七、</w:t>
      </w:r>
      <w:r>
        <w:rPr>
          <w:rFonts w:hint="eastAsia"/>
          <w:b/>
          <w:color w:val="000000"/>
          <w:szCs w:val="22"/>
        </w:rPr>
        <w:t>投标人信用承诺</w:t>
      </w:r>
      <w:bookmarkEnd w:id="458"/>
    </w:p>
    <w:p w14:paraId="47EE35BE">
      <w:pPr>
        <w:spacing w:line="360" w:lineRule="auto"/>
        <w:ind w:firstLine="630"/>
        <w:rPr>
          <w:rFonts w:ascii="宋体" w:hAnsi="宋体"/>
          <w:b/>
          <w:sz w:val="24"/>
        </w:rPr>
      </w:pPr>
      <w:r>
        <w:rPr>
          <w:rFonts w:hint="eastAsia" w:ascii="宋体" w:hAnsi="宋体"/>
          <w:b/>
          <w:sz w:val="24"/>
        </w:rPr>
        <w:t>一、我公司申明：</w:t>
      </w:r>
    </w:p>
    <w:p w14:paraId="203CD1C5">
      <w:pPr>
        <w:spacing w:line="360" w:lineRule="auto"/>
        <w:ind w:firstLine="630"/>
        <w:outlineLvl w:val="2"/>
        <w:rPr>
          <w:rFonts w:ascii="宋体" w:hAnsi="宋体"/>
          <w:sz w:val="24"/>
        </w:rPr>
      </w:pPr>
      <w:r>
        <w:rPr>
          <w:rFonts w:hint="eastAsia" w:ascii="宋体" w:hAnsi="宋体"/>
          <w:sz w:val="24"/>
        </w:rPr>
        <w:t>1.我公司未被人民法院列入失信被执行人；</w:t>
      </w:r>
    </w:p>
    <w:p w14:paraId="48255E21">
      <w:pPr>
        <w:spacing w:line="360" w:lineRule="auto"/>
        <w:ind w:firstLine="630"/>
        <w:rPr>
          <w:rFonts w:ascii="宋体" w:hAnsi="宋体"/>
          <w:sz w:val="24"/>
        </w:rPr>
      </w:pPr>
      <w:r>
        <w:rPr>
          <w:rFonts w:hint="eastAsia" w:ascii="宋体" w:hAnsi="宋体"/>
          <w:sz w:val="24"/>
        </w:rPr>
        <w:t>2.我公司和我公司法定代表人和我公司拟派项目经理（项目负责人）均未被人民检察院列入行贿犯罪档案；</w:t>
      </w:r>
    </w:p>
    <w:p w14:paraId="78F17110">
      <w:pPr>
        <w:spacing w:line="360" w:lineRule="auto"/>
        <w:ind w:firstLine="630"/>
        <w:rPr>
          <w:rFonts w:ascii="宋体" w:hAnsi="宋体"/>
          <w:sz w:val="24"/>
        </w:rPr>
      </w:pPr>
      <w:r>
        <w:rPr>
          <w:rFonts w:hint="eastAsia" w:ascii="宋体" w:hAnsi="宋体"/>
          <w:sz w:val="24"/>
        </w:rPr>
        <w:t>3.我公司未被工商行政管理部门列入企业经营异常名录；</w:t>
      </w:r>
    </w:p>
    <w:p w14:paraId="0B41416A">
      <w:pPr>
        <w:spacing w:line="360" w:lineRule="auto"/>
        <w:ind w:firstLine="630"/>
        <w:rPr>
          <w:rFonts w:hint="eastAsia" w:ascii="宋体" w:hAnsi="宋体"/>
          <w:sz w:val="24"/>
        </w:rPr>
      </w:pPr>
      <w:r>
        <w:rPr>
          <w:rFonts w:hint="eastAsia" w:ascii="宋体" w:hAnsi="宋体"/>
          <w:sz w:val="24"/>
        </w:rPr>
        <w:t>4.我公司未被税务部门列入重大税收违法案件当事人名单；</w:t>
      </w:r>
    </w:p>
    <w:p w14:paraId="7155F10E">
      <w:pPr>
        <w:spacing w:line="360" w:lineRule="auto"/>
        <w:ind w:firstLine="630"/>
        <w:rPr>
          <w:rFonts w:ascii="宋体" w:hAnsi="宋体"/>
          <w:sz w:val="24"/>
        </w:rPr>
      </w:pPr>
      <w:r>
        <w:rPr>
          <w:rFonts w:hint="eastAsia" w:ascii="宋体" w:hAnsi="宋体"/>
          <w:sz w:val="24"/>
        </w:rPr>
        <w:t>5.我公司未被合肥市人社部门列入拖欠农民工工资黑名单；</w:t>
      </w:r>
    </w:p>
    <w:p w14:paraId="444F7C46">
      <w:pPr>
        <w:spacing w:line="360" w:lineRule="auto"/>
        <w:ind w:firstLine="630"/>
        <w:rPr>
          <w:rFonts w:ascii="宋体" w:hAnsi="宋体"/>
          <w:sz w:val="24"/>
        </w:rPr>
      </w:pPr>
      <w:r>
        <w:rPr>
          <w:rFonts w:hint="eastAsia" w:ascii="宋体" w:hAnsi="宋体"/>
          <w:sz w:val="24"/>
        </w:rPr>
        <w:t>6.我公司未存在被合肥市城乡建设局因安全生产责任事故限制在合肥行政区域内承接新的工程项目且在限制期内的情形。</w:t>
      </w:r>
    </w:p>
    <w:p w14:paraId="05193F61">
      <w:pPr>
        <w:spacing w:line="360" w:lineRule="auto"/>
        <w:ind w:firstLine="630"/>
        <w:rPr>
          <w:rFonts w:ascii="宋体" w:hAnsi="宋体"/>
          <w:sz w:val="24"/>
        </w:rPr>
      </w:pPr>
      <w:r>
        <w:rPr>
          <w:rFonts w:hint="eastAsia" w:ascii="宋体" w:hAnsi="宋体"/>
          <w:sz w:val="24"/>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4F8A7898">
      <w:pPr>
        <w:spacing w:line="360" w:lineRule="auto"/>
        <w:ind w:firstLine="482" w:firstLineChars="200"/>
        <w:rPr>
          <w:rFonts w:ascii="宋体" w:hAnsi="宋体"/>
          <w:b/>
          <w:sz w:val="24"/>
        </w:rPr>
      </w:pPr>
      <w:r>
        <w:rPr>
          <w:rFonts w:ascii="宋体" w:hAnsi="宋体"/>
          <w:b/>
          <w:sz w:val="24"/>
        </w:rPr>
        <w:t>我公司</w:t>
      </w:r>
      <w:r>
        <w:rPr>
          <w:rFonts w:hint="eastAsia" w:ascii="宋体" w:hAnsi="宋体"/>
          <w:b/>
          <w:sz w:val="24"/>
        </w:rPr>
        <w:t>对以上承诺的真实性承担责任</w:t>
      </w:r>
      <w:r>
        <w:rPr>
          <w:rFonts w:ascii="宋体" w:hAnsi="宋体"/>
          <w:b/>
          <w:sz w:val="24"/>
        </w:rPr>
        <w:t>。</w:t>
      </w:r>
    </w:p>
    <w:p w14:paraId="1F74AEC8">
      <w:pPr>
        <w:spacing w:line="360" w:lineRule="auto"/>
        <w:ind w:firstLine="630"/>
        <w:rPr>
          <w:rFonts w:ascii="宋体" w:hAnsi="宋体"/>
          <w:sz w:val="24"/>
        </w:rPr>
      </w:pPr>
    </w:p>
    <w:p w14:paraId="3894932A">
      <w:pPr>
        <w:spacing w:line="360" w:lineRule="auto"/>
        <w:ind w:firstLine="482" w:firstLineChars="200"/>
        <w:rPr>
          <w:rFonts w:hint="eastAsia" w:ascii="宋体" w:hAnsi="宋体"/>
          <w:b/>
          <w:sz w:val="24"/>
          <w:szCs w:val="22"/>
        </w:rPr>
      </w:pPr>
      <w:r>
        <w:rPr>
          <w:rFonts w:hint="eastAsia" w:ascii="宋体" w:hAnsi="宋体"/>
          <w:b/>
          <w:sz w:val="24"/>
          <w:szCs w:val="22"/>
        </w:rPr>
        <w:t xml:space="preserve">投标人（公章）：                </w:t>
      </w:r>
    </w:p>
    <w:p w14:paraId="7BC5A7CE">
      <w:pPr>
        <w:spacing w:line="360" w:lineRule="auto"/>
        <w:ind w:firstLine="482" w:firstLineChars="200"/>
        <w:rPr>
          <w:rFonts w:hint="eastAsia" w:ascii="宋体" w:hAnsi="宋体"/>
          <w:b/>
          <w:sz w:val="24"/>
          <w:szCs w:val="22"/>
        </w:rPr>
      </w:pPr>
      <w:r>
        <w:rPr>
          <w:rFonts w:hint="eastAsia" w:ascii="宋体" w:hAnsi="宋体"/>
          <w:b/>
          <w:sz w:val="24"/>
          <w:szCs w:val="22"/>
        </w:rPr>
        <w:t>日  期：      年    月     日</w:t>
      </w:r>
    </w:p>
    <w:p w14:paraId="0EC3DC0C">
      <w:pPr>
        <w:tabs>
          <w:tab w:val="left" w:pos="4620"/>
        </w:tabs>
        <w:spacing w:line="360" w:lineRule="auto"/>
        <w:ind w:firstLine="480" w:firstLineChars="200"/>
        <w:rPr>
          <w:rFonts w:hint="eastAsia" w:ascii="宋体" w:hAnsi="宋体"/>
          <w:color w:val="000000"/>
          <w:sz w:val="24"/>
        </w:rPr>
      </w:pPr>
    </w:p>
    <w:p w14:paraId="7128DF2E">
      <w:pPr>
        <w:rPr>
          <w:rFonts w:hint="eastAsia"/>
          <w:color w:val="000000"/>
          <w:sz w:val="36"/>
          <w:szCs w:val="36"/>
        </w:rPr>
      </w:pPr>
    </w:p>
    <w:p w14:paraId="524F996F">
      <w:pPr>
        <w:rPr>
          <w:rFonts w:hint="eastAsia"/>
          <w:color w:val="000000"/>
          <w:sz w:val="36"/>
          <w:szCs w:val="36"/>
        </w:rPr>
      </w:pPr>
    </w:p>
    <w:p w14:paraId="188E3235">
      <w:pPr>
        <w:rPr>
          <w:rFonts w:hint="eastAsia"/>
          <w:color w:val="000000"/>
          <w:sz w:val="36"/>
          <w:szCs w:val="36"/>
        </w:rPr>
      </w:pPr>
    </w:p>
    <w:p w14:paraId="7B7DB7C2">
      <w:pPr>
        <w:rPr>
          <w:rFonts w:hint="eastAsia"/>
          <w:color w:val="000000"/>
          <w:sz w:val="36"/>
          <w:szCs w:val="36"/>
        </w:rPr>
      </w:pPr>
    </w:p>
    <w:p w14:paraId="1F97A5E3">
      <w:pPr>
        <w:rPr>
          <w:rFonts w:hint="eastAsia"/>
          <w:color w:val="000000"/>
          <w:sz w:val="36"/>
          <w:szCs w:val="36"/>
        </w:rPr>
      </w:pPr>
    </w:p>
    <w:p w14:paraId="74836F91">
      <w:pPr>
        <w:rPr>
          <w:rFonts w:hint="eastAsia"/>
          <w:color w:val="000000"/>
          <w:sz w:val="36"/>
          <w:szCs w:val="36"/>
        </w:rPr>
      </w:pPr>
    </w:p>
    <w:p w14:paraId="35BF62B8">
      <w:pPr>
        <w:pStyle w:val="3"/>
        <w:keepNext/>
        <w:keepLines/>
        <w:pageBreakBefore/>
        <w:widowControl w:val="0"/>
        <w:kinsoku/>
        <w:wordWrap/>
        <w:overflowPunct/>
        <w:topLinePunct w:val="0"/>
        <w:autoSpaceDE/>
        <w:autoSpaceDN/>
        <w:bidi w:val="0"/>
        <w:adjustRightInd/>
        <w:snapToGrid/>
        <w:spacing w:line="413" w:lineRule="auto"/>
        <w:ind w:firstLine="629"/>
        <w:textAlignment w:val="auto"/>
        <w:rPr>
          <w:rFonts w:hint="eastAsia"/>
          <w:color w:val="000000"/>
        </w:rPr>
      </w:pPr>
      <w:bookmarkStart w:id="459" w:name="_Toc328559343"/>
      <w:bookmarkStart w:id="460" w:name="_Toc245714181"/>
      <w:bookmarkStart w:id="461" w:name="_Toc273602362"/>
      <w:r>
        <w:rPr>
          <w:rFonts w:hint="eastAsia" w:ascii="黑体"/>
        </w:rPr>
        <w:t>●</w:t>
      </w:r>
      <w:r>
        <w:rPr>
          <w:rFonts w:hint="eastAsia"/>
        </w:rPr>
        <w:t>商务标</w:t>
      </w:r>
      <w:bookmarkEnd w:id="459"/>
      <w:bookmarkEnd w:id="460"/>
      <w:bookmarkEnd w:id="461"/>
    </w:p>
    <w:p w14:paraId="0E850510">
      <w:pPr>
        <w:spacing w:line="900" w:lineRule="exact"/>
        <w:jc w:val="left"/>
        <w:rPr>
          <w:rFonts w:hint="default" w:ascii="宋体" w:hAnsi="宋体" w:eastAsia="宋体"/>
          <w:b/>
          <w:bCs/>
          <w:color w:val="000000"/>
          <w:sz w:val="44"/>
          <w:szCs w:val="44"/>
          <w:lang w:val="en-US" w:eastAsia="zh-CN"/>
        </w:rPr>
      </w:pPr>
      <w:r>
        <w:rPr>
          <w:rFonts w:hint="eastAsia" w:ascii="宋体" w:hAnsi="宋体"/>
          <w:b/>
          <w:bCs/>
          <w:color w:val="000000"/>
          <w:sz w:val="44"/>
          <w:szCs w:val="44"/>
          <w:u w:val="single"/>
          <w:lang w:val="en-US" w:eastAsia="zh-CN"/>
        </w:rPr>
        <w:t xml:space="preserve">                          </w:t>
      </w:r>
      <w:r>
        <w:rPr>
          <w:rFonts w:hint="eastAsia" w:ascii="宋体" w:hAnsi="宋体"/>
          <w:b/>
          <w:bCs/>
          <w:color w:val="000000"/>
          <w:sz w:val="44"/>
          <w:szCs w:val="44"/>
          <w:u w:val="none"/>
          <w:lang w:val="en-US" w:eastAsia="zh-CN"/>
        </w:rPr>
        <w:t>（项目名称）</w:t>
      </w:r>
    </w:p>
    <w:p w14:paraId="1C91C976">
      <w:pPr>
        <w:spacing w:line="900" w:lineRule="exact"/>
        <w:jc w:val="center"/>
        <w:rPr>
          <w:rFonts w:hint="eastAsia" w:ascii="宋体" w:hAnsi="宋体"/>
          <w:b/>
          <w:color w:val="000000"/>
          <w:sz w:val="72"/>
        </w:rPr>
      </w:pPr>
      <w:r>
        <w:rPr>
          <w:rFonts w:hint="eastAsia" w:ascii="宋体" w:hAnsi="宋体"/>
          <w:b/>
          <w:color w:val="000000"/>
          <w:sz w:val="72"/>
        </w:rPr>
        <w:t>投</w:t>
      </w:r>
    </w:p>
    <w:p w14:paraId="249E6411">
      <w:pPr>
        <w:spacing w:line="900" w:lineRule="exact"/>
        <w:jc w:val="center"/>
        <w:rPr>
          <w:rFonts w:hint="eastAsia" w:ascii="宋体" w:hAnsi="宋体"/>
          <w:b/>
          <w:color w:val="000000"/>
          <w:sz w:val="72"/>
        </w:rPr>
      </w:pPr>
      <w:r>
        <w:rPr>
          <w:rFonts w:hint="eastAsia" w:ascii="宋体" w:hAnsi="宋体"/>
          <w:b/>
          <w:color w:val="000000"/>
          <w:sz w:val="72"/>
        </w:rPr>
        <w:t>标</w:t>
      </w:r>
    </w:p>
    <w:p w14:paraId="1A82DFA2">
      <w:pPr>
        <w:spacing w:line="900" w:lineRule="exact"/>
        <w:jc w:val="center"/>
        <w:rPr>
          <w:rFonts w:hint="eastAsia" w:ascii="宋体" w:hAnsi="宋体"/>
          <w:b/>
          <w:color w:val="000000"/>
          <w:sz w:val="72"/>
        </w:rPr>
      </w:pPr>
      <w:r>
        <w:rPr>
          <w:rFonts w:hint="eastAsia" w:ascii="宋体" w:hAnsi="宋体"/>
          <w:b/>
          <w:color w:val="000000"/>
          <w:sz w:val="72"/>
        </w:rPr>
        <w:t>文</w:t>
      </w:r>
    </w:p>
    <w:p w14:paraId="16B88F3A">
      <w:pPr>
        <w:jc w:val="center"/>
        <w:rPr>
          <w:rFonts w:hint="eastAsia" w:ascii="宋体" w:hAnsi="宋体"/>
          <w:b/>
          <w:color w:val="000000"/>
          <w:sz w:val="72"/>
        </w:rPr>
      </w:pPr>
      <w:r>
        <w:rPr>
          <w:rFonts w:hint="eastAsia" w:ascii="宋体" w:hAnsi="宋体"/>
          <w:b/>
          <w:color w:val="000000"/>
          <w:sz w:val="72"/>
        </w:rPr>
        <w:t>件</w:t>
      </w:r>
    </w:p>
    <w:p w14:paraId="6314E313">
      <w:pPr>
        <w:spacing w:after="120" w:afterLines="50" w:line="500" w:lineRule="exact"/>
        <w:jc w:val="center"/>
        <w:rPr>
          <w:rFonts w:hint="eastAsia" w:ascii="宋体" w:hAnsi="宋体"/>
          <w:b/>
          <w:color w:val="000000"/>
          <w:sz w:val="36"/>
          <w:szCs w:val="36"/>
        </w:rPr>
      </w:pPr>
      <w:r>
        <w:rPr>
          <w:rFonts w:hint="eastAsia" w:ascii="宋体" w:hAnsi="宋体"/>
          <w:b/>
          <w:color w:val="000000"/>
          <w:sz w:val="36"/>
          <w:szCs w:val="36"/>
        </w:rPr>
        <w:t>【商务标】</w:t>
      </w:r>
    </w:p>
    <w:p w14:paraId="5D0C4928">
      <w:pPr>
        <w:spacing w:after="120" w:afterLines="50" w:line="500" w:lineRule="exact"/>
        <w:jc w:val="center"/>
        <w:rPr>
          <w:rFonts w:hint="eastAsia" w:ascii="宋体" w:hAnsi="宋体"/>
          <w:b/>
          <w:color w:val="000000"/>
          <w:sz w:val="72"/>
        </w:rPr>
      </w:pPr>
    </w:p>
    <w:p w14:paraId="44559D6F">
      <w:pPr>
        <w:spacing w:after="120" w:afterLines="50" w:line="500" w:lineRule="exact"/>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p>
    <w:p w14:paraId="685A544A">
      <w:pPr>
        <w:spacing w:after="120" w:afterLines="50" w:line="500" w:lineRule="exact"/>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14:paraId="14263C80">
      <w:pPr>
        <w:rPr>
          <w:rFonts w:hint="eastAsia"/>
          <w:color w:val="000000"/>
          <w:sz w:val="44"/>
          <w:szCs w:val="44"/>
        </w:rPr>
      </w:pPr>
    </w:p>
    <w:p w14:paraId="38B5ED4A">
      <w:pPr>
        <w:rPr>
          <w:rFonts w:hint="eastAsia"/>
          <w:color w:val="000000"/>
          <w:sz w:val="44"/>
          <w:szCs w:val="44"/>
        </w:rPr>
      </w:pPr>
    </w:p>
    <w:p w14:paraId="6D54CF84">
      <w:pPr>
        <w:rPr>
          <w:rFonts w:hint="eastAsia"/>
          <w:color w:val="000000"/>
          <w:sz w:val="44"/>
          <w:szCs w:val="44"/>
        </w:rPr>
      </w:pPr>
    </w:p>
    <w:p w14:paraId="40F87244">
      <w:pPr>
        <w:rPr>
          <w:rFonts w:hint="eastAsia"/>
          <w:color w:val="000000"/>
          <w:sz w:val="44"/>
          <w:szCs w:val="44"/>
        </w:rPr>
      </w:pPr>
    </w:p>
    <w:p w14:paraId="4FB2161E">
      <w:pPr>
        <w:rPr>
          <w:rFonts w:hint="eastAsia"/>
          <w:color w:val="000000"/>
          <w:sz w:val="44"/>
          <w:szCs w:val="44"/>
        </w:rPr>
      </w:pPr>
    </w:p>
    <w:p w14:paraId="4E1B36A2">
      <w:pPr>
        <w:rPr>
          <w:rFonts w:hint="eastAsia"/>
          <w:color w:val="000000"/>
          <w:sz w:val="44"/>
          <w:szCs w:val="44"/>
        </w:rPr>
      </w:pPr>
    </w:p>
    <w:p w14:paraId="333BDBA2">
      <w:pPr>
        <w:rPr>
          <w:rFonts w:hint="eastAsia"/>
          <w:color w:val="000000"/>
          <w:sz w:val="44"/>
          <w:szCs w:val="44"/>
        </w:rPr>
      </w:pPr>
    </w:p>
    <w:p w14:paraId="37A0454C">
      <w:pPr>
        <w:rPr>
          <w:rFonts w:hint="eastAsia"/>
          <w:color w:val="000000"/>
          <w:sz w:val="44"/>
          <w:szCs w:val="44"/>
        </w:rPr>
      </w:pPr>
    </w:p>
    <w:p w14:paraId="4A41CFE3">
      <w:pPr>
        <w:rPr>
          <w:rFonts w:hint="eastAsia"/>
          <w:color w:val="000000"/>
          <w:sz w:val="44"/>
          <w:szCs w:val="44"/>
        </w:rPr>
      </w:pPr>
    </w:p>
    <w:bookmarkEnd w:id="435"/>
    <w:p w14:paraId="6750080C">
      <w:pPr>
        <w:pStyle w:val="4"/>
        <w:outlineLvl w:val="1"/>
        <w:rPr>
          <w:rFonts w:hint="eastAsia" w:hAnsi="宋体"/>
          <w:color w:val="000000"/>
          <w:sz w:val="28"/>
        </w:rPr>
      </w:pPr>
      <w:bookmarkStart w:id="462" w:name="_Toc328559344"/>
      <w:bookmarkStart w:id="463" w:name="_Toc240898303"/>
      <w:bookmarkStart w:id="464" w:name="_Toc270410845"/>
      <w:bookmarkStart w:id="465" w:name="_Toc273602363"/>
      <w:r>
        <w:rPr>
          <w:rFonts w:hint="eastAsia" w:hAnsi="宋体"/>
          <w:color w:val="000000"/>
          <w:sz w:val="28"/>
        </w:rPr>
        <w:t>一．开标一览表</w:t>
      </w:r>
      <w:bookmarkEnd w:id="462"/>
      <w:bookmarkEnd w:id="463"/>
      <w:bookmarkEnd w:id="464"/>
      <w:bookmarkEnd w:id="465"/>
    </w:p>
    <w:bookmarkEnd w:id="436"/>
    <w:p w14:paraId="18CB30DD">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14:paraId="2F69EBCD">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u w:val="single"/>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u w:val="single"/>
        </w:rPr>
        <w:t xml:space="preserve">   </w:t>
      </w:r>
      <w:r>
        <w:rPr>
          <w:rFonts w:hint="eastAsia" w:ascii="宋体" w:hAnsi="宋体"/>
          <w:szCs w:val="22"/>
        </w:rPr>
        <w:t>标段</w:t>
      </w:r>
      <w:r>
        <w:rPr>
          <w:rFonts w:hint="eastAsia" w:ascii="宋体" w:hAnsi="宋体"/>
          <w:szCs w:val="22"/>
          <w:lang w:eastAsia="zh-CN"/>
        </w:rPr>
        <w:t>采购文件</w:t>
      </w:r>
      <w:r>
        <w:rPr>
          <w:rFonts w:hint="eastAsia" w:ascii="宋体" w:hAnsi="宋体"/>
          <w:szCs w:val="22"/>
        </w:rPr>
        <w:t>的全部内容，在考察工程现场后，愿意以人民币（大写）</w:t>
      </w:r>
      <w:r>
        <w:rPr>
          <w:rFonts w:hint="eastAsia" w:ascii="宋体" w:hAnsi="宋体"/>
          <w:szCs w:val="22"/>
          <w:u w:val="single"/>
        </w:rPr>
        <w:t xml:space="preserve">         </w:t>
      </w:r>
      <w:r>
        <w:rPr>
          <w:rFonts w:hint="eastAsia" w:ascii="宋体" w:hAnsi="宋体"/>
          <w:szCs w:val="22"/>
        </w:rPr>
        <w:t>元（¥</w:t>
      </w:r>
      <w:r>
        <w:rPr>
          <w:rFonts w:hint="eastAsia" w:ascii="宋体" w:hAnsi="宋体"/>
          <w:szCs w:val="22"/>
          <w:u w:val="single"/>
        </w:rPr>
        <w:t xml:space="preserve">         </w:t>
      </w:r>
      <w:r>
        <w:rPr>
          <w:rFonts w:hint="eastAsia" w:ascii="宋体" w:hAnsi="宋体"/>
          <w:szCs w:val="22"/>
        </w:rPr>
        <w:t>）的投标总报价，按合同约定实施和完成承包工程，修补工程中的任何缺陷。</w:t>
      </w:r>
    </w:p>
    <w:p w14:paraId="64A34A42">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 我方已按</w:t>
      </w:r>
      <w:r>
        <w:rPr>
          <w:rFonts w:hint="eastAsia" w:ascii="宋体" w:hAnsi="宋体"/>
          <w:bCs/>
          <w:szCs w:val="32"/>
          <w:lang w:eastAsia="zh-CN"/>
        </w:rPr>
        <w:t>采购文件</w:t>
      </w:r>
      <w:r>
        <w:rPr>
          <w:rFonts w:hint="eastAsia" w:ascii="宋体" w:hAnsi="宋体"/>
          <w:bCs/>
          <w:szCs w:val="32"/>
        </w:rPr>
        <w:t>要求详细审核并确认全部</w:t>
      </w:r>
      <w:r>
        <w:rPr>
          <w:rFonts w:hint="eastAsia" w:ascii="宋体" w:hAnsi="宋体"/>
          <w:bCs/>
          <w:szCs w:val="32"/>
          <w:lang w:eastAsia="zh-CN"/>
        </w:rPr>
        <w:t>采购文件</w:t>
      </w:r>
      <w:r>
        <w:rPr>
          <w:rFonts w:hint="eastAsia" w:ascii="宋体" w:hAnsi="宋体"/>
          <w:bCs/>
          <w:szCs w:val="32"/>
        </w:rPr>
        <w:t>及有关附件，充分理解投标价格不得低于企业个别成本有关规定。我方经成本核算，所填报的投标报价不低于企业个别成本。</w:t>
      </w:r>
    </w:p>
    <w:p w14:paraId="335CE605">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 xml:space="preserve">3. </w:t>
      </w:r>
      <w:r>
        <w:rPr>
          <w:rFonts w:hint="eastAsia" w:eastAsia="黑体"/>
          <w:snapToGrid w:val="0"/>
          <w:color w:val="000000"/>
          <w:kern w:val="0"/>
          <w:szCs w:val="21"/>
          <w:u w:val="single"/>
        </w:rPr>
        <w:t xml:space="preserve">                          </w:t>
      </w:r>
      <w:r>
        <w:rPr>
          <w:snapToGrid w:val="0"/>
          <w:kern w:val="0"/>
          <w:szCs w:val="21"/>
        </w:rPr>
        <w:t>（其他补充说明）。</w:t>
      </w:r>
    </w:p>
    <w:p w14:paraId="5D9F0CAB">
      <w:pPr>
        <w:adjustRightInd w:val="0"/>
        <w:snapToGrid w:val="0"/>
        <w:spacing w:before="48" w:beforeLines="20" w:after="48" w:afterLines="20" w:line="400" w:lineRule="exact"/>
        <w:ind w:firstLine="367" w:firstLineChars="175"/>
        <w:rPr>
          <w:rFonts w:hint="eastAsia" w:ascii="宋体" w:hAnsi="宋体"/>
          <w:bCs/>
          <w:szCs w:val="21"/>
        </w:rPr>
      </w:pPr>
    </w:p>
    <w:p w14:paraId="55BDAA5F">
      <w:pPr>
        <w:adjustRightInd w:val="0"/>
        <w:snapToGrid w:val="0"/>
        <w:spacing w:before="48" w:beforeLines="20" w:after="48" w:afterLines="20" w:line="400" w:lineRule="exact"/>
        <w:ind w:firstLine="420" w:firstLineChars="200"/>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65CD8928">
      <w:pPr>
        <w:adjustRightInd w:val="0"/>
        <w:snapToGrid w:val="0"/>
        <w:spacing w:before="48" w:beforeLines="20" w:after="48" w:afterLines="20" w:line="400" w:lineRule="exact"/>
        <w:ind w:firstLine="420" w:firstLineChars="200"/>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31BC0221">
      <w:pPr>
        <w:adjustRightInd w:val="0"/>
        <w:snapToGrid w:val="0"/>
        <w:spacing w:before="48" w:beforeLines="20" w:after="48" w:afterLines="20" w:line="400" w:lineRule="exact"/>
        <w:ind w:left="109" w:leftChars="52" w:firstLine="315" w:firstLineChars="150"/>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14:paraId="388C09D9">
      <w:pPr>
        <w:adjustRightInd w:val="0"/>
        <w:snapToGrid w:val="0"/>
        <w:spacing w:before="48" w:beforeLines="20" w:after="48" w:afterLines="20" w:line="400" w:lineRule="exact"/>
        <w:ind w:firstLine="420" w:firstLineChars="200"/>
        <w:rPr>
          <w:rFonts w:hint="eastAsia" w:ascii="宋体" w:hAnsi="宋体"/>
          <w:szCs w:val="21"/>
        </w:rPr>
      </w:pPr>
      <w:r>
        <w:rPr>
          <w:rFonts w:hint="eastAsia" w:ascii="宋体" w:hAnsi="宋体"/>
          <w:szCs w:val="21"/>
        </w:rPr>
        <w:t>邮政编码：</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14:paraId="2FB57223">
      <w:pPr>
        <w:adjustRightInd w:val="0"/>
        <w:snapToGrid w:val="0"/>
        <w:spacing w:before="48" w:beforeLines="20" w:after="48" w:afterLines="20" w:line="400" w:lineRule="exact"/>
        <w:ind w:firstLine="420" w:firstLineChars="200"/>
        <w:rPr>
          <w:rFonts w:hint="eastAsia" w:ascii="宋体" w:hAnsi="宋体"/>
          <w:szCs w:val="22"/>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79748C3A">
      <w:pPr>
        <w:adjustRightInd w:val="0"/>
        <w:snapToGrid w:val="0"/>
        <w:spacing w:before="48" w:beforeLines="20" w:after="48" w:afterLines="20" w:line="400" w:lineRule="exact"/>
        <w:outlineLvl w:val="9"/>
        <w:rPr>
          <w:rFonts w:ascii="宋体" w:hAnsi="宋体"/>
          <w:szCs w:val="22"/>
        </w:rPr>
      </w:pPr>
      <w:r>
        <w:rPr>
          <w:rFonts w:ascii="宋体" w:hAnsi="宋体"/>
          <w:sz w:val="24"/>
          <w:szCs w:val="22"/>
        </w:rPr>
        <w:br w:type="page"/>
      </w:r>
    </w:p>
    <w:p w14:paraId="1E7253F0">
      <w:pPr>
        <w:pStyle w:val="4"/>
        <w:jc w:val="center"/>
        <w:outlineLvl w:val="1"/>
        <w:rPr>
          <w:rFonts w:hint="eastAsia"/>
        </w:rPr>
      </w:pPr>
      <w:bookmarkStart w:id="466" w:name="_Toc460660237"/>
      <w:bookmarkStart w:id="467" w:name="_Toc421917014"/>
      <w:bookmarkStart w:id="468" w:name="_Toc460227122"/>
      <w:r>
        <w:rPr>
          <w:rFonts w:hint="eastAsia"/>
          <w:lang w:eastAsia="zh-CN"/>
        </w:rPr>
        <w:t>二</w:t>
      </w:r>
      <w:r>
        <w:rPr>
          <w:rFonts w:hint="eastAsia"/>
        </w:rPr>
        <w:t>、工程量清单报价书</w:t>
      </w:r>
      <w:bookmarkEnd w:id="466"/>
      <w:bookmarkEnd w:id="467"/>
      <w:bookmarkEnd w:id="468"/>
    </w:p>
    <w:p w14:paraId="283FEAE8">
      <w:pPr>
        <w:adjustRightInd w:val="0"/>
        <w:snapToGrid w:val="0"/>
        <w:spacing w:before="48" w:beforeLines="20" w:after="48" w:afterLines="20" w:line="540" w:lineRule="exact"/>
        <w:rPr>
          <w:rFonts w:ascii="宋体" w:hAnsi="宋体"/>
          <w:sz w:val="28"/>
          <w:szCs w:val="22"/>
        </w:rPr>
      </w:pPr>
    </w:p>
    <w:p w14:paraId="103AA0C5">
      <w:pPr>
        <w:adjustRightInd w:val="0"/>
        <w:snapToGrid w:val="0"/>
        <w:spacing w:before="48" w:beforeLines="20" w:after="48" w:afterLines="20" w:line="540" w:lineRule="exact"/>
        <w:jc w:val="center"/>
        <w:rPr>
          <w:rFonts w:hint="eastAsia" w:ascii="宋体" w:hAnsi="宋体"/>
          <w:b/>
          <w:sz w:val="44"/>
          <w:szCs w:val="22"/>
        </w:rPr>
      </w:pPr>
      <w:r>
        <w:rPr>
          <w:rFonts w:hint="eastAsia" w:ascii="宋体" w:hAnsi="宋体"/>
          <w:b/>
          <w:sz w:val="36"/>
          <w:szCs w:val="22"/>
        </w:rPr>
        <w:t>投标总价</w:t>
      </w:r>
    </w:p>
    <w:p w14:paraId="675D450D">
      <w:pPr>
        <w:adjustRightInd w:val="0"/>
        <w:snapToGrid w:val="0"/>
        <w:spacing w:before="48" w:beforeLines="20" w:after="48" w:afterLines="20" w:line="540" w:lineRule="exact"/>
        <w:ind w:firstLine="3000" w:firstLineChars="996"/>
        <w:rPr>
          <w:rFonts w:hint="eastAsia" w:ascii="宋体" w:hAnsi="宋体"/>
          <w:b/>
          <w:sz w:val="30"/>
          <w:szCs w:val="22"/>
        </w:rPr>
      </w:pPr>
    </w:p>
    <w:p w14:paraId="37D5D7FD">
      <w:pPr>
        <w:adjustRightInd w:val="0"/>
        <w:snapToGrid w:val="0"/>
        <w:spacing w:before="48" w:beforeLines="20" w:after="48" w:afterLines="20" w:line="540" w:lineRule="exact"/>
        <w:ind w:firstLine="3000" w:firstLineChars="996"/>
        <w:rPr>
          <w:rFonts w:hint="eastAsia" w:ascii="宋体" w:hAnsi="宋体"/>
          <w:b/>
          <w:sz w:val="30"/>
          <w:szCs w:val="22"/>
        </w:rPr>
      </w:pPr>
    </w:p>
    <w:p w14:paraId="780442F5">
      <w:pPr>
        <w:adjustRightInd w:val="0"/>
        <w:snapToGrid w:val="0"/>
        <w:spacing w:before="48" w:beforeLines="20" w:after="48" w:afterLines="20" w:line="540" w:lineRule="exact"/>
        <w:ind w:firstLine="3000" w:firstLineChars="996"/>
        <w:rPr>
          <w:rFonts w:hint="eastAsia" w:ascii="宋体" w:hAnsi="宋体"/>
          <w:b/>
          <w:sz w:val="30"/>
          <w:szCs w:val="22"/>
        </w:rPr>
      </w:pPr>
    </w:p>
    <w:p w14:paraId="55DF5A89">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招标人:</w:t>
      </w:r>
      <w:r>
        <w:rPr>
          <w:rFonts w:hint="eastAsia" w:ascii="宋体" w:hAnsi="宋体"/>
          <w:sz w:val="30"/>
          <w:szCs w:val="30"/>
          <w:u w:val="single"/>
        </w:rPr>
        <w:t xml:space="preserve">                                    </w:t>
      </w:r>
    </w:p>
    <w:p w14:paraId="126569E4">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工程名称：</w:t>
      </w:r>
      <w:r>
        <w:rPr>
          <w:rFonts w:hint="eastAsia" w:ascii="宋体" w:hAnsi="宋体"/>
          <w:sz w:val="30"/>
          <w:szCs w:val="30"/>
          <w:u w:val="single"/>
        </w:rPr>
        <w:t xml:space="preserve">                                 </w:t>
      </w:r>
    </w:p>
    <w:p w14:paraId="38E76516">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投标总价（小写）：</w:t>
      </w:r>
      <w:r>
        <w:rPr>
          <w:rFonts w:hint="eastAsia" w:ascii="宋体" w:hAnsi="宋体"/>
          <w:sz w:val="30"/>
          <w:szCs w:val="30"/>
          <w:u w:val="single"/>
        </w:rPr>
        <w:t xml:space="preserve">                          </w:t>
      </w:r>
    </w:p>
    <w:p w14:paraId="3A12D324">
      <w:pPr>
        <w:adjustRightInd w:val="0"/>
        <w:snapToGrid w:val="0"/>
        <w:spacing w:before="48" w:beforeLines="20" w:after="48" w:afterLines="20" w:line="540" w:lineRule="exact"/>
        <w:ind w:firstLine="2127" w:firstLineChars="709"/>
        <w:rPr>
          <w:rFonts w:hint="eastAsia" w:ascii="宋体" w:hAnsi="宋体"/>
          <w:b/>
          <w:sz w:val="30"/>
          <w:szCs w:val="30"/>
          <w:u w:val="single"/>
        </w:rPr>
      </w:pPr>
      <w:r>
        <w:rPr>
          <w:rFonts w:hint="eastAsia" w:ascii="宋体" w:hAnsi="宋体"/>
          <w:sz w:val="30"/>
          <w:szCs w:val="30"/>
        </w:rPr>
        <w:t>（大写）：</w:t>
      </w:r>
      <w:r>
        <w:rPr>
          <w:rFonts w:hint="eastAsia" w:ascii="宋体" w:hAnsi="宋体"/>
          <w:sz w:val="30"/>
          <w:szCs w:val="30"/>
          <w:u w:val="single"/>
        </w:rPr>
        <w:t xml:space="preserve">                          </w:t>
      </w:r>
    </w:p>
    <w:p w14:paraId="06B70EB3">
      <w:pPr>
        <w:adjustRightInd w:val="0"/>
        <w:snapToGrid w:val="0"/>
        <w:spacing w:before="48" w:beforeLines="20" w:after="48" w:afterLines="20" w:line="540" w:lineRule="exact"/>
        <w:ind w:firstLine="3000" w:firstLineChars="996"/>
        <w:rPr>
          <w:rFonts w:hint="eastAsia" w:ascii="宋体" w:hAnsi="宋体"/>
          <w:b/>
          <w:sz w:val="30"/>
          <w:szCs w:val="30"/>
        </w:rPr>
      </w:pPr>
    </w:p>
    <w:p w14:paraId="1F985DC1">
      <w:pPr>
        <w:adjustRightInd w:val="0"/>
        <w:snapToGrid w:val="0"/>
        <w:spacing w:before="48" w:beforeLines="20" w:after="48" w:afterLines="20" w:line="540" w:lineRule="exact"/>
        <w:ind w:firstLine="2988" w:firstLineChars="996"/>
        <w:rPr>
          <w:sz w:val="30"/>
          <w:szCs w:val="30"/>
        </w:rPr>
      </w:pPr>
    </w:p>
    <w:p w14:paraId="751879E5">
      <w:pPr>
        <w:spacing w:line="320" w:lineRule="exact"/>
        <w:ind w:firstLine="600" w:firstLineChars="200"/>
        <w:rPr>
          <w:sz w:val="30"/>
          <w:szCs w:val="30"/>
        </w:rPr>
      </w:pPr>
      <w:r>
        <w:rPr>
          <w:sz w:val="30"/>
          <w:szCs w:val="30"/>
        </w:rPr>
        <w:t>投 标 人：</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(单位盖章)</w:t>
      </w:r>
    </w:p>
    <w:p w14:paraId="1BE90465">
      <w:pPr>
        <w:spacing w:line="380" w:lineRule="exact"/>
        <w:ind w:firstLine="600" w:firstLineChars="200"/>
        <w:rPr>
          <w:sz w:val="30"/>
          <w:szCs w:val="30"/>
        </w:rPr>
      </w:pPr>
    </w:p>
    <w:p w14:paraId="17161187">
      <w:pPr>
        <w:spacing w:after="72" w:afterLines="30" w:line="380" w:lineRule="exact"/>
        <w:ind w:firstLine="600" w:firstLineChars="200"/>
        <w:rPr>
          <w:sz w:val="30"/>
          <w:szCs w:val="30"/>
        </w:rPr>
      </w:pPr>
      <w:r>
        <w:rPr>
          <w:sz w:val="30"/>
          <w:szCs w:val="30"/>
        </w:rPr>
        <w:t>法定代表人：</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 xml:space="preserve"> (签字或盖章)</w:t>
      </w:r>
    </w:p>
    <w:p w14:paraId="7BC57FAF">
      <w:pPr>
        <w:spacing w:line="320" w:lineRule="exact"/>
        <w:ind w:firstLine="5700" w:firstLineChars="1900"/>
        <w:rPr>
          <w:sz w:val="30"/>
          <w:szCs w:val="30"/>
        </w:rPr>
      </w:pPr>
    </w:p>
    <w:p w14:paraId="5E833E2A">
      <w:pPr>
        <w:spacing w:line="320" w:lineRule="exact"/>
        <w:ind w:firstLine="5700" w:firstLineChars="1900"/>
        <w:rPr>
          <w:sz w:val="30"/>
          <w:szCs w:val="30"/>
        </w:rPr>
      </w:pPr>
    </w:p>
    <w:p w14:paraId="38A4FCEF">
      <w:pPr>
        <w:spacing w:line="320" w:lineRule="exact"/>
        <w:ind w:firstLine="600" w:firstLineChars="200"/>
        <w:rPr>
          <w:sz w:val="30"/>
          <w:szCs w:val="30"/>
        </w:rPr>
      </w:pPr>
      <w:r>
        <w:rPr>
          <w:sz w:val="30"/>
          <w:szCs w:val="30"/>
        </w:rPr>
        <w:t>编制人：</w:t>
      </w:r>
      <w:r>
        <w:rPr>
          <w:sz w:val="30"/>
          <w:szCs w:val="30"/>
          <w:u w:val="single"/>
        </w:rPr>
        <w:t xml:space="preserve">           </w:t>
      </w:r>
      <w:r>
        <w:rPr>
          <w:sz w:val="30"/>
          <w:szCs w:val="30"/>
        </w:rPr>
        <w:t>(盖造价专业人员执业专用章或电子执业章)</w:t>
      </w:r>
    </w:p>
    <w:p w14:paraId="3A467417">
      <w:pPr>
        <w:spacing w:line="380" w:lineRule="exact"/>
        <w:ind w:firstLine="600" w:firstLineChars="200"/>
        <w:rPr>
          <w:sz w:val="30"/>
          <w:szCs w:val="30"/>
        </w:rPr>
      </w:pPr>
    </w:p>
    <w:p w14:paraId="1C7F4E36">
      <w:pPr>
        <w:spacing w:line="380" w:lineRule="exact"/>
        <w:ind w:firstLine="600" w:firstLineChars="200"/>
        <w:rPr>
          <w:sz w:val="30"/>
          <w:szCs w:val="30"/>
        </w:rPr>
      </w:pPr>
    </w:p>
    <w:p w14:paraId="65C03FAA">
      <w:pPr>
        <w:spacing w:line="380" w:lineRule="exact"/>
        <w:ind w:firstLine="600" w:firstLineChars="200"/>
        <w:rPr>
          <w:sz w:val="30"/>
          <w:szCs w:val="30"/>
        </w:rPr>
      </w:pPr>
      <w:r>
        <w:rPr>
          <w:sz w:val="30"/>
          <w:szCs w:val="30"/>
        </w:rPr>
        <w:t xml:space="preserve">编制时间：  </w:t>
      </w:r>
      <w:r>
        <w:rPr>
          <w:sz w:val="30"/>
          <w:szCs w:val="30"/>
          <w:u w:val="single"/>
        </w:rPr>
        <w:t xml:space="preserve">            年      月      日</w:t>
      </w:r>
    </w:p>
    <w:p w14:paraId="55A4701E">
      <w:pPr>
        <w:jc w:val="center"/>
        <w:outlineLvl w:val="2"/>
        <w:rPr>
          <w:rFonts w:hint="eastAsia" w:ascii="宋体" w:hAnsi="宋体"/>
          <w:sz w:val="28"/>
          <w:szCs w:val="28"/>
        </w:rPr>
      </w:pPr>
      <w:bookmarkStart w:id="469" w:name="_Toc460227123"/>
      <w:bookmarkStart w:id="470" w:name="_Toc460660238"/>
      <w:r>
        <w:rPr>
          <w:rFonts w:ascii="宋体" w:hAnsi="宋体"/>
          <w:sz w:val="28"/>
          <w:szCs w:val="28"/>
        </w:rPr>
        <w:br w:type="page"/>
      </w:r>
      <w:r>
        <w:rPr>
          <w:rFonts w:hint="eastAsia" w:ascii="宋体" w:hAnsi="宋体"/>
          <w:sz w:val="28"/>
          <w:szCs w:val="28"/>
        </w:rPr>
        <w:t>(一)投标报价说明</w:t>
      </w:r>
      <w:bookmarkEnd w:id="469"/>
      <w:bookmarkEnd w:id="470"/>
    </w:p>
    <w:p w14:paraId="7523BC39">
      <w:pPr>
        <w:spacing w:before="48" w:beforeLines="20" w:after="48" w:afterLines="20" w:line="540" w:lineRule="exact"/>
        <w:ind w:firstLine="420" w:firstLineChars="200"/>
        <w:rPr>
          <w:rFonts w:hint="eastAsia" w:ascii="宋体" w:hAnsi="宋体"/>
        </w:rPr>
      </w:pPr>
    </w:p>
    <w:p w14:paraId="3B371E15">
      <w:pPr>
        <w:spacing w:after="120" w:afterLines="50" w:line="380" w:lineRule="exact"/>
        <w:rPr>
          <w:rFonts w:hint="eastAsia" w:ascii="宋体" w:hAnsi="宋体"/>
          <w:sz w:val="24"/>
        </w:rPr>
      </w:pPr>
      <w:r>
        <w:rPr>
          <w:rFonts w:hint="eastAsia" w:ascii="宋体" w:hAnsi="宋体"/>
        </w:rPr>
        <w:t>工程名称：                                         第  页 共  页</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14:paraId="36C5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6" w:hRule="atLeast"/>
          <w:jc w:val="center"/>
        </w:trPr>
        <w:tc>
          <w:tcPr>
            <w:tcW w:w="8412" w:type="dxa"/>
            <w:noWrap w:val="0"/>
            <w:vAlign w:val="top"/>
          </w:tcPr>
          <w:p w14:paraId="52C1A9A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1. 本报价依据本工程</w:t>
            </w:r>
            <w:r>
              <w:rPr>
                <w:rFonts w:hint="eastAsia" w:ascii="宋体" w:hAnsi="宋体"/>
                <w:kern w:val="0"/>
                <w:szCs w:val="22"/>
                <w:lang w:eastAsia="zh-CN"/>
              </w:rPr>
              <w:t>采购文件</w:t>
            </w:r>
            <w:r>
              <w:rPr>
                <w:rFonts w:hint="eastAsia" w:ascii="宋体" w:hAnsi="宋体"/>
                <w:kern w:val="0"/>
                <w:szCs w:val="22"/>
              </w:rPr>
              <w:t>中投标须知、合同文件、计价依据及工程造价确定等有关条款进行编制。</w:t>
            </w:r>
          </w:p>
          <w:p w14:paraId="3BD66694">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2. 工程量清单报价表中所填入的综合单价和合价，均包括人工费、材料费、机械费、综合费、施工期内的风险金等全部费用。</w:t>
            </w:r>
          </w:p>
          <w:p w14:paraId="57C3978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3. 措施项目报价表中所填入的措施项目报价，包括采用的各种措施的费用。</w:t>
            </w:r>
          </w:p>
          <w:p w14:paraId="2D97D28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4. 其他项目报价表中所填入的其他项目报价，包括工程量清单报价表和措施项目报价表以外的，为完成本工程项目的施工所必须发生的其他费用。</w:t>
            </w:r>
          </w:p>
          <w:p w14:paraId="66AF9A7D">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5. 本工程量清单报价表中的每一单项均应填写单价和合价，对没有填写单价和合价的项目费用，视为已包括在工程量清单的其他单价或合价之中。</w:t>
            </w:r>
          </w:p>
          <w:p w14:paraId="738E9091">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6. 本报价的币种为</w:t>
            </w:r>
            <w:r>
              <w:rPr>
                <w:rFonts w:hint="eastAsia" w:ascii="宋体" w:hAnsi="宋体"/>
                <w:kern w:val="0"/>
                <w:szCs w:val="22"/>
                <w:u w:val="single"/>
              </w:rPr>
              <w:t xml:space="preserve"> 人民币 </w:t>
            </w:r>
            <w:r>
              <w:rPr>
                <w:rFonts w:hint="eastAsia" w:ascii="宋体" w:hAnsi="宋体"/>
                <w:kern w:val="0"/>
                <w:szCs w:val="22"/>
              </w:rPr>
              <w:t>。</w:t>
            </w:r>
          </w:p>
          <w:p w14:paraId="73514EA5">
            <w:pPr>
              <w:spacing w:line="380" w:lineRule="exact"/>
              <w:rPr>
                <w:rFonts w:hint="eastAsia" w:ascii="黑体" w:eastAsia="黑体"/>
              </w:rPr>
            </w:pPr>
            <w:r>
              <w:rPr>
                <w:rFonts w:hint="eastAsia" w:ascii="宋体" w:hAnsi="宋体"/>
                <w:kern w:val="0"/>
                <w:szCs w:val="22"/>
              </w:rPr>
              <w:t>7. 投标人应将投标报价需要说明的事项，用文字书写与投标报价表一并报送。</w:t>
            </w:r>
          </w:p>
        </w:tc>
      </w:tr>
    </w:tbl>
    <w:p w14:paraId="1D31A4CF">
      <w:pPr>
        <w:pStyle w:val="82"/>
      </w:pPr>
    </w:p>
    <w:p w14:paraId="51B24A70">
      <w:pPr>
        <w:jc w:val="center"/>
        <w:outlineLvl w:val="2"/>
        <w:rPr>
          <w:rFonts w:hint="eastAsia" w:ascii="宋体" w:hAnsi="宋体"/>
          <w:sz w:val="28"/>
          <w:szCs w:val="28"/>
        </w:rPr>
      </w:pPr>
      <w:bookmarkStart w:id="471" w:name="_Toc460227124"/>
      <w:bookmarkStart w:id="472" w:name="_Toc460660239"/>
      <w:r>
        <w:rPr>
          <w:rFonts w:ascii="宋体" w:hAnsi="宋体"/>
          <w:sz w:val="28"/>
          <w:szCs w:val="28"/>
        </w:rPr>
        <w:br w:type="page"/>
      </w:r>
      <w:r>
        <w:rPr>
          <w:rFonts w:hint="eastAsia" w:ascii="宋体" w:hAnsi="宋体"/>
          <w:sz w:val="28"/>
          <w:szCs w:val="28"/>
        </w:rPr>
        <w:t>（二）</w:t>
      </w:r>
      <w:bookmarkEnd w:id="471"/>
      <w:bookmarkEnd w:id="472"/>
      <w:r>
        <w:rPr>
          <w:rFonts w:hint="eastAsia" w:ascii="宋体" w:hAnsi="宋体"/>
          <w:sz w:val="28"/>
          <w:szCs w:val="28"/>
        </w:rPr>
        <w:t>建设项目投标报价汇总表</w:t>
      </w:r>
    </w:p>
    <w:p w14:paraId="2CF98ABC">
      <w:pPr>
        <w:spacing w:before="48" w:beforeLines="20" w:after="48" w:afterLines="20" w:line="540" w:lineRule="exact"/>
        <w:rPr>
          <w:rFonts w:hint="eastAsia" w:ascii="宋体" w:hAnsi="宋体"/>
          <w:szCs w:val="21"/>
        </w:rPr>
      </w:pPr>
      <w:r>
        <w:rPr>
          <w:rFonts w:hint="eastAsia" w:ascii="宋体" w:hAnsi="宋体"/>
          <w:szCs w:val="21"/>
        </w:rPr>
        <w:t>工程名称：                                                            第   页共   页</w:t>
      </w:r>
    </w:p>
    <w:tbl>
      <w:tblPr>
        <w:tblStyle w:val="53"/>
        <w:tblW w:w="5000" w:type="pct"/>
        <w:tblInd w:w="0" w:type="dxa"/>
        <w:tblLayout w:type="autofit"/>
        <w:tblCellMar>
          <w:top w:w="0" w:type="dxa"/>
          <w:left w:w="108" w:type="dxa"/>
          <w:bottom w:w="0" w:type="dxa"/>
          <w:right w:w="108" w:type="dxa"/>
        </w:tblCellMar>
      </w:tblPr>
      <w:tblGrid>
        <w:gridCol w:w="840"/>
        <w:gridCol w:w="3101"/>
        <w:gridCol w:w="1596"/>
        <w:gridCol w:w="1330"/>
        <w:gridCol w:w="2308"/>
      </w:tblGrid>
      <w:tr w14:paraId="4AE20349">
        <w:tblPrEx>
          <w:tblCellMar>
            <w:top w:w="0" w:type="dxa"/>
            <w:left w:w="108" w:type="dxa"/>
            <w:bottom w:w="0" w:type="dxa"/>
            <w:right w:w="108" w:type="dxa"/>
          </w:tblCellMar>
        </w:tblPrEx>
        <w:trPr>
          <w:trHeight w:val="338" w:hRule="atLeast"/>
        </w:trPr>
        <w:tc>
          <w:tcPr>
            <w:tcW w:w="458"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58A0862">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69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C20FEE">
            <w:pPr>
              <w:widowControl/>
              <w:jc w:val="center"/>
              <w:rPr>
                <w:rFonts w:ascii="黑体" w:hAnsi="黑体" w:eastAsia="黑体" w:cs="Arial"/>
                <w:kern w:val="0"/>
                <w:szCs w:val="21"/>
              </w:rPr>
            </w:pPr>
            <w:r>
              <w:rPr>
                <w:rFonts w:hint="eastAsia" w:ascii="黑体" w:hAnsi="黑体" w:eastAsia="黑体" w:cs="Arial"/>
                <w:kern w:val="0"/>
                <w:szCs w:val="21"/>
              </w:rPr>
              <w:t>单项工程名称</w:t>
            </w:r>
          </w:p>
        </w:tc>
        <w:tc>
          <w:tcPr>
            <w:tcW w:w="87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8B21EB">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1982" w:type="pct"/>
            <w:gridSpan w:val="2"/>
            <w:tcBorders>
              <w:top w:val="single" w:color="000000" w:sz="8" w:space="0"/>
              <w:left w:val="nil"/>
              <w:bottom w:val="single" w:color="000000" w:sz="4" w:space="0"/>
              <w:right w:val="single" w:color="000000" w:sz="8" w:space="0"/>
            </w:tcBorders>
            <w:shd w:val="clear" w:color="FFFFFF" w:fill="FFFFFF"/>
            <w:noWrap w:val="0"/>
            <w:vAlign w:val="center"/>
          </w:tcPr>
          <w:p w14:paraId="0BCC3E88">
            <w:pPr>
              <w:widowControl/>
              <w:jc w:val="center"/>
              <w:rPr>
                <w:rFonts w:ascii="黑体" w:hAnsi="黑体" w:eastAsia="黑体" w:cs="Arial"/>
                <w:kern w:val="0"/>
                <w:szCs w:val="21"/>
              </w:rPr>
            </w:pPr>
            <w:r>
              <w:rPr>
                <w:rFonts w:hint="eastAsia" w:ascii="黑体" w:hAnsi="黑体" w:eastAsia="黑体" w:cs="Arial"/>
                <w:kern w:val="0"/>
                <w:szCs w:val="21"/>
              </w:rPr>
              <w:t>其中：（元）</w:t>
            </w:r>
          </w:p>
        </w:tc>
      </w:tr>
      <w:tr w14:paraId="73FC6449">
        <w:tblPrEx>
          <w:tblCellMar>
            <w:top w:w="0" w:type="dxa"/>
            <w:left w:w="108" w:type="dxa"/>
            <w:bottom w:w="0" w:type="dxa"/>
            <w:right w:w="108" w:type="dxa"/>
          </w:tblCellMar>
        </w:tblPrEx>
        <w:trPr>
          <w:trHeight w:val="353" w:hRule="atLeast"/>
        </w:trPr>
        <w:tc>
          <w:tcPr>
            <w:tcW w:w="458"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7FC98C66">
            <w:pPr>
              <w:widowControl/>
              <w:jc w:val="left"/>
              <w:rPr>
                <w:rFonts w:ascii="黑体" w:hAnsi="黑体" w:eastAsia="黑体" w:cs="Arial"/>
                <w:kern w:val="0"/>
                <w:szCs w:val="21"/>
              </w:rPr>
            </w:pPr>
          </w:p>
        </w:tc>
        <w:tc>
          <w:tcPr>
            <w:tcW w:w="169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A551E5B">
            <w:pPr>
              <w:widowControl/>
              <w:jc w:val="left"/>
              <w:rPr>
                <w:rFonts w:ascii="黑体" w:hAnsi="黑体" w:eastAsia="黑体" w:cs="Arial"/>
                <w:kern w:val="0"/>
                <w:szCs w:val="21"/>
              </w:rPr>
            </w:pPr>
          </w:p>
        </w:tc>
        <w:tc>
          <w:tcPr>
            <w:tcW w:w="87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F28CB35">
            <w:pPr>
              <w:widowControl/>
              <w:jc w:val="left"/>
              <w:rPr>
                <w:rFonts w:ascii="黑体" w:hAnsi="黑体" w:eastAsia="黑体" w:cs="Arial"/>
                <w:kern w:val="0"/>
                <w:szCs w:val="21"/>
              </w:rPr>
            </w:pPr>
          </w:p>
        </w:tc>
        <w:tc>
          <w:tcPr>
            <w:tcW w:w="725" w:type="pct"/>
            <w:tcBorders>
              <w:top w:val="single" w:color="000000" w:sz="4" w:space="0"/>
              <w:left w:val="nil"/>
              <w:bottom w:val="single" w:color="000000" w:sz="4" w:space="0"/>
              <w:right w:val="single" w:color="000000" w:sz="4" w:space="0"/>
            </w:tcBorders>
            <w:shd w:val="clear" w:color="FFFFFF" w:fill="FFFFFF"/>
            <w:noWrap w:val="0"/>
            <w:vAlign w:val="center"/>
          </w:tcPr>
          <w:p w14:paraId="33A570F3">
            <w:pPr>
              <w:widowControl/>
              <w:jc w:val="center"/>
              <w:rPr>
                <w:rFonts w:ascii="黑体" w:hAnsi="黑体" w:eastAsia="黑体" w:cs="Arial"/>
                <w:kern w:val="0"/>
                <w:szCs w:val="21"/>
              </w:rPr>
            </w:pPr>
            <w:r>
              <w:rPr>
                <w:rFonts w:hint="eastAsia" w:ascii="黑体" w:hAnsi="黑体" w:eastAsia="黑体" w:cs="Arial"/>
                <w:kern w:val="0"/>
                <w:szCs w:val="21"/>
              </w:rPr>
              <w:t>暂估价</w:t>
            </w:r>
          </w:p>
        </w:tc>
        <w:tc>
          <w:tcPr>
            <w:tcW w:w="1257" w:type="pct"/>
            <w:tcBorders>
              <w:top w:val="nil"/>
              <w:left w:val="nil"/>
              <w:bottom w:val="single" w:color="000000" w:sz="4" w:space="0"/>
              <w:right w:val="single" w:color="000000" w:sz="8" w:space="0"/>
            </w:tcBorders>
            <w:shd w:val="clear" w:color="FFFFFF" w:fill="FFFFFF"/>
            <w:noWrap w:val="0"/>
            <w:vAlign w:val="center"/>
          </w:tcPr>
          <w:p w14:paraId="733FDCBA">
            <w:pPr>
              <w:widowControl/>
              <w:jc w:val="center"/>
              <w:rPr>
                <w:rFonts w:ascii="黑体" w:hAnsi="黑体" w:eastAsia="黑体" w:cs="Arial"/>
                <w:kern w:val="0"/>
                <w:szCs w:val="21"/>
              </w:rPr>
            </w:pPr>
            <w:r>
              <w:rPr>
                <w:rFonts w:hint="eastAsia" w:ascii="黑体" w:hAnsi="黑体" w:eastAsia="黑体" w:cs="Arial"/>
                <w:kern w:val="0"/>
                <w:szCs w:val="21"/>
              </w:rPr>
              <w:t>不可竞争费</w:t>
            </w:r>
          </w:p>
        </w:tc>
      </w:tr>
      <w:tr w14:paraId="45CBD194">
        <w:tblPrEx>
          <w:tblCellMar>
            <w:top w:w="0" w:type="dxa"/>
            <w:left w:w="108" w:type="dxa"/>
            <w:bottom w:w="0" w:type="dxa"/>
            <w:right w:w="108" w:type="dxa"/>
          </w:tblCellMar>
        </w:tblPrEx>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22384519">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5FB06B0F">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2CBC5E93">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5ECDB1B3">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30D647EF">
            <w:pPr>
              <w:widowControl/>
              <w:jc w:val="right"/>
              <w:rPr>
                <w:rFonts w:ascii="宋体" w:hAnsi="宋体" w:cs="Arial"/>
                <w:kern w:val="0"/>
                <w:szCs w:val="21"/>
              </w:rPr>
            </w:pPr>
          </w:p>
        </w:tc>
      </w:tr>
      <w:tr w14:paraId="683B31D9">
        <w:tblPrEx>
          <w:tblCellMar>
            <w:top w:w="0" w:type="dxa"/>
            <w:left w:w="108" w:type="dxa"/>
            <w:bottom w:w="0" w:type="dxa"/>
            <w:right w:w="108" w:type="dxa"/>
          </w:tblCellMar>
        </w:tblPrEx>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09E412C4">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45641F1D">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736C4DDF">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5B3F3BA1">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4C6BA962">
            <w:pPr>
              <w:widowControl/>
              <w:jc w:val="right"/>
              <w:rPr>
                <w:rFonts w:ascii="宋体" w:hAnsi="宋体" w:cs="Arial"/>
                <w:kern w:val="0"/>
                <w:szCs w:val="21"/>
              </w:rPr>
            </w:pPr>
          </w:p>
        </w:tc>
      </w:tr>
      <w:tr w14:paraId="4A946B82">
        <w:tblPrEx>
          <w:tblCellMar>
            <w:top w:w="0" w:type="dxa"/>
            <w:left w:w="108" w:type="dxa"/>
            <w:bottom w:w="0" w:type="dxa"/>
            <w:right w:w="108" w:type="dxa"/>
          </w:tblCellMar>
        </w:tblPrEx>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208D5912">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4CA7BBB6">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076A8446">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6B500B0D">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50808C15">
            <w:pPr>
              <w:widowControl/>
              <w:jc w:val="right"/>
              <w:rPr>
                <w:rFonts w:ascii="宋体" w:hAnsi="宋体" w:cs="Arial"/>
                <w:kern w:val="0"/>
                <w:szCs w:val="21"/>
              </w:rPr>
            </w:pPr>
          </w:p>
        </w:tc>
      </w:tr>
      <w:tr w14:paraId="3AB4FA66">
        <w:tblPrEx>
          <w:tblCellMar>
            <w:top w:w="0" w:type="dxa"/>
            <w:left w:w="108" w:type="dxa"/>
            <w:bottom w:w="0" w:type="dxa"/>
            <w:right w:w="108" w:type="dxa"/>
          </w:tblCellMar>
        </w:tblPrEx>
        <w:trPr>
          <w:trHeight w:val="680" w:hRule="atLeast"/>
        </w:trPr>
        <w:tc>
          <w:tcPr>
            <w:tcW w:w="2148" w:type="pct"/>
            <w:gridSpan w:val="2"/>
            <w:tcBorders>
              <w:top w:val="nil"/>
              <w:left w:val="single" w:color="000000" w:sz="8" w:space="0"/>
              <w:bottom w:val="single" w:color="000000" w:sz="4" w:space="0"/>
              <w:right w:val="single" w:color="000000" w:sz="4" w:space="0"/>
            </w:tcBorders>
            <w:noWrap w:val="0"/>
            <w:vAlign w:val="center"/>
          </w:tcPr>
          <w:p w14:paraId="7B7F5536">
            <w:pPr>
              <w:widowControl/>
              <w:jc w:val="center"/>
              <w:rPr>
                <w:rFonts w:ascii="宋体" w:hAnsi="宋体" w:cs="Arial"/>
                <w:kern w:val="0"/>
                <w:szCs w:val="21"/>
              </w:rPr>
            </w:pPr>
            <w:r>
              <w:rPr>
                <w:rFonts w:hint="eastAsia" w:ascii="宋体" w:hAnsi="宋体" w:cs="Arial"/>
                <w:kern w:val="0"/>
                <w:szCs w:val="21"/>
              </w:rPr>
              <w:t>合计</w:t>
            </w:r>
          </w:p>
        </w:tc>
        <w:tc>
          <w:tcPr>
            <w:tcW w:w="870" w:type="pct"/>
            <w:tcBorders>
              <w:top w:val="single" w:color="000000" w:sz="4" w:space="0"/>
              <w:left w:val="nil"/>
              <w:bottom w:val="single" w:color="000000" w:sz="4" w:space="0"/>
              <w:right w:val="single" w:color="000000" w:sz="4" w:space="0"/>
            </w:tcBorders>
            <w:noWrap w:val="0"/>
            <w:vAlign w:val="center"/>
          </w:tcPr>
          <w:p w14:paraId="3EEF1EF8">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25E5DEB5">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1B8133C2">
            <w:pPr>
              <w:widowControl/>
              <w:jc w:val="right"/>
              <w:rPr>
                <w:rFonts w:ascii="宋体" w:hAnsi="宋体" w:cs="Arial"/>
                <w:kern w:val="0"/>
                <w:szCs w:val="21"/>
              </w:rPr>
            </w:pPr>
          </w:p>
        </w:tc>
      </w:tr>
    </w:tbl>
    <w:p w14:paraId="5E1C65E8">
      <w:pPr>
        <w:spacing w:before="48" w:beforeLines="20" w:after="48" w:afterLines="20" w:line="540" w:lineRule="exact"/>
        <w:rPr>
          <w:rFonts w:hint="eastAsia" w:ascii="宋体" w:hAnsi="宋体"/>
          <w:sz w:val="24"/>
          <w:szCs w:val="22"/>
        </w:rPr>
      </w:pPr>
    </w:p>
    <w:p w14:paraId="0FC40B04">
      <w:pPr>
        <w:jc w:val="center"/>
        <w:outlineLvl w:val="2"/>
        <w:rPr>
          <w:rFonts w:ascii="宋体" w:hAnsi="宋体"/>
          <w:sz w:val="28"/>
          <w:szCs w:val="28"/>
        </w:rPr>
      </w:pPr>
      <w:bookmarkStart w:id="473" w:name="_Toc460660240"/>
      <w:bookmarkStart w:id="474" w:name="_Toc460227125"/>
      <w:r>
        <w:rPr>
          <w:rFonts w:hint="eastAsia" w:ascii="宋体" w:hAnsi="宋体"/>
          <w:sz w:val="28"/>
          <w:szCs w:val="28"/>
        </w:rPr>
        <w:t>（三）</w:t>
      </w:r>
      <w:bookmarkEnd w:id="473"/>
      <w:bookmarkEnd w:id="474"/>
      <w:r>
        <w:rPr>
          <w:rFonts w:hint="eastAsia" w:ascii="宋体" w:hAnsi="宋体"/>
          <w:sz w:val="28"/>
          <w:szCs w:val="28"/>
        </w:rPr>
        <w:t>单项工程投标报价汇总表</w:t>
      </w:r>
    </w:p>
    <w:p w14:paraId="3766350A">
      <w:pPr>
        <w:spacing w:before="48" w:beforeLines="20" w:after="48" w:afterLines="20" w:line="540" w:lineRule="exact"/>
        <w:rPr>
          <w:rFonts w:hint="eastAsia" w:ascii="宋体" w:hAnsi="宋体"/>
          <w:szCs w:val="21"/>
        </w:rPr>
      </w:pPr>
      <w:r>
        <w:rPr>
          <w:rFonts w:hint="eastAsia" w:ascii="宋体" w:hAnsi="宋体"/>
          <w:szCs w:val="21"/>
        </w:rPr>
        <w:t>工程名称：                                                            第   页共   页</w:t>
      </w:r>
    </w:p>
    <w:tbl>
      <w:tblPr>
        <w:tblStyle w:val="53"/>
        <w:tblW w:w="8946" w:type="dxa"/>
        <w:tblInd w:w="93" w:type="dxa"/>
        <w:tblLayout w:type="autofit"/>
        <w:tblCellMar>
          <w:top w:w="0" w:type="dxa"/>
          <w:left w:w="108" w:type="dxa"/>
          <w:bottom w:w="0" w:type="dxa"/>
          <w:right w:w="108" w:type="dxa"/>
        </w:tblCellMar>
      </w:tblPr>
      <w:tblGrid>
        <w:gridCol w:w="820"/>
        <w:gridCol w:w="3023"/>
        <w:gridCol w:w="1557"/>
        <w:gridCol w:w="1298"/>
        <w:gridCol w:w="2248"/>
      </w:tblGrid>
      <w:tr w14:paraId="246901D8">
        <w:tblPrEx>
          <w:tblCellMar>
            <w:top w:w="0" w:type="dxa"/>
            <w:left w:w="108" w:type="dxa"/>
            <w:bottom w:w="0" w:type="dxa"/>
            <w:right w:w="108" w:type="dxa"/>
          </w:tblCellMar>
        </w:tblPrEx>
        <w:trPr>
          <w:trHeight w:val="338" w:hRule="atLeast"/>
        </w:trPr>
        <w:tc>
          <w:tcPr>
            <w:tcW w:w="8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8F64175">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302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B4542D0">
            <w:pPr>
              <w:widowControl/>
              <w:jc w:val="center"/>
              <w:rPr>
                <w:rFonts w:ascii="黑体" w:hAnsi="黑体" w:eastAsia="黑体" w:cs="Arial"/>
                <w:kern w:val="0"/>
                <w:szCs w:val="21"/>
              </w:rPr>
            </w:pPr>
            <w:r>
              <w:rPr>
                <w:rFonts w:hint="eastAsia" w:ascii="黑体" w:hAnsi="黑体" w:eastAsia="黑体" w:cs="Arial"/>
                <w:kern w:val="0"/>
                <w:szCs w:val="21"/>
              </w:rPr>
              <w:t>单位工程名称</w:t>
            </w:r>
          </w:p>
        </w:tc>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62F2F7">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3546" w:type="dxa"/>
            <w:gridSpan w:val="2"/>
            <w:tcBorders>
              <w:top w:val="single" w:color="000000" w:sz="8" w:space="0"/>
              <w:left w:val="nil"/>
              <w:bottom w:val="single" w:color="000000" w:sz="4" w:space="0"/>
              <w:right w:val="single" w:color="000000" w:sz="8" w:space="0"/>
            </w:tcBorders>
            <w:shd w:val="clear" w:color="FFFFFF" w:fill="FFFFFF"/>
            <w:noWrap w:val="0"/>
            <w:vAlign w:val="center"/>
          </w:tcPr>
          <w:p w14:paraId="5D97D23C">
            <w:pPr>
              <w:widowControl/>
              <w:jc w:val="center"/>
              <w:rPr>
                <w:rFonts w:ascii="黑体" w:hAnsi="黑体" w:eastAsia="黑体" w:cs="Arial"/>
                <w:kern w:val="0"/>
                <w:szCs w:val="21"/>
              </w:rPr>
            </w:pPr>
            <w:r>
              <w:rPr>
                <w:rFonts w:hint="eastAsia" w:ascii="黑体" w:hAnsi="黑体" w:eastAsia="黑体" w:cs="Arial"/>
                <w:kern w:val="0"/>
                <w:szCs w:val="21"/>
              </w:rPr>
              <w:t>其中：（元）</w:t>
            </w:r>
          </w:p>
        </w:tc>
      </w:tr>
      <w:tr w14:paraId="577839EB">
        <w:tblPrEx>
          <w:tblCellMar>
            <w:top w:w="0" w:type="dxa"/>
            <w:left w:w="108" w:type="dxa"/>
            <w:bottom w:w="0" w:type="dxa"/>
            <w:right w:w="108" w:type="dxa"/>
          </w:tblCellMar>
        </w:tblPrEx>
        <w:trPr>
          <w:trHeight w:val="353" w:hRule="atLeast"/>
        </w:trPr>
        <w:tc>
          <w:tcPr>
            <w:tcW w:w="820"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3E0A3898">
            <w:pPr>
              <w:widowControl/>
              <w:jc w:val="left"/>
              <w:rPr>
                <w:rFonts w:ascii="黑体" w:hAnsi="黑体" w:eastAsia="黑体" w:cs="Arial"/>
                <w:kern w:val="0"/>
                <w:szCs w:val="21"/>
              </w:rPr>
            </w:pPr>
          </w:p>
        </w:tc>
        <w:tc>
          <w:tcPr>
            <w:tcW w:w="302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1367EAD">
            <w:pPr>
              <w:widowControl/>
              <w:jc w:val="left"/>
              <w:rPr>
                <w:rFonts w:ascii="黑体" w:hAnsi="黑体" w:eastAsia="黑体" w:cs="Arial"/>
                <w:kern w:val="0"/>
                <w:szCs w:val="21"/>
              </w:rPr>
            </w:pPr>
          </w:p>
        </w:tc>
        <w:tc>
          <w:tcPr>
            <w:tcW w:w="1557"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6656EB1">
            <w:pPr>
              <w:widowControl/>
              <w:jc w:val="left"/>
              <w:rPr>
                <w:rFonts w:ascii="黑体" w:hAnsi="黑体" w:eastAsia="黑体" w:cs="Arial"/>
                <w:kern w:val="0"/>
                <w:szCs w:val="21"/>
              </w:rPr>
            </w:pPr>
          </w:p>
        </w:tc>
        <w:tc>
          <w:tcPr>
            <w:tcW w:w="1298" w:type="dxa"/>
            <w:tcBorders>
              <w:top w:val="single" w:color="000000" w:sz="4" w:space="0"/>
              <w:left w:val="nil"/>
              <w:bottom w:val="single" w:color="000000" w:sz="4" w:space="0"/>
              <w:right w:val="single" w:color="000000" w:sz="4" w:space="0"/>
            </w:tcBorders>
            <w:shd w:val="clear" w:color="FFFFFF" w:fill="FFFFFF"/>
            <w:noWrap w:val="0"/>
            <w:vAlign w:val="center"/>
          </w:tcPr>
          <w:p w14:paraId="65725528">
            <w:pPr>
              <w:widowControl/>
              <w:jc w:val="center"/>
              <w:rPr>
                <w:rFonts w:ascii="黑体" w:hAnsi="黑体" w:eastAsia="黑体" w:cs="Arial"/>
                <w:kern w:val="0"/>
                <w:szCs w:val="21"/>
              </w:rPr>
            </w:pPr>
            <w:r>
              <w:rPr>
                <w:rFonts w:hint="eastAsia" w:ascii="黑体" w:hAnsi="黑体" w:eastAsia="黑体" w:cs="Arial"/>
                <w:kern w:val="0"/>
                <w:szCs w:val="21"/>
              </w:rPr>
              <w:t>暂估价</w:t>
            </w:r>
          </w:p>
        </w:tc>
        <w:tc>
          <w:tcPr>
            <w:tcW w:w="2248" w:type="dxa"/>
            <w:tcBorders>
              <w:top w:val="nil"/>
              <w:left w:val="nil"/>
              <w:bottom w:val="single" w:color="000000" w:sz="4" w:space="0"/>
              <w:right w:val="single" w:color="000000" w:sz="8" w:space="0"/>
            </w:tcBorders>
            <w:shd w:val="clear" w:color="FFFFFF" w:fill="FFFFFF"/>
            <w:noWrap w:val="0"/>
            <w:vAlign w:val="center"/>
          </w:tcPr>
          <w:p w14:paraId="36073A5B">
            <w:pPr>
              <w:widowControl/>
              <w:jc w:val="center"/>
              <w:rPr>
                <w:rFonts w:ascii="黑体" w:hAnsi="黑体" w:eastAsia="黑体" w:cs="Arial"/>
                <w:kern w:val="0"/>
                <w:szCs w:val="21"/>
              </w:rPr>
            </w:pPr>
            <w:r>
              <w:rPr>
                <w:rFonts w:hint="eastAsia" w:ascii="黑体" w:hAnsi="黑体" w:eastAsia="黑体" w:cs="Arial"/>
                <w:kern w:val="0"/>
                <w:szCs w:val="21"/>
              </w:rPr>
              <w:t>不可竞争费</w:t>
            </w:r>
          </w:p>
        </w:tc>
      </w:tr>
      <w:tr w14:paraId="694B2FD4">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2F7C6C6">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40F6C943">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170D72F6">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0701086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32A6E103">
            <w:pPr>
              <w:widowControl/>
              <w:jc w:val="right"/>
              <w:rPr>
                <w:rFonts w:ascii="宋体" w:hAnsi="宋体" w:cs="Arial"/>
                <w:kern w:val="0"/>
                <w:szCs w:val="21"/>
              </w:rPr>
            </w:pPr>
          </w:p>
        </w:tc>
      </w:tr>
      <w:tr w14:paraId="585F5582">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0AB579C">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7B20EA08">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153E31E0">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51CDE26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78DD7529">
            <w:pPr>
              <w:widowControl/>
              <w:jc w:val="right"/>
              <w:rPr>
                <w:rFonts w:ascii="宋体" w:hAnsi="宋体" w:cs="Arial"/>
                <w:kern w:val="0"/>
                <w:szCs w:val="21"/>
              </w:rPr>
            </w:pPr>
          </w:p>
        </w:tc>
      </w:tr>
      <w:tr w14:paraId="01910656">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371F883">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34AD40EE">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555B9129">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2F802F3F">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5558DD1C">
            <w:pPr>
              <w:widowControl/>
              <w:jc w:val="right"/>
              <w:rPr>
                <w:rFonts w:ascii="宋体" w:hAnsi="宋体" w:cs="Arial"/>
                <w:kern w:val="0"/>
                <w:szCs w:val="21"/>
              </w:rPr>
            </w:pPr>
          </w:p>
        </w:tc>
      </w:tr>
      <w:tr w14:paraId="6D6D6C33">
        <w:tblPrEx>
          <w:tblCellMar>
            <w:top w:w="0" w:type="dxa"/>
            <w:left w:w="108" w:type="dxa"/>
            <w:bottom w:w="0" w:type="dxa"/>
            <w:right w:w="108" w:type="dxa"/>
          </w:tblCellMar>
        </w:tblPrEx>
        <w:trPr>
          <w:trHeight w:val="680" w:hRule="atLeast"/>
        </w:trPr>
        <w:tc>
          <w:tcPr>
            <w:tcW w:w="3843" w:type="dxa"/>
            <w:gridSpan w:val="2"/>
            <w:tcBorders>
              <w:top w:val="nil"/>
              <w:left w:val="single" w:color="000000" w:sz="8" w:space="0"/>
              <w:bottom w:val="single" w:color="000000" w:sz="4" w:space="0"/>
              <w:right w:val="single" w:color="000000" w:sz="4" w:space="0"/>
            </w:tcBorders>
            <w:noWrap w:val="0"/>
            <w:vAlign w:val="center"/>
          </w:tcPr>
          <w:p w14:paraId="2FBC494E">
            <w:pPr>
              <w:widowControl/>
              <w:jc w:val="center"/>
              <w:rPr>
                <w:rFonts w:ascii="宋体" w:hAnsi="宋体" w:cs="Arial"/>
                <w:kern w:val="0"/>
                <w:szCs w:val="21"/>
              </w:rPr>
            </w:pPr>
            <w:r>
              <w:rPr>
                <w:rFonts w:hint="eastAsia" w:ascii="宋体" w:hAnsi="宋体" w:cs="Arial"/>
                <w:kern w:val="0"/>
                <w:szCs w:val="21"/>
              </w:rPr>
              <w:t>合计</w:t>
            </w:r>
          </w:p>
        </w:tc>
        <w:tc>
          <w:tcPr>
            <w:tcW w:w="1557" w:type="dxa"/>
            <w:tcBorders>
              <w:top w:val="single" w:color="000000" w:sz="4" w:space="0"/>
              <w:left w:val="nil"/>
              <w:bottom w:val="single" w:color="000000" w:sz="4" w:space="0"/>
              <w:right w:val="single" w:color="000000" w:sz="4" w:space="0"/>
            </w:tcBorders>
            <w:noWrap w:val="0"/>
            <w:vAlign w:val="center"/>
          </w:tcPr>
          <w:p w14:paraId="0A5A9912">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2B110D1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508080C6">
            <w:pPr>
              <w:widowControl/>
              <w:jc w:val="right"/>
              <w:rPr>
                <w:rFonts w:ascii="宋体" w:hAnsi="宋体" w:cs="Arial"/>
                <w:kern w:val="0"/>
                <w:szCs w:val="21"/>
              </w:rPr>
            </w:pPr>
          </w:p>
        </w:tc>
      </w:tr>
    </w:tbl>
    <w:p w14:paraId="3B6C081A">
      <w:pPr>
        <w:jc w:val="center"/>
        <w:rPr>
          <w:sz w:val="32"/>
          <w:szCs w:val="32"/>
        </w:rPr>
      </w:pPr>
      <w:bookmarkStart w:id="475" w:name="_Toc460660241"/>
      <w:bookmarkStart w:id="476" w:name="_Toc460227126"/>
    </w:p>
    <w:p w14:paraId="34148585">
      <w:pPr>
        <w:jc w:val="center"/>
        <w:outlineLvl w:val="2"/>
        <w:rPr>
          <w:rFonts w:hint="eastAsia" w:ascii="宋体" w:hAnsi="宋体"/>
          <w:sz w:val="28"/>
          <w:szCs w:val="28"/>
        </w:rPr>
      </w:pPr>
      <w:r>
        <w:rPr>
          <w:rFonts w:ascii="宋体" w:hAnsi="宋体"/>
          <w:sz w:val="28"/>
          <w:szCs w:val="28"/>
        </w:rPr>
        <w:br w:type="page"/>
      </w:r>
      <w:r>
        <w:rPr>
          <w:rFonts w:hint="eastAsia" w:ascii="宋体" w:hAnsi="宋体"/>
          <w:sz w:val="28"/>
          <w:szCs w:val="28"/>
        </w:rPr>
        <w:t>（四）</w:t>
      </w:r>
      <w:bookmarkEnd w:id="475"/>
      <w:bookmarkEnd w:id="476"/>
      <w:r>
        <w:rPr>
          <w:rFonts w:hint="eastAsia" w:ascii="宋体" w:hAnsi="宋体"/>
          <w:sz w:val="28"/>
          <w:szCs w:val="28"/>
        </w:rPr>
        <w:t>单位工程投标报价汇总表</w:t>
      </w:r>
    </w:p>
    <w:p w14:paraId="4553B425">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8946" w:type="dxa"/>
        <w:tblInd w:w="93" w:type="dxa"/>
        <w:tblLayout w:type="autofit"/>
        <w:tblCellMar>
          <w:top w:w="0" w:type="dxa"/>
          <w:left w:w="108" w:type="dxa"/>
          <w:bottom w:w="0" w:type="dxa"/>
          <w:right w:w="108" w:type="dxa"/>
        </w:tblCellMar>
      </w:tblPr>
      <w:tblGrid>
        <w:gridCol w:w="820"/>
        <w:gridCol w:w="3448"/>
        <w:gridCol w:w="1701"/>
        <w:gridCol w:w="2977"/>
      </w:tblGrid>
      <w:tr w14:paraId="340C9B4A">
        <w:tblPrEx>
          <w:tblCellMar>
            <w:top w:w="0" w:type="dxa"/>
            <w:left w:w="108" w:type="dxa"/>
            <w:bottom w:w="0" w:type="dxa"/>
            <w:right w:w="108" w:type="dxa"/>
          </w:tblCellMar>
        </w:tblPrEx>
        <w:trPr>
          <w:trHeight w:val="690" w:hRule="atLeast"/>
        </w:trPr>
        <w:tc>
          <w:tcPr>
            <w:tcW w:w="82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1EF27F6">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3448" w:type="dxa"/>
            <w:tcBorders>
              <w:top w:val="single" w:color="000000" w:sz="8" w:space="0"/>
              <w:left w:val="nil"/>
              <w:bottom w:val="single" w:color="000000" w:sz="4" w:space="0"/>
              <w:right w:val="single" w:color="000000" w:sz="4" w:space="0"/>
            </w:tcBorders>
            <w:shd w:val="clear" w:color="FFFFFF" w:fill="FFFFFF"/>
            <w:noWrap w:val="0"/>
            <w:vAlign w:val="center"/>
          </w:tcPr>
          <w:p w14:paraId="5344F7BB">
            <w:pPr>
              <w:widowControl/>
              <w:jc w:val="center"/>
              <w:rPr>
                <w:rFonts w:ascii="黑体" w:hAnsi="黑体" w:eastAsia="黑体" w:cs="Arial"/>
                <w:kern w:val="0"/>
                <w:szCs w:val="21"/>
              </w:rPr>
            </w:pPr>
            <w:r>
              <w:rPr>
                <w:rFonts w:hint="eastAsia" w:ascii="黑体" w:hAnsi="黑体" w:eastAsia="黑体" w:cs="Arial"/>
                <w:kern w:val="0"/>
                <w:szCs w:val="21"/>
              </w:rPr>
              <w:t>汇总内容</w:t>
            </w:r>
          </w:p>
        </w:tc>
        <w:tc>
          <w:tcPr>
            <w:tcW w:w="1701" w:type="dxa"/>
            <w:tcBorders>
              <w:top w:val="single" w:color="000000" w:sz="8" w:space="0"/>
              <w:left w:val="nil"/>
              <w:bottom w:val="single" w:color="000000" w:sz="4" w:space="0"/>
              <w:right w:val="single" w:color="000000" w:sz="4" w:space="0"/>
            </w:tcBorders>
            <w:shd w:val="clear" w:color="FFFFFF" w:fill="FFFFFF"/>
            <w:noWrap w:val="0"/>
            <w:vAlign w:val="center"/>
          </w:tcPr>
          <w:p w14:paraId="1FEFCCD1">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2977" w:type="dxa"/>
            <w:tcBorders>
              <w:top w:val="single" w:color="000000" w:sz="8" w:space="0"/>
              <w:left w:val="nil"/>
              <w:bottom w:val="single" w:color="000000" w:sz="4" w:space="0"/>
              <w:right w:val="single" w:color="000000" w:sz="8" w:space="0"/>
            </w:tcBorders>
            <w:shd w:val="clear" w:color="FFFFFF" w:fill="FFFFFF"/>
            <w:noWrap w:val="0"/>
            <w:vAlign w:val="center"/>
          </w:tcPr>
          <w:p w14:paraId="13386F2F">
            <w:pPr>
              <w:widowControl/>
              <w:jc w:val="center"/>
              <w:rPr>
                <w:rFonts w:ascii="黑体" w:hAnsi="黑体" w:eastAsia="黑体" w:cs="Arial"/>
                <w:kern w:val="0"/>
                <w:szCs w:val="21"/>
              </w:rPr>
            </w:pPr>
            <w:r>
              <w:rPr>
                <w:rFonts w:hint="eastAsia" w:ascii="黑体" w:hAnsi="黑体" w:eastAsia="黑体" w:cs="Arial"/>
                <w:kern w:val="0"/>
                <w:szCs w:val="21"/>
              </w:rPr>
              <w:t>其中：材料、设备暂估价（元）</w:t>
            </w:r>
          </w:p>
        </w:tc>
      </w:tr>
      <w:tr w14:paraId="359E27BD">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1E9CEA1">
            <w:pPr>
              <w:widowControl/>
              <w:jc w:val="center"/>
              <w:rPr>
                <w:rFonts w:ascii="宋体" w:hAnsi="宋体" w:cs="Arial"/>
                <w:kern w:val="0"/>
                <w:szCs w:val="21"/>
              </w:rPr>
            </w:pPr>
            <w:r>
              <w:rPr>
                <w:rFonts w:hint="eastAsia" w:ascii="宋体" w:hAnsi="宋体" w:cs="Arial"/>
                <w:kern w:val="0"/>
                <w:szCs w:val="21"/>
              </w:rPr>
              <w:t>1</w:t>
            </w:r>
          </w:p>
        </w:tc>
        <w:tc>
          <w:tcPr>
            <w:tcW w:w="3448" w:type="dxa"/>
            <w:tcBorders>
              <w:top w:val="single" w:color="000000" w:sz="4" w:space="0"/>
              <w:left w:val="nil"/>
              <w:bottom w:val="single" w:color="000000" w:sz="4" w:space="0"/>
              <w:right w:val="single" w:color="000000" w:sz="4" w:space="0"/>
            </w:tcBorders>
            <w:noWrap w:val="0"/>
            <w:vAlign w:val="center"/>
          </w:tcPr>
          <w:p w14:paraId="4983C157">
            <w:pPr>
              <w:widowControl/>
              <w:jc w:val="left"/>
              <w:rPr>
                <w:rFonts w:ascii="宋体" w:hAnsi="宋体" w:cs="Arial"/>
                <w:kern w:val="0"/>
                <w:szCs w:val="21"/>
              </w:rPr>
            </w:pPr>
            <w:r>
              <w:rPr>
                <w:rFonts w:hint="eastAsia" w:ascii="宋体" w:hAnsi="宋体" w:cs="Arial"/>
                <w:kern w:val="0"/>
                <w:szCs w:val="21"/>
              </w:rPr>
              <w:t>分部分项工程费</w:t>
            </w:r>
          </w:p>
        </w:tc>
        <w:tc>
          <w:tcPr>
            <w:tcW w:w="1701" w:type="dxa"/>
            <w:tcBorders>
              <w:top w:val="single" w:color="000000" w:sz="4" w:space="0"/>
              <w:left w:val="nil"/>
              <w:bottom w:val="single" w:color="000000" w:sz="4" w:space="0"/>
              <w:right w:val="single" w:color="000000" w:sz="4" w:space="0"/>
            </w:tcBorders>
            <w:noWrap w:val="0"/>
            <w:vAlign w:val="center"/>
          </w:tcPr>
          <w:p w14:paraId="65CE4A5C">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E565F4C">
            <w:pPr>
              <w:widowControl/>
              <w:jc w:val="right"/>
              <w:rPr>
                <w:rFonts w:ascii="宋体" w:hAnsi="宋体" w:cs="Arial"/>
                <w:kern w:val="0"/>
                <w:szCs w:val="21"/>
              </w:rPr>
            </w:pPr>
          </w:p>
        </w:tc>
      </w:tr>
      <w:tr w14:paraId="562DF210">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7FE3E0C9">
            <w:pPr>
              <w:widowControl/>
              <w:jc w:val="center"/>
              <w:rPr>
                <w:rFonts w:ascii="宋体" w:hAnsi="宋体" w:cs="Arial"/>
                <w:kern w:val="0"/>
                <w:szCs w:val="21"/>
              </w:rPr>
            </w:pPr>
            <w:r>
              <w:rPr>
                <w:rFonts w:hint="eastAsia" w:ascii="宋体" w:hAnsi="宋体" w:cs="Arial"/>
                <w:kern w:val="0"/>
                <w:szCs w:val="21"/>
              </w:rPr>
              <w:t>2</w:t>
            </w:r>
          </w:p>
        </w:tc>
        <w:tc>
          <w:tcPr>
            <w:tcW w:w="3448" w:type="dxa"/>
            <w:tcBorders>
              <w:top w:val="single" w:color="000000" w:sz="4" w:space="0"/>
              <w:left w:val="nil"/>
              <w:bottom w:val="single" w:color="000000" w:sz="4" w:space="0"/>
              <w:right w:val="single" w:color="000000" w:sz="4" w:space="0"/>
            </w:tcBorders>
            <w:noWrap w:val="0"/>
            <w:vAlign w:val="center"/>
          </w:tcPr>
          <w:p w14:paraId="6E5B1F7F">
            <w:pPr>
              <w:widowControl/>
              <w:jc w:val="left"/>
              <w:rPr>
                <w:rFonts w:ascii="宋体" w:hAnsi="宋体" w:cs="Arial"/>
                <w:kern w:val="0"/>
                <w:szCs w:val="21"/>
              </w:rPr>
            </w:pPr>
            <w:r>
              <w:rPr>
                <w:rFonts w:hint="eastAsia" w:ascii="宋体" w:hAnsi="宋体" w:cs="Arial"/>
                <w:kern w:val="0"/>
                <w:szCs w:val="21"/>
              </w:rPr>
              <w:t>措施项目费</w:t>
            </w:r>
          </w:p>
        </w:tc>
        <w:tc>
          <w:tcPr>
            <w:tcW w:w="1701" w:type="dxa"/>
            <w:tcBorders>
              <w:top w:val="single" w:color="000000" w:sz="4" w:space="0"/>
              <w:left w:val="nil"/>
              <w:bottom w:val="single" w:color="000000" w:sz="4" w:space="0"/>
              <w:right w:val="single" w:color="000000" w:sz="4" w:space="0"/>
            </w:tcBorders>
            <w:noWrap w:val="0"/>
            <w:vAlign w:val="center"/>
          </w:tcPr>
          <w:p w14:paraId="36381FC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7C9F2E03">
            <w:pPr>
              <w:widowControl/>
              <w:jc w:val="right"/>
              <w:rPr>
                <w:rFonts w:ascii="宋体" w:hAnsi="宋体" w:cs="Arial"/>
                <w:kern w:val="0"/>
                <w:szCs w:val="21"/>
              </w:rPr>
            </w:pPr>
          </w:p>
        </w:tc>
      </w:tr>
      <w:tr w14:paraId="4BDDCCCF">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3A237364">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0052A690">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55B631A5">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66E93736">
            <w:pPr>
              <w:widowControl/>
              <w:jc w:val="right"/>
              <w:rPr>
                <w:rFonts w:ascii="宋体" w:hAnsi="宋体" w:cs="Arial"/>
                <w:kern w:val="0"/>
                <w:szCs w:val="21"/>
              </w:rPr>
            </w:pPr>
          </w:p>
        </w:tc>
      </w:tr>
      <w:tr w14:paraId="7AEBC3E7">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324E9841">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09E4D679">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3569FF9F">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5E02B250">
            <w:pPr>
              <w:widowControl/>
              <w:jc w:val="right"/>
              <w:rPr>
                <w:rFonts w:ascii="宋体" w:hAnsi="宋体" w:cs="Arial"/>
                <w:kern w:val="0"/>
                <w:szCs w:val="21"/>
              </w:rPr>
            </w:pPr>
          </w:p>
        </w:tc>
      </w:tr>
      <w:tr w14:paraId="42E7F895">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26AFCD39">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459EED06">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154A1016">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FDB0BAC">
            <w:pPr>
              <w:widowControl/>
              <w:jc w:val="right"/>
              <w:rPr>
                <w:rFonts w:ascii="宋体" w:hAnsi="宋体" w:cs="Arial"/>
                <w:kern w:val="0"/>
                <w:szCs w:val="21"/>
              </w:rPr>
            </w:pPr>
          </w:p>
        </w:tc>
      </w:tr>
      <w:tr w14:paraId="6EA6132A">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B1E371E">
            <w:pPr>
              <w:widowControl/>
              <w:jc w:val="center"/>
              <w:rPr>
                <w:rFonts w:ascii="宋体" w:hAnsi="宋体" w:cs="Arial"/>
                <w:kern w:val="0"/>
                <w:szCs w:val="21"/>
              </w:rPr>
            </w:pPr>
            <w:r>
              <w:rPr>
                <w:rFonts w:hint="eastAsia" w:ascii="宋体" w:hAnsi="宋体" w:cs="Arial"/>
                <w:kern w:val="0"/>
                <w:szCs w:val="21"/>
              </w:rPr>
              <w:t>3</w:t>
            </w:r>
          </w:p>
        </w:tc>
        <w:tc>
          <w:tcPr>
            <w:tcW w:w="3448" w:type="dxa"/>
            <w:tcBorders>
              <w:top w:val="single" w:color="000000" w:sz="4" w:space="0"/>
              <w:left w:val="nil"/>
              <w:bottom w:val="single" w:color="000000" w:sz="4" w:space="0"/>
              <w:right w:val="single" w:color="000000" w:sz="4" w:space="0"/>
            </w:tcBorders>
            <w:noWrap w:val="0"/>
            <w:vAlign w:val="center"/>
          </w:tcPr>
          <w:p w14:paraId="5EECB501">
            <w:pPr>
              <w:widowControl/>
              <w:jc w:val="left"/>
              <w:rPr>
                <w:rFonts w:ascii="宋体" w:hAnsi="宋体" w:cs="Arial"/>
                <w:kern w:val="0"/>
                <w:szCs w:val="21"/>
              </w:rPr>
            </w:pPr>
            <w:r>
              <w:rPr>
                <w:rFonts w:hint="eastAsia" w:ascii="宋体" w:hAnsi="宋体" w:cs="Arial"/>
                <w:kern w:val="0"/>
                <w:szCs w:val="21"/>
              </w:rPr>
              <w:t>不可竞争费</w:t>
            </w:r>
          </w:p>
        </w:tc>
        <w:tc>
          <w:tcPr>
            <w:tcW w:w="1701" w:type="dxa"/>
            <w:tcBorders>
              <w:top w:val="single" w:color="000000" w:sz="4" w:space="0"/>
              <w:left w:val="nil"/>
              <w:bottom w:val="single" w:color="000000" w:sz="4" w:space="0"/>
              <w:right w:val="single" w:color="000000" w:sz="4" w:space="0"/>
            </w:tcBorders>
            <w:noWrap w:val="0"/>
            <w:vAlign w:val="center"/>
          </w:tcPr>
          <w:p w14:paraId="2C8C528F">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D24BF33">
            <w:pPr>
              <w:widowControl/>
              <w:jc w:val="right"/>
              <w:rPr>
                <w:rFonts w:ascii="宋体" w:hAnsi="宋体" w:cs="Arial"/>
                <w:kern w:val="0"/>
                <w:szCs w:val="21"/>
              </w:rPr>
            </w:pPr>
          </w:p>
        </w:tc>
      </w:tr>
      <w:tr w14:paraId="277C0DDB">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5FF55CC">
            <w:pPr>
              <w:widowControl/>
              <w:jc w:val="center"/>
              <w:rPr>
                <w:rFonts w:ascii="宋体" w:hAnsi="宋体" w:cs="Arial"/>
                <w:kern w:val="0"/>
                <w:szCs w:val="21"/>
              </w:rPr>
            </w:pPr>
            <w:r>
              <w:rPr>
                <w:rFonts w:hint="eastAsia" w:ascii="宋体" w:hAnsi="宋体" w:cs="Arial"/>
                <w:kern w:val="0"/>
                <w:szCs w:val="21"/>
              </w:rPr>
              <w:t>3.1</w:t>
            </w:r>
          </w:p>
        </w:tc>
        <w:tc>
          <w:tcPr>
            <w:tcW w:w="3448" w:type="dxa"/>
            <w:tcBorders>
              <w:top w:val="single" w:color="000000" w:sz="4" w:space="0"/>
              <w:left w:val="nil"/>
              <w:bottom w:val="single" w:color="000000" w:sz="4" w:space="0"/>
              <w:right w:val="single" w:color="000000" w:sz="4" w:space="0"/>
            </w:tcBorders>
            <w:noWrap w:val="0"/>
            <w:vAlign w:val="center"/>
          </w:tcPr>
          <w:p w14:paraId="26EC9A5A">
            <w:pPr>
              <w:widowControl/>
              <w:jc w:val="left"/>
              <w:rPr>
                <w:rFonts w:ascii="宋体" w:hAnsi="宋体" w:cs="Arial"/>
                <w:kern w:val="0"/>
                <w:szCs w:val="21"/>
              </w:rPr>
            </w:pPr>
            <w:r>
              <w:rPr>
                <w:rFonts w:hint="eastAsia" w:ascii="宋体" w:hAnsi="宋体" w:cs="Arial"/>
                <w:kern w:val="0"/>
                <w:szCs w:val="21"/>
              </w:rPr>
              <w:t xml:space="preserve">  安全文明施工费</w:t>
            </w:r>
          </w:p>
        </w:tc>
        <w:tc>
          <w:tcPr>
            <w:tcW w:w="1701" w:type="dxa"/>
            <w:tcBorders>
              <w:top w:val="single" w:color="000000" w:sz="4" w:space="0"/>
              <w:left w:val="nil"/>
              <w:bottom w:val="single" w:color="000000" w:sz="4" w:space="0"/>
              <w:right w:val="single" w:color="000000" w:sz="4" w:space="0"/>
            </w:tcBorders>
            <w:noWrap w:val="0"/>
            <w:vAlign w:val="center"/>
          </w:tcPr>
          <w:p w14:paraId="7758A51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DDA8B75">
            <w:pPr>
              <w:widowControl/>
              <w:jc w:val="right"/>
              <w:rPr>
                <w:rFonts w:ascii="宋体" w:hAnsi="宋体" w:cs="Arial"/>
                <w:kern w:val="0"/>
                <w:szCs w:val="21"/>
              </w:rPr>
            </w:pPr>
          </w:p>
        </w:tc>
      </w:tr>
      <w:tr w14:paraId="51220B75">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459BEB4B">
            <w:pPr>
              <w:widowControl/>
              <w:jc w:val="center"/>
              <w:rPr>
                <w:rFonts w:ascii="宋体" w:hAnsi="宋体" w:cs="Arial"/>
                <w:kern w:val="0"/>
                <w:szCs w:val="21"/>
              </w:rPr>
            </w:pPr>
            <w:r>
              <w:rPr>
                <w:rFonts w:hint="eastAsia" w:ascii="宋体" w:hAnsi="宋体" w:cs="Arial"/>
                <w:kern w:val="0"/>
                <w:szCs w:val="21"/>
              </w:rPr>
              <w:t>3.2</w:t>
            </w:r>
          </w:p>
        </w:tc>
        <w:tc>
          <w:tcPr>
            <w:tcW w:w="3448" w:type="dxa"/>
            <w:tcBorders>
              <w:top w:val="single" w:color="000000" w:sz="4" w:space="0"/>
              <w:left w:val="nil"/>
              <w:bottom w:val="single" w:color="000000" w:sz="4" w:space="0"/>
              <w:right w:val="single" w:color="000000" w:sz="4" w:space="0"/>
            </w:tcBorders>
            <w:noWrap w:val="0"/>
            <w:vAlign w:val="center"/>
          </w:tcPr>
          <w:p w14:paraId="16AFAEBD">
            <w:pPr>
              <w:widowControl/>
              <w:jc w:val="left"/>
              <w:rPr>
                <w:rFonts w:ascii="宋体" w:hAnsi="宋体" w:cs="Arial"/>
                <w:kern w:val="0"/>
                <w:szCs w:val="21"/>
              </w:rPr>
            </w:pPr>
            <w:r>
              <w:rPr>
                <w:rFonts w:hint="eastAsia" w:ascii="宋体" w:hAnsi="宋体" w:cs="Arial"/>
                <w:kern w:val="0"/>
                <w:szCs w:val="21"/>
              </w:rPr>
              <w:t xml:space="preserve">  工程排污费</w:t>
            </w:r>
          </w:p>
        </w:tc>
        <w:tc>
          <w:tcPr>
            <w:tcW w:w="1701" w:type="dxa"/>
            <w:tcBorders>
              <w:top w:val="single" w:color="000000" w:sz="4" w:space="0"/>
              <w:left w:val="nil"/>
              <w:bottom w:val="single" w:color="000000" w:sz="4" w:space="0"/>
              <w:right w:val="single" w:color="000000" w:sz="4" w:space="0"/>
            </w:tcBorders>
            <w:noWrap w:val="0"/>
            <w:vAlign w:val="center"/>
          </w:tcPr>
          <w:p w14:paraId="6DF39CD9">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628D149">
            <w:pPr>
              <w:widowControl/>
              <w:jc w:val="right"/>
              <w:rPr>
                <w:rFonts w:ascii="宋体" w:hAnsi="宋体" w:cs="Arial"/>
                <w:kern w:val="0"/>
                <w:szCs w:val="21"/>
              </w:rPr>
            </w:pPr>
          </w:p>
        </w:tc>
      </w:tr>
      <w:tr w14:paraId="744F75C0">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CF29CB2">
            <w:pPr>
              <w:widowControl/>
              <w:jc w:val="center"/>
              <w:rPr>
                <w:rFonts w:hint="eastAsia"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6E6E5893">
            <w:pPr>
              <w:widowControl/>
              <w:jc w:val="left"/>
              <w:rPr>
                <w:rFonts w:hint="eastAsia"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2B32C595">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AEB1E31">
            <w:pPr>
              <w:widowControl/>
              <w:jc w:val="right"/>
              <w:rPr>
                <w:rFonts w:ascii="宋体" w:hAnsi="宋体" w:cs="Arial"/>
                <w:kern w:val="0"/>
                <w:szCs w:val="21"/>
              </w:rPr>
            </w:pPr>
          </w:p>
        </w:tc>
      </w:tr>
      <w:tr w14:paraId="42D40F70">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5B238CA">
            <w:pPr>
              <w:widowControl/>
              <w:jc w:val="center"/>
              <w:rPr>
                <w:rFonts w:ascii="宋体" w:hAnsi="宋体" w:cs="Arial"/>
                <w:kern w:val="0"/>
                <w:szCs w:val="21"/>
              </w:rPr>
            </w:pPr>
            <w:r>
              <w:rPr>
                <w:rFonts w:hint="eastAsia" w:ascii="宋体" w:hAnsi="宋体" w:cs="Arial"/>
                <w:kern w:val="0"/>
                <w:szCs w:val="21"/>
              </w:rPr>
              <w:t>4</w:t>
            </w:r>
          </w:p>
        </w:tc>
        <w:tc>
          <w:tcPr>
            <w:tcW w:w="3448" w:type="dxa"/>
            <w:tcBorders>
              <w:top w:val="single" w:color="000000" w:sz="4" w:space="0"/>
              <w:left w:val="nil"/>
              <w:bottom w:val="single" w:color="000000" w:sz="4" w:space="0"/>
              <w:right w:val="single" w:color="000000" w:sz="4" w:space="0"/>
            </w:tcBorders>
            <w:noWrap w:val="0"/>
            <w:vAlign w:val="center"/>
          </w:tcPr>
          <w:p w14:paraId="4851A1DD">
            <w:pPr>
              <w:widowControl/>
              <w:jc w:val="left"/>
              <w:rPr>
                <w:rFonts w:ascii="宋体" w:hAnsi="宋体" w:cs="Arial"/>
                <w:kern w:val="0"/>
                <w:szCs w:val="21"/>
              </w:rPr>
            </w:pPr>
            <w:r>
              <w:rPr>
                <w:rFonts w:hint="eastAsia" w:ascii="宋体" w:hAnsi="宋体" w:cs="Arial"/>
                <w:kern w:val="0"/>
                <w:szCs w:val="21"/>
              </w:rPr>
              <w:t>其他项目</w:t>
            </w:r>
          </w:p>
        </w:tc>
        <w:tc>
          <w:tcPr>
            <w:tcW w:w="1701" w:type="dxa"/>
            <w:tcBorders>
              <w:top w:val="single" w:color="000000" w:sz="4" w:space="0"/>
              <w:left w:val="nil"/>
              <w:bottom w:val="single" w:color="000000" w:sz="4" w:space="0"/>
              <w:right w:val="single" w:color="000000" w:sz="4" w:space="0"/>
            </w:tcBorders>
            <w:noWrap w:val="0"/>
            <w:vAlign w:val="center"/>
          </w:tcPr>
          <w:p w14:paraId="73C7F54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FFCB3FC">
            <w:pPr>
              <w:widowControl/>
              <w:jc w:val="right"/>
              <w:rPr>
                <w:rFonts w:ascii="宋体" w:hAnsi="宋体" w:cs="Arial"/>
                <w:kern w:val="0"/>
                <w:szCs w:val="21"/>
              </w:rPr>
            </w:pPr>
          </w:p>
        </w:tc>
      </w:tr>
      <w:tr w14:paraId="4D65695B">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B3AE51A">
            <w:pPr>
              <w:widowControl/>
              <w:jc w:val="center"/>
              <w:rPr>
                <w:rFonts w:ascii="宋体" w:hAnsi="宋体" w:cs="Arial"/>
                <w:kern w:val="0"/>
                <w:szCs w:val="21"/>
              </w:rPr>
            </w:pPr>
            <w:r>
              <w:rPr>
                <w:rFonts w:hint="eastAsia" w:ascii="宋体" w:hAnsi="宋体" w:cs="Arial"/>
                <w:kern w:val="0"/>
                <w:szCs w:val="21"/>
              </w:rPr>
              <w:t>4.1</w:t>
            </w:r>
          </w:p>
        </w:tc>
        <w:tc>
          <w:tcPr>
            <w:tcW w:w="3448" w:type="dxa"/>
            <w:tcBorders>
              <w:top w:val="single" w:color="000000" w:sz="4" w:space="0"/>
              <w:left w:val="nil"/>
              <w:bottom w:val="single" w:color="000000" w:sz="4" w:space="0"/>
              <w:right w:val="single" w:color="000000" w:sz="4" w:space="0"/>
            </w:tcBorders>
            <w:noWrap w:val="0"/>
            <w:vAlign w:val="center"/>
          </w:tcPr>
          <w:p w14:paraId="5ECBF110">
            <w:pPr>
              <w:widowControl/>
              <w:jc w:val="left"/>
              <w:rPr>
                <w:rFonts w:ascii="宋体" w:hAnsi="宋体" w:cs="Arial"/>
                <w:kern w:val="0"/>
                <w:szCs w:val="21"/>
              </w:rPr>
            </w:pPr>
            <w:r>
              <w:rPr>
                <w:rFonts w:hint="eastAsia" w:ascii="宋体" w:hAnsi="宋体" w:cs="Arial"/>
                <w:kern w:val="0"/>
                <w:szCs w:val="21"/>
              </w:rPr>
              <w:t xml:space="preserve">  暂列金额</w:t>
            </w:r>
          </w:p>
        </w:tc>
        <w:tc>
          <w:tcPr>
            <w:tcW w:w="1701" w:type="dxa"/>
            <w:tcBorders>
              <w:top w:val="single" w:color="000000" w:sz="4" w:space="0"/>
              <w:left w:val="nil"/>
              <w:bottom w:val="single" w:color="000000" w:sz="4" w:space="0"/>
              <w:right w:val="single" w:color="000000" w:sz="4" w:space="0"/>
            </w:tcBorders>
            <w:noWrap w:val="0"/>
            <w:vAlign w:val="center"/>
          </w:tcPr>
          <w:p w14:paraId="3D9305FD">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52022123">
            <w:pPr>
              <w:widowControl/>
              <w:jc w:val="right"/>
              <w:rPr>
                <w:rFonts w:ascii="宋体" w:hAnsi="宋体" w:cs="Arial"/>
                <w:kern w:val="0"/>
                <w:szCs w:val="21"/>
              </w:rPr>
            </w:pPr>
          </w:p>
        </w:tc>
      </w:tr>
      <w:tr w14:paraId="57A22C65">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99A6C98">
            <w:pPr>
              <w:widowControl/>
              <w:jc w:val="center"/>
              <w:rPr>
                <w:rFonts w:ascii="宋体" w:hAnsi="宋体" w:cs="Arial"/>
                <w:kern w:val="0"/>
                <w:szCs w:val="21"/>
              </w:rPr>
            </w:pPr>
            <w:r>
              <w:rPr>
                <w:rFonts w:hint="eastAsia" w:ascii="宋体" w:hAnsi="宋体" w:cs="Arial"/>
                <w:kern w:val="0"/>
                <w:szCs w:val="21"/>
              </w:rPr>
              <w:t>4.2</w:t>
            </w:r>
          </w:p>
        </w:tc>
        <w:tc>
          <w:tcPr>
            <w:tcW w:w="3448" w:type="dxa"/>
            <w:tcBorders>
              <w:top w:val="single" w:color="000000" w:sz="4" w:space="0"/>
              <w:left w:val="nil"/>
              <w:bottom w:val="single" w:color="000000" w:sz="4" w:space="0"/>
              <w:right w:val="single" w:color="000000" w:sz="4" w:space="0"/>
            </w:tcBorders>
            <w:noWrap w:val="0"/>
            <w:vAlign w:val="center"/>
          </w:tcPr>
          <w:p w14:paraId="4B68BA0C">
            <w:pPr>
              <w:widowControl/>
              <w:jc w:val="left"/>
              <w:rPr>
                <w:rFonts w:ascii="宋体" w:hAnsi="宋体" w:cs="Arial"/>
                <w:kern w:val="0"/>
                <w:szCs w:val="21"/>
              </w:rPr>
            </w:pPr>
            <w:r>
              <w:rPr>
                <w:rFonts w:hint="eastAsia" w:ascii="宋体" w:hAnsi="宋体" w:cs="Arial"/>
                <w:kern w:val="0"/>
                <w:szCs w:val="21"/>
              </w:rPr>
              <w:t xml:space="preserve">  专业工程暂估价</w:t>
            </w:r>
          </w:p>
        </w:tc>
        <w:tc>
          <w:tcPr>
            <w:tcW w:w="1701" w:type="dxa"/>
            <w:tcBorders>
              <w:top w:val="single" w:color="000000" w:sz="4" w:space="0"/>
              <w:left w:val="nil"/>
              <w:bottom w:val="single" w:color="000000" w:sz="4" w:space="0"/>
              <w:right w:val="single" w:color="000000" w:sz="4" w:space="0"/>
            </w:tcBorders>
            <w:noWrap w:val="0"/>
            <w:vAlign w:val="center"/>
          </w:tcPr>
          <w:p w14:paraId="729F8F2E">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3A34150">
            <w:pPr>
              <w:widowControl/>
              <w:jc w:val="right"/>
              <w:rPr>
                <w:rFonts w:ascii="宋体" w:hAnsi="宋体" w:cs="Arial"/>
                <w:kern w:val="0"/>
                <w:szCs w:val="21"/>
              </w:rPr>
            </w:pPr>
          </w:p>
        </w:tc>
      </w:tr>
      <w:tr w14:paraId="3C91B0D6">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7979F44E">
            <w:pPr>
              <w:widowControl/>
              <w:jc w:val="center"/>
              <w:rPr>
                <w:rFonts w:ascii="宋体" w:hAnsi="宋体" w:cs="Arial"/>
                <w:kern w:val="0"/>
                <w:szCs w:val="21"/>
              </w:rPr>
            </w:pPr>
            <w:r>
              <w:rPr>
                <w:rFonts w:hint="eastAsia" w:ascii="宋体" w:hAnsi="宋体" w:cs="Arial"/>
                <w:kern w:val="0"/>
                <w:szCs w:val="21"/>
              </w:rPr>
              <w:t>4.3</w:t>
            </w:r>
          </w:p>
        </w:tc>
        <w:tc>
          <w:tcPr>
            <w:tcW w:w="3448" w:type="dxa"/>
            <w:tcBorders>
              <w:top w:val="single" w:color="000000" w:sz="4" w:space="0"/>
              <w:left w:val="nil"/>
              <w:bottom w:val="single" w:color="000000" w:sz="4" w:space="0"/>
              <w:right w:val="single" w:color="000000" w:sz="4" w:space="0"/>
            </w:tcBorders>
            <w:noWrap w:val="0"/>
            <w:vAlign w:val="center"/>
          </w:tcPr>
          <w:p w14:paraId="73554250">
            <w:pPr>
              <w:widowControl/>
              <w:jc w:val="left"/>
              <w:rPr>
                <w:rFonts w:ascii="宋体" w:hAnsi="宋体" w:cs="Arial"/>
                <w:kern w:val="0"/>
                <w:szCs w:val="21"/>
              </w:rPr>
            </w:pPr>
            <w:r>
              <w:rPr>
                <w:rFonts w:hint="eastAsia" w:ascii="宋体" w:hAnsi="宋体" w:cs="Arial"/>
                <w:kern w:val="0"/>
                <w:szCs w:val="21"/>
              </w:rPr>
              <w:t xml:space="preserve">  计日工</w:t>
            </w:r>
          </w:p>
        </w:tc>
        <w:tc>
          <w:tcPr>
            <w:tcW w:w="1701" w:type="dxa"/>
            <w:tcBorders>
              <w:top w:val="single" w:color="000000" w:sz="4" w:space="0"/>
              <w:left w:val="nil"/>
              <w:bottom w:val="single" w:color="000000" w:sz="4" w:space="0"/>
              <w:right w:val="single" w:color="000000" w:sz="4" w:space="0"/>
            </w:tcBorders>
            <w:noWrap w:val="0"/>
            <w:vAlign w:val="center"/>
          </w:tcPr>
          <w:p w14:paraId="77B78992">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C966B5E">
            <w:pPr>
              <w:widowControl/>
              <w:jc w:val="right"/>
              <w:rPr>
                <w:rFonts w:ascii="宋体" w:hAnsi="宋体" w:cs="Arial"/>
                <w:kern w:val="0"/>
                <w:szCs w:val="21"/>
              </w:rPr>
            </w:pPr>
          </w:p>
        </w:tc>
      </w:tr>
      <w:tr w14:paraId="33811CF2">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27D7DEB">
            <w:pPr>
              <w:widowControl/>
              <w:jc w:val="center"/>
              <w:rPr>
                <w:rFonts w:ascii="宋体" w:hAnsi="宋体" w:cs="Arial"/>
                <w:kern w:val="0"/>
                <w:szCs w:val="21"/>
              </w:rPr>
            </w:pPr>
            <w:r>
              <w:rPr>
                <w:rFonts w:hint="eastAsia" w:ascii="宋体" w:hAnsi="宋体" w:cs="Arial"/>
                <w:kern w:val="0"/>
                <w:szCs w:val="21"/>
              </w:rPr>
              <w:t>4.4</w:t>
            </w:r>
          </w:p>
        </w:tc>
        <w:tc>
          <w:tcPr>
            <w:tcW w:w="3448" w:type="dxa"/>
            <w:tcBorders>
              <w:top w:val="single" w:color="000000" w:sz="4" w:space="0"/>
              <w:left w:val="nil"/>
              <w:bottom w:val="single" w:color="000000" w:sz="4" w:space="0"/>
              <w:right w:val="single" w:color="000000" w:sz="4" w:space="0"/>
            </w:tcBorders>
            <w:noWrap w:val="0"/>
            <w:vAlign w:val="center"/>
          </w:tcPr>
          <w:p w14:paraId="427D861C">
            <w:pPr>
              <w:widowControl/>
              <w:jc w:val="left"/>
              <w:rPr>
                <w:rFonts w:ascii="宋体" w:hAnsi="宋体" w:cs="Arial"/>
                <w:kern w:val="0"/>
                <w:szCs w:val="21"/>
              </w:rPr>
            </w:pPr>
            <w:r>
              <w:rPr>
                <w:rFonts w:hint="eastAsia" w:ascii="宋体" w:hAnsi="宋体" w:cs="Arial"/>
                <w:kern w:val="0"/>
                <w:szCs w:val="21"/>
              </w:rPr>
              <w:t xml:space="preserve">  总承包服务费</w:t>
            </w:r>
          </w:p>
        </w:tc>
        <w:tc>
          <w:tcPr>
            <w:tcW w:w="1701" w:type="dxa"/>
            <w:tcBorders>
              <w:top w:val="single" w:color="000000" w:sz="4" w:space="0"/>
              <w:left w:val="nil"/>
              <w:bottom w:val="single" w:color="000000" w:sz="4" w:space="0"/>
              <w:right w:val="single" w:color="000000" w:sz="4" w:space="0"/>
            </w:tcBorders>
            <w:noWrap w:val="0"/>
            <w:vAlign w:val="center"/>
          </w:tcPr>
          <w:p w14:paraId="70081610">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6BE45D33">
            <w:pPr>
              <w:widowControl/>
              <w:jc w:val="right"/>
              <w:rPr>
                <w:rFonts w:ascii="宋体" w:hAnsi="宋体" w:cs="Arial"/>
                <w:kern w:val="0"/>
                <w:szCs w:val="21"/>
              </w:rPr>
            </w:pPr>
          </w:p>
        </w:tc>
      </w:tr>
      <w:tr w14:paraId="67211502">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A14BAB5">
            <w:pPr>
              <w:widowControl/>
              <w:jc w:val="center"/>
              <w:rPr>
                <w:rFonts w:ascii="宋体" w:hAnsi="宋体" w:cs="Arial"/>
                <w:kern w:val="0"/>
                <w:szCs w:val="21"/>
              </w:rPr>
            </w:pPr>
            <w:r>
              <w:rPr>
                <w:rFonts w:hint="eastAsia" w:ascii="宋体" w:hAnsi="宋体" w:cs="Arial"/>
                <w:kern w:val="0"/>
                <w:szCs w:val="21"/>
              </w:rPr>
              <w:t>5</w:t>
            </w:r>
          </w:p>
        </w:tc>
        <w:tc>
          <w:tcPr>
            <w:tcW w:w="3448" w:type="dxa"/>
            <w:tcBorders>
              <w:top w:val="single" w:color="000000" w:sz="4" w:space="0"/>
              <w:left w:val="nil"/>
              <w:bottom w:val="single" w:color="000000" w:sz="4" w:space="0"/>
              <w:right w:val="single" w:color="000000" w:sz="4" w:space="0"/>
            </w:tcBorders>
            <w:noWrap w:val="0"/>
            <w:vAlign w:val="center"/>
          </w:tcPr>
          <w:p w14:paraId="247D5FB7">
            <w:pPr>
              <w:widowControl/>
              <w:jc w:val="left"/>
              <w:rPr>
                <w:rFonts w:ascii="宋体" w:hAnsi="宋体" w:cs="Arial"/>
                <w:kern w:val="0"/>
                <w:szCs w:val="21"/>
              </w:rPr>
            </w:pPr>
            <w:r>
              <w:rPr>
                <w:rFonts w:hint="eastAsia" w:ascii="宋体" w:hAnsi="宋体" w:cs="Arial"/>
                <w:kern w:val="0"/>
                <w:szCs w:val="21"/>
              </w:rPr>
              <w:t>税金</w:t>
            </w:r>
          </w:p>
        </w:tc>
        <w:tc>
          <w:tcPr>
            <w:tcW w:w="1701" w:type="dxa"/>
            <w:tcBorders>
              <w:top w:val="single" w:color="000000" w:sz="4" w:space="0"/>
              <w:left w:val="nil"/>
              <w:bottom w:val="single" w:color="000000" w:sz="4" w:space="0"/>
              <w:right w:val="single" w:color="000000" w:sz="4" w:space="0"/>
            </w:tcBorders>
            <w:noWrap w:val="0"/>
            <w:vAlign w:val="center"/>
          </w:tcPr>
          <w:p w14:paraId="2A46D3D2">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18CA0D0">
            <w:pPr>
              <w:widowControl/>
              <w:jc w:val="right"/>
              <w:rPr>
                <w:rFonts w:ascii="宋体" w:hAnsi="宋体" w:cs="Arial"/>
                <w:kern w:val="0"/>
                <w:szCs w:val="21"/>
              </w:rPr>
            </w:pPr>
          </w:p>
        </w:tc>
      </w:tr>
      <w:tr w14:paraId="1D21B853">
        <w:tblPrEx>
          <w:tblCellMar>
            <w:top w:w="0" w:type="dxa"/>
            <w:left w:w="108" w:type="dxa"/>
            <w:bottom w:w="0" w:type="dxa"/>
            <w:right w:w="108" w:type="dxa"/>
          </w:tblCellMar>
        </w:tblPrEx>
        <w:trPr>
          <w:trHeight w:val="680" w:hRule="atLeast"/>
        </w:trPr>
        <w:tc>
          <w:tcPr>
            <w:tcW w:w="4268" w:type="dxa"/>
            <w:gridSpan w:val="2"/>
            <w:tcBorders>
              <w:top w:val="single" w:color="000000" w:sz="4" w:space="0"/>
              <w:left w:val="single" w:color="000000" w:sz="8" w:space="0"/>
              <w:bottom w:val="single" w:color="000000" w:sz="8" w:space="0"/>
              <w:right w:val="single" w:color="000000" w:sz="4" w:space="0"/>
            </w:tcBorders>
            <w:noWrap w:val="0"/>
            <w:vAlign w:val="center"/>
          </w:tcPr>
          <w:p w14:paraId="74D25E00">
            <w:pPr>
              <w:widowControl/>
              <w:jc w:val="center"/>
              <w:rPr>
                <w:rFonts w:ascii="宋体" w:hAnsi="宋体" w:cs="Arial"/>
                <w:kern w:val="0"/>
                <w:szCs w:val="21"/>
              </w:rPr>
            </w:pPr>
            <w:r>
              <w:rPr>
                <w:rFonts w:hint="eastAsia" w:ascii="宋体" w:hAnsi="宋体" w:cs="Arial"/>
                <w:kern w:val="0"/>
                <w:szCs w:val="21"/>
              </w:rPr>
              <w:t>工程造价=1+2+3+4+5</w:t>
            </w:r>
          </w:p>
        </w:tc>
        <w:tc>
          <w:tcPr>
            <w:tcW w:w="1701" w:type="dxa"/>
            <w:tcBorders>
              <w:top w:val="single" w:color="000000" w:sz="4" w:space="0"/>
              <w:left w:val="nil"/>
              <w:bottom w:val="single" w:color="000000" w:sz="8" w:space="0"/>
              <w:right w:val="single" w:color="000000" w:sz="4" w:space="0"/>
            </w:tcBorders>
            <w:noWrap w:val="0"/>
            <w:vAlign w:val="center"/>
          </w:tcPr>
          <w:p w14:paraId="3CE6DEA2">
            <w:pPr>
              <w:widowControl/>
              <w:jc w:val="right"/>
              <w:rPr>
                <w:rFonts w:ascii="宋体" w:hAnsi="宋体" w:cs="Arial"/>
                <w:kern w:val="0"/>
                <w:szCs w:val="21"/>
              </w:rPr>
            </w:pPr>
          </w:p>
        </w:tc>
        <w:tc>
          <w:tcPr>
            <w:tcW w:w="2977" w:type="dxa"/>
            <w:tcBorders>
              <w:top w:val="single" w:color="000000" w:sz="4" w:space="0"/>
              <w:left w:val="nil"/>
              <w:bottom w:val="single" w:color="000000" w:sz="8" w:space="0"/>
              <w:right w:val="single" w:color="000000" w:sz="8" w:space="0"/>
            </w:tcBorders>
            <w:noWrap w:val="0"/>
            <w:vAlign w:val="center"/>
          </w:tcPr>
          <w:p w14:paraId="7A64159F">
            <w:pPr>
              <w:widowControl/>
              <w:jc w:val="right"/>
              <w:rPr>
                <w:rFonts w:ascii="宋体" w:hAnsi="宋体" w:cs="Arial"/>
                <w:kern w:val="0"/>
                <w:szCs w:val="21"/>
              </w:rPr>
            </w:pPr>
          </w:p>
        </w:tc>
      </w:tr>
    </w:tbl>
    <w:p w14:paraId="4542210C">
      <w:pPr>
        <w:jc w:val="center"/>
        <w:rPr>
          <w:rFonts w:ascii="宋体" w:hAnsi="宋体"/>
          <w:sz w:val="28"/>
          <w:szCs w:val="28"/>
        </w:rPr>
      </w:pPr>
      <w:bookmarkStart w:id="477" w:name="_Toc460660242"/>
      <w:bookmarkStart w:id="478" w:name="_Toc460227127"/>
    </w:p>
    <w:p w14:paraId="739BF3A4">
      <w:pPr>
        <w:jc w:val="center"/>
        <w:outlineLvl w:val="2"/>
        <w:rPr>
          <w:rFonts w:ascii="宋体" w:hAnsi="宋体"/>
          <w:sz w:val="28"/>
          <w:szCs w:val="28"/>
        </w:rPr>
      </w:pPr>
      <w:r>
        <w:rPr>
          <w:rFonts w:ascii="宋体" w:hAnsi="宋体"/>
          <w:sz w:val="28"/>
          <w:szCs w:val="28"/>
        </w:rPr>
        <w:br w:type="page"/>
      </w:r>
      <w:r>
        <w:rPr>
          <w:rFonts w:hint="eastAsia" w:ascii="宋体" w:hAnsi="宋体"/>
          <w:sz w:val="28"/>
          <w:szCs w:val="28"/>
        </w:rPr>
        <w:t>（五）</w:t>
      </w:r>
      <w:bookmarkEnd w:id="477"/>
      <w:bookmarkEnd w:id="478"/>
      <w:r>
        <w:rPr>
          <w:rFonts w:hint="eastAsia" w:ascii="宋体" w:hAnsi="宋体"/>
          <w:sz w:val="28"/>
          <w:szCs w:val="28"/>
        </w:rPr>
        <w:t>分部分项工程量清单计价表</w:t>
      </w:r>
    </w:p>
    <w:p w14:paraId="1D471F7B">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4986" w:type="pct"/>
        <w:tblInd w:w="0" w:type="dxa"/>
        <w:tblLayout w:type="autofit"/>
        <w:tblCellMar>
          <w:top w:w="0" w:type="dxa"/>
          <w:left w:w="108" w:type="dxa"/>
          <w:bottom w:w="0" w:type="dxa"/>
          <w:right w:w="108" w:type="dxa"/>
        </w:tblCellMar>
      </w:tblPr>
      <w:tblGrid>
        <w:gridCol w:w="426"/>
        <w:gridCol w:w="1059"/>
        <w:gridCol w:w="1059"/>
        <w:gridCol w:w="924"/>
        <w:gridCol w:w="750"/>
        <w:gridCol w:w="792"/>
        <w:gridCol w:w="726"/>
        <w:gridCol w:w="873"/>
        <w:gridCol w:w="913"/>
        <w:gridCol w:w="848"/>
        <w:gridCol w:w="779"/>
      </w:tblGrid>
      <w:tr w14:paraId="690B0DD8">
        <w:tblPrEx>
          <w:tblCellMar>
            <w:top w:w="0" w:type="dxa"/>
            <w:left w:w="108" w:type="dxa"/>
            <w:bottom w:w="0" w:type="dxa"/>
            <w:right w:w="108" w:type="dxa"/>
          </w:tblCellMar>
        </w:tblPrEx>
        <w:trPr>
          <w:trHeight w:val="263" w:hRule="atLeast"/>
        </w:trPr>
        <w:tc>
          <w:tcPr>
            <w:tcW w:w="233"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0E2228C">
            <w:pPr>
              <w:widowControl/>
              <w:snapToGrid w:val="0"/>
              <w:jc w:val="center"/>
              <w:rPr>
                <w:rFonts w:ascii="宋体" w:hAnsi="宋体" w:cs="Arial"/>
                <w:kern w:val="0"/>
                <w:szCs w:val="21"/>
              </w:rPr>
            </w:pPr>
            <w:r>
              <w:rPr>
                <w:rFonts w:hint="eastAsia" w:ascii="宋体" w:hAnsi="宋体" w:cs="Arial"/>
                <w:kern w:val="0"/>
                <w:szCs w:val="21"/>
              </w:rPr>
              <w:t>序号</w:t>
            </w:r>
          </w:p>
        </w:tc>
        <w:tc>
          <w:tcPr>
            <w:tcW w:w="57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68B1057">
            <w:pPr>
              <w:widowControl/>
              <w:snapToGrid w:val="0"/>
              <w:jc w:val="center"/>
              <w:rPr>
                <w:rFonts w:ascii="宋体" w:hAnsi="宋体" w:cs="Arial"/>
                <w:kern w:val="0"/>
                <w:szCs w:val="21"/>
              </w:rPr>
            </w:pPr>
            <w:r>
              <w:rPr>
                <w:rFonts w:hint="eastAsia" w:ascii="宋体" w:hAnsi="宋体" w:cs="Arial"/>
                <w:kern w:val="0"/>
                <w:szCs w:val="21"/>
              </w:rPr>
              <w:t>项目编码</w:t>
            </w:r>
          </w:p>
        </w:tc>
        <w:tc>
          <w:tcPr>
            <w:tcW w:w="57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63B313">
            <w:pPr>
              <w:widowControl/>
              <w:snapToGrid w:val="0"/>
              <w:jc w:val="center"/>
              <w:rPr>
                <w:rFonts w:ascii="宋体" w:hAnsi="宋体" w:cs="Arial"/>
                <w:kern w:val="0"/>
                <w:szCs w:val="21"/>
              </w:rPr>
            </w:pPr>
            <w:r>
              <w:rPr>
                <w:rFonts w:hint="eastAsia" w:ascii="宋体" w:hAnsi="宋体" w:cs="Arial"/>
                <w:kern w:val="0"/>
                <w:szCs w:val="21"/>
              </w:rPr>
              <w:t>项目名称</w:t>
            </w:r>
          </w:p>
        </w:tc>
        <w:tc>
          <w:tcPr>
            <w:tcW w:w="50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8A515FB">
            <w:pPr>
              <w:widowControl/>
              <w:snapToGrid w:val="0"/>
              <w:jc w:val="center"/>
              <w:rPr>
                <w:rFonts w:ascii="宋体" w:hAnsi="宋体" w:cs="Arial"/>
                <w:kern w:val="0"/>
                <w:szCs w:val="21"/>
              </w:rPr>
            </w:pPr>
            <w:r>
              <w:rPr>
                <w:rFonts w:hint="eastAsia" w:ascii="宋体" w:hAnsi="宋体" w:cs="Arial"/>
                <w:kern w:val="0"/>
                <w:szCs w:val="21"/>
              </w:rPr>
              <w:t>项目特征描述</w:t>
            </w:r>
          </w:p>
        </w:tc>
        <w:tc>
          <w:tcPr>
            <w:tcW w:w="41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A9382D1">
            <w:pPr>
              <w:widowControl/>
              <w:snapToGrid w:val="0"/>
              <w:jc w:val="center"/>
              <w:rPr>
                <w:rFonts w:ascii="宋体" w:hAnsi="宋体" w:cs="Arial"/>
                <w:kern w:val="0"/>
                <w:szCs w:val="21"/>
              </w:rPr>
            </w:pPr>
            <w:r>
              <w:rPr>
                <w:rFonts w:hint="eastAsia" w:ascii="宋体" w:hAnsi="宋体" w:cs="Arial"/>
                <w:kern w:val="0"/>
                <w:szCs w:val="21"/>
              </w:rPr>
              <w:t>计量单位</w:t>
            </w:r>
          </w:p>
        </w:tc>
        <w:tc>
          <w:tcPr>
            <w:tcW w:w="433"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81CC5DD">
            <w:pPr>
              <w:widowControl/>
              <w:snapToGrid w:val="0"/>
              <w:jc w:val="center"/>
              <w:rPr>
                <w:rFonts w:ascii="宋体" w:hAnsi="宋体" w:cs="Arial"/>
                <w:kern w:val="0"/>
                <w:szCs w:val="21"/>
              </w:rPr>
            </w:pPr>
            <w:r>
              <w:rPr>
                <w:rFonts w:hint="eastAsia" w:ascii="宋体" w:hAnsi="宋体" w:cs="Arial"/>
                <w:kern w:val="0"/>
                <w:szCs w:val="21"/>
              </w:rPr>
              <w:t>工程量</w:t>
            </w:r>
          </w:p>
        </w:tc>
        <w:tc>
          <w:tcPr>
            <w:tcW w:w="2261" w:type="pct"/>
            <w:gridSpan w:val="5"/>
            <w:tcBorders>
              <w:top w:val="single" w:color="000000" w:sz="8" w:space="0"/>
              <w:left w:val="nil"/>
              <w:bottom w:val="single" w:color="000000" w:sz="4" w:space="0"/>
              <w:right w:val="single" w:color="000000" w:sz="8" w:space="0"/>
            </w:tcBorders>
            <w:shd w:val="clear" w:color="FFFFFF" w:fill="FFFFFF"/>
            <w:noWrap w:val="0"/>
            <w:vAlign w:val="center"/>
          </w:tcPr>
          <w:p w14:paraId="000A83F2">
            <w:pPr>
              <w:widowControl/>
              <w:snapToGrid w:val="0"/>
              <w:jc w:val="center"/>
              <w:rPr>
                <w:rFonts w:ascii="宋体" w:hAnsi="宋体" w:cs="Arial"/>
                <w:kern w:val="0"/>
                <w:szCs w:val="21"/>
              </w:rPr>
            </w:pPr>
            <w:r>
              <w:rPr>
                <w:rFonts w:hint="eastAsia" w:ascii="宋体" w:hAnsi="宋体" w:cs="Arial"/>
                <w:kern w:val="0"/>
                <w:szCs w:val="21"/>
              </w:rPr>
              <w:t>金额（元）</w:t>
            </w:r>
          </w:p>
        </w:tc>
      </w:tr>
      <w:tr w14:paraId="2A778E37">
        <w:tblPrEx>
          <w:tblCellMar>
            <w:top w:w="0" w:type="dxa"/>
            <w:left w:w="108" w:type="dxa"/>
            <w:bottom w:w="0" w:type="dxa"/>
            <w:right w:w="108" w:type="dxa"/>
          </w:tblCellMar>
        </w:tblPrEx>
        <w:trPr>
          <w:trHeight w:val="263" w:hRule="atLeast"/>
        </w:trPr>
        <w:tc>
          <w:tcPr>
            <w:tcW w:w="233"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2EDDAC4E">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1737183">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1CFFE39">
            <w:pPr>
              <w:widowControl/>
              <w:snapToGrid w:val="0"/>
              <w:jc w:val="left"/>
              <w:rPr>
                <w:rFonts w:ascii="宋体" w:hAnsi="宋体" w:cs="Arial"/>
                <w:kern w:val="0"/>
                <w:szCs w:val="21"/>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62F47EC">
            <w:pPr>
              <w:widowControl/>
              <w:snapToGrid w:val="0"/>
              <w:jc w:val="left"/>
              <w:rPr>
                <w:rFonts w:ascii="宋体" w:hAnsi="宋体" w:cs="Arial"/>
                <w:kern w:val="0"/>
                <w:szCs w:val="21"/>
              </w:rPr>
            </w:pPr>
          </w:p>
        </w:tc>
        <w:tc>
          <w:tcPr>
            <w:tcW w:w="41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42A2FF5">
            <w:pPr>
              <w:widowControl/>
              <w:snapToGrid w:val="0"/>
              <w:jc w:val="left"/>
              <w:rPr>
                <w:rFonts w:ascii="宋体" w:hAnsi="宋体" w:cs="Arial"/>
                <w:kern w:val="0"/>
                <w:szCs w:val="21"/>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44CCC0F">
            <w:pPr>
              <w:widowControl/>
              <w:snapToGrid w:val="0"/>
              <w:jc w:val="left"/>
              <w:rPr>
                <w:rFonts w:ascii="宋体" w:hAnsi="宋体" w:cs="Arial"/>
                <w:kern w:val="0"/>
                <w:szCs w:val="21"/>
              </w:rPr>
            </w:pPr>
          </w:p>
        </w:tc>
        <w:tc>
          <w:tcPr>
            <w:tcW w:w="397"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D62199">
            <w:pPr>
              <w:widowControl/>
              <w:snapToGrid w:val="0"/>
              <w:jc w:val="center"/>
              <w:rPr>
                <w:rFonts w:ascii="宋体" w:hAnsi="宋体" w:cs="Arial"/>
                <w:kern w:val="0"/>
                <w:szCs w:val="21"/>
              </w:rPr>
            </w:pPr>
            <w:r>
              <w:rPr>
                <w:rFonts w:hint="eastAsia" w:ascii="宋体" w:hAnsi="宋体" w:cs="Arial"/>
                <w:kern w:val="0"/>
                <w:szCs w:val="21"/>
              </w:rPr>
              <w:t>综合单价</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9D023">
            <w:pPr>
              <w:widowControl/>
              <w:snapToGrid w:val="0"/>
              <w:jc w:val="center"/>
              <w:rPr>
                <w:rFonts w:ascii="宋体" w:hAnsi="宋体" w:cs="Arial"/>
                <w:kern w:val="0"/>
                <w:szCs w:val="21"/>
              </w:rPr>
            </w:pPr>
            <w:r>
              <w:rPr>
                <w:rFonts w:hint="eastAsia" w:ascii="宋体" w:hAnsi="宋体" w:cs="Arial"/>
                <w:kern w:val="0"/>
                <w:szCs w:val="21"/>
              </w:rPr>
              <w:t>合价</w:t>
            </w:r>
          </w:p>
        </w:tc>
        <w:tc>
          <w:tcPr>
            <w:tcW w:w="1388" w:type="pct"/>
            <w:gridSpan w:val="3"/>
            <w:tcBorders>
              <w:top w:val="single" w:color="000000" w:sz="4" w:space="0"/>
              <w:left w:val="nil"/>
              <w:bottom w:val="single" w:color="000000" w:sz="4" w:space="0"/>
              <w:right w:val="single" w:color="000000" w:sz="8" w:space="0"/>
            </w:tcBorders>
            <w:shd w:val="clear" w:color="FFFFFF" w:fill="FFFFFF"/>
            <w:noWrap w:val="0"/>
            <w:vAlign w:val="center"/>
          </w:tcPr>
          <w:p w14:paraId="7D66D81D">
            <w:pPr>
              <w:widowControl/>
              <w:snapToGrid w:val="0"/>
              <w:jc w:val="center"/>
              <w:rPr>
                <w:rFonts w:ascii="宋体" w:hAnsi="宋体" w:cs="Arial"/>
                <w:kern w:val="0"/>
                <w:szCs w:val="21"/>
              </w:rPr>
            </w:pPr>
            <w:r>
              <w:rPr>
                <w:rFonts w:hint="eastAsia" w:ascii="宋体" w:hAnsi="宋体" w:cs="Arial"/>
                <w:kern w:val="0"/>
                <w:szCs w:val="21"/>
              </w:rPr>
              <w:t>其中</w:t>
            </w:r>
          </w:p>
        </w:tc>
      </w:tr>
      <w:tr w14:paraId="260A5298">
        <w:tblPrEx>
          <w:tblCellMar>
            <w:top w:w="0" w:type="dxa"/>
            <w:left w:w="108" w:type="dxa"/>
            <w:bottom w:w="0" w:type="dxa"/>
            <w:right w:w="108" w:type="dxa"/>
          </w:tblCellMar>
        </w:tblPrEx>
        <w:trPr>
          <w:trHeight w:val="499" w:hRule="atLeast"/>
        </w:trPr>
        <w:tc>
          <w:tcPr>
            <w:tcW w:w="233"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1DBA5FFB">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5872AD4">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9C0B344">
            <w:pPr>
              <w:widowControl/>
              <w:snapToGrid w:val="0"/>
              <w:jc w:val="left"/>
              <w:rPr>
                <w:rFonts w:ascii="宋体" w:hAnsi="宋体" w:cs="Arial"/>
                <w:kern w:val="0"/>
                <w:szCs w:val="21"/>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D65DE07">
            <w:pPr>
              <w:widowControl/>
              <w:snapToGrid w:val="0"/>
              <w:jc w:val="left"/>
              <w:rPr>
                <w:rFonts w:ascii="宋体" w:hAnsi="宋体" w:cs="Arial"/>
                <w:kern w:val="0"/>
                <w:szCs w:val="21"/>
              </w:rPr>
            </w:pPr>
          </w:p>
        </w:tc>
        <w:tc>
          <w:tcPr>
            <w:tcW w:w="41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4C806A8">
            <w:pPr>
              <w:widowControl/>
              <w:snapToGrid w:val="0"/>
              <w:jc w:val="left"/>
              <w:rPr>
                <w:rFonts w:ascii="宋体" w:hAnsi="宋体" w:cs="Arial"/>
                <w:kern w:val="0"/>
                <w:szCs w:val="21"/>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8F1B6BB">
            <w:pPr>
              <w:widowControl/>
              <w:snapToGrid w:val="0"/>
              <w:jc w:val="left"/>
              <w:rPr>
                <w:rFonts w:ascii="宋体" w:hAnsi="宋体" w:cs="Arial"/>
                <w:kern w:val="0"/>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09BB0">
            <w:pPr>
              <w:widowControl/>
              <w:snapToGrid w:val="0"/>
              <w:jc w:val="left"/>
              <w:rPr>
                <w:rFonts w:ascii="宋体" w:hAnsi="宋体" w:cs="Arial"/>
                <w:kern w:val="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AF75B">
            <w:pPr>
              <w:widowControl/>
              <w:snapToGrid w:val="0"/>
              <w:jc w:val="left"/>
              <w:rPr>
                <w:rFonts w:ascii="宋体" w:hAnsi="宋体" w:cs="Arial"/>
                <w:kern w:val="0"/>
                <w:szCs w:val="21"/>
              </w:rPr>
            </w:pPr>
          </w:p>
        </w:tc>
        <w:tc>
          <w:tcPr>
            <w:tcW w:w="499" w:type="pct"/>
            <w:tcBorders>
              <w:top w:val="nil"/>
              <w:left w:val="nil"/>
              <w:bottom w:val="single" w:color="000000" w:sz="4" w:space="0"/>
              <w:right w:val="single" w:color="000000" w:sz="4" w:space="0"/>
            </w:tcBorders>
            <w:shd w:val="clear" w:color="FFFFFF" w:fill="FFFFFF"/>
            <w:noWrap w:val="0"/>
            <w:vAlign w:val="center"/>
          </w:tcPr>
          <w:p w14:paraId="3863D926">
            <w:pPr>
              <w:widowControl/>
              <w:snapToGrid w:val="0"/>
              <w:jc w:val="center"/>
              <w:rPr>
                <w:rFonts w:ascii="宋体" w:hAnsi="宋体" w:cs="Arial"/>
                <w:kern w:val="0"/>
                <w:szCs w:val="21"/>
              </w:rPr>
            </w:pPr>
            <w:r>
              <w:rPr>
                <w:rFonts w:hint="eastAsia" w:ascii="宋体" w:hAnsi="宋体" w:cs="Arial"/>
                <w:kern w:val="0"/>
                <w:szCs w:val="21"/>
              </w:rPr>
              <w:t>定额人工费</w:t>
            </w:r>
          </w:p>
        </w:tc>
        <w:tc>
          <w:tcPr>
            <w:tcW w:w="463" w:type="pct"/>
            <w:tcBorders>
              <w:top w:val="nil"/>
              <w:left w:val="nil"/>
              <w:bottom w:val="single" w:color="000000" w:sz="4" w:space="0"/>
              <w:right w:val="single" w:color="000000" w:sz="4" w:space="0"/>
            </w:tcBorders>
            <w:shd w:val="clear" w:color="FFFFFF" w:fill="FFFFFF"/>
            <w:noWrap w:val="0"/>
            <w:vAlign w:val="center"/>
          </w:tcPr>
          <w:p w14:paraId="2581B4EA">
            <w:pPr>
              <w:widowControl/>
              <w:snapToGrid w:val="0"/>
              <w:jc w:val="center"/>
              <w:rPr>
                <w:rFonts w:ascii="宋体" w:hAnsi="宋体" w:cs="Arial"/>
                <w:kern w:val="0"/>
                <w:szCs w:val="21"/>
              </w:rPr>
            </w:pPr>
            <w:r>
              <w:rPr>
                <w:rFonts w:hint="eastAsia" w:ascii="宋体" w:hAnsi="宋体" w:cs="Arial"/>
                <w:kern w:val="0"/>
                <w:szCs w:val="21"/>
              </w:rPr>
              <w:t>定额机械费</w:t>
            </w:r>
          </w:p>
        </w:tc>
        <w:tc>
          <w:tcPr>
            <w:tcW w:w="425" w:type="pct"/>
            <w:tcBorders>
              <w:top w:val="nil"/>
              <w:left w:val="nil"/>
              <w:bottom w:val="single" w:color="000000" w:sz="4" w:space="0"/>
              <w:right w:val="single" w:color="000000" w:sz="8" w:space="0"/>
            </w:tcBorders>
            <w:shd w:val="clear" w:color="FFFFFF" w:fill="FFFFFF"/>
            <w:noWrap w:val="0"/>
            <w:vAlign w:val="center"/>
          </w:tcPr>
          <w:p w14:paraId="76EAD4AA">
            <w:pPr>
              <w:widowControl/>
              <w:snapToGrid w:val="0"/>
              <w:jc w:val="center"/>
              <w:rPr>
                <w:rFonts w:ascii="宋体" w:hAnsi="宋体" w:cs="Arial"/>
                <w:kern w:val="0"/>
                <w:szCs w:val="21"/>
              </w:rPr>
            </w:pPr>
            <w:r>
              <w:rPr>
                <w:rFonts w:hint="eastAsia" w:ascii="宋体" w:hAnsi="宋体" w:cs="Arial"/>
                <w:kern w:val="0"/>
                <w:szCs w:val="21"/>
              </w:rPr>
              <w:t>暂估价</w:t>
            </w:r>
          </w:p>
        </w:tc>
      </w:tr>
      <w:tr w14:paraId="74A1B7C0">
        <w:tblPrEx>
          <w:tblCellMar>
            <w:top w:w="0" w:type="dxa"/>
            <w:left w:w="108" w:type="dxa"/>
            <w:bottom w:w="0" w:type="dxa"/>
            <w:right w:w="108" w:type="dxa"/>
          </w:tblCellMar>
        </w:tblPrEx>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29F70F54">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F4F8496">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6B91AA20">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6E55F45F">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7271F6BC">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51C8F0A6">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7A43DEC3">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1240F5A8">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265CD799">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56A0E077">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363C7F9A">
            <w:pPr>
              <w:widowControl/>
              <w:snapToGrid w:val="0"/>
              <w:jc w:val="right"/>
              <w:rPr>
                <w:rFonts w:ascii="宋体" w:hAnsi="宋体" w:cs="Arial"/>
                <w:kern w:val="0"/>
                <w:szCs w:val="21"/>
              </w:rPr>
            </w:pPr>
          </w:p>
        </w:tc>
      </w:tr>
      <w:tr w14:paraId="305B8E83">
        <w:tblPrEx>
          <w:tblCellMar>
            <w:top w:w="0" w:type="dxa"/>
            <w:left w:w="108" w:type="dxa"/>
            <w:bottom w:w="0" w:type="dxa"/>
            <w:right w:w="108" w:type="dxa"/>
          </w:tblCellMar>
        </w:tblPrEx>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07F1F203">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1FFE423">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7F10AD84">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012E8158">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615CE514">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1F7329AD">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3516062A">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342CFFF5">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1A1650A4">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75151A8A">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013C61A5">
            <w:pPr>
              <w:widowControl/>
              <w:snapToGrid w:val="0"/>
              <w:jc w:val="right"/>
              <w:rPr>
                <w:rFonts w:ascii="宋体" w:hAnsi="宋体" w:cs="Arial"/>
                <w:kern w:val="0"/>
                <w:szCs w:val="21"/>
              </w:rPr>
            </w:pPr>
          </w:p>
        </w:tc>
      </w:tr>
      <w:tr w14:paraId="3ACECFF0">
        <w:tblPrEx>
          <w:tblCellMar>
            <w:top w:w="0" w:type="dxa"/>
            <w:left w:w="108" w:type="dxa"/>
            <w:bottom w:w="0" w:type="dxa"/>
            <w:right w:w="108" w:type="dxa"/>
          </w:tblCellMar>
        </w:tblPrEx>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6723705B">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71EECC15">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997291B">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4D653E67">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12E506EC">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2AF19C62">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6B02DA5A">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74F6CD2E">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038AF947">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4BA38831">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718F5A3E">
            <w:pPr>
              <w:widowControl/>
              <w:snapToGrid w:val="0"/>
              <w:jc w:val="right"/>
              <w:rPr>
                <w:rFonts w:ascii="宋体" w:hAnsi="宋体" w:cs="Arial"/>
                <w:kern w:val="0"/>
                <w:szCs w:val="21"/>
              </w:rPr>
            </w:pPr>
          </w:p>
        </w:tc>
      </w:tr>
    </w:tbl>
    <w:p w14:paraId="6BC21C40">
      <w:pPr>
        <w:jc w:val="center"/>
        <w:outlineLvl w:val="2"/>
        <w:rPr>
          <w:rFonts w:ascii="宋体" w:hAnsi="宋体"/>
          <w:sz w:val="28"/>
          <w:szCs w:val="28"/>
        </w:rPr>
      </w:pPr>
      <w:bookmarkStart w:id="479" w:name="_Toc460660243"/>
      <w:bookmarkStart w:id="480" w:name="_Toc460227128"/>
      <w:r>
        <w:rPr>
          <w:rFonts w:hint="eastAsia" w:ascii="宋体" w:hAnsi="宋体"/>
          <w:sz w:val="28"/>
          <w:szCs w:val="28"/>
        </w:rPr>
        <w:t>（六）</w:t>
      </w:r>
      <w:bookmarkEnd w:id="479"/>
      <w:bookmarkEnd w:id="480"/>
      <w:r>
        <w:rPr>
          <w:rFonts w:hint="eastAsia" w:ascii="宋体" w:hAnsi="宋体"/>
          <w:sz w:val="28"/>
          <w:szCs w:val="28"/>
        </w:rPr>
        <w:t>分部分项工程量清单综合单价分析表</w:t>
      </w:r>
    </w:p>
    <w:p w14:paraId="49FA4126">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408"/>
        <w:gridCol w:w="302"/>
        <w:gridCol w:w="1080"/>
        <w:gridCol w:w="409"/>
        <w:gridCol w:w="603"/>
        <w:gridCol w:w="796"/>
        <w:gridCol w:w="582"/>
        <w:gridCol w:w="214"/>
        <w:gridCol w:w="603"/>
        <w:gridCol w:w="193"/>
        <w:gridCol w:w="796"/>
        <w:gridCol w:w="796"/>
        <w:gridCol w:w="211"/>
        <w:gridCol w:w="590"/>
        <w:gridCol w:w="796"/>
        <w:gridCol w:w="796"/>
      </w:tblGrid>
      <w:tr w14:paraId="306C49B4">
        <w:tblPrEx>
          <w:tblCellMar>
            <w:top w:w="0" w:type="dxa"/>
            <w:left w:w="108" w:type="dxa"/>
            <w:bottom w:w="0" w:type="dxa"/>
            <w:right w:w="108" w:type="dxa"/>
          </w:tblCellMar>
        </w:tblPrEx>
        <w:trPr>
          <w:trHeight w:val="515" w:hRule="atLeast"/>
        </w:trPr>
        <w:tc>
          <w:tcPr>
            <w:tcW w:w="386" w:type="pct"/>
            <w:gridSpan w:val="2"/>
            <w:tcBorders>
              <w:top w:val="single" w:color="000000" w:sz="8" w:space="0"/>
              <w:left w:val="single" w:color="000000" w:sz="8" w:space="0"/>
              <w:bottom w:val="single" w:color="000000" w:sz="4" w:space="0"/>
              <w:right w:val="single" w:color="000000" w:sz="4" w:space="0"/>
            </w:tcBorders>
            <w:noWrap w:val="0"/>
            <w:vAlign w:val="center"/>
          </w:tcPr>
          <w:p w14:paraId="33639A21">
            <w:pPr>
              <w:widowControl/>
              <w:jc w:val="center"/>
              <w:rPr>
                <w:rFonts w:ascii="宋体" w:hAnsi="宋体" w:cs="Arial"/>
                <w:kern w:val="0"/>
                <w:szCs w:val="21"/>
              </w:rPr>
            </w:pPr>
            <w:r>
              <w:rPr>
                <w:rFonts w:hint="eastAsia" w:ascii="宋体" w:hAnsi="宋体" w:cs="Arial"/>
                <w:kern w:val="0"/>
                <w:szCs w:val="21"/>
              </w:rPr>
              <w:t>项目编码</w:t>
            </w:r>
          </w:p>
        </w:tc>
        <w:tc>
          <w:tcPr>
            <w:tcW w:w="590" w:type="pct"/>
            <w:tcBorders>
              <w:top w:val="single" w:color="000000" w:sz="8" w:space="0"/>
              <w:left w:val="nil"/>
              <w:bottom w:val="single" w:color="000000" w:sz="4" w:space="0"/>
              <w:right w:val="single" w:color="000000" w:sz="4" w:space="0"/>
            </w:tcBorders>
            <w:noWrap w:val="0"/>
            <w:vAlign w:val="center"/>
          </w:tcPr>
          <w:p w14:paraId="2AB29F5C">
            <w:pPr>
              <w:widowControl/>
              <w:jc w:val="center"/>
              <w:rPr>
                <w:rFonts w:ascii="宋体" w:hAnsi="宋体" w:cs="Arial"/>
                <w:kern w:val="0"/>
                <w:szCs w:val="21"/>
              </w:rPr>
            </w:pPr>
          </w:p>
        </w:tc>
        <w:tc>
          <w:tcPr>
            <w:tcW w:w="548" w:type="pct"/>
            <w:gridSpan w:val="2"/>
            <w:tcBorders>
              <w:top w:val="single" w:color="000000" w:sz="8" w:space="0"/>
              <w:left w:val="nil"/>
              <w:bottom w:val="single" w:color="000000" w:sz="4" w:space="0"/>
              <w:right w:val="single" w:color="000000" w:sz="4" w:space="0"/>
            </w:tcBorders>
            <w:noWrap w:val="0"/>
            <w:vAlign w:val="center"/>
          </w:tcPr>
          <w:p w14:paraId="64778B6A">
            <w:pPr>
              <w:widowControl/>
              <w:jc w:val="center"/>
              <w:rPr>
                <w:rFonts w:ascii="宋体" w:hAnsi="宋体" w:cs="Arial"/>
                <w:kern w:val="0"/>
                <w:szCs w:val="21"/>
              </w:rPr>
            </w:pPr>
            <w:r>
              <w:rPr>
                <w:rFonts w:hint="eastAsia" w:ascii="宋体" w:hAnsi="宋体" w:cs="Arial"/>
                <w:kern w:val="0"/>
                <w:szCs w:val="21"/>
              </w:rPr>
              <w:t>项目名称</w:t>
            </w:r>
          </w:p>
        </w:tc>
        <w:tc>
          <w:tcPr>
            <w:tcW w:w="1743" w:type="pct"/>
            <w:gridSpan w:val="6"/>
            <w:tcBorders>
              <w:top w:val="single" w:color="000000" w:sz="8" w:space="0"/>
              <w:left w:val="nil"/>
              <w:bottom w:val="single" w:color="000000" w:sz="4" w:space="0"/>
              <w:right w:val="single" w:color="000000" w:sz="4" w:space="0"/>
            </w:tcBorders>
            <w:noWrap w:val="0"/>
            <w:vAlign w:val="center"/>
          </w:tcPr>
          <w:p w14:paraId="4EDEFAA5">
            <w:pPr>
              <w:widowControl/>
              <w:jc w:val="center"/>
              <w:rPr>
                <w:rFonts w:ascii="宋体" w:hAnsi="宋体" w:cs="Arial"/>
                <w:kern w:val="0"/>
                <w:szCs w:val="21"/>
              </w:rPr>
            </w:pPr>
          </w:p>
        </w:tc>
        <w:tc>
          <w:tcPr>
            <w:tcW w:w="548" w:type="pct"/>
            <w:gridSpan w:val="2"/>
            <w:tcBorders>
              <w:top w:val="single" w:color="000000" w:sz="8" w:space="0"/>
              <w:left w:val="nil"/>
              <w:bottom w:val="single" w:color="000000" w:sz="4" w:space="0"/>
              <w:right w:val="single" w:color="000000" w:sz="4" w:space="0"/>
            </w:tcBorders>
            <w:noWrap w:val="0"/>
            <w:vAlign w:val="center"/>
          </w:tcPr>
          <w:p w14:paraId="39F09E85">
            <w:pPr>
              <w:widowControl/>
              <w:jc w:val="center"/>
              <w:rPr>
                <w:rFonts w:ascii="宋体" w:hAnsi="宋体" w:cs="Arial"/>
                <w:kern w:val="0"/>
                <w:szCs w:val="21"/>
              </w:rPr>
            </w:pPr>
            <w:r>
              <w:rPr>
                <w:rFonts w:hint="eastAsia" w:ascii="宋体" w:hAnsi="宋体" w:cs="Arial"/>
                <w:kern w:val="0"/>
                <w:szCs w:val="21"/>
              </w:rPr>
              <w:t>计量单位</w:t>
            </w:r>
          </w:p>
        </w:tc>
        <w:tc>
          <w:tcPr>
            <w:tcW w:w="323" w:type="pct"/>
            <w:tcBorders>
              <w:top w:val="single" w:color="000000" w:sz="8" w:space="0"/>
              <w:left w:val="nil"/>
              <w:bottom w:val="single" w:color="000000" w:sz="4" w:space="0"/>
              <w:right w:val="single" w:color="000000" w:sz="4" w:space="0"/>
            </w:tcBorders>
            <w:noWrap w:val="0"/>
            <w:vAlign w:val="center"/>
          </w:tcPr>
          <w:p w14:paraId="553E6BC3">
            <w:pPr>
              <w:widowControl/>
              <w:jc w:val="center"/>
              <w:rPr>
                <w:rFonts w:ascii="宋体" w:hAnsi="宋体" w:cs="Arial"/>
                <w:kern w:val="0"/>
                <w:szCs w:val="21"/>
              </w:rPr>
            </w:pPr>
          </w:p>
        </w:tc>
        <w:tc>
          <w:tcPr>
            <w:tcW w:w="431" w:type="pct"/>
            <w:tcBorders>
              <w:top w:val="single" w:color="000000" w:sz="8" w:space="0"/>
              <w:left w:val="nil"/>
              <w:bottom w:val="single" w:color="000000" w:sz="4" w:space="0"/>
              <w:right w:val="single" w:color="000000" w:sz="4" w:space="0"/>
            </w:tcBorders>
            <w:noWrap w:val="0"/>
            <w:vAlign w:val="center"/>
          </w:tcPr>
          <w:p w14:paraId="6741882D">
            <w:pPr>
              <w:widowControl/>
              <w:jc w:val="center"/>
              <w:rPr>
                <w:rFonts w:ascii="宋体" w:hAnsi="宋体" w:cs="Arial"/>
                <w:kern w:val="0"/>
                <w:szCs w:val="21"/>
              </w:rPr>
            </w:pPr>
            <w:r>
              <w:rPr>
                <w:rFonts w:hint="eastAsia" w:ascii="宋体" w:hAnsi="宋体" w:cs="Arial"/>
                <w:kern w:val="0"/>
                <w:szCs w:val="21"/>
              </w:rPr>
              <w:t>工程量</w:t>
            </w:r>
          </w:p>
        </w:tc>
        <w:tc>
          <w:tcPr>
            <w:tcW w:w="431" w:type="pct"/>
            <w:tcBorders>
              <w:top w:val="single" w:color="000000" w:sz="8" w:space="0"/>
              <w:left w:val="nil"/>
              <w:bottom w:val="single" w:color="000000" w:sz="4" w:space="0"/>
              <w:right w:val="single" w:color="000000" w:sz="8" w:space="0"/>
            </w:tcBorders>
            <w:noWrap w:val="0"/>
            <w:vAlign w:val="center"/>
          </w:tcPr>
          <w:p w14:paraId="31451521">
            <w:pPr>
              <w:widowControl/>
              <w:jc w:val="center"/>
              <w:rPr>
                <w:rFonts w:ascii="宋体" w:hAnsi="宋体" w:cs="Arial"/>
                <w:kern w:val="0"/>
                <w:szCs w:val="21"/>
              </w:rPr>
            </w:pPr>
          </w:p>
        </w:tc>
      </w:tr>
      <w:tr w14:paraId="6D79E3AA">
        <w:tblPrEx>
          <w:tblCellMar>
            <w:top w:w="0" w:type="dxa"/>
            <w:left w:w="108" w:type="dxa"/>
            <w:bottom w:w="0" w:type="dxa"/>
            <w:right w:w="108" w:type="dxa"/>
          </w:tblCellMar>
        </w:tblPrEx>
        <w:trPr>
          <w:trHeight w:val="567" w:hRule="atLeast"/>
        </w:trPr>
        <w:tc>
          <w:tcPr>
            <w:tcW w:w="5000" w:type="pct"/>
            <w:gridSpan w:val="16"/>
            <w:tcBorders>
              <w:top w:val="single" w:color="000000" w:sz="4" w:space="0"/>
              <w:left w:val="single" w:color="000000" w:sz="8" w:space="0"/>
              <w:bottom w:val="single" w:color="000000" w:sz="4" w:space="0"/>
              <w:right w:val="single" w:color="000000" w:sz="8" w:space="0"/>
            </w:tcBorders>
            <w:noWrap/>
            <w:vAlign w:val="center"/>
          </w:tcPr>
          <w:p w14:paraId="163AD131">
            <w:pPr>
              <w:widowControl/>
              <w:jc w:val="center"/>
              <w:rPr>
                <w:rFonts w:ascii="宋体" w:hAnsi="宋体" w:cs="Arial"/>
                <w:kern w:val="0"/>
                <w:szCs w:val="21"/>
              </w:rPr>
            </w:pPr>
            <w:r>
              <w:rPr>
                <w:rFonts w:hint="eastAsia" w:ascii="宋体" w:hAnsi="宋体" w:cs="Arial"/>
                <w:kern w:val="0"/>
                <w:szCs w:val="21"/>
              </w:rPr>
              <w:t>清单综合单价组成明细</w:t>
            </w:r>
          </w:p>
        </w:tc>
      </w:tr>
      <w:tr w14:paraId="06859381">
        <w:tblPrEx>
          <w:tblCellMar>
            <w:top w:w="0" w:type="dxa"/>
            <w:left w:w="108" w:type="dxa"/>
            <w:bottom w:w="0" w:type="dxa"/>
            <w:right w:w="108" w:type="dxa"/>
          </w:tblCellMar>
        </w:tblPrEx>
        <w:trPr>
          <w:trHeight w:val="343" w:hRule="atLeast"/>
        </w:trPr>
        <w:tc>
          <w:tcPr>
            <w:tcW w:w="222" w:type="pct"/>
            <w:vMerge w:val="restart"/>
            <w:tcBorders>
              <w:top w:val="nil"/>
              <w:left w:val="single" w:color="000000" w:sz="8" w:space="0"/>
              <w:bottom w:val="single" w:color="000000" w:sz="4" w:space="0"/>
              <w:right w:val="single" w:color="000000" w:sz="4" w:space="0"/>
            </w:tcBorders>
            <w:noWrap w:val="0"/>
            <w:vAlign w:val="center"/>
          </w:tcPr>
          <w:p w14:paraId="7913A328">
            <w:pPr>
              <w:widowControl/>
              <w:jc w:val="center"/>
              <w:rPr>
                <w:rFonts w:ascii="宋体" w:hAnsi="宋体" w:cs="Arial"/>
                <w:kern w:val="0"/>
                <w:szCs w:val="21"/>
              </w:rPr>
            </w:pPr>
            <w:r>
              <w:rPr>
                <w:rFonts w:hint="eastAsia" w:ascii="宋体" w:hAnsi="宋体" w:cs="Arial"/>
                <w:kern w:val="0"/>
                <w:szCs w:val="21"/>
              </w:rPr>
              <w:t>定额编码</w:t>
            </w:r>
          </w:p>
        </w:tc>
        <w:tc>
          <w:tcPr>
            <w:tcW w:w="75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69C2414">
            <w:pPr>
              <w:widowControl/>
              <w:jc w:val="center"/>
              <w:rPr>
                <w:rFonts w:ascii="宋体" w:hAnsi="宋体" w:cs="Arial"/>
                <w:kern w:val="0"/>
                <w:szCs w:val="21"/>
              </w:rPr>
            </w:pPr>
            <w:r>
              <w:rPr>
                <w:rFonts w:hint="eastAsia" w:ascii="宋体" w:hAnsi="宋体" w:cs="Arial"/>
                <w:kern w:val="0"/>
                <w:szCs w:val="21"/>
              </w:rPr>
              <w:t>定额项目名称</w:t>
            </w:r>
          </w:p>
        </w:tc>
        <w:tc>
          <w:tcPr>
            <w:tcW w:w="222" w:type="pct"/>
            <w:vMerge w:val="restart"/>
            <w:tcBorders>
              <w:top w:val="nil"/>
              <w:left w:val="single" w:color="000000" w:sz="4" w:space="0"/>
              <w:bottom w:val="single" w:color="000000" w:sz="4" w:space="0"/>
              <w:right w:val="single" w:color="000000" w:sz="4" w:space="0"/>
            </w:tcBorders>
            <w:noWrap w:val="0"/>
            <w:vAlign w:val="center"/>
          </w:tcPr>
          <w:p w14:paraId="495B532E">
            <w:pPr>
              <w:widowControl/>
              <w:jc w:val="center"/>
              <w:rPr>
                <w:rFonts w:ascii="宋体" w:hAnsi="宋体" w:cs="Arial"/>
                <w:kern w:val="0"/>
                <w:szCs w:val="21"/>
              </w:rPr>
            </w:pPr>
            <w:r>
              <w:rPr>
                <w:rFonts w:hint="eastAsia" w:ascii="宋体" w:hAnsi="宋体" w:cs="Arial"/>
                <w:kern w:val="0"/>
                <w:szCs w:val="21"/>
              </w:rPr>
              <w:t>定额单位</w:t>
            </w:r>
          </w:p>
        </w:tc>
        <w:tc>
          <w:tcPr>
            <w:tcW w:w="326" w:type="pct"/>
            <w:vMerge w:val="restart"/>
            <w:tcBorders>
              <w:top w:val="nil"/>
              <w:left w:val="single" w:color="000000" w:sz="4" w:space="0"/>
              <w:bottom w:val="single" w:color="000000" w:sz="4" w:space="0"/>
              <w:right w:val="single" w:color="000000" w:sz="4" w:space="0"/>
            </w:tcBorders>
            <w:noWrap/>
            <w:vAlign w:val="center"/>
          </w:tcPr>
          <w:p w14:paraId="0B32465E">
            <w:pPr>
              <w:widowControl/>
              <w:jc w:val="center"/>
              <w:rPr>
                <w:rFonts w:ascii="宋体" w:hAnsi="宋体" w:cs="Arial"/>
                <w:kern w:val="0"/>
                <w:szCs w:val="21"/>
              </w:rPr>
            </w:pPr>
            <w:r>
              <w:rPr>
                <w:rFonts w:hint="eastAsia" w:ascii="宋体" w:hAnsi="宋体" w:cs="Arial"/>
                <w:kern w:val="0"/>
                <w:szCs w:val="21"/>
              </w:rPr>
              <w:t>数量</w:t>
            </w:r>
          </w:p>
        </w:tc>
        <w:tc>
          <w:tcPr>
            <w:tcW w:w="1743" w:type="pct"/>
            <w:gridSpan w:val="6"/>
            <w:tcBorders>
              <w:top w:val="single" w:color="000000" w:sz="4" w:space="0"/>
              <w:left w:val="nil"/>
              <w:bottom w:val="single" w:color="000000" w:sz="4" w:space="0"/>
              <w:right w:val="single" w:color="000000" w:sz="4" w:space="0"/>
            </w:tcBorders>
            <w:noWrap/>
            <w:vAlign w:val="center"/>
          </w:tcPr>
          <w:p w14:paraId="656563DA">
            <w:pPr>
              <w:widowControl/>
              <w:jc w:val="center"/>
              <w:rPr>
                <w:rFonts w:ascii="宋体" w:hAnsi="宋体" w:cs="Arial"/>
                <w:kern w:val="0"/>
                <w:szCs w:val="21"/>
              </w:rPr>
            </w:pPr>
            <w:r>
              <w:rPr>
                <w:rFonts w:hint="eastAsia" w:ascii="宋体" w:hAnsi="宋体" w:cs="Arial"/>
                <w:kern w:val="0"/>
                <w:szCs w:val="21"/>
              </w:rPr>
              <w:t>单价</w:t>
            </w:r>
          </w:p>
        </w:tc>
        <w:tc>
          <w:tcPr>
            <w:tcW w:w="1732" w:type="pct"/>
            <w:gridSpan w:val="5"/>
            <w:tcBorders>
              <w:top w:val="single" w:color="000000" w:sz="4" w:space="0"/>
              <w:left w:val="nil"/>
              <w:bottom w:val="single" w:color="000000" w:sz="4" w:space="0"/>
              <w:right w:val="single" w:color="000000" w:sz="8" w:space="0"/>
            </w:tcBorders>
            <w:noWrap/>
            <w:vAlign w:val="center"/>
          </w:tcPr>
          <w:p w14:paraId="657CD55B">
            <w:pPr>
              <w:widowControl/>
              <w:jc w:val="center"/>
              <w:rPr>
                <w:rFonts w:ascii="宋体" w:hAnsi="宋体" w:cs="Arial"/>
                <w:kern w:val="0"/>
                <w:szCs w:val="21"/>
              </w:rPr>
            </w:pPr>
            <w:r>
              <w:rPr>
                <w:rFonts w:hint="eastAsia" w:ascii="宋体" w:hAnsi="宋体" w:cs="Arial"/>
                <w:kern w:val="0"/>
                <w:szCs w:val="21"/>
              </w:rPr>
              <w:t>合价</w:t>
            </w:r>
          </w:p>
        </w:tc>
      </w:tr>
      <w:tr w14:paraId="7F82D649">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4" w:space="0"/>
              <w:right w:val="single" w:color="000000" w:sz="4" w:space="0"/>
            </w:tcBorders>
            <w:noWrap w:val="0"/>
            <w:vAlign w:val="center"/>
          </w:tcPr>
          <w:p w14:paraId="2C224B9F">
            <w:pPr>
              <w:widowControl/>
              <w:jc w:val="left"/>
              <w:rPr>
                <w:rFonts w:ascii="宋体" w:hAnsi="宋体" w:cs="Arial"/>
                <w:kern w:val="0"/>
                <w:szCs w:val="21"/>
              </w:rPr>
            </w:pPr>
          </w:p>
        </w:tc>
        <w:tc>
          <w:tcPr>
            <w:tcW w:w="75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1F3AEA">
            <w:pPr>
              <w:widowControl/>
              <w:jc w:val="left"/>
              <w:rPr>
                <w:rFonts w:ascii="宋体" w:hAnsi="宋体" w:cs="Arial"/>
                <w:kern w:val="0"/>
                <w:szCs w:val="21"/>
              </w:rPr>
            </w:pPr>
          </w:p>
        </w:tc>
        <w:tc>
          <w:tcPr>
            <w:tcW w:w="222" w:type="pct"/>
            <w:vMerge w:val="continue"/>
            <w:tcBorders>
              <w:top w:val="nil"/>
              <w:left w:val="single" w:color="000000" w:sz="4" w:space="0"/>
              <w:bottom w:val="single" w:color="000000" w:sz="4" w:space="0"/>
              <w:right w:val="single" w:color="000000" w:sz="4" w:space="0"/>
            </w:tcBorders>
            <w:noWrap w:val="0"/>
            <w:vAlign w:val="center"/>
          </w:tcPr>
          <w:p w14:paraId="57A355A9">
            <w:pPr>
              <w:widowControl/>
              <w:jc w:val="left"/>
              <w:rPr>
                <w:rFonts w:ascii="宋体" w:hAnsi="宋体" w:cs="Arial"/>
                <w:kern w:val="0"/>
                <w:szCs w:val="21"/>
              </w:rPr>
            </w:pPr>
          </w:p>
        </w:tc>
        <w:tc>
          <w:tcPr>
            <w:tcW w:w="326" w:type="pct"/>
            <w:vMerge w:val="continue"/>
            <w:tcBorders>
              <w:top w:val="nil"/>
              <w:left w:val="single" w:color="000000" w:sz="4" w:space="0"/>
              <w:bottom w:val="single" w:color="000000" w:sz="4" w:space="0"/>
              <w:right w:val="single" w:color="000000" w:sz="4" w:space="0"/>
            </w:tcBorders>
            <w:noWrap w:val="0"/>
            <w:vAlign w:val="center"/>
          </w:tcPr>
          <w:p w14:paraId="684A4C75">
            <w:pPr>
              <w:widowControl/>
              <w:jc w:val="left"/>
              <w:rPr>
                <w:rFonts w:ascii="宋体" w:hAnsi="宋体" w:cs="Arial"/>
                <w:kern w:val="0"/>
                <w:szCs w:val="21"/>
              </w:rPr>
            </w:pPr>
          </w:p>
        </w:tc>
        <w:tc>
          <w:tcPr>
            <w:tcW w:w="431" w:type="pct"/>
            <w:tcBorders>
              <w:top w:val="nil"/>
              <w:left w:val="nil"/>
              <w:bottom w:val="single" w:color="000000" w:sz="4" w:space="0"/>
              <w:right w:val="single" w:color="000000" w:sz="4" w:space="0"/>
            </w:tcBorders>
            <w:noWrap/>
            <w:vAlign w:val="center"/>
          </w:tcPr>
          <w:p w14:paraId="619C6C34">
            <w:pPr>
              <w:widowControl/>
              <w:jc w:val="center"/>
              <w:rPr>
                <w:rFonts w:ascii="宋体" w:hAnsi="宋体" w:cs="Arial"/>
                <w:kern w:val="0"/>
                <w:szCs w:val="21"/>
              </w:rPr>
            </w:pPr>
            <w:r>
              <w:rPr>
                <w:rFonts w:hint="eastAsia" w:ascii="宋体" w:hAnsi="宋体" w:cs="Arial"/>
                <w:kern w:val="0"/>
                <w:szCs w:val="21"/>
              </w:rPr>
              <w:t>人工费</w:t>
            </w:r>
          </w:p>
        </w:tc>
        <w:tc>
          <w:tcPr>
            <w:tcW w:w="444" w:type="pct"/>
            <w:gridSpan w:val="2"/>
            <w:tcBorders>
              <w:top w:val="single" w:color="000000" w:sz="4" w:space="0"/>
              <w:left w:val="nil"/>
              <w:bottom w:val="single" w:color="000000" w:sz="4" w:space="0"/>
              <w:right w:val="single" w:color="000000" w:sz="4" w:space="0"/>
            </w:tcBorders>
            <w:noWrap/>
            <w:vAlign w:val="center"/>
          </w:tcPr>
          <w:p w14:paraId="74085BF8">
            <w:pPr>
              <w:widowControl/>
              <w:jc w:val="center"/>
              <w:rPr>
                <w:rFonts w:ascii="宋体" w:hAnsi="宋体" w:cs="Arial"/>
                <w:kern w:val="0"/>
                <w:szCs w:val="21"/>
              </w:rPr>
            </w:pPr>
            <w:r>
              <w:rPr>
                <w:rFonts w:hint="eastAsia" w:ascii="宋体" w:hAnsi="宋体" w:cs="Arial"/>
                <w:kern w:val="0"/>
                <w:szCs w:val="21"/>
              </w:rPr>
              <w:t>材料费</w:t>
            </w:r>
          </w:p>
        </w:tc>
        <w:tc>
          <w:tcPr>
            <w:tcW w:w="490" w:type="pct"/>
            <w:gridSpan w:val="2"/>
            <w:tcBorders>
              <w:top w:val="single" w:color="000000" w:sz="4" w:space="0"/>
              <w:left w:val="nil"/>
              <w:bottom w:val="single" w:color="000000" w:sz="4" w:space="0"/>
              <w:right w:val="single" w:color="000000" w:sz="4" w:space="0"/>
            </w:tcBorders>
            <w:noWrap/>
            <w:vAlign w:val="center"/>
          </w:tcPr>
          <w:p w14:paraId="7872A3BA">
            <w:pPr>
              <w:widowControl/>
              <w:jc w:val="center"/>
              <w:rPr>
                <w:rFonts w:ascii="宋体" w:hAnsi="宋体" w:cs="Arial"/>
                <w:kern w:val="0"/>
                <w:szCs w:val="21"/>
              </w:rPr>
            </w:pPr>
            <w:r>
              <w:rPr>
                <w:rFonts w:hint="eastAsia" w:ascii="宋体" w:hAnsi="宋体" w:cs="Arial"/>
                <w:kern w:val="0"/>
                <w:szCs w:val="21"/>
              </w:rPr>
              <w:t>机械费</w:t>
            </w:r>
          </w:p>
        </w:tc>
        <w:tc>
          <w:tcPr>
            <w:tcW w:w="379" w:type="pct"/>
            <w:tcBorders>
              <w:top w:val="nil"/>
              <w:left w:val="nil"/>
              <w:bottom w:val="single" w:color="000000" w:sz="4" w:space="0"/>
              <w:right w:val="single" w:color="000000" w:sz="4" w:space="0"/>
            </w:tcBorders>
            <w:noWrap/>
            <w:vAlign w:val="center"/>
          </w:tcPr>
          <w:p w14:paraId="4866BFE5">
            <w:pPr>
              <w:widowControl/>
              <w:jc w:val="center"/>
              <w:rPr>
                <w:rFonts w:ascii="宋体" w:hAnsi="宋体" w:cs="Arial"/>
                <w:kern w:val="0"/>
                <w:szCs w:val="21"/>
              </w:rPr>
            </w:pPr>
            <w:r>
              <w:rPr>
                <w:rFonts w:hint="eastAsia" w:ascii="宋体" w:hAnsi="宋体" w:cs="Arial"/>
                <w:kern w:val="0"/>
                <w:szCs w:val="21"/>
              </w:rPr>
              <w:t>综合费</w:t>
            </w:r>
          </w:p>
        </w:tc>
        <w:tc>
          <w:tcPr>
            <w:tcW w:w="431" w:type="pct"/>
            <w:tcBorders>
              <w:top w:val="single" w:color="000000" w:sz="4" w:space="0"/>
              <w:left w:val="nil"/>
              <w:bottom w:val="single" w:color="000000" w:sz="4" w:space="0"/>
              <w:right w:val="single" w:color="000000" w:sz="4" w:space="0"/>
            </w:tcBorders>
            <w:noWrap/>
            <w:vAlign w:val="center"/>
          </w:tcPr>
          <w:p w14:paraId="68E07844">
            <w:pPr>
              <w:widowControl/>
              <w:jc w:val="center"/>
              <w:rPr>
                <w:rFonts w:ascii="宋体" w:hAnsi="宋体" w:cs="Arial"/>
                <w:kern w:val="0"/>
                <w:szCs w:val="21"/>
              </w:rPr>
            </w:pPr>
            <w:r>
              <w:rPr>
                <w:rFonts w:hint="eastAsia" w:ascii="宋体" w:hAnsi="宋体" w:cs="Arial"/>
                <w:kern w:val="0"/>
                <w:szCs w:val="21"/>
              </w:rPr>
              <w:t>人工费</w:t>
            </w:r>
          </w:p>
        </w:tc>
        <w:tc>
          <w:tcPr>
            <w:tcW w:w="441" w:type="pct"/>
            <w:gridSpan w:val="2"/>
            <w:tcBorders>
              <w:top w:val="single" w:color="000000" w:sz="4" w:space="0"/>
              <w:left w:val="nil"/>
              <w:bottom w:val="single" w:color="000000" w:sz="4" w:space="0"/>
              <w:right w:val="single" w:color="000000" w:sz="4" w:space="0"/>
            </w:tcBorders>
            <w:noWrap/>
            <w:vAlign w:val="center"/>
          </w:tcPr>
          <w:p w14:paraId="13F8B60A">
            <w:pPr>
              <w:widowControl/>
              <w:jc w:val="center"/>
              <w:rPr>
                <w:rFonts w:ascii="宋体" w:hAnsi="宋体" w:cs="Arial"/>
                <w:kern w:val="0"/>
                <w:szCs w:val="21"/>
              </w:rPr>
            </w:pPr>
            <w:r>
              <w:rPr>
                <w:rFonts w:hint="eastAsia" w:ascii="宋体" w:hAnsi="宋体" w:cs="Arial"/>
                <w:kern w:val="0"/>
                <w:szCs w:val="21"/>
              </w:rPr>
              <w:t>材料费</w:t>
            </w:r>
          </w:p>
        </w:tc>
        <w:tc>
          <w:tcPr>
            <w:tcW w:w="431" w:type="pct"/>
            <w:tcBorders>
              <w:top w:val="nil"/>
              <w:left w:val="nil"/>
              <w:bottom w:val="single" w:color="000000" w:sz="4" w:space="0"/>
              <w:right w:val="single" w:color="000000" w:sz="4" w:space="0"/>
            </w:tcBorders>
            <w:noWrap/>
            <w:vAlign w:val="center"/>
          </w:tcPr>
          <w:p w14:paraId="794BBD86">
            <w:pPr>
              <w:widowControl/>
              <w:jc w:val="center"/>
              <w:rPr>
                <w:rFonts w:ascii="宋体" w:hAnsi="宋体" w:cs="Arial"/>
                <w:kern w:val="0"/>
                <w:szCs w:val="21"/>
              </w:rPr>
            </w:pPr>
            <w:r>
              <w:rPr>
                <w:rFonts w:hint="eastAsia" w:ascii="宋体" w:hAnsi="宋体" w:cs="Arial"/>
                <w:kern w:val="0"/>
                <w:szCs w:val="21"/>
              </w:rPr>
              <w:t>机械费</w:t>
            </w:r>
          </w:p>
        </w:tc>
        <w:tc>
          <w:tcPr>
            <w:tcW w:w="431" w:type="pct"/>
            <w:tcBorders>
              <w:top w:val="nil"/>
              <w:left w:val="nil"/>
              <w:bottom w:val="single" w:color="000000" w:sz="4" w:space="0"/>
              <w:right w:val="single" w:color="000000" w:sz="8" w:space="0"/>
            </w:tcBorders>
            <w:noWrap/>
            <w:vAlign w:val="center"/>
          </w:tcPr>
          <w:p w14:paraId="23FCBCC2">
            <w:pPr>
              <w:widowControl/>
              <w:jc w:val="center"/>
              <w:rPr>
                <w:rFonts w:ascii="宋体" w:hAnsi="宋体" w:cs="Arial"/>
                <w:kern w:val="0"/>
                <w:szCs w:val="21"/>
              </w:rPr>
            </w:pPr>
            <w:r>
              <w:rPr>
                <w:rFonts w:hint="eastAsia" w:ascii="宋体" w:hAnsi="宋体" w:cs="Arial"/>
                <w:kern w:val="0"/>
                <w:szCs w:val="21"/>
              </w:rPr>
              <w:t>综合费</w:t>
            </w:r>
          </w:p>
        </w:tc>
      </w:tr>
      <w:tr w14:paraId="37ECF903">
        <w:tblPrEx>
          <w:tblCellMar>
            <w:top w:w="0" w:type="dxa"/>
            <w:left w:w="108" w:type="dxa"/>
            <w:bottom w:w="0" w:type="dxa"/>
            <w:right w:w="108" w:type="dxa"/>
          </w:tblCellMar>
        </w:tblPrEx>
        <w:trPr>
          <w:trHeight w:val="567" w:hRule="atLeast"/>
        </w:trPr>
        <w:tc>
          <w:tcPr>
            <w:tcW w:w="222" w:type="pct"/>
            <w:tcBorders>
              <w:top w:val="nil"/>
              <w:left w:val="single" w:color="000000" w:sz="8" w:space="0"/>
              <w:bottom w:val="single" w:color="000000" w:sz="4" w:space="0"/>
              <w:right w:val="single" w:color="000000" w:sz="4" w:space="0"/>
            </w:tcBorders>
            <w:noWrap w:val="0"/>
            <w:vAlign w:val="center"/>
          </w:tcPr>
          <w:p w14:paraId="64BB7791">
            <w:pPr>
              <w:widowControl/>
              <w:jc w:val="center"/>
              <w:rPr>
                <w:rFonts w:ascii="宋体" w:hAnsi="宋体" w:cs="Arial"/>
                <w:kern w:val="0"/>
                <w:szCs w:val="21"/>
              </w:rPr>
            </w:pPr>
          </w:p>
        </w:tc>
        <w:tc>
          <w:tcPr>
            <w:tcW w:w="754" w:type="pct"/>
            <w:gridSpan w:val="2"/>
            <w:tcBorders>
              <w:top w:val="single" w:color="000000" w:sz="4" w:space="0"/>
              <w:left w:val="nil"/>
              <w:bottom w:val="single" w:color="000000" w:sz="4" w:space="0"/>
              <w:right w:val="single" w:color="000000" w:sz="4" w:space="0"/>
            </w:tcBorders>
            <w:noWrap w:val="0"/>
            <w:vAlign w:val="center"/>
          </w:tcPr>
          <w:p w14:paraId="7841B7EB">
            <w:pPr>
              <w:widowControl/>
              <w:jc w:val="left"/>
              <w:rPr>
                <w:rFonts w:ascii="宋体" w:hAnsi="宋体" w:cs="Arial"/>
                <w:kern w:val="0"/>
                <w:szCs w:val="21"/>
              </w:rPr>
            </w:pPr>
          </w:p>
        </w:tc>
        <w:tc>
          <w:tcPr>
            <w:tcW w:w="222" w:type="pct"/>
            <w:tcBorders>
              <w:top w:val="nil"/>
              <w:left w:val="nil"/>
              <w:bottom w:val="single" w:color="000000" w:sz="4" w:space="0"/>
              <w:right w:val="single" w:color="000000" w:sz="4" w:space="0"/>
            </w:tcBorders>
            <w:noWrap w:val="0"/>
            <w:vAlign w:val="center"/>
          </w:tcPr>
          <w:p w14:paraId="58D0E4CC">
            <w:pPr>
              <w:widowControl/>
              <w:jc w:val="center"/>
              <w:rPr>
                <w:rFonts w:ascii="宋体" w:hAnsi="宋体" w:cs="Arial"/>
                <w:kern w:val="0"/>
                <w:szCs w:val="21"/>
              </w:rPr>
            </w:pPr>
          </w:p>
        </w:tc>
        <w:tc>
          <w:tcPr>
            <w:tcW w:w="326" w:type="pct"/>
            <w:tcBorders>
              <w:top w:val="nil"/>
              <w:left w:val="nil"/>
              <w:bottom w:val="single" w:color="000000" w:sz="4" w:space="0"/>
              <w:right w:val="single" w:color="000000" w:sz="4" w:space="0"/>
            </w:tcBorders>
            <w:noWrap w:val="0"/>
            <w:vAlign w:val="center"/>
          </w:tcPr>
          <w:p w14:paraId="4CB2F605">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1DEE3FC3">
            <w:pPr>
              <w:widowControl/>
              <w:jc w:val="right"/>
              <w:rPr>
                <w:rFonts w:ascii="宋体" w:hAnsi="宋体" w:cs="Arial"/>
                <w:kern w:val="0"/>
                <w:szCs w:val="21"/>
              </w:rPr>
            </w:pPr>
          </w:p>
        </w:tc>
        <w:tc>
          <w:tcPr>
            <w:tcW w:w="444" w:type="pct"/>
            <w:gridSpan w:val="2"/>
            <w:tcBorders>
              <w:top w:val="single" w:color="000000" w:sz="4" w:space="0"/>
              <w:left w:val="nil"/>
              <w:bottom w:val="single" w:color="000000" w:sz="4" w:space="0"/>
              <w:right w:val="single" w:color="000000" w:sz="4" w:space="0"/>
            </w:tcBorders>
            <w:noWrap w:val="0"/>
            <w:vAlign w:val="center"/>
          </w:tcPr>
          <w:p w14:paraId="2B72FFE1">
            <w:pPr>
              <w:widowControl/>
              <w:jc w:val="righ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266BC94B">
            <w:pPr>
              <w:widowControl/>
              <w:jc w:val="right"/>
              <w:rPr>
                <w:rFonts w:ascii="宋体" w:hAnsi="宋体" w:cs="Arial"/>
                <w:kern w:val="0"/>
                <w:szCs w:val="21"/>
              </w:rPr>
            </w:pPr>
          </w:p>
        </w:tc>
        <w:tc>
          <w:tcPr>
            <w:tcW w:w="379" w:type="pct"/>
            <w:tcBorders>
              <w:top w:val="nil"/>
              <w:left w:val="nil"/>
              <w:bottom w:val="single" w:color="000000" w:sz="4" w:space="0"/>
              <w:right w:val="single" w:color="000000" w:sz="4" w:space="0"/>
            </w:tcBorders>
            <w:noWrap w:val="0"/>
            <w:vAlign w:val="center"/>
          </w:tcPr>
          <w:p w14:paraId="4C9B46EB">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34664EC1">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01A83670">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07E25DEB">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3CCF2409">
            <w:pPr>
              <w:widowControl/>
              <w:jc w:val="right"/>
              <w:rPr>
                <w:rFonts w:ascii="宋体" w:hAnsi="宋体" w:cs="Arial"/>
                <w:kern w:val="0"/>
                <w:szCs w:val="21"/>
              </w:rPr>
            </w:pPr>
          </w:p>
        </w:tc>
      </w:tr>
      <w:tr w14:paraId="3AC0A357">
        <w:tblPrEx>
          <w:tblCellMar>
            <w:top w:w="0" w:type="dxa"/>
            <w:left w:w="108" w:type="dxa"/>
            <w:bottom w:w="0" w:type="dxa"/>
            <w:right w:w="108" w:type="dxa"/>
          </w:tblCellMar>
        </w:tblPrEx>
        <w:trPr>
          <w:trHeight w:val="567" w:hRule="atLeast"/>
        </w:trPr>
        <w:tc>
          <w:tcPr>
            <w:tcW w:w="976" w:type="pct"/>
            <w:gridSpan w:val="3"/>
            <w:tcBorders>
              <w:top w:val="single" w:color="000000" w:sz="4" w:space="0"/>
              <w:left w:val="single" w:color="000000" w:sz="8" w:space="0"/>
              <w:bottom w:val="single" w:color="000000" w:sz="4" w:space="0"/>
              <w:right w:val="single" w:color="000000" w:sz="4" w:space="0"/>
            </w:tcBorders>
            <w:noWrap/>
            <w:vAlign w:val="center"/>
          </w:tcPr>
          <w:p w14:paraId="632B81BF">
            <w:pPr>
              <w:widowControl/>
              <w:jc w:val="center"/>
              <w:rPr>
                <w:rFonts w:ascii="宋体" w:hAnsi="宋体" w:cs="Arial"/>
                <w:kern w:val="0"/>
                <w:szCs w:val="21"/>
              </w:rPr>
            </w:pPr>
            <w:r>
              <w:rPr>
                <w:rFonts w:hint="eastAsia" w:ascii="宋体" w:hAnsi="宋体" w:cs="Arial"/>
                <w:kern w:val="0"/>
                <w:szCs w:val="21"/>
              </w:rPr>
              <w:t>人工单价</w:t>
            </w:r>
          </w:p>
        </w:tc>
        <w:tc>
          <w:tcPr>
            <w:tcW w:w="2292" w:type="pct"/>
            <w:gridSpan w:val="8"/>
            <w:tcBorders>
              <w:top w:val="single" w:color="000000" w:sz="4" w:space="0"/>
              <w:left w:val="nil"/>
              <w:bottom w:val="single" w:color="000000" w:sz="4" w:space="0"/>
              <w:right w:val="single" w:color="000000" w:sz="4" w:space="0"/>
            </w:tcBorders>
            <w:noWrap/>
            <w:vAlign w:val="center"/>
          </w:tcPr>
          <w:p w14:paraId="24D0AFBC">
            <w:pPr>
              <w:widowControl/>
              <w:jc w:val="center"/>
              <w:rPr>
                <w:rFonts w:ascii="宋体" w:hAnsi="宋体" w:cs="Arial"/>
                <w:kern w:val="0"/>
                <w:szCs w:val="21"/>
              </w:rPr>
            </w:pPr>
            <w:r>
              <w:rPr>
                <w:rFonts w:hint="eastAsia" w:ascii="宋体" w:hAnsi="宋体" w:cs="Arial"/>
                <w:kern w:val="0"/>
                <w:szCs w:val="21"/>
              </w:rPr>
              <w:t>小计</w:t>
            </w:r>
          </w:p>
        </w:tc>
        <w:tc>
          <w:tcPr>
            <w:tcW w:w="431" w:type="pct"/>
            <w:tcBorders>
              <w:top w:val="single" w:color="000000" w:sz="4" w:space="0"/>
              <w:left w:val="nil"/>
              <w:bottom w:val="single" w:color="000000" w:sz="4" w:space="0"/>
              <w:right w:val="single" w:color="000000" w:sz="4" w:space="0"/>
            </w:tcBorders>
            <w:noWrap w:val="0"/>
            <w:vAlign w:val="center"/>
          </w:tcPr>
          <w:p w14:paraId="5C50AAEB">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646E88A6">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74D60EB2">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0575C915">
            <w:pPr>
              <w:widowControl/>
              <w:jc w:val="right"/>
              <w:rPr>
                <w:rFonts w:ascii="宋体" w:hAnsi="宋体" w:cs="Arial"/>
                <w:kern w:val="0"/>
                <w:szCs w:val="21"/>
              </w:rPr>
            </w:pPr>
          </w:p>
        </w:tc>
      </w:tr>
      <w:tr w14:paraId="33817681">
        <w:tblPrEx>
          <w:tblCellMar>
            <w:top w:w="0" w:type="dxa"/>
            <w:left w:w="108" w:type="dxa"/>
            <w:bottom w:w="0" w:type="dxa"/>
            <w:right w:w="108" w:type="dxa"/>
          </w:tblCellMar>
        </w:tblPrEx>
        <w:trPr>
          <w:trHeight w:val="567" w:hRule="atLeast"/>
        </w:trPr>
        <w:tc>
          <w:tcPr>
            <w:tcW w:w="976" w:type="pct"/>
            <w:gridSpan w:val="3"/>
            <w:tcBorders>
              <w:top w:val="single" w:color="000000" w:sz="4" w:space="0"/>
              <w:left w:val="single" w:color="000000" w:sz="8" w:space="0"/>
              <w:bottom w:val="single" w:color="000000" w:sz="4" w:space="0"/>
              <w:right w:val="single" w:color="000000" w:sz="4" w:space="0"/>
            </w:tcBorders>
            <w:noWrap/>
            <w:vAlign w:val="center"/>
          </w:tcPr>
          <w:p w14:paraId="10687529">
            <w:pPr>
              <w:widowControl/>
              <w:jc w:val="center"/>
              <w:rPr>
                <w:rFonts w:ascii="宋体" w:hAnsi="宋体" w:cs="Arial"/>
                <w:kern w:val="0"/>
                <w:szCs w:val="21"/>
              </w:rPr>
            </w:pPr>
            <w:r>
              <w:rPr>
                <w:rFonts w:hint="eastAsia" w:ascii="宋体" w:hAnsi="宋体" w:cs="Arial"/>
                <w:kern w:val="0"/>
                <w:szCs w:val="21"/>
              </w:rPr>
              <w:t>（    ）元/工日</w:t>
            </w:r>
          </w:p>
        </w:tc>
        <w:tc>
          <w:tcPr>
            <w:tcW w:w="2292" w:type="pct"/>
            <w:gridSpan w:val="8"/>
            <w:tcBorders>
              <w:top w:val="single" w:color="000000" w:sz="4" w:space="0"/>
              <w:left w:val="nil"/>
              <w:bottom w:val="single" w:color="000000" w:sz="4" w:space="0"/>
              <w:right w:val="single" w:color="000000" w:sz="4" w:space="0"/>
            </w:tcBorders>
            <w:noWrap/>
            <w:vAlign w:val="center"/>
          </w:tcPr>
          <w:p w14:paraId="1F19FE50">
            <w:pPr>
              <w:widowControl/>
              <w:jc w:val="center"/>
              <w:rPr>
                <w:rFonts w:ascii="宋体" w:hAnsi="宋体" w:cs="Arial"/>
                <w:kern w:val="0"/>
                <w:szCs w:val="21"/>
              </w:rPr>
            </w:pPr>
            <w:r>
              <w:rPr>
                <w:rFonts w:hint="eastAsia" w:ascii="宋体" w:hAnsi="宋体" w:cs="Arial"/>
                <w:kern w:val="0"/>
                <w:szCs w:val="21"/>
              </w:rPr>
              <w:t>未计价材料费</w:t>
            </w:r>
          </w:p>
        </w:tc>
        <w:tc>
          <w:tcPr>
            <w:tcW w:w="1732" w:type="pct"/>
            <w:gridSpan w:val="5"/>
            <w:tcBorders>
              <w:top w:val="single" w:color="000000" w:sz="4" w:space="0"/>
              <w:left w:val="nil"/>
              <w:bottom w:val="single" w:color="000000" w:sz="4" w:space="0"/>
              <w:right w:val="single" w:color="000000" w:sz="8" w:space="0"/>
            </w:tcBorders>
            <w:noWrap w:val="0"/>
            <w:vAlign w:val="center"/>
          </w:tcPr>
          <w:p w14:paraId="3DB4CF80">
            <w:pPr>
              <w:widowControl/>
              <w:jc w:val="center"/>
              <w:rPr>
                <w:rFonts w:ascii="宋体" w:hAnsi="宋体" w:cs="Arial"/>
                <w:kern w:val="0"/>
                <w:szCs w:val="21"/>
              </w:rPr>
            </w:pPr>
          </w:p>
        </w:tc>
      </w:tr>
      <w:tr w14:paraId="61CAF24D">
        <w:tblPrEx>
          <w:tblCellMar>
            <w:top w:w="0" w:type="dxa"/>
            <w:left w:w="108" w:type="dxa"/>
            <w:bottom w:w="0" w:type="dxa"/>
            <w:right w:w="108" w:type="dxa"/>
          </w:tblCellMar>
        </w:tblPrEx>
        <w:trPr>
          <w:trHeight w:val="567" w:hRule="atLeast"/>
        </w:trPr>
        <w:tc>
          <w:tcPr>
            <w:tcW w:w="3268" w:type="pct"/>
            <w:gridSpan w:val="11"/>
            <w:tcBorders>
              <w:top w:val="single" w:color="000000" w:sz="4" w:space="0"/>
              <w:left w:val="single" w:color="000000" w:sz="8" w:space="0"/>
              <w:bottom w:val="single" w:color="000000" w:sz="4" w:space="0"/>
              <w:right w:val="single" w:color="000000" w:sz="4" w:space="0"/>
            </w:tcBorders>
            <w:noWrap w:val="0"/>
            <w:vAlign w:val="center"/>
          </w:tcPr>
          <w:p w14:paraId="24969A63">
            <w:pPr>
              <w:widowControl/>
              <w:jc w:val="center"/>
              <w:rPr>
                <w:rFonts w:ascii="宋体" w:hAnsi="宋体" w:cs="Arial"/>
                <w:kern w:val="0"/>
                <w:szCs w:val="21"/>
              </w:rPr>
            </w:pPr>
            <w:r>
              <w:rPr>
                <w:rFonts w:hint="eastAsia" w:ascii="宋体" w:hAnsi="宋体" w:cs="Arial"/>
                <w:kern w:val="0"/>
                <w:szCs w:val="21"/>
              </w:rPr>
              <w:t>清单项目综合单价</w:t>
            </w:r>
          </w:p>
        </w:tc>
        <w:tc>
          <w:tcPr>
            <w:tcW w:w="1732" w:type="pct"/>
            <w:gridSpan w:val="5"/>
            <w:tcBorders>
              <w:top w:val="single" w:color="000000" w:sz="4" w:space="0"/>
              <w:left w:val="nil"/>
              <w:bottom w:val="single" w:color="000000" w:sz="4" w:space="0"/>
              <w:right w:val="single" w:color="000000" w:sz="8" w:space="0"/>
            </w:tcBorders>
            <w:noWrap w:val="0"/>
            <w:vAlign w:val="center"/>
          </w:tcPr>
          <w:p w14:paraId="1541C24C">
            <w:pPr>
              <w:widowControl/>
              <w:jc w:val="center"/>
              <w:rPr>
                <w:rFonts w:ascii="宋体" w:hAnsi="宋体" w:cs="Arial"/>
                <w:kern w:val="0"/>
                <w:szCs w:val="21"/>
              </w:rPr>
            </w:pPr>
          </w:p>
        </w:tc>
      </w:tr>
      <w:tr w14:paraId="358BE94B">
        <w:tblPrEx>
          <w:tblCellMar>
            <w:top w:w="0" w:type="dxa"/>
            <w:left w:w="108" w:type="dxa"/>
            <w:bottom w:w="0" w:type="dxa"/>
            <w:right w:w="108" w:type="dxa"/>
          </w:tblCellMar>
        </w:tblPrEx>
        <w:trPr>
          <w:trHeight w:val="567" w:hRule="atLeast"/>
        </w:trPr>
        <w:tc>
          <w:tcPr>
            <w:tcW w:w="222" w:type="pct"/>
            <w:vMerge w:val="restart"/>
            <w:tcBorders>
              <w:top w:val="nil"/>
              <w:left w:val="single" w:color="000000" w:sz="8" w:space="0"/>
              <w:bottom w:val="single" w:color="000000" w:sz="8" w:space="0"/>
              <w:right w:val="single" w:color="000000" w:sz="4" w:space="0"/>
            </w:tcBorders>
            <w:noWrap w:val="0"/>
            <w:vAlign w:val="center"/>
          </w:tcPr>
          <w:p w14:paraId="5B55D301">
            <w:pPr>
              <w:widowControl/>
              <w:jc w:val="center"/>
              <w:rPr>
                <w:rFonts w:ascii="宋体" w:hAnsi="宋体" w:cs="Arial"/>
                <w:kern w:val="0"/>
                <w:szCs w:val="21"/>
              </w:rPr>
            </w:pPr>
            <w:r>
              <w:rPr>
                <w:rFonts w:hint="eastAsia" w:ascii="宋体" w:hAnsi="宋体" w:cs="Arial"/>
                <w:kern w:val="0"/>
                <w:szCs w:val="21"/>
              </w:rPr>
              <w:t>材料费明细</w:t>
            </w:r>
          </w:p>
        </w:tc>
        <w:tc>
          <w:tcPr>
            <w:tcW w:w="2058" w:type="pct"/>
            <w:gridSpan w:val="6"/>
            <w:tcBorders>
              <w:top w:val="single" w:color="000000" w:sz="4" w:space="0"/>
              <w:left w:val="nil"/>
              <w:bottom w:val="single" w:color="000000" w:sz="4" w:space="0"/>
              <w:right w:val="single" w:color="000000" w:sz="4" w:space="0"/>
            </w:tcBorders>
            <w:noWrap/>
            <w:vAlign w:val="center"/>
          </w:tcPr>
          <w:p w14:paraId="2F743327">
            <w:pPr>
              <w:widowControl/>
              <w:jc w:val="center"/>
              <w:rPr>
                <w:rFonts w:ascii="宋体" w:hAnsi="宋体" w:cs="Arial"/>
                <w:kern w:val="0"/>
                <w:szCs w:val="21"/>
              </w:rPr>
            </w:pPr>
            <w:r>
              <w:rPr>
                <w:rFonts w:hint="eastAsia" w:ascii="宋体" w:hAnsi="宋体" w:cs="Arial"/>
                <w:kern w:val="0"/>
                <w:szCs w:val="21"/>
              </w:rPr>
              <w:t>主要材料名称、规格、型号</w:t>
            </w:r>
          </w:p>
        </w:tc>
        <w:tc>
          <w:tcPr>
            <w:tcW w:w="490" w:type="pct"/>
            <w:gridSpan w:val="2"/>
            <w:tcBorders>
              <w:top w:val="single" w:color="000000" w:sz="4" w:space="0"/>
              <w:left w:val="nil"/>
              <w:bottom w:val="single" w:color="000000" w:sz="4" w:space="0"/>
              <w:right w:val="single" w:color="000000" w:sz="4" w:space="0"/>
            </w:tcBorders>
            <w:noWrap/>
            <w:vAlign w:val="center"/>
          </w:tcPr>
          <w:p w14:paraId="757F9172">
            <w:pPr>
              <w:widowControl/>
              <w:jc w:val="center"/>
              <w:rPr>
                <w:rFonts w:ascii="宋体" w:hAnsi="宋体" w:cs="Arial"/>
                <w:kern w:val="0"/>
                <w:szCs w:val="21"/>
              </w:rPr>
            </w:pPr>
            <w:r>
              <w:rPr>
                <w:rFonts w:hint="eastAsia" w:ascii="宋体" w:hAnsi="宋体" w:cs="Arial"/>
                <w:kern w:val="0"/>
                <w:szCs w:val="21"/>
              </w:rPr>
              <w:t>单位</w:t>
            </w:r>
          </w:p>
        </w:tc>
        <w:tc>
          <w:tcPr>
            <w:tcW w:w="497" w:type="pct"/>
            <w:gridSpan w:val="2"/>
            <w:tcBorders>
              <w:top w:val="single" w:color="000000" w:sz="4" w:space="0"/>
              <w:left w:val="nil"/>
              <w:bottom w:val="single" w:color="000000" w:sz="4" w:space="0"/>
              <w:right w:val="single" w:color="000000" w:sz="4" w:space="0"/>
            </w:tcBorders>
            <w:noWrap/>
            <w:vAlign w:val="center"/>
          </w:tcPr>
          <w:p w14:paraId="06C1105D">
            <w:pPr>
              <w:widowControl/>
              <w:jc w:val="center"/>
              <w:rPr>
                <w:rFonts w:ascii="宋体" w:hAnsi="宋体" w:cs="Arial"/>
                <w:kern w:val="0"/>
                <w:szCs w:val="21"/>
              </w:rPr>
            </w:pPr>
            <w:r>
              <w:rPr>
                <w:rFonts w:hint="eastAsia" w:ascii="宋体" w:hAnsi="宋体" w:cs="Arial"/>
                <w:kern w:val="0"/>
                <w:szCs w:val="21"/>
              </w:rPr>
              <w:t>数量</w:t>
            </w:r>
          </w:p>
        </w:tc>
        <w:tc>
          <w:tcPr>
            <w:tcW w:w="431" w:type="pct"/>
            <w:tcBorders>
              <w:top w:val="single" w:color="000000" w:sz="4" w:space="0"/>
              <w:left w:val="nil"/>
              <w:bottom w:val="single" w:color="000000" w:sz="4" w:space="0"/>
              <w:right w:val="single" w:color="000000" w:sz="4" w:space="0"/>
            </w:tcBorders>
            <w:noWrap w:val="0"/>
            <w:vAlign w:val="center"/>
          </w:tcPr>
          <w:p w14:paraId="3C8B7231">
            <w:pPr>
              <w:widowControl/>
              <w:jc w:val="center"/>
              <w:rPr>
                <w:rFonts w:ascii="宋体" w:hAnsi="宋体" w:cs="Arial"/>
                <w:kern w:val="0"/>
                <w:szCs w:val="21"/>
              </w:rPr>
            </w:pPr>
            <w:r>
              <w:rPr>
                <w:rFonts w:hint="eastAsia" w:ascii="宋体" w:hAnsi="宋体" w:cs="Arial"/>
                <w:kern w:val="0"/>
                <w:szCs w:val="21"/>
              </w:rPr>
              <w:t>单价（元）</w:t>
            </w:r>
          </w:p>
        </w:tc>
        <w:tc>
          <w:tcPr>
            <w:tcW w:w="441" w:type="pct"/>
            <w:gridSpan w:val="2"/>
            <w:tcBorders>
              <w:top w:val="single" w:color="000000" w:sz="4" w:space="0"/>
              <w:left w:val="nil"/>
              <w:bottom w:val="single" w:color="000000" w:sz="4" w:space="0"/>
              <w:right w:val="single" w:color="000000" w:sz="4" w:space="0"/>
            </w:tcBorders>
            <w:noWrap w:val="0"/>
            <w:vAlign w:val="center"/>
          </w:tcPr>
          <w:p w14:paraId="4155BF17">
            <w:pPr>
              <w:widowControl/>
              <w:jc w:val="center"/>
              <w:rPr>
                <w:rFonts w:ascii="宋体" w:hAnsi="宋体" w:cs="Arial"/>
                <w:kern w:val="0"/>
                <w:szCs w:val="21"/>
              </w:rPr>
            </w:pPr>
            <w:r>
              <w:rPr>
                <w:rFonts w:hint="eastAsia" w:ascii="宋体" w:hAnsi="宋体" w:cs="Arial"/>
                <w:kern w:val="0"/>
                <w:szCs w:val="21"/>
              </w:rPr>
              <w:t>合价（元）</w:t>
            </w:r>
          </w:p>
        </w:tc>
        <w:tc>
          <w:tcPr>
            <w:tcW w:w="431" w:type="pct"/>
            <w:tcBorders>
              <w:top w:val="nil"/>
              <w:left w:val="nil"/>
              <w:bottom w:val="single" w:color="000000" w:sz="4" w:space="0"/>
              <w:right w:val="single" w:color="000000" w:sz="4" w:space="0"/>
            </w:tcBorders>
            <w:noWrap w:val="0"/>
            <w:vAlign w:val="center"/>
          </w:tcPr>
          <w:p w14:paraId="19C13F6B">
            <w:pPr>
              <w:widowControl/>
              <w:jc w:val="center"/>
              <w:rPr>
                <w:rFonts w:ascii="宋体" w:hAnsi="宋体" w:cs="Arial"/>
                <w:kern w:val="0"/>
                <w:szCs w:val="21"/>
              </w:rPr>
            </w:pPr>
            <w:r>
              <w:rPr>
                <w:rFonts w:hint="eastAsia" w:ascii="宋体" w:hAnsi="宋体" w:cs="Arial"/>
                <w:kern w:val="0"/>
                <w:szCs w:val="21"/>
              </w:rPr>
              <w:t>暂估单价（元）</w:t>
            </w:r>
          </w:p>
        </w:tc>
        <w:tc>
          <w:tcPr>
            <w:tcW w:w="431" w:type="pct"/>
            <w:tcBorders>
              <w:top w:val="nil"/>
              <w:left w:val="nil"/>
              <w:bottom w:val="single" w:color="000000" w:sz="4" w:space="0"/>
              <w:right w:val="single" w:color="000000" w:sz="8" w:space="0"/>
            </w:tcBorders>
            <w:noWrap w:val="0"/>
            <w:vAlign w:val="center"/>
          </w:tcPr>
          <w:p w14:paraId="50AC96D6">
            <w:pPr>
              <w:widowControl/>
              <w:jc w:val="center"/>
              <w:rPr>
                <w:rFonts w:ascii="宋体" w:hAnsi="宋体" w:cs="Arial"/>
                <w:kern w:val="0"/>
                <w:szCs w:val="21"/>
              </w:rPr>
            </w:pPr>
            <w:r>
              <w:rPr>
                <w:rFonts w:hint="eastAsia" w:ascii="宋体" w:hAnsi="宋体" w:cs="Arial"/>
                <w:kern w:val="0"/>
                <w:szCs w:val="21"/>
              </w:rPr>
              <w:t>暂估合价（元）</w:t>
            </w:r>
          </w:p>
        </w:tc>
      </w:tr>
      <w:tr w14:paraId="03B889D7">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2F7B067">
            <w:pPr>
              <w:widowControl/>
              <w:jc w:val="left"/>
              <w:rPr>
                <w:rFonts w:ascii="宋体" w:hAnsi="宋体" w:cs="Arial"/>
                <w:kern w:val="0"/>
                <w:szCs w:val="21"/>
              </w:rPr>
            </w:pPr>
          </w:p>
        </w:tc>
        <w:tc>
          <w:tcPr>
            <w:tcW w:w="2058" w:type="pct"/>
            <w:gridSpan w:val="6"/>
            <w:tcBorders>
              <w:top w:val="single" w:color="000000" w:sz="4" w:space="0"/>
              <w:left w:val="nil"/>
              <w:bottom w:val="single" w:color="000000" w:sz="4" w:space="0"/>
              <w:right w:val="single" w:color="000000" w:sz="4" w:space="0"/>
            </w:tcBorders>
            <w:noWrap w:val="0"/>
            <w:vAlign w:val="center"/>
          </w:tcPr>
          <w:p w14:paraId="6DA9F78E">
            <w:pPr>
              <w:widowControl/>
              <w:jc w:val="lef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0F3EB5B1">
            <w:pPr>
              <w:widowControl/>
              <w:jc w:val="center"/>
              <w:rPr>
                <w:rFonts w:ascii="宋体" w:hAnsi="宋体" w:cs="Arial"/>
                <w:kern w:val="0"/>
                <w:szCs w:val="21"/>
              </w:rPr>
            </w:pPr>
          </w:p>
        </w:tc>
        <w:tc>
          <w:tcPr>
            <w:tcW w:w="497" w:type="pct"/>
            <w:gridSpan w:val="2"/>
            <w:tcBorders>
              <w:top w:val="single" w:color="000000" w:sz="4" w:space="0"/>
              <w:left w:val="nil"/>
              <w:bottom w:val="single" w:color="000000" w:sz="4" w:space="0"/>
              <w:right w:val="single" w:color="000000" w:sz="4" w:space="0"/>
            </w:tcBorders>
            <w:noWrap w:val="0"/>
            <w:vAlign w:val="center"/>
          </w:tcPr>
          <w:p w14:paraId="6D9329C8">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00A171D9">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01AE9D7C">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337F32BC">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2B8C6379">
            <w:pPr>
              <w:widowControl/>
              <w:jc w:val="right"/>
              <w:rPr>
                <w:rFonts w:ascii="宋体" w:hAnsi="宋体" w:cs="Arial"/>
                <w:kern w:val="0"/>
                <w:szCs w:val="21"/>
              </w:rPr>
            </w:pPr>
          </w:p>
        </w:tc>
      </w:tr>
      <w:tr w14:paraId="60BD8A30">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70FA17B">
            <w:pPr>
              <w:widowControl/>
              <w:jc w:val="left"/>
              <w:rPr>
                <w:rFonts w:ascii="宋体" w:hAnsi="宋体" w:cs="Arial"/>
                <w:kern w:val="0"/>
                <w:szCs w:val="21"/>
              </w:rPr>
            </w:pPr>
          </w:p>
        </w:tc>
        <w:tc>
          <w:tcPr>
            <w:tcW w:w="2058" w:type="pct"/>
            <w:gridSpan w:val="6"/>
            <w:tcBorders>
              <w:top w:val="single" w:color="000000" w:sz="4" w:space="0"/>
              <w:left w:val="nil"/>
              <w:bottom w:val="single" w:color="000000" w:sz="4" w:space="0"/>
              <w:right w:val="single" w:color="000000" w:sz="4" w:space="0"/>
            </w:tcBorders>
            <w:noWrap w:val="0"/>
            <w:vAlign w:val="center"/>
          </w:tcPr>
          <w:p w14:paraId="7FCB2593">
            <w:pPr>
              <w:widowControl/>
              <w:jc w:val="lef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5CAEDEB5">
            <w:pPr>
              <w:widowControl/>
              <w:jc w:val="center"/>
              <w:rPr>
                <w:rFonts w:ascii="宋体" w:hAnsi="宋体" w:cs="Arial"/>
                <w:kern w:val="0"/>
                <w:szCs w:val="21"/>
              </w:rPr>
            </w:pPr>
          </w:p>
        </w:tc>
        <w:tc>
          <w:tcPr>
            <w:tcW w:w="497" w:type="pct"/>
            <w:gridSpan w:val="2"/>
            <w:tcBorders>
              <w:top w:val="single" w:color="000000" w:sz="4" w:space="0"/>
              <w:left w:val="nil"/>
              <w:bottom w:val="single" w:color="000000" w:sz="4" w:space="0"/>
              <w:right w:val="single" w:color="000000" w:sz="4" w:space="0"/>
            </w:tcBorders>
            <w:noWrap w:val="0"/>
            <w:vAlign w:val="center"/>
          </w:tcPr>
          <w:p w14:paraId="58F0283C">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6C41FD74">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7B290000">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62DCB069">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66D4DE65">
            <w:pPr>
              <w:widowControl/>
              <w:jc w:val="right"/>
              <w:rPr>
                <w:rFonts w:ascii="宋体" w:hAnsi="宋体" w:cs="Arial"/>
                <w:kern w:val="0"/>
                <w:szCs w:val="21"/>
              </w:rPr>
            </w:pPr>
          </w:p>
        </w:tc>
      </w:tr>
      <w:tr w14:paraId="66616FF0">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215CC89F">
            <w:pPr>
              <w:widowControl/>
              <w:jc w:val="left"/>
              <w:rPr>
                <w:rFonts w:ascii="宋体" w:hAnsi="宋体" w:cs="Arial"/>
                <w:kern w:val="0"/>
                <w:szCs w:val="21"/>
              </w:rPr>
            </w:pPr>
          </w:p>
        </w:tc>
        <w:tc>
          <w:tcPr>
            <w:tcW w:w="3045" w:type="pct"/>
            <w:gridSpan w:val="10"/>
            <w:tcBorders>
              <w:top w:val="single" w:color="000000" w:sz="4" w:space="0"/>
              <w:left w:val="nil"/>
              <w:bottom w:val="single" w:color="000000" w:sz="4" w:space="0"/>
              <w:right w:val="single" w:color="000000" w:sz="4" w:space="0"/>
            </w:tcBorders>
            <w:noWrap w:val="0"/>
            <w:vAlign w:val="center"/>
          </w:tcPr>
          <w:p w14:paraId="0968AEF7">
            <w:pPr>
              <w:widowControl/>
              <w:jc w:val="center"/>
              <w:rPr>
                <w:rFonts w:ascii="宋体" w:hAnsi="宋体" w:cs="Arial"/>
                <w:kern w:val="0"/>
                <w:szCs w:val="21"/>
              </w:rPr>
            </w:pPr>
            <w:r>
              <w:rPr>
                <w:rFonts w:hint="eastAsia" w:ascii="宋体" w:hAnsi="宋体" w:cs="Arial"/>
                <w:kern w:val="0"/>
                <w:szCs w:val="21"/>
              </w:rPr>
              <w:t>其他材料费</w:t>
            </w:r>
          </w:p>
        </w:tc>
        <w:tc>
          <w:tcPr>
            <w:tcW w:w="431" w:type="pct"/>
            <w:tcBorders>
              <w:top w:val="single" w:color="000000" w:sz="4" w:space="0"/>
              <w:left w:val="nil"/>
              <w:bottom w:val="single" w:color="000000" w:sz="4" w:space="0"/>
              <w:right w:val="single" w:color="000000" w:sz="4" w:space="0"/>
            </w:tcBorders>
            <w:noWrap/>
            <w:vAlign w:val="center"/>
          </w:tcPr>
          <w:p w14:paraId="6EC020A3">
            <w:pPr>
              <w:widowControl/>
              <w:jc w:val="center"/>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42AAD361">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ign w:val="center"/>
          </w:tcPr>
          <w:p w14:paraId="6FF6F671">
            <w:pPr>
              <w:widowControl/>
              <w:jc w:val="center"/>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60B752E1">
            <w:pPr>
              <w:widowControl/>
              <w:jc w:val="right"/>
              <w:rPr>
                <w:rFonts w:ascii="宋体" w:hAnsi="宋体" w:cs="Arial"/>
                <w:kern w:val="0"/>
                <w:szCs w:val="21"/>
              </w:rPr>
            </w:pPr>
          </w:p>
        </w:tc>
      </w:tr>
      <w:tr w14:paraId="5E5646BD">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D017778">
            <w:pPr>
              <w:widowControl/>
              <w:jc w:val="left"/>
              <w:rPr>
                <w:rFonts w:ascii="宋体" w:hAnsi="宋体" w:cs="Arial"/>
                <w:kern w:val="0"/>
                <w:szCs w:val="21"/>
              </w:rPr>
            </w:pPr>
          </w:p>
        </w:tc>
        <w:tc>
          <w:tcPr>
            <w:tcW w:w="3045" w:type="pct"/>
            <w:gridSpan w:val="10"/>
            <w:tcBorders>
              <w:top w:val="single" w:color="000000" w:sz="4" w:space="0"/>
              <w:left w:val="nil"/>
              <w:bottom w:val="single" w:color="000000" w:sz="8" w:space="0"/>
              <w:right w:val="single" w:color="000000" w:sz="4" w:space="0"/>
            </w:tcBorders>
            <w:noWrap w:val="0"/>
            <w:vAlign w:val="center"/>
          </w:tcPr>
          <w:p w14:paraId="240B5C82">
            <w:pPr>
              <w:widowControl/>
              <w:jc w:val="center"/>
              <w:rPr>
                <w:rFonts w:ascii="宋体" w:hAnsi="宋体" w:cs="Arial"/>
                <w:kern w:val="0"/>
                <w:szCs w:val="21"/>
              </w:rPr>
            </w:pPr>
            <w:r>
              <w:rPr>
                <w:rFonts w:hint="eastAsia" w:ascii="宋体" w:hAnsi="宋体" w:cs="Arial"/>
                <w:kern w:val="0"/>
                <w:szCs w:val="21"/>
              </w:rPr>
              <w:t>材料费小计</w:t>
            </w:r>
          </w:p>
        </w:tc>
        <w:tc>
          <w:tcPr>
            <w:tcW w:w="431" w:type="pct"/>
            <w:tcBorders>
              <w:top w:val="single" w:color="000000" w:sz="4" w:space="0"/>
              <w:left w:val="nil"/>
              <w:bottom w:val="single" w:color="000000" w:sz="8" w:space="0"/>
              <w:right w:val="single" w:color="000000" w:sz="4" w:space="0"/>
            </w:tcBorders>
            <w:noWrap/>
            <w:vAlign w:val="center"/>
          </w:tcPr>
          <w:p w14:paraId="5967F675">
            <w:pPr>
              <w:widowControl/>
              <w:jc w:val="center"/>
              <w:rPr>
                <w:rFonts w:ascii="宋体" w:hAnsi="宋体" w:cs="Arial"/>
                <w:kern w:val="0"/>
                <w:szCs w:val="21"/>
              </w:rPr>
            </w:pPr>
          </w:p>
        </w:tc>
        <w:tc>
          <w:tcPr>
            <w:tcW w:w="441" w:type="pct"/>
            <w:gridSpan w:val="2"/>
            <w:tcBorders>
              <w:top w:val="single" w:color="000000" w:sz="4" w:space="0"/>
              <w:left w:val="nil"/>
              <w:bottom w:val="single" w:color="000000" w:sz="8" w:space="0"/>
              <w:right w:val="single" w:color="000000" w:sz="4" w:space="0"/>
            </w:tcBorders>
            <w:noWrap w:val="0"/>
            <w:vAlign w:val="center"/>
          </w:tcPr>
          <w:p w14:paraId="1BFD5F36">
            <w:pPr>
              <w:widowControl/>
              <w:jc w:val="right"/>
              <w:rPr>
                <w:rFonts w:ascii="宋体" w:hAnsi="宋体" w:cs="Arial"/>
                <w:kern w:val="0"/>
                <w:szCs w:val="21"/>
              </w:rPr>
            </w:pPr>
          </w:p>
        </w:tc>
        <w:tc>
          <w:tcPr>
            <w:tcW w:w="431" w:type="pct"/>
            <w:tcBorders>
              <w:top w:val="nil"/>
              <w:left w:val="nil"/>
              <w:bottom w:val="single" w:color="000000" w:sz="8" w:space="0"/>
              <w:right w:val="single" w:color="000000" w:sz="4" w:space="0"/>
            </w:tcBorders>
            <w:noWrap/>
            <w:vAlign w:val="center"/>
          </w:tcPr>
          <w:p w14:paraId="7E1E5A60">
            <w:pPr>
              <w:widowControl/>
              <w:jc w:val="center"/>
              <w:rPr>
                <w:rFonts w:ascii="宋体" w:hAnsi="宋体" w:cs="Arial"/>
                <w:kern w:val="0"/>
                <w:szCs w:val="21"/>
              </w:rPr>
            </w:pPr>
          </w:p>
        </w:tc>
        <w:tc>
          <w:tcPr>
            <w:tcW w:w="431" w:type="pct"/>
            <w:tcBorders>
              <w:top w:val="nil"/>
              <w:left w:val="nil"/>
              <w:bottom w:val="single" w:color="000000" w:sz="8" w:space="0"/>
              <w:right w:val="single" w:color="000000" w:sz="8" w:space="0"/>
            </w:tcBorders>
            <w:noWrap w:val="0"/>
            <w:vAlign w:val="center"/>
          </w:tcPr>
          <w:p w14:paraId="7BF3C1FD">
            <w:pPr>
              <w:widowControl/>
              <w:jc w:val="right"/>
              <w:rPr>
                <w:rFonts w:ascii="宋体" w:hAnsi="宋体" w:cs="Arial"/>
                <w:kern w:val="0"/>
                <w:szCs w:val="21"/>
              </w:rPr>
            </w:pPr>
          </w:p>
        </w:tc>
      </w:tr>
    </w:tbl>
    <w:p w14:paraId="4F5AF743">
      <w:pPr>
        <w:spacing w:before="48" w:beforeLines="20" w:after="48" w:afterLines="20" w:line="540" w:lineRule="exact"/>
        <w:ind w:left="-21" w:leftChars="-10" w:firstLine="1"/>
        <w:jc w:val="center"/>
        <w:outlineLvl w:val="2"/>
        <w:rPr>
          <w:rFonts w:hint="eastAsia" w:ascii="宋体" w:hAnsi="宋体"/>
          <w:sz w:val="28"/>
          <w:szCs w:val="28"/>
        </w:rPr>
      </w:pPr>
      <w:r>
        <w:rPr>
          <w:rFonts w:ascii="宋体" w:hAnsi="宋体"/>
          <w:szCs w:val="21"/>
        </w:rPr>
        <w:br w:type="page"/>
      </w:r>
      <w:bookmarkStart w:id="481" w:name="_Toc460660244"/>
      <w:bookmarkStart w:id="482" w:name="_Toc460227129"/>
      <w:r>
        <w:rPr>
          <w:rFonts w:hint="eastAsia" w:ascii="宋体" w:hAnsi="宋体"/>
          <w:sz w:val="28"/>
          <w:szCs w:val="28"/>
        </w:rPr>
        <w:t>（七）</w:t>
      </w:r>
      <w:bookmarkEnd w:id="481"/>
      <w:bookmarkEnd w:id="482"/>
      <w:r>
        <w:rPr>
          <w:rFonts w:hint="eastAsia" w:ascii="宋体" w:hAnsi="宋体"/>
          <w:sz w:val="28"/>
          <w:szCs w:val="28"/>
        </w:rPr>
        <w:t>措施项目清单与计价表</w:t>
      </w:r>
    </w:p>
    <w:p w14:paraId="3E19C1D8">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63"/>
        <w:gridCol w:w="1767"/>
        <w:gridCol w:w="2308"/>
        <w:gridCol w:w="1545"/>
        <w:gridCol w:w="1248"/>
        <w:gridCol w:w="1544"/>
      </w:tblGrid>
      <w:tr w14:paraId="15F10C79">
        <w:tblPrEx>
          <w:tblCellMar>
            <w:top w:w="0" w:type="dxa"/>
            <w:left w:w="108" w:type="dxa"/>
            <w:bottom w:w="0" w:type="dxa"/>
            <w:right w:w="108" w:type="dxa"/>
          </w:tblCellMar>
        </w:tblPrEx>
        <w:trPr>
          <w:trHeight w:val="690" w:hRule="atLeast"/>
        </w:trPr>
        <w:tc>
          <w:tcPr>
            <w:tcW w:w="41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9274B98">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963" w:type="pct"/>
            <w:tcBorders>
              <w:top w:val="single" w:color="000000" w:sz="8" w:space="0"/>
              <w:left w:val="nil"/>
              <w:bottom w:val="single" w:color="000000" w:sz="4" w:space="0"/>
              <w:right w:val="single" w:color="000000" w:sz="4" w:space="0"/>
            </w:tcBorders>
            <w:shd w:val="clear" w:color="FFFFFF" w:fill="FFFFFF"/>
            <w:noWrap w:val="0"/>
            <w:vAlign w:val="center"/>
          </w:tcPr>
          <w:p w14:paraId="2134AE7D">
            <w:pPr>
              <w:widowControl/>
              <w:jc w:val="center"/>
              <w:rPr>
                <w:rFonts w:ascii="黑体" w:hAnsi="黑体" w:eastAsia="黑体" w:cs="Arial"/>
                <w:kern w:val="0"/>
                <w:szCs w:val="21"/>
              </w:rPr>
            </w:pPr>
            <w:r>
              <w:rPr>
                <w:rFonts w:hint="eastAsia" w:ascii="黑体" w:hAnsi="黑体" w:eastAsia="黑体" w:cs="Arial"/>
                <w:kern w:val="0"/>
                <w:szCs w:val="21"/>
              </w:rPr>
              <w:t>项目编码</w:t>
            </w:r>
          </w:p>
        </w:tc>
        <w:tc>
          <w:tcPr>
            <w:tcW w:w="1258" w:type="pct"/>
            <w:tcBorders>
              <w:top w:val="single" w:color="000000" w:sz="8" w:space="0"/>
              <w:left w:val="nil"/>
              <w:bottom w:val="single" w:color="000000" w:sz="4" w:space="0"/>
              <w:right w:val="single" w:color="000000" w:sz="4" w:space="0"/>
            </w:tcBorders>
            <w:shd w:val="clear" w:color="FFFFFF" w:fill="FFFFFF"/>
            <w:noWrap w:val="0"/>
            <w:vAlign w:val="center"/>
          </w:tcPr>
          <w:p w14:paraId="54CDACCD">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842" w:type="pct"/>
            <w:tcBorders>
              <w:top w:val="single" w:color="000000" w:sz="8" w:space="0"/>
              <w:left w:val="nil"/>
              <w:bottom w:val="single" w:color="000000" w:sz="4" w:space="0"/>
              <w:right w:val="single" w:color="000000" w:sz="4" w:space="0"/>
            </w:tcBorders>
            <w:shd w:val="clear" w:color="FFFFFF" w:fill="FFFFFF"/>
            <w:noWrap w:val="0"/>
            <w:vAlign w:val="center"/>
          </w:tcPr>
          <w:p w14:paraId="103266E7">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680" w:type="pct"/>
            <w:tcBorders>
              <w:top w:val="single" w:color="000000" w:sz="8" w:space="0"/>
              <w:left w:val="nil"/>
              <w:bottom w:val="single" w:color="000000" w:sz="4" w:space="0"/>
              <w:right w:val="single" w:color="000000" w:sz="4" w:space="0"/>
            </w:tcBorders>
            <w:shd w:val="clear" w:color="FFFFFF" w:fill="FFFFFF"/>
            <w:noWrap w:val="0"/>
            <w:vAlign w:val="center"/>
          </w:tcPr>
          <w:p w14:paraId="6C733005">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841" w:type="pct"/>
            <w:tcBorders>
              <w:top w:val="single" w:color="000000" w:sz="8" w:space="0"/>
              <w:left w:val="nil"/>
              <w:bottom w:val="single" w:color="000000" w:sz="4" w:space="0"/>
              <w:right w:val="single" w:color="000000" w:sz="8" w:space="0"/>
            </w:tcBorders>
            <w:shd w:val="clear" w:color="FFFFFF" w:fill="FFFFFF"/>
            <w:noWrap w:val="0"/>
            <w:vAlign w:val="center"/>
          </w:tcPr>
          <w:p w14:paraId="317664D7">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75BAC9E2">
        <w:tblPrEx>
          <w:tblCellMar>
            <w:top w:w="0" w:type="dxa"/>
            <w:left w:w="108" w:type="dxa"/>
            <w:bottom w:w="0" w:type="dxa"/>
            <w:right w:w="108" w:type="dxa"/>
          </w:tblCellMar>
        </w:tblPrEx>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1CAACCD6">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14916FAA">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6DF78688">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66188AC5">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55BC89DC">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4B8F542D">
            <w:pPr>
              <w:widowControl/>
              <w:jc w:val="right"/>
              <w:rPr>
                <w:rFonts w:ascii="宋体" w:hAnsi="宋体" w:cs="Arial"/>
                <w:kern w:val="0"/>
                <w:szCs w:val="21"/>
              </w:rPr>
            </w:pPr>
          </w:p>
        </w:tc>
      </w:tr>
      <w:tr w14:paraId="6D692226">
        <w:tblPrEx>
          <w:tblCellMar>
            <w:top w:w="0" w:type="dxa"/>
            <w:left w:w="108" w:type="dxa"/>
            <w:bottom w:w="0" w:type="dxa"/>
            <w:right w:w="108" w:type="dxa"/>
          </w:tblCellMar>
        </w:tblPrEx>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0EFF2BE8">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5B3FC969">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522AF075">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58B6A46C">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94A3F0F">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6670365D">
            <w:pPr>
              <w:widowControl/>
              <w:jc w:val="right"/>
              <w:rPr>
                <w:rFonts w:ascii="宋体" w:hAnsi="宋体" w:cs="Arial"/>
                <w:kern w:val="0"/>
                <w:szCs w:val="21"/>
              </w:rPr>
            </w:pPr>
          </w:p>
        </w:tc>
      </w:tr>
      <w:tr w14:paraId="0E806443">
        <w:tblPrEx>
          <w:tblCellMar>
            <w:top w:w="0" w:type="dxa"/>
            <w:left w:w="108" w:type="dxa"/>
            <w:bottom w:w="0" w:type="dxa"/>
            <w:right w:w="108" w:type="dxa"/>
          </w:tblCellMar>
        </w:tblPrEx>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353213AA">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73FFFD6F">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343D516C">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40C70E38">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761D5712">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2527C39D">
            <w:pPr>
              <w:widowControl/>
              <w:jc w:val="right"/>
              <w:rPr>
                <w:rFonts w:ascii="宋体" w:hAnsi="宋体" w:cs="Arial"/>
                <w:kern w:val="0"/>
                <w:szCs w:val="21"/>
              </w:rPr>
            </w:pPr>
          </w:p>
        </w:tc>
      </w:tr>
      <w:tr w14:paraId="25BE0861">
        <w:tblPrEx>
          <w:tblCellMar>
            <w:top w:w="0" w:type="dxa"/>
            <w:left w:w="108" w:type="dxa"/>
            <w:bottom w:w="0" w:type="dxa"/>
            <w:right w:w="108" w:type="dxa"/>
          </w:tblCellMar>
        </w:tblPrEx>
        <w:trPr>
          <w:trHeight w:val="680" w:hRule="atLeast"/>
        </w:trPr>
        <w:tc>
          <w:tcPr>
            <w:tcW w:w="4159" w:type="pct"/>
            <w:gridSpan w:val="5"/>
            <w:tcBorders>
              <w:top w:val="single" w:color="000000" w:sz="4" w:space="0"/>
              <w:left w:val="single" w:color="000000" w:sz="8" w:space="0"/>
              <w:bottom w:val="single" w:color="000000" w:sz="8" w:space="0"/>
              <w:right w:val="single" w:color="000000" w:sz="4" w:space="0"/>
            </w:tcBorders>
            <w:noWrap w:val="0"/>
            <w:vAlign w:val="center"/>
          </w:tcPr>
          <w:p w14:paraId="50EB19C4">
            <w:pPr>
              <w:widowControl/>
              <w:jc w:val="center"/>
              <w:rPr>
                <w:rFonts w:ascii="宋体" w:hAnsi="宋体" w:cs="Arial"/>
                <w:kern w:val="0"/>
                <w:szCs w:val="21"/>
              </w:rPr>
            </w:pPr>
            <w:r>
              <w:rPr>
                <w:rFonts w:hint="eastAsia" w:ascii="宋体" w:hAnsi="宋体" w:cs="Arial"/>
                <w:kern w:val="0"/>
                <w:szCs w:val="21"/>
              </w:rPr>
              <w:t>合   计</w:t>
            </w:r>
          </w:p>
        </w:tc>
        <w:tc>
          <w:tcPr>
            <w:tcW w:w="841" w:type="pct"/>
            <w:tcBorders>
              <w:top w:val="nil"/>
              <w:left w:val="nil"/>
              <w:bottom w:val="single" w:color="000000" w:sz="8" w:space="0"/>
              <w:right w:val="single" w:color="000000" w:sz="8" w:space="0"/>
            </w:tcBorders>
            <w:noWrap w:val="0"/>
            <w:vAlign w:val="center"/>
          </w:tcPr>
          <w:p w14:paraId="67319547">
            <w:pPr>
              <w:widowControl/>
              <w:jc w:val="right"/>
              <w:rPr>
                <w:rFonts w:ascii="宋体" w:hAnsi="宋体" w:cs="Arial"/>
                <w:kern w:val="0"/>
                <w:szCs w:val="21"/>
              </w:rPr>
            </w:pPr>
          </w:p>
        </w:tc>
      </w:tr>
    </w:tbl>
    <w:p w14:paraId="01311E8D">
      <w:pPr>
        <w:jc w:val="center"/>
        <w:rPr>
          <w:rFonts w:hint="eastAsia" w:ascii="宋体" w:hAnsi="宋体"/>
          <w:sz w:val="32"/>
          <w:szCs w:val="32"/>
        </w:rPr>
      </w:pPr>
      <w:bookmarkStart w:id="483" w:name="_Toc460660245"/>
      <w:bookmarkStart w:id="484" w:name="_Toc460227130"/>
    </w:p>
    <w:p w14:paraId="5400E8E8">
      <w:pPr>
        <w:jc w:val="center"/>
        <w:outlineLvl w:val="2"/>
        <w:rPr>
          <w:rFonts w:hint="eastAsia" w:ascii="宋体" w:hAnsi="宋体"/>
          <w:sz w:val="28"/>
          <w:szCs w:val="28"/>
        </w:rPr>
      </w:pPr>
      <w:r>
        <w:rPr>
          <w:rFonts w:hint="eastAsia" w:ascii="宋体" w:hAnsi="宋体"/>
          <w:sz w:val="28"/>
          <w:szCs w:val="28"/>
        </w:rPr>
        <w:t>（八）</w:t>
      </w:r>
      <w:bookmarkEnd w:id="483"/>
      <w:bookmarkEnd w:id="484"/>
      <w:r>
        <w:rPr>
          <w:rFonts w:hint="eastAsia" w:ascii="宋体" w:hAnsi="宋体"/>
          <w:sz w:val="28"/>
          <w:szCs w:val="28"/>
        </w:rPr>
        <w:t>不可竞争项目清单与计价表</w:t>
      </w:r>
    </w:p>
    <w:p w14:paraId="1D7AD9CE">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800"/>
        <w:gridCol w:w="1582"/>
        <w:gridCol w:w="2363"/>
        <w:gridCol w:w="1582"/>
        <w:gridCol w:w="1248"/>
        <w:gridCol w:w="1600"/>
      </w:tblGrid>
      <w:tr w14:paraId="4E9B3170">
        <w:tblPrEx>
          <w:tblCellMar>
            <w:top w:w="0" w:type="dxa"/>
            <w:left w:w="108" w:type="dxa"/>
            <w:bottom w:w="0" w:type="dxa"/>
            <w:right w:w="108" w:type="dxa"/>
          </w:tblCellMar>
        </w:tblPrEx>
        <w:trPr>
          <w:trHeight w:val="690" w:hRule="atLeast"/>
        </w:trPr>
        <w:tc>
          <w:tcPr>
            <w:tcW w:w="43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38FA668">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862" w:type="pct"/>
            <w:tcBorders>
              <w:top w:val="single" w:color="000000" w:sz="8" w:space="0"/>
              <w:left w:val="nil"/>
              <w:bottom w:val="single" w:color="000000" w:sz="4" w:space="0"/>
              <w:right w:val="single" w:color="000000" w:sz="4" w:space="0"/>
            </w:tcBorders>
            <w:shd w:val="clear" w:color="FFFFFF" w:fill="FFFFFF"/>
            <w:noWrap w:val="0"/>
            <w:vAlign w:val="center"/>
          </w:tcPr>
          <w:p w14:paraId="0B0DFCC2">
            <w:pPr>
              <w:widowControl/>
              <w:jc w:val="center"/>
              <w:rPr>
                <w:rFonts w:ascii="黑体" w:hAnsi="黑体" w:eastAsia="黑体" w:cs="Arial"/>
                <w:kern w:val="0"/>
                <w:szCs w:val="21"/>
              </w:rPr>
            </w:pPr>
            <w:r>
              <w:rPr>
                <w:rFonts w:hint="eastAsia" w:ascii="黑体" w:hAnsi="黑体" w:eastAsia="黑体" w:cs="Arial"/>
                <w:kern w:val="0"/>
                <w:szCs w:val="21"/>
              </w:rPr>
              <w:t>项目编码</w:t>
            </w:r>
          </w:p>
        </w:tc>
        <w:tc>
          <w:tcPr>
            <w:tcW w:w="1288" w:type="pct"/>
            <w:tcBorders>
              <w:top w:val="single" w:color="000000" w:sz="8" w:space="0"/>
              <w:left w:val="nil"/>
              <w:bottom w:val="single" w:color="000000" w:sz="4" w:space="0"/>
              <w:right w:val="single" w:color="000000" w:sz="4" w:space="0"/>
            </w:tcBorders>
            <w:shd w:val="clear" w:color="FFFFFF" w:fill="FFFFFF"/>
            <w:noWrap w:val="0"/>
            <w:vAlign w:val="center"/>
          </w:tcPr>
          <w:p w14:paraId="44E306AB">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862" w:type="pct"/>
            <w:tcBorders>
              <w:top w:val="single" w:color="000000" w:sz="8" w:space="0"/>
              <w:left w:val="nil"/>
              <w:bottom w:val="single" w:color="000000" w:sz="4" w:space="0"/>
              <w:right w:val="single" w:color="000000" w:sz="4" w:space="0"/>
            </w:tcBorders>
            <w:shd w:val="clear" w:color="FFFFFF" w:fill="FFFFFF"/>
            <w:noWrap w:val="0"/>
            <w:vAlign w:val="center"/>
          </w:tcPr>
          <w:p w14:paraId="747D0A86">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680" w:type="pct"/>
            <w:tcBorders>
              <w:top w:val="single" w:color="000000" w:sz="8" w:space="0"/>
              <w:left w:val="nil"/>
              <w:bottom w:val="single" w:color="000000" w:sz="4" w:space="0"/>
              <w:right w:val="single" w:color="000000" w:sz="4" w:space="0"/>
            </w:tcBorders>
            <w:shd w:val="clear" w:color="FFFFFF" w:fill="FFFFFF"/>
            <w:noWrap w:val="0"/>
            <w:vAlign w:val="center"/>
          </w:tcPr>
          <w:p w14:paraId="26F5F897">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872" w:type="pct"/>
            <w:tcBorders>
              <w:top w:val="single" w:color="000000" w:sz="8" w:space="0"/>
              <w:left w:val="nil"/>
              <w:bottom w:val="single" w:color="000000" w:sz="4" w:space="0"/>
              <w:right w:val="single" w:color="000000" w:sz="8" w:space="0"/>
            </w:tcBorders>
            <w:shd w:val="clear" w:color="FFFFFF" w:fill="FFFFFF"/>
            <w:noWrap w:val="0"/>
            <w:vAlign w:val="center"/>
          </w:tcPr>
          <w:p w14:paraId="751E33F6">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6A3E1A49">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6F516A00">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5C24A78B">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5CA2D407">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0F34181B">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C1B82E5">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7BC88D69">
            <w:pPr>
              <w:widowControl/>
              <w:jc w:val="right"/>
              <w:rPr>
                <w:rFonts w:ascii="宋体" w:hAnsi="宋体" w:cs="Arial"/>
                <w:kern w:val="0"/>
                <w:szCs w:val="21"/>
              </w:rPr>
            </w:pPr>
          </w:p>
        </w:tc>
      </w:tr>
      <w:tr w14:paraId="0EFCDD26">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6A4932F6">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36EBDB95">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3AB5B6DC">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7F4E3D98">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CEB0914">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4B1374C4">
            <w:pPr>
              <w:widowControl/>
              <w:jc w:val="right"/>
              <w:rPr>
                <w:rFonts w:ascii="宋体" w:hAnsi="宋体" w:cs="Arial"/>
                <w:kern w:val="0"/>
                <w:szCs w:val="21"/>
              </w:rPr>
            </w:pPr>
          </w:p>
        </w:tc>
      </w:tr>
      <w:tr w14:paraId="5031265E">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57ADB289">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50B63E87">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18631C5A">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6EFBF5C5">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68C86EE0">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4A0D4862">
            <w:pPr>
              <w:widowControl/>
              <w:jc w:val="right"/>
              <w:rPr>
                <w:rFonts w:ascii="宋体" w:hAnsi="宋体" w:cs="Arial"/>
                <w:kern w:val="0"/>
                <w:szCs w:val="21"/>
              </w:rPr>
            </w:pPr>
          </w:p>
        </w:tc>
      </w:tr>
      <w:tr w14:paraId="5BD1139D">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2B5356AA">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0C80F339">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35240E2B">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7A74C1BF">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66BD0028">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115B1D48">
            <w:pPr>
              <w:widowControl/>
              <w:jc w:val="right"/>
              <w:rPr>
                <w:rFonts w:ascii="宋体" w:hAnsi="宋体" w:cs="Arial"/>
                <w:kern w:val="0"/>
                <w:szCs w:val="21"/>
              </w:rPr>
            </w:pPr>
          </w:p>
        </w:tc>
      </w:tr>
      <w:tr w14:paraId="398EF8F2">
        <w:tblPrEx>
          <w:tblCellMar>
            <w:top w:w="0" w:type="dxa"/>
            <w:left w:w="108" w:type="dxa"/>
            <w:bottom w:w="0" w:type="dxa"/>
            <w:right w:w="108" w:type="dxa"/>
          </w:tblCellMar>
        </w:tblPrEx>
        <w:trPr>
          <w:trHeight w:val="680" w:hRule="atLeast"/>
        </w:trPr>
        <w:tc>
          <w:tcPr>
            <w:tcW w:w="4128" w:type="pct"/>
            <w:gridSpan w:val="5"/>
            <w:tcBorders>
              <w:top w:val="single" w:color="000000" w:sz="4" w:space="0"/>
              <w:left w:val="single" w:color="000000" w:sz="8" w:space="0"/>
              <w:bottom w:val="single" w:color="000000" w:sz="8" w:space="0"/>
              <w:right w:val="single" w:color="000000" w:sz="4" w:space="0"/>
            </w:tcBorders>
            <w:noWrap w:val="0"/>
            <w:vAlign w:val="center"/>
          </w:tcPr>
          <w:p w14:paraId="270050C8">
            <w:pPr>
              <w:widowControl/>
              <w:jc w:val="center"/>
              <w:rPr>
                <w:rFonts w:ascii="宋体" w:hAnsi="宋体" w:cs="Arial"/>
                <w:kern w:val="0"/>
                <w:szCs w:val="21"/>
              </w:rPr>
            </w:pPr>
            <w:r>
              <w:rPr>
                <w:rFonts w:hint="eastAsia" w:ascii="宋体" w:hAnsi="宋体" w:cs="Arial"/>
                <w:kern w:val="0"/>
                <w:szCs w:val="21"/>
              </w:rPr>
              <w:t>合   计</w:t>
            </w:r>
          </w:p>
        </w:tc>
        <w:tc>
          <w:tcPr>
            <w:tcW w:w="872" w:type="pct"/>
            <w:tcBorders>
              <w:top w:val="nil"/>
              <w:left w:val="nil"/>
              <w:bottom w:val="single" w:color="000000" w:sz="8" w:space="0"/>
              <w:right w:val="single" w:color="000000" w:sz="8" w:space="0"/>
            </w:tcBorders>
            <w:noWrap w:val="0"/>
            <w:vAlign w:val="center"/>
          </w:tcPr>
          <w:p w14:paraId="2887FE60">
            <w:pPr>
              <w:widowControl/>
              <w:jc w:val="right"/>
              <w:rPr>
                <w:rFonts w:ascii="宋体" w:hAnsi="宋体" w:cs="Arial"/>
                <w:kern w:val="0"/>
                <w:szCs w:val="21"/>
              </w:rPr>
            </w:pPr>
          </w:p>
        </w:tc>
      </w:tr>
    </w:tbl>
    <w:p w14:paraId="6B47EC3E">
      <w:pPr>
        <w:jc w:val="center"/>
        <w:outlineLvl w:val="2"/>
        <w:rPr>
          <w:rFonts w:hint="eastAsia" w:ascii="宋体" w:hAnsi="宋体"/>
          <w:sz w:val="28"/>
          <w:szCs w:val="28"/>
        </w:rPr>
      </w:pPr>
      <w:bookmarkStart w:id="485" w:name="_Toc460227131"/>
      <w:bookmarkStart w:id="486" w:name="_Toc460660246"/>
      <w:r>
        <w:rPr>
          <w:rFonts w:ascii="宋体" w:hAnsi="宋体"/>
          <w:sz w:val="28"/>
          <w:szCs w:val="28"/>
        </w:rPr>
        <w:br w:type="page"/>
      </w:r>
      <w:r>
        <w:rPr>
          <w:rFonts w:hint="eastAsia" w:ascii="宋体" w:hAnsi="宋体"/>
          <w:sz w:val="28"/>
          <w:szCs w:val="28"/>
        </w:rPr>
        <w:t>（九）</w:t>
      </w:r>
      <w:bookmarkEnd w:id="485"/>
      <w:bookmarkEnd w:id="486"/>
      <w:r>
        <w:rPr>
          <w:rFonts w:hint="eastAsia" w:ascii="宋体" w:hAnsi="宋体"/>
          <w:sz w:val="28"/>
          <w:szCs w:val="28"/>
        </w:rPr>
        <w:t>其他项目清单与计价汇总表</w:t>
      </w:r>
    </w:p>
    <w:p w14:paraId="77065D4A">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1663"/>
        <w:gridCol w:w="4167"/>
        <w:gridCol w:w="3345"/>
      </w:tblGrid>
      <w:tr w14:paraId="21A52760">
        <w:tblPrEx>
          <w:tblCellMar>
            <w:top w:w="0" w:type="dxa"/>
            <w:left w:w="108" w:type="dxa"/>
            <w:bottom w:w="0" w:type="dxa"/>
            <w:right w:w="108" w:type="dxa"/>
          </w:tblCellMar>
        </w:tblPrEx>
        <w:trPr>
          <w:trHeight w:val="690" w:hRule="atLeast"/>
        </w:trPr>
        <w:tc>
          <w:tcPr>
            <w:tcW w:w="90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3309AF9">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2271" w:type="pct"/>
            <w:tcBorders>
              <w:top w:val="single" w:color="000000" w:sz="8" w:space="0"/>
              <w:left w:val="nil"/>
              <w:bottom w:val="single" w:color="000000" w:sz="4" w:space="0"/>
              <w:right w:val="single" w:color="000000" w:sz="4" w:space="0"/>
            </w:tcBorders>
            <w:shd w:val="clear" w:color="FFFFFF" w:fill="FFFFFF"/>
            <w:noWrap w:val="0"/>
            <w:vAlign w:val="center"/>
          </w:tcPr>
          <w:p w14:paraId="23C86F3E">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1823" w:type="pct"/>
            <w:tcBorders>
              <w:top w:val="single" w:color="000000" w:sz="8" w:space="0"/>
              <w:left w:val="nil"/>
              <w:bottom w:val="single" w:color="000000" w:sz="4" w:space="0"/>
              <w:right w:val="single" w:color="000000" w:sz="8" w:space="0"/>
            </w:tcBorders>
            <w:shd w:val="clear" w:color="FFFFFF" w:fill="FFFFFF"/>
            <w:noWrap w:val="0"/>
            <w:vAlign w:val="center"/>
          </w:tcPr>
          <w:p w14:paraId="31409781">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75AFE2B6">
        <w:tblPrEx>
          <w:tblCellMar>
            <w:top w:w="0" w:type="dxa"/>
            <w:left w:w="108" w:type="dxa"/>
            <w:bottom w:w="0" w:type="dxa"/>
            <w:right w:w="108" w:type="dxa"/>
          </w:tblCellMar>
        </w:tblPrEx>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4E4595E2">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2DE5EC22">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301F0283">
            <w:pPr>
              <w:widowControl/>
              <w:jc w:val="right"/>
              <w:rPr>
                <w:rFonts w:ascii="宋体" w:hAnsi="宋体" w:cs="Arial"/>
                <w:kern w:val="0"/>
                <w:szCs w:val="21"/>
              </w:rPr>
            </w:pPr>
            <w:r>
              <w:rPr>
                <w:rFonts w:hint="eastAsia" w:ascii="宋体" w:hAnsi="宋体" w:cs="Arial"/>
                <w:kern w:val="0"/>
                <w:szCs w:val="21"/>
              </w:rPr>
              <w:t>　</w:t>
            </w:r>
          </w:p>
        </w:tc>
      </w:tr>
      <w:tr w14:paraId="0B83FD02">
        <w:tblPrEx>
          <w:tblCellMar>
            <w:top w:w="0" w:type="dxa"/>
            <w:left w:w="108" w:type="dxa"/>
            <w:bottom w:w="0" w:type="dxa"/>
            <w:right w:w="108" w:type="dxa"/>
          </w:tblCellMar>
        </w:tblPrEx>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3C9D944E">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567681C1">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1AD5ECFC">
            <w:pPr>
              <w:widowControl/>
              <w:jc w:val="right"/>
              <w:rPr>
                <w:rFonts w:ascii="宋体" w:hAnsi="宋体" w:cs="Arial"/>
                <w:kern w:val="0"/>
                <w:szCs w:val="21"/>
              </w:rPr>
            </w:pPr>
            <w:r>
              <w:rPr>
                <w:rFonts w:hint="eastAsia" w:ascii="宋体" w:hAnsi="宋体" w:cs="Arial"/>
                <w:kern w:val="0"/>
                <w:szCs w:val="21"/>
              </w:rPr>
              <w:t>　</w:t>
            </w:r>
          </w:p>
        </w:tc>
      </w:tr>
      <w:tr w14:paraId="63C5AEB2">
        <w:tblPrEx>
          <w:tblCellMar>
            <w:top w:w="0" w:type="dxa"/>
            <w:left w:w="108" w:type="dxa"/>
            <w:bottom w:w="0" w:type="dxa"/>
            <w:right w:w="108" w:type="dxa"/>
          </w:tblCellMar>
        </w:tblPrEx>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229A384F">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18BCFBE4">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22E91EF2">
            <w:pPr>
              <w:widowControl/>
              <w:jc w:val="right"/>
              <w:rPr>
                <w:rFonts w:ascii="宋体" w:hAnsi="宋体" w:cs="Arial"/>
                <w:kern w:val="0"/>
                <w:szCs w:val="21"/>
              </w:rPr>
            </w:pPr>
            <w:r>
              <w:rPr>
                <w:rFonts w:hint="eastAsia" w:ascii="宋体" w:hAnsi="宋体" w:cs="Arial"/>
                <w:kern w:val="0"/>
                <w:szCs w:val="21"/>
              </w:rPr>
              <w:t>　</w:t>
            </w:r>
          </w:p>
        </w:tc>
      </w:tr>
      <w:tr w14:paraId="0D978A33">
        <w:tblPrEx>
          <w:tblCellMar>
            <w:top w:w="0" w:type="dxa"/>
            <w:left w:w="108" w:type="dxa"/>
            <w:bottom w:w="0" w:type="dxa"/>
            <w:right w:w="108" w:type="dxa"/>
          </w:tblCellMar>
        </w:tblPrEx>
        <w:trPr>
          <w:trHeight w:val="680" w:hRule="atLeast"/>
        </w:trPr>
        <w:tc>
          <w:tcPr>
            <w:tcW w:w="3177" w:type="pct"/>
            <w:gridSpan w:val="2"/>
            <w:tcBorders>
              <w:top w:val="single" w:color="000000" w:sz="4" w:space="0"/>
              <w:left w:val="single" w:color="000000" w:sz="8" w:space="0"/>
              <w:bottom w:val="single" w:color="000000" w:sz="8" w:space="0"/>
              <w:right w:val="single" w:color="000000" w:sz="4" w:space="0"/>
            </w:tcBorders>
            <w:noWrap w:val="0"/>
            <w:vAlign w:val="center"/>
          </w:tcPr>
          <w:p w14:paraId="5C3020AE">
            <w:pPr>
              <w:widowControl/>
              <w:jc w:val="center"/>
              <w:rPr>
                <w:rFonts w:ascii="宋体" w:hAnsi="宋体" w:cs="Arial"/>
                <w:kern w:val="0"/>
                <w:szCs w:val="21"/>
              </w:rPr>
            </w:pPr>
            <w:r>
              <w:rPr>
                <w:rFonts w:hint="eastAsia" w:ascii="宋体" w:hAnsi="宋体" w:cs="Arial"/>
                <w:kern w:val="0"/>
                <w:szCs w:val="21"/>
              </w:rPr>
              <w:t>合  计</w:t>
            </w:r>
          </w:p>
        </w:tc>
        <w:tc>
          <w:tcPr>
            <w:tcW w:w="1823" w:type="pct"/>
            <w:tcBorders>
              <w:top w:val="single" w:color="000000" w:sz="4" w:space="0"/>
              <w:left w:val="nil"/>
              <w:bottom w:val="single" w:color="000000" w:sz="8" w:space="0"/>
              <w:right w:val="single" w:color="000000" w:sz="8" w:space="0"/>
            </w:tcBorders>
            <w:noWrap w:val="0"/>
            <w:vAlign w:val="center"/>
          </w:tcPr>
          <w:p w14:paraId="19E63823">
            <w:pPr>
              <w:widowControl/>
              <w:jc w:val="right"/>
              <w:rPr>
                <w:rFonts w:ascii="宋体" w:hAnsi="宋体" w:cs="Arial"/>
                <w:kern w:val="0"/>
                <w:szCs w:val="21"/>
              </w:rPr>
            </w:pPr>
          </w:p>
        </w:tc>
      </w:tr>
    </w:tbl>
    <w:p w14:paraId="2B683399">
      <w:pPr>
        <w:jc w:val="center"/>
        <w:rPr>
          <w:rFonts w:hint="eastAsia" w:ascii="宋体" w:hAnsi="宋体"/>
          <w:sz w:val="28"/>
          <w:szCs w:val="28"/>
        </w:rPr>
      </w:pPr>
      <w:bookmarkStart w:id="487" w:name="_Toc460227132"/>
      <w:bookmarkStart w:id="488" w:name="_Toc460660247"/>
      <w:bookmarkStart w:id="489" w:name="_Toc535241136"/>
    </w:p>
    <w:p w14:paraId="0AAA014B">
      <w:pPr>
        <w:jc w:val="center"/>
        <w:outlineLvl w:val="2"/>
        <w:rPr>
          <w:rFonts w:ascii="宋体" w:hAnsi="宋体"/>
          <w:sz w:val="28"/>
          <w:szCs w:val="28"/>
        </w:rPr>
      </w:pPr>
      <w:r>
        <w:rPr>
          <w:rFonts w:hint="eastAsia" w:ascii="宋体" w:hAnsi="宋体"/>
          <w:sz w:val="28"/>
          <w:szCs w:val="28"/>
        </w:rPr>
        <w:t>（十）</w:t>
      </w:r>
      <w:bookmarkEnd w:id="487"/>
      <w:bookmarkEnd w:id="488"/>
      <w:r>
        <w:rPr>
          <w:rFonts w:hint="eastAsia" w:ascii="宋体" w:hAnsi="宋体"/>
          <w:sz w:val="28"/>
          <w:szCs w:val="28"/>
        </w:rPr>
        <w:t>暂列金额明细表</w:t>
      </w:r>
      <w:bookmarkEnd w:id="489"/>
    </w:p>
    <w:p w14:paraId="0A8EBB1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36"/>
        <w:gridCol w:w="1620"/>
        <w:gridCol w:w="1620"/>
        <w:gridCol w:w="1387"/>
        <w:gridCol w:w="936"/>
        <w:gridCol w:w="938"/>
        <w:gridCol w:w="1738"/>
      </w:tblGrid>
      <w:tr w14:paraId="6B1AE906">
        <w:tblPrEx>
          <w:tblCellMar>
            <w:top w:w="0" w:type="dxa"/>
            <w:left w:w="108" w:type="dxa"/>
            <w:bottom w:w="0" w:type="dxa"/>
            <w:right w:w="108" w:type="dxa"/>
          </w:tblCellMar>
        </w:tblPrEx>
        <w:trPr>
          <w:trHeight w:val="690" w:hRule="atLeast"/>
        </w:trPr>
        <w:tc>
          <w:tcPr>
            <w:tcW w:w="510"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7974FE2">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766" w:type="pct"/>
            <w:gridSpan w:val="2"/>
            <w:tcBorders>
              <w:top w:val="single" w:color="000000" w:sz="8" w:space="0"/>
              <w:left w:val="nil"/>
              <w:bottom w:val="single" w:color="000000" w:sz="4" w:space="0"/>
              <w:right w:val="single" w:color="000000" w:sz="4" w:space="0"/>
            </w:tcBorders>
            <w:shd w:val="clear" w:color="FFFFFF" w:fill="FFFFFF"/>
            <w:noWrap w:val="0"/>
            <w:vAlign w:val="center"/>
          </w:tcPr>
          <w:p w14:paraId="1590EAD4">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756" w:type="pct"/>
            <w:tcBorders>
              <w:top w:val="single" w:color="000000" w:sz="8" w:space="0"/>
              <w:left w:val="nil"/>
              <w:bottom w:val="single" w:color="000000" w:sz="4" w:space="0"/>
              <w:right w:val="single" w:color="000000" w:sz="4" w:space="0"/>
            </w:tcBorders>
            <w:shd w:val="clear" w:color="FFFFFF" w:fill="FFFFFF"/>
            <w:noWrap w:val="0"/>
            <w:vAlign w:val="center"/>
          </w:tcPr>
          <w:p w14:paraId="625B78A6">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1021" w:type="pct"/>
            <w:gridSpan w:val="2"/>
            <w:tcBorders>
              <w:top w:val="single" w:color="000000" w:sz="8" w:space="0"/>
              <w:left w:val="nil"/>
              <w:bottom w:val="single" w:color="000000" w:sz="4" w:space="0"/>
              <w:right w:val="single" w:color="000000" w:sz="4" w:space="0"/>
            </w:tcBorders>
            <w:shd w:val="clear" w:color="FFFFFF" w:fill="FFFFFF"/>
            <w:noWrap w:val="0"/>
            <w:vAlign w:val="center"/>
          </w:tcPr>
          <w:p w14:paraId="5A08CFE4">
            <w:pPr>
              <w:widowControl/>
              <w:jc w:val="center"/>
              <w:rPr>
                <w:rFonts w:ascii="黑体" w:hAnsi="黑体" w:eastAsia="黑体" w:cs="Arial"/>
                <w:kern w:val="0"/>
                <w:szCs w:val="21"/>
              </w:rPr>
            </w:pPr>
            <w:r>
              <w:rPr>
                <w:rFonts w:hint="eastAsia" w:ascii="黑体" w:hAnsi="黑体" w:eastAsia="黑体" w:cs="Arial"/>
                <w:kern w:val="0"/>
                <w:szCs w:val="21"/>
              </w:rPr>
              <w:t>暂定金额(元)</w:t>
            </w:r>
          </w:p>
        </w:tc>
        <w:tc>
          <w:tcPr>
            <w:tcW w:w="947" w:type="pct"/>
            <w:tcBorders>
              <w:top w:val="single" w:color="000000" w:sz="8" w:space="0"/>
              <w:left w:val="nil"/>
              <w:bottom w:val="single" w:color="000000" w:sz="4" w:space="0"/>
              <w:right w:val="single" w:color="000000" w:sz="8" w:space="0"/>
            </w:tcBorders>
            <w:shd w:val="clear" w:color="FFFFFF" w:fill="FFFFFF"/>
            <w:noWrap w:val="0"/>
            <w:vAlign w:val="center"/>
          </w:tcPr>
          <w:p w14:paraId="67D7D3CF">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17D3DC1D">
        <w:tblPrEx>
          <w:tblCellMar>
            <w:top w:w="0" w:type="dxa"/>
            <w:left w:w="108" w:type="dxa"/>
            <w:bottom w:w="0" w:type="dxa"/>
            <w:right w:w="108" w:type="dxa"/>
          </w:tblCellMar>
        </w:tblPrEx>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242A7C8D">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0DB9813A">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4479DEC4">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12FB90EC">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6F645871">
            <w:pPr>
              <w:widowControl/>
              <w:jc w:val="left"/>
              <w:rPr>
                <w:rFonts w:ascii="宋体" w:hAnsi="宋体" w:cs="Arial"/>
                <w:kern w:val="0"/>
                <w:szCs w:val="21"/>
              </w:rPr>
            </w:pPr>
          </w:p>
        </w:tc>
      </w:tr>
      <w:tr w14:paraId="02A5AFAF">
        <w:tblPrEx>
          <w:tblCellMar>
            <w:top w:w="0" w:type="dxa"/>
            <w:left w:w="108" w:type="dxa"/>
            <w:bottom w:w="0" w:type="dxa"/>
            <w:right w:w="108" w:type="dxa"/>
          </w:tblCellMar>
        </w:tblPrEx>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23ECA2EC">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3677104D">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092BF395">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67C65F59">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41F84160">
            <w:pPr>
              <w:widowControl/>
              <w:jc w:val="left"/>
              <w:rPr>
                <w:rFonts w:ascii="宋体" w:hAnsi="宋体" w:cs="Arial"/>
                <w:kern w:val="0"/>
                <w:szCs w:val="21"/>
              </w:rPr>
            </w:pPr>
          </w:p>
        </w:tc>
      </w:tr>
      <w:tr w14:paraId="15155F1E">
        <w:tblPrEx>
          <w:tblCellMar>
            <w:top w:w="0" w:type="dxa"/>
            <w:left w:w="108" w:type="dxa"/>
            <w:bottom w:w="0" w:type="dxa"/>
            <w:right w:w="108" w:type="dxa"/>
          </w:tblCellMar>
        </w:tblPrEx>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1DB96307">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7265575D">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281C4AE0">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2933A18F">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1DA5CAA7">
            <w:pPr>
              <w:widowControl/>
              <w:jc w:val="left"/>
              <w:rPr>
                <w:rFonts w:ascii="宋体" w:hAnsi="宋体" w:cs="Arial"/>
                <w:kern w:val="0"/>
                <w:szCs w:val="21"/>
              </w:rPr>
            </w:pPr>
          </w:p>
        </w:tc>
      </w:tr>
      <w:tr w14:paraId="5CA246C3">
        <w:tblPrEx>
          <w:tblCellMar>
            <w:top w:w="0" w:type="dxa"/>
            <w:left w:w="108" w:type="dxa"/>
            <w:bottom w:w="0" w:type="dxa"/>
            <w:right w:w="108" w:type="dxa"/>
          </w:tblCellMar>
        </w:tblPrEx>
        <w:trPr>
          <w:trHeight w:val="680" w:hRule="atLeast"/>
        </w:trPr>
        <w:tc>
          <w:tcPr>
            <w:tcW w:w="3032" w:type="pct"/>
            <w:gridSpan w:val="4"/>
            <w:tcBorders>
              <w:top w:val="nil"/>
              <w:left w:val="single" w:color="000000" w:sz="8" w:space="0"/>
              <w:bottom w:val="single" w:color="000000" w:sz="4" w:space="0"/>
              <w:right w:val="single" w:color="000000" w:sz="4" w:space="0"/>
            </w:tcBorders>
            <w:noWrap w:val="0"/>
            <w:vAlign w:val="center"/>
          </w:tcPr>
          <w:p w14:paraId="5FB7EC76">
            <w:pPr>
              <w:widowControl/>
              <w:jc w:val="center"/>
              <w:rPr>
                <w:rFonts w:ascii="宋体" w:hAnsi="宋体" w:cs="Arial"/>
                <w:kern w:val="0"/>
                <w:szCs w:val="21"/>
              </w:rPr>
            </w:pPr>
            <w:r>
              <w:rPr>
                <w:rFonts w:hint="eastAsia" w:ascii="宋体" w:hAnsi="宋体" w:cs="Arial"/>
                <w:kern w:val="0"/>
                <w:szCs w:val="21"/>
              </w:rPr>
              <w:t>合  计</w:t>
            </w:r>
          </w:p>
        </w:tc>
        <w:tc>
          <w:tcPr>
            <w:tcW w:w="1021" w:type="pct"/>
            <w:gridSpan w:val="2"/>
            <w:tcBorders>
              <w:top w:val="single" w:color="000000" w:sz="4" w:space="0"/>
              <w:left w:val="nil"/>
              <w:bottom w:val="single" w:color="000000" w:sz="4" w:space="0"/>
              <w:right w:val="single" w:color="000000" w:sz="4" w:space="0"/>
            </w:tcBorders>
            <w:noWrap w:val="0"/>
            <w:vAlign w:val="center"/>
          </w:tcPr>
          <w:p w14:paraId="7B7FF11F">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2FB083C0">
            <w:pPr>
              <w:widowControl/>
              <w:jc w:val="left"/>
              <w:rPr>
                <w:rFonts w:ascii="宋体" w:hAnsi="宋体" w:cs="Arial"/>
                <w:kern w:val="0"/>
                <w:szCs w:val="21"/>
              </w:rPr>
            </w:pPr>
          </w:p>
        </w:tc>
      </w:tr>
      <w:tr w14:paraId="5F18405D">
        <w:tblPrEx>
          <w:tblCellMar>
            <w:top w:w="0" w:type="dxa"/>
            <w:left w:w="108" w:type="dxa"/>
            <w:bottom w:w="0" w:type="dxa"/>
            <w:right w:w="108" w:type="dxa"/>
          </w:tblCellMar>
        </w:tblPrEx>
        <w:trPr>
          <w:trHeight w:val="15" w:hRule="atLeast"/>
        </w:trPr>
        <w:tc>
          <w:tcPr>
            <w:tcW w:w="510" w:type="pct"/>
            <w:tcBorders>
              <w:top w:val="nil"/>
              <w:left w:val="nil"/>
              <w:bottom w:val="nil"/>
              <w:right w:val="nil"/>
            </w:tcBorders>
            <w:noWrap/>
            <w:vAlign w:val="top"/>
          </w:tcPr>
          <w:p w14:paraId="2F0C2A25">
            <w:pPr>
              <w:widowControl/>
              <w:jc w:val="left"/>
              <w:rPr>
                <w:rFonts w:ascii="Arial" w:hAnsi="Arial" w:cs="Arial"/>
                <w:kern w:val="0"/>
                <w:sz w:val="20"/>
                <w:szCs w:val="20"/>
              </w:rPr>
            </w:pPr>
          </w:p>
        </w:tc>
        <w:tc>
          <w:tcPr>
            <w:tcW w:w="883" w:type="pct"/>
            <w:tcBorders>
              <w:top w:val="nil"/>
              <w:left w:val="nil"/>
              <w:bottom w:val="nil"/>
              <w:right w:val="nil"/>
            </w:tcBorders>
            <w:noWrap/>
            <w:vAlign w:val="top"/>
          </w:tcPr>
          <w:p w14:paraId="7C84ABD5">
            <w:pPr>
              <w:widowControl/>
              <w:jc w:val="left"/>
              <w:rPr>
                <w:rFonts w:ascii="Arial" w:hAnsi="Arial" w:cs="Arial"/>
                <w:kern w:val="0"/>
                <w:sz w:val="20"/>
                <w:szCs w:val="20"/>
              </w:rPr>
            </w:pPr>
          </w:p>
        </w:tc>
        <w:tc>
          <w:tcPr>
            <w:tcW w:w="883" w:type="pct"/>
            <w:tcBorders>
              <w:top w:val="nil"/>
              <w:left w:val="nil"/>
              <w:bottom w:val="nil"/>
              <w:right w:val="nil"/>
            </w:tcBorders>
            <w:noWrap/>
            <w:vAlign w:val="top"/>
          </w:tcPr>
          <w:p w14:paraId="0DC4BFF8">
            <w:pPr>
              <w:widowControl/>
              <w:jc w:val="left"/>
              <w:rPr>
                <w:rFonts w:ascii="Arial" w:hAnsi="Arial" w:cs="Arial"/>
                <w:kern w:val="0"/>
                <w:sz w:val="20"/>
                <w:szCs w:val="20"/>
              </w:rPr>
            </w:pPr>
          </w:p>
        </w:tc>
        <w:tc>
          <w:tcPr>
            <w:tcW w:w="756" w:type="pct"/>
            <w:tcBorders>
              <w:top w:val="nil"/>
              <w:left w:val="nil"/>
              <w:bottom w:val="nil"/>
              <w:right w:val="nil"/>
            </w:tcBorders>
            <w:noWrap/>
            <w:vAlign w:val="top"/>
          </w:tcPr>
          <w:p w14:paraId="02F59788">
            <w:pPr>
              <w:widowControl/>
              <w:jc w:val="left"/>
              <w:rPr>
                <w:rFonts w:ascii="Arial" w:hAnsi="Arial" w:cs="Arial"/>
                <w:kern w:val="0"/>
                <w:sz w:val="20"/>
                <w:szCs w:val="20"/>
              </w:rPr>
            </w:pPr>
          </w:p>
        </w:tc>
        <w:tc>
          <w:tcPr>
            <w:tcW w:w="510" w:type="pct"/>
            <w:tcBorders>
              <w:top w:val="nil"/>
              <w:left w:val="nil"/>
              <w:bottom w:val="nil"/>
              <w:right w:val="nil"/>
            </w:tcBorders>
            <w:noWrap/>
            <w:vAlign w:val="top"/>
          </w:tcPr>
          <w:p w14:paraId="78602E28">
            <w:pPr>
              <w:widowControl/>
              <w:jc w:val="left"/>
              <w:rPr>
                <w:rFonts w:ascii="Arial" w:hAnsi="Arial" w:cs="Arial"/>
                <w:kern w:val="0"/>
                <w:sz w:val="20"/>
                <w:szCs w:val="20"/>
              </w:rPr>
            </w:pPr>
          </w:p>
        </w:tc>
        <w:tc>
          <w:tcPr>
            <w:tcW w:w="511" w:type="pct"/>
            <w:tcBorders>
              <w:top w:val="nil"/>
              <w:left w:val="nil"/>
              <w:bottom w:val="nil"/>
              <w:right w:val="nil"/>
            </w:tcBorders>
            <w:noWrap/>
            <w:vAlign w:val="top"/>
          </w:tcPr>
          <w:p w14:paraId="37745966">
            <w:pPr>
              <w:widowControl/>
              <w:jc w:val="left"/>
              <w:rPr>
                <w:rFonts w:ascii="Arial" w:hAnsi="Arial" w:cs="Arial"/>
                <w:kern w:val="0"/>
                <w:sz w:val="20"/>
                <w:szCs w:val="20"/>
              </w:rPr>
            </w:pPr>
          </w:p>
        </w:tc>
        <w:tc>
          <w:tcPr>
            <w:tcW w:w="947" w:type="pct"/>
            <w:tcBorders>
              <w:top w:val="nil"/>
              <w:left w:val="nil"/>
              <w:bottom w:val="nil"/>
              <w:right w:val="nil"/>
            </w:tcBorders>
            <w:noWrap/>
            <w:vAlign w:val="top"/>
          </w:tcPr>
          <w:p w14:paraId="721D05EC">
            <w:pPr>
              <w:widowControl/>
              <w:jc w:val="left"/>
              <w:rPr>
                <w:rFonts w:ascii="Arial" w:hAnsi="Arial" w:cs="Arial"/>
                <w:kern w:val="0"/>
                <w:sz w:val="20"/>
                <w:szCs w:val="20"/>
              </w:rPr>
            </w:pPr>
          </w:p>
        </w:tc>
      </w:tr>
    </w:tbl>
    <w:p w14:paraId="2478DB44">
      <w:pPr>
        <w:spacing w:before="48" w:beforeLines="20" w:after="48" w:afterLines="20" w:line="540" w:lineRule="exact"/>
        <w:rPr>
          <w:rFonts w:hint="eastAsia" w:ascii="宋体" w:hAnsi="宋体"/>
          <w:b/>
          <w:sz w:val="24"/>
          <w:szCs w:val="22"/>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14:paraId="661FFCA1">
      <w:pPr>
        <w:jc w:val="center"/>
        <w:outlineLvl w:val="2"/>
        <w:rPr>
          <w:rFonts w:hint="eastAsia"/>
          <w:sz w:val="28"/>
          <w:szCs w:val="28"/>
        </w:rPr>
      </w:pPr>
      <w:bookmarkStart w:id="490" w:name="_Toc460660248"/>
      <w:bookmarkStart w:id="491" w:name="_Toc44996377"/>
      <w:bookmarkStart w:id="492" w:name="_Toc171741995"/>
      <w:bookmarkStart w:id="493" w:name="_Toc171581552"/>
      <w:bookmarkStart w:id="494" w:name="_Toc171581372"/>
      <w:bookmarkStart w:id="495" w:name="_Toc460227133"/>
      <w:bookmarkStart w:id="496" w:name="_Toc17215715"/>
      <w:bookmarkStart w:id="497" w:name="_Toc535241137"/>
      <w:r>
        <w:rPr>
          <w:rFonts w:hint="eastAsia"/>
          <w:sz w:val="28"/>
          <w:szCs w:val="28"/>
        </w:rPr>
        <w:t>（十一）</w:t>
      </w:r>
      <w:bookmarkEnd w:id="490"/>
      <w:bookmarkEnd w:id="491"/>
      <w:bookmarkEnd w:id="492"/>
      <w:bookmarkEnd w:id="493"/>
      <w:bookmarkEnd w:id="494"/>
      <w:bookmarkEnd w:id="495"/>
      <w:bookmarkEnd w:id="496"/>
      <w:r>
        <w:rPr>
          <w:rFonts w:hint="eastAsia"/>
          <w:sz w:val="28"/>
          <w:szCs w:val="28"/>
        </w:rPr>
        <w:t>专业工程暂估价计价表</w:t>
      </w:r>
      <w:bookmarkEnd w:id="497"/>
    </w:p>
    <w:p w14:paraId="12B35279">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69"/>
        <w:gridCol w:w="2867"/>
        <w:gridCol w:w="2383"/>
        <w:gridCol w:w="1918"/>
        <w:gridCol w:w="1434"/>
      </w:tblGrid>
      <w:tr w14:paraId="659F2F90">
        <w:tblPrEx>
          <w:tblCellMar>
            <w:top w:w="0" w:type="dxa"/>
            <w:left w:w="108" w:type="dxa"/>
            <w:bottom w:w="0" w:type="dxa"/>
            <w:right w:w="108" w:type="dxa"/>
          </w:tblCellMar>
        </w:tblPrEx>
        <w:trPr>
          <w:trHeight w:val="690" w:hRule="atLeast"/>
        </w:trPr>
        <w:tc>
          <w:tcPr>
            <w:tcW w:w="50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7F9A2E5">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498" w:type="pct"/>
            <w:tcBorders>
              <w:top w:val="single" w:color="000000" w:sz="8" w:space="0"/>
              <w:left w:val="nil"/>
              <w:bottom w:val="single" w:color="000000" w:sz="4" w:space="0"/>
              <w:right w:val="single" w:color="000000" w:sz="4" w:space="0"/>
            </w:tcBorders>
            <w:shd w:val="clear" w:color="FFFFFF" w:fill="FFFFFF"/>
            <w:noWrap w:val="0"/>
            <w:vAlign w:val="center"/>
          </w:tcPr>
          <w:p w14:paraId="0CB7685D">
            <w:pPr>
              <w:widowControl/>
              <w:jc w:val="center"/>
              <w:rPr>
                <w:rFonts w:ascii="黑体" w:hAnsi="黑体" w:eastAsia="黑体" w:cs="Arial"/>
                <w:kern w:val="0"/>
                <w:szCs w:val="21"/>
              </w:rPr>
            </w:pPr>
            <w:r>
              <w:rPr>
                <w:rFonts w:hint="eastAsia" w:ascii="黑体" w:hAnsi="黑体" w:eastAsia="黑体" w:cs="Arial"/>
                <w:kern w:val="0"/>
                <w:szCs w:val="21"/>
              </w:rPr>
              <w:t>工程名称</w:t>
            </w:r>
          </w:p>
        </w:tc>
        <w:tc>
          <w:tcPr>
            <w:tcW w:w="1245" w:type="pct"/>
            <w:tcBorders>
              <w:top w:val="single" w:color="000000" w:sz="8" w:space="0"/>
              <w:left w:val="nil"/>
              <w:bottom w:val="single" w:color="000000" w:sz="4" w:space="0"/>
              <w:right w:val="single" w:color="000000" w:sz="4" w:space="0"/>
            </w:tcBorders>
            <w:shd w:val="clear" w:color="FFFFFF" w:fill="FFFFFF"/>
            <w:noWrap w:val="0"/>
            <w:vAlign w:val="center"/>
          </w:tcPr>
          <w:p w14:paraId="594535F4">
            <w:pPr>
              <w:widowControl/>
              <w:jc w:val="center"/>
              <w:rPr>
                <w:rFonts w:ascii="黑体" w:hAnsi="黑体" w:eastAsia="黑体" w:cs="Arial"/>
                <w:kern w:val="0"/>
                <w:szCs w:val="21"/>
              </w:rPr>
            </w:pPr>
            <w:r>
              <w:rPr>
                <w:rFonts w:hint="eastAsia" w:ascii="黑体" w:hAnsi="黑体" w:eastAsia="黑体" w:cs="Arial"/>
                <w:kern w:val="0"/>
                <w:szCs w:val="21"/>
              </w:rPr>
              <w:t>工程内容</w:t>
            </w:r>
          </w:p>
        </w:tc>
        <w:tc>
          <w:tcPr>
            <w:tcW w:w="1002" w:type="pct"/>
            <w:tcBorders>
              <w:top w:val="single" w:color="000000" w:sz="8" w:space="0"/>
              <w:left w:val="nil"/>
              <w:bottom w:val="single" w:color="000000" w:sz="4" w:space="0"/>
              <w:right w:val="single" w:color="000000" w:sz="4" w:space="0"/>
            </w:tcBorders>
            <w:shd w:val="clear" w:color="FFFFFF" w:fill="FFFFFF"/>
            <w:noWrap w:val="0"/>
            <w:vAlign w:val="center"/>
          </w:tcPr>
          <w:p w14:paraId="3245F6BE">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749" w:type="pct"/>
            <w:tcBorders>
              <w:top w:val="single" w:color="000000" w:sz="8" w:space="0"/>
              <w:left w:val="nil"/>
              <w:bottom w:val="single" w:color="000000" w:sz="4" w:space="0"/>
              <w:right w:val="single" w:color="000000" w:sz="8" w:space="0"/>
            </w:tcBorders>
            <w:shd w:val="clear" w:color="FFFFFF" w:fill="FFFFFF"/>
            <w:noWrap w:val="0"/>
            <w:vAlign w:val="center"/>
          </w:tcPr>
          <w:p w14:paraId="3D52BA7E">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5700603E">
        <w:tblPrEx>
          <w:tblCellMar>
            <w:top w:w="0" w:type="dxa"/>
            <w:left w:w="108" w:type="dxa"/>
            <w:bottom w:w="0" w:type="dxa"/>
            <w:right w:w="108" w:type="dxa"/>
          </w:tblCellMar>
        </w:tblPrEx>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1CD32084">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3FCE4287">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033F472E">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74B018A2">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156A9FC5">
            <w:pPr>
              <w:widowControl/>
              <w:jc w:val="left"/>
              <w:rPr>
                <w:rFonts w:ascii="宋体" w:hAnsi="宋体" w:cs="Arial"/>
                <w:kern w:val="0"/>
                <w:szCs w:val="21"/>
              </w:rPr>
            </w:pPr>
          </w:p>
        </w:tc>
      </w:tr>
      <w:tr w14:paraId="66F6FF3A">
        <w:tblPrEx>
          <w:tblCellMar>
            <w:top w:w="0" w:type="dxa"/>
            <w:left w:w="108" w:type="dxa"/>
            <w:bottom w:w="0" w:type="dxa"/>
            <w:right w:w="108" w:type="dxa"/>
          </w:tblCellMar>
        </w:tblPrEx>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4AD4790D">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4733DEAF">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73F56D71">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1E424C82">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2C83310F">
            <w:pPr>
              <w:widowControl/>
              <w:jc w:val="left"/>
              <w:rPr>
                <w:rFonts w:ascii="宋体" w:hAnsi="宋体" w:cs="Arial"/>
                <w:kern w:val="0"/>
                <w:szCs w:val="21"/>
              </w:rPr>
            </w:pPr>
          </w:p>
        </w:tc>
      </w:tr>
      <w:tr w14:paraId="61E3EBA6">
        <w:tblPrEx>
          <w:tblCellMar>
            <w:top w:w="0" w:type="dxa"/>
            <w:left w:w="108" w:type="dxa"/>
            <w:bottom w:w="0" w:type="dxa"/>
            <w:right w:w="108" w:type="dxa"/>
          </w:tblCellMar>
        </w:tblPrEx>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494B762A">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32968FED">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196AF13C">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7EA5A80F">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1F41AC0C">
            <w:pPr>
              <w:widowControl/>
              <w:jc w:val="left"/>
              <w:rPr>
                <w:rFonts w:ascii="宋体" w:hAnsi="宋体" w:cs="Arial"/>
                <w:kern w:val="0"/>
                <w:szCs w:val="21"/>
              </w:rPr>
            </w:pPr>
          </w:p>
        </w:tc>
      </w:tr>
      <w:tr w14:paraId="00B03DDC">
        <w:tblPrEx>
          <w:tblCellMar>
            <w:top w:w="0" w:type="dxa"/>
            <w:left w:w="108" w:type="dxa"/>
            <w:bottom w:w="0" w:type="dxa"/>
            <w:right w:w="108" w:type="dxa"/>
          </w:tblCellMar>
        </w:tblPrEx>
        <w:trPr>
          <w:trHeight w:val="680" w:hRule="atLeast"/>
        </w:trPr>
        <w:tc>
          <w:tcPr>
            <w:tcW w:w="3249" w:type="pct"/>
            <w:gridSpan w:val="3"/>
            <w:tcBorders>
              <w:top w:val="nil"/>
              <w:left w:val="single" w:color="000000" w:sz="8" w:space="0"/>
              <w:bottom w:val="single" w:color="000000" w:sz="4" w:space="0"/>
              <w:right w:val="single" w:color="000000" w:sz="4" w:space="0"/>
            </w:tcBorders>
            <w:noWrap w:val="0"/>
            <w:vAlign w:val="center"/>
          </w:tcPr>
          <w:p w14:paraId="41B0C8CB">
            <w:pPr>
              <w:widowControl/>
              <w:jc w:val="center"/>
              <w:rPr>
                <w:rFonts w:ascii="宋体" w:hAnsi="宋体" w:cs="Arial"/>
                <w:kern w:val="0"/>
                <w:szCs w:val="21"/>
              </w:rPr>
            </w:pPr>
            <w:r>
              <w:rPr>
                <w:rFonts w:hint="eastAsia" w:ascii="宋体" w:hAnsi="宋体" w:cs="Arial"/>
                <w:kern w:val="0"/>
                <w:szCs w:val="21"/>
              </w:rPr>
              <w:t>合  计</w:t>
            </w:r>
          </w:p>
        </w:tc>
        <w:tc>
          <w:tcPr>
            <w:tcW w:w="1002" w:type="pct"/>
            <w:tcBorders>
              <w:top w:val="single" w:color="000000" w:sz="4" w:space="0"/>
              <w:left w:val="nil"/>
              <w:bottom w:val="single" w:color="000000" w:sz="4" w:space="0"/>
              <w:right w:val="single" w:color="000000" w:sz="4" w:space="0"/>
            </w:tcBorders>
            <w:noWrap w:val="0"/>
            <w:vAlign w:val="center"/>
          </w:tcPr>
          <w:p w14:paraId="22E3D5E0">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043319C8">
            <w:pPr>
              <w:widowControl/>
              <w:jc w:val="left"/>
              <w:rPr>
                <w:rFonts w:ascii="宋体" w:hAnsi="宋体" w:cs="Arial"/>
                <w:kern w:val="0"/>
                <w:szCs w:val="21"/>
              </w:rPr>
            </w:pPr>
          </w:p>
        </w:tc>
      </w:tr>
    </w:tbl>
    <w:p w14:paraId="2C282D37">
      <w:pPr>
        <w:jc w:val="center"/>
        <w:outlineLvl w:val="2"/>
        <w:rPr>
          <w:rFonts w:hint="eastAsia"/>
          <w:sz w:val="28"/>
          <w:szCs w:val="28"/>
        </w:rPr>
      </w:pPr>
      <w:bookmarkStart w:id="498" w:name="_Toc171581553"/>
      <w:bookmarkStart w:id="499" w:name="_Toc171741996"/>
      <w:bookmarkStart w:id="500" w:name="_Toc171581373"/>
      <w:bookmarkStart w:id="501" w:name="_Toc460227134"/>
      <w:bookmarkStart w:id="502" w:name="_Toc460660249"/>
      <w:bookmarkStart w:id="503" w:name="_Toc535241138"/>
      <w:r>
        <w:rPr>
          <w:rFonts w:hint="eastAsia"/>
          <w:sz w:val="28"/>
          <w:szCs w:val="28"/>
        </w:rPr>
        <w:t>（十二）</w:t>
      </w:r>
      <w:bookmarkEnd w:id="498"/>
      <w:bookmarkEnd w:id="499"/>
      <w:bookmarkEnd w:id="500"/>
      <w:bookmarkEnd w:id="501"/>
      <w:bookmarkEnd w:id="502"/>
      <w:r>
        <w:rPr>
          <w:rFonts w:hint="eastAsia"/>
          <w:sz w:val="28"/>
          <w:szCs w:val="28"/>
        </w:rPr>
        <w:t>计日工表</w:t>
      </w:r>
      <w:bookmarkEnd w:id="503"/>
    </w:p>
    <w:p w14:paraId="4790C9FD">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681"/>
        <w:gridCol w:w="3403"/>
        <w:gridCol w:w="1372"/>
        <w:gridCol w:w="1372"/>
        <w:gridCol w:w="1373"/>
        <w:gridCol w:w="1370"/>
      </w:tblGrid>
      <w:tr w14:paraId="48CD471F">
        <w:tblPrEx>
          <w:tblCellMar>
            <w:top w:w="0" w:type="dxa"/>
            <w:left w:w="108" w:type="dxa"/>
            <w:bottom w:w="0" w:type="dxa"/>
            <w:right w:w="108" w:type="dxa"/>
          </w:tblCellMar>
        </w:tblPrEx>
        <w:trPr>
          <w:trHeight w:val="567" w:hRule="atLeast"/>
        </w:trPr>
        <w:tc>
          <w:tcPr>
            <w:tcW w:w="35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7CE6703">
            <w:pPr>
              <w:widowControl/>
              <w:jc w:val="center"/>
              <w:rPr>
                <w:rFonts w:ascii="黑体" w:hAnsi="黑体" w:eastAsia="黑体" w:cs="Arial"/>
                <w:kern w:val="0"/>
                <w:szCs w:val="21"/>
              </w:rPr>
            </w:pPr>
            <w:r>
              <w:rPr>
                <w:rFonts w:hint="eastAsia" w:ascii="黑体" w:hAnsi="黑体" w:eastAsia="黑体" w:cs="Arial"/>
                <w:kern w:val="0"/>
                <w:szCs w:val="21"/>
              </w:rPr>
              <w:t>编码</w:t>
            </w:r>
          </w:p>
        </w:tc>
        <w:tc>
          <w:tcPr>
            <w:tcW w:w="1778" w:type="pct"/>
            <w:tcBorders>
              <w:top w:val="single" w:color="000000" w:sz="8" w:space="0"/>
              <w:left w:val="nil"/>
              <w:bottom w:val="single" w:color="000000" w:sz="4" w:space="0"/>
              <w:right w:val="single" w:color="000000" w:sz="4" w:space="0"/>
            </w:tcBorders>
            <w:shd w:val="clear" w:color="FFFFFF" w:fill="FFFFFF"/>
            <w:noWrap w:val="0"/>
            <w:vAlign w:val="center"/>
          </w:tcPr>
          <w:p w14:paraId="09049348">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57EB8528">
            <w:pPr>
              <w:widowControl/>
              <w:jc w:val="center"/>
              <w:rPr>
                <w:rFonts w:ascii="黑体" w:hAnsi="黑体" w:eastAsia="黑体" w:cs="Arial"/>
                <w:kern w:val="0"/>
                <w:szCs w:val="21"/>
              </w:rPr>
            </w:pPr>
            <w:r>
              <w:rPr>
                <w:rFonts w:hint="eastAsia" w:ascii="黑体" w:hAnsi="黑体" w:eastAsia="黑体" w:cs="Arial"/>
                <w:kern w:val="0"/>
                <w:szCs w:val="21"/>
              </w:rPr>
              <w:t>单位</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5EF210EE">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408A6F18">
            <w:pPr>
              <w:widowControl/>
              <w:jc w:val="center"/>
              <w:rPr>
                <w:rFonts w:ascii="黑体" w:hAnsi="黑体" w:eastAsia="黑体" w:cs="Arial"/>
                <w:kern w:val="0"/>
                <w:szCs w:val="21"/>
              </w:rPr>
            </w:pPr>
            <w:r>
              <w:rPr>
                <w:rFonts w:hint="eastAsia" w:ascii="黑体" w:hAnsi="黑体" w:eastAsia="黑体" w:cs="Arial"/>
                <w:kern w:val="0"/>
                <w:szCs w:val="21"/>
              </w:rPr>
              <w:t>综合单价</w:t>
            </w:r>
          </w:p>
        </w:tc>
        <w:tc>
          <w:tcPr>
            <w:tcW w:w="715" w:type="pct"/>
            <w:tcBorders>
              <w:top w:val="single" w:color="000000" w:sz="8" w:space="0"/>
              <w:left w:val="nil"/>
              <w:bottom w:val="single" w:color="000000" w:sz="4" w:space="0"/>
              <w:right w:val="single" w:color="000000" w:sz="8" w:space="0"/>
            </w:tcBorders>
            <w:shd w:val="clear" w:color="FFFFFF" w:fill="FFFFFF"/>
            <w:noWrap w:val="0"/>
            <w:vAlign w:val="center"/>
          </w:tcPr>
          <w:p w14:paraId="06EFD511">
            <w:pPr>
              <w:widowControl/>
              <w:jc w:val="center"/>
              <w:rPr>
                <w:rFonts w:ascii="黑体" w:hAnsi="黑体" w:eastAsia="黑体" w:cs="Arial"/>
                <w:kern w:val="0"/>
                <w:szCs w:val="21"/>
              </w:rPr>
            </w:pPr>
            <w:r>
              <w:rPr>
                <w:rFonts w:hint="eastAsia" w:ascii="黑体" w:hAnsi="黑体" w:eastAsia="黑体" w:cs="Arial"/>
                <w:kern w:val="0"/>
                <w:szCs w:val="21"/>
              </w:rPr>
              <w:t>合价（元）</w:t>
            </w:r>
          </w:p>
        </w:tc>
      </w:tr>
      <w:tr w14:paraId="0F985E68">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41ABC396">
            <w:pPr>
              <w:widowControl/>
              <w:jc w:val="center"/>
              <w:rPr>
                <w:rFonts w:ascii="宋体" w:hAnsi="宋体" w:cs="Arial"/>
                <w:kern w:val="0"/>
                <w:szCs w:val="21"/>
              </w:rPr>
            </w:pPr>
            <w:r>
              <w:rPr>
                <w:rFonts w:hint="eastAsia" w:ascii="宋体" w:hAnsi="宋体" w:cs="Arial"/>
                <w:kern w:val="0"/>
                <w:szCs w:val="21"/>
              </w:rPr>
              <w:t>一</w:t>
            </w:r>
          </w:p>
        </w:tc>
        <w:tc>
          <w:tcPr>
            <w:tcW w:w="1778" w:type="pct"/>
            <w:tcBorders>
              <w:top w:val="single" w:color="000000" w:sz="4" w:space="0"/>
              <w:left w:val="nil"/>
              <w:bottom w:val="single" w:color="000000" w:sz="4" w:space="0"/>
              <w:right w:val="single" w:color="000000" w:sz="4" w:space="0"/>
            </w:tcBorders>
            <w:noWrap w:val="0"/>
            <w:vAlign w:val="center"/>
          </w:tcPr>
          <w:p w14:paraId="5976C52B">
            <w:pPr>
              <w:widowControl/>
              <w:jc w:val="center"/>
              <w:rPr>
                <w:rFonts w:ascii="宋体" w:hAnsi="宋体" w:cs="Arial"/>
                <w:kern w:val="0"/>
                <w:szCs w:val="21"/>
              </w:rPr>
            </w:pPr>
            <w:r>
              <w:rPr>
                <w:rFonts w:hint="eastAsia" w:ascii="宋体" w:hAnsi="宋体" w:cs="Arial"/>
                <w:kern w:val="0"/>
                <w:szCs w:val="21"/>
              </w:rPr>
              <w:t>人工</w:t>
            </w:r>
          </w:p>
        </w:tc>
        <w:tc>
          <w:tcPr>
            <w:tcW w:w="717" w:type="pct"/>
            <w:tcBorders>
              <w:top w:val="nil"/>
              <w:left w:val="nil"/>
              <w:bottom w:val="single" w:color="000000" w:sz="4" w:space="0"/>
              <w:right w:val="single" w:color="000000" w:sz="4" w:space="0"/>
            </w:tcBorders>
            <w:noWrap w:val="0"/>
            <w:vAlign w:val="center"/>
          </w:tcPr>
          <w:p w14:paraId="56409FA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9E6934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3F846A1">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664AC938">
            <w:pPr>
              <w:widowControl/>
              <w:jc w:val="right"/>
              <w:rPr>
                <w:rFonts w:ascii="宋体" w:hAnsi="宋体" w:cs="Arial"/>
                <w:kern w:val="0"/>
                <w:szCs w:val="21"/>
              </w:rPr>
            </w:pPr>
          </w:p>
        </w:tc>
      </w:tr>
      <w:tr w14:paraId="04B7FC3A">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5CFAADC8">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45DCF0B3">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16A46BBF">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003282E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9AC5AEC">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5460C5B2">
            <w:pPr>
              <w:widowControl/>
              <w:jc w:val="right"/>
              <w:rPr>
                <w:rFonts w:ascii="宋体" w:hAnsi="宋体" w:cs="Arial"/>
                <w:kern w:val="0"/>
                <w:szCs w:val="21"/>
              </w:rPr>
            </w:pPr>
          </w:p>
        </w:tc>
      </w:tr>
      <w:tr w14:paraId="2A471E7A">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7F4A5A66">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0B939F43">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7A043CD">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35D0A10">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5CD39100">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5C7CAC6A">
            <w:pPr>
              <w:widowControl/>
              <w:jc w:val="right"/>
              <w:rPr>
                <w:rFonts w:ascii="宋体" w:hAnsi="宋体" w:cs="Arial"/>
                <w:kern w:val="0"/>
                <w:szCs w:val="21"/>
              </w:rPr>
            </w:pPr>
          </w:p>
        </w:tc>
      </w:tr>
      <w:tr w14:paraId="3FA63EA7">
        <w:tblPrEx>
          <w:tblCellMar>
            <w:top w:w="0" w:type="dxa"/>
            <w:left w:w="108" w:type="dxa"/>
            <w:bottom w:w="0" w:type="dxa"/>
            <w:right w:w="108" w:type="dxa"/>
          </w:tblCellMar>
        </w:tblPrEx>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30043DE6">
            <w:pPr>
              <w:widowControl/>
              <w:jc w:val="center"/>
              <w:rPr>
                <w:rFonts w:ascii="宋体" w:hAnsi="宋体" w:cs="Arial"/>
                <w:kern w:val="0"/>
                <w:szCs w:val="21"/>
              </w:rPr>
            </w:pPr>
            <w:r>
              <w:rPr>
                <w:rFonts w:hint="eastAsia" w:ascii="宋体" w:hAnsi="宋体" w:cs="Arial"/>
                <w:kern w:val="0"/>
                <w:szCs w:val="21"/>
              </w:rPr>
              <w:t>人工费小计</w:t>
            </w:r>
          </w:p>
        </w:tc>
        <w:tc>
          <w:tcPr>
            <w:tcW w:w="715" w:type="pct"/>
            <w:tcBorders>
              <w:top w:val="nil"/>
              <w:left w:val="nil"/>
              <w:bottom w:val="single" w:color="000000" w:sz="4" w:space="0"/>
              <w:right w:val="single" w:color="000000" w:sz="8" w:space="0"/>
            </w:tcBorders>
            <w:noWrap w:val="0"/>
            <w:vAlign w:val="center"/>
          </w:tcPr>
          <w:p w14:paraId="30214121">
            <w:pPr>
              <w:widowControl/>
              <w:jc w:val="right"/>
              <w:rPr>
                <w:rFonts w:ascii="宋体" w:hAnsi="宋体" w:cs="Arial"/>
                <w:kern w:val="0"/>
                <w:szCs w:val="21"/>
              </w:rPr>
            </w:pPr>
          </w:p>
        </w:tc>
      </w:tr>
      <w:tr w14:paraId="27CD5B2E">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599F906E">
            <w:pPr>
              <w:widowControl/>
              <w:jc w:val="center"/>
              <w:rPr>
                <w:rFonts w:ascii="宋体" w:hAnsi="宋体" w:cs="Arial"/>
                <w:kern w:val="0"/>
                <w:szCs w:val="21"/>
              </w:rPr>
            </w:pPr>
            <w:r>
              <w:rPr>
                <w:rFonts w:hint="eastAsia" w:ascii="宋体" w:hAnsi="宋体" w:cs="Arial"/>
                <w:kern w:val="0"/>
                <w:szCs w:val="21"/>
              </w:rPr>
              <w:t>二</w:t>
            </w:r>
          </w:p>
        </w:tc>
        <w:tc>
          <w:tcPr>
            <w:tcW w:w="1778" w:type="pct"/>
            <w:tcBorders>
              <w:top w:val="single" w:color="000000" w:sz="4" w:space="0"/>
              <w:left w:val="nil"/>
              <w:bottom w:val="single" w:color="000000" w:sz="4" w:space="0"/>
              <w:right w:val="single" w:color="000000" w:sz="4" w:space="0"/>
            </w:tcBorders>
            <w:noWrap w:val="0"/>
            <w:vAlign w:val="center"/>
          </w:tcPr>
          <w:p w14:paraId="57CA3427">
            <w:pPr>
              <w:widowControl/>
              <w:jc w:val="center"/>
              <w:rPr>
                <w:rFonts w:ascii="宋体" w:hAnsi="宋体" w:cs="Arial"/>
                <w:kern w:val="0"/>
                <w:szCs w:val="21"/>
              </w:rPr>
            </w:pPr>
            <w:r>
              <w:rPr>
                <w:rFonts w:hint="eastAsia" w:ascii="宋体" w:hAnsi="宋体" w:cs="Arial"/>
                <w:kern w:val="0"/>
                <w:szCs w:val="21"/>
              </w:rPr>
              <w:t>材料</w:t>
            </w:r>
          </w:p>
        </w:tc>
        <w:tc>
          <w:tcPr>
            <w:tcW w:w="717" w:type="pct"/>
            <w:tcBorders>
              <w:top w:val="nil"/>
              <w:left w:val="nil"/>
              <w:bottom w:val="single" w:color="000000" w:sz="4" w:space="0"/>
              <w:right w:val="single" w:color="000000" w:sz="4" w:space="0"/>
            </w:tcBorders>
            <w:noWrap w:val="0"/>
            <w:vAlign w:val="center"/>
          </w:tcPr>
          <w:p w14:paraId="7CD438A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090507AF">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1457CEE7">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893DEF6">
            <w:pPr>
              <w:widowControl/>
              <w:jc w:val="right"/>
              <w:rPr>
                <w:rFonts w:ascii="宋体" w:hAnsi="宋体" w:cs="Arial"/>
                <w:kern w:val="0"/>
                <w:szCs w:val="21"/>
              </w:rPr>
            </w:pPr>
          </w:p>
        </w:tc>
      </w:tr>
      <w:tr w14:paraId="6B877B33">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79543EBB">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46C4E62B">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674BC25">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5A87B00D">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27C072F2">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E9506F3">
            <w:pPr>
              <w:widowControl/>
              <w:jc w:val="right"/>
              <w:rPr>
                <w:rFonts w:ascii="宋体" w:hAnsi="宋体" w:cs="Arial"/>
                <w:kern w:val="0"/>
                <w:szCs w:val="21"/>
              </w:rPr>
            </w:pPr>
          </w:p>
        </w:tc>
      </w:tr>
      <w:tr w14:paraId="110FF1E6">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197EEE6C">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7F85F931">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61AE41E">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31F56C4B">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332A7518">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3EC655EE">
            <w:pPr>
              <w:widowControl/>
              <w:jc w:val="right"/>
              <w:rPr>
                <w:rFonts w:ascii="宋体" w:hAnsi="宋体" w:cs="Arial"/>
                <w:kern w:val="0"/>
                <w:szCs w:val="21"/>
              </w:rPr>
            </w:pPr>
          </w:p>
        </w:tc>
      </w:tr>
      <w:tr w14:paraId="1786D085">
        <w:tblPrEx>
          <w:tblCellMar>
            <w:top w:w="0" w:type="dxa"/>
            <w:left w:w="108" w:type="dxa"/>
            <w:bottom w:w="0" w:type="dxa"/>
            <w:right w:w="108" w:type="dxa"/>
          </w:tblCellMar>
        </w:tblPrEx>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58496599">
            <w:pPr>
              <w:widowControl/>
              <w:jc w:val="center"/>
              <w:rPr>
                <w:rFonts w:ascii="宋体" w:hAnsi="宋体" w:cs="Arial"/>
                <w:kern w:val="0"/>
                <w:szCs w:val="21"/>
              </w:rPr>
            </w:pPr>
            <w:r>
              <w:rPr>
                <w:rFonts w:hint="eastAsia" w:ascii="宋体" w:hAnsi="宋体" w:cs="Arial"/>
                <w:kern w:val="0"/>
                <w:szCs w:val="21"/>
              </w:rPr>
              <w:t>材料费小计</w:t>
            </w:r>
          </w:p>
        </w:tc>
        <w:tc>
          <w:tcPr>
            <w:tcW w:w="715" w:type="pct"/>
            <w:tcBorders>
              <w:top w:val="nil"/>
              <w:left w:val="nil"/>
              <w:bottom w:val="single" w:color="000000" w:sz="4" w:space="0"/>
              <w:right w:val="single" w:color="000000" w:sz="8" w:space="0"/>
            </w:tcBorders>
            <w:noWrap w:val="0"/>
            <w:vAlign w:val="center"/>
          </w:tcPr>
          <w:p w14:paraId="1963DC31">
            <w:pPr>
              <w:widowControl/>
              <w:jc w:val="right"/>
              <w:rPr>
                <w:rFonts w:ascii="宋体" w:hAnsi="宋体" w:cs="Arial"/>
                <w:kern w:val="0"/>
                <w:szCs w:val="21"/>
              </w:rPr>
            </w:pPr>
          </w:p>
        </w:tc>
      </w:tr>
      <w:tr w14:paraId="0B6CCCB2">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4DED7C5C">
            <w:pPr>
              <w:widowControl/>
              <w:jc w:val="center"/>
              <w:rPr>
                <w:rFonts w:ascii="宋体" w:hAnsi="宋体" w:cs="Arial"/>
                <w:kern w:val="0"/>
                <w:szCs w:val="21"/>
              </w:rPr>
            </w:pPr>
            <w:r>
              <w:rPr>
                <w:rFonts w:hint="eastAsia" w:ascii="宋体" w:hAnsi="宋体" w:cs="Arial"/>
                <w:kern w:val="0"/>
                <w:szCs w:val="21"/>
              </w:rPr>
              <w:t>三</w:t>
            </w:r>
          </w:p>
        </w:tc>
        <w:tc>
          <w:tcPr>
            <w:tcW w:w="1778" w:type="pct"/>
            <w:tcBorders>
              <w:top w:val="single" w:color="000000" w:sz="4" w:space="0"/>
              <w:left w:val="nil"/>
              <w:bottom w:val="single" w:color="000000" w:sz="4" w:space="0"/>
              <w:right w:val="single" w:color="000000" w:sz="4" w:space="0"/>
            </w:tcBorders>
            <w:noWrap w:val="0"/>
            <w:vAlign w:val="center"/>
          </w:tcPr>
          <w:p w14:paraId="30EC7521">
            <w:pPr>
              <w:widowControl/>
              <w:jc w:val="center"/>
              <w:rPr>
                <w:rFonts w:ascii="宋体" w:hAnsi="宋体" w:cs="Arial"/>
                <w:kern w:val="0"/>
                <w:szCs w:val="21"/>
              </w:rPr>
            </w:pPr>
            <w:r>
              <w:rPr>
                <w:rFonts w:hint="eastAsia" w:ascii="宋体" w:hAnsi="宋体" w:cs="Arial"/>
                <w:kern w:val="0"/>
                <w:szCs w:val="21"/>
              </w:rPr>
              <w:t>施工机械</w:t>
            </w:r>
          </w:p>
        </w:tc>
        <w:tc>
          <w:tcPr>
            <w:tcW w:w="717" w:type="pct"/>
            <w:tcBorders>
              <w:top w:val="nil"/>
              <w:left w:val="nil"/>
              <w:bottom w:val="single" w:color="000000" w:sz="4" w:space="0"/>
              <w:right w:val="single" w:color="000000" w:sz="4" w:space="0"/>
            </w:tcBorders>
            <w:noWrap w:val="0"/>
            <w:vAlign w:val="center"/>
          </w:tcPr>
          <w:p w14:paraId="3C267A0B">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1E1676E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579210F">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7EC98420">
            <w:pPr>
              <w:widowControl/>
              <w:jc w:val="right"/>
              <w:rPr>
                <w:rFonts w:ascii="宋体" w:hAnsi="宋体" w:cs="Arial"/>
                <w:kern w:val="0"/>
                <w:szCs w:val="21"/>
              </w:rPr>
            </w:pPr>
          </w:p>
        </w:tc>
      </w:tr>
      <w:tr w14:paraId="50E07E70">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1ED4231D">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6538753C">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3985F587">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782069E">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5B148C95">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60DE1B33">
            <w:pPr>
              <w:widowControl/>
              <w:jc w:val="right"/>
              <w:rPr>
                <w:rFonts w:ascii="宋体" w:hAnsi="宋体" w:cs="Arial"/>
                <w:kern w:val="0"/>
                <w:szCs w:val="21"/>
              </w:rPr>
            </w:pPr>
          </w:p>
        </w:tc>
      </w:tr>
      <w:tr w14:paraId="7F9B03DF">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3C0B9A4C">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204050B2">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FF1256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50EEC12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7AA1AF5">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F623F05">
            <w:pPr>
              <w:widowControl/>
              <w:jc w:val="right"/>
              <w:rPr>
                <w:rFonts w:ascii="宋体" w:hAnsi="宋体" w:cs="Arial"/>
                <w:kern w:val="0"/>
                <w:szCs w:val="21"/>
              </w:rPr>
            </w:pPr>
          </w:p>
        </w:tc>
      </w:tr>
      <w:tr w14:paraId="01199676">
        <w:tblPrEx>
          <w:tblCellMar>
            <w:top w:w="0" w:type="dxa"/>
            <w:left w:w="108" w:type="dxa"/>
            <w:bottom w:w="0" w:type="dxa"/>
            <w:right w:w="108" w:type="dxa"/>
          </w:tblCellMar>
        </w:tblPrEx>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3CC52F57">
            <w:pPr>
              <w:widowControl/>
              <w:jc w:val="center"/>
              <w:rPr>
                <w:rFonts w:ascii="宋体" w:hAnsi="宋体" w:cs="Arial"/>
                <w:kern w:val="0"/>
                <w:szCs w:val="21"/>
              </w:rPr>
            </w:pPr>
            <w:r>
              <w:rPr>
                <w:rFonts w:hint="eastAsia" w:ascii="宋体" w:hAnsi="宋体" w:cs="Arial"/>
                <w:kern w:val="0"/>
                <w:szCs w:val="21"/>
              </w:rPr>
              <w:t>施工机械费小计</w:t>
            </w:r>
          </w:p>
        </w:tc>
        <w:tc>
          <w:tcPr>
            <w:tcW w:w="715" w:type="pct"/>
            <w:tcBorders>
              <w:top w:val="nil"/>
              <w:left w:val="nil"/>
              <w:bottom w:val="single" w:color="000000" w:sz="4" w:space="0"/>
              <w:right w:val="single" w:color="000000" w:sz="8" w:space="0"/>
            </w:tcBorders>
            <w:noWrap w:val="0"/>
            <w:vAlign w:val="center"/>
          </w:tcPr>
          <w:p w14:paraId="78B00930">
            <w:pPr>
              <w:widowControl/>
              <w:jc w:val="right"/>
              <w:rPr>
                <w:rFonts w:ascii="宋体" w:hAnsi="宋体" w:cs="Arial"/>
                <w:kern w:val="0"/>
                <w:szCs w:val="21"/>
              </w:rPr>
            </w:pPr>
          </w:p>
        </w:tc>
      </w:tr>
      <w:tr w14:paraId="6F980815">
        <w:tblPrEx>
          <w:tblCellMar>
            <w:top w:w="0" w:type="dxa"/>
            <w:left w:w="108" w:type="dxa"/>
            <w:bottom w:w="0" w:type="dxa"/>
            <w:right w:w="108" w:type="dxa"/>
          </w:tblCellMar>
        </w:tblPrEx>
        <w:trPr>
          <w:trHeight w:val="567" w:hRule="atLeast"/>
        </w:trPr>
        <w:tc>
          <w:tcPr>
            <w:tcW w:w="4285" w:type="pct"/>
            <w:gridSpan w:val="5"/>
            <w:tcBorders>
              <w:top w:val="single" w:color="000000" w:sz="4" w:space="0"/>
              <w:left w:val="single" w:color="000000" w:sz="8" w:space="0"/>
              <w:bottom w:val="single" w:color="000000" w:sz="8" w:space="0"/>
              <w:right w:val="single" w:color="000000" w:sz="4" w:space="0"/>
            </w:tcBorders>
            <w:noWrap w:val="0"/>
            <w:vAlign w:val="center"/>
          </w:tcPr>
          <w:p w14:paraId="63963110">
            <w:pPr>
              <w:widowControl/>
              <w:jc w:val="center"/>
              <w:rPr>
                <w:rFonts w:ascii="宋体" w:hAnsi="宋体" w:cs="Arial"/>
                <w:kern w:val="0"/>
                <w:szCs w:val="21"/>
              </w:rPr>
            </w:pPr>
            <w:r>
              <w:rPr>
                <w:rFonts w:hint="eastAsia" w:ascii="宋体" w:hAnsi="宋体" w:cs="Arial"/>
                <w:kern w:val="0"/>
                <w:szCs w:val="21"/>
              </w:rPr>
              <w:t>合     计</w:t>
            </w:r>
          </w:p>
        </w:tc>
        <w:tc>
          <w:tcPr>
            <w:tcW w:w="715" w:type="pct"/>
            <w:tcBorders>
              <w:top w:val="nil"/>
              <w:left w:val="nil"/>
              <w:bottom w:val="single" w:color="000000" w:sz="8" w:space="0"/>
              <w:right w:val="single" w:color="000000" w:sz="8" w:space="0"/>
            </w:tcBorders>
            <w:noWrap w:val="0"/>
            <w:vAlign w:val="center"/>
          </w:tcPr>
          <w:p w14:paraId="226E2041">
            <w:pPr>
              <w:widowControl/>
              <w:jc w:val="right"/>
              <w:rPr>
                <w:rFonts w:ascii="宋体" w:hAnsi="宋体" w:cs="Arial"/>
                <w:kern w:val="0"/>
                <w:szCs w:val="21"/>
              </w:rPr>
            </w:pPr>
          </w:p>
        </w:tc>
      </w:tr>
    </w:tbl>
    <w:p w14:paraId="53C391A4">
      <w:pPr>
        <w:jc w:val="center"/>
        <w:outlineLvl w:val="2"/>
        <w:rPr>
          <w:rFonts w:hint="eastAsia"/>
          <w:sz w:val="28"/>
          <w:szCs w:val="28"/>
        </w:rPr>
      </w:pPr>
      <w:bookmarkStart w:id="504" w:name="_Toc171581554"/>
      <w:bookmarkStart w:id="505" w:name="_Toc171581374"/>
      <w:bookmarkStart w:id="506" w:name="_Toc171741997"/>
      <w:bookmarkStart w:id="507" w:name="_Toc460227135"/>
      <w:bookmarkStart w:id="508" w:name="_Toc460660250"/>
      <w:bookmarkStart w:id="509" w:name="_Toc535241139"/>
      <w:r>
        <w:rPr>
          <w:sz w:val="28"/>
          <w:szCs w:val="28"/>
        </w:rPr>
        <w:br w:type="page"/>
      </w:r>
      <w:r>
        <w:rPr>
          <w:rFonts w:hint="eastAsia"/>
          <w:sz w:val="28"/>
          <w:szCs w:val="28"/>
        </w:rPr>
        <w:t>（十三）</w:t>
      </w:r>
      <w:bookmarkEnd w:id="504"/>
      <w:bookmarkEnd w:id="505"/>
      <w:bookmarkEnd w:id="506"/>
      <w:bookmarkEnd w:id="507"/>
      <w:bookmarkEnd w:id="508"/>
      <w:r>
        <w:rPr>
          <w:rFonts w:hint="eastAsia"/>
          <w:sz w:val="28"/>
          <w:szCs w:val="28"/>
        </w:rPr>
        <w:t>总承包服务费计价表</w:t>
      </w:r>
      <w:bookmarkEnd w:id="509"/>
    </w:p>
    <w:p w14:paraId="69910299">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851"/>
        <w:gridCol w:w="2171"/>
        <w:gridCol w:w="1744"/>
        <w:gridCol w:w="1744"/>
        <w:gridCol w:w="1317"/>
        <w:gridCol w:w="1744"/>
      </w:tblGrid>
      <w:tr w14:paraId="2D22C7A4">
        <w:tblPrEx>
          <w:tblCellMar>
            <w:top w:w="0" w:type="dxa"/>
            <w:left w:w="108" w:type="dxa"/>
            <w:bottom w:w="0" w:type="dxa"/>
            <w:right w:w="108" w:type="dxa"/>
          </w:tblCellMar>
        </w:tblPrEx>
        <w:trPr>
          <w:trHeight w:val="690" w:hRule="atLeast"/>
        </w:trPr>
        <w:tc>
          <w:tcPr>
            <w:tcW w:w="445"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E3AB7DC">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34" w:type="pct"/>
            <w:tcBorders>
              <w:top w:val="single" w:color="000000" w:sz="8" w:space="0"/>
              <w:left w:val="nil"/>
              <w:bottom w:val="single" w:color="000000" w:sz="4" w:space="0"/>
              <w:right w:val="single" w:color="000000" w:sz="4" w:space="0"/>
            </w:tcBorders>
            <w:shd w:val="clear" w:color="FFFFFF" w:fill="FFFFFF"/>
            <w:noWrap w:val="0"/>
            <w:vAlign w:val="center"/>
          </w:tcPr>
          <w:p w14:paraId="2072F2A2">
            <w:pPr>
              <w:widowControl/>
              <w:jc w:val="center"/>
              <w:rPr>
                <w:rFonts w:ascii="黑体" w:hAnsi="黑体" w:eastAsia="黑体" w:cs="Arial"/>
                <w:kern w:val="0"/>
                <w:szCs w:val="21"/>
              </w:rPr>
            </w:pPr>
            <w:r>
              <w:rPr>
                <w:rFonts w:hint="eastAsia" w:ascii="黑体" w:hAnsi="黑体" w:eastAsia="黑体" w:cs="Arial"/>
                <w:kern w:val="0"/>
                <w:szCs w:val="21"/>
              </w:rPr>
              <w:t>工程名称</w:t>
            </w:r>
          </w:p>
        </w:tc>
        <w:tc>
          <w:tcPr>
            <w:tcW w:w="911" w:type="pct"/>
            <w:tcBorders>
              <w:top w:val="single" w:color="000000" w:sz="8" w:space="0"/>
              <w:left w:val="nil"/>
              <w:bottom w:val="single" w:color="000000" w:sz="4" w:space="0"/>
              <w:right w:val="single" w:color="000000" w:sz="4" w:space="0"/>
            </w:tcBorders>
            <w:shd w:val="clear" w:color="FFFFFF" w:fill="FFFFFF"/>
            <w:noWrap w:val="0"/>
            <w:vAlign w:val="center"/>
          </w:tcPr>
          <w:p w14:paraId="01714B3B">
            <w:pPr>
              <w:widowControl/>
              <w:jc w:val="center"/>
              <w:rPr>
                <w:rFonts w:ascii="黑体" w:hAnsi="黑体" w:eastAsia="黑体" w:cs="Arial"/>
                <w:kern w:val="0"/>
                <w:szCs w:val="21"/>
              </w:rPr>
            </w:pPr>
            <w:r>
              <w:rPr>
                <w:rFonts w:hint="eastAsia" w:ascii="黑体" w:hAnsi="黑体" w:eastAsia="黑体" w:cs="Arial"/>
                <w:kern w:val="0"/>
                <w:szCs w:val="21"/>
              </w:rPr>
              <w:t>项目价值(元)</w:t>
            </w:r>
          </w:p>
        </w:tc>
        <w:tc>
          <w:tcPr>
            <w:tcW w:w="911" w:type="pct"/>
            <w:tcBorders>
              <w:top w:val="single" w:color="000000" w:sz="8" w:space="0"/>
              <w:left w:val="nil"/>
              <w:bottom w:val="single" w:color="000000" w:sz="4" w:space="0"/>
              <w:right w:val="single" w:color="000000" w:sz="4" w:space="0"/>
            </w:tcBorders>
            <w:shd w:val="clear" w:color="FFFFFF" w:fill="FFFFFF"/>
            <w:noWrap w:val="0"/>
            <w:vAlign w:val="center"/>
          </w:tcPr>
          <w:p w14:paraId="52629241">
            <w:pPr>
              <w:widowControl/>
              <w:jc w:val="center"/>
              <w:rPr>
                <w:rFonts w:ascii="黑体" w:hAnsi="黑体" w:eastAsia="黑体" w:cs="Arial"/>
                <w:kern w:val="0"/>
                <w:szCs w:val="21"/>
              </w:rPr>
            </w:pPr>
            <w:r>
              <w:rPr>
                <w:rFonts w:hint="eastAsia" w:ascii="黑体" w:hAnsi="黑体" w:eastAsia="黑体" w:cs="Arial"/>
                <w:kern w:val="0"/>
                <w:szCs w:val="21"/>
              </w:rPr>
              <w:t>服务内容</w:t>
            </w:r>
          </w:p>
        </w:tc>
        <w:tc>
          <w:tcPr>
            <w:tcW w:w="688" w:type="pct"/>
            <w:tcBorders>
              <w:top w:val="single" w:color="000000" w:sz="8" w:space="0"/>
              <w:left w:val="nil"/>
              <w:bottom w:val="single" w:color="000000" w:sz="4" w:space="0"/>
              <w:right w:val="single" w:color="000000" w:sz="4" w:space="0"/>
            </w:tcBorders>
            <w:shd w:val="clear" w:color="FFFFFF" w:fill="FFFFFF"/>
            <w:noWrap w:val="0"/>
            <w:vAlign w:val="center"/>
          </w:tcPr>
          <w:p w14:paraId="692BFEF9">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911" w:type="pct"/>
            <w:tcBorders>
              <w:top w:val="single" w:color="000000" w:sz="8" w:space="0"/>
              <w:left w:val="nil"/>
              <w:bottom w:val="single" w:color="000000" w:sz="4" w:space="0"/>
              <w:right w:val="single" w:color="000000" w:sz="8" w:space="0"/>
            </w:tcBorders>
            <w:shd w:val="clear" w:color="FFFFFF" w:fill="FFFFFF"/>
            <w:noWrap w:val="0"/>
            <w:vAlign w:val="center"/>
          </w:tcPr>
          <w:p w14:paraId="5A2A9654">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6400D0B6">
        <w:tblPrEx>
          <w:tblCellMar>
            <w:top w:w="0" w:type="dxa"/>
            <w:left w:w="108" w:type="dxa"/>
            <w:bottom w:w="0" w:type="dxa"/>
            <w:right w:w="108" w:type="dxa"/>
          </w:tblCellMar>
        </w:tblPrEx>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024A073C">
            <w:pPr>
              <w:widowControl/>
              <w:jc w:val="center"/>
              <w:rPr>
                <w:rFonts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7AEA025E">
            <w:pPr>
              <w:widowControl/>
              <w:jc w:val="lef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472F3C10">
            <w:pPr>
              <w:widowControl/>
              <w:jc w:val="righ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1E8CA60">
            <w:pPr>
              <w:widowControl/>
              <w:jc w:val="left"/>
              <w:rPr>
                <w:rFonts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10373402">
            <w:pPr>
              <w:widowControl/>
              <w:jc w:val="right"/>
              <w:rPr>
                <w:rFonts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0DAF1392">
            <w:pPr>
              <w:widowControl/>
              <w:jc w:val="right"/>
              <w:rPr>
                <w:rFonts w:ascii="宋体" w:hAnsi="宋体" w:cs="Arial"/>
                <w:kern w:val="0"/>
                <w:szCs w:val="21"/>
              </w:rPr>
            </w:pPr>
          </w:p>
        </w:tc>
      </w:tr>
      <w:tr w14:paraId="1238D40D">
        <w:tblPrEx>
          <w:tblCellMar>
            <w:top w:w="0" w:type="dxa"/>
            <w:left w:w="108" w:type="dxa"/>
            <w:bottom w:w="0" w:type="dxa"/>
            <w:right w:w="108" w:type="dxa"/>
          </w:tblCellMar>
        </w:tblPrEx>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06FE4CED">
            <w:pPr>
              <w:widowControl/>
              <w:jc w:val="center"/>
              <w:rPr>
                <w:rFonts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1C3E7BC6">
            <w:pPr>
              <w:widowControl/>
              <w:jc w:val="lef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849261C">
            <w:pPr>
              <w:widowControl/>
              <w:jc w:val="righ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72D406F4">
            <w:pPr>
              <w:widowControl/>
              <w:jc w:val="left"/>
              <w:rPr>
                <w:rFonts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238B26F8">
            <w:pPr>
              <w:widowControl/>
              <w:jc w:val="right"/>
              <w:rPr>
                <w:rFonts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716A52EB">
            <w:pPr>
              <w:widowControl/>
              <w:jc w:val="right"/>
              <w:rPr>
                <w:rFonts w:ascii="宋体" w:hAnsi="宋体" w:cs="Arial"/>
                <w:kern w:val="0"/>
                <w:szCs w:val="21"/>
              </w:rPr>
            </w:pPr>
          </w:p>
        </w:tc>
      </w:tr>
      <w:tr w14:paraId="5997F36E">
        <w:tblPrEx>
          <w:tblCellMar>
            <w:top w:w="0" w:type="dxa"/>
            <w:left w:w="108" w:type="dxa"/>
            <w:bottom w:w="0" w:type="dxa"/>
            <w:right w:w="108" w:type="dxa"/>
          </w:tblCellMar>
        </w:tblPrEx>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3530911E">
            <w:pPr>
              <w:widowControl/>
              <w:jc w:val="center"/>
              <w:rPr>
                <w:rFonts w:hint="eastAsia"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3AB33013">
            <w:pPr>
              <w:widowControl/>
              <w:jc w:val="left"/>
              <w:rPr>
                <w:rFonts w:hint="eastAsia"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CA29E24">
            <w:pPr>
              <w:widowControl/>
              <w:jc w:val="right"/>
              <w:rPr>
                <w:rFonts w:hint="eastAsia"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2F35BC80">
            <w:pPr>
              <w:widowControl/>
              <w:jc w:val="left"/>
              <w:rPr>
                <w:rFonts w:hint="eastAsia"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5EBED19C">
            <w:pPr>
              <w:widowControl/>
              <w:jc w:val="right"/>
              <w:rPr>
                <w:rFonts w:hint="eastAsia"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79FFD5C5">
            <w:pPr>
              <w:widowControl/>
              <w:jc w:val="right"/>
              <w:rPr>
                <w:rFonts w:hint="eastAsia" w:ascii="宋体" w:hAnsi="宋体" w:cs="Arial"/>
                <w:kern w:val="0"/>
                <w:szCs w:val="21"/>
              </w:rPr>
            </w:pPr>
          </w:p>
        </w:tc>
      </w:tr>
      <w:tr w14:paraId="2005016A">
        <w:tblPrEx>
          <w:tblCellMar>
            <w:top w:w="0" w:type="dxa"/>
            <w:left w:w="108" w:type="dxa"/>
            <w:bottom w:w="0" w:type="dxa"/>
            <w:right w:w="108" w:type="dxa"/>
          </w:tblCellMar>
        </w:tblPrEx>
        <w:trPr>
          <w:trHeight w:val="680" w:hRule="atLeast"/>
        </w:trPr>
        <w:tc>
          <w:tcPr>
            <w:tcW w:w="4089" w:type="pct"/>
            <w:gridSpan w:val="5"/>
            <w:tcBorders>
              <w:top w:val="single" w:color="000000" w:sz="4" w:space="0"/>
              <w:left w:val="single" w:color="000000" w:sz="8" w:space="0"/>
              <w:bottom w:val="single" w:color="000000" w:sz="8" w:space="0"/>
              <w:right w:val="single" w:color="000000" w:sz="4" w:space="0"/>
            </w:tcBorders>
            <w:noWrap w:val="0"/>
            <w:vAlign w:val="center"/>
          </w:tcPr>
          <w:p w14:paraId="7BC15025">
            <w:pPr>
              <w:widowControl/>
              <w:jc w:val="center"/>
              <w:rPr>
                <w:rFonts w:ascii="宋体" w:hAnsi="宋体" w:cs="Arial"/>
                <w:kern w:val="0"/>
                <w:szCs w:val="21"/>
              </w:rPr>
            </w:pPr>
            <w:r>
              <w:rPr>
                <w:rFonts w:hint="eastAsia" w:ascii="宋体" w:hAnsi="宋体" w:cs="Arial"/>
                <w:kern w:val="0"/>
                <w:szCs w:val="21"/>
              </w:rPr>
              <w:t>合  计</w:t>
            </w:r>
          </w:p>
        </w:tc>
        <w:tc>
          <w:tcPr>
            <w:tcW w:w="911" w:type="pct"/>
            <w:tcBorders>
              <w:top w:val="nil"/>
              <w:left w:val="nil"/>
              <w:bottom w:val="single" w:color="000000" w:sz="8" w:space="0"/>
              <w:right w:val="single" w:color="000000" w:sz="8" w:space="0"/>
            </w:tcBorders>
            <w:noWrap w:val="0"/>
            <w:vAlign w:val="center"/>
          </w:tcPr>
          <w:p w14:paraId="3CAA70F8">
            <w:pPr>
              <w:widowControl/>
              <w:jc w:val="right"/>
              <w:rPr>
                <w:rFonts w:ascii="宋体" w:hAnsi="宋体" w:cs="Arial"/>
                <w:kern w:val="0"/>
                <w:szCs w:val="21"/>
              </w:rPr>
            </w:pPr>
          </w:p>
        </w:tc>
      </w:tr>
    </w:tbl>
    <w:p w14:paraId="0DA6FB62">
      <w:pPr>
        <w:spacing w:before="48" w:beforeLines="20" w:after="48" w:afterLines="20" w:line="540" w:lineRule="exact"/>
        <w:rPr>
          <w:rFonts w:hint="eastAsia" w:ascii="宋体" w:hAnsi="宋体"/>
          <w:sz w:val="24"/>
          <w:szCs w:val="22"/>
        </w:rPr>
      </w:pPr>
    </w:p>
    <w:p w14:paraId="13D6759F">
      <w:pPr>
        <w:rPr>
          <w:rFonts w:hint="eastAsia"/>
        </w:rPr>
      </w:pPr>
      <w:bookmarkStart w:id="510" w:name="_Toc171741998"/>
      <w:bookmarkStart w:id="511" w:name="_Toc460660251"/>
      <w:bookmarkStart w:id="512" w:name="_Toc460227136"/>
      <w:bookmarkStart w:id="513" w:name="_Toc171581555"/>
      <w:bookmarkStart w:id="514" w:name="_Toc171581375"/>
    </w:p>
    <w:p w14:paraId="225F8307">
      <w:pPr>
        <w:jc w:val="center"/>
        <w:outlineLvl w:val="2"/>
        <w:rPr>
          <w:rFonts w:hint="eastAsia"/>
          <w:sz w:val="28"/>
          <w:szCs w:val="28"/>
        </w:rPr>
      </w:pPr>
      <w:bookmarkStart w:id="515" w:name="_Toc535241140"/>
      <w:r>
        <w:rPr>
          <w:rFonts w:hint="eastAsia"/>
          <w:sz w:val="28"/>
          <w:szCs w:val="28"/>
        </w:rPr>
        <w:t>（十四）</w:t>
      </w:r>
      <w:bookmarkEnd w:id="510"/>
      <w:bookmarkEnd w:id="511"/>
      <w:bookmarkEnd w:id="512"/>
      <w:bookmarkEnd w:id="513"/>
      <w:bookmarkEnd w:id="514"/>
      <w:r>
        <w:rPr>
          <w:rFonts w:hint="eastAsia"/>
          <w:sz w:val="28"/>
          <w:szCs w:val="28"/>
        </w:rPr>
        <w:t>税金计价表</w:t>
      </w:r>
      <w:bookmarkEnd w:id="515"/>
    </w:p>
    <w:p w14:paraId="7A4D5E5E">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58"/>
        <w:gridCol w:w="2140"/>
        <w:gridCol w:w="3055"/>
        <w:gridCol w:w="1537"/>
        <w:gridCol w:w="992"/>
        <w:gridCol w:w="1089"/>
      </w:tblGrid>
      <w:tr w14:paraId="7B8A553C">
        <w:tblPrEx>
          <w:tblCellMar>
            <w:top w:w="0" w:type="dxa"/>
            <w:left w:w="108" w:type="dxa"/>
            <w:bottom w:w="0" w:type="dxa"/>
            <w:right w:w="108" w:type="dxa"/>
          </w:tblCellMar>
        </w:tblPrEx>
        <w:trPr>
          <w:trHeight w:val="690" w:hRule="atLeast"/>
        </w:trPr>
        <w:tc>
          <w:tcPr>
            <w:tcW w:w="39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A3E5B7B">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18" w:type="pct"/>
            <w:tcBorders>
              <w:top w:val="single" w:color="000000" w:sz="8" w:space="0"/>
              <w:left w:val="nil"/>
              <w:bottom w:val="single" w:color="000000" w:sz="4" w:space="0"/>
              <w:right w:val="single" w:color="000000" w:sz="4" w:space="0"/>
            </w:tcBorders>
            <w:shd w:val="clear" w:color="FFFFFF" w:fill="FFFFFF"/>
            <w:noWrap w:val="0"/>
            <w:vAlign w:val="center"/>
          </w:tcPr>
          <w:p w14:paraId="059BEED4">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1596" w:type="pct"/>
            <w:tcBorders>
              <w:top w:val="single" w:color="000000" w:sz="8" w:space="0"/>
              <w:left w:val="nil"/>
              <w:bottom w:val="single" w:color="000000" w:sz="4" w:space="0"/>
              <w:right w:val="single" w:color="000000" w:sz="4" w:space="0"/>
            </w:tcBorders>
            <w:shd w:val="clear" w:color="FFFFFF" w:fill="FFFFFF"/>
            <w:noWrap w:val="0"/>
            <w:vAlign w:val="center"/>
          </w:tcPr>
          <w:p w14:paraId="2781A6B8">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803" w:type="pct"/>
            <w:tcBorders>
              <w:top w:val="single" w:color="000000" w:sz="8" w:space="0"/>
              <w:left w:val="nil"/>
              <w:bottom w:val="single" w:color="000000" w:sz="4" w:space="0"/>
              <w:right w:val="single" w:color="000000" w:sz="4" w:space="0"/>
            </w:tcBorders>
            <w:shd w:val="clear" w:color="FFFFFF" w:fill="FFFFFF"/>
            <w:noWrap w:val="0"/>
            <w:vAlign w:val="center"/>
          </w:tcPr>
          <w:p w14:paraId="6EA18571">
            <w:pPr>
              <w:widowControl/>
              <w:jc w:val="center"/>
              <w:rPr>
                <w:rFonts w:ascii="黑体" w:hAnsi="黑体" w:eastAsia="黑体" w:cs="Arial"/>
                <w:kern w:val="0"/>
                <w:szCs w:val="21"/>
              </w:rPr>
            </w:pPr>
            <w:r>
              <w:rPr>
                <w:rFonts w:hint="eastAsia" w:ascii="黑体" w:hAnsi="黑体" w:eastAsia="黑体" w:cs="Arial"/>
                <w:kern w:val="0"/>
                <w:szCs w:val="21"/>
              </w:rPr>
              <w:t>计算基数</w:t>
            </w:r>
          </w:p>
        </w:tc>
        <w:tc>
          <w:tcPr>
            <w:tcW w:w="518" w:type="pct"/>
            <w:tcBorders>
              <w:top w:val="single" w:color="000000" w:sz="8" w:space="0"/>
              <w:left w:val="nil"/>
              <w:bottom w:val="single" w:color="000000" w:sz="4" w:space="0"/>
              <w:right w:val="single" w:color="000000" w:sz="4" w:space="0"/>
            </w:tcBorders>
            <w:shd w:val="clear" w:color="FFFFFF" w:fill="FFFFFF"/>
            <w:noWrap w:val="0"/>
            <w:vAlign w:val="center"/>
          </w:tcPr>
          <w:p w14:paraId="0A7F7FBF">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569" w:type="pct"/>
            <w:tcBorders>
              <w:top w:val="single" w:color="000000" w:sz="8" w:space="0"/>
              <w:left w:val="nil"/>
              <w:bottom w:val="single" w:color="000000" w:sz="4" w:space="0"/>
              <w:right w:val="single" w:color="000000" w:sz="8" w:space="0"/>
            </w:tcBorders>
            <w:shd w:val="clear" w:color="FFFFFF" w:fill="FFFFFF"/>
            <w:noWrap w:val="0"/>
            <w:vAlign w:val="center"/>
          </w:tcPr>
          <w:p w14:paraId="389E9F10">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4ED201B2">
        <w:tblPrEx>
          <w:tblCellMar>
            <w:top w:w="0" w:type="dxa"/>
            <w:left w:w="108" w:type="dxa"/>
            <w:bottom w:w="0" w:type="dxa"/>
            <w:right w:w="108" w:type="dxa"/>
          </w:tblCellMar>
        </w:tblPrEx>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7D3C850F">
            <w:pPr>
              <w:widowControl/>
              <w:jc w:val="center"/>
              <w:rPr>
                <w:rFonts w:ascii="宋体" w:hAnsi="宋体" w:cs="Arial"/>
                <w:kern w:val="0"/>
                <w:szCs w:val="21"/>
              </w:rPr>
            </w:pPr>
            <w:r>
              <w:rPr>
                <w:rFonts w:hint="eastAsia" w:ascii="宋体" w:hAnsi="宋体" w:cs="Arial"/>
                <w:kern w:val="0"/>
                <w:szCs w:val="21"/>
              </w:rPr>
              <w:t>1</w:t>
            </w:r>
          </w:p>
        </w:tc>
        <w:tc>
          <w:tcPr>
            <w:tcW w:w="1118" w:type="pct"/>
            <w:tcBorders>
              <w:top w:val="nil"/>
              <w:left w:val="nil"/>
              <w:bottom w:val="single" w:color="000000" w:sz="4" w:space="0"/>
              <w:right w:val="single" w:color="000000" w:sz="4" w:space="0"/>
            </w:tcBorders>
            <w:noWrap w:val="0"/>
            <w:vAlign w:val="center"/>
          </w:tcPr>
          <w:p w14:paraId="532013F3">
            <w:pPr>
              <w:widowControl/>
              <w:jc w:val="left"/>
              <w:rPr>
                <w:rFonts w:ascii="宋体" w:hAnsi="宋体" w:cs="Arial"/>
                <w:kern w:val="0"/>
                <w:szCs w:val="21"/>
              </w:rPr>
            </w:pPr>
            <w:r>
              <w:rPr>
                <w:rFonts w:hint="eastAsia" w:ascii="宋体" w:hAnsi="宋体" w:cs="Arial"/>
                <w:kern w:val="0"/>
                <w:szCs w:val="21"/>
              </w:rPr>
              <w:t>增值税</w:t>
            </w:r>
          </w:p>
        </w:tc>
        <w:tc>
          <w:tcPr>
            <w:tcW w:w="1596" w:type="pct"/>
            <w:tcBorders>
              <w:top w:val="single" w:color="000000" w:sz="4" w:space="0"/>
              <w:left w:val="nil"/>
              <w:bottom w:val="single" w:color="000000" w:sz="4" w:space="0"/>
              <w:right w:val="single" w:color="000000" w:sz="4" w:space="0"/>
            </w:tcBorders>
            <w:noWrap w:val="0"/>
            <w:vAlign w:val="center"/>
          </w:tcPr>
          <w:p w14:paraId="569F5B5D">
            <w:pPr>
              <w:widowControl/>
              <w:jc w:val="left"/>
              <w:rPr>
                <w:rFonts w:ascii="宋体" w:hAnsi="宋体" w:cs="Arial"/>
                <w:kern w:val="0"/>
                <w:szCs w:val="21"/>
              </w:rPr>
            </w:pPr>
            <w:r>
              <w:rPr>
                <w:rFonts w:hint="eastAsia" w:ascii="宋体" w:hAnsi="宋体" w:cs="Arial"/>
                <w:kern w:val="0"/>
                <w:szCs w:val="21"/>
              </w:rPr>
              <w:t>分部分项工程费+措施项目费+不可竞争费+其他项目费</w:t>
            </w:r>
          </w:p>
        </w:tc>
        <w:tc>
          <w:tcPr>
            <w:tcW w:w="803" w:type="pct"/>
            <w:tcBorders>
              <w:top w:val="single" w:color="000000" w:sz="4" w:space="0"/>
              <w:left w:val="nil"/>
              <w:bottom w:val="single" w:color="000000" w:sz="4" w:space="0"/>
              <w:right w:val="single" w:color="000000" w:sz="4" w:space="0"/>
            </w:tcBorders>
            <w:noWrap w:val="0"/>
            <w:vAlign w:val="center"/>
          </w:tcPr>
          <w:p w14:paraId="1C75E313">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594EB543">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472BAA44">
            <w:pPr>
              <w:widowControl/>
              <w:jc w:val="right"/>
              <w:rPr>
                <w:rFonts w:ascii="宋体" w:hAnsi="宋体" w:cs="Arial"/>
                <w:kern w:val="0"/>
                <w:szCs w:val="21"/>
              </w:rPr>
            </w:pPr>
          </w:p>
        </w:tc>
      </w:tr>
      <w:tr w14:paraId="30528A94">
        <w:tblPrEx>
          <w:tblCellMar>
            <w:top w:w="0" w:type="dxa"/>
            <w:left w:w="108" w:type="dxa"/>
            <w:bottom w:w="0" w:type="dxa"/>
            <w:right w:w="108" w:type="dxa"/>
          </w:tblCellMar>
        </w:tblPrEx>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452B1C82">
            <w:pPr>
              <w:widowControl/>
              <w:jc w:val="center"/>
              <w:rPr>
                <w:rFonts w:ascii="宋体" w:hAnsi="宋体" w:cs="Arial"/>
                <w:kern w:val="0"/>
                <w:szCs w:val="21"/>
              </w:rPr>
            </w:pPr>
          </w:p>
        </w:tc>
        <w:tc>
          <w:tcPr>
            <w:tcW w:w="1118" w:type="pct"/>
            <w:tcBorders>
              <w:top w:val="nil"/>
              <w:left w:val="nil"/>
              <w:bottom w:val="single" w:color="000000" w:sz="4" w:space="0"/>
              <w:right w:val="single" w:color="000000" w:sz="4" w:space="0"/>
            </w:tcBorders>
            <w:noWrap w:val="0"/>
            <w:vAlign w:val="center"/>
          </w:tcPr>
          <w:p w14:paraId="20988403">
            <w:pPr>
              <w:widowControl/>
              <w:jc w:val="left"/>
              <w:rPr>
                <w:rFonts w:ascii="宋体" w:hAnsi="宋体" w:cs="Arial"/>
                <w:kern w:val="0"/>
                <w:szCs w:val="21"/>
              </w:rPr>
            </w:pPr>
          </w:p>
        </w:tc>
        <w:tc>
          <w:tcPr>
            <w:tcW w:w="1596" w:type="pct"/>
            <w:tcBorders>
              <w:top w:val="single" w:color="000000" w:sz="4" w:space="0"/>
              <w:left w:val="nil"/>
              <w:bottom w:val="single" w:color="000000" w:sz="4" w:space="0"/>
              <w:right w:val="single" w:color="000000" w:sz="4" w:space="0"/>
            </w:tcBorders>
            <w:noWrap w:val="0"/>
            <w:vAlign w:val="center"/>
          </w:tcPr>
          <w:p w14:paraId="1EB32C41">
            <w:pPr>
              <w:widowControl/>
              <w:jc w:val="left"/>
              <w:rPr>
                <w:rFonts w:ascii="宋体" w:hAnsi="宋体" w:cs="Arial"/>
                <w:kern w:val="0"/>
                <w:szCs w:val="21"/>
              </w:rPr>
            </w:pPr>
          </w:p>
        </w:tc>
        <w:tc>
          <w:tcPr>
            <w:tcW w:w="803" w:type="pct"/>
            <w:tcBorders>
              <w:top w:val="single" w:color="000000" w:sz="4" w:space="0"/>
              <w:left w:val="nil"/>
              <w:bottom w:val="single" w:color="000000" w:sz="4" w:space="0"/>
              <w:right w:val="single" w:color="000000" w:sz="4" w:space="0"/>
            </w:tcBorders>
            <w:noWrap w:val="0"/>
            <w:vAlign w:val="center"/>
          </w:tcPr>
          <w:p w14:paraId="526E1AC1">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3F0E123B">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302EAF1E">
            <w:pPr>
              <w:widowControl/>
              <w:jc w:val="right"/>
              <w:rPr>
                <w:rFonts w:ascii="宋体" w:hAnsi="宋体" w:cs="Arial"/>
                <w:kern w:val="0"/>
                <w:szCs w:val="21"/>
              </w:rPr>
            </w:pPr>
          </w:p>
        </w:tc>
      </w:tr>
      <w:tr w14:paraId="456A0995">
        <w:tblPrEx>
          <w:tblCellMar>
            <w:top w:w="0" w:type="dxa"/>
            <w:left w:w="108" w:type="dxa"/>
            <w:bottom w:w="0" w:type="dxa"/>
            <w:right w:w="108" w:type="dxa"/>
          </w:tblCellMar>
        </w:tblPrEx>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751DF825">
            <w:pPr>
              <w:widowControl/>
              <w:jc w:val="center"/>
              <w:rPr>
                <w:rFonts w:ascii="宋体" w:hAnsi="宋体" w:cs="Arial"/>
                <w:kern w:val="0"/>
                <w:szCs w:val="21"/>
              </w:rPr>
            </w:pPr>
          </w:p>
        </w:tc>
        <w:tc>
          <w:tcPr>
            <w:tcW w:w="1118" w:type="pct"/>
            <w:tcBorders>
              <w:top w:val="nil"/>
              <w:left w:val="nil"/>
              <w:bottom w:val="single" w:color="000000" w:sz="4" w:space="0"/>
              <w:right w:val="single" w:color="000000" w:sz="4" w:space="0"/>
            </w:tcBorders>
            <w:noWrap w:val="0"/>
            <w:vAlign w:val="center"/>
          </w:tcPr>
          <w:p w14:paraId="1921F962">
            <w:pPr>
              <w:widowControl/>
              <w:jc w:val="left"/>
              <w:rPr>
                <w:rFonts w:ascii="宋体" w:hAnsi="宋体" w:cs="Arial"/>
                <w:kern w:val="0"/>
                <w:szCs w:val="21"/>
              </w:rPr>
            </w:pPr>
          </w:p>
        </w:tc>
        <w:tc>
          <w:tcPr>
            <w:tcW w:w="1596" w:type="pct"/>
            <w:tcBorders>
              <w:top w:val="single" w:color="000000" w:sz="4" w:space="0"/>
              <w:left w:val="nil"/>
              <w:bottom w:val="single" w:color="000000" w:sz="4" w:space="0"/>
              <w:right w:val="single" w:color="000000" w:sz="4" w:space="0"/>
            </w:tcBorders>
            <w:noWrap w:val="0"/>
            <w:vAlign w:val="center"/>
          </w:tcPr>
          <w:p w14:paraId="3B9F42EB">
            <w:pPr>
              <w:widowControl/>
              <w:jc w:val="left"/>
              <w:rPr>
                <w:rFonts w:ascii="宋体" w:hAnsi="宋体" w:cs="Arial"/>
                <w:kern w:val="0"/>
                <w:szCs w:val="21"/>
              </w:rPr>
            </w:pPr>
          </w:p>
        </w:tc>
        <w:tc>
          <w:tcPr>
            <w:tcW w:w="803" w:type="pct"/>
            <w:tcBorders>
              <w:top w:val="single" w:color="000000" w:sz="4" w:space="0"/>
              <w:left w:val="nil"/>
              <w:bottom w:val="single" w:color="000000" w:sz="4" w:space="0"/>
              <w:right w:val="single" w:color="000000" w:sz="4" w:space="0"/>
            </w:tcBorders>
            <w:noWrap w:val="0"/>
            <w:vAlign w:val="center"/>
          </w:tcPr>
          <w:p w14:paraId="1902A6BF">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23187D6E">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14AEB1E6">
            <w:pPr>
              <w:widowControl/>
              <w:jc w:val="right"/>
              <w:rPr>
                <w:rFonts w:ascii="宋体" w:hAnsi="宋体" w:cs="Arial"/>
                <w:kern w:val="0"/>
                <w:szCs w:val="21"/>
              </w:rPr>
            </w:pPr>
          </w:p>
        </w:tc>
      </w:tr>
      <w:tr w14:paraId="1DB6044B">
        <w:tblPrEx>
          <w:tblCellMar>
            <w:top w:w="0" w:type="dxa"/>
            <w:left w:w="108" w:type="dxa"/>
            <w:bottom w:w="0" w:type="dxa"/>
            <w:right w:w="108" w:type="dxa"/>
          </w:tblCellMar>
        </w:tblPrEx>
        <w:trPr>
          <w:trHeight w:val="680" w:hRule="atLeast"/>
        </w:trPr>
        <w:tc>
          <w:tcPr>
            <w:tcW w:w="4431" w:type="pct"/>
            <w:gridSpan w:val="5"/>
            <w:tcBorders>
              <w:top w:val="single" w:color="000000" w:sz="4" w:space="0"/>
              <w:left w:val="single" w:color="000000" w:sz="8" w:space="0"/>
              <w:bottom w:val="single" w:color="000000" w:sz="8" w:space="0"/>
              <w:right w:val="single" w:color="000000" w:sz="4" w:space="0"/>
            </w:tcBorders>
            <w:noWrap w:val="0"/>
            <w:vAlign w:val="center"/>
          </w:tcPr>
          <w:p w14:paraId="429FFC29">
            <w:pPr>
              <w:widowControl/>
              <w:jc w:val="center"/>
              <w:rPr>
                <w:rFonts w:ascii="宋体" w:hAnsi="宋体" w:cs="Arial"/>
                <w:kern w:val="0"/>
                <w:szCs w:val="21"/>
              </w:rPr>
            </w:pPr>
            <w:r>
              <w:rPr>
                <w:rFonts w:hint="eastAsia" w:ascii="宋体" w:hAnsi="宋体" w:cs="Arial"/>
                <w:kern w:val="0"/>
                <w:szCs w:val="21"/>
              </w:rPr>
              <w:t>合  计</w:t>
            </w:r>
          </w:p>
        </w:tc>
        <w:tc>
          <w:tcPr>
            <w:tcW w:w="569" w:type="pct"/>
            <w:tcBorders>
              <w:top w:val="nil"/>
              <w:left w:val="nil"/>
              <w:bottom w:val="single" w:color="000000" w:sz="8" w:space="0"/>
              <w:right w:val="single" w:color="000000" w:sz="8" w:space="0"/>
            </w:tcBorders>
            <w:noWrap w:val="0"/>
            <w:vAlign w:val="center"/>
          </w:tcPr>
          <w:p w14:paraId="68911973">
            <w:pPr>
              <w:widowControl/>
              <w:jc w:val="right"/>
              <w:rPr>
                <w:rFonts w:ascii="宋体" w:hAnsi="宋体" w:cs="Arial"/>
                <w:kern w:val="0"/>
                <w:szCs w:val="21"/>
              </w:rPr>
            </w:pPr>
          </w:p>
        </w:tc>
      </w:tr>
    </w:tbl>
    <w:p w14:paraId="395E65C5">
      <w:pPr>
        <w:spacing w:before="48" w:beforeLines="20" w:after="48" w:afterLines="20" w:line="540" w:lineRule="exact"/>
        <w:rPr>
          <w:rFonts w:hint="eastAsia" w:ascii="宋体" w:hAnsi="宋体"/>
          <w:sz w:val="24"/>
          <w:szCs w:val="22"/>
        </w:rPr>
        <w:sectPr>
          <w:headerReference r:id="rId11" w:type="first"/>
          <w:footerReference r:id="rId13" w:type="first"/>
          <w:headerReference r:id="rId9" w:type="default"/>
          <w:headerReference r:id="rId10" w:type="even"/>
          <w:footerReference r:id="rId12" w:type="even"/>
          <w:footnotePr>
            <w:numFmt w:val="decimalEnclosedCircleChinese"/>
            <w:numRestart w:val="eachPage"/>
          </w:footnotePr>
          <w:pgSz w:w="11907" w:h="16840"/>
          <w:pgMar w:top="1418" w:right="1134" w:bottom="1134" w:left="1418" w:header="680" w:footer="907" w:gutter="0"/>
          <w:cols w:space="720" w:num="1"/>
          <w:docGrid w:linePitch="286" w:charSpace="0"/>
        </w:sectPr>
      </w:pPr>
    </w:p>
    <w:p w14:paraId="4DD80302">
      <w:pPr>
        <w:jc w:val="center"/>
        <w:outlineLvl w:val="2"/>
        <w:rPr>
          <w:rFonts w:hint="eastAsia"/>
          <w:sz w:val="28"/>
          <w:szCs w:val="28"/>
        </w:rPr>
      </w:pPr>
      <w:bookmarkStart w:id="516" w:name="_Toc535241141"/>
      <w:r>
        <w:rPr>
          <w:rFonts w:hint="eastAsia"/>
          <w:sz w:val="28"/>
          <w:szCs w:val="28"/>
        </w:rPr>
        <w:t>（十五）材料（工程设备）暂估单价一览表</w:t>
      </w:r>
      <w:bookmarkEnd w:id="516"/>
    </w:p>
    <w:p w14:paraId="1909564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1276"/>
        <w:gridCol w:w="4200"/>
        <w:gridCol w:w="1588"/>
        <w:gridCol w:w="1532"/>
        <w:gridCol w:w="1713"/>
      </w:tblGrid>
      <w:tr w14:paraId="7951C468">
        <w:tblPrEx>
          <w:tblCellMar>
            <w:top w:w="0" w:type="dxa"/>
            <w:left w:w="108" w:type="dxa"/>
            <w:bottom w:w="0" w:type="dxa"/>
            <w:right w:w="108" w:type="dxa"/>
          </w:tblCellMar>
        </w:tblPrEx>
        <w:trPr>
          <w:trHeight w:val="690" w:hRule="atLeast"/>
        </w:trPr>
        <w:tc>
          <w:tcPr>
            <w:tcW w:w="619"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D7F09C5">
            <w:pPr>
              <w:widowControl/>
              <w:jc w:val="center"/>
              <w:rPr>
                <w:rFonts w:ascii="黑体" w:hAnsi="黑体" w:eastAsia="黑体" w:cs="Arial"/>
                <w:kern w:val="0"/>
                <w:szCs w:val="21"/>
              </w:rPr>
            </w:pPr>
            <w:bookmarkStart w:id="517" w:name="_Toc44996373"/>
            <w:bookmarkStart w:id="518" w:name="_Toc17215711"/>
            <w:r>
              <w:rPr>
                <w:rFonts w:hint="eastAsia" w:ascii="黑体" w:hAnsi="黑体" w:eastAsia="黑体" w:cs="Arial"/>
                <w:kern w:val="0"/>
                <w:szCs w:val="21"/>
              </w:rPr>
              <w:t>序号</w:t>
            </w:r>
          </w:p>
        </w:tc>
        <w:tc>
          <w:tcPr>
            <w:tcW w:w="2037" w:type="pct"/>
            <w:tcBorders>
              <w:top w:val="single" w:color="000000" w:sz="8" w:space="0"/>
              <w:left w:val="nil"/>
              <w:bottom w:val="single" w:color="000000" w:sz="4" w:space="0"/>
              <w:right w:val="single" w:color="000000" w:sz="4" w:space="0"/>
            </w:tcBorders>
            <w:shd w:val="clear" w:color="FFFFFF" w:fill="FFFFFF"/>
            <w:noWrap w:val="0"/>
            <w:vAlign w:val="center"/>
          </w:tcPr>
          <w:p w14:paraId="75002DE1">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770" w:type="pct"/>
            <w:tcBorders>
              <w:top w:val="single" w:color="000000" w:sz="8" w:space="0"/>
              <w:left w:val="nil"/>
              <w:bottom w:val="single" w:color="000000" w:sz="4" w:space="0"/>
              <w:right w:val="single" w:color="000000" w:sz="4" w:space="0"/>
            </w:tcBorders>
            <w:shd w:val="clear" w:color="FFFFFF" w:fill="FFFFFF"/>
            <w:noWrap w:val="0"/>
            <w:vAlign w:val="center"/>
          </w:tcPr>
          <w:p w14:paraId="4CFC2284">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743" w:type="pct"/>
            <w:tcBorders>
              <w:top w:val="single" w:color="000000" w:sz="8" w:space="0"/>
              <w:left w:val="nil"/>
              <w:bottom w:val="single" w:color="000000" w:sz="4" w:space="0"/>
              <w:right w:val="single" w:color="000000" w:sz="4" w:space="0"/>
            </w:tcBorders>
            <w:shd w:val="clear" w:color="FFFFFF" w:fill="FFFFFF"/>
            <w:noWrap w:val="0"/>
            <w:vAlign w:val="center"/>
          </w:tcPr>
          <w:p w14:paraId="6247F2D0">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831" w:type="pct"/>
            <w:tcBorders>
              <w:top w:val="single" w:color="000000" w:sz="8" w:space="0"/>
              <w:left w:val="nil"/>
              <w:bottom w:val="single" w:color="000000" w:sz="4" w:space="0"/>
              <w:right w:val="single" w:color="000000" w:sz="8" w:space="0"/>
            </w:tcBorders>
            <w:shd w:val="clear" w:color="FFFFFF" w:fill="FFFFFF"/>
            <w:noWrap w:val="0"/>
            <w:vAlign w:val="center"/>
          </w:tcPr>
          <w:p w14:paraId="710BA03A">
            <w:pPr>
              <w:widowControl/>
              <w:jc w:val="center"/>
              <w:rPr>
                <w:rFonts w:ascii="黑体" w:hAnsi="黑体" w:eastAsia="黑体" w:cs="Arial"/>
                <w:kern w:val="0"/>
                <w:szCs w:val="21"/>
              </w:rPr>
            </w:pPr>
            <w:r>
              <w:rPr>
                <w:rFonts w:hint="eastAsia" w:ascii="黑体" w:hAnsi="黑体" w:eastAsia="黑体" w:cs="Arial"/>
                <w:kern w:val="0"/>
                <w:szCs w:val="21"/>
              </w:rPr>
              <w:t>单价(元)</w:t>
            </w:r>
          </w:p>
        </w:tc>
      </w:tr>
      <w:tr w14:paraId="69AEDAF3">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6F55201D">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47E5216F">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4B3F30CB">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3FDBDDED">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5C6F4B66">
            <w:pPr>
              <w:widowControl/>
              <w:jc w:val="right"/>
              <w:rPr>
                <w:rFonts w:ascii="宋体" w:hAnsi="宋体" w:cs="Arial"/>
                <w:kern w:val="0"/>
                <w:szCs w:val="21"/>
              </w:rPr>
            </w:pPr>
          </w:p>
        </w:tc>
      </w:tr>
      <w:tr w14:paraId="16781CB6">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29ED8C0F">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444F00DA">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652EF3CA">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54C5EEAC">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680ECB05">
            <w:pPr>
              <w:widowControl/>
              <w:jc w:val="right"/>
              <w:rPr>
                <w:rFonts w:ascii="宋体" w:hAnsi="宋体" w:cs="Arial"/>
                <w:kern w:val="0"/>
                <w:szCs w:val="21"/>
              </w:rPr>
            </w:pPr>
          </w:p>
        </w:tc>
      </w:tr>
      <w:tr w14:paraId="46A63970">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39712183">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7FB650A8">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642439C1">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79955D9A">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16FF3D76">
            <w:pPr>
              <w:widowControl/>
              <w:jc w:val="right"/>
              <w:rPr>
                <w:rFonts w:ascii="宋体" w:hAnsi="宋体" w:cs="Arial"/>
                <w:kern w:val="0"/>
                <w:szCs w:val="21"/>
              </w:rPr>
            </w:pPr>
          </w:p>
        </w:tc>
      </w:tr>
      <w:tr w14:paraId="6D9AC95F">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66C2AB5C">
            <w:pPr>
              <w:widowControl/>
              <w:jc w:val="center"/>
              <w:rPr>
                <w:rFonts w:hint="eastAsia"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7A2F2CFE">
            <w:pPr>
              <w:widowControl/>
              <w:jc w:val="left"/>
              <w:rPr>
                <w:rFonts w:hint="eastAsia"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29D5B5D5">
            <w:pPr>
              <w:widowControl/>
              <w:jc w:val="center"/>
              <w:rPr>
                <w:rFonts w:hint="eastAsia"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7D6AAB7B">
            <w:pPr>
              <w:widowControl/>
              <w:jc w:val="right"/>
              <w:rPr>
                <w:rFonts w:hint="eastAsia"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697A288D">
            <w:pPr>
              <w:widowControl/>
              <w:jc w:val="right"/>
              <w:rPr>
                <w:rFonts w:hint="eastAsia" w:ascii="宋体" w:hAnsi="宋体" w:cs="Arial"/>
                <w:kern w:val="0"/>
                <w:szCs w:val="21"/>
              </w:rPr>
            </w:pPr>
          </w:p>
        </w:tc>
      </w:tr>
      <w:bookmarkEnd w:id="517"/>
      <w:bookmarkEnd w:id="518"/>
    </w:tbl>
    <w:p w14:paraId="2A2EBBC2">
      <w:pPr>
        <w:jc w:val="center"/>
        <w:rPr>
          <w:rFonts w:hint="eastAsia"/>
          <w:sz w:val="28"/>
          <w:szCs w:val="28"/>
        </w:rPr>
      </w:pPr>
      <w:bookmarkStart w:id="519" w:name="_Toc535241142"/>
      <w:bookmarkStart w:id="520" w:name="_Toc171742000"/>
      <w:bookmarkStart w:id="521" w:name="_Toc171581377"/>
      <w:bookmarkStart w:id="522" w:name="_Toc44996378"/>
      <w:bookmarkStart w:id="523" w:name="_Toc171581557"/>
      <w:bookmarkStart w:id="524" w:name="_Toc17215716"/>
    </w:p>
    <w:p w14:paraId="26FCF9BC">
      <w:pPr>
        <w:jc w:val="center"/>
        <w:outlineLvl w:val="2"/>
        <w:rPr>
          <w:rFonts w:hint="eastAsia"/>
          <w:sz w:val="28"/>
          <w:szCs w:val="28"/>
        </w:rPr>
      </w:pPr>
      <w:r>
        <w:rPr>
          <w:rFonts w:hint="eastAsia"/>
          <w:sz w:val="28"/>
          <w:szCs w:val="28"/>
        </w:rPr>
        <w:t>（十六）发包人提供材料（工程设备）一览表</w:t>
      </w:r>
      <w:bookmarkEnd w:id="519"/>
    </w:p>
    <w:p w14:paraId="6918656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46"/>
        <w:gridCol w:w="3126"/>
        <w:gridCol w:w="1188"/>
        <w:gridCol w:w="1342"/>
        <w:gridCol w:w="1474"/>
        <w:gridCol w:w="1142"/>
        <w:gridCol w:w="1091"/>
      </w:tblGrid>
      <w:tr w14:paraId="35DD4F14">
        <w:tblPrEx>
          <w:tblCellMar>
            <w:top w:w="0" w:type="dxa"/>
            <w:left w:w="108" w:type="dxa"/>
            <w:bottom w:w="0" w:type="dxa"/>
            <w:right w:w="108" w:type="dxa"/>
          </w:tblCellMar>
        </w:tblPrEx>
        <w:trPr>
          <w:trHeight w:val="690" w:hRule="atLeast"/>
        </w:trPr>
        <w:tc>
          <w:tcPr>
            <w:tcW w:w="459"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60A7E0D">
            <w:pPr>
              <w:widowControl/>
              <w:jc w:val="center"/>
              <w:rPr>
                <w:rFonts w:ascii="黑体" w:hAnsi="黑体" w:eastAsia="黑体" w:cs="Arial"/>
                <w:kern w:val="0"/>
                <w:szCs w:val="21"/>
              </w:rPr>
            </w:pPr>
            <w:r>
              <w:rPr>
                <w:rFonts w:hint="eastAsia" w:ascii="黑体" w:hAnsi="黑体" w:eastAsia="黑体" w:cs="Arial"/>
                <w:kern w:val="0"/>
                <w:szCs w:val="21"/>
              </w:rPr>
              <w:t xml:space="preserve"> 序号</w:t>
            </w:r>
          </w:p>
        </w:tc>
        <w:tc>
          <w:tcPr>
            <w:tcW w:w="1516" w:type="pct"/>
            <w:tcBorders>
              <w:top w:val="single" w:color="000000" w:sz="8" w:space="0"/>
              <w:left w:val="nil"/>
              <w:bottom w:val="single" w:color="000000" w:sz="4" w:space="0"/>
              <w:right w:val="single" w:color="000000" w:sz="4" w:space="0"/>
            </w:tcBorders>
            <w:shd w:val="clear" w:color="FFFFFF" w:fill="FFFFFF"/>
            <w:noWrap w:val="0"/>
            <w:vAlign w:val="center"/>
          </w:tcPr>
          <w:p w14:paraId="02360F85">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576" w:type="pct"/>
            <w:tcBorders>
              <w:top w:val="single" w:color="000000" w:sz="8" w:space="0"/>
              <w:left w:val="nil"/>
              <w:bottom w:val="single" w:color="000000" w:sz="4" w:space="0"/>
              <w:right w:val="single" w:color="000000" w:sz="4" w:space="0"/>
            </w:tcBorders>
            <w:shd w:val="clear" w:color="FFFFFF" w:fill="FFFFFF"/>
            <w:noWrap w:val="0"/>
            <w:vAlign w:val="center"/>
          </w:tcPr>
          <w:p w14:paraId="140F3A00">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651" w:type="pct"/>
            <w:tcBorders>
              <w:top w:val="single" w:color="000000" w:sz="8" w:space="0"/>
              <w:left w:val="nil"/>
              <w:bottom w:val="single" w:color="000000" w:sz="4" w:space="0"/>
              <w:right w:val="single" w:color="000000" w:sz="4" w:space="0"/>
            </w:tcBorders>
            <w:shd w:val="clear" w:color="FFFFFF" w:fill="FFFFFF"/>
            <w:noWrap w:val="0"/>
            <w:vAlign w:val="center"/>
          </w:tcPr>
          <w:p w14:paraId="0E7BE0DA">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715" w:type="pct"/>
            <w:tcBorders>
              <w:top w:val="single" w:color="000000" w:sz="8" w:space="0"/>
              <w:left w:val="nil"/>
              <w:bottom w:val="single" w:color="000000" w:sz="4" w:space="0"/>
              <w:right w:val="single" w:color="000000" w:sz="4" w:space="0"/>
            </w:tcBorders>
            <w:shd w:val="clear" w:color="FFFFFF" w:fill="FFFFFF"/>
            <w:noWrap w:val="0"/>
            <w:vAlign w:val="center"/>
          </w:tcPr>
          <w:p w14:paraId="2EA97089">
            <w:pPr>
              <w:widowControl/>
              <w:jc w:val="center"/>
              <w:rPr>
                <w:rFonts w:ascii="黑体" w:hAnsi="黑体" w:eastAsia="黑体" w:cs="Arial"/>
                <w:kern w:val="0"/>
                <w:szCs w:val="21"/>
              </w:rPr>
            </w:pPr>
            <w:r>
              <w:rPr>
                <w:rFonts w:hint="eastAsia" w:ascii="黑体" w:hAnsi="黑体" w:eastAsia="黑体" w:cs="Arial"/>
                <w:kern w:val="0"/>
                <w:szCs w:val="21"/>
              </w:rPr>
              <w:t>单价(元)</w:t>
            </w:r>
          </w:p>
        </w:tc>
        <w:tc>
          <w:tcPr>
            <w:tcW w:w="554" w:type="pct"/>
            <w:tcBorders>
              <w:top w:val="single" w:color="000000" w:sz="8" w:space="0"/>
              <w:left w:val="nil"/>
              <w:bottom w:val="single" w:color="000000" w:sz="4" w:space="0"/>
              <w:right w:val="single" w:color="000000" w:sz="4" w:space="0"/>
            </w:tcBorders>
            <w:shd w:val="clear" w:color="FFFFFF" w:fill="FFFFFF"/>
            <w:noWrap w:val="0"/>
            <w:vAlign w:val="center"/>
          </w:tcPr>
          <w:p w14:paraId="650201E1">
            <w:pPr>
              <w:widowControl/>
              <w:jc w:val="center"/>
              <w:rPr>
                <w:rFonts w:ascii="黑体" w:hAnsi="黑体" w:eastAsia="黑体" w:cs="Arial"/>
                <w:kern w:val="0"/>
                <w:szCs w:val="21"/>
              </w:rPr>
            </w:pPr>
            <w:r>
              <w:rPr>
                <w:rFonts w:hint="eastAsia" w:ascii="黑体" w:hAnsi="黑体" w:eastAsia="黑体" w:cs="Arial"/>
                <w:kern w:val="0"/>
                <w:szCs w:val="21"/>
              </w:rPr>
              <w:t>合价(元)</w:t>
            </w:r>
          </w:p>
        </w:tc>
        <w:tc>
          <w:tcPr>
            <w:tcW w:w="529" w:type="pct"/>
            <w:tcBorders>
              <w:top w:val="single" w:color="000000" w:sz="8" w:space="0"/>
              <w:left w:val="nil"/>
              <w:bottom w:val="single" w:color="000000" w:sz="4" w:space="0"/>
              <w:right w:val="single" w:color="000000" w:sz="8" w:space="0"/>
            </w:tcBorders>
            <w:shd w:val="clear" w:color="FFFFFF" w:fill="FFFFFF"/>
            <w:noWrap w:val="0"/>
            <w:vAlign w:val="center"/>
          </w:tcPr>
          <w:p w14:paraId="771D0212">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145EB1B1">
        <w:tblPrEx>
          <w:tblCellMar>
            <w:top w:w="0" w:type="dxa"/>
            <w:left w:w="108" w:type="dxa"/>
            <w:bottom w:w="0" w:type="dxa"/>
            <w:right w:w="108" w:type="dxa"/>
          </w:tblCellMar>
        </w:tblPrEx>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0C94FC27">
            <w:pPr>
              <w:widowControl/>
              <w:jc w:val="center"/>
              <w:rPr>
                <w:rFonts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6378D911">
            <w:pPr>
              <w:widowControl/>
              <w:jc w:val="left"/>
              <w:rPr>
                <w:rFonts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11D6B8D9">
            <w:pPr>
              <w:widowControl/>
              <w:jc w:val="center"/>
              <w:rPr>
                <w:rFonts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487A13DC">
            <w:pPr>
              <w:widowControl/>
              <w:jc w:val="right"/>
              <w:rPr>
                <w:rFonts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34381EAC">
            <w:pPr>
              <w:widowControl/>
              <w:jc w:val="right"/>
              <w:rPr>
                <w:rFonts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4564B638">
            <w:pPr>
              <w:widowControl/>
              <w:jc w:val="right"/>
              <w:rPr>
                <w:rFonts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51A6427D">
            <w:pPr>
              <w:widowControl/>
              <w:jc w:val="left"/>
              <w:rPr>
                <w:rFonts w:ascii="宋体" w:hAnsi="宋体" w:cs="Arial"/>
                <w:kern w:val="0"/>
                <w:szCs w:val="21"/>
              </w:rPr>
            </w:pPr>
          </w:p>
        </w:tc>
      </w:tr>
      <w:tr w14:paraId="0AB35DC8">
        <w:tblPrEx>
          <w:tblCellMar>
            <w:top w:w="0" w:type="dxa"/>
            <w:left w:w="108" w:type="dxa"/>
            <w:bottom w:w="0" w:type="dxa"/>
            <w:right w:w="108" w:type="dxa"/>
          </w:tblCellMar>
        </w:tblPrEx>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7D3E347D">
            <w:pPr>
              <w:widowControl/>
              <w:jc w:val="center"/>
              <w:rPr>
                <w:rFonts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5A744007">
            <w:pPr>
              <w:widowControl/>
              <w:jc w:val="left"/>
              <w:rPr>
                <w:rFonts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2A9D4BA5">
            <w:pPr>
              <w:widowControl/>
              <w:jc w:val="center"/>
              <w:rPr>
                <w:rFonts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0011BE75">
            <w:pPr>
              <w:widowControl/>
              <w:jc w:val="right"/>
              <w:rPr>
                <w:rFonts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5BF30644">
            <w:pPr>
              <w:widowControl/>
              <w:jc w:val="right"/>
              <w:rPr>
                <w:rFonts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53D49A50">
            <w:pPr>
              <w:widowControl/>
              <w:jc w:val="right"/>
              <w:rPr>
                <w:rFonts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7612A296">
            <w:pPr>
              <w:widowControl/>
              <w:jc w:val="left"/>
              <w:rPr>
                <w:rFonts w:ascii="宋体" w:hAnsi="宋体" w:cs="Arial"/>
                <w:kern w:val="0"/>
                <w:szCs w:val="21"/>
              </w:rPr>
            </w:pPr>
          </w:p>
        </w:tc>
      </w:tr>
      <w:tr w14:paraId="2273D060">
        <w:tblPrEx>
          <w:tblCellMar>
            <w:top w:w="0" w:type="dxa"/>
            <w:left w:w="108" w:type="dxa"/>
            <w:bottom w:w="0" w:type="dxa"/>
            <w:right w:w="108" w:type="dxa"/>
          </w:tblCellMar>
        </w:tblPrEx>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7DD164F8">
            <w:pPr>
              <w:widowControl/>
              <w:jc w:val="center"/>
              <w:rPr>
                <w:rFonts w:hint="eastAsia"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1D41B043">
            <w:pPr>
              <w:widowControl/>
              <w:jc w:val="left"/>
              <w:rPr>
                <w:rFonts w:hint="eastAsia"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35FF53CB">
            <w:pPr>
              <w:widowControl/>
              <w:jc w:val="center"/>
              <w:rPr>
                <w:rFonts w:hint="eastAsia"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0EF94E15">
            <w:pPr>
              <w:widowControl/>
              <w:jc w:val="right"/>
              <w:rPr>
                <w:rFonts w:hint="eastAsia"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629DA564">
            <w:pPr>
              <w:widowControl/>
              <w:jc w:val="right"/>
              <w:rPr>
                <w:rFonts w:hint="eastAsia"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5BAB8A95">
            <w:pPr>
              <w:widowControl/>
              <w:jc w:val="right"/>
              <w:rPr>
                <w:rFonts w:hint="eastAsia"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007EFD40">
            <w:pPr>
              <w:widowControl/>
              <w:jc w:val="left"/>
              <w:rPr>
                <w:rFonts w:hint="eastAsia" w:ascii="宋体" w:hAnsi="宋体" w:cs="Arial"/>
                <w:kern w:val="0"/>
                <w:szCs w:val="21"/>
              </w:rPr>
            </w:pPr>
          </w:p>
        </w:tc>
      </w:tr>
    </w:tbl>
    <w:p w14:paraId="6F61DB6C">
      <w:pPr>
        <w:tabs>
          <w:tab w:val="left" w:pos="0"/>
        </w:tabs>
        <w:spacing w:before="48" w:beforeLines="20" w:after="48" w:afterLines="20" w:line="540" w:lineRule="exact"/>
        <w:ind w:right="-212"/>
        <w:jc w:val="left"/>
        <w:rPr>
          <w:rFonts w:ascii="宋体" w:hAnsi="宋体"/>
          <w:sz w:val="24"/>
          <w:szCs w:val="22"/>
        </w:rPr>
      </w:pPr>
    </w:p>
    <w:p w14:paraId="58C545BB">
      <w:pPr>
        <w:jc w:val="center"/>
        <w:outlineLvl w:val="2"/>
        <w:rPr>
          <w:rFonts w:hint="eastAsia"/>
          <w:sz w:val="28"/>
          <w:szCs w:val="28"/>
        </w:rPr>
      </w:pPr>
      <w:r>
        <w:rPr>
          <w:sz w:val="28"/>
          <w:szCs w:val="28"/>
        </w:rPr>
        <w:br w:type="page"/>
      </w:r>
      <w:bookmarkStart w:id="525" w:name="_Toc535241143"/>
      <w:bookmarkStart w:id="526" w:name="_Toc460227138"/>
      <w:bookmarkStart w:id="527" w:name="_Toc460660253"/>
      <w:r>
        <w:rPr>
          <w:rFonts w:hint="eastAsia"/>
          <w:sz w:val="28"/>
          <w:szCs w:val="28"/>
        </w:rPr>
        <w:t>（十七）承包人提供材料（工程设备）一览表</w:t>
      </w:r>
      <w:bookmarkEnd w:id="525"/>
    </w:p>
    <w:p w14:paraId="6DD9CDF4">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13"/>
        <w:gridCol w:w="2367"/>
        <w:gridCol w:w="839"/>
        <w:gridCol w:w="1194"/>
        <w:gridCol w:w="1194"/>
        <w:gridCol w:w="1530"/>
        <w:gridCol w:w="1530"/>
        <w:gridCol w:w="942"/>
      </w:tblGrid>
      <w:tr w14:paraId="035E49E3">
        <w:tblPrEx>
          <w:tblCellMar>
            <w:top w:w="0" w:type="dxa"/>
            <w:left w:w="108" w:type="dxa"/>
            <w:bottom w:w="0" w:type="dxa"/>
            <w:right w:w="108" w:type="dxa"/>
          </w:tblCellMar>
        </w:tblPrEx>
        <w:trPr>
          <w:trHeight w:val="750" w:hRule="atLeast"/>
        </w:trPr>
        <w:tc>
          <w:tcPr>
            <w:tcW w:w="34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EC11876">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48" w:type="pct"/>
            <w:tcBorders>
              <w:top w:val="single" w:color="000000" w:sz="8" w:space="0"/>
              <w:left w:val="nil"/>
              <w:bottom w:val="single" w:color="000000" w:sz="4" w:space="0"/>
              <w:right w:val="single" w:color="000000" w:sz="4" w:space="0"/>
            </w:tcBorders>
            <w:shd w:val="clear" w:color="FFFFFF" w:fill="FFFFFF"/>
            <w:noWrap w:val="0"/>
            <w:vAlign w:val="center"/>
          </w:tcPr>
          <w:p w14:paraId="3AFD6986">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407" w:type="pct"/>
            <w:tcBorders>
              <w:top w:val="single" w:color="000000" w:sz="8" w:space="0"/>
              <w:left w:val="nil"/>
              <w:bottom w:val="single" w:color="000000" w:sz="4" w:space="0"/>
              <w:right w:val="single" w:color="000000" w:sz="4" w:space="0"/>
            </w:tcBorders>
            <w:shd w:val="clear" w:color="FFFFFF" w:fill="FFFFFF"/>
            <w:noWrap w:val="0"/>
            <w:vAlign w:val="center"/>
          </w:tcPr>
          <w:p w14:paraId="5B5831D4">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579" w:type="pct"/>
            <w:tcBorders>
              <w:top w:val="single" w:color="000000" w:sz="8" w:space="0"/>
              <w:left w:val="nil"/>
              <w:bottom w:val="single" w:color="000000" w:sz="4" w:space="0"/>
              <w:right w:val="single" w:color="000000" w:sz="4" w:space="0"/>
            </w:tcBorders>
            <w:shd w:val="clear" w:color="FFFFFF" w:fill="FFFFFF"/>
            <w:noWrap w:val="0"/>
            <w:vAlign w:val="center"/>
          </w:tcPr>
          <w:p w14:paraId="28F8BA6A">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579" w:type="pct"/>
            <w:tcBorders>
              <w:top w:val="single" w:color="000000" w:sz="8" w:space="0"/>
              <w:left w:val="nil"/>
              <w:bottom w:val="single" w:color="000000" w:sz="4" w:space="0"/>
              <w:right w:val="single" w:color="000000" w:sz="4" w:space="0"/>
            </w:tcBorders>
            <w:shd w:val="clear" w:color="FFFFFF" w:fill="FFFFFF"/>
            <w:noWrap w:val="0"/>
            <w:vAlign w:val="center"/>
          </w:tcPr>
          <w:p w14:paraId="6F54C8EA">
            <w:pPr>
              <w:widowControl/>
              <w:jc w:val="center"/>
              <w:rPr>
                <w:rFonts w:ascii="黑体" w:hAnsi="黑体" w:eastAsia="黑体" w:cs="Arial"/>
                <w:kern w:val="0"/>
                <w:szCs w:val="21"/>
              </w:rPr>
            </w:pPr>
            <w:r>
              <w:rPr>
                <w:rFonts w:hint="eastAsia" w:ascii="黑体" w:hAnsi="黑体" w:eastAsia="黑体" w:cs="Arial"/>
                <w:kern w:val="0"/>
                <w:szCs w:val="21"/>
              </w:rPr>
              <w:t>风险系数(%)</w:t>
            </w:r>
          </w:p>
        </w:tc>
        <w:tc>
          <w:tcPr>
            <w:tcW w:w="742" w:type="pct"/>
            <w:tcBorders>
              <w:top w:val="single" w:color="000000" w:sz="8" w:space="0"/>
              <w:left w:val="nil"/>
              <w:bottom w:val="single" w:color="000000" w:sz="4" w:space="0"/>
              <w:right w:val="single" w:color="000000" w:sz="4" w:space="0"/>
            </w:tcBorders>
            <w:shd w:val="clear" w:color="FFFFFF" w:fill="FFFFFF"/>
            <w:noWrap w:val="0"/>
            <w:vAlign w:val="center"/>
          </w:tcPr>
          <w:p w14:paraId="6903DDFE">
            <w:pPr>
              <w:widowControl/>
              <w:jc w:val="center"/>
              <w:rPr>
                <w:rFonts w:ascii="黑体" w:hAnsi="黑体" w:eastAsia="黑体" w:cs="Arial"/>
                <w:kern w:val="0"/>
                <w:szCs w:val="21"/>
              </w:rPr>
            </w:pPr>
            <w:r>
              <w:rPr>
                <w:rFonts w:hint="eastAsia" w:ascii="黑体" w:hAnsi="黑体" w:eastAsia="黑体" w:cs="Arial"/>
                <w:kern w:val="0"/>
                <w:szCs w:val="21"/>
              </w:rPr>
              <w:t>基准单价</w:t>
            </w:r>
          </w:p>
        </w:tc>
        <w:tc>
          <w:tcPr>
            <w:tcW w:w="742" w:type="pct"/>
            <w:tcBorders>
              <w:top w:val="single" w:color="000000" w:sz="8" w:space="0"/>
              <w:left w:val="nil"/>
              <w:bottom w:val="single" w:color="000000" w:sz="4" w:space="0"/>
              <w:right w:val="single" w:color="000000" w:sz="4" w:space="0"/>
            </w:tcBorders>
            <w:shd w:val="clear" w:color="FFFFFF" w:fill="FFFFFF"/>
            <w:noWrap w:val="0"/>
            <w:vAlign w:val="center"/>
          </w:tcPr>
          <w:p w14:paraId="1CFF1531">
            <w:pPr>
              <w:widowControl/>
              <w:jc w:val="center"/>
              <w:rPr>
                <w:rFonts w:ascii="黑体" w:hAnsi="黑体" w:eastAsia="黑体" w:cs="Arial"/>
                <w:kern w:val="0"/>
                <w:szCs w:val="21"/>
              </w:rPr>
            </w:pPr>
            <w:r>
              <w:rPr>
                <w:rFonts w:hint="eastAsia" w:ascii="黑体" w:hAnsi="黑体" w:eastAsia="黑体" w:cs="Arial"/>
                <w:kern w:val="0"/>
                <w:szCs w:val="21"/>
              </w:rPr>
              <w:t>投标单价</w:t>
            </w:r>
          </w:p>
        </w:tc>
        <w:tc>
          <w:tcPr>
            <w:tcW w:w="457" w:type="pct"/>
            <w:tcBorders>
              <w:top w:val="single" w:color="000000" w:sz="8" w:space="0"/>
              <w:left w:val="nil"/>
              <w:bottom w:val="single" w:color="000000" w:sz="4" w:space="0"/>
              <w:right w:val="single" w:color="000000" w:sz="8" w:space="0"/>
            </w:tcBorders>
            <w:shd w:val="clear" w:color="FFFFFF" w:fill="FFFFFF"/>
            <w:noWrap w:val="0"/>
            <w:vAlign w:val="center"/>
          </w:tcPr>
          <w:p w14:paraId="126E5B27">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39F4F599">
        <w:tblPrEx>
          <w:tblCellMar>
            <w:top w:w="0" w:type="dxa"/>
            <w:left w:w="108" w:type="dxa"/>
            <w:bottom w:w="0" w:type="dxa"/>
            <w:right w:w="108" w:type="dxa"/>
          </w:tblCellMar>
        </w:tblPrEx>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79E90D22">
            <w:pPr>
              <w:widowControl/>
              <w:jc w:val="center"/>
              <w:rPr>
                <w:rFonts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37D23417">
            <w:pPr>
              <w:widowControl/>
              <w:jc w:val="left"/>
              <w:rPr>
                <w:rFonts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4F0EA165">
            <w:pPr>
              <w:widowControl/>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17F77D94">
            <w:pPr>
              <w:widowControl/>
              <w:jc w:val="right"/>
              <w:rPr>
                <w:rFonts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151A9639">
            <w:pPr>
              <w:widowControl/>
              <w:jc w:val="right"/>
              <w:rPr>
                <w:rFonts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4BFE63F8">
            <w:pPr>
              <w:widowControl/>
              <w:jc w:val="right"/>
              <w:rPr>
                <w:rFonts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7FB472D2">
            <w:pPr>
              <w:widowControl/>
              <w:jc w:val="right"/>
              <w:rPr>
                <w:rFonts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2A475D5E">
            <w:pPr>
              <w:widowControl/>
              <w:jc w:val="left"/>
              <w:rPr>
                <w:rFonts w:ascii="宋体" w:hAnsi="宋体" w:cs="Arial"/>
                <w:kern w:val="0"/>
                <w:szCs w:val="21"/>
              </w:rPr>
            </w:pPr>
          </w:p>
        </w:tc>
      </w:tr>
      <w:tr w14:paraId="4202BBD2">
        <w:tblPrEx>
          <w:tblCellMar>
            <w:top w:w="0" w:type="dxa"/>
            <w:left w:w="108" w:type="dxa"/>
            <w:bottom w:w="0" w:type="dxa"/>
            <w:right w:w="108" w:type="dxa"/>
          </w:tblCellMar>
        </w:tblPrEx>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2FF4DBE3">
            <w:pPr>
              <w:widowControl/>
              <w:jc w:val="center"/>
              <w:rPr>
                <w:rFonts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4B820F9B">
            <w:pPr>
              <w:widowControl/>
              <w:jc w:val="left"/>
              <w:rPr>
                <w:rFonts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7C935ABF">
            <w:pPr>
              <w:widowControl/>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96BABC2">
            <w:pPr>
              <w:widowControl/>
              <w:jc w:val="right"/>
              <w:rPr>
                <w:rFonts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72857488">
            <w:pPr>
              <w:widowControl/>
              <w:jc w:val="right"/>
              <w:rPr>
                <w:rFonts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232F7E16">
            <w:pPr>
              <w:widowControl/>
              <w:jc w:val="right"/>
              <w:rPr>
                <w:rFonts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5B7C940A">
            <w:pPr>
              <w:widowControl/>
              <w:jc w:val="right"/>
              <w:rPr>
                <w:rFonts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1F45C619">
            <w:pPr>
              <w:widowControl/>
              <w:jc w:val="left"/>
              <w:rPr>
                <w:rFonts w:ascii="宋体" w:hAnsi="宋体" w:cs="Arial"/>
                <w:kern w:val="0"/>
                <w:szCs w:val="21"/>
              </w:rPr>
            </w:pPr>
          </w:p>
        </w:tc>
      </w:tr>
      <w:tr w14:paraId="73C49357">
        <w:tblPrEx>
          <w:tblCellMar>
            <w:top w:w="0" w:type="dxa"/>
            <w:left w:w="108" w:type="dxa"/>
            <w:bottom w:w="0" w:type="dxa"/>
            <w:right w:w="108" w:type="dxa"/>
          </w:tblCellMar>
        </w:tblPrEx>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0550E257">
            <w:pPr>
              <w:widowControl/>
              <w:jc w:val="center"/>
              <w:rPr>
                <w:rFonts w:hint="eastAsia"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63D5AE38">
            <w:pPr>
              <w:widowControl/>
              <w:jc w:val="left"/>
              <w:rPr>
                <w:rFonts w:hint="eastAsia"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6B6245DB">
            <w:pPr>
              <w:widowControl/>
              <w:jc w:val="center"/>
              <w:rPr>
                <w:rFonts w:hint="eastAsia"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0BECAD67">
            <w:pPr>
              <w:widowControl/>
              <w:jc w:val="right"/>
              <w:rPr>
                <w:rFonts w:hint="eastAsia"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2D0F0C5C">
            <w:pPr>
              <w:widowControl/>
              <w:jc w:val="right"/>
              <w:rPr>
                <w:rFonts w:hint="eastAsia"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3F8383F5">
            <w:pPr>
              <w:widowControl/>
              <w:jc w:val="right"/>
              <w:rPr>
                <w:rFonts w:hint="eastAsia"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25AD5CEF">
            <w:pPr>
              <w:widowControl/>
              <w:jc w:val="right"/>
              <w:rPr>
                <w:rFonts w:hint="eastAsia"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4F32841E">
            <w:pPr>
              <w:widowControl/>
              <w:jc w:val="left"/>
              <w:rPr>
                <w:rFonts w:hint="eastAsia" w:ascii="宋体" w:hAnsi="宋体" w:cs="Arial"/>
                <w:kern w:val="0"/>
                <w:szCs w:val="21"/>
              </w:rPr>
            </w:pPr>
          </w:p>
        </w:tc>
      </w:tr>
    </w:tbl>
    <w:p w14:paraId="10179CF8">
      <w:pPr>
        <w:rPr>
          <w:rFonts w:hint="eastAsia"/>
        </w:rPr>
      </w:pPr>
    </w:p>
    <w:p w14:paraId="037F6742">
      <w:pPr>
        <w:jc w:val="center"/>
        <w:outlineLvl w:val="2"/>
        <w:rPr>
          <w:sz w:val="28"/>
          <w:szCs w:val="28"/>
        </w:rPr>
      </w:pPr>
      <w:bookmarkStart w:id="528" w:name="_Toc535241144"/>
      <w:r>
        <w:rPr>
          <w:sz w:val="28"/>
          <w:szCs w:val="28"/>
        </w:rPr>
        <w:br w:type="page"/>
      </w:r>
      <w:bookmarkStart w:id="529" w:name="_Toc532910386"/>
      <w:bookmarkStart w:id="530" w:name="_Toc532910666"/>
      <w:bookmarkStart w:id="531" w:name="_Toc518575601"/>
      <w:bookmarkStart w:id="532" w:name="_Toc526759717"/>
      <w:bookmarkStart w:id="533" w:name="_Toc518922054"/>
      <w:r>
        <w:rPr>
          <w:rFonts w:hint="eastAsia"/>
          <w:sz w:val="28"/>
          <w:szCs w:val="28"/>
        </w:rPr>
        <w:t>（十八）招标人推荐的材料品牌响应表</w:t>
      </w:r>
      <w:bookmarkEnd w:id="529"/>
      <w:bookmarkEnd w:id="530"/>
      <w:bookmarkEnd w:id="531"/>
      <w:bookmarkEnd w:id="532"/>
      <w:bookmarkEnd w:id="533"/>
    </w:p>
    <w:p w14:paraId="3B362675">
      <w:pPr>
        <w:spacing w:before="20" w:after="20" w:line="540" w:lineRule="exact"/>
        <w:rPr>
          <w:rFonts w:hint="eastAsia" w:ascii="宋体" w:hAnsi="宋体"/>
          <w:szCs w:val="21"/>
        </w:rPr>
      </w:pPr>
      <w:r>
        <w:rPr>
          <w:rFonts w:hint="eastAsia" w:ascii="宋体" w:hAnsi="宋体"/>
          <w:szCs w:val="21"/>
        </w:rPr>
        <w:t>工程名称：                                              第   页共   页</w:t>
      </w:r>
    </w:p>
    <w:p w14:paraId="0E4EFE32">
      <w:pPr>
        <w:spacing w:before="20" w:after="20" w:line="540" w:lineRule="exact"/>
        <w:jc w:val="center"/>
        <w:outlineLvl w:val="3"/>
        <w:rPr>
          <w:rFonts w:hint="eastAsia" w:ascii="Calibri" w:hAnsi="Calibri"/>
          <w:sz w:val="24"/>
          <w:szCs w:val="22"/>
        </w:rPr>
      </w:pPr>
      <w:r>
        <w:rPr>
          <w:rFonts w:ascii="宋体" w:hAnsi="宋体" w:cs="宋体"/>
          <w:b/>
          <w:szCs w:val="21"/>
        </w:rPr>
        <w:t>品牌推荐表</w:t>
      </w:r>
      <w:r>
        <w:rPr>
          <w:rFonts w:hint="eastAsia" w:ascii="宋体" w:hAnsi="宋体" w:cs="宋体"/>
          <w:b/>
          <w:szCs w:val="21"/>
        </w:rPr>
        <w:t>（如要求）</w:t>
      </w:r>
    </w:p>
    <w:tbl>
      <w:tblPr>
        <w:tblStyle w:val="53"/>
        <w:tblW w:w="0" w:type="auto"/>
        <w:jc w:val="center"/>
        <w:tblLayout w:type="autofit"/>
        <w:tblCellMar>
          <w:top w:w="0" w:type="dxa"/>
          <w:left w:w="108" w:type="dxa"/>
          <w:bottom w:w="0" w:type="dxa"/>
          <w:right w:w="108" w:type="dxa"/>
        </w:tblCellMar>
      </w:tblPr>
      <w:tblGrid>
        <w:gridCol w:w="636"/>
        <w:gridCol w:w="1686"/>
        <w:gridCol w:w="794"/>
        <w:gridCol w:w="794"/>
        <w:gridCol w:w="794"/>
        <w:gridCol w:w="794"/>
        <w:gridCol w:w="636"/>
        <w:gridCol w:w="1686"/>
      </w:tblGrid>
      <w:tr w14:paraId="6461D8B8">
        <w:tblPrEx>
          <w:tblCellMar>
            <w:top w:w="0" w:type="dxa"/>
            <w:left w:w="108" w:type="dxa"/>
            <w:bottom w:w="0" w:type="dxa"/>
            <w:right w:w="108" w:type="dxa"/>
          </w:tblCellMar>
        </w:tblPrEx>
        <w:trPr>
          <w:trHeight w:val="30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CD661D3">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0" w:type="auto"/>
            <w:tcBorders>
              <w:top w:val="single" w:color="auto" w:sz="4" w:space="0"/>
              <w:left w:val="nil"/>
              <w:bottom w:val="single" w:color="auto" w:sz="4" w:space="0"/>
              <w:right w:val="single" w:color="auto" w:sz="4" w:space="0"/>
            </w:tcBorders>
            <w:noWrap w:val="0"/>
            <w:vAlign w:val="center"/>
          </w:tcPr>
          <w:p w14:paraId="301D6CD7">
            <w:pPr>
              <w:widowControl/>
              <w:jc w:val="center"/>
              <w:rPr>
                <w:rFonts w:ascii="黑体" w:hAnsi="黑体" w:eastAsia="黑体" w:cs="Arial"/>
                <w:kern w:val="0"/>
                <w:szCs w:val="21"/>
              </w:rPr>
            </w:pPr>
            <w:r>
              <w:rPr>
                <w:rFonts w:hint="eastAsia" w:ascii="黑体" w:hAnsi="黑体" w:eastAsia="黑体" w:cs="Arial"/>
                <w:kern w:val="0"/>
                <w:szCs w:val="21"/>
              </w:rPr>
              <w:t>材料、设备名称</w:t>
            </w:r>
          </w:p>
        </w:tc>
        <w:tc>
          <w:tcPr>
            <w:tcW w:w="0" w:type="auto"/>
            <w:tcBorders>
              <w:top w:val="single" w:color="auto" w:sz="4" w:space="0"/>
              <w:left w:val="nil"/>
              <w:bottom w:val="single" w:color="auto" w:sz="4" w:space="0"/>
              <w:right w:val="single" w:color="auto" w:sz="4" w:space="0"/>
            </w:tcBorders>
            <w:noWrap w:val="0"/>
            <w:vAlign w:val="center"/>
          </w:tcPr>
          <w:p w14:paraId="44C618CF">
            <w:pPr>
              <w:widowControl/>
              <w:jc w:val="center"/>
              <w:rPr>
                <w:rFonts w:ascii="黑体" w:hAnsi="黑体" w:eastAsia="黑体" w:cs="Arial"/>
                <w:kern w:val="0"/>
                <w:szCs w:val="21"/>
              </w:rPr>
            </w:pPr>
            <w:r>
              <w:rPr>
                <w:rFonts w:hint="eastAsia" w:ascii="黑体" w:hAnsi="黑体" w:eastAsia="黑体" w:cs="Arial"/>
                <w:kern w:val="0"/>
                <w:szCs w:val="21"/>
              </w:rPr>
              <w:t>品牌1</w:t>
            </w:r>
          </w:p>
        </w:tc>
        <w:tc>
          <w:tcPr>
            <w:tcW w:w="0" w:type="auto"/>
            <w:tcBorders>
              <w:top w:val="single" w:color="auto" w:sz="4" w:space="0"/>
              <w:left w:val="nil"/>
              <w:bottom w:val="single" w:color="auto" w:sz="4" w:space="0"/>
              <w:right w:val="single" w:color="auto" w:sz="4" w:space="0"/>
            </w:tcBorders>
            <w:noWrap w:val="0"/>
            <w:vAlign w:val="center"/>
          </w:tcPr>
          <w:p w14:paraId="2F5F9931">
            <w:pPr>
              <w:widowControl/>
              <w:jc w:val="center"/>
              <w:rPr>
                <w:rFonts w:ascii="黑体" w:hAnsi="黑体" w:eastAsia="黑体" w:cs="Arial"/>
                <w:kern w:val="0"/>
                <w:szCs w:val="21"/>
              </w:rPr>
            </w:pPr>
            <w:r>
              <w:rPr>
                <w:rFonts w:hint="eastAsia" w:ascii="黑体" w:hAnsi="黑体" w:eastAsia="黑体" w:cs="Arial"/>
                <w:kern w:val="0"/>
                <w:szCs w:val="21"/>
              </w:rPr>
              <w:t>品牌2</w:t>
            </w:r>
          </w:p>
        </w:tc>
        <w:tc>
          <w:tcPr>
            <w:tcW w:w="0" w:type="auto"/>
            <w:tcBorders>
              <w:top w:val="single" w:color="auto" w:sz="4" w:space="0"/>
              <w:left w:val="nil"/>
              <w:bottom w:val="single" w:color="auto" w:sz="4" w:space="0"/>
              <w:right w:val="single" w:color="auto" w:sz="4" w:space="0"/>
            </w:tcBorders>
            <w:noWrap w:val="0"/>
            <w:vAlign w:val="center"/>
          </w:tcPr>
          <w:p w14:paraId="09EBAAEB">
            <w:pPr>
              <w:widowControl/>
              <w:jc w:val="center"/>
              <w:rPr>
                <w:rFonts w:ascii="黑体" w:hAnsi="黑体" w:eastAsia="黑体" w:cs="Arial"/>
                <w:kern w:val="0"/>
                <w:szCs w:val="21"/>
              </w:rPr>
            </w:pPr>
            <w:r>
              <w:rPr>
                <w:rFonts w:hint="eastAsia" w:ascii="黑体" w:hAnsi="黑体" w:eastAsia="黑体" w:cs="Arial"/>
                <w:kern w:val="0"/>
                <w:szCs w:val="21"/>
              </w:rPr>
              <w:t>品牌3</w:t>
            </w:r>
          </w:p>
        </w:tc>
        <w:tc>
          <w:tcPr>
            <w:tcW w:w="0" w:type="auto"/>
            <w:tcBorders>
              <w:top w:val="single" w:color="auto" w:sz="4" w:space="0"/>
              <w:left w:val="nil"/>
              <w:bottom w:val="single" w:color="auto" w:sz="4" w:space="0"/>
              <w:right w:val="single" w:color="auto" w:sz="4" w:space="0"/>
            </w:tcBorders>
            <w:noWrap w:val="0"/>
            <w:vAlign w:val="center"/>
          </w:tcPr>
          <w:p w14:paraId="41669A76">
            <w:pPr>
              <w:widowControl/>
              <w:jc w:val="center"/>
              <w:rPr>
                <w:rFonts w:ascii="黑体" w:hAnsi="黑体" w:eastAsia="黑体" w:cs="Arial"/>
                <w:kern w:val="0"/>
                <w:szCs w:val="21"/>
              </w:rPr>
            </w:pPr>
            <w:r>
              <w:rPr>
                <w:rFonts w:hint="eastAsia" w:ascii="黑体" w:hAnsi="黑体" w:eastAsia="黑体" w:cs="Arial"/>
                <w:kern w:val="0"/>
                <w:szCs w:val="21"/>
              </w:rPr>
              <w:t>品牌4</w:t>
            </w:r>
          </w:p>
        </w:tc>
        <w:tc>
          <w:tcPr>
            <w:tcW w:w="0" w:type="auto"/>
            <w:tcBorders>
              <w:top w:val="single" w:color="auto" w:sz="4" w:space="0"/>
              <w:left w:val="nil"/>
              <w:bottom w:val="single" w:color="auto" w:sz="4" w:space="0"/>
              <w:right w:val="single" w:color="auto" w:sz="4" w:space="0"/>
            </w:tcBorders>
            <w:noWrap w:val="0"/>
            <w:vAlign w:val="center"/>
          </w:tcPr>
          <w:p w14:paraId="41F87DBA">
            <w:pPr>
              <w:widowControl/>
              <w:jc w:val="center"/>
              <w:rPr>
                <w:rFonts w:ascii="黑体" w:hAnsi="黑体" w:eastAsia="黑体" w:cs="Arial"/>
                <w:kern w:val="0"/>
                <w:szCs w:val="21"/>
              </w:rPr>
            </w:pPr>
            <w:r>
              <w:rPr>
                <w:rFonts w:hint="eastAsia" w:ascii="黑体" w:hAnsi="黑体" w:eastAsia="黑体" w:cs="Arial"/>
                <w:kern w:val="0"/>
                <w:szCs w:val="21"/>
              </w:rPr>
              <w:t>备注</w:t>
            </w:r>
          </w:p>
        </w:tc>
        <w:tc>
          <w:tcPr>
            <w:tcW w:w="0" w:type="auto"/>
            <w:tcBorders>
              <w:top w:val="single" w:color="auto" w:sz="4" w:space="0"/>
              <w:left w:val="nil"/>
              <w:bottom w:val="single" w:color="auto" w:sz="4" w:space="0"/>
              <w:right w:val="single" w:color="auto" w:sz="4" w:space="0"/>
            </w:tcBorders>
            <w:noWrap w:val="0"/>
            <w:vAlign w:val="top"/>
          </w:tcPr>
          <w:p w14:paraId="7358F6F1">
            <w:pPr>
              <w:widowControl/>
              <w:jc w:val="center"/>
              <w:rPr>
                <w:rFonts w:hint="eastAsia" w:ascii="黑体" w:hAnsi="黑体" w:eastAsia="黑体" w:cs="Arial"/>
                <w:kern w:val="0"/>
                <w:szCs w:val="21"/>
              </w:rPr>
            </w:pPr>
            <w:r>
              <w:rPr>
                <w:rFonts w:hint="eastAsia" w:ascii="黑体" w:hAnsi="黑体" w:eastAsia="黑体" w:cs="Arial"/>
                <w:kern w:val="0"/>
                <w:szCs w:val="21"/>
              </w:rPr>
              <w:t>投标人选定品牌</w:t>
            </w:r>
          </w:p>
        </w:tc>
      </w:tr>
      <w:tr w14:paraId="46CAE1E7">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1F1E4D1">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nil"/>
              <w:left w:val="nil"/>
              <w:bottom w:val="single" w:color="auto" w:sz="4" w:space="0"/>
              <w:right w:val="single" w:color="auto" w:sz="4" w:space="0"/>
            </w:tcBorders>
            <w:noWrap w:val="0"/>
            <w:vAlign w:val="center"/>
          </w:tcPr>
          <w:p w14:paraId="604630B9">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D7AA1ED">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9E29422">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ED40B26">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CF10428">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7F512C99">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54445458">
            <w:pPr>
              <w:widowControl/>
              <w:rPr>
                <w:rFonts w:hint="eastAsia" w:ascii="宋体" w:hAnsi="宋体" w:cs="宋体"/>
                <w:kern w:val="0"/>
                <w:szCs w:val="21"/>
              </w:rPr>
            </w:pPr>
          </w:p>
        </w:tc>
      </w:tr>
      <w:tr w14:paraId="29187B10">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688A3FF2">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nil"/>
              <w:left w:val="nil"/>
              <w:bottom w:val="single" w:color="auto" w:sz="4" w:space="0"/>
              <w:right w:val="single" w:color="auto" w:sz="4" w:space="0"/>
            </w:tcBorders>
            <w:noWrap w:val="0"/>
            <w:vAlign w:val="center"/>
          </w:tcPr>
          <w:p w14:paraId="38EAD5E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3319DC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927F0F9">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4C1415F">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4F3ACF7">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55CB8E49">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2BD1AAE2">
            <w:pPr>
              <w:widowControl/>
              <w:rPr>
                <w:rFonts w:hint="eastAsia" w:ascii="宋体" w:hAnsi="宋体" w:cs="宋体"/>
                <w:kern w:val="0"/>
                <w:szCs w:val="21"/>
              </w:rPr>
            </w:pPr>
          </w:p>
        </w:tc>
      </w:tr>
      <w:tr w14:paraId="63E80E58">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45B158C">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nil"/>
              <w:left w:val="nil"/>
              <w:bottom w:val="single" w:color="auto" w:sz="4" w:space="0"/>
              <w:right w:val="single" w:color="auto" w:sz="4" w:space="0"/>
            </w:tcBorders>
            <w:noWrap w:val="0"/>
            <w:vAlign w:val="center"/>
          </w:tcPr>
          <w:p w14:paraId="16D36518">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A1CE74C">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AE25EE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BB35C8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532F1F5">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73236842">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B2A903C">
            <w:pPr>
              <w:widowControl/>
              <w:rPr>
                <w:rFonts w:hint="eastAsia" w:ascii="宋体" w:hAnsi="宋体" w:cs="宋体"/>
                <w:kern w:val="0"/>
                <w:szCs w:val="21"/>
              </w:rPr>
            </w:pPr>
          </w:p>
        </w:tc>
      </w:tr>
      <w:tr w14:paraId="35406517">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BDB6F4E">
            <w:pPr>
              <w:widowControl/>
              <w:jc w:val="center"/>
              <w:rPr>
                <w:rFonts w:ascii="宋体" w:hAnsi="宋体" w:cs="宋体"/>
                <w:kern w:val="0"/>
                <w:szCs w:val="21"/>
              </w:rPr>
            </w:pPr>
            <w:r>
              <w:rPr>
                <w:rFonts w:hint="eastAsia" w:ascii="宋体" w:hAnsi="宋体" w:cs="宋体"/>
                <w:kern w:val="0"/>
                <w:szCs w:val="21"/>
              </w:rPr>
              <w:t>4</w:t>
            </w:r>
          </w:p>
        </w:tc>
        <w:tc>
          <w:tcPr>
            <w:tcW w:w="0" w:type="auto"/>
            <w:tcBorders>
              <w:top w:val="nil"/>
              <w:left w:val="nil"/>
              <w:bottom w:val="single" w:color="auto" w:sz="4" w:space="0"/>
              <w:right w:val="single" w:color="auto" w:sz="4" w:space="0"/>
            </w:tcBorders>
            <w:noWrap w:val="0"/>
            <w:vAlign w:val="center"/>
          </w:tcPr>
          <w:p w14:paraId="515B41B1">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6D93A9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A28CD1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A79E171">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4032F1C">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3F3B9C7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C7FB314">
            <w:pPr>
              <w:widowControl/>
              <w:rPr>
                <w:rFonts w:hint="eastAsia" w:ascii="宋体" w:hAnsi="宋体" w:cs="宋体"/>
                <w:kern w:val="0"/>
                <w:szCs w:val="21"/>
              </w:rPr>
            </w:pPr>
          </w:p>
        </w:tc>
      </w:tr>
      <w:tr w14:paraId="6CA7A7C4">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1AC0092">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nil"/>
              <w:left w:val="nil"/>
              <w:bottom w:val="single" w:color="auto" w:sz="4" w:space="0"/>
              <w:right w:val="single" w:color="auto" w:sz="4" w:space="0"/>
            </w:tcBorders>
            <w:noWrap w:val="0"/>
            <w:vAlign w:val="center"/>
          </w:tcPr>
          <w:p w14:paraId="08F8615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7A8DDB4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3A4EEB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3A33468">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709F89E">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6148FC3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59F8D62">
            <w:pPr>
              <w:widowControl/>
              <w:rPr>
                <w:rFonts w:hint="eastAsia" w:ascii="宋体" w:hAnsi="宋体" w:cs="宋体"/>
                <w:kern w:val="0"/>
                <w:szCs w:val="21"/>
              </w:rPr>
            </w:pPr>
          </w:p>
        </w:tc>
      </w:tr>
      <w:tr w14:paraId="4D442D05">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4C93DE2F">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nil"/>
              <w:left w:val="nil"/>
              <w:bottom w:val="single" w:color="auto" w:sz="4" w:space="0"/>
              <w:right w:val="single" w:color="auto" w:sz="4" w:space="0"/>
            </w:tcBorders>
            <w:noWrap w:val="0"/>
            <w:vAlign w:val="center"/>
          </w:tcPr>
          <w:p w14:paraId="63DCD4F3">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65F8B4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1A64775">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57A99DC">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0AE24A2">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15B11736">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E828EDF">
            <w:pPr>
              <w:widowControl/>
              <w:rPr>
                <w:rFonts w:hint="eastAsia" w:ascii="宋体" w:hAnsi="宋体" w:cs="宋体"/>
                <w:kern w:val="0"/>
                <w:szCs w:val="21"/>
              </w:rPr>
            </w:pPr>
          </w:p>
        </w:tc>
      </w:tr>
      <w:tr w14:paraId="7B37DA85">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BCECA32">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09D5FE3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234B620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BA2ADA1">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4B94689">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1F32AB4">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46EAB473">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956412F">
            <w:pPr>
              <w:widowControl/>
              <w:rPr>
                <w:rFonts w:hint="eastAsia" w:ascii="宋体" w:hAnsi="宋体" w:cs="宋体"/>
                <w:kern w:val="0"/>
                <w:szCs w:val="21"/>
              </w:rPr>
            </w:pPr>
          </w:p>
        </w:tc>
      </w:tr>
      <w:tr w14:paraId="1B1D6CF2">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091C779B">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76628C8A">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48F874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552EDC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FB8F7BF">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FB95DF9">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22800FED">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6967CB28">
            <w:pPr>
              <w:widowControl/>
              <w:rPr>
                <w:rFonts w:hint="eastAsia" w:ascii="宋体" w:hAnsi="宋体" w:cs="宋体"/>
                <w:kern w:val="0"/>
                <w:szCs w:val="21"/>
              </w:rPr>
            </w:pPr>
          </w:p>
        </w:tc>
      </w:tr>
      <w:tr w14:paraId="380D0F14">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78234D9C">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30FC607">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0F2AFB0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CC96C2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65A0AB4">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A0E224E">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13CB3746">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957C662">
            <w:pPr>
              <w:widowControl/>
              <w:rPr>
                <w:rFonts w:hint="eastAsia" w:ascii="宋体" w:hAnsi="宋体" w:cs="宋体"/>
                <w:kern w:val="0"/>
                <w:szCs w:val="21"/>
              </w:rPr>
            </w:pPr>
          </w:p>
        </w:tc>
      </w:tr>
      <w:tr w14:paraId="7EF2D31E">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B55026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47F114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79F07C52">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F99A6FD">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51D204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8859484">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527FCA78">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4DB1E423">
            <w:pPr>
              <w:widowControl/>
              <w:rPr>
                <w:rFonts w:hint="eastAsia" w:ascii="宋体" w:hAnsi="宋体" w:cs="宋体"/>
                <w:kern w:val="0"/>
                <w:szCs w:val="21"/>
              </w:rPr>
            </w:pPr>
          </w:p>
        </w:tc>
      </w:tr>
      <w:tr w14:paraId="2EFF12D9">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03FC4607">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38B3A1E5">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9F2193F">
            <w:pPr>
              <w:rPr>
                <w:rFonts w:hint="eastAsia"/>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56A2775">
            <w:pPr>
              <w:rPr>
                <w:rFonts w:hint="eastAsia"/>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2767824">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50EB12B">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026FAAF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0660FAE0">
            <w:pPr>
              <w:widowControl/>
              <w:rPr>
                <w:rFonts w:hint="eastAsia" w:ascii="宋体" w:hAnsi="宋体" w:cs="宋体"/>
                <w:kern w:val="0"/>
                <w:szCs w:val="21"/>
              </w:rPr>
            </w:pPr>
          </w:p>
        </w:tc>
      </w:tr>
      <w:tr w14:paraId="3ECE0963">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DF456F3">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0B8E6C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2C95BDD">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B389CB6">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55065F4">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A162118">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1C53B6E0">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9D07418">
            <w:pPr>
              <w:widowControl/>
              <w:rPr>
                <w:rFonts w:hint="eastAsia" w:ascii="宋体" w:hAnsi="宋体" w:cs="宋体"/>
                <w:kern w:val="0"/>
                <w:szCs w:val="21"/>
              </w:rPr>
            </w:pPr>
          </w:p>
        </w:tc>
      </w:tr>
      <w:tr w14:paraId="666F65EF">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6FEA50B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4177AE91">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2B027A4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DB2096C">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E9D1C11">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31E3FA1">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54AF0E5E">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66D2F7B7">
            <w:pPr>
              <w:widowControl/>
              <w:rPr>
                <w:rFonts w:hint="eastAsia" w:ascii="宋体" w:hAnsi="宋体" w:cs="宋体"/>
                <w:kern w:val="0"/>
                <w:szCs w:val="21"/>
              </w:rPr>
            </w:pPr>
          </w:p>
        </w:tc>
      </w:tr>
      <w:tr w14:paraId="0DC425AE">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CF5B28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382834F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CBB1250">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73391F7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F2FCC0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364F3DC0">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3CA8BD97">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5735DC0B">
            <w:pPr>
              <w:widowControl/>
              <w:rPr>
                <w:rFonts w:hint="eastAsia" w:ascii="宋体" w:hAnsi="宋体" w:cs="宋体"/>
                <w:kern w:val="0"/>
                <w:szCs w:val="21"/>
              </w:rPr>
            </w:pPr>
          </w:p>
        </w:tc>
      </w:tr>
      <w:tr w14:paraId="4D7E6BF0">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D339223">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5B46A3C">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683C0F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34AC122F">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6F30E7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524845F2">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764E2FD4">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0433B609">
            <w:pPr>
              <w:widowControl/>
              <w:rPr>
                <w:rFonts w:hint="eastAsia" w:ascii="宋体" w:hAnsi="宋体" w:cs="宋体"/>
                <w:kern w:val="0"/>
                <w:szCs w:val="21"/>
              </w:rPr>
            </w:pPr>
          </w:p>
        </w:tc>
      </w:tr>
      <w:tr w14:paraId="447DF4D2">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9C7F68A">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60E55DA0">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EA8525C">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20AA486">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8A22A00">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2AE5F8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E2968FE">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top"/>
          </w:tcPr>
          <w:p w14:paraId="33B3C3C2">
            <w:pPr>
              <w:widowControl/>
              <w:rPr>
                <w:rFonts w:hint="eastAsia" w:ascii="宋体" w:hAnsi="宋体" w:cs="宋体"/>
                <w:kern w:val="0"/>
                <w:szCs w:val="21"/>
              </w:rPr>
            </w:pPr>
          </w:p>
        </w:tc>
      </w:tr>
    </w:tbl>
    <w:p w14:paraId="3C17FB70">
      <w:pPr>
        <w:adjustRightInd w:val="0"/>
        <w:snapToGrid w:val="0"/>
        <w:spacing w:line="360" w:lineRule="auto"/>
        <w:jc w:val="left"/>
        <w:rPr>
          <w:rFonts w:hint="eastAsia" w:ascii="仿宋_GB2312" w:hAnsi="宋体"/>
          <w:szCs w:val="18"/>
        </w:rPr>
      </w:pPr>
      <w:r>
        <w:rPr>
          <w:rFonts w:hint="eastAsia" w:ascii="仿宋_GB2312" w:hAnsi="宋体"/>
          <w:szCs w:val="18"/>
        </w:rPr>
        <w:t>注：</w:t>
      </w:r>
    </w:p>
    <w:p w14:paraId="0C6A5E27">
      <w:pPr>
        <w:spacing w:line="360" w:lineRule="auto"/>
        <w:ind w:firstLine="420" w:firstLineChars="200"/>
        <w:jc w:val="left"/>
        <w:rPr>
          <w:rFonts w:hint="eastAsia" w:ascii="宋体" w:hAnsi="宋体" w:cs="仿宋"/>
          <w:bCs/>
          <w:szCs w:val="18"/>
        </w:rPr>
      </w:pPr>
      <w:r>
        <w:rPr>
          <w:rFonts w:hint="eastAsia" w:ascii="宋体" w:hAnsi="宋体" w:cs="仿宋"/>
          <w:bCs/>
          <w:szCs w:val="18"/>
        </w:rPr>
        <w:t>1. 本表仅针对不采用招标人推荐品牌，采用其他品牌的投标人填写，并注明并提供相关技术参数、业绩等供评标委员会评审，未在上表中注明且未提供相关技术参数、业绩，或经评标委员会评审未通过的，中标后只能从招标人推荐品牌中进行选择，价格不予调整。</w:t>
      </w:r>
    </w:p>
    <w:p w14:paraId="526A6C95">
      <w:pPr>
        <w:spacing w:line="360" w:lineRule="auto"/>
        <w:ind w:firstLine="420" w:firstLineChars="200"/>
        <w:jc w:val="left"/>
        <w:rPr>
          <w:rFonts w:ascii="宋体" w:hAnsi="宋体" w:cs="宋体"/>
          <w:b/>
          <w:szCs w:val="18"/>
          <w:lang w:val="zh-CN"/>
        </w:rPr>
      </w:pPr>
      <w:r>
        <w:rPr>
          <w:rFonts w:hint="eastAsia" w:ascii="宋体" w:hAnsi="宋体" w:cs="仿宋"/>
          <w:bCs/>
          <w:szCs w:val="18"/>
        </w:rPr>
        <w:t>2. 对于招标人推荐品牌的材料、设备等，投标人如认为招标人推荐的品牌有限定性、唯一性、明显不在同一档次等级的或者其他疑问的，应在本项目澄清提出的截止时间前通过电子交易系统提交。</w:t>
      </w:r>
    </w:p>
    <w:p w14:paraId="0664D12D">
      <w:pPr>
        <w:jc w:val="center"/>
        <w:outlineLvl w:val="2"/>
        <w:rPr>
          <w:rFonts w:hint="eastAsia"/>
          <w:sz w:val="28"/>
          <w:szCs w:val="28"/>
        </w:rPr>
      </w:pPr>
      <w:r>
        <w:rPr>
          <w:rFonts w:ascii="宋体" w:hAnsi="宋体" w:cs="宋体"/>
          <w:b/>
          <w:sz w:val="18"/>
          <w:szCs w:val="18"/>
          <w:lang w:val="zh-CN"/>
        </w:rPr>
        <w:br w:type="page"/>
      </w:r>
      <w:r>
        <w:rPr>
          <w:rFonts w:hint="eastAsia"/>
          <w:sz w:val="28"/>
          <w:szCs w:val="28"/>
        </w:rPr>
        <w:t>（十九）降低投标报价说明、证明材料</w:t>
      </w:r>
      <w:bookmarkEnd w:id="526"/>
      <w:bookmarkEnd w:id="527"/>
      <w:bookmarkEnd w:id="528"/>
    </w:p>
    <w:p w14:paraId="0C9188D1">
      <w:pPr>
        <w:jc w:val="center"/>
        <w:rPr>
          <w:rFonts w:hint="eastAsia" w:ascii="宋体" w:hAnsi="宋体"/>
          <w:kern w:val="0"/>
          <w:sz w:val="30"/>
          <w:szCs w:val="22"/>
        </w:rPr>
      </w:pPr>
    </w:p>
    <w:tbl>
      <w:tblPr>
        <w:tblStyle w:val="5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09"/>
      </w:tblGrid>
      <w:tr w14:paraId="2B76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4" w:hRule="atLeast"/>
          <w:jc w:val="center"/>
        </w:trPr>
        <w:tc>
          <w:tcPr>
            <w:tcW w:w="5000" w:type="pct"/>
            <w:noWrap w:val="0"/>
            <w:vAlign w:val="top"/>
          </w:tcPr>
          <w:p w14:paraId="62AC8811">
            <w:pPr>
              <w:spacing w:before="20" w:after="20" w:line="540" w:lineRule="exact"/>
              <w:rPr>
                <w:rFonts w:hint="eastAsia" w:ascii="宋体" w:hAnsi="宋体"/>
                <w:sz w:val="24"/>
                <w:szCs w:val="22"/>
              </w:rPr>
            </w:pPr>
          </w:p>
        </w:tc>
      </w:tr>
    </w:tbl>
    <w:p w14:paraId="245D917F">
      <w:pPr>
        <w:spacing w:line="360" w:lineRule="auto"/>
        <w:ind w:firstLine="420" w:firstLineChars="200"/>
        <w:jc w:val="left"/>
        <w:rPr>
          <w:rFonts w:ascii="宋体" w:hAnsi="宋体" w:cs="仿宋"/>
          <w:bCs/>
          <w:szCs w:val="18"/>
        </w:rPr>
      </w:pPr>
      <w:r>
        <w:rPr>
          <w:rFonts w:hint="eastAsia" w:ascii="宋体" w:hAnsi="宋体"/>
          <w:szCs w:val="21"/>
        </w:rPr>
        <w:t>1. 本</w:t>
      </w:r>
      <w:r>
        <w:rPr>
          <w:rFonts w:hint="eastAsia" w:ascii="宋体" w:hAnsi="宋体" w:cs="仿宋"/>
          <w:bCs/>
          <w:szCs w:val="18"/>
        </w:rPr>
        <w:t>项资料格式不作统一规定，由投标人自行设计。投标人根据其报价情况，自行确定是否提供。</w:t>
      </w:r>
    </w:p>
    <w:p w14:paraId="0B36C8BE">
      <w:pPr>
        <w:spacing w:line="360" w:lineRule="auto"/>
        <w:ind w:firstLine="420" w:firstLineChars="200"/>
        <w:jc w:val="left"/>
        <w:rPr>
          <w:rFonts w:hint="eastAsia" w:ascii="宋体" w:hAnsi="宋体" w:cs="仿宋"/>
          <w:bCs/>
          <w:szCs w:val="18"/>
        </w:rPr>
      </w:pPr>
      <w:r>
        <w:rPr>
          <w:rFonts w:hint="eastAsia" w:ascii="宋体" w:hAnsi="宋体" w:cs="仿宋"/>
          <w:bCs/>
          <w:szCs w:val="18"/>
        </w:rPr>
        <w:t>2. 本项资料包括在人工、材料、机械消耗量、价格、施工措施、方案及其他方面有降低工程造价的相关证明资料。</w:t>
      </w:r>
    </w:p>
    <w:p w14:paraId="0BF5DCA6">
      <w:pPr>
        <w:spacing w:line="360" w:lineRule="auto"/>
        <w:ind w:firstLine="420" w:firstLineChars="200"/>
        <w:jc w:val="left"/>
        <w:rPr>
          <w:rFonts w:hint="eastAsia" w:ascii="宋体" w:hAnsi="宋体"/>
          <w:szCs w:val="21"/>
        </w:rPr>
      </w:pPr>
      <w:r>
        <w:rPr>
          <w:rFonts w:hint="eastAsia" w:ascii="宋体" w:hAnsi="宋体" w:cs="仿宋"/>
          <w:bCs/>
          <w:szCs w:val="18"/>
        </w:rPr>
        <w:t>3. 投标</w:t>
      </w:r>
      <w:r>
        <w:rPr>
          <w:rFonts w:hint="eastAsia" w:ascii="宋体" w:hAnsi="宋体"/>
          <w:szCs w:val="21"/>
        </w:rPr>
        <w:t>人在制作投标文件时该页可放置在商务文件：投标所需证明材料中。</w:t>
      </w:r>
    </w:p>
    <w:p w14:paraId="62614E7C">
      <w:pPr>
        <w:rPr>
          <w:rFonts w:hint="eastAsia"/>
        </w:rPr>
      </w:pPr>
    </w:p>
    <w:p w14:paraId="4FF0502A">
      <w:pPr>
        <w:rPr>
          <w:sz w:val="28"/>
          <w:szCs w:val="28"/>
        </w:rPr>
      </w:pPr>
      <w:bookmarkStart w:id="534" w:name="_Toc460227139"/>
      <w:bookmarkStart w:id="535" w:name="_Toc460660254"/>
      <w:bookmarkStart w:id="536" w:name="_Toc535241145"/>
    </w:p>
    <w:p w14:paraId="3478F48A">
      <w:pPr>
        <w:jc w:val="center"/>
        <w:rPr>
          <w:rFonts w:hint="eastAsia"/>
        </w:rPr>
      </w:pPr>
      <w:r>
        <w:br w:type="page"/>
      </w:r>
    </w:p>
    <w:p w14:paraId="2657B954">
      <w:pPr>
        <w:jc w:val="center"/>
        <w:outlineLvl w:val="2"/>
        <w:rPr>
          <w:rFonts w:hint="eastAsia"/>
          <w:sz w:val="28"/>
          <w:szCs w:val="28"/>
        </w:rPr>
      </w:pPr>
      <w:r>
        <w:rPr>
          <w:rFonts w:hint="eastAsia"/>
          <w:sz w:val="28"/>
          <w:szCs w:val="28"/>
        </w:rPr>
        <w:t>（二十）投标报价需要说明的其他资料</w:t>
      </w:r>
      <w:bookmarkEnd w:id="520"/>
      <w:bookmarkEnd w:id="521"/>
      <w:bookmarkEnd w:id="522"/>
      <w:bookmarkEnd w:id="523"/>
      <w:bookmarkEnd w:id="524"/>
      <w:bookmarkEnd w:id="534"/>
      <w:bookmarkEnd w:id="535"/>
      <w:bookmarkEnd w:id="536"/>
    </w:p>
    <w:p w14:paraId="2CEF87E0">
      <w:pPr>
        <w:jc w:val="center"/>
        <w:rPr>
          <w:rFonts w:hint="eastAsia"/>
          <w:sz w:val="28"/>
          <w:szCs w:val="28"/>
        </w:rPr>
      </w:pPr>
    </w:p>
    <w:p w14:paraId="3418D96E">
      <w:pPr>
        <w:spacing w:line="360" w:lineRule="auto"/>
        <w:ind w:firstLine="420" w:firstLineChars="200"/>
        <w:jc w:val="left"/>
        <w:rPr>
          <w:rFonts w:hint="eastAsia" w:ascii="宋体" w:hAnsi="宋体" w:cs="仿宋"/>
          <w:bCs/>
          <w:szCs w:val="18"/>
        </w:rPr>
      </w:pPr>
      <w:r>
        <w:rPr>
          <w:rFonts w:hint="eastAsia" w:ascii="宋体" w:hAnsi="宋体"/>
          <w:szCs w:val="21"/>
        </w:rPr>
        <w:t>投标人认为</w:t>
      </w:r>
      <w:r>
        <w:rPr>
          <w:rFonts w:hint="eastAsia" w:ascii="宋体" w:hAnsi="宋体" w:cs="仿宋"/>
          <w:bCs/>
          <w:szCs w:val="18"/>
        </w:rPr>
        <w:t>需对其投标报价进行其他补充说明及证明材料。</w:t>
      </w:r>
    </w:p>
    <w:p w14:paraId="2DF4C254">
      <w:pPr>
        <w:spacing w:line="360" w:lineRule="auto"/>
        <w:ind w:firstLine="420" w:firstLineChars="200"/>
        <w:jc w:val="left"/>
        <w:rPr>
          <w:rFonts w:hint="eastAsia" w:ascii="宋体" w:hAnsi="宋体"/>
          <w:szCs w:val="21"/>
        </w:rPr>
      </w:pPr>
      <w:r>
        <w:rPr>
          <w:rFonts w:hint="eastAsia" w:ascii="宋体" w:hAnsi="宋体" w:cs="仿宋"/>
          <w:bCs/>
          <w:szCs w:val="18"/>
        </w:rPr>
        <w:t>投标人在制作</w:t>
      </w:r>
      <w:r>
        <w:rPr>
          <w:rFonts w:hint="eastAsia" w:ascii="宋体" w:hAnsi="宋体"/>
          <w:szCs w:val="21"/>
        </w:rPr>
        <w:t>投标文件时该页可放置在报价文件：投标所需证明材料中。</w:t>
      </w:r>
    </w:p>
    <w:p w14:paraId="28B2D7E4">
      <w:pPr>
        <w:spacing w:line="500" w:lineRule="exact"/>
        <w:ind w:left="313" w:leftChars="149"/>
        <w:rPr>
          <w:rFonts w:hint="eastAsia" w:ascii="宋体" w:hAnsi="宋体"/>
          <w:b/>
          <w:color w:val="000000"/>
          <w:sz w:val="24"/>
        </w:rPr>
      </w:pPr>
      <w:r>
        <w:rPr>
          <w:rFonts w:ascii="宋体" w:hAnsi="宋体"/>
          <w:b/>
          <w:bCs/>
          <w:kern w:val="0"/>
          <w:sz w:val="32"/>
          <w:szCs w:val="32"/>
        </w:rPr>
        <w:br w:type="page"/>
      </w:r>
    </w:p>
    <w:p w14:paraId="5BBAE182">
      <w:pPr>
        <w:rPr>
          <w:rFonts w:hint="eastAsia"/>
        </w:rPr>
      </w:pPr>
    </w:p>
    <w:p w14:paraId="07075F4B">
      <w:pPr>
        <w:pStyle w:val="3"/>
        <w:spacing w:before="0" w:after="0" w:line="240" w:lineRule="auto"/>
        <w:ind w:firstLine="0"/>
        <w:rPr>
          <w:rFonts w:hint="eastAsia" w:ascii="宋体" w:hAnsi="宋体" w:eastAsia="宋体"/>
          <w:szCs w:val="36"/>
          <w:highlight w:val="none"/>
        </w:rPr>
      </w:pPr>
    </w:p>
    <w:bookmarkEnd w:id="36"/>
    <w:bookmarkEnd w:id="37"/>
    <w:bookmarkEnd w:id="38"/>
    <w:p w14:paraId="39214A49">
      <w:pPr>
        <w:spacing w:line="500" w:lineRule="exact"/>
        <w:rPr>
          <w:rFonts w:hint="eastAsia" w:ascii="宋体" w:hAnsi="宋体"/>
          <w:b/>
          <w:color w:val="000000"/>
          <w:sz w:val="24"/>
          <w:highlight w:val="none"/>
        </w:rPr>
      </w:pPr>
    </w:p>
    <w:sectPr>
      <w:headerReference r:id="rId14" w:type="default"/>
      <w:footerReference r:id="rId15" w:type="default"/>
      <w:pgSz w:w="11907" w:h="16840"/>
      <w:pgMar w:top="1440" w:right="567" w:bottom="1440" w:left="1247"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楷体简">
    <w:panose1 w:val="02010609000101010101"/>
    <w:charset w:val="86"/>
    <w:family w:val="auto"/>
    <w:pitch w:val="default"/>
    <w:sig w:usb0="00000001" w:usb1="080E0800" w:usb2="00000002"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宋体-18030">
    <w:altName w:val="Arial Unicode MS"/>
    <w:panose1 w:val="02010609060101010101"/>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0C75">
    <w:pPr>
      <w:pStyle w:val="33"/>
      <w:jc w:val="center"/>
    </w:pPr>
    <w:r>
      <w:fldChar w:fldCharType="begin"/>
    </w:r>
    <w:r>
      <w:instrText xml:space="preserve">PAGE   \* MERGEFORMAT</w:instrText>
    </w:r>
    <w:r>
      <w:fldChar w:fldCharType="separate"/>
    </w:r>
    <w:r>
      <w:rPr>
        <w:lang w:val="zh-CN"/>
      </w:rPr>
      <w:t>3</w:t>
    </w:r>
    <w:r>
      <w:fldChar w:fldCharType="end"/>
    </w:r>
  </w:p>
  <w:p w14:paraId="629FBA54">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5E00">
    <w:pPr>
      <w:pStyle w:val="33"/>
      <w:framePr w:wrap="around" w:vAnchor="text" w:hAnchor="margin" w:xAlign="center" w:y="1"/>
      <w:rPr>
        <w:rStyle w:val="56"/>
      </w:rPr>
    </w:pPr>
    <w:r>
      <w:fldChar w:fldCharType="begin"/>
    </w:r>
    <w:r>
      <w:rPr>
        <w:rStyle w:val="56"/>
      </w:rPr>
      <w:instrText xml:space="preserve">PAGE  </w:instrText>
    </w:r>
    <w:r>
      <w:fldChar w:fldCharType="separate"/>
    </w:r>
    <w:r>
      <w:fldChar w:fldCharType="end"/>
    </w:r>
  </w:p>
  <w:p w14:paraId="4A03381F">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5CEE">
    <w:pPr>
      <w:pStyle w:val="33"/>
      <w:jc w:val="center"/>
    </w:pPr>
    <w:r>
      <w:fldChar w:fldCharType="begin"/>
    </w:r>
    <w:r>
      <w:instrText xml:space="preserve">PAGE   \* MERGEFORMAT</w:instrText>
    </w:r>
    <w:r>
      <w:fldChar w:fldCharType="separate"/>
    </w:r>
    <w:r>
      <w:rPr>
        <w:lang w:val="zh-CN"/>
      </w:rPr>
      <w:t>96</w:t>
    </w:r>
    <w:r>
      <w:fldChar w:fldCharType="end"/>
    </w:r>
  </w:p>
  <w:p w14:paraId="4CBD9A31">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CBBA">
    <w:pPr>
      <w:pStyle w:val="33"/>
      <w:framePr w:wrap="around" w:vAnchor="text" w:hAnchor="margin" w:xAlign="center" w:y="1"/>
      <w:rPr>
        <w:rStyle w:val="56"/>
      </w:rPr>
    </w:pPr>
    <w:r>
      <w:fldChar w:fldCharType="begin"/>
    </w:r>
    <w:r>
      <w:rPr>
        <w:rStyle w:val="56"/>
        <w:highlight w:val="white"/>
      </w:rPr>
      <w:instrText xml:space="preserve">PAGE  </w:instrText>
    </w:r>
    <w:r>
      <w:fldChar w:fldCharType="separate"/>
    </w:r>
    <w:r>
      <w:rPr>
        <w:rStyle w:val="56"/>
        <w:highlight w:val="white"/>
      </w:rPr>
      <w:t>1</w:t>
    </w:r>
    <w:r>
      <w:fldChar w:fldCharType="end"/>
    </w:r>
  </w:p>
  <w:p w14:paraId="3A28A9E6">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BC7A">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756B">
    <w:pPr>
      <w:pStyle w:val="33"/>
      <w:jc w:val="center"/>
      <w:rPr>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47B707">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7447B707">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8A7E8">
                          <w:pPr>
                            <w:pStyle w:val="33"/>
                            <w:jc w:val="center"/>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F68A7E8">
                    <w:pPr>
                      <w:pStyle w:val="33"/>
                      <w:jc w:val="center"/>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BFD4">
    <w:pPr>
      <w:pStyle w:val="34"/>
      <w:jc w:val="left"/>
    </w:pPr>
    <w:r>
      <w:rPr>
        <w:rFonts w:hint="eastAsia"/>
      </w:rPr>
      <w:t>网招B4类建设工程</w:t>
    </w:r>
    <w:r>
      <w:rPr>
        <w:rFonts w:hint="eastAsia"/>
        <w:lang w:eastAsia="zh-CN"/>
      </w:rPr>
      <w:t>采购文件</w:t>
    </w:r>
    <w:r>
      <w:rPr>
        <w:rFonts w:hint="eastAsia"/>
      </w:rPr>
      <w:t>-2018.3.1版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2944">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B81C">
    <w:pPr>
      <w:pStyle w:val="34"/>
    </w:pPr>
    <w:r>
      <w:rPr>
        <w:rFonts w:hint="eastAsia"/>
      </w:rPr>
      <w:t>建设工程</w:t>
    </w:r>
    <w:r>
      <w:rPr>
        <w:rFonts w:hint="eastAsia"/>
        <w:lang w:eastAsia="zh-CN"/>
      </w:rPr>
      <w:t>采购文件</w:t>
    </w:r>
    <w:r>
      <w:rPr>
        <w:rFonts w:hint="eastAsia"/>
      </w:rPr>
      <w:t>（非网招）20160127版本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9D75">
    <w:pPr>
      <w:pStyle w:val="34"/>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C739F">
    <w:pPr>
      <w:pStyle w:val="34"/>
      <w:framePr w:wrap="around" w:vAnchor="text" w:hAnchor="margin" w:xAlign="right" w:y="1"/>
      <w:rPr>
        <w:rStyle w:val="56"/>
      </w:rPr>
    </w:pPr>
    <w:r>
      <w:fldChar w:fldCharType="begin"/>
    </w:r>
    <w:r>
      <w:rPr>
        <w:rStyle w:val="56"/>
        <w:highlight w:val="white"/>
      </w:rPr>
      <w:instrText xml:space="preserve">PAGE  </w:instrText>
    </w:r>
    <w:r>
      <w:fldChar w:fldCharType="separate"/>
    </w:r>
    <w:r>
      <w:fldChar w:fldCharType="end"/>
    </w:r>
  </w:p>
  <w:p w14:paraId="580ABF2C">
    <w:pPr>
      <w:pStyle w:val="3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1979">
    <w:pPr>
      <w:pStyle w:val="3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96111">
    <w:pPr>
      <w:pStyle w:val="3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101"/>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1">
    <w:nsid w:val="0000000D"/>
    <w:multiLevelType w:val="multilevel"/>
    <w:tmpl w:val="0000000D"/>
    <w:lvl w:ilvl="0" w:tentative="0">
      <w:start w:val="1"/>
      <w:numFmt w:val="decimal"/>
      <w:pStyle w:val="7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E"/>
    <w:multiLevelType w:val="multilevel"/>
    <w:tmpl w:val="0000000E"/>
    <w:lvl w:ilvl="0" w:tentative="0">
      <w:start w:val="1"/>
      <w:numFmt w:val="decimal"/>
      <w:pStyle w:val="68"/>
      <w:lvlText w:val="%1"/>
      <w:lvlJc w:val="left"/>
      <w:pPr>
        <w:tabs>
          <w:tab w:val="left" w:pos="425"/>
        </w:tabs>
        <w:ind w:left="425" w:hanging="425"/>
      </w:pPr>
      <w:rPr>
        <w:rFonts w:hint="default" w:ascii="Arial" w:hAnsi="Arial" w:eastAsia="黑体"/>
        <w:b w:val="0"/>
        <w:i w:val="0"/>
        <w:sz w:val="28"/>
      </w:rPr>
    </w:lvl>
    <w:lvl w:ilvl="1" w:tentative="0">
      <w:start w:val="1"/>
      <w:numFmt w:val="decimal"/>
      <w:pStyle w:val="69"/>
      <w:lvlText w:val="%1.%2"/>
      <w:lvlJc w:val="left"/>
      <w:pPr>
        <w:tabs>
          <w:tab w:val="left" w:pos="992"/>
        </w:tabs>
        <w:ind w:left="992" w:hanging="567"/>
      </w:pPr>
      <w:rPr>
        <w:rFonts w:hint="default" w:ascii="Arial" w:hAnsi="Arial" w:eastAsia="黑体"/>
        <w:b w:val="0"/>
        <w:i w:val="0"/>
        <w:sz w:val="24"/>
      </w:rPr>
    </w:lvl>
    <w:lvl w:ilvl="2" w:tentative="0">
      <w:start w:val="1"/>
      <w:numFmt w:val="decimal"/>
      <w:pStyle w:val="97"/>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79975319"/>
    <w:multiLevelType w:val="singleLevel"/>
    <w:tmpl w:val="79975319"/>
    <w:lvl w:ilvl="0" w:tentative="0">
      <w:start w:val="3"/>
      <w:numFmt w:val="chineseCounting"/>
      <w:suff w:val="nothing"/>
      <w:lvlText w:val="%1．"/>
      <w:lvlJc w:val="left"/>
      <w:rPr>
        <w:rFonts w:hint="eastAsia"/>
      </w:rPr>
    </w:lvl>
  </w:abstractNum>
  <w:abstractNum w:abstractNumId="4">
    <w:nsid w:val="7F7E5238"/>
    <w:multiLevelType w:val="multilevel"/>
    <w:tmpl w:val="7F7E523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9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Tc3ZTJjZjMwMGU3NzkzNmUyNTY1MmM3N2FjNjMifQ=="/>
  </w:docVars>
  <w:rsids>
    <w:rsidRoot w:val="00172A27"/>
    <w:rsid w:val="0001340A"/>
    <w:rsid w:val="000225C2"/>
    <w:rsid w:val="00035C13"/>
    <w:rsid w:val="00075D08"/>
    <w:rsid w:val="000930AE"/>
    <w:rsid w:val="0009394F"/>
    <w:rsid w:val="00094396"/>
    <w:rsid w:val="000A19DC"/>
    <w:rsid w:val="000A2736"/>
    <w:rsid w:val="000A78D6"/>
    <w:rsid w:val="000C079B"/>
    <w:rsid w:val="000C3994"/>
    <w:rsid w:val="000C39FF"/>
    <w:rsid w:val="000D160E"/>
    <w:rsid w:val="000D7107"/>
    <w:rsid w:val="000E248D"/>
    <w:rsid w:val="000E2CE6"/>
    <w:rsid w:val="000E48B4"/>
    <w:rsid w:val="000F0C8D"/>
    <w:rsid w:val="00106FA6"/>
    <w:rsid w:val="00115F0F"/>
    <w:rsid w:val="00117A99"/>
    <w:rsid w:val="00121679"/>
    <w:rsid w:val="00121698"/>
    <w:rsid w:val="00126DE2"/>
    <w:rsid w:val="0012790B"/>
    <w:rsid w:val="00131D57"/>
    <w:rsid w:val="00140BAA"/>
    <w:rsid w:val="001438D5"/>
    <w:rsid w:val="00144761"/>
    <w:rsid w:val="001471B3"/>
    <w:rsid w:val="00154933"/>
    <w:rsid w:val="00156779"/>
    <w:rsid w:val="0016125F"/>
    <w:rsid w:val="00164142"/>
    <w:rsid w:val="00170FFD"/>
    <w:rsid w:val="00172F0D"/>
    <w:rsid w:val="001B34E0"/>
    <w:rsid w:val="001B5F99"/>
    <w:rsid w:val="001C207B"/>
    <w:rsid w:val="001C251A"/>
    <w:rsid w:val="001C4FB7"/>
    <w:rsid w:val="001C5EBA"/>
    <w:rsid w:val="001D6A6C"/>
    <w:rsid w:val="001E126A"/>
    <w:rsid w:val="00207542"/>
    <w:rsid w:val="00207DDE"/>
    <w:rsid w:val="00210B37"/>
    <w:rsid w:val="00212838"/>
    <w:rsid w:val="00240588"/>
    <w:rsid w:val="0024094F"/>
    <w:rsid w:val="002415E9"/>
    <w:rsid w:val="0026359C"/>
    <w:rsid w:val="00282E1A"/>
    <w:rsid w:val="00290511"/>
    <w:rsid w:val="00290616"/>
    <w:rsid w:val="00293FFE"/>
    <w:rsid w:val="002B56A6"/>
    <w:rsid w:val="002C3D7C"/>
    <w:rsid w:val="002F007B"/>
    <w:rsid w:val="003152A3"/>
    <w:rsid w:val="00316163"/>
    <w:rsid w:val="00323D92"/>
    <w:rsid w:val="00330D02"/>
    <w:rsid w:val="003842B0"/>
    <w:rsid w:val="003858C5"/>
    <w:rsid w:val="003920AD"/>
    <w:rsid w:val="00397E22"/>
    <w:rsid w:val="003B0071"/>
    <w:rsid w:val="003B101B"/>
    <w:rsid w:val="003C2861"/>
    <w:rsid w:val="003C7FFC"/>
    <w:rsid w:val="003E2793"/>
    <w:rsid w:val="003E6130"/>
    <w:rsid w:val="003E7F27"/>
    <w:rsid w:val="00401EDF"/>
    <w:rsid w:val="00406B56"/>
    <w:rsid w:val="004212EE"/>
    <w:rsid w:val="0042488C"/>
    <w:rsid w:val="00433975"/>
    <w:rsid w:val="00436C0E"/>
    <w:rsid w:val="00436EDE"/>
    <w:rsid w:val="00462686"/>
    <w:rsid w:val="00463938"/>
    <w:rsid w:val="00465D60"/>
    <w:rsid w:val="0048490E"/>
    <w:rsid w:val="004A5B81"/>
    <w:rsid w:val="004B7BC7"/>
    <w:rsid w:val="004E4D34"/>
    <w:rsid w:val="004E71CA"/>
    <w:rsid w:val="004F27AD"/>
    <w:rsid w:val="005030A5"/>
    <w:rsid w:val="00506038"/>
    <w:rsid w:val="00511C4C"/>
    <w:rsid w:val="005628F2"/>
    <w:rsid w:val="00572B01"/>
    <w:rsid w:val="00573E74"/>
    <w:rsid w:val="00575CC0"/>
    <w:rsid w:val="0058324F"/>
    <w:rsid w:val="00592618"/>
    <w:rsid w:val="005B3B9F"/>
    <w:rsid w:val="005C1789"/>
    <w:rsid w:val="005C1B0B"/>
    <w:rsid w:val="005E1802"/>
    <w:rsid w:val="005E3F56"/>
    <w:rsid w:val="005F445C"/>
    <w:rsid w:val="005F6839"/>
    <w:rsid w:val="00620FDE"/>
    <w:rsid w:val="00634109"/>
    <w:rsid w:val="0063477B"/>
    <w:rsid w:val="00634A19"/>
    <w:rsid w:val="00637586"/>
    <w:rsid w:val="0064066F"/>
    <w:rsid w:val="00641BAF"/>
    <w:rsid w:val="006554A6"/>
    <w:rsid w:val="00685C6C"/>
    <w:rsid w:val="0068792F"/>
    <w:rsid w:val="006910FA"/>
    <w:rsid w:val="006940D2"/>
    <w:rsid w:val="006945D6"/>
    <w:rsid w:val="006A6410"/>
    <w:rsid w:val="006C3F3B"/>
    <w:rsid w:val="006C41EC"/>
    <w:rsid w:val="006C723D"/>
    <w:rsid w:val="006D0069"/>
    <w:rsid w:val="006D5C26"/>
    <w:rsid w:val="006E2FDD"/>
    <w:rsid w:val="006E38DD"/>
    <w:rsid w:val="006E6125"/>
    <w:rsid w:val="006F78D2"/>
    <w:rsid w:val="0070522B"/>
    <w:rsid w:val="00723FFB"/>
    <w:rsid w:val="00725FEC"/>
    <w:rsid w:val="00742EE8"/>
    <w:rsid w:val="00755FCA"/>
    <w:rsid w:val="007570F7"/>
    <w:rsid w:val="007615A0"/>
    <w:rsid w:val="0076362F"/>
    <w:rsid w:val="00766ADF"/>
    <w:rsid w:val="007700A1"/>
    <w:rsid w:val="007705B7"/>
    <w:rsid w:val="0077211F"/>
    <w:rsid w:val="007739F6"/>
    <w:rsid w:val="0077467D"/>
    <w:rsid w:val="00776A5F"/>
    <w:rsid w:val="00780E75"/>
    <w:rsid w:val="007834BA"/>
    <w:rsid w:val="00795B4A"/>
    <w:rsid w:val="007963A3"/>
    <w:rsid w:val="007A5E1C"/>
    <w:rsid w:val="007B6A4D"/>
    <w:rsid w:val="007C0F61"/>
    <w:rsid w:val="007E48B4"/>
    <w:rsid w:val="007F25F3"/>
    <w:rsid w:val="007F7815"/>
    <w:rsid w:val="008069DB"/>
    <w:rsid w:val="0080782C"/>
    <w:rsid w:val="00833FC9"/>
    <w:rsid w:val="008369BF"/>
    <w:rsid w:val="00860122"/>
    <w:rsid w:val="00860BE3"/>
    <w:rsid w:val="00865C6B"/>
    <w:rsid w:val="00870A82"/>
    <w:rsid w:val="008A1144"/>
    <w:rsid w:val="008B5DB6"/>
    <w:rsid w:val="008B7944"/>
    <w:rsid w:val="008C5B75"/>
    <w:rsid w:val="008D280E"/>
    <w:rsid w:val="008D6C20"/>
    <w:rsid w:val="008D6D40"/>
    <w:rsid w:val="008D796A"/>
    <w:rsid w:val="008E23B2"/>
    <w:rsid w:val="008F025F"/>
    <w:rsid w:val="008F45F9"/>
    <w:rsid w:val="00902CCF"/>
    <w:rsid w:val="00921F96"/>
    <w:rsid w:val="0092630C"/>
    <w:rsid w:val="00937F61"/>
    <w:rsid w:val="009418BB"/>
    <w:rsid w:val="00942E88"/>
    <w:rsid w:val="009457D4"/>
    <w:rsid w:val="009773FF"/>
    <w:rsid w:val="00983394"/>
    <w:rsid w:val="00985782"/>
    <w:rsid w:val="00985A88"/>
    <w:rsid w:val="009A27EE"/>
    <w:rsid w:val="009A2DC5"/>
    <w:rsid w:val="009A3585"/>
    <w:rsid w:val="009B3998"/>
    <w:rsid w:val="009C205B"/>
    <w:rsid w:val="009C3099"/>
    <w:rsid w:val="009C4861"/>
    <w:rsid w:val="009F53DA"/>
    <w:rsid w:val="009F6FD0"/>
    <w:rsid w:val="00A00D00"/>
    <w:rsid w:val="00A01395"/>
    <w:rsid w:val="00A068BA"/>
    <w:rsid w:val="00A06AEE"/>
    <w:rsid w:val="00A12815"/>
    <w:rsid w:val="00A27E3A"/>
    <w:rsid w:val="00A32D10"/>
    <w:rsid w:val="00A36F65"/>
    <w:rsid w:val="00A519D0"/>
    <w:rsid w:val="00A6571B"/>
    <w:rsid w:val="00A74730"/>
    <w:rsid w:val="00A856A4"/>
    <w:rsid w:val="00A93417"/>
    <w:rsid w:val="00AA282E"/>
    <w:rsid w:val="00AC2F76"/>
    <w:rsid w:val="00AD35ED"/>
    <w:rsid w:val="00B021A5"/>
    <w:rsid w:val="00B26AFD"/>
    <w:rsid w:val="00B2793B"/>
    <w:rsid w:val="00B27B7A"/>
    <w:rsid w:val="00B306A1"/>
    <w:rsid w:val="00B32758"/>
    <w:rsid w:val="00B431EB"/>
    <w:rsid w:val="00B57E57"/>
    <w:rsid w:val="00B6642A"/>
    <w:rsid w:val="00BB678D"/>
    <w:rsid w:val="00BC5C8C"/>
    <w:rsid w:val="00BD29A9"/>
    <w:rsid w:val="00BE53CB"/>
    <w:rsid w:val="00BE6DD5"/>
    <w:rsid w:val="00C035CD"/>
    <w:rsid w:val="00C07565"/>
    <w:rsid w:val="00C11EAB"/>
    <w:rsid w:val="00C16575"/>
    <w:rsid w:val="00C258CD"/>
    <w:rsid w:val="00C37EA2"/>
    <w:rsid w:val="00C4328B"/>
    <w:rsid w:val="00C45F34"/>
    <w:rsid w:val="00C561F1"/>
    <w:rsid w:val="00C67BDE"/>
    <w:rsid w:val="00CA23FA"/>
    <w:rsid w:val="00CB0D03"/>
    <w:rsid w:val="00CB1F56"/>
    <w:rsid w:val="00CB4BD4"/>
    <w:rsid w:val="00CB4D9A"/>
    <w:rsid w:val="00CB7DEC"/>
    <w:rsid w:val="00CC74B8"/>
    <w:rsid w:val="00CD580B"/>
    <w:rsid w:val="00CD6009"/>
    <w:rsid w:val="00CD78AA"/>
    <w:rsid w:val="00CE4B20"/>
    <w:rsid w:val="00CF1B95"/>
    <w:rsid w:val="00D020D1"/>
    <w:rsid w:val="00D10704"/>
    <w:rsid w:val="00D2394E"/>
    <w:rsid w:val="00D37825"/>
    <w:rsid w:val="00D4023D"/>
    <w:rsid w:val="00D45644"/>
    <w:rsid w:val="00D62030"/>
    <w:rsid w:val="00D634A6"/>
    <w:rsid w:val="00D67B2D"/>
    <w:rsid w:val="00D70994"/>
    <w:rsid w:val="00D763BD"/>
    <w:rsid w:val="00D76C49"/>
    <w:rsid w:val="00D77AA5"/>
    <w:rsid w:val="00D913E0"/>
    <w:rsid w:val="00D94544"/>
    <w:rsid w:val="00D94619"/>
    <w:rsid w:val="00D95E46"/>
    <w:rsid w:val="00DB4E2D"/>
    <w:rsid w:val="00DC1F8B"/>
    <w:rsid w:val="00DF67BA"/>
    <w:rsid w:val="00E134A1"/>
    <w:rsid w:val="00E224BF"/>
    <w:rsid w:val="00E22C87"/>
    <w:rsid w:val="00E23115"/>
    <w:rsid w:val="00E41365"/>
    <w:rsid w:val="00E4440C"/>
    <w:rsid w:val="00E52070"/>
    <w:rsid w:val="00E93340"/>
    <w:rsid w:val="00EA027C"/>
    <w:rsid w:val="00EB2D26"/>
    <w:rsid w:val="00EB700E"/>
    <w:rsid w:val="00ED2238"/>
    <w:rsid w:val="00EE370A"/>
    <w:rsid w:val="00EF6B80"/>
    <w:rsid w:val="00F04DFA"/>
    <w:rsid w:val="00F067FA"/>
    <w:rsid w:val="00F10E4B"/>
    <w:rsid w:val="00F2654A"/>
    <w:rsid w:val="00F33DAA"/>
    <w:rsid w:val="00F400DC"/>
    <w:rsid w:val="00F47ADB"/>
    <w:rsid w:val="00F52692"/>
    <w:rsid w:val="00F52DB5"/>
    <w:rsid w:val="00F60F8D"/>
    <w:rsid w:val="00F92908"/>
    <w:rsid w:val="00F94B3B"/>
    <w:rsid w:val="00FA03CB"/>
    <w:rsid w:val="00FA048B"/>
    <w:rsid w:val="00FA0B39"/>
    <w:rsid w:val="00FA4BE7"/>
    <w:rsid w:val="00FA77BF"/>
    <w:rsid w:val="00FD1D01"/>
    <w:rsid w:val="00FE4EC7"/>
    <w:rsid w:val="00FE5EB8"/>
    <w:rsid w:val="00FF3873"/>
    <w:rsid w:val="017B0ECF"/>
    <w:rsid w:val="030C6B9D"/>
    <w:rsid w:val="03F262FE"/>
    <w:rsid w:val="05DC0389"/>
    <w:rsid w:val="077918E2"/>
    <w:rsid w:val="080F68DC"/>
    <w:rsid w:val="09B35E22"/>
    <w:rsid w:val="0A2B2280"/>
    <w:rsid w:val="0AEA2669"/>
    <w:rsid w:val="0B5A78B0"/>
    <w:rsid w:val="0D151D23"/>
    <w:rsid w:val="0D4103F4"/>
    <w:rsid w:val="0D517F6C"/>
    <w:rsid w:val="0D70587D"/>
    <w:rsid w:val="0D8F6CE5"/>
    <w:rsid w:val="0D9131B4"/>
    <w:rsid w:val="0E4C465A"/>
    <w:rsid w:val="0F8E619D"/>
    <w:rsid w:val="0FD94D4C"/>
    <w:rsid w:val="101C4917"/>
    <w:rsid w:val="123B32DA"/>
    <w:rsid w:val="124F64A1"/>
    <w:rsid w:val="13BF1AC2"/>
    <w:rsid w:val="14197F4D"/>
    <w:rsid w:val="1588638E"/>
    <w:rsid w:val="165D5409"/>
    <w:rsid w:val="166B48A0"/>
    <w:rsid w:val="16F45074"/>
    <w:rsid w:val="16FC5D9B"/>
    <w:rsid w:val="172368D2"/>
    <w:rsid w:val="17834DE9"/>
    <w:rsid w:val="17F16374"/>
    <w:rsid w:val="1A313E0D"/>
    <w:rsid w:val="1C4C37B9"/>
    <w:rsid w:val="1D097FE3"/>
    <w:rsid w:val="1E905351"/>
    <w:rsid w:val="1F9E3BCA"/>
    <w:rsid w:val="23203542"/>
    <w:rsid w:val="23285A18"/>
    <w:rsid w:val="276F595A"/>
    <w:rsid w:val="299553EC"/>
    <w:rsid w:val="29BD3F19"/>
    <w:rsid w:val="29D42705"/>
    <w:rsid w:val="2ADC147B"/>
    <w:rsid w:val="2C056941"/>
    <w:rsid w:val="2C1C4834"/>
    <w:rsid w:val="2D8E6D7A"/>
    <w:rsid w:val="2D9B0395"/>
    <w:rsid w:val="2FF95846"/>
    <w:rsid w:val="31377E07"/>
    <w:rsid w:val="31566A52"/>
    <w:rsid w:val="31AB0CDA"/>
    <w:rsid w:val="31D73965"/>
    <w:rsid w:val="32E965DF"/>
    <w:rsid w:val="33366222"/>
    <w:rsid w:val="367120E1"/>
    <w:rsid w:val="373F5ED2"/>
    <w:rsid w:val="389F5A24"/>
    <w:rsid w:val="39087C01"/>
    <w:rsid w:val="3A5D5440"/>
    <w:rsid w:val="3C923FD8"/>
    <w:rsid w:val="3CC4744B"/>
    <w:rsid w:val="3D9424D5"/>
    <w:rsid w:val="3DAF6D45"/>
    <w:rsid w:val="3DC5397A"/>
    <w:rsid w:val="3FB95217"/>
    <w:rsid w:val="405065A5"/>
    <w:rsid w:val="411F09CA"/>
    <w:rsid w:val="414B7535"/>
    <w:rsid w:val="415E35C6"/>
    <w:rsid w:val="41AB521D"/>
    <w:rsid w:val="41BA02BB"/>
    <w:rsid w:val="428B7B0F"/>
    <w:rsid w:val="429C7054"/>
    <w:rsid w:val="42C40BE2"/>
    <w:rsid w:val="43EC454D"/>
    <w:rsid w:val="459D445A"/>
    <w:rsid w:val="47140AC9"/>
    <w:rsid w:val="481A5BAC"/>
    <w:rsid w:val="49001F18"/>
    <w:rsid w:val="49016B40"/>
    <w:rsid w:val="4B493F7E"/>
    <w:rsid w:val="4C9F3B15"/>
    <w:rsid w:val="4CC82BA6"/>
    <w:rsid w:val="4DFC16FF"/>
    <w:rsid w:val="4EDD6607"/>
    <w:rsid w:val="4F252466"/>
    <w:rsid w:val="4F5A71E7"/>
    <w:rsid w:val="500E40D0"/>
    <w:rsid w:val="512F03DB"/>
    <w:rsid w:val="5307177D"/>
    <w:rsid w:val="539267AF"/>
    <w:rsid w:val="543264A9"/>
    <w:rsid w:val="554A03C4"/>
    <w:rsid w:val="570E3BC9"/>
    <w:rsid w:val="58457CD0"/>
    <w:rsid w:val="592D7515"/>
    <w:rsid w:val="59813B96"/>
    <w:rsid w:val="5A431F22"/>
    <w:rsid w:val="5A647782"/>
    <w:rsid w:val="5AD92B11"/>
    <w:rsid w:val="5B302BB8"/>
    <w:rsid w:val="5C917115"/>
    <w:rsid w:val="5C9A1041"/>
    <w:rsid w:val="5CB511A8"/>
    <w:rsid w:val="5DE85D9D"/>
    <w:rsid w:val="5E6162CC"/>
    <w:rsid w:val="5F8913FD"/>
    <w:rsid w:val="60C06604"/>
    <w:rsid w:val="615862B8"/>
    <w:rsid w:val="61D05A5A"/>
    <w:rsid w:val="6216372D"/>
    <w:rsid w:val="633640E0"/>
    <w:rsid w:val="64332182"/>
    <w:rsid w:val="645E7AB0"/>
    <w:rsid w:val="65402FF4"/>
    <w:rsid w:val="65A7466B"/>
    <w:rsid w:val="69FB26F0"/>
    <w:rsid w:val="6E496FBD"/>
    <w:rsid w:val="6EAD10FE"/>
    <w:rsid w:val="6EBD4430"/>
    <w:rsid w:val="6F98180B"/>
    <w:rsid w:val="6FB62D34"/>
    <w:rsid w:val="709B35B6"/>
    <w:rsid w:val="71C53799"/>
    <w:rsid w:val="724972EE"/>
    <w:rsid w:val="728575CB"/>
    <w:rsid w:val="72A5179F"/>
    <w:rsid w:val="72DA16A4"/>
    <w:rsid w:val="73245671"/>
    <w:rsid w:val="74697EA8"/>
    <w:rsid w:val="76AF09F8"/>
    <w:rsid w:val="77270DF0"/>
    <w:rsid w:val="77A33CA2"/>
    <w:rsid w:val="77ED24B1"/>
    <w:rsid w:val="78275322"/>
    <w:rsid w:val="789D19E7"/>
    <w:rsid w:val="792425B9"/>
    <w:rsid w:val="7B620BCC"/>
    <w:rsid w:val="7BDA46B9"/>
    <w:rsid w:val="7C020BE6"/>
    <w:rsid w:val="7C0D02B4"/>
    <w:rsid w:val="7CF66286"/>
    <w:rsid w:val="7F0D1A18"/>
    <w:rsid w:val="7F9839DA"/>
    <w:rsid w:val="F5EEC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0"/>
      <w:lang w:val="en-US" w:eastAsia="zh-CN"/>
    </w:rPr>
  </w:style>
  <w:style w:type="paragraph" w:styleId="3">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kern w:val="2"/>
      <w:sz w:val="28"/>
      <w:lang w:val="en-US" w:eastAsia="zh-CN"/>
    </w:rPr>
  </w:style>
  <w:style w:type="paragraph" w:styleId="6">
    <w:name w:val="heading 5"/>
    <w:basedOn w:val="1"/>
    <w:next w:val="1"/>
    <w:qFormat/>
    <w:uiPriority w:val="0"/>
    <w:pPr>
      <w:keepNext/>
      <w:outlineLvl w:val="4"/>
    </w:pPr>
    <w:rPr>
      <w:rFonts w:ascii="宋体" w:hAnsi="Arial"/>
      <w:sz w:val="28"/>
    </w:rPr>
  </w:style>
  <w:style w:type="paragraph" w:styleId="7">
    <w:name w:val="heading 6"/>
    <w:basedOn w:val="1"/>
    <w:next w:val="1"/>
    <w:qFormat/>
    <w:uiPriority w:val="0"/>
    <w:pPr>
      <w:keepNext/>
      <w:autoSpaceDE w:val="0"/>
      <w:autoSpaceDN w:val="0"/>
      <w:adjustRightInd w:val="0"/>
      <w:spacing w:before="156" w:beforeLines="50" w:beforeAutospacing="0" w:after="156" w:afterLines="50" w:afterAutospacing="0" w:line="300" w:lineRule="exact"/>
      <w:jc w:val="center"/>
      <w:outlineLvl w:val="5"/>
    </w:pPr>
    <w:rPr>
      <w:rFonts w:ascii="宋体" w:hAnsi="宋体"/>
      <w:kern w:val="0"/>
      <w:sz w:val="28"/>
    </w:rPr>
  </w:style>
  <w:style w:type="paragraph" w:styleId="8">
    <w:name w:val="heading 7"/>
    <w:basedOn w:val="1"/>
    <w:next w:val="1"/>
    <w:qFormat/>
    <w:uiPriority w:val="0"/>
    <w:pPr>
      <w:keepNext/>
      <w:keepLines/>
      <w:spacing w:before="240" w:beforeLines="0" w:beforeAutospacing="0" w:after="64" w:afterLines="0" w:afterAutospacing="0" w:line="317" w:lineRule="auto"/>
      <w:ind w:rightChars="-10" w:firstLine="464" w:firstLineChars="225"/>
      <w:jc w:val="left"/>
      <w:outlineLvl w:val="6"/>
    </w:pPr>
    <w:rPr>
      <w:rFonts w:ascii="Arial" w:hAnsi="Arial" w:eastAsia="仿宋_GB2312"/>
      <w:b/>
      <w:spacing w:val="-4"/>
      <w:sz w:val="24"/>
    </w:rPr>
  </w:style>
  <w:style w:type="paragraph" w:styleId="9">
    <w:name w:val="heading 8"/>
    <w:basedOn w:val="1"/>
    <w:next w:val="1"/>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9"/>
    <w:next w:val="1"/>
    <w:qFormat/>
    <w:uiPriority w:val="0"/>
    <w:pPr>
      <w:tabs>
        <w:tab w:val="left" w:pos="2160"/>
      </w:tabs>
      <w:ind w:left="1559" w:hanging="1559"/>
      <w:outlineLvl w:val="8"/>
    </w:pPr>
    <w:rPr>
      <w:rFonts w:ascii="Times New Roman" w:hAnsi="Times New Roman" w:eastAsia="宋体"/>
      <w:b/>
      <w:bCs/>
      <w:sz w:val="30"/>
      <w:szCs w:val="18"/>
    </w:rPr>
  </w:style>
  <w:style w:type="character" w:default="1" w:styleId="54">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style>
  <w:style w:type="paragraph" w:styleId="12">
    <w:name w:val="table of authorities"/>
    <w:basedOn w:val="1"/>
    <w:next w:val="1"/>
    <w:qFormat/>
    <w:uiPriority w:val="0"/>
    <w:pPr>
      <w:ind w:left="420" w:leftChars="200"/>
    </w:pPr>
  </w:style>
  <w:style w:type="paragraph" w:styleId="13">
    <w:name w:val="index 8"/>
    <w:basedOn w:val="1"/>
    <w:next w:val="1"/>
    <w:qFormat/>
    <w:uiPriority w:val="0"/>
    <w:pPr>
      <w:ind w:left="1400" w:leftChars="1400"/>
    </w:pPr>
  </w:style>
  <w:style w:type="paragraph" w:styleId="14">
    <w:name w:val="Normal Indent"/>
    <w:basedOn w:val="1"/>
    <w:qFormat/>
    <w:uiPriority w:val="0"/>
    <w:pPr>
      <w:ind w:firstLine="420" w:firstLineChars="200"/>
    </w:pPr>
  </w:style>
  <w:style w:type="paragraph" w:styleId="15">
    <w:name w:val="index 5"/>
    <w:basedOn w:val="1"/>
    <w:next w:val="1"/>
    <w:qFormat/>
    <w:uiPriority w:val="0"/>
    <w:pPr>
      <w:ind w:left="800" w:leftChars="800"/>
    </w:p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beforeLines="0" w:beforeAutospacing="0"/>
    </w:pPr>
    <w:rPr>
      <w:rFonts w:ascii="Arial" w:hAnsi="Arial"/>
      <w:b/>
    </w:rPr>
  </w:style>
  <w:style w:type="paragraph" w:styleId="18">
    <w:name w:val="annotation text"/>
    <w:basedOn w:val="1"/>
    <w:qFormat/>
    <w:uiPriority w:val="0"/>
    <w:pPr>
      <w:jc w:val="left"/>
    </w:pPr>
  </w:style>
  <w:style w:type="paragraph" w:styleId="19">
    <w:name w:val="index 6"/>
    <w:basedOn w:val="1"/>
    <w:next w:val="1"/>
    <w:qFormat/>
    <w:uiPriority w:val="0"/>
    <w:pPr>
      <w:ind w:left="1000" w:leftChars="1000"/>
    </w:pPr>
  </w:style>
  <w:style w:type="paragraph" w:styleId="20">
    <w:name w:val="Body Text 3"/>
    <w:basedOn w:val="1"/>
    <w:qFormat/>
    <w:uiPriority w:val="0"/>
    <w:rPr>
      <w:rFonts w:ascii="黑体" w:hAnsi="Arial" w:eastAsia="黑体"/>
      <w:b/>
      <w:sz w:val="28"/>
    </w:rPr>
  </w:style>
  <w:style w:type="paragraph" w:styleId="21">
    <w:name w:val="Body Text"/>
    <w:basedOn w:val="1"/>
    <w:qFormat/>
    <w:uiPriority w:val="0"/>
    <w:rPr>
      <w:rFonts w:ascii="宋体" w:hAnsi="Arial"/>
      <w:sz w:val="28"/>
    </w:rPr>
  </w:style>
  <w:style w:type="paragraph" w:styleId="22">
    <w:name w:val="Body Text Indent"/>
    <w:basedOn w:val="1"/>
    <w:next w:val="23"/>
    <w:qFormat/>
    <w:uiPriority w:val="0"/>
    <w:pPr>
      <w:ind w:firstLine="645"/>
    </w:pPr>
    <w:rPr>
      <w:rFonts w:ascii="楷体_GB2312" w:eastAsia="楷体_GB2312"/>
      <w:sz w:val="32"/>
    </w:rPr>
  </w:style>
  <w:style w:type="paragraph" w:styleId="23">
    <w:name w:val="envelope return"/>
    <w:basedOn w:val="1"/>
    <w:qFormat/>
    <w:uiPriority w:val="99"/>
    <w:pPr>
      <w:widowControl/>
    </w:pPr>
    <w:rPr>
      <w:kern w:val="0"/>
      <w:sz w:val="22"/>
      <w:lang w:eastAsia="en-US"/>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840"/>
      <w:jc w:val="left"/>
    </w:pPr>
  </w:style>
  <w:style w:type="paragraph" w:styleId="26">
    <w:name w:val="toc 3"/>
    <w:basedOn w:val="1"/>
    <w:next w:val="1"/>
    <w:qFormat/>
    <w:uiPriority w:val="0"/>
    <w:pPr>
      <w:ind w:left="420"/>
      <w:jc w:val="left"/>
    </w:pPr>
    <w:rPr>
      <w:i/>
    </w:rPr>
  </w:style>
  <w:style w:type="paragraph" w:styleId="27">
    <w:name w:val="Plain Text"/>
    <w:basedOn w:val="1"/>
    <w:qFormat/>
    <w:uiPriority w:val="0"/>
    <w:rPr>
      <w:rFonts w:ascii="宋体" w:hAnsi="Courier New"/>
    </w:rPr>
  </w:style>
  <w:style w:type="paragraph" w:styleId="28">
    <w:name w:val="toc 8"/>
    <w:basedOn w:val="1"/>
    <w:next w:val="1"/>
    <w:qFormat/>
    <w:uiPriority w:val="0"/>
    <w:pPr>
      <w:ind w:left="1470"/>
      <w:jc w:val="left"/>
    </w:pPr>
  </w:style>
  <w:style w:type="paragraph" w:styleId="29">
    <w:name w:val="index 3"/>
    <w:basedOn w:val="1"/>
    <w:next w:val="1"/>
    <w:qFormat/>
    <w:uiPriority w:val="0"/>
    <w:pPr>
      <w:ind w:left="400" w:leftChars="400"/>
    </w:pPr>
  </w:style>
  <w:style w:type="paragraph" w:styleId="30">
    <w:name w:val="Date"/>
    <w:basedOn w:val="1"/>
    <w:next w:val="1"/>
    <w:link w:val="61"/>
    <w:qFormat/>
    <w:uiPriority w:val="0"/>
    <w:rPr>
      <w:b/>
      <w:sz w:val="28"/>
    </w:rPr>
  </w:style>
  <w:style w:type="paragraph" w:styleId="31">
    <w:name w:val="Body Text Indent 2"/>
    <w:basedOn w:val="1"/>
    <w:qFormat/>
    <w:uiPriority w:val="0"/>
    <w:pPr>
      <w:ind w:left="630" w:firstLine="645"/>
    </w:pPr>
    <w:rPr>
      <w:rFonts w:ascii="Arial" w:hAnsi="Arial" w:eastAsia="仿宋_GB2312"/>
      <w:sz w:val="32"/>
    </w:rPr>
  </w:style>
  <w:style w:type="paragraph" w:styleId="32">
    <w:name w:val="Balloon Text"/>
    <w:basedOn w:val="1"/>
    <w:qFormat/>
    <w:uiPriority w:val="0"/>
    <w:rPr>
      <w:sz w:val="18"/>
    </w:rPr>
  </w:style>
  <w:style w:type="paragraph" w:styleId="33">
    <w:name w:val="footer"/>
    <w:basedOn w:val="1"/>
    <w:link w:val="62"/>
    <w:qFormat/>
    <w:uiPriority w:val="0"/>
    <w:pPr>
      <w:tabs>
        <w:tab w:val="center" w:pos="4153"/>
        <w:tab w:val="right" w:pos="8306"/>
      </w:tabs>
      <w:snapToGrid w:val="0"/>
      <w:jc w:val="left"/>
    </w:pPr>
    <w:rPr>
      <w:sz w:val="18"/>
    </w:rPr>
  </w:style>
  <w:style w:type="paragraph" w:styleId="34">
    <w:name w:val="header"/>
    <w:basedOn w:val="1"/>
    <w:link w:val="63"/>
    <w:qFormat/>
    <w:uiPriority w:val="0"/>
    <w:pPr>
      <w:pBdr>
        <w:bottom w:val="single" w:color="auto" w:sz="6" w:space="1"/>
      </w:pBdr>
      <w:tabs>
        <w:tab w:val="center" w:pos="4153"/>
        <w:tab w:val="right" w:pos="8306"/>
      </w:tabs>
      <w:snapToGrid w:val="0"/>
      <w:jc w:val="center"/>
    </w:pPr>
    <w:rPr>
      <w:sz w:val="18"/>
    </w:rPr>
  </w:style>
  <w:style w:type="paragraph" w:styleId="35">
    <w:name w:val="toc 1"/>
    <w:basedOn w:val="1"/>
    <w:next w:val="1"/>
    <w:qFormat/>
    <w:uiPriority w:val="0"/>
    <w:pPr>
      <w:spacing w:before="120" w:beforeLines="0" w:beforeAutospacing="0" w:after="120" w:afterLines="0" w:afterAutospacing="0"/>
      <w:jc w:val="left"/>
    </w:pPr>
    <w:rPr>
      <w:caps/>
    </w:rPr>
  </w:style>
  <w:style w:type="paragraph" w:styleId="36">
    <w:name w:val="toc 4"/>
    <w:basedOn w:val="1"/>
    <w:next w:val="1"/>
    <w:qFormat/>
    <w:uiPriority w:val="0"/>
    <w:pPr>
      <w:ind w:left="630"/>
      <w:jc w:val="left"/>
    </w:pPr>
  </w:style>
  <w:style w:type="paragraph" w:styleId="37">
    <w:name w:val="index heading"/>
    <w:basedOn w:val="1"/>
    <w:next w:val="38"/>
    <w:qFormat/>
    <w:uiPriority w:val="0"/>
    <w:rPr>
      <w:rFonts w:eastAsia="宋体"/>
      <w:kern w:val="2"/>
      <w:sz w:val="21"/>
      <w:lang w:val="en-US" w:eastAsia="zh-CN"/>
    </w:rPr>
  </w:style>
  <w:style w:type="paragraph" w:styleId="38">
    <w:name w:val="index 1"/>
    <w:basedOn w:val="1"/>
    <w:next w:val="1"/>
    <w:qFormat/>
    <w:uiPriority w:val="0"/>
    <w:pPr>
      <w:jc w:val="center"/>
    </w:pPr>
    <w:rPr>
      <w:rFonts w:ascii="仿宋_GB2312" w:eastAsia="仿宋_GB2312"/>
      <w:b/>
      <w:sz w:val="28"/>
    </w:rPr>
  </w:style>
  <w:style w:type="paragraph" w:styleId="39">
    <w:name w:val="List"/>
    <w:basedOn w:val="1"/>
    <w:qFormat/>
    <w:uiPriority w:val="0"/>
    <w:pPr>
      <w:ind w:left="200" w:hanging="200" w:hangingChars="200"/>
    </w:pPr>
    <w:rPr>
      <w:rFonts w:ascii="Calibri" w:hAnsi="Calibri"/>
      <w:szCs w:val="22"/>
    </w:rPr>
  </w:style>
  <w:style w:type="paragraph" w:styleId="40">
    <w:name w:val="footnote text"/>
    <w:basedOn w:val="1"/>
    <w:unhideWhenUsed/>
    <w:qFormat/>
    <w:uiPriority w:val="0"/>
    <w:pPr>
      <w:snapToGrid w:val="0"/>
      <w:jc w:val="left"/>
    </w:pPr>
    <w:rPr>
      <w:sz w:val="18"/>
      <w:szCs w:val="18"/>
    </w:rPr>
  </w:style>
  <w:style w:type="paragraph" w:styleId="41">
    <w:name w:val="toc 6"/>
    <w:basedOn w:val="1"/>
    <w:next w:val="1"/>
    <w:qFormat/>
    <w:uiPriority w:val="0"/>
    <w:pPr>
      <w:ind w:left="1050"/>
      <w:jc w:val="left"/>
    </w:pPr>
  </w:style>
  <w:style w:type="paragraph" w:styleId="42">
    <w:name w:val="Body Text Indent 3"/>
    <w:basedOn w:val="1"/>
    <w:qFormat/>
    <w:uiPriority w:val="0"/>
    <w:pPr>
      <w:ind w:firstLine="645"/>
    </w:pPr>
    <w:rPr>
      <w:rFonts w:ascii="仿宋_GB2312" w:hAnsi="Arial" w:eastAsia="仿宋_GB2312"/>
      <w:color w:val="000000"/>
      <w:sz w:val="30"/>
    </w:rPr>
  </w:style>
  <w:style w:type="paragraph" w:styleId="43">
    <w:name w:val="index 7"/>
    <w:basedOn w:val="1"/>
    <w:next w:val="1"/>
    <w:qFormat/>
    <w:uiPriority w:val="0"/>
    <w:pPr>
      <w:ind w:left="1200" w:leftChars="1200"/>
    </w:pPr>
  </w:style>
  <w:style w:type="paragraph" w:styleId="44">
    <w:name w:val="index 9"/>
    <w:basedOn w:val="1"/>
    <w:next w:val="1"/>
    <w:qFormat/>
    <w:uiPriority w:val="0"/>
    <w:pPr>
      <w:ind w:left="1600" w:leftChars="1600"/>
    </w:pPr>
  </w:style>
  <w:style w:type="paragraph" w:styleId="45">
    <w:name w:val="toc 2"/>
    <w:basedOn w:val="1"/>
    <w:next w:val="1"/>
    <w:qFormat/>
    <w:uiPriority w:val="0"/>
    <w:pPr>
      <w:ind w:left="210"/>
      <w:jc w:val="left"/>
    </w:pPr>
    <w:rPr>
      <w:smallCaps/>
      <w:sz w:val="28"/>
    </w:rPr>
  </w:style>
  <w:style w:type="paragraph" w:styleId="46">
    <w:name w:val="toc 9"/>
    <w:basedOn w:val="1"/>
    <w:next w:val="1"/>
    <w:qFormat/>
    <w:uiPriority w:val="0"/>
    <w:pPr>
      <w:ind w:left="1680"/>
      <w:jc w:val="left"/>
    </w:pPr>
  </w:style>
  <w:style w:type="paragraph" w:styleId="47">
    <w:name w:val="Body Text 2"/>
    <w:basedOn w:val="1"/>
    <w:qFormat/>
    <w:uiPriority w:val="0"/>
    <w:rPr>
      <w:rFonts w:ascii="仿宋_GB2312" w:eastAsia="仿宋_GB2312"/>
      <w:b/>
      <w:sz w:val="24"/>
    </w:rPr>
  </w:style>
  <w:style w:type="paragraph" w:styleId="4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9">
    <w:name w:val="index 2"/>
    <w:basedOn w:val="1"/>
    <w:next w:val="1"/>
    <w:qFormat/>
    <w:uiPriority w:val="0"/>
    <w:pPr>
      <w:ind w:left="200" w:leftChars="200"/>
    </w:pPr>
  </w:style>
  <w:style w:type="paragraph" w:styleId="50">
    <w:name w:val="annotation subject"/>
    <w:basedOn w:val="18"/>
    <w:next w:val="18"/>
    <w:qFormat/>
    <w:uiPriority w:val="0"/>
    <w:rPr>
      <w:b/>
      <w:bCs/>
    </w:rPr>
  </w:style>
  <w:style w:type="paragraph" w:styleId="51">
    <w:name w:val="Body Text First Indent"/>
    <w:basedOn w:val="21"/>
    <w:qFormat/>
    <w:uiPriority w:val="0"/>
    <w:pPr>
      <w:autoSpaceDE w:val="0"/>
      <w:autoSpaceDN w:val="0"/>
      <w:adjustRightInd w:val="0"/>
      <w:spacing w:line="360" w:lineRule="auto"/>
      <w:ind w:rightChars="-10" w:firstLine="425" w:firstLineChars="225"/>
    </w:pPr>
    <w:rPr>
      <w:rFonts w:ascii="Arial" w:hAnsi="Arial" w:eastAsia="仿宋_GB2312"/>
      <w:kern w:val="0"/>
      <w:sz w:val="24"/>
    </w:rPr>
  </w:style>
  <w:style w:type="paragraph" w:styleId="52">
    <w:name w:val="Body Text First Indent 2"/>
    <w:basedOn w:val="22"/>
    <w:next w:val="39"/>
    <w:qFormat/>
    <w:uiPriority w:val="99"/>
    <w:pPr>
      <w:widowControl/>
      <w:spacing w:before="100" w:beforeAutospacing="1" w:after="100" w:afterAutospacing="1"/>
    </w:pPr>
    <w:rPr>
      <w:sz w:val="24"/>
      <w:szCs w:val="24"/>
    </w:r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0"/>
    <w:rPr>
      <w:color w:val="CC0033"/>
    </w:rPr>
  </w:style>
  <w:style w:type="character" w:styleId="59">
    <w:name w:val="Hyperlink"/>
    <w:qFormat/>
    <w:uiPriority w:val="0"/>
    <w:rPr>
      <w:color w:val="0000FF"/>
      <w:u w:val="single"/>
    </w:rPr>
  </w:style>
  <w:style w:type="character" w:styleId="60">
    <w:name w:val="annotation reference"/>
    <w:qFormat/>
    <w:uiPriority w:val="0"/>
    <w:rPr>
      <w:sz w:val="21"/>
      <w:szCs w:val="21"/>
    </w:rPr>
  </w:style>
  <w:style w:type="character" w:customStyle="1" w:styleId="61">
    <w:name w:val=" Char Char1"/>
    <w:link w:val="30"/>
    <w:qFormat/>
    <w:uiPriority w:val="0"/>
    <w:rPr>
      <w:b/>
      <w:kern w:val="2"/>
      <w:sz w:val="28"/>
    </w:rPr>
  </w:style>
  <w:style w:type="character" w:customStyle="1" w:styleId="62">
    <w:name w:val=" Char Char"/>
    <w:link w:val="33"/>
    <w:qFormat/>
    <w:uiPriority w:val="0"/>
    <w:rPr>
      <w:kern w:val="2"/>
      <w:sz w:val="18"/>
    </w:rPr>
  </w:style>
  <w:style w:type="character" w:customStyle="1" w:styleId="63">
    <w:name w:val=" Char Char2"/>
    <w:link w:val="34"/>
    <w:qFormat/>
    <w:uiPriority w:val="0"/>
    <w:rPr>
      <w:kern w:val="2"/>
      <w:sz w:val="18"/>
    </w:rPr>
  </w:style>
  <w:style w:type="character" w:customStyle="1" w:styleId="64">
    <w:name w:val="索引标题 Char Char"/>
    <w:qFormat/>
    <w:uiPriority w:val="0"/>
    <w:rPr>
      <w:rFonts w:eastAsia="宋体"/>
      <w:kern w:val="2"/>
      <w:sz w:val="21"/>
      <w:lang w:val="en-US" w:eastAsia="zh-CN"/>
    </w:rPr>
  </w:style>
  <w:style w:type="character" w:customStyle="1" w:styleId="65">
    <w:name w:val="标题 1 Char"/>
    <w:qFormat/>
    <w:uiPriority w:val="0"/>
    <w:rPr>
      <w:rFonts w:eastAsia="宋体"/>
      <w:b/>
      <w:kern w:val="44"/>
      <w:sz w:val="30"/>
      <w:lang w:val="en-US" w:eastAsia="zh-CN"/>
    </w:rPr>
  </w:style>
  <w:style w:type="character" w:customStyle="1" w:styleId="66">
    <w:name w:val="标题 4 Char"/>
    <w:qFormat/>
    <w:uiPriority w:val="0"/>
    <w:rPr>
      <w:rFonts w:ascii="Arial" w:hAnsi="Arial" w:eastAsia="黑体"/>
      <w:b/>
      <w:kern w:val="2"/>
      <w:sz w:val="28"/>
      <w:lang w:val="en-US" w:eastAsia="zh-CN"/>
    </w:rPr>
  </w:style>
  <w:style w:type="paragraph" w:customStyle="1" w:styleId="6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二级标题"/>
    <w:basedOn w:val="1"/>
    <w:next w:val="69"/>
    <w:qFormat/>
    <w:uiPriority w:val="0"/>
    <w:pPr>
      <w:numPr>
        <w:ilvl w:val="0"/>
        <w:numId w:val="1"/>
      </w:numPr>
      <w:tabs>
        <w:tab w:val="left" w:pos="992"/>
        <w:tab w:val="clear" w:pos="425"/>
      </w:tabs>
      <w:ind w:left="992" w:hanging="567"/>
      <w:outlineLvl w:val="1"/>
    </w:pPr>
    <w:rPr>
      <w:rFonts w:ascii="黑体" w:eastAsia="黑体"/>
      <w:sz w:val="28"/>
    </w:rPr>
  </w:style>
  <w:style w:type="paragraph" w:customStyle="1" w:styleId="69">
    <w:name w:val="文章正文"/>
    <w:basedOn w:val="1"/>
    <w:qFormat/>
    <w:uiPriority w:val="0"/>
    <w:pPr>
      <w:numPr>
        <w:ilvl w:val="1"/>
        <w:numId w:val="1"/>
      </w:numPr>
      <w:spacing w:before="156" w:beforeLines="50" w:after="156" w:afterLines="50" w:line="320" w:lineRule="exact"/>
      <w:ind w:left="0" w:firstLine="200" w:firstLineChars="200"/>
    </w:pPr>
    <w:rPr>
      <w:rFonts w:ascii="仿宋_GB2312" w:eastAsia="仿宋_GB2312"/>
      <w:sz w:val="28"/>
    </w:rPr>
  </w:style>
  <w:style w:type="paragraph" w:customStyle="1" w:styleId="70">
    <w:name w:val="font5"/>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71">
    <w:name w:val="正文（缩进）"/>
    <w:basedOn w:val="1"/>
    <w:qFormat/>
    <w:uiPriority w:val="0"/>
    <w:pPr>
      <w:widowControl/>
      <w:spacing w:before="156" w:beforeLines="0" w:beforeAutospacing="0" w:after="156" w:afterLines="0" w:afterAutospacing="0"/>
      <w:ind w:firstLine="480" w:firstLineChars="200"/>
      <w:jc w:val="left"/>
    </w:pPr>
    <w:rPr>
      <w:rFonts w:ascii="仿宋_GB2312" w:eastAsia="仿宋_GB2312"/>
      <w:kern w:val="0"/>
      <w:sz w:val="24"/>
    </w:rPr>
  </w:style>
  <w:style w:type="paragraph" w:customStyle="1" w:styleId="72">
    <w:name w:val="Blockquote_0"/>
    <w:basedOn w:val="73"/>
    <w:qFormat/>
    <w:uiPriority w:val="0"/>
    <w:pPr>
      <w:autoSpaceDE w:val="0"/>
      <w:autoSpaceDN w:val="0"/>
      <w:adjustRightInd w:val="0"/>
      <w:spacing w:before="100" w:after="100"/>
      <w:ind w:left="360" w:right="360"/>
      <w:jc w:val="left"/>
    </w:pPr>
    <w:rPr>
      <w:kern w:val="0"/>
      <w:sz w:val="24"/>
      <w:szCs w:val="20"/>
    </w:rPr>
  </w:style>
  <w:style w:type="paragraph" w:customStyle="1" w:styleId="7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75">
    <w:name w:val="Char Char Char Char Char"/>
    <w:basedOn w:val="1"/>
    <w:qFormat/>
    <w:uiPriority w:val="0"/>
    <w:rPr>
      <w:rFonts w:ascii="Tahoma" w:hAnsi="Tahoma"/>
      <w:sz w:val="24"/>
    </w:rPr>
  </w:style>
  <w:style w:type="paragraph" w:customStyle="1" w:styleId="76">
    <w:name w:val="样式1"/>
    <w:basedOn w:val="1"/>
    <w:qFormat/>
    <w:uiPriority w:val="0"/>
    <w:pPr>
      <w:numPr>
        <w:ilvl w:val="0"/>
        <w:numId w:val="2"/>
      </w:numPr>
      <w:adjustRightInd w:val="0"/>
      <w:textAlignment w:val="baseline"/>
    </w:pPr>
    <w:rPr>
      <w:rFonts w:ascii="宋体" w:hAnsi="宋体"/>
      <w:kern w:val="0"/>
    </w:rPr>
  </w:style>
  <w:style w:type="paragraph" w:customStyle="1" w:styleId="7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
    <w:qFormat/>
    <w:uiPriority w:val="0"/>
    <w:rPr>
      <w:rFonts w:ascii="Times New Roman" w:hAnsi="Times New Roman" w:eastAsia="Times New Roman" w:cs="Times New Roman"/>
      <w:sz w:val="24"/>
      <w:szCs w:val="24"/>
      <w:lang w:bidi="ar-SA"/>
    </w:rPr>
  </w:style>
  <w:style w:type="paragraph" w:customStyle="1" w:styleId="79">
    <w:name w:val="Char"/>
    <w:basedOn w:val="1"/>
    <w:qFormat/>
    <w:uiPriority w:val="0"/>
    <w:rPr>
      <w:rFonts w:ascii="Tahoma" w:hAnsi="Tahoma"/>
      <w:sz w:val="24"/>
    </w:rPr>
  </w:style>
  <w:style w:type="paragraph" w:customStyle="1" w:styleId="80">
    <w:name w:val="正文缩进_0"/>
    <w:basedOn w:val="73"/>
    <w:unhideWhenUsed/>
    <w:qFormat/>
    <w:uiPriority w:val="0"/>
    <w:pPr>
      <w:ind w:firstLine="420" w:firstLineChars="200"/>
    </w:pPr>
    <w:rPr>
      <w:rFonts w:ascii="Calibri" w:hAnsi="Calibri"/>
      <w:bCs/>
      <w:szCs w:val="32"/>
    </w:rPr>
  </w:style>
  <w:style w:type="paragraph" w:customStyle="1" w:styleId="81">
    <w:name w:val="Default Paragraph Char Char Char Char"/>
    <w:basedOn w:val="1"/>
    <w:next w:val="1"/>
    <w:qFormat/>
    <w:uiPriority w:val="0"/>
    <w:pPr>
      <w:widowControl/>
      <w:spacing w:line="360" w:lineRule="auto"/>
      <w:jc w:val="left"/>
    </w:pPr>
    <w:rPr>
      <w:kern w:val="0"/>
      <w:lang w:eastAsia="en-US"/>
    </w:rPr>
  </w:style>
  <w:style w:type="paragraph" w:customStyle="1" w:styleId="8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font8"/>
    <w:basedOn w:val="1"/>
    <w:qFormat/>
    <w:uiPriority w:val="0"/>
    <w:pPr>
      <w:widowControl/>
      <w:spacing w:before="100" w:beforeLines="0" w:beforeAutospacing="1" w:after="100" w:afterLines="0" w:afterAutospacing="1"/>
      <w:jc w:val="left"/>
    </w:pPr>
    <w:rPr>
      <w:rFonts w:hint="eastAsia" w:ascii="宋体" w:hAnsi="宋体"/>
      <w:color w:val="000000"/>
      <w:kern w:val="0"/>
      <w:sz w:val="32"/>
    </w:rPr>
  </w:style>
  <w:style w:type="paragraph" w:customStyle="1" w:styleId="84">
    <w:name w:val="D&amp;L"/>
    <w:basedOn w:val="34"/>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5">
    <w:name w:val="Char Char Char"/>
    <w:basedOn w:val="1"/>
    <w:qFormat/>
    <w:uiPriority w:val="0"/>
    <w:rPr>
      <w:rFonts w:ascii="Tahoma" w:hAnsi="Tahoma"/>
      <w:sz w:val="24"/>
    </w:rPr>
  </w:style>
  <w:style w:type="paragraph" w:customStyle="1" w:styleId="86">
    <w:name w:val="基本文字 Char"/>
    <w:basedOn w:val="1"/>
    <w:qFormat/>
    <w:uiPriority w:val="0"/>
    <w:pPr>
      <w:spacing w:before="156" w:beforeLines="0" w:beforeAutospacing="0" w:line="400" w:lineRule="atLeast"/>
      <w:ind w:firstLine="540" w:firstLineChars="225"/>
    </w:pPr>
    <w:rPr>
      <w:sz w:val="24"/>
    </w:rPr>
  </w:style>
  <w:style w:type="paragraph" w:customStyle="1" w:styleId="87">
    <w:name w:val=" Char"/>
    <w:basedOn w:val="1"/>
    <w:qFormat/>
    <w:uiPriority w:val="0"/>
  </w:style>
  <w:style w:type="paragraph" w:customStyle="1" w:styleId="88">
    <w:name w:val=" Char1"/>
    <w:basedOn w:val="1"/>
    <w:qFormat/>
    <w:uiPriority w:val="0"/>
    <w:rPr>
      <w:rFonts w:ascii="Tahoma" w:hAnsi="Tahoma"/>
      <w:sz w:val="24"/>
    </w:rPr>
  </w:style>
  <w:style w:type="paragraph" w:customStyle="1" w:styleId="89">
    <w:name w:val="font7"/>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0">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91">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92">
    <w:name w:val=" Char Char Char"/>
    <w:basedOn w:val="1"/>
    <w:qFormat/>
    <w:uiPriority w:val="0"/>
    <w:rPr>
      <w:rFonts w:ascii="Tahoma" w:hAnsi="Tahoma"/>
      <w:sz w:val="24"/>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94">
    <w:name w:val="Char Char Char Char Char Char Char1 Char"/>
    <w:basedOn w:val="1"/>
    <w:qFormat/>
    <w:uiPriority w:val="0"/>
    <w:rPr>
      <w:rFonts w:ascii="Tahoma" w:hAnsi="Tahoma"/>
      <w:sz w:val="24"/>
    </w:rPr>
  </w:style>
  <w:style w:type="paragraph" w:customStyle="1" w:styleId="9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6">
    <w:name w:val="标题 3_0"/>
    <w:basedOn w:val="73"/>
    <w:next w:val="80"/>
    <w:qFormat/>
    <w:uiPriority w:val="0"/>
    <w:pPr>
      <w:keepNext/>
      <w:keepLines/>
      <w:widowControl/>
      <w:numPr>
        <w:ilvl w:val="2"/>
        <w:numId w:val="3"/>
      </w:numPr>
      <w:spacing w:before="120" w:after="120" w:line="360" w:lineRule="auto"/>
      <w:jc w:val="center"/>
      <w:outlineLvl w:val="2"/>
    </w:pPr>
    <w:rPr>
      <w:b/>
      <w:kern w:val="0"/>
      <w:sz w:val="32"/>
      <w:szCs w:val="20"/>
    </w:rPr>
  </w:style>
  <w:style w:type="paragraph" w:customStyle="1" w:styleId="97">
    <w:name w:val="一级标题"/>
    <w:basedOn w:val="1"/>
    <w:next w:val="68"/>
    <w:qFormat/>
    <w:uiPriority w:val="0"/>
    <w:pPr>
      <w:numPr>
        <w:ilvl w:val="2"/>
        <w:numId w:val="1"/>
      </w:numPr>
      <w:tabs>
        <w:tab w:val="left" w:pos="425"/>
        <w:tab w:val="clear" w:pos="1418"/>
      </w:tabs>
      <w:spacing w:after="312" w:afterLines="100"/>
      <w:ind w:left="850" w:hanging="425"/>
      <w:outlineLvl w:val="0"/>
    </w:pPr>
    <w:rPr>
      <w:rFonts w:ascii="黑体" w:eastAsia="黑体"/>
      <w:sz w:val="30"/>
    </w:rPr>
  </w:style>
  <w:style w:type="paragraph" w:customStyle="1" w:styleId="98">
    <w:name w:val="font9"/>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9">
    <w:name w:val="列出段落"/>
    <w:basedOn w:val="1"/>
    <w:qFormat/>
    <w:uiPriority w:val="0"/>
    <w:pPr>
      <w:ind w:firstLine="420" w:firstLineChars="200"/>
    </w:pPr>
    <w:rPr>
      <w:szCs w:val="24"/>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幼圆" w:hAnsi="宋体" w:eastAsia="幼圆"/>
      <w:kern w:val="0"/>
      <w:sz w:val="32"/>
    </w:rPr>
  </w:style>
  <w:style w:type="paragraph" w:customStyle="1" w:styleId="101">
    <w:name w:val="SUR-需求定义-第4级"/>
    <w:basedOn w:val="5"/>
    <w:next w:val="1"/>
    <w:qFormat/>
    <w:uiPriority w:val="0"/>
    <w:pPr>
      <w:numPr>
        <w:ilvl w:val="3"/>
        <w:numId w:val="4"/>
      </w:numPr>
      <w:tabs>
        <w:tab w:val="left" w:pos="1080"/>
        <w:tab w:val="clear" w:pos="2934"/>
      </w:tabs>
      <w:spacing w:before="0" w:beforeLines="0" w:after="0" w:afterLines="0"/>
      <w:ind w:left="-283" w:firstLine="283"/>
      <w:jc w:val="left"/>
    </w:pPr>
    <w:rPr>
      <w:b w:val="0"/>
      <w:color w:val="0000FF"/>
      <w:sz w:val="24"/>
    </w:rPr>
  </w:style>
  <w:style w:type="paragraph" w:customStyle="1" w:styleId="102">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10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幼圆" w:hAnsi="宋体" w:eastAsia="幼圆"/>
      <w:kern w:val="0"/>
      <w:sz w:val="32"/>
    </w:rPr>
  </w:style>
  <w:style w:type="paragraph" w:customStyle="1" w:styleId="104">
    <w:name w:val="Normal_1"/>
    <w:qFormat/>
    <w:uiPriority w:val="0"/>
    <w:rPr>
      <w:rFonts w:ascii="Times New Roman" w:hAnsi="Times New Roman" w:eastAsia="Times New Roman" w:cs="Times New Roman"/>
      <w:sz w:val="24"/>
      <w:szCs w:val="24"/>
      <w:lang w:bidi="ar-SA"/>
    </w:rPr>
  </w:style>
  <w:style w:type="paragraph" w:customStyle="1" w:styleId="105">
    <w:name w:val="Normal_3"/>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11712</Words>
  <Characters>12044</Characters>
  <Lines>133</Lines>
  <Paragraphs>37</Paragraphs>
  <TotalTime>2</TotalTime>
  <ScaleCrop>false</ScaleCrop>
  <LinksUpToDate>false</LinksUpToDate>
  <CharactersWithSpaces>16347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2012-06-22T09:32:00Z</dcterms:created>
  <dc:creator>lyl</dc:creator>
  <cp:lastModifiedBy>zhu_bolun</cp:lastModifiedBy>
  <cp:lastPrinted>2020-11-20T10:35:00Z</cp:lastPrinted>
  <dcterms:modified xsi:type="dcterms:W3CDTF">2025-09-09T08:05:46Z</dcterms:modified>
  <dc:title>  </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C380E9E091B14AB1B8D8C119D992D38E_13</vt:lpwstr>
  </property>
  <property fmtid="{D5CDD505-2E9C-101B-9397-08002B2CF9AE}" pid="4" name="KSOTemplateDocerSaveRecord">
    <vt:lpwstr>eyJoZGlkIjoiMDRiNzI5OTNhYTc3YTY1NjIzOTgwNDkxNWVhY2EyOGEiLCJ1c2VySWQiOiI0OTc0MTc4MDAifQ==</vt:lpwstr>
  </property>
</Properties>
</file>