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2E709B6E">
          <w:pPr>
            <w:spacing w:line="900" w:lineRule="exact"/>
            <w:ind w:firstLine="440"/>
            <w:jc w:val="center"/>
            <w:rPr>
              <w:rFonts w:hint="eastAsia" w:ascii="微软雅黑" w:hAnsi="微软雅黑" w:eastAsia="微软雅黑" w:cs="微软雅黑"/>
              <w:caps/>
              <w:sz w:val="22"/>
              <w:szCs w:val="22"/>
              <w:lang w:val="zh-CN"/>
            </w:rPr>
          </w:pPr>
          <w:bookmarkStart w:id="0" w:name="_Toc273602339"/>
          <w:bookmarkStart w:id="1" w:name="_Toc328559326"/>
          <w:bookmarkStart w:id="2" w:name="_Toc245092759"/>
        </w:p>
        <w:p w14:paraId="02FFC40F">
          <w:pPr>
            <w:spacing w:line="900" w:lineRule="exact"/>
            <w:jc w:val="center"/>
            <w:rPr>
              <w:rFonts w:hint="eastAsia" w:eastAsia="黑体"/>
              <w:b/>
              <w:bCs/>
              <w:sz w:val="56"/>
              <w:szCs w:val="56"/>
            </w:rPr>
          </w:pPr>
          <w:r>
            <w:rPr>
              <w:rFonts w:hint="eastAsia" w:eastAsia="黑体"/>
              <w:b/>
              <w:bCs/>
              <w:sz w:val="56"/>
              <w:szCs w:val="56"/>
            </w:rPr>
            <w:t>城市更新项目</w:t>
          </w:r>
        </w:p>
        <w:p w14:paraId="0A6E8F10">
          <w:pPr>
            <w:spacing w:line="900" w:lineRule="exact"/>
            <w:jc w:val="center"/>
            <w:rPr>
              <w:rFonts w:hint="eastAsia" w:ascii="宋体" w:hAnsi="宋体"/>
              <w:b/>
              <w:bCs/>
              <w:sz w:val="84"/>
              <w:szCs w:val="84"/>
            </w:rPr>
          </w:pPr>
          <w:r>
            <w:rPr>
              <w:rFonts w:hint="eastAsia" w:eastAsia="黑体"/>
              <w:b/>
              <w:bCs/>
              <w:sz w:val="56"/>
              <w:szCs w:val="56"/>
            </w:rPr>
            <w:t>双节活动媒体宣传</w:t>
          </w:r>
        </w:p>
        <w:p w14:paraId="57220A74">
          <w:pPr>
            <w:adjustRightInd w:val="0"/>
            <w:snapToGrid w:val="0"/>
            <w:spacing w:before="48" w:beforeLines="20" w:after="48" w:afterLines="20" w:line="940" w:lineRule="exact"/>
            <w:jc w:val="center"/>
            <w:rPr>
              <w:rFonts w:hint="eastAsia" w:ascii="宋体" w:hAnsi="宋体"/>
              <w:b/>
              <w:bCs/>
              <w:sz w:val="84"/>
              <w:szCs w:val="84"/>
            </w:rPr>
          </w:pPr>
        </w:p>
        <w:p w14:paraId="4E7305A8">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2DACE000">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5C1A399D">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75211F2A">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12B57403">
          <w:pPr>
            <w:pStyle w:val="28"/>
            <w:ind w:firstLine="600"/>
            <w:rPr>
              <w:rFonts w:hint="eastAsia" w:ascii="宋体" w:hAnsi="宋体"/>
              <w:b/>
              <w:sz w:val="30"/>
              <w:szCs w:val="30"/>
            </w:rPr>
          </w:pPr>
        </w:p>
        <w:p w14:paraId="56306457">
          <w:pPr>
            <w:pStyle w:val="28"/>
            <w:ind w:firstLine="600"/>
            <w:rPr>
              <w:rFonts w:hint="eastAsia" w:ascii="宋体" w:hAnsi="宋体"/>
              <w:b/>
              <w:sz w:val="30"/>
              <w:szCs w:val="30"/>
            </w:rPr>
          </w:pPr>
        </w:p>
        <w:p w14:paraId="198641DD">
          <w:pPr>
            <w:pStyle w:val="24"/>
            <w:numPr>
              <w:ilvl w:val="0"/>
              <w:numId w:val="0"/>
            </w:numPr>
            <w:ind w:left="425" w:hanging="5"/>
          </w:pPr>
        </w:p>
        <w:p w14:paraId="4E99701C">
          <w:pPr>
            <w:pStyle w:val="24"/>
            <w:numPr>
              <w:ilvl w:val="0"/>
              <w:numId w:val="0"/>
            </w:numPr>
            <w:ind w:left="425" w:hanging="5"/>
          </w:pPr>
        </w:p>
        <w:p w14:paraId="6F6EBE2E">
          <w:pPr>
            <w:adjustRightInd w:val="0"/>
            <w:snapToGrid w:val="0"/>
            <w:spacing w:before="48" w:beforeLines="20" w:after="48" w:afterLines="20" w:line="540" w:lineRule="exact"/>
            <w:ind w:firstLine="640"/>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0682ED04">
          <w:pPr>
            <w:tabs>
              <w:tab w:val="left" w:pos="420"/>
              <w:tab w:val="left" w:pos="4200"/>
            </w:tabs>
            <w:spacing w:line="1700" w:lineRule="exact"/>
            <w:ind w:firstLine="720"/>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九</w:t>
          </w:r>
          <w:r>
            <w:rPr>
              <w:rFonts w:ascii="宋体" w:hAnsi="宋体"/>
              <w:bCs/>
              <w:sz w:val="36"/>
            </w:rPr>
            <w:t>月</w:t>
          </w:r>
        </w:p>
        <w:p w14:paraId="67CB6122">
          <w:pPr>
            <w:tabs>
              <w:tab w:val="left" w:pos="4620"/>
            </w:tabs>
            <w:spacing w:line="440" w:lineRule="exact"/>
            <w:ind w:firstLine="643"/>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005A356A">
          <w:pPr>
            <w:spacing w:line="480" w:lineRule="auto"/>
            <w:ind w:firstLine="440"/>
            <w:rPr>
              <w:rFonts w:hint="eastAsia" w:ascii="微软雅黑" w:hAnsi="微软雅黑" w:eastAsia="微软雅黑" w:cs="微软雅黑"/>
              <w:sz w:val="22"/>
              <w:szCs w:val="22"/>
            </w:rPr>
          </w:pPr>
        </w:p>
      </w:sdtContent>
    </w:sdt>
    <w:bookmarkEnd w:id="3"/>
    <w:bookmarkEnd w:id="4"/>
    <w:p w14:paraId="1FBFD1BE">
      <w:pPr>
        <w:spacing w:line="480" w:lineRule="auto"/>
        <w:ind w:firstLine="480" w:firstLineChars="200"/>
        <w:rPr>
          <w:rFonts w:hint="eastAsia" w:ascii="微软雅黑" w:hAnsi="微软雅黑" w:eastAsia="微软雅黑" w:cs="微软雅黑"/>
          <w:color w:val="000000"/>
          <w:sz w:val="24"/>
          <w:szCs w:val="24"/>
        </w:rPr>
      </w:pPr>
      <w:bookmarkStart w:id="5" w:name="_Hlk156310076"/>
      <w:bookmarkStart w:id="6" w:name="_Toc157065227"/>
      <w:r>
        <w:rPr>
          <w:rFonts w:hint="eastAsia" w:ascii="微软雅黑" w:hAnsi="微软雅黑" w:eastAsia="微软雅黑" w:cs="微软雅黑"/>
          <w:color w:val="000000"/>
          <w:sz w:val="24"/>
          <w:szCs w:val="24"/>
        </w:rPr>
        <w:t>合肥市包河区城市更新建设有限公司</w:t>
      </w:r>
      <w:bookmarkEnd w:id="5"/>
      <w:r>
        <w:rPr>
          <w:rFonts w:hint="eastAsia" w:ascii="微软雅黑" w:hAnsi="微软雅黑" w:eastAsia="微软雅黑" w:cs="微软雅黑"/>
          <w:color w:val="000000"/>
          <w:sz w:val="24"/>
          <w:szCs w:val="24"/>
        </w:rPr>
        <w:t>对</w:t>
      </w:r>
      <w:r>
        <w:rPr>
          <w:rFonts w:hint="eastAsia" w:ascii="微软雅黑" w:hAnsi="微软雅黑" w:eastAsia="微软雅黑" w:cs="微软雅黑"/>
          <w:b/>
          <w:bCs/>
          <w:color w:val="000000"/>
          <w:sz w:val="24"/>
          <w:szCs w:val="24"/>
          <w:u w:val="single"/>
        </w:rPr>
        <w:t>“城市更新项目双节活动媒体宣传”</w:t>
      </w:r>
      <w:r>
        <w:rPr>
          <w:rFonts w:hint="eastAsia" w:ascii="微软雅黑" w:hAnsi="微软雅黑" w:eastAsia="微软雅黑" w:cs="微软雅黑"/>
          <w:color w:val="000000"/>
          <w:sz w:val="24"/>
          <w:szCs w:val="24"/>
        </w:rPr>
        <w:t>项目进行</w:t>
      </w:r>
      <w:r>
        <w:rPr>
          <w:rFonts w:hint="eastAsia" w:ascii="微软雅黑" w:hAnsi="微软雅黑" w:eastAsia="微软雅黑" w:cs="微软雅黑"/>
          <w:sz w:val="24"/>
          <w:szCs w:val="24"/>
        </w:rPr>
        <w:t>公开招标</w:t>
      </w:r>
      <w:r>
        <w:rPr>
          <w:rFonts w:hint="eastAsia" w:ascii="微软雅黑" w:hAnsi="微软雅黑" w:eastAsia="微软雅黑" w:cs="微软雅黑"/>
          <w:color w:val="000000"/>
          <w:sz w:val="24"/>
          <w:szCs w:val="24"/>
        </w:rPr>
        <w:t>，欢迎具备条件的投标人参加投标。</w:t>
      </w:r>
    </w:p>
    <w:p w14:paraId="1CDE1C47">
      <w:pPr>
        <w:pStyle w:val="2"/>
        <w:spacing w:before="0" w:after="0" w:line="360" w:lineRule="auto"/>
        <w:ind w:firstLine="520"/>
        <w:jc w:val="cente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 xml:space="preserve">第一章 </w:t>
      </w:r>
      <w:bookmarkEnd w:id="0"/>
      <w:bookmarkEnd w:id="1"/>
      <w:bookmarkEnd w:id="2"/>
      <w:r>
        <w:rPr>
          <w:rFonts w:hint="eastAsia" w:ascii="微软雅黑" w:hAnsi="微软雅黑" w:eastAsia="微软雅黑" w:cs="微软雅黑"/>
          <w:b/>
          <w:bCs/>
          <w:color w:val="000000"/>
          <w:sz w:val="24"/>
          <w:szCs w:val="24"/>
        </w:rPr>
        <w:t>招标公告</w:t>
      </w:r>
      <w:bookmarkEnd w:id="6"/>
    </w:p>
    <w:p w14:paraId="0FEF7EC7">
      <w:pPr>
        <w:autoSpaceDE w:val="0"/>
        <w:autoSpaceDN w:val="0"/>
        <w:adjustRightInd w:val="0"/>
        <w:spacing w:after="0" w:line="360" w:lineRule="auto"/>
        <w:ind w:firstLine="480" w:firstLineChars="200"/>
        <w:rPr>
          <w:rFonts w:hint="eastAsia" w:ascii="微软雅黑" w:hAnsi="微软雅黑" w:eastAsia="微软雅黑" w:cs="微软雅黑"/>
          <w:b/>
          <w:color w:val="000000"/>
          <w:sz w:val="24"/>
          <w:szCs w:val="24"/>
          <w:lang w:val="zh-CN"/>
        </w:rPr>
      </w:pPr>
      <w:r>
        <w:rPr>
          <w:rFonts w:hint="eastAsia" w:ascii="微软雅黑" w:hAnsi="微软雅黑" w:eastAsia="微软雅黑" w:cs="微软雅黑"/>
          <w:b/>
          <w:color w:val="000000"/>
          <w:sz w:val="24"/>
          <w:szCs w:val="24"/>
          <w:lang w:val="zh-CN"/>
        </w:rPr>
        <w:t>一、项目名称及</w:t>
      </w:r>
      <w:r>
        <w:rPr>
          <w:rFonts w:hint="eastAsia" w:ascii="微软雅黑" w:hAnsi="微软雅黑" w:eastAsia="微软雅黑" w:cs="微软雅黑"/>
          <w:b/>
          <w:color w:val="000000"/>
          <w:sz w:val="24"/>
          <w:szCs w:val="24"/>
        </w:rPr>
        <w:t>需求</w:t>
      </w:r>
    </w:p>
    <w:p w14:paraId="71DF477F">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lang w:val="zh-CN"/>
        </w:rPr>
        <w:t>项目名称：城市更新项目双节活动媒体宣传；</w:t>
      </w:r>
    </w:p>
    <w:p w14:paraId="1DC6BD9D">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rPr>
        <w:t>项目需求：结合城市更新双节活动需求，完成相关媒体资源整合及内容发布、互动H5设计制作等；</w:t>
      </w:r>
    </w:p>
    <w:p w14:paraId="6C64E7DB">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rPr>
        <w:t>项目概算（招标控制价）：8万（含税）；</w:t>
      </w:r>
    </w:p>
    <w:p w14:paraId="36B3E363">
      <w:pPr>
        <w:autoSpaceDE w:val="0"/>
        <w:autoSpaceDN w:val="0"/>
        <w:adjustRightInd w:val="0"/>
        <w:spacing w:after="0" w:line="360" w:lineRule="auto"/>
        <w:ind w:firstLine="480" w:firstLineChars="200"/>
        <w:rPr>
          <w:sz w:val="22"/>
          <w:szCs w:val="21"/>
        </w:rPr>
      </w:pPr>
      <w:r>
        <w:rPr>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rPr>
        <w:t>招标方式：公开招标。</w:t>
      </w:r>
    </w:p>
    <w:p w14:paraId="2E2730FF">
      <w:pPr>
        <w:autoSpaceDE w:val="0"/>
        <w:autoSpaceDN w:val="0"/>
        <w:adjustRightInd w:val="0"/>
        <w:spacing w:after="0" w:line="360" w:lineRule="auto"/>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二、投标人资格条件</w:t>
      </w:r>
    </w:p>
    <w:p w14:paraId="308F6CEC">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1.</w:t>
      </w:r>
      <w:r>
        <w:rPr>
          <w:rFonts w:hint="eastAsia" w:ascii="微软雅黑" w:hAnsi="微软雅黑" w:eastAsia="微软雅黑" w:cs="微软雅黑"/>
          <w:color w:val="000000"/>
          <w:sz w:val="24"/>
          <w:szCs w:val="24"/>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09525BC0">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2.</w:t>
      </w:r>
      <w:r>
        <w:rPr>
          <w:rFonts w:hint="eastAsia" w:ascii="微软雅黑" w:hAnsi="微软雅黑" w:eastAsia="微软雅黑" w:cs="微软雅黑"/>
          <w:color w:val="000000"/>
          <w:sz w:val="24"/>
          <w:szCs w:val="24"/>
          <w:lang w:val="zh-CN"/>
        </w:rPr>
        <w:t>投标人的法定代表人或负责人为同一人，存在控股、管理关系的不同投标人，不得参加同一标包投标或者未划分标包的同一招标项目投标。</w:t>
      </w:r>
    </w:p>
    <w:p w14:paraId="37968933">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lang w:val="zh-CN"/>
        </w:rPr>
        <w:t>投标人具有独立承担民事责任的能力。</w:t>
      </w:r>
    </w:p>
    <w:p w14:paraId="252BC71A">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投标人资质要求：具有有效的营业执照，营业执照经营范围应包含</w:t>
      </w:r>
      <w:r>
        <w:rPr>
          <w:rFonts w:hint="eastAsia" w:ascii="微软雅黑" w:hAnsi="微软雅黑" w:eastAsia="微软雅黑" w:cs="微软雅黑"/>
          <w:color w:val="000000"/>
          <w:sz w:val="24"/>
          <w:szCs w:val="24"/>
        </w:rPr>
        <w:t>广告发布</w:t>
      </w:r>
      <w:r>
        <w:rPr>
          <w:rFonts w:hint="eastAsia" w:ascii="微软雅黑" w:hAnsi="微软雅黑" w:eastAsia="微软雅黑" w:cs="微软雅黑"/>
          <w:color w:val="000000"/>
          <w:sz w:val="24"/>
          <w:szCs w:val="24"/>
          <w:lang w:val="zh-CN"/>
        </w:rPr>
        <w:t>等与招标项目相关的业务许可。投标人须提供至少</w:t>
      </w:r>
      <w:r>
        <w:rPr>
          <w:rFonts w:hint="eastAsia" w:ascii="微软雅黑" w:hAnsi="微软雅黑" w:eastAsia="微软雅黑" w:cs="微软雅黑"/>
          <w:color w:val="000000"/>
          <w:sz w:val="24"/>
          <w:szCs w:val="24"/>
        </w:rPr>
        <w:t>三份同类业绩证明（</w:t>
      </w:r>
      <w:r>
        <w:rPr>
          <w:rFonts w:hint="eastAsia" w:ascii="微软雅黑" w:hAnsi="微软雅黑" w:eastAsia="微软雅黑" w:cs="微软雅黑"/>
          <w:color w:val="000000"/>
          <w:sz w:val="24"/>
          <w:szCs w:val="24"/>
          <w:lang w:val="zh-CN"/>
        </w:rPr>
        <w:t>自2022年1月1日起与不同开发商签订的至少3份</w:t>
      </w:r>
      <w:r>
        <w:rPr>
          <w:rFonts w:hint="eastAsia" w:ascii="微软雅黑" w:hAnsi="微软雅黑" w:eastAsia="微软雅黑" w:cs="微软雅黑"/>
          <w:color w:val="000000"/>
          <w:sz w:val="24"/>
          <w:szCs w:val="24"/>
        </w:rPr>
        <w:t>媒体投放类</w:t>
      </w:r>
      <w:r>
        <w:rPr>
          <w:rFonts w:hint="eastAsia" w:ascii="微软雅黑" w:hAnsi="微软雅黑" w:eastAsia="微软雅黑" w:cs="微软雅黑"/>
          <w:color w:val="000000"/>
          <w:sz w:val="24"/>
          <w:szCs w:val="24"/>
          <w:lang w:val="zh-CN"/>
        </w:rPr>
        <w:t>合同，每份合同金额不低于</w:t>
      </w:r>
      <w:r>
        <w:rPr>
          <w:rFonts w:hint="eastAsia" w:ascii="微软雅黑" w:hAnsi="微软雅黑" w:eastAsia="微软雅黑" w:cs="微软雅黑"/>
          <w:color w:val="000000"/>
          <w:sz w:val="24"/>
          <w:szCs w:val="24"/>
        </w:rPr>
        <w:t>8万元</w:t>
      </w:r>
      <w:r>
        <w:rPr>
          <w:rFonts w:hint="eastAsia" w:ascii="微软雅黑" w:hAnsi="微软雅黑" w:eastAsia="微软雅黑" w:cs="微软雅黑"/>
          <w:color w:val="000000"/>
          <w:sz w:val="24"/>
          <w:szCs w:val="24"/>
          <w:lang w:val="zh-CN"/>
        </w:rPr>
        <w:t>）。</w:t>
      </w:r>
    </w:p>
    <w:p w14:paraId="5D452953">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5.</w:t>
      </w:r>
      <w:r>
        <w:rPr>
          <w:rFonts w:hint="eastAsia" w:ascii="微软雅黑" w:hAnsi="微软雅黑" w:eastAsia="微软雅黑" w:cs="微软雅黑"/>
          <w:color w:val="000000"/>
          <w:sz w:val="24"/>
          <w:szCs w:val="24"/>
          <w:lang w:val="zh-CN"/>
        </w:rPr>
        <w:t>投标人需获得招标文件中要求的各媒体平台发布授权许可书（加盖公章）。</w:t>
      </w:r>
    </w:p>
    <w:p w14:paraId="7C71B4FD">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6.</w:t>
      </w:r>
      <w:r>
        <w:rPr>
          <w:rFonts w:hint="eastAsia" w:ascii="微软雅黑" w:hAnsi="微软雅黑" w:eastAsia="微软雅黑" w:cs="微软雅黑"/>
          <w:color w:val="000000"/>
          <w:sz w:val="24"/>
          <w:szCs w:val="24"/>
          <w:lang w:val="zh-CN"/>
        </w:rPr>
        <w:t>本项目不接受联合体投标。</w:t>
      </w:r>
    </w:p>
    <w:p w14:paraId="3139475F">
      <w:pPr>
        <w:numPr>
          <w:numId w:val="0"/>
        </w:numPr>
        <w:autoSpaceDE w:val="0"/>
        <w:autoSpaceDN w:val="0"/>
        <w:adjustRightInd w:val="0"/>
        <w:spacing w:after="0" w:line="360" w:lineRule="auto"/>
        <w:ind w:left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lang w:val="zh-CN"/>
        </w:rPr>
        <w:t>投标人不得存在以下不良信用记录情形：</w:t>
      </w:r>
    </w:p>
    <w:p w14:paraId="17A0682C">
      <w:pPr>
        <w:pStyle w:val="40"/>
        <w:numPr>
          <w:ilvl w:val="0"/>
          <w:numId w:val="2"/>
        </w:numPr>
        <w:tabs>
          <w:tab w:val="left" w:pos="420"/>
        </w:tabs>
        <w:autoSpaceDE w:val="0"/>
        <w:autoSpaceDN w:val="0"/>
        <w:adjustRightInd w:val="0"/>
        <w:spacing w:after="0" w:line="360" w:lineRule="auto"/>
        <w:ind w:hanging="14"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被责令停产停业，暂扣或者吊销许可证，暂扣或者吊销执照；</w:t>
      </w:r>
    </w:p>
    <w:p w14:paraId="510F6506">
      <w:pPr>
        <w:pStyle w:val="40"/>
        <w:numPr>
          <w:ilvl w:val="0"/>
          <w:numId w:val="2"/>
        </w:numPr>
        <w:tabs>
          <w:tab w:val="left" w:pos="420"/>
        </w:tabs>
        <w:autoSpaceDE w:val="0"/>
        <w:autoSpaceDN w:val="0"/>
        <w:adjustRightInd w:val="0"/>
        <w:spacing w:after="0" w:line="360" w:lineRule="auto"/>
        <w:ind w:hanging="14"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进入清算程序，或被宣告破产，或其他丧失履约能力的情形；</w:t>
      </w:r>
    </w:p>
    <w:p w14:paraId="5F58EFEC">
      <w:pPr>
        <w:pStyle w:val="40"/>
        <w:numPr>
          <w:ilvl w:val="0"/>
          <w:numId w:val="2"/>
        </w:numPr>
        <w:tabs>
          <w:tab w:val="left" w:pos="420"/>
        </w:tabs>
        <w:autoSpaceDE w:val="0"/>
        <w:autoSpaceDN w:val="0"/>
        <w:adjustRightInd w:val="0"/>
        <w:spacing w:after="0" w:line="360" w:lineRule="auto"/>
        <w:ind w:hanging="14"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在国家企业信用信息公示系统（http://www.gsxt.gov.cn/）中被列入严重违法失信企业名单；</w:t>
      </w:r>
    </w:p>
    <w:p w14:paraId="0C16C556">
      <w:pPr>
        <w:pStyle w:val="40"/>
        <w:numPr>
          <w:ilvl w:val="0"/>
          <w:numId w:val="2"/>
        </w:numPr>
        <w:tabs>
          <w:tab w:val="left" w:pos="420"/>
        </w:tabs>
        <w:autoSpaceDE w:val="0"/>
        <w:autoSpaceDN w:val="0"/>
        <w:adjustRightInd w:val="0"/>
        <w:spacing w:after="0" w:line="360" w:lineRule="auto"/>
        <w:ind w:hanging="14"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在“信用中国”网站（http://www.creditchina.gov.cn/）中被列入失信被执行人名单；</w:t>
      </w:r>
    </w:p>
    <w:p w14:paraId="58866180">
      <w:pPr>
        <w:pStyle w:val="40"/>
        <w:numPr>
          <w:ilvl w:val="0"/>
          <w:numId w:val="2"/>
        </w:numPr>
        <w:tabs>
          <w:tab w:val="left" w:pos="420"/>
        </w:tabs>
        <w:autoSpaceDE w:val="0"/>
        <w:autoSpaceDN w:val="0"/>
        <w:adjustRightInd w:val="0"/>
        <w:spacing w:after="0" w:line="360" w:lineRule="auto"/>
        <w:ind w:hanging="14"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在“信用中国”网站（http://www.creditchina.gov.cn/）中被列入重大税收违法失信主体名单；</w:t>
      </w:r>
    </w:p>
    <w:p w14:paraId="3E0EEE15">
      <w:pPr>
        <w:pStyle w:val="40"/>
        <w:numPr>
          <w:ilvl w:val="0"/>
          <w:numId w:val="2"/>
        </w:numPr>
        <w:tabs>
          <w:tab w:val="left" w:pos="420"/>
        </w:tabs>
        <w:autoSpaceDE w:val="0"/>
        <w:autoSpaceDN w:val="0"/>
        <w:adjustRightInd w:val="0"/>
        <w:spacing w:after="0" w:line="360" w:lineRule="auto"/>
        <w:ind w:hanging="14" w:firstLineChars="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在近三年内投标人或其法定代表人（单位负责人）有行贿犯罪行为的；</w:t>
      </w:r>
    </w:p>
    <w:p w14:paraId="5DD07DDC">
      <w:pPr>
        <w:pStyle w:val="28"/>
        <w:ind w:firstLine="440"/>
        <w:rPr>
          <w:sz w:val="22"/>
          <w:szCs w:val="21"/>
        </w:rPr>
      </w:pPr>
    </w:p>
    <w:p w14:paraId="22793FC9">
      <w:pPr>
        <w:autoSpaceDE w:val="0"/>
        <w:autoSpaceDN w:val="0"/>
        <w:adjustRightInd w:val="0"/>
        <w:spacing w:after="0" w:line="360" w:lineRule="auto"/>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三、评标方法（综合评分法）</w:t>
      </w:r>
    </w:p>
    <w:p w14:paraId="2090B3D9">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rPr>
        <w:t>投标人投标报价不得高于招标控制价，否则其报价无效。</w:t>
      </w:r>
    </w:p>
    <w:p w14:paraId="6A505DA7">
      <w:pPr>
        <w:autoSpaceDE w:val="0"/>
        <w:autoSpaceDN w:val="0"/>
        <w:adjustRightInd w:val="0"/>
        <w:spacing w:after="0" w:line="360" w:lineRule="auto"/>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rPr>
        <w:t>经评标小组评审符合招标文件规定条件的有效投标人如低于三家，则本次招标流标（另行重新组织招标）。</w:t>
      </w:r>
    </w:p>
    <w:p w14:paraId="49EA1A9F">
      <w:pPr>
        <w:adjustRightInd w:val="0"/>
        <w:snapToGrid w:val="0"/>
        <w:spacing w:line="360" w:lineRule="auto"/>
        <w:ind w:right="-10" w:firstLine="480" w:firstLineChars="200"/>
        <w:rPr>
          <w:rFonts w:hint="eastAsia"/>
          <w:sz w:val="22"/>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w:t>
      </w:r>
      <w:bookmarkStart w:id="79" w:name="_GoBack"/>
      <w:bookmarkEnd w:id="79"/>
      <w:r>
        <w:rPr>
          <w:rFonts w:hint="eastAsia" w:ascii="微软雅黑" w:hAnsi="微软雅黑" w:eastAsia="微软雅黑" w:cs="微软雅黑"/>
          <w:sz w:val="24"/>
          <w:szCs w:val="24"/>
        </w:rPr>
        <w:t>详细评审详见评分标准表。</w:t>
      </w:r>
    </w:p>
    <w:p w14:paraId="350C1244">
      <w:pPr>
        <w:autoSpaceDE w:val="0"/>
        <w:autoSpaceDN w:val="0"/>
        <w:adjustRightInd w:val="0"/>
        <w:spacing w:line="360" w:lineRule="auto"/>
        <w:ind w:firstLine="480" w:firstLineChars="20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四、投标报名提交材料及格式要求</w:t>
      </w:r>
    </w:p>
    <w:p w14:paraId="2B257FA4">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（一）报名材料</w:t>
      </w:r>
    </w:p>
    <w:p w14:paraId="589E6E40">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附件1：投标函 加盖公章；</w:t>
      </w:r>
    </w:p>
    <w:p w14:paraId="50F86584">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附件2：法人授权委托书 加盖公章；</w:t>
      </w:r>
    </w:p>
    <w:p w14:paraId="645B51BE">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附件3：投标人信用承诺函 加盖公章；</w:t>
      </w:r>
    </w:p>
    <w:p w14:paraId="1E5BC93B">
      <w:pPr>
        <w:autoSpaceDE w:val="0"/>
        <w:autoSpaceDN w:val="0"/>
        <w:adjustRightInd w:val="0"/>
        <w:spacing w:line="36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附件4：资质证明文件：营业执照、</w:t>
      </w:r>
      <w:r>
        <w:rPr>
          <w:rFonts w:hint="eastAsia" w:ascii="微软雅黑" w:hAnsi="微软雅黑" w:eastAsia="微软雅黑" w:cs="微软雅黑"/>
          <w:sz w:val="24"/>
          <w:szCs w:val="24"/>
        </w:rPr>
        <w:t>业绩证明</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val="zh-CN"/>
        </w:rPr>
        <w:t>自2022年1月1日起与不同开发商签订的至少3份</w:t>
      </w:r>
      <w:r>
        <w:rPr>
          <w:rFonts w:hint="eastAsia" w:ascii="微软雅黑" w:hAnsi="微软雅黑" w:eastAsia="微软雅黑" w:cs="微软雅黑"/>
          <w:color w:val="000000"/>
          <w:sz w:val="24"/>
          <w:szCs w:val="24"/>
        </w:rPr>
        <w:t>媒体投放类</w:t>
      </w:r>
      <w:r>
        <w:rPr>
          <w:rFonts w:hint="eastAsia" w:ascii="微软雅黑" w:hAnsi="微软雅黑" w:eastAsia="微软雅黑" w:cs="微软雅黑"/>
          <w:color w:val="000000"/>
          <w:sz w:val="24"/>
          <w:szCs w:val="24"/>
          <w:lang w:val="zh-CN"/>
        </w:rPr>
        <w:t>合同，每份合同金额不低于</w:t>
      </w:r>
      <w:r>
        <w:rPr>
          <w:rFonts w:hint="eastAsia" w:ascii="微软雅黑" w:hAnsi="微软雅黑" w:eastAsia="微软雅黑" w:cs="微软雅黑"/>
          <w:color w:val="000000"/>
          <w:sz w:val="24"/>
          <w:szCs w:val="24"/>
        </w:rPr>
        <w:t>8万元</w:t>
      </w:r>
      <w:r>
        <w:rPr>
          <w:rFonts w:hint="eastAsia" w:ascii="微软雅黑" w:hAnsi="微软雅黑" w:eastAsia="微软雅黑" w:cs="微软雅黑"/>
          <w:color w:val="000000"/>
          <w:sz w:val="24"/>
          <w:szCs w:val="24"/>
          <w:lang w:val="zh-CN"/>
        </w:rPr>
        <w:t>）、招标文件中要求的各媒体平台发布授权许可书</w:t>
      </w:r>
      <w:r>
        <w:rPr>
          <w:rFonts w:hint="eastAsia" w:ascii="微软雅黑" w:hAnsi="微软雅黑" w:eastAsia="微软雅黑" w:cs="微软雅黑"/>
          <w:sz w:val="24"/>
          <w:szCs w:val="24"/>
          <w:lang w:val="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zh-CN"/>
        </w:rPr>
        <w:t>加盖公章；</w:t>
      </w:r>
    </w:p>
    <w:p w14:paraId="5E4B391B">
      <w:pPr>
        <w:autoSpaceDE w:val="0"/>
        <w:autoSpaceDN w:val="0"/>
        <w:adjustRightInd w:val="0"/>
        <w:spacing w:line="36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附件5：合作确认书 加盖公章；</w:t>
      </w:r>
    </w:p>
    <w:p w14:paraId="37C90EBA">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（二）投标报价</w:t>
      </w:r>
    </w:p>
    <w:p w14:paraId="3746CC43">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附件1：投标报价函 加盖公章；</w:t>
      </w:r>
    </w:p>
    <w:p w14:paraId="32170640">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附件2：投标报价单 加盖公章；</w:t>
      </w:r>
    </w:p>
    <w:p w14:paraId="3C548AEC">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附件3：服务方案（PPT版本） 加盖公章。</w:t>
      </w:r>
    </w:p>
    <w:p w14:paraId="38578BE8">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（三）投标要求</w:t>
      </w:r>
    </w:p>
    <w:p w14:paraId="119F2823">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投标人应按本招标文件“招投标日程表”规定的时间、地点，向招标人密封盖章提交投标文件，于9月22日11时前送至合肥市包河区城市更新建设有限公司，地址：合肥市包河区徽州大道1388号401。</w:t>
      </w:r>
    </w:p>
    <w:p w14:paraId="21D38CED">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注：不接受任何形式邮寄文件或电子文件，请投标单位投标负责人密封盖章提交，并以当面确认签字为准。</w:t>
      </w:r>
    </w:p>
    <w:p w14:paraId="4BD21B24">
      <w:pPr>
        <w:spacing w:line="360"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u w:val="single"/>
        </w:rPr>
        <w:t xml:space="preserve">  费思远   </w:t>
      </w:r>
    </w:p>
    <w:p w14:paraId="56681303">
      <w:pPr>
        <w:spacing w:line="360" w:lineRule="auto"/>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报名热线：</w:t>
      </w:r>
      <w:r>
        <w:rPr>
          <w:rFonts w:hint="eastAsia" w:ascii="微软雅黑" w:hAnsi="微软雅黑" w:eastAsia="微软雅黑" w:cs="微软雅黑"/>
          <w:sz w:val="24"/>
          <w:szCs w:val="24"/>
          <w:u w:val="single"/>
        </w:rPr>
        <w:t xml:space="preserve">  0551-63456711    </w:t>
      </w:r>
    </w:p>
    <w:p w14:paraId="71AE393F">
      <w:pPr>
        <w:pStyle w:val="26"/>
        <w:spacing w:before="0" w:beforeAutospacing="0" w:after="0" w:afterAutospacing="0" w:line="360" w:lineRule="auto"/>
        <w:ind w:firstLine="480" w:firstLineChars="200"/>
        <w:rPr>
          <w:rFonts w:hint="eastAsia" w:ascii="微软雅黑" w:hAnsi="微软雅黑" w:eastAsia="微软雅黑" w:cs="微软雅黑"/>
          <w:szCs w:val="24"/>
        </w:rPr>
      </w:pPr>
      <w:r>
        <w:rPr>
          <w:rFonts w:hint="eastAsia" w:ascii="微软雅黑" w:hAnsi="微软雅黑" w:eastAsia="微软雅黑" w:cs="微软雅黑"/>
          <w:szCs w:val="24"/>
        </w:rPr>
        <w:t>联系地址：合肥市包河区徽州大道1388号4楼401</w:t>
      </w:r>
    </w:p>
    <w:p w14:paraId="43D719F3">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（四）开标</w:t>
      </w:r>
    </w:p>
    <w:p w14:paraId="2E0B670E">
      <w:pPr>
        <w:autoSpaceDE w:val="0"/>
        <w:autoSpaceDN w:val="0"/>
        <w:adjustRightIn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具体开标时间、地点详见本招标文件“招投标日程表”。</w:t>
      </w:r>
    </w:p>
    <w:p w14:paraId="067D4D85">
      <w:pPr>
        <w:autoSpaceDE w:val="0"/>
        <w:autoSpaceDN w:val="0"/>
        <w:adjustRightInd w:val="0"/>
        <w:spacing w:line="360" w:lineRule="auto"/>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五、招标日程表</w:t>
      </w:r>
    </w:p>
    <w:tbl>
      <w:tblPr>
        <w:tblStyle w:val="29"/>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120"/>
        <w:gridCol w:w="3666"/>
        <w:gridCol w:w="3666"/>
      </w:tblGrid>
      <w:tr w14:paraId="0500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462" w:type="pct"/>
            <w:vAlign w:val="center"/>
          </w:tcPr>
          <w:p w14:paraId="10139B18">
            <w:pPr>
              <w:tabs>
                <w:tab w:val="left" w:pos="993"/>
              </w:tabs>
              <w:adjustRightInd w:val="0"/>
              <w:snapToGrid w:val="0"/>
              <w:spacing w:after="0" w:line="24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1018" w:type="pct"/>
            <w:vAlign w:val="center"/>
          </w:tcPr>
          <w:p w14:paraId="5B31AEE6">
            <w:pPr>
              <w:tabs>
                <w:tab w:val="left" w:pos="993"/>
              </w:tabs>
              <w:adjustRightInd w:val="0"/>
              <w:snapToGrid w:val="0"/>
              <w:spacing w:after="0" w:line="24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内容</w:t>
            </w:r>
          </w:p>
        </w:tc>
        <w:tc>
          <w:tcPr>
            <w:tcW w:w="1760" w:type="pct"/>
            <w:vAlign w:val="center"/>
          </w:tcPr>
          <w:p w14:paraId="1C0F9CD3">
            <w:pPr>
              <w:tabs>
                <w:tab w:val="left" w:pos="993"/>
              </w:tabs>
              <w:adjustRightInd w:val="0"/>
              <w:snapToGrid w:val="0"/>
              <w:spacing w:after="0" w:line="24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时间</w:t>
            </w:r>
          </w:p>
        </w:tc>
        <w:tc>
          <w:tcPr>
            <w:tcW w:w="1760" w:type="pct"/>
            <w:vAlign w:val="center"/>
          </w:tcPr>
          <w:p w14:paraId="1E001A61">
            <w:pPr>
              <w:tabs>
                <w:tab w:val="left" w:pos="993"/>
              </w:tabs>
              <w:adjustRightInd w:val="0"/>
              <w:snapToGrid w:val="0"/>
              <w:spacing w:after="0" w:line="24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地点</w:t>
            </w:r>
          </w:p>
        </w:tc>
      </w:tr>
      <w:tr w14:paraId="2D01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2" w:type="pct"/>
            <w:vAlign w:val="center"/>
          </w:tcPr>
          <w:p w14:paraId="07C26291">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c>
          <w:tcPr>
            <w:tcW w:w="1018" w:type="pct"/>
            <w:vAlign w:val="center"/>
          </w:tcPr>
          <w:p w14:paraId="474C16B0">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招标文件发布</w:t>
            </w:r>
          </w:p>
        </w:tc>
        <w:tc>
          <w:tcPr>
            <w:tcW w:w="1760" w:type="pct"/>
            <w:vAlign w:val="center"/>
          </w:tcPr>
          <w:p w14:paraId="4D0F38C0">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2025年9月17日</w:t>
            </w:r>
          </w:p>
        </w:tc>
        <w:tc>
          <w:tcPr>
            <w:tcW w:w="1760" w:type="pct"/>
            <w:vAlign w:val="center"/>
          </w:tcPr>
          <w:p w14:paraId="5C00FD48">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合肥滨湖集团公共平台</w:t>
            </w:r>
          </w:p>
        </w:tc>
      </w:tr>
      <w:tr w14:paraId="7599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2" w:type="pct"/>
            <w:vAlign w:val="center"/>
          </w:tcPr>
          <w:p w14:paraId="32F1DD20">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2</w:t>
            </w:r>
          </w:p>
        </w:tc>
        <w:tc>
          <w:tcPr>
            <w:tcW w:w="1018" w:type="pct"/>
            <w:vAlign w:val="center"/>
          </w:tcPr>
          <w:p w14:paraId="03BCD8F7">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投标文件提交</w:t>
            </w:r>
          </w:p>
        </w:tc>
        <w:tc>
          <w:tcPr>
            <w:tcW w:w="1760" w:type="pct"/>
            <w:vAlign w:val="center"/>
          </w:tcPr>
          <w:p w14:paraId="7EDC2204">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截至2025年</w:t>
            </w:r>
          </w:p>
          <w:p w14:paraId="5E11ECB0">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9月22日11时</w:t>
            </w:r>
          </w:p>
        </w:tc>
        <w:tc>
          <w:tcPr>
            <w:tcW w:w="1760" w:type="pct"/>
            <w:vAlign w:val="center"/>
          </w:tcPr>
          <w:p w14:paraId="70B1F1E1">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合肥市包河区徽州大道1388号</w:t>
            </w:r>
          </w:p>
        </w:tc>
      </w:tr>
      <w:tr w14:paraId="1E1F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62" w:type="pct"/>
            <w:vAlign w:val="center"/>
          </w:tcPr>
          <w:p w14:paraId="102DEEF5">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3</w:t>
            </w:r>
          </w:p>
        </w:tc>
        <w:tc>
          <w:tcPr>
            <w:tcW w:w="1018" w:type="pct"/>
            <w:vAlign w:val="center"/>
          </w:tcPr>
          <w:p w14:paraId="4D34F5C2">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开标时间、地点</w:t>
            </w:r>
          </w:p>
        </w:tc>
        <w:tc>
          <w:tcPr>
            <w:tcW w:w="1760" w:type="pct"/>
            <w:vAlign w:val="center"/>
          </w:tcPr>
          <w:p w14:paraId="03C4FBA2">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2025年9月22日（暂定）</w:t>
            </w:r>
          </w:p>
        </w:tc>
        <w:tc>
          <w:tcPr>
            <w:tcW w:w="1760" w:type="pct"/>
            <w:vAlign w:val="center"/>
          </w:tcPr>
          <w:p w14:paraId="36F61566">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合肥滨湖集团5楼开标室</w:t>
            </w:r>
          </w:p>
          <w:p w14:paraId="199FAF97">
            <w:pPr>
              <w:tabs>
                <w:tab w:val="left" w:pos="993"/>
              </w:tabs>
              <w:adjustRightInd w:val="0"/>
              <w:snapToGrid w:val="0"/>
              <w:spacing w:after="0" w:line="24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（暂定）</w:t>
            </w:r>
          </w:p>
        </w:tc>
      </w:tr>
    </w:tbl>
    <w:p w14:paraId="4C36544E">
      <w:pPr>
        <w:tabs>
          <w:tab w:val="left" w:pos="993"/>
        </w:tabs>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投标报价：</w:t>
      </w:r>
      <w:r>
        <w:rPr>
          <w:rFonts w:hint="eastAsia" w:ascii="微软雅黑" w:hAnsi="微软雅黑" w:eastAsia="微软雅黑" w:cs="微软雅黑"/>
          <w:sz w:val="24"/>
          <w:szCs w:val="24"/>
        </w:rPr>
        <w:t>不超过8万（含税）。</w:t>
      </w:r>
    </w:p>
    <w:p w14:paraId="5B4D101F">
      <w:pPr>
        <w:tabs>
          <w:tab w:val="left" w:pos="993"/>
        </w:tabs>
        <w:spacing w:line="44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内容需求如下：</w:t>
      </w:r>
    </w:p>
    <w:tbl>
      <w:tblPr>
        <w:tblStyle w:val="30"/>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09"/>
        <w:gridCol w:w="3686"/>
        <w:gridCol w:w="3927"/>
        <w:gridCol w:w="591"/>
      </w:tblGrid>
      <w:tr w14:paraId="7FA9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54" w:type="dxa"/>
            <w:noWrap/>
            <w:vAlign w:val="center"/>
          </w:tcPr>
          <w:p w14:paraId="422E5A5A">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类型</w:t>
            </w:r>
          </w:p>
        </w:tc>
        <w:tc>
          <w:tcPr>
            <w:tcW w:w="1509" w:type="dxa"/>
            <w:noWrap/>
            <w:vAlign w:val="center"/>
          </w:tcPr>
          <w:p w14:paraId="074D0877">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名称</w:t>
            </w:r>
          </w:p>
        </w:tc>
        <w:tc>
          <w:tcPr>
            <w:tcW w:w="3686" w:type="dxa"/>
            <w:vAlign w:val="center"/>
          </w:tcPr>
          <w:p w14:paraId="314A6192">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合作内容</w:t>
            </w:r>
          </w:p>
        </w:tc>
        <w:tc>
          <w:tcPr>
            <w:tcW w:w="3927" w:type="dxa"/>
            <w:vAlign w:val="center"/>
          </w:tcPr>
          <w:p w14:paraId="0D8DFB8E">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内容需求</w:t>
            </w:r>
          </w:p>
        </w:tc>
        <w:tc>
          <w:tcPr>
            <w:tcW w:w="591" w:type="dxa"/>
            <w:vAlign w:val="center"/>
          </w:tcPr>
          <w:p w14:paraId="1AF81E13">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数量</w:t>
            </w:r>
          </w:p>
        </w:tc>
      </w:tr>
      <w:tr w14:paraId="21DA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4" w:type="dxa"/>
            <w:vMerge w:val="restart"/>
            <w:noWrap/>
            <w:vAlign w:val="center"/>
          </w:tcPr>
          <w:p w14:paraId="19606D79">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线上资源</w:t>
            </w:r>
          </w:p>
        </w:tc>
        <w:tc>
          <w:tcPr>
            <w:tcW w:w="1509" w:type="dxa"/>
            <w:noWrap/>
            <w:vAlign w:val="center"/>
          </w:tcPr>
          <w:p w14:paraId="23547AB9">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合肥晚报</w:t>
            </w:r>
          </w:p>
        </w:tc>
        <w:tc>
          <w:tcPr>
            <w:tcW w:w="3686" w:type="dxa"/>
            <w:vAlign w:val="center"/>
          </w:tcPr>
          <w:p w14:paraId="7AF4D4C9">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1.公众号次头条原创文章发布</w:t>
            </w:r>
            <w:r>
              <w:rPr>
                <w:rFonts w:hint="eastAsia" w:ascii="微软雅黑" w:hAnsi="微软雅黑" w:eastAsia="微软雅黑" w:cs="宋体"/>
                <w:color w:val="000000"/>
              </w:rPr>
              <w:br w:type="textWrapping"/>
            </w:r>
            <w:r>
              <w:rPr>
                <w:rFonts w:hint="eastAsia" w:ascii="微软雅黑" w:hAnsi="微软雅黑" w:eastAsia="微软雅黑" w:cs="宋体"/>
                <w:color w:val="000000"/>
              </w:rPr>
              <w:t>2.含公众号推发/微信/社群/资讯推发</w:t>
            </w:r>
          </w:p>
        </w:tc>
        <w:tc>
          <w:tcPr>
            <w:tcW w:w="3927" w:type="dxa"/>
            <w:vAlign w:val="center"/>
          </w:tcPr>
          <w:p w14:paraId="1D940B19">
            <w:pPr>
              <w:widowControl w:val="0"/>
              <w:spacing w:after="0" w:line="240" w:lineRule="auto"/>
              <w:jc w:val="left"/>
              <w:rPr>
                <w:rFonts w:hint="eastAsia" w:ascii="微软雅黑" w:hAnsi="微软雅黑" w:eastAsia="微软雅黑" w:cs="宋体"/>
                <w:b/>
                <w:bCs/>
                <w:color w:val="000000"/>
              </w:rPr>
            </w:pPr>
            <w:r>
              <w:rPr>
                <w:rFonts w:ascii="微软雅黑" w:hAnsi="微软雅黑" w:eastAsia="微软雅黑" w:cs="宋体"/>
                <w:b/>
                <w:bCs/>
                <w:color w:val="000000"/>
              </w:rPr>
              <w:t>【原创次条图文】</w:t>
            </w:r>
            <w:r>
              <w:rPr>
                <w:rFonts w:hint="eastAsia" w:ascii="微软雅黑" w:hAnsi="微软雅黑" w:eastAsia="微软雅黑" w:cs="宋体"/>
                <w:b/>
                <w:bCs/>
                <w:color w:val="000000"/>
              </w:rPr>
              <w:br w:type="textWrapping"/>
            </w:r>
            <w:r>
              <w:rPr>
                <w:rFonts w:ascii="微软雅黑" w:hAnsi="微软雅黑" w:eastAsia="微软雅黑" w:cs="宋体"/>
                <w:color w:val="000000"/>
              </w:rPr>
              <w:t>原创稿件，需植入城市更新项目信息及互动H5二维码，不少于1000字，包含稿件撰写、公众号排版及发布。</w:t>
            </w:r>
          </w:p>
        </w:tc>
        <w:tc>
          <w:tcPr>
            <w:tcW w:w="591" w:type="dxa"/>
            <w:vAlign w:val="center"/>
          </w:tcPr>
          <w:p w14:paraId="537A7D19">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1篇</w:t>
            </w:r>
          </w:p>
        </w:tc>
      </w:tr>
      <w:tr w14:paraId="19F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54" w:type="dxa"/>
            <w:vMerge w:val="continue"/>
            <w:vAlign w:val="center"/>
          </w:tcPr>
          <w:p w14:paraId="690E6A9E">
            <w:pPr>
              <w:widowControl w:val="0"/>
              <w:spacing w:after="0" w:line="240" w:lineRule="auto"/>
              <w:jc w:val="center"/>
              <w:rPr>
                <w:rFonts w:hint="eastAsia" w:ascii="微软雅黑" w:hAnsi="微软雅黑" w:eastAsia="微软雅黑" w:cs="宋体"/>
                <w:b/>
                <w:bCs/>
                <w:color w:val="000000"/>
              </w:rPr>
            </w:pPr>
          </w:p>
        </w:tc>
        <w:tc>
          <w:tcPr>
            <w:tcW w:w="1509" w:type="dxa"/>
            <w:noWrap/>
            <w:vAlign w:val="center"/>
          </w:tcPr>
          <w:p w14:paraId="691D1C44">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合肥论坛</w:t>
            </w:r>
          </w:p>
        </w:tc>
        <w:tc>
          <w:tcPr>
            <w:tcW w:w="3686" w:type="dxa"/>
            <w:vAlign w:val="center"/>
          </w:tcPr>
          <w:p w14:paraId="1CD259FC">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1.公众号头条原创文章发布</w:t>
            </w:r>
            <w:r>
              <w:rPr>
                <w:rFonts w:hint="eastAsia" w:ascii="微软雅黑" w:hAnsi="微软雅黑" w:eastAsia="微软雅黑" w:cs="宋体"/>
                <w:color w:val="000000"/>
              </w:rPr>
              <w:br w:type="textWrapping"/>
            </w:r>
            <w:r>
              <w:rPr>
                <w:rFonts w:hint="eastAsia" w:ascii="微软雅黑" w:hAnsi="微软雅黑" w:eastAsia="微软雅黑" w:cs="宋体"/>
                <w:color w:val="000000"/>
              </w:rPr>
              <w:t>2.含公众号推发/微信/社群/资讯推发</w:t>
            </w:r>
          </w:p>
        </w:tc>
        <w:tc>
          <w:tcPr>
            <w:tcW w:w="3927" w:type="dxa"/>
            <w:vAlign w:val="center"/>
          </w:tcPr>
          <w:p w14:paraId="4CD2E6FF">
            <w:pPr>
              <w:widowControl w:val="0"/>
              <w:spacing w:after="0" w:line="240" w:lineRule="auto"/>
              <w:jc w:val="left"/>
              <w:rPr>
                <w:rFonts w:hint="eastAsia" w:ascii="微软雅黑" w:hAnsi="微软雅黑" w:eastAsia="微软雅黑" w:cs="宋体"/>
                <w:b/>
                <w:bCs/>
                <w:color w:val="000000"/>
              </w:rPr>
            </w:pPr>
            <w:r>
              <w:rPr>
                <w:rFonts w:ascii="微软雅黑" w:hAnsi="微软雅黑" w:eastAsia="微软雅黑" w:cs="宋体"/>
                <w:b/>
                <w:bCs/>
                <w:color w:val="000000"/>
              </w:rPr>
              <w:t>【原创头条图文】</w:t>
            </w:r>
            <w:r>
              <w:rPr>
                <w:rFonts w:hint="eastAsia" w:ascii="微软雅黑" w:hAnsi="微软雅黑" w:eastAsia="微软雅黑" w:cs="宋体"/>
                <w:b/>
                <w:bCs/>
                <w:color w:val="000000"/>
              </w:rPr>
              <w:br w:type="textWrapping"/>
            </w:r>
            <w:r>
              <w:rPr>
                <w:rFonts w:ascii="微软雅黑" w:hAnsi="微软雅黑" w:eastAsia="微软雅黑" w:cs="宋体"/>
                <w:color w:val="000000"/>
              </w:rPr>
              <w:t>原创稿件，需植入城市更新项目信息及互动H5二维码，不少于1000字，包含稿件撰写、公众号排版及发布。</w:t>
            </w:r>
          </w:p>
        </w:tc>
        <w:tc>
          <w:tcPr>
            <w:tcW w:w="591" w:type="dxa"/>
            <w:vAlign w:val="center"/>
          </w:tcPr>
          <w:p w14:paraId="51F4A54B">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1篇</w:t>
            </w:r>
          </w:p>
        </w:tc>
      </w:tr>
      <w:tr w14:paraId="0487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54" w:type="dxa"/>
            <w:vMerge w:val="continue"/>
            <w:vAlign w:val="center"/>
          </w:tcPr>
          <w:p w14:paraId="0E722670">
            <w:pPr>
              <w:widowControl w:val="0"/>
              <w:spacing w:after="0" w:line="240" w:lineRule="auto"/>
              <w:jc w:val="center"/>
              <w:rPr>
                <w:rFonts w:hint="eastAsia" w:ascii="微软雅黑" w:hAnsi="微软雅黑" w:eastAsia="微软雅黑" w:cs="宋体"/>
                <w:b/>
                <w:bCs/>
                <w:color w:val="000000"/>
              </w:rPr>
            </w:pPr>
          </w:p>
        </w:tc>
        <w:tc>
          <w:tcPr>
            <w:tcW w:w="1509" w:type="dxa"/>
            <w:noWrap/>
            <w:vAlign w:val="center"/>
          </w:tcPr>
          <w:p w14:paraId="4C3954E1">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合肥全攻略</w:t>
            </w:r>
          </w:p>
        </w:tc>
        <w:tc>
          <w:tcPr>
            <w:tcW w:w="3686" w:type="dxa"/>
            <w:vAlign w:val="center"/>
          </w:tcPr>
          <w:p w14:paraId="4E7A0C6F">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 微信公众号原创文章推发/微信/社群/资讯推发</w:t>
            </w:r>
            <w:r>
              <w:rPr>
                <w:rFonts w:hint="eastAsia" w:ascii="微软雅黑" w:hAnsi="微软雅黑" w:eastAsia="微软雅黑" w:cs="宋体"/>
                <w:color w:val="000000"/>
              </w:rPr>
              <w:br w:type="textWrapping"/>
            </w:r>
            <w:r>
              <w:rPr>
                <w:rFonts w:hint="eastAsia" w:ascii="微软雅黑" w:hAnsi="微软雅黑" w:eastAsia="微软雅黑" w:cs="宋体"/>
                <w:color w:val="000000"/>
              </w:rPr>
              <w:t>2. 安徽生活网 网站/微博推送</w:t>
            </w:r>
          </w:p>
        </w:tc>
        <w:tc>
          <w:tcPr>
            <w:tcW w:w="3927" w:type="dxa"/>
            <w:vAlign w:val="center"/>
          </w:tcPr>
          <w:p w14:paraId="3B3BF037">
            <w:pPr>
              <w:widowControl w:val="0"/>
              <w:spacing w:after="0" w:line="240" w:lineRule="auto"/>
              <w:jc w:val="left"/>
              <w:rPr>
                <w:rFonts w:hint="eastAsia" w:ascii="微软雅黑" w:hAnsi="微软雅黑" w:eastAsia="微软雅黑" w:cs="宋体"/>
                <w:b/>
                <w:bCs/>
                <w:color w:val="000000"/>
              </w:rPr>
            </w:pPr>
            <w:r>
              <w:rPr>
                <w:rFonts w:ascii="微软雅黑" w:hAnsi="微软雅黑" w:eastAsia="微软雅黑" w:cs="宋体"/>
                <w:b/>
                <w:bCs/>
                <w:color w:val="000000"/>
              </w:rPr>
              <w:t>【原创头条图文】</w:t>
            </w:r>
            <w:r>
              <w:rPr>
                <w:rFonts w:hint="eastAsia" w:ascii="微软雅黑" w:hAnsi="微软雅黑" w:eastAsia="微软雅黑" w:cs="宋体"/>
                <w:b/>
                <w:bCs/>
                <w:color w:val="000000"/>
              </w:rPr>
              <w:br w:type="textWrapping"/>
            </w:r>
            <w:r>
              <w:rPr>
                <w:rFonts w:ascii="微软雅黑" w:hAnsi="微软雅黑" w:eastAsia="微软雅黑" w:cs="宋体"/>
                <w:color w:val="000000"/>
              </w:rPr>
              <w:t>原创稿件，需植入城市更新项目信息及互动H5二维码，不少于1000字，包含稿件撰写、公众号排版及发布。</w:t>
            </w:r>
          </w:p>
        </w:tc>
        <w:tc>
          <w:tcPr>
            <w:tcW w:w="591" w:type="dxa"/>
            <w:vAlign w:val="center"/>
          </w:tcPr>
          <w:p w14:paraId="057B4B6C">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1篇</w:t>
            </w:r>
          </w:p>
        </w:tc>
      </w:tr>
      <w:tr w14:paraId="7CB1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54" w:type="dxa"/>
            <w:vMerge w:val="restart"/>
            <w:noWrap/>
            <w:vAlign w:val="center"/>
          </w:tcPr>
          <w:p w14:paraId="6A16BC6F">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线下资源</w:t>
            </w:r>
          </w:p>
        </w:tc>
        <w:tc>
          <w:tcPr>
            <w:tcW w:w="1509" w:type="dxa"/>
            <w:noWrap/>
            <w:vAlign w:val="center"/>
          </w:tcPr>
          <w:p w14:paraId="0547D0DC">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正大广场</w:t>
            </w:r>
          </w:p>
        </w:tc>
        <w:tc>
          <w:tcPr>
            <w:tcW w:w="3686" w:type="dxa"/>
            <w:vAlign w:val="center"/>
          </w:tcPr>
          <w:p w14:paraId="2F2435EE">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3D电子屏&amp;摩天轮灯光秀</w:t>
            </w:r>
          </w:p>
        </w:tc>
        <w:tc>
          <w:tcPr>
            <w:tcW w:w="3927" w:type="dxa"/>
            <w:vMerge w:val="restart"/>
            <w:vAlign w:val="center"/>
          </w:tcPr>
          <w:p w14:paraId="1B35B32B">
            <w:pPr>
              <w:widowControl w:val="0"/>
              <w:spacing w:after="0" w:line="240" w:lineRule="auto"/>
              <w:jc w:val="left"/>
              <w:rPr>
                <w:rFonts w:hint="eastAsia" w:ascii="微软雅黑" w:hAnsi="微软雅黑" w:eastAsia="微软雅黑" w:cs="宋体"/>
                <w:color w:val="000000"/>
              </w:rPr>
            </w:pPr>
            <w:r>
              <w:rPr>
                <w:rFonts w:hint="eastAsia" w:ascii="微软雅黑" w:hAnsi="微软雅黑" w:eastAsia="微软雅黑" w:cs="宋体"/>
                <w:color w:val="000000"/>
              </w:rPr>
              <w:t>需包含无人机拍摄剪辑/交付30S视频剪辑成片</w:t>
            </w:r>
          </w:p>
        </w:tc>
        <w:tc>
          <w:tcPr>
            <w:tcW w:w="591" w:type="dxa"/>
            <w:vAlign w:val="center"/>
          </w:tcPr>
          <w:p w14:paraId="76274BF0">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1天</w:t>
            </w:r>
          </w:p>
        </w:tc>
      </w:tr>
      <w:tr w14:paraId="0E03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3DB3A623">
            <w:pPr>
              <w:widowControl w:val="0"/>
              <w:spacing w:after="0" w:line="240" w:lineRule="auto"/>
              <w:jc w:val="center"/>
              <w:rPr>
                <w:rFonts w:hint="eastAsia" w:ascii="微软雅黑" w:hAnsi="微软雅黑" w:eastAsia="微软雅黑" w:cs="宋体"/>
                <w:b/>
                <w:bCs/>
                <w:color w:val="000000"/>
              </w:rPr>
            </w:pPr>
          </w:p>
        </w:tc>
        <w:tc>
          <w:tcPr>
            <w:tcW w:w="1509" w:type="dxa"/>
            <w:noWrap/>
            <w:vAlign w:val="center"/>
          </w:tcPr>
          <w:p w14:paraId="2FF953F9">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淮河路步行街</w:t>
            </w:r>
          </w:p>
        </w:tc>
        <w:tc>
          <w:tcPr>
            <w:tcW w:w="3686" w:type="dxa"/>
            <w:vAlign w:val="center"/>
          </w:tcPr>
          <w:p w14:paraId="0B174756">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裸眼3D电子屏</w:t>
            </w:r>
          </w:p>
        </w:tc>
        <w:tc>
          <w:tcPr>
            <w:tcW w:w="3927" w:type="dxa"/>
            <w:vMerge w:val="continue"/>
            <w:vAlign w:val="center"/>
          </w:tcPr>
          <w:p w14:paraId="1718537C">
            <w:pPr>
              <w:widowControl w:val="0"/>
              <w:spacing w:after="0" w:line="240" w:lineRule="auto"/>
              <w:jc w:val="left"/>
              <w:rPr>
                <w:rFonts w:hint="eastAsia" w:ascii="微软雅黑" w:hAnsi="微软雅黑" w:eastAsia="微软雅黑" w:cs="宋体"/>
                <w:color w:val="000000"/>
              </w:rPr>
            </w:pPr>
          </w:p>
        </w:tc>
        <w:tc>
          <w:tcPr>
            <w:tcW w:w="591" w:type="dxa"/>
            <w:vAlign w:val="center"/>
          </w:tcPr>
          <w:p w14:paraId="1B477A17">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1天</w:t>
            </w:r>
          </w:p>
        </w:tc>
      </w:tr>
      <w:tr w14:paraId="6F88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4" w:type="dxa"/>
            <w:vAlign w:val="center"/>
          </w:tcPr>
          <w:p w14:paraId="322D45CF">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抽奖</w:t>
            </w:r>
            <w:r>
              <w:rPr>
                <w:rFonts w:hint="eastAsia" w:ascii="微软雅黑" w:hAnsi="微软雅黑" w:eastAsia="微软雅黑" w:cs="宋体"/>
                <w:b/>
                <w:bCs/>
                <w:color w:val="000000"/>
              </w:rPr>
              <w:br w:type="textWrapping"/>
            </w:r>
            <w:r>
              <w:rPr>
                <w:rFonts w:hint="eastAsia" w:ascii="微软雅黑" w:hAnsi="微软雅黑" w:eastAsia="微软雅黑" w:cs="宋体"/>
                <w:b/>
                <w:bCs/>
                <w:color w:val="000000"/>
              </w:rPr>
              <w:t>H5</w:t>
            </w:r>
            <w:r>
              <w:rPr>
                <w:rFonts w:hint="eastAsia" w:ascii="微软雅黑" w:hAnsi="微软雅黑" w:eastAsia="微软雅黑" w:cs="宋体"/>
                <w:b/>
                <w:bCs/>
                <w:color w:val="000000"/>
              </w:rPr>
              <w:br w:type="textWrapping"/>
            </w:r>
            <w:r>
              <w:rPr>
                <w:rFonts w:hint="eastAsia" w:ascii="微软雅黑" w:hAnsi="微软雅黑" w:eastAsia="微软雅黑" w:cs="宋体"/>
                <w:b/>
                <w:bCs/>
                <w:color w:val="000000"/>
              </w:rPr>
              <w:t>搭建</w:t>
            </w:r>
          </w:p>
        </w:tc>
        <w:tc>
          <w:tcPr>
            <w:tcW w:w="1509" w:type="dxa"/>
            <w:noWrap/>
            <w:vAlign w:val="center"/>
          </w:tcPr>
          <w:p w14:paraId="0DDBE421">
            <w:pPr>
              <w:widowControl w:val="0"/>
              <w:spacing w:after="0" w:line="240" w:lineRule="auto"/>
              <w:jc w:val="center"/>
              <w:rPr>
                <w:rFonts w:hint="eastAsia" w:ascii="微软雅黑" w:hAnsi="微软雅黑" w:eastAsia="微软雅黑" w:cs="宋体"/>
                <w:b/>
                <w:bCs/>
                <w:color w:val="000000"/>
              </w:rPr>
            </w:pPr>
            <w:r>
              <w:rPr>
                <w:rFonts w:hint="eastAsia" w:ascii="微软雅黑" w:hAnsi="微软雅黑" w:eastAsia="微软雅黑" w:cs="宋体"/>
                <w:b/>
                <w:bCs/>
                <w:color w:val="000000"/>
              </w:rPr>
              <w:t>互动H5</w:t>
            </w:r>
          </w:p>
        </w:tc>
        <w:tc>
          <w:tcPr>
            <w:tcW w:w="3686" w:type="dxa"/>
            <w:vAlign w:val="center"/>
          </w:tcPr>
          <w:p w14:paraId="47CB75DE">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 搭建品牌活动线上互动H5</w:t>
            </w:r>
            <w:r>
              <w:rPr>
                <w:rFonts w:hint="eastAsia" w:ascii="微软雅黑" w:hAnsi="微软雅黑" w:eastAsia="微软雅黑" w:cs="宋体"/>
                <w:color w:val="000000"/>
              </w:rPr>
              <w:br w:type="textWrapping"/>
            </w:r>
            <w:r>
              <w:rPr>
                <w:rFonts w:hint="eastAsia" w:ascii="微软雅黑" w:hAnsi="微软雅黑" w:eastAsia="微软雅黑" w:cs="宋体"/>
                <w:color w:val="000000"/>
              </w:rPr>
              <w:t>2. 提供技术支持与用户数据导出服务</w:t>
            </w:r>
          </w:p>
        </w:tc>
        <w:tc>
          <w:tcPr>
            <w:tcW w:w="3927" w:type="dxa"/>
            <w:vAlign w:val="center"/>
          </w:tcPr>
          <w:p w14:paraId="6375A21C">
            <w:pPr>
              <w:widowControl w:val="0"/>
              <w:spacing w:after="0" w:line="240" w:lineRule="auto"/>
              <w:jc w:val="left"/>
              <w:rPr>
                <w:rFonts w:hint="eastAsia" w:ascii="微软雅黑" w:hAnsi="微软雅黑" w:eastAsia="微软雅黑" w:cs="宋体"/>
                <w:color w:val="000000"/>
              </w:rPr>
            </w:pPr>
            <w:r>
              <w:rPr>
                <w:rFonts w:hint="eastAsia" w:ascii="微软雅黑" w:hAnsi="微软雅黑" w:eastAsia="微软雅黑" w:cs="宋体"/>
                <w:color w:val="000000"/>
              </w:rPr>
              <w:t>预计线上互动时间8天，需契合“金玺购房节”主题，植入项目销售信息，并通过创意形式实现互动抽奖；需具备用户登录确认、分享转发、礼品领取地点选择、中奖凭证生成、分项目凭证验证核销等功能，兼容主流设备，提供技术支持与用户数据导出服务。</w:t>
            </w:r>
          </w:p>
        </w:tc>
        <w:tc>
          <w:tcPr>
            <w:tcW w:w="591" w:type="dxa"/>
            <w:vAlign w:val="center"/>
          </w:tcPr>
          <w:p w14:paraId="32D8EB8F">
            <w:pPr>
              <w:widowControl w:val="0"/>
              <w:spacing w:after="0" w:line="240" w:lineRule="auto"/>
              <w:jc w:val="center"/>
              <w:rPr>
                <w:rFonts w:hint="eastAsia" w:ascii="微软雅黑" w:hAnsi="微软雅黑" w:eastAsia="微软雅黑" w:cs="宋体"/>
                <w:color w:val="000000"/>
              </w:rPr>
            </w:pPr>
            <w:r>
              <w:rPr>
                <w:rFonts w:hint="eastAsia" w:ascii="微软雅黑" w:hAnsi="微软雅黑" w:eastAsia="微软雅黑" w:cs="宋体"/>
                <w:color w:val="000000"/>
              </w:rPr>
              <w:t>1个</w:t>
            </w:r>
          </w:p>
        </w:tc>
      </w:tr>
    </w:tbl>
    <w:p w14:paraId="3FEB99EB">
      <w:pPr>
        <w:tabs>
          <w:tab w:val="left" w:pos="993"/>
        </w:tabs>
        <w:spacing w:line="44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注：实际执行中根据此清单据实结算。</w:t>
      </w:r>
    </w:p>
    <w:p w14:paraId="4C7C9234">
      <w:pPr>
        <w:spacing w:after="0" w:line="240" w:lineRule="auto"/>
        <w:rPr>
          <w:rFonts w:hint="eastAsia" w:ascii="微软雅黑" w:hAnsi="微软雅黑" w:eastAsia="微软雅黑" w:cs="微软雅黑"/>
          <w:b/>
          <w:bCs/>
        </w:rPr>
      </w:pPr>
    </w:p>
    <w:p w14:paraId="6201B9D1">
      <w:pPr>
        <w:pStyle w:val="3"/>
        <w:spacing w:line="500" w:lineRule="exact"/>
        <w:ind w:firstLine="480"/>
        <w:jc w:val="center"/>
        <w:rPr>
          <w:rFonts w:hint="eastAsia" w:ascii="微软雅黑" w:hAnsi="微软雅黑" w:eastAsia="微软雅黑" w:cs="微软雅黑"/>
          <w:b/>
          <w:bCs/>
          <w:sz w:val="24"/>
          <w:szCs w:val="24"/>
        </w:rPr>
      </w:pPr>
      <w:bookmarkStart w:id="7" w:name="_Toc22397"/>
      <w:bookmarkStart w:id="8" w:name="_Toc273602342"/>
      <w:bookmarkStart w:id="9" w:name="_Toc245092762"/>
      <w:bookmarkStart w:id="10" w:name="_Toc39733479"/>
      <w:r>
        <w:rPr>
          <w:rFonts w:hint="eastAsia" w:ascii="微软雅黑" w:hAnsi="微软雅黑" w:eastAsia="微软雅黑" w:cs="微软雅黑"/>
          <w:b/>
          <w:bCs/>
          <w:sz w:val="24"/>
          <w:szCs w:val="24"/>
        </w:rPr>
        <w:t>第</w:t>
      </w:r>
      <w:bookmarkStart w:id="11" w:name="_Hlt240110027"/>
      <w:bookmarkEnd w:id="11"/>
      <w:r>
        <w:rPr>
          <w:rFonts w:hint="eastAsia" w:ascii="微软雅黑" w:hAnsi="微软雅黑" w:eastAsia="微软雅黑" w:cs="微软雅黑"/>
          <w:b/>
          <w:bCs/>
          <w:sz w:val="24"/>
          <w:szCs w:val="24"/>
        </w:rPr>
        <w:t>二章 评标办法</w:t>
      </w:r>
      <w:bookmarkEnd w:id="7"/>
      <w:bookmarkEnd w:id="8"/>
      <w:bookmarkEnd w:id="9"/>
      <w:bookmarkEnd w:id="10"/>
    </w:p>
    <w:p w14:paraId="77427A76">
      <w:pPr>
        <w:tabs>
          <w:tab w:val="left" w:pos="360"/>
          <w:tab w:val="left" w:pos="540"/>
          <w:tab w:val="left" w:pos="3600"/>
          <w:tab w:val="left" w:pos="3780"/>
          <w:tab w:val="left" w:pos="8460"/>
          <w:tab w:val="left" w:pos="9180"/>
        </w:tabs>
        <w:adjustRightInd w:val="0"/>
        <w:snapToGrid w:val="0"/>
        <w:spacing w:line="360" w:lineRule="auto"/>
        <w:ind w:firstLine="480"/>
        <w:jc w:val="center"/>
        <w:rPr>
          <w:rFonts w:hint="eastAsia" w:ascii="微软雅黑" w:hAnsi="微软雅黑" w:eastAsia="微软雅黑" w:cs="微软雅黑"/>
          <w:b/>
          <w:sz w:val="24"/>
          <w:szCs w:val="24"/>
        </w:rPr>
      </w:pPr>
    </w:p>
    <w:p w14:paraId="2425ED8D">
      <w:pPr>
        <w:tabs>
          <w:tab w:val="left" w:pos="360"/>
          <w:tab w:val="left" w:pos="540"/>
          <w:tab w:val="left" w:pos="3600"/>
          <w:tab w:val="left" w:pos="3780"/>
          <w:tab w:val="left" w:pos="8460"/>
          <w:tab w:val="left" w:pos="9180"/>
        </w:tabs>
        <w:adjustRightInd w:val="0"/>
        <w:snapToGrid w:val="0"/>
        <w:spacing w:line="360" w:lineRule="auto"/>
        <w:rPr>
          <w:rFonts w:hint="eastAsia" w:ascii="微软雅黑" w:hAnsi="微软雅黑" w:eastAsia="微软雅黑" w:cs="宋体"/>
          <w:b/>
          <w:sz w:val="24"/>
          <w:szCs w:val="24"/>
        </w:rPr>
      </w:pPr>
      <w:bookmarkStart w:id="12" w:name="_Toc20758"/>
      <w:bookmarkStart w:id="13" w:name="_Toc273602355"/>
      <w:bookmarkStart w:id="14" w:name="_Toc245714173"/>
      <w:bookmarkStart w:id="15" w:name="_Toc39733483"/>
      <w:bookmarkStart w:id="16" w:name="_Toc2829"/>
      <w:bookmarkStart w:id="17" w:name="_Toc273602352"/>
      <w:bookmarkStart w:id="18" w:name="_Toc245028818"/>
      <w:bookmarkStart w:id="19" w:name="_Toc245714170"/>
      <w:bookmarkStart w:id="20" w:name="_Toc39733482"/>
      <w:r>
        <w:rPr>
          <w:rFonts w:hint="eastAsia" w:ascii="微软雅黑" w:hAnsi="微软雅黑" w:eastAsia="微软雅黑" w:cs="宋体"/>
          <w:b/>
          <w:sz w:val="24"/>
          <w:szCs w:val="24"/>
        </w:rPr>
        <w:t>一、总  则</w:t>
      </w:r>
    </w:p>
    <w:p w14:paraId="5E1702D4">
      <w:pPr>
        <w:numPr>
          <w:ilvl w:val="0"/>
          <w:numId w:val="3"/>
        </w:numPr>
        <w:adjustRightInd w:val="0"/>
        <w:snapToGrid w:val="0"/>
        <w:spacing w:line="360" w:lineRule="auto"/>
        <w:ind w:right="-10"/>
        <w:rPr>
          <w:rFonts w:hint="eastAsia" w:ascii="微软雅黑" w:hAnsi="微软雅黑" w:eastAsia="微软雅黑" w:cs="宋体"/>
          <w:sz w:val="24"/>
          <w:szCs w:val="24"/>
        </w:rPr>
      </w:pPr>
      <w:r>
        <w:rPr>
          <w:rFonts w:hint="eastAsia" w:ascii="微软雅黑" w:hAnsi="微软雅黑" w:eastAsia="微软雅黑" w:cs="宋体"/>
          <w:sz w:val="24"/>
          <w:szCs w:val="24"/>
        </w:rPr>
        <w:t>为了做好“</w:t>
      </w:r>
      <w:r>
        <w:rPr>
          <w:rFonts w:hint="eastAsia" w:ascii="微软雅黑" w:hAnsi="微软雅黑" w:eastAsia="微软雅黑" w:cs="宋体"/>
          <w:b/>
          <w:bCs/>
          <w:color w:val="000000"/>
          <w:sz w:val="24"/>
          <w:szCs w:val="24"/>
          <w:u w:val="single"/>
        </w:rPr>
        <w:t>城市更新项目双节活动媒体宣传</w:t>
      </w:r>
      <w:r>
        <w:rPr>
          <w:rFonts w:hint="eastAsia" w:ascii="微软雅黑" w:hAnsi="微软雅黑" w:eastAsia="微软雅黑" w:cs="宋体"/>
          <w:sz w:val="24"/>
          <w:szCs w:val="24"/>
        </w:rPr>
        <w:t>”项目的招标评标工作，保证项目评审工作的正常有序进行，依据《中华人民共和国政府采购法》、《中华人民共和国招标投标法》及其它相关法律法规，本着公开、公平、公正的原则，制定评标办法。</w:t>
      </w:r>
    </w:p>
    <w:p w14:paraId="33D4593B">
      <w:pPr>
        <w:numPr>
          <w:ilvl w:val="0"/>
          <w:numId w:val="3"/>
        </w:numPr>
        <w:adjustRightInd w:val="0"/>
        <w:snapToGrid w:val="0"/>
        <w:spacing w:line="360" w:lineRule="auto"/>
        <w:ind w:right="-10"/>
        <w:rPr>
          <w:rFonts w:hint="eastAsia" w:ascii="微软雅黑" w:hAnsi="微软雅黑" w:eastAsia="微软雅黑" w:cs="宋体"/>
          <w:sz w:val="24"/>
          <w:szCs w:val="24"/>
        </w:rPr>
      </w:pPr>
      <w:r>
        <w:rPr>
          <w:rFonts w:hint="eastAsia" w:ascii="微软雅黑" w:hAnsi="微软雅黑" w:eastAsia="微软雅黑" w:cs="宋体"/>
          <w:sz w:val="24"/>
          <w:szCs w:val="24"/>
        </w:rPr>
        <w:t>本次项目评标采用</w:t>
      </w:r>
      <w:r>
        <w:rPr>
          <w:rFonts w:hint="eastAsia" w:ascii="微软雅黑" w:hAnsi="微软雅黑" w:eastAsia="微软雅黑" w:cs="宋体"/>
          <w:b/>
          <w:sz w:val="24"/>
          <w:szCs w:val="24"/>
        </w:rPr>
        <w:t>综合评分法</w:t>
      </w:r>
      <w:r>
        <w:rPr>
          <w:rFonts w:hint="eastAsia" w:ascii="微软雅黑" w:hAnsi="微软雅黑" w:eastAsia="微软雅黑" w:cs="宋体"/>
          <w:sz w:val="24"/>
          <w:szCs w:val="24"/>
        </w:rPr>
        <w:t>作为对投标人标书的比较方法。</w:t>
      </w:r>
    </w:p>
    <w:p w14:paraId="746FFA95">
      <w:pPr>
        <w:numPr>
          <w:ilvl w:val="0"/>
          <w:numId w:val="3"/>
        </w:numPr>
        <w:adjustRightInd w:val="0"/>
        <w:snapToGrid w:val="0"/>
        <w:spacing w:line="360" w:lineRule="auto"/>
        <w:ind w:right="-10"/>
        <w:rPr>
          <w:rFonts w:hint="eastAsia" w:ascii="微软雅黑" w:hAnsi="微软雅黑" w:eastAsia="微软雅黑" w:cs="宋体"/>
          <w:sz w:val="24"/>
          <w:szCs w:val="24"/>
        </w:rPr>
      </w:pPr>
      <w:r>
        <w:rPr>
          <w:rFonts w:hint="eastAsia" w:ascii="微软雅黑" w:hAnsi="微软雅黑" w:eastAsia="微软雅黑" w:cs="宋体"/>
          <w:sz w:val="24"/>
          <w:szCs w:val="24"/>
        </w:rPr>
        <w:t>采购人将组织不少于3人组成的评标委员会（以下简称评委会），负责本项目的评标工作。采购人内部监督小组，负责评标过程中的记录、联络及评委会交办的其他工作。</w:t>
      </w:r>
    </w:p>
    <w:p w14:paraId="06ED1148">
      <w:pPr>
        <w:numPr>
          <w:ilvl w:val="0"/>
          <w:numId w:val="3"/>
        </w:numPr>
        <w:adjustRightInd w:val="0"/>
        <w:snapToGrid w:val="0"/>
        <w:spacing w:line="360" w:lineRule="auto"/>
        <w:ind w:right="-10"/>
        <w:rPr>
          <w:rFonts w:hint="eastAsia" w:ascii="微软雅黑" w:hAnsi="微软雅黑" w:eastAsia="微软雅黑"/>
        </w:rPr>
      </w:pPr>
      <w:r>
        <w:rPr>
          <w:rFonts w:hint="eastAsia" w:ascii="微软雅黑" w:hAnsi="微软雅黑" w:eastAsia="微软雅黑" w:cs="宋体"/>
          <w:sz w:val="24"/>
          <w:szCs w:val="24"/>
        </w:rPr>
        <w:t>评委会按照“客观公正，实事求是”的原则，评价参加本次招标的投标人所提供的服务对招标文件的符合性及响应性。</w:t>
      </w:r>
    </w:p>
    <w:p w14:paraId="4FBCA10A">
      <w:pPr>
        <w:tabs>
          <w:tab w:val="left" w:pos="360"/>
          <w:tab w:val="left" w:pos="540"/>
          <w:tab w:val="left" w:pos="3600"/>
          <w:tab w:val="left" w:pos="3780"/>
          <w:tab w:val="left" w:pos="8460"/>
          <w:tab w:val="left" w:pos="9180"/>
        </w:tabs>
        <w:adjustRightInd w:val="0"/>
        <w:snapToGrid w:val="0"/>
        <w:spacing w:line="360" w:lineRule="auto"/>
        <w:rPr>
          <w:rFonts w:hint="eastAsia" w:ascii="微软雅黑" w:hAnsi="微软雅黑" w:eastAsia="微软雅黑" w:cs="宋体"/>
          <w:b/>
          <w:sz w:val="24"/>
          <w:szCs w:val="24"/>
        </w:rPr>
      </w:pPr>
      <w:r>
        <w:rPr>
          <w:rFonts w:hint="eastAsia" w:ascii="微软雅黑" w:hAnsi="微软雅黑" w:eastAsia="微软雅黑" w:cs="宋体"/>
          <w:b/>
          <w:sz w:val="24"/>
          <w:szCs w:val="24"/>
        </w:rPr>
        <w:t>二、评标程序及评审细则</w:t>
      </w:r>
    </w:p>
    <w:p w14:paraId="127AEB15">
      <w:pPr>
        <w:numPr>
          <w:ilvl w:val="0"/>
          <w:numId w:val="4"/>
        </w:numPr>
        <w:adjustRightInd w:val="0"/>
        <w:snapToGrid w:val="0"/>
        <w:spacing w:line="360" w:lineRule="auto"/>
        <w:ind w:right="-10"/>
        <w:rPr>
          <w:rFonts w:hint="eastAsia" w:ascii="微软雅黑" w:hAnsi="微软雅黑" w:eastAsia="微软雅黑" w:cs="宋体"/>
          <w:sz w:val="24"/>
          <w:szCs w:val="24"/>
        </w:rPr>
      </w:pPr>
      <w:r>
        <w:rPr>
          <w:rFonts w:hint="eastAsia" w:ascii="微软雅黑" w:hAnsi="微软雅黑" w:eastAsia="微软雅黑" w:cs="宋体"/>
          <w:sz w:val="24"/>
          <w:szCs w:val="24"/>
        </w:rPr>
        <w:t>评标工作于开标后进行。评委会应认真研究招标文件，至少应了解和熟悉以下内容：</w:t>
      </w:r>
    </w:p>
    <w:p w14:paraId="10992E11">
      <w:pPr>
        <w:numPr>
          <w:ilvl w:val="0"/>
          <w:numId w:val="5"/>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招标的目标；</w:t>
      </w:r>
    </w:p>
    <w:p w14:paraId="5F8906CF">
      <w:pPr>
        <w:numPr>
          <w:ilvl w:val="0"/>
          <w:numId w:val="5"/>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招标项目的范围和性质；</w:t>
      </w:r>
    </w:p>
    <w:p w14:paraId="26D71BBA">
      <w:pPr>
        <w:numPr>
          <w:ilvl w:val="0"/>
          <w:numId w:val="5"/>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招标文件中规定的主要服务要求、标准和商务条款；</w:t>
      </w:r>
    </w:p>
    <w:p w14:paraId="254F70F5">
      <w:pPr>
        <w:numPr>
          <w:ilvl w:val="0"/>
          <w:numId w:val="5"/>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招标文件规定的评标标准、评标方法和在评标过程中考虑的相关因素。</w:t>
      </w:r>
    </w:p>
    <w:p w14:paraId="73AD3E4B">
      <w:pPr>
        <w:numPr>
          <w:ilvl w:val="0"/>
          <w:numId w:val="4"/>
        </w:numPr>
        <w:adjustRightInd w:val="0"/>
        <w:snapToGrid w:val="0"/>
        <w:spacing w:line="360" w:lineRule="auto"/>
        <w:ind w:right="-10"/>
        <w:rPr>
          <w:rFonts w:hint="eastAsia" w:ascii="微软雅黑" w:hAnsi="微软雅黑" w:eastAsia="微软雅黑" w:cs="宋体"/>
          <w:sz w:val="24"/>
          <w:szCs w:val="24"/>
        </w:rPr>
      </w:pPr>
      <w:r>
        <w:rPr>
          <w:rFonts w:hint="eastAsia" w:ascii="微软雅黑" w:hAnsi="微软雅黑" w:eastAsia="微软雅黑" w:cs="宋体"/>
          <w:sz w:val="24"/>
          <w:szCs w:val="24"/>
        </w:rPr>
        <w:t>有效投标应符合以下原则：</w:t>
      </w:r>
    </w:p>
    <w:p w14:paraId="583BB489">
      <w:pPr>
        <w:numPr>
          <w:ilvl w:val="0"/>
          <w:numId w:val="6"/>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完全响应招标文件要求；</w:t>
      </w:r>
    </w:p>
    <w:p w14:paraId="0589DE30">
      <w:pPr>
        <w:numPr>
          <w:ilvl w:val="0"/>
          <w:numId w:val="6"/>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无重大偏离、保留或招标人不能接受的附加条件；</w:t>
      </w:r>
    </w:p>
    <w:p w14:paraId="151D98EE">
      <w:pPr>
        <w:numPr>
          <w:ilvl w:val="0"/>
          <w:numId w:val="6"/>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通过投标初审；</w:t>
      </w:r>
    </w:p>
    <w:p w14:paraId="2B808C7F">
      <w:pPr>
        <w:numPr>
          <w:ilvl w:val="0"/>
          <w:numId w:val="6"/>
        </w:numPr>
        <w:adjustRightInd w:val="0"/>
        <w:snapToGrid w:val="0"/>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报价不低于投标成本，高于限价；</w:t>
      </w:r>
    </w:p>
    <w:p w14:paraId="7D9ABA27">
      <w:pPr>
        <w:numPr>
          <w:ilvl w:val="0"/>
          <w:numId w:val="6"/>
        </w:numPr>
        <w:adjustRightInd w:val="0"/>
        <w:snapToGrid w:val="0"/>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评委会依据招标文件认定的其他原则。</w:t>
      </w:r>
    </w:p>
    <w:p w14:paraId="33E45817">
      <w:pPr>
        <w:numPr>
          <w:ilvl w:val="0"/>
          <w:numId w:val="4"/>
        </w:numPr>
        <w:adjustRightInd w:val="0"/>
        <w:snapToGrid w:val="0"/>
        <w:spacing w:line="360" w:lineRule="auto"/>
        <w:ind w:right="-10"/>
        <w:rPr>
          <w:rFonts w:hint="eastAsia" w:ascii="微软雅黑" w:hAnsi="微软雅黑" w:eastAsia="微软雅黑" w:cs="宋体"/>
          <w:sz w:val="24"/>
          <w:szCs w:val="24"/>
        </w:rPr>
      </w:pPr>
      <w:r>
        <w:rPr>
          <w:rFonts w:hint="eastAsia" w:ascii="微软雅黑" w:hAnsi="微软雅黑" w:eastAsia="微软雅黑" w:cs="宋体"/>
          <w:sz w:val="24"/>
          <w:szCs w:val="24"/>
        </w:rPr>
        <w:t>评委会遵循公开、公平、公正和科学诚信的原则，对所有投标文件均采用相同程序和标准，进行评定。</w:t>
      </w:r>
    </w:p>
    <w:p w14:paraId="5A142FD0">
      <w:pPr>
        <w:numPr>
          <w:ilvl w:val="0"/>
          <w:numId w:val="4"/>
        </w:numPr>
        <w:spacing w:line="360" w:lineRule="auto"/>
        <w:rPr>
          <w:rFonts w:hint="eastAsia" w:ascii="微软雅黑" w:hAnsi="微软雅黑" w:eastAsia="微软雅黑" w:cs="宋体"/>
          <w:sz w:val="24"/>
          <w:szCs w:val="24"/>
        </w:rPr>
      </w:pPr>
      <w:r>
        <w:rPr>
          <w:rFonts w:hint="eastAsia" w:ascii="微软雅黑" w:hAnsi="微软雅黑" w:eastAsia="微软雅黑" w:cs="宋体"/>
          <w:sz w:val="24"/>
          <w:szCs w:val="24"/>
        </w:rPr>
        <w:t>评审程序</w:t>
      </w:r>
    </w:p>
    <w:p w14:paraId="537B2703">
      <w:pPr>
        <w:numPr>
          <w:ilvl w:val="0"/>
          <w:numId w:val="7"/>
        </w:numPr>
        <w:spacing w:line="360" w:lineRule="auto"/>
        <w:ind w:right="-10" w:hanging="14"/>
        <w:rPr>
          <w:rFonts w:hint="eastAsia" w:ascii="微软雅黑" w:hAnsi="微软雅黑" w:eastAsia="微软雅黑" w:cs="宋体"/>
          <w:sz w:val="24"/>
          <w:szCs w:val="24"/>
        </w:rPr>
      </w:pPr>
      <w:r>
        <w:rPr>
          <w:rFonts w:hint="eastAsia" w:ascii="微软雅黑" w:hAnsi="微软雅黑" w:eastAsia="微软雅黑" w:cs="宋体"/>
          <w:sz w:val="24"/>
          <w:szCs w:val="24"/>
        </w:rPr>
        <w:t>本项目采用综合评分法进行评审，在最大限度地满足招标文件实质性要求前提下，按照招标文件中规定的各项因素进行综合评审。综合评分法的主要因素是：资格资质、技术以及报价的比重。满分为100分。</w:t>
      </w:r>
    </w:p>
    <w:p w14:paraId="36947FDF">
      <w:pPr>
        <w:numPr>
          <w:ilvl w:val="0"/>
          <w:numId w:val="7"/>
        </w:numPr>
        <w:spacing w:line="360" w:lineRule="auto"/>
        <w:ind w:hanging="14"/>
        <w:rPr>
          <w:rFonts w:hint="eastAsia" w:ascii="微软雅黑" w:hAnsi="微软雅黑" w:eastAsia="微软雅黑" w:cs="宋体"/>
          <w:sz w:val="24"/>
          <w:szCs w:val="24"/>
        </w:rPr>
      </w:pPr>
      <w:r>
        <w:rPr>
          <w:rFonts w:hint="eastAsia" w:ascii="微软雅黑" w:hAnsi="微软雅黑" w:eastAsia="微软雅黑" w:cs="宋体"/>
          <w:sz w:val="24"/>
          <w:szCs w:val="24"/>
        </w:rPr>
        <w:t>评委会首先对投标文件进行初审，投标文件应实质上响应招标文件的要求，应与招标文件所有条款、条件和规定相符，无显著差异或保留。对内容不全，影响正常评标的投标文件由评标委员会初审后按无效标书处理</w:t>
      </w:r>
    </w:p>
    <w:p w14:paraId="79FA696C">
      <w:pPr>
        <w:numPr>
          <w:ilvl w:val="0"/>
          <w:numId w:val="7"/>
        </w:numPr>
        <w:spacing w:line="360" w:lineRule="auto"/>
        <w:ind w:hanging="14"/>
        <w:rPr>
          <w:rFonts w:hint="eastAsia" w:ascii="微软雅黑" w:hAnsi="微软雅黑" w:eastAsia="微软雅黑" w:cs="宋体"/>
          <w:sz w:val="24"/>
          <w:szCs w:val="24"/>
        </w:rPr>
      </w:pPr>
      <w:r>
        <w:rPr>
          <w:rFonts w:hint="eastAsia" w:ascii="微软雅黑" w:hAnsi="微软雅黑" w:eastAsia="微软雅黑" w:cs="宋体"/>
          <w:sz w:val="24"/>
          <w:szCs w:val="24"/>
        </w:rPr>
        <w:t>对投标文件进行综合评审。评标委员会只对通过初审，实质上响应招标文件要求的投标文件按照下述指标表进行评审。</w:t>
      </w:r>
    </w:p>
    <w:p w14:paraId="16AB4527">
      <w:pPr>
        <w:numPr>
          <w:ilvl w:val="0"/>
          <w:numId w:val="4"/>
        </w:numPr>
        <w:spacing w:line="36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 xml:space="preserve">评审表 </w:t>
      </w:r>
    </w:p>
    <w:p w14:paraId="0B17FB7A">
      <w:pPr>
        <w:pStyle w:val="40"/>
        <w:numPr>
          <w:ilvl w:val="1"/>
          <w:numId w:val="8"/>
        </w:numPr>
        <w:spacing w:line="360" w:lineRule="auto"/>
        <w:ind w:left="840" w:firstLineChars="0"/>
        <w:rPr>
          <w:rFonts w:hint="eastAsia" w:ascii="微软雅黑" w:hAnsi="微软雅黑" w:eastAsia="微软雅黑" w:cs="Times New Roman"/>
          <w:sz w:val="24"/>
          <w:szCs w:val="24"/>
        </w:rPr>
      </w:pPr>
      <w:r>
        <w:rPr>
          <w:rFonts w:hint="eastAsia" w:ascii="微软雅黑" w:hAnsi="微软雅黑" w:eastAsia="微软雅黑" w:cs="宋体"/>
          <w:sz w:val="24"/>
          <w:szCs w:val="24"/>
        </w:rPr>
        <w:t>评议组按照下表要求，结合供应商汇报内容进行综合评分。</w:t>
      </w:r>
    </w:p>
    <w:p w14:paraId="4743E250">
      <w:pPr>
        <w:pStyle w:val="40"/>
        <w:numPr>
          <w:ilvl w:val="1"/>
          <w:numId w:val="8"/>
        </w:numPr>
        <w:spacing w:line="360" w:lineRule="auto"/>
        <w:ind w:left="840" w:firstLineChars="0"/>
        <w:rPr>
          <w:rFonts w:hint="eastAsia" w:ascii="微软雅黑" w:hAnsi="微软雅黑" w:eastAsia="微软雅黑" w:cs="Times New Roman"/>
          <w:sz w:val="24"/>
          <w:szCs w:val="24"/>
        </w:rPr>
      </w:pPr>
      <w:r>
        <w:rPr>
          <w:rFonts w:hint="eastAsia" w:ascii="微软雅黑" w:hAnsi="微软雅黑" w:eastAsia="微软雅黑" w:cs="宋体"/>
          <w:sz w:val="24"/>
          <w:szCs w:val="24"/>
        </w:rPr>
        <w:t>本项目综合评分满分为100分，其中：技术资信分值占总分值的权重为70%，商务分值占总分值的权重为30%。具体评分细则如下：</w:t>
      </w:r>
    </w:p>
    <w:tbl>
      <w:tblPr>
        <w:tblStyle w:val="29"/>
        <w:tblW w:w="105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55"/>
        <w:gridCol w:w="1131"/>
        <w:gridCol w:w="6642"/>
        <w:gridCol w:w="959"/>
        <w:gridCol w:w="651"/>
      </w:tblGrid>
      <w:tr w14:paraId="2C554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14:paraId="124DFF24">
            <w:pPr>
              <w:pStyle w:val="80"/>
              <w:widowControl w:val="0"/>
              <w:adjustRightInd w:val="0"/>
              <w:snapToGrid w:val="0"/>
              <w:spacing w:before="120" w:after="0" w:line="240" w:lineRule="auto"/>
              <w:jc w:val="center"/>
              <w:rPr>
                <w:rFonts w:hint="eastAsia" w:ascii="微软雅黑" w:hAnsi="微软雅黑" w:eastAsia="微软雅黑"/>
                <w:sz w:val="21"/>
                <w:szCs w:val="21"/>
              </w:rPr>
            </w:pPr>
            <w:r>
              <w:rPr>
                <w:rFonts w:hint="eastAsia" w:ascii="微软雅黑" w:hAnsi="微软雅黑" w:eastAsia="微软雅黑"/>
                <w:b/>
                <w:bCs/>
                <w:spacing w:val="-8"/>
                <w:sz w:val="21"/>
                <w:szCs w:val="21"/>
              </w:rPr>
              <w:t>类别</w:t>
            </w:r>
          </w:p>
        </w:tc>
        <w:tc>
          <w:tcPr>
            <w:tcW w:w="1131" w:type="dxa"/>
            <w:tcBorders>
              <w:top w:val="single" w:color="auto" w:sz="2" w:space="0"/>
              <w:left w:val="single" w:color="auto" w:sz="2" w:space="0"/>
              <w:bottom w:val="single" w:color="auto" w:sz="2" w:space="0"/>
              <w:right w:val="single" w:color="auto" w:sz="2" w:space="0"/>
            </w:tcBorders>
            <w:vAlign w:val="center"/>
          </w:tcPr>
          <w:p w14:paraId="5541C704">
            <w:pPr>
              <w:pStyle w:val="80"/>
              <w:widowControl w:val="0"/>
              <w:adjustRightInd w:val="0"/>
              <w:snapToGrid w:val="0"/>
              <w:spacing w:before="120" w:after="0" w:line="240" w:lineRule="auto"/>
              <w:jc w:val="center"/>
              <w:rPr>
                <w:rFonts w:hint="eastAsia" w:ascii="微软雅黑" w:hAnsi="微软雅黑" w:eastAsia="微软雅黑"/>
                <w:sz w:val="21"/>
                <w:szCs w:val="21"/>
              </w:rPr>
            </w:pPr>
            <w:r>
              <w:rPr>
                <w:rFonts w:hint="eastAsia" w:ascii="微软雅黑" w:hAnsi="微软雅黑" w:eastAsia="微软雅黑"/>
                <w:b/>
                <w:bCs/>
                <w:spacing w:val="-5"/>
                <w:sz w:val="21"/>
                <w:szCs w:val="21"/>
              </w:rPr>
              <w:t>评分内容</w:t>
            </w:r>
          </w:p>
        </w:tc>
        <w:tc>
          <w:tcPr>
            <w:tcW w:w="6642" w:type="dxa"/>
            <w:tcBorders>
              <w:top w:val="single" w:color="auto" w:sz="2" w:space="0"/>
              <w:left w:val="single" w:color="auto" w:sz="2" w:space="0"/>
              <w:bottom w:val="single" w:color="auto" w:sz="2" w:space="0"/>
              <w:right w:val="single" w:color="auto" w:sz="2" w:space="0"/>
            </w:tcBorders>
            <w:vAlign w:val="center"/>
          </w:tcPr>
          <w:p w14:paraId="577CD478">
            <w:pPr>
              <w:pStyle w:val="80"/>
              <w:widowControl w:val="0"/>
              <w:adjustRightInd w:val="0"/>
              <w:snapToGrid w:val="0"/>
              <w:spacing w:before="120" w:after="0" w:line="240" w:lineRule="auto"/>
              <w:jc w:val="center"/>
              <w:rPr>
                <w:rFonts w:hint="eastAsia" w:ascii="微软雅黑" w:hAnsi="微软雅黑" w:eastAsia="微软雅黑"/>
                <w:sz w:val="21"/>
                <w:szCs w:val="21"/>
              </w:rPr>
            </w:pPr>
            <w:r>
              <w:rPr>
                <w:rFonts w:hint="eastAsia" w:ascii="微软雅黑" w:hAnsi="微软雅黑" w:eastAsia="微软雅黑"/>
                <w:b/>
                <w:bCs/>
                <w:spacing w:val="-5"/>
                <w:sz w:val="21"/>
                <w:szCs w:val="21"/>
              </w:rPr>
              <w:t>评分标准</w:t>
            </w:r>
          </w:p>
        </w:tc>
        <w:tc>
          <w:tcPr>
            <w:tcW w:w="959" w:type="dxa"/>
            <w:tcBorders>
              <w:top w:val="single" w:color="auto" w:sz="2" w:space="0"/>
              <w:left w:val="single" w:color="auto" w:sz="2" w:space="0"/>
              <w:bottom w:val="single" w:color="auto" w:sz="2" w:space="0"/>
              <w:right w:val="single" w:color="auto" w:sz="2" w:space="0"/>
            </w:tcBorders>
            <w:vAlign w:val="center"/>
          </w:tcPr>
          <w:p w14:paraId="6AEFEEA3">
            <w:pPr>
              <w:pStyle w:val="80"/>
              <w:widowControl w:val="0"/>
              <w:adjustRightInd w:val="0"/>
              <w:snapToGrid w:val="0"/>
              <w:spacing w:before="120" w:after="0" w:line="240" w:lineRule="auto"/>
              <w:jc w:val="center"/>
              <w:rPr>
                <w:rFonts w:hint="eastAsia" w:ascii="微软雅黑" w:hAnsi="微软雅黑" w:eastAsia="微软雅黑"/>
                <w:sz w:val="21"/>
                <w:szCs w:val="21"/>
              </w:rPr>
            </w:pPr>
            <w:r>
              <w:rPr>
                <w:rFonts w:hint="eastAsia" w:ascii="微软雅黑" w:hAnsi="微软雅黑" w:eastAsia="微软雅黑"/>
                <w:b/>
                <w:bCs/>
                <w:spacing w:val="-5"/>
                <w:sz w:val="21"/>
                <w:szCs w:val="21"/>
              </w:rPr>
              <w:t>分值范围</w:t>
            </w:r>
          </w:p>
        </w:tc>
        <w:tc>
          <w:tcPr>
            <w:tcW w:w="651" w:type="dxa"/>
            <w:tcBorders>
              <w:top w:val="single" w:color="auto" w:sz="2" w:space="0"/>
              <w:left w:val="single" w:color="auto" w:sz="2" w:space="0"/>
              <w:bottom w:val="single" w:color="auto" w:sz="2" w:space="0"/>
              <w:right w:val="single" w:color="auto" w:sz="2" w:space="0"/>
            </w:tcBorders>
            <w:vAlign w:val="center"/>
          </w:tcPr>
          <w:p w14:paraId="11A2C466">
            <w:pPr>
              <w:pStyle w:val="80"/>
              <w:widowControl w:val="0"/>
              <w:adjustRightInd w:val="0"/>
              <w:snapToGrid w:val="0"/>
              <w:spacing w:before="120" w:after="0" w:line="240" w:lineRule="auto"/>
              <w:jc w:val="center"/>
              <w:rPr>
                <w:rFonts w:hint="eastAsia" w:ascii="微软雅黑" w:hAnsi="微软雅黑" w:eastAsia="微软雅黑"/>
                <w:b/>
                <w:bCs/>
                <w:spacing w:val="-5"/>
                <w:sz w:val="21"/>
                <w:szCs w:val="21"/>
              </w:rPr>
            </w:pPr>
            <w:r>
              <w:rPr>
                <w:rFonts w:hint="eastAsia" w:ascii="微软雅黑" w:hAnsi="微软雅黑" w:eastAsia="微软雅黑"/>
                <w:b/>
                <w:color w:val="000000"/>
                <w:sz w:val="21"/>
                <w:szCs w:val="21"/>
                <w:lang w:eastAsia="zh-CN"/>
              </w:rPr>
              <w:t>得分</w:t>
            </w:r>
          </w:p>
        </w:tc>
      </w:tr>
      <w:tr w14:paraId="33637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jc w:val="center"/>
        </w:trPr>
        <w:tc>
          <w:tcPr>
            <w:tcW w:w="1155" w:type="dxa"/>
            <w:vMerge w:val="restart"/>
            <w:tcBorders>
              <w:top w:val="single" w:color="auto" w:sz="2" w:space="0"/>
              <w:left w:val="single" w:color="auto" w:sz="2" w:space="0"/>
              <w:bottom w:val="single" w:color="auto" w:sz="2" w:space="0"/>
              <w:right w:val="single" w:color="auto" w:sz="2" w:space="0"/>
            </w:tcBorders>
            <w:vAlign w:val="center"/>
          </w:tcPr>
          <w:p w14:paraId="5E97BC05">
            <w:pPr>
              <w:pStyle w:val="80"/>
              <w:widowControl w:val="0"/>
              <w:adjustRightInd w:val="0"/>
              <w:snapToGrid w:val="0"/>
              <w:spacing w:before="78" w:after="0" w:line="240" w:lineRule="auto"/>
              <w:jc w:val="center"/>
              <w:rPr>
                <w:rFonts w:hint="eastAsia" w:ascii="微软雅黑" w:hAnsi="微软雅黑" w:eastAsia="微软雅黑"/>
                <w:sz w:val="21"/>
                <w:szCs w:val="21"/>
              </w:rPr>
            </w:pPr>
            <w:r>
              <w:rPr>
                <w:rFonts w:hint="eastAsia" w:ascii="微软雅黑" w:hAnsi="微软雅黑" w:eastAsia="微软雅黑"/>
                <w:spacing w:val="-3"/>
                <w:sz w:val="21"/>
                <w:szCs w:val="21"/>
                <w:lang w:eastAsia="zh-CN"/>
              </w:rPr>
              <w:t>技术资信得分（70分）</w:t>
            </w:r>
          </w:p>
        </w:tc>
        <w:tc>
          <w:tcPr>
            <w:tcW w:w="1131" w:type="dxa"/>
            <w:tcBorders>
              <w:top w:val="single" w:color="auto" w:sz="2" w:space="0"/>
              <w:left w:val="single" w:color="auto" w:sz="2" w:space="0"/>
              <w:bottom w:val="single" w:color="auto" w:sz="2" w:space="0"/>
              <w:right w:val="single" w:color="auto" w:sz="2" w:space="0"/>
            </w:tcBorders>
            <w:vAlign w:val="center"/>
          </w:tcPr>
          <w:p w14:paraId="73A83FAD">
            <w:pPr>
              <w:adjustRightInd w:val="0"/>
              <w:snapToGrid w:val="0"/>
              <w:spacing w:after="0" w:line="240" w:lineRule="auto"/>
              <w:jc w:val="center"/>
              <w:textAlignment w:val="center"/>
              <w:rPr>
                <w:rFonts w:hint="eastAsia" w:ascii="微软雅黑" w:hAnsi="微软雅黑" w:eastAsia="微软雅黑" w:cs="宋体"/>
                <w:color w:val="000000"/>
                <w:lang w:bidi="ar"/>
              </w:rPr>
            </w:pPr>
            <w:r>
              <w:rPr>
                <w:rFonts w:hint="eastAsia" w:ascii="微软雅黑" w:hAnsi="微软雅黑" w:eastAsia="微软雅黑" w:cs="宋体"/>
                <w:color w:val="000000"/>
                <w:lang w:bidi="ar"/>
              </w:rPr>
              <w:t>H5设计</w:t>
            </w:r>
          </w:p>
          <w:p w14:paraId="7E14FAA2">
            <w:pPr>
              <w:adjustRightInd w:val="0"/>
              <w:snapToGrid w:val="0"/>
              <w:spacing w:after="0" w:line="240" w:lineRule="auto"/>
              <w:jc w:val="center"/>
              <w:textAlignment w:val="center"/>
              <w:rPr>
                <w:rFonts w:hint="eastAsia" w:ascii="微软雅黑" w:hAnsi="微软雅黑" w:eastAsia="微软雅黑" w:cs="宋体"/>
                <w:b/>
                <w:bCs/>
                <w:spacing w:val="-5"/>
              </w:rPr>
            </w:pPr>
            <w:r>
              <w:rPr>
                <w:rFonts w:hint="eastAsia" w:ascii="微软雅黑" w:hAnsi="微软雅黑" w:eastAsia="微软雅黑" w:cs="宋体"/>
                <w:color w:val="000000"/>
                <w:lang w:bidi="ar"/>
              </w:rPr>
              <w:t>服务方案</w:t>
            </w:r>
          </w:p>
        </w:tc>
        <w:tc>
          <w:tcPr>
            <w:tcW w:w="6642" w:type="dxa"/>
            <w:tcBorders>
              <w:top w:val="single" w:color="auto" w:sz="2" w:space="0"/>
              <w:left w:val="single" w:color="auto" w:sz="2" w:space="0"/>
              <w:bottom w:val="single" w:color="auto" w:sz="2" w:space="0"/>
              <w:right w:val="single" w:color="auto" w:sz="2" w:space="0"/>
            </w:tcBorders>
            <w:vAlign w:val="center"/>
          </w:tcPr>
          <w:p w14:paraId="05E00B7F">
            <w:pPr>
              <w:pStyle w:val="80"/>
              <w:widowControl w:val="0"/>
              <w:adjustRightInd w:val="0"/>
              <w:snapToGrid w:val="0"/>
              <w:spacing w:before="116"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供应商结合项目的背景资料和项目需求，制定项目整体服务方案：</w:t>
            </w:r>
          </w:p>
          <w:p w14:paraId="5D42C81A">
            <w:pPr>
              <w:adjustRightInd w:val="0"/>
              <w:snapToGrid w:val="0"/>
              <w:spacing w:after="0" w:line="240" w:lineRule="auto"/>
              <w:ind w:right="754" w:rightChars="359" w:firstLine="420" w:firstLineChars="200"/>
              <w:rPr>
                <w:rFonts w:hint="eastAsia" w:ascii="微软雅黑" w:hAnsi="微软雅黑" w:eastAsia="微软雅黑" w:cs="Times New Roman"/>
              </w:rPr>
            </w:pPr>
            <w:r>
              <w:rPr>
                <w:rFonts w:hint="eastAsia" w:ascii="微软雅黑" w:hAnsi="微软雅黑" w:eastAsia="微软雅黑" w:cs="Times New Roman"/>
              </w:rPr>
              <w:t>1</w:t>
            </w:r>
            <w:r>
              <w:rPr>
                <w:rFonts w:ascii="微软雅黑" w:hAnsi="微软雅黑" w:eastAsia="微软雅黑" w:cs="Times New Roman"/>
              </w:rPr>
              <w:t>.</w:t>
            </w:r>
            <w:r>
              <w:rPr>
                <w:rFonts w:hint="eastAsia" w:ascii="微软雅黑" w:hAnsi="微软雅黑" w:eastAsia="微软雅黑" w:cs="Times New Roman"/>
              </w:rPr>
              <w:t>互动H5活动策划方案</w:t>
            </w:r>
            <w:r>
              <w:rPr>
                <w:rFonts w:ascii="微软雅黑" w:hAnsi="微软雅黑" w:eastAsia="微软雅黑" w:cs="Times New Roman"/>
              </w:rPr>
              <w:t>....................................</w:t>
            </w:r>
            <w:r>
              <w:rPr>
                <w:rFonts w:hint="eastAsia" w:ascii="微软雅黑" w:hAnsi="微软雅黑" w:eastAsia="微软雅黑" w:cs="Times New Roman"/>
              </w:rPr>
              <w:t>..</w:t>
            </w:r>
            <w:r>
              <w:rPr>
                <w:rFonts w:ascii="微软雅黑" w:hAnsi="微软雅黑" w:eastAsia="微软雅黑" w:cs="Times New Roman"/>
              </w:rPr>
              <w:t>.......</w:t>
            </w:r>
            <w:r>
              <w:rPr>
                <w:rFonts w:hint="eastAsia" w:ascii="微软雅黑" w:hAnsi="微软雅黑" w:eastAsia="微软雅黑" w:cs="Times New Roman"/>
              </w:rPr>
              <w:t>..20</w:t>
            </w:r>
            <w:r>
              <w:rPr>
                <w:rFonts w:ascii="微软雅黑" w:hAnsi="微软雅黑" w:eastAsia="微软雅黑" w:cs="Times New Roman"/>
              </w:rPr>
              <w:t>分</w:t>
            </w:r>
          </w:p>
          <w:p w14:paraId="41DEE03E">
            <w:pPr>
              <w:adjustRightInd w:val="0"/>
              <w:snapToGrid w:val="0"/>
              <w:spacing w:after="0" w:line="240" w:lineRule="auto"/>
              <w:ind w:right="754" w:rightChars="359" w:firstLine="420" w:firstLineChars="200"/>
              <w:rPr>
                <w:rFonts w:hint="eastAsia" w:ascii="微软雅黑" w:hAnsi="微软雅黑" w:eastAsia="微软雅黑" w:cs="Times New Roman"/>
              </w:rPr>
            </w:pPr>
            <w:r>
              <w:rPr>
                <w:rFonts w:hint="eastAsia" w:ascii="微软雅黑" w:hAnsi="微软雅黑" w:eastAsia="微软雅黑" w:cs="Times New Roman"/>
              </w:rPr>
              <w:t>2.互动H5创意性及美观度</w:t>
            </w:r>
            <w:r>
              <w:rPr>
                <w:rFonts w:ascii="微软雅黑" w:hAnsi="微软雅黑" w:eastAsia="微软雅黑" w:cs="Times New Roman"/>
              </w:rPr>
              <w:t>......................</w:t>
            </w:r>
            <w:r>
              <w:rPr>
                <w:rFonts w:hint="eastAsia" w:ascii="微软雅黑" w:hAnsi="微软雅黑" w:eastAsia="微软雅黑" w:cs="Times New Roman"/>
              </w:rPr>
              <w:t>...</w:t>
            </w:r>
            <w:r>
              <w:rPr>
                <w:rFonts w:ascii="微软雅黑" w:hAnsi="微软雅黑" w:eastAsia="微软雅黑" w:cs="Times New Roman"/>
              </w:rPr>
              <w:t>......</w:t>
            </w:r>
            <w:r>
              <w:rPr>
                <w:rFonts w:hint="eastAsia" w:ascii="微软雅黑" w:hAnsi="微软雅黑" w:eastAsia="微软雅黑" w:cs="Times New Roman"/>
              </w:rPr>
              <w:t>..</w:t>
            </w:r>
            <w:r>
              <w:rPr>
                <w:rFonts w:ascii="微软雅黑" w:hAnsi="微软雅黑" w:eastAsia="微软雅黑" w:cs="Times New Roman"/>
              </w:rPr>
              <w:t>.......</w:t>
            </w:r>
            <w:r>
              <w:rPr>
                <w:rFonts w:hint="eastAsia" w:ascii="微软雅黑" w:hAnsi="微软雅黑" w:eastAsia="微软雅黑" w:cs="Times New Roman"/>
              </w:rPr>
              <w:t>..20</w:t>
            </w:r>
            <w:r>
              <w:rPr>
                <w:rFonts w:ascii="微软雅黑" w:hAnsi="微软雅黑" w:eastAsia="微软雅黑" w:cs="Times New Roman"/>
              </w:rPr>
              <w:t>分</w:t>
            </w:r>
          </w:p>
          <w:p w14:paraId="66037F7C">
            <w:pPr>
              <w:adjustRightInd w:val="0"/>
              <w:snapToGrid w:val="0"/>
              <w:spacing w:after="0" w:line="240" w:lineRule="auto"/>
              <w:ind w:right="754" w:rightChars="359" w:firstLine="420" w:firstLineChars="200"/>
              <w:rPr>
                <w:rFonts w:hint="eastAsia" w:ascii="微软雅黑" w:hAnsi="微软雅黑" w:eastAsia="微软雅黑" w:cs="宋体"/>
                <w:b/>
                <w:bCs/>
                <w:spacing w:val="-5"/>
              </w:rPr>
            </w:pPr>
            <w:r>
              <w:rPr>
                <w:rFonts w:hint="eastAsia" w:ascii="微软雅黑" w:hAnsi="微软雅黑" w:eastAsia="微软雅黑" w:cs="Times New Roman"/>
              </w:rPr>
              <w:t>3</w:t>
            </w:r>
            <w:r>
              <w:rPr>
                <w:rFonts w:ascii="微软雅黑" w:hAnsi="微软雅黑" w:eastAsia="微软雅黑" w:cs="Times New Roman"/>
              </w:rPr>
              <w:t>.</w:t>
            </w:r>
            <w:r>
              <w:rPr>
                <w:rFonts w:hint="eastAsia" w:ascii="微软雅黑" w:hAnsi="微软雅黑" w:eastAsia="微软雅黑" w:cs="Times New Roman"/>
              </w:rPr>
              <w:t>互动H5可落地实施性</w:t>
            </w:r>
            <w:r>
              <w:rPr>
                <w:rFonts w:ascii="微软雅黑" w:hAnsi="微软雅黑" w:eastAsia="微软雅黑" w:cs="Times New Roman"/>
              </w:rPr>
              <w:t>..............</w:t>
            </w:r>
            <w:r>
              <w:rPr>
                <w:rFonts w:hint="eastAsia" w:ascii="微软雅黑" w:hAnsi="微软雅黑" w:eastAsia="微软雅黑" w:cs="Times New Roman"/>
              </w:rPr>
              <w:t>.....</w:t>
            </w:r>
            <w:r>
              <w:rPr>
                <w:rFonts w:ascii="微软雅黑" w:hAnsi="微软雅黑" w:eastAsia="微软雅黑" w:cs="Times New Roman"/>
              </w:rPr>
              <w:t>..................</w:t>
            </w:r>
            <w:r>
              <w:rPr>
                <w:rFonts w:hint="eastAsia" w:ascii="微软雅黑" w:hAnsi="微软雅黑" w:eastAsia="微软雅黑" w:cs="Times New Roman"/>
              </w:rPr>
              <w:t>...</w:t>
            </w:r>
            <w:r>
              <w:rPr>
                <w:rFonts w:ascii="微软雅黑" w:hAnsi="微软雅黑" w:eastAsia="微软雅黑" w:cs="Times New Roman"/>
              </w:rPr>
              <w:t>......</w:t>
            </w:r>
            <w:r>
              <w:rPr>
                <w:rFonts w:hint="eastAsia" w:ascii="微软雅黑" w:hAnsi="微软雅黑" w:eastAsia="微软雅黑" w:cs="Times New Roman"/>
              </w:rPr>
              <w:t>20</w:t>
            </w:r>
            <w:r>
              <w:rPr>
                <w:rFonts w:ascii="微软雅黑" w:hAnsi="微软雅黑" w:eastAsia="微软雅黑" w:cs="Times New Roman"/>
              </w:rPr>
              <w:t>分</w:t>
            </w:r>
          </w:p>
        </w:tc>
        <w:tc>
          <w:tcPr>
            <w:tcW w:w="959" w:type="dxa"/>
            <w:tcBorders>
              <w:top w:val="single" w:color="auto" w:sz="2" w:space="0"/>
              <w:left w:val="single" w:color="auto" w:sz="2" w:space="0"/>
              <w:bottom w:val="single" w:color="auto" w:sz="2" w:space="0"/>
              <w:right w:val="single" w:color="auto" w:sz="2" w:space="0"/>
            </w:tcBorders>
            <w:vAlign w:val="center"/>
          </w:tcPr>
          <w:p w14:paraId="2F3EA36C">
            <w:pPr>
              <w:adjustRightInd w:val="0"/>
              <w:snapToGrid w:val="0"/>
              <w:spacing w:after="0" w:line="240" w:lineRule="auto"/>
              <w:jc w:val="center"/>
              <w:textAlignment w:val="center"/>
              <w:rPr>
                <w:rFonts w:hint="eastAsia" w:ascii="微软雅黑" w:hAnsi="微软雅黑" w:eastAsia="微软雅黑" w:cs="宋体"/>
                <w:b/>
                <w:bCs/>
                <w:spacing w:val="-5"/>
              </w:rPr>
            </w:pPr>
            <w:r>
              <w:rPr>
                <w:rFonts w:hint="eastAsia" w:ascii="微软雅黑" w:hAnsi="微软雅黑" w:eastAsia="微软雅黑" w:cs="宋体"/>
                <w:color w:val="000000"/>
                <w:lang w:bidi="ar"/>
              </w:rPr>
              <w:t>0-60分</w:t>
            </w:r>
          </w:p>
        </w:tc>
        <w:tc>
          <w:tcPr>
            <w:tcW w:w="651" w:type="dxa"/>
            <w:tcBorders>
              <w:top w:val="single" w:color="auto" w:sz="2" w:space="0"/>
              <w:left w:val="single" w:color="auto" w:sz="2" w:space="0"/>
              <w:bottom w:val="single" w:color="auto" w:sz="2" w:space="0"/>
              <w:right w:val="single" w:color="auto" w:sz="2" w:space="0"/>
            </w:tcBorders>
            <w:vAlign w:val="center"/>
          </w:tcPr>
          <w:p w14:paraId="111024E1">
            <w:pPr>
              <w:adjustRightInd w:val="0"/>
              <w:snapToGrid w:val="0"/>
              <w:spacing w:after="0" w:line="240" w:lineRule="auto"/>
              <w:jc w:val="center"/>
              <w:textAlignment w:val="center"/>
              <w:rPr>
                <w:rFonts w:hint="eastAsia" w:ascii="微软雅黑" w:hAnsi="微软雅黑" w:eastAsia="微软雅黑" w:cs="宋体"/>
                <w:b/>
                <w:color w:val="000000"/>
              </w:rPr>
            </w:pPr>
          </w:p>
        </w:tc>
      </w:tr>
      <w:tr w14:paraId="52F8CD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1" w:hRule="atLeast"/>
          <w:jc w:val="center"/>
        </w:trPr>
        <w:tc>
          <w:tcPr>
            <w:tcW w:w="1155" w:type="dxa"/>
            <w:vMerge w:val="continue"/>
            <w:tcBorders>
              <w:top w:val="single" w:color="auto" w:sz="2" w:space="0"/>
              <w:left w:val="single" w:color="auto" w:sz="2" w:space="0"/>
              <w:bottom w:val="single" w:color="auto" w:sz="2" w:space="0"/>
              <w:right w:val="single" w:color="auto" w:sz="2" w:space="0"/>
            </w:tcBorders>
            <w:vAlign w:val="center"/>
          </w:tcPr>
          <w:p w14:paraId="2176C92F">
            <w:pPr>
              <w:pStyle w:val="80"/>
              <w:widowControl w:val="0"/>
              <w:adjustRightInd w:val="0"/>
              <w:snapToGrid w:val="0"/>
              <w:spacing w:before="78" w:after="0" w:line="240" w:lineRule="auto"/>
              <w:jc w:val="center"/>
              <w:rPr>
                <w:rFonts w:hint="eastAsia" w:ascii="微软雅黑" w:hAnsi="微软雅黑" w:eastAsia="微软雅黑"/>
                <w:spacing w:val="-5"/>
                <w:sz w:val="21"/>
                <w:szCs w:val="21"/>
                <w:lang w:eastAsia="zh-CN"/>
              </w:rPr>
            </w:pPr>
          </w:p>
        </w:tc>
        <w:tc>
          <w:tcPr>
            <w:tcW w:w="1131" w:type="dxa"/>
            <w:tcBorders>
              <w:top w:val="single" w:color="auto" w:sz="2" w:space="0"/>
              <w:left w:val="single" w:color="auto" w:sz="2" w:space="0"/>
              <w:bottom w:val="single" w:color="auto" w:sz="2" w:space="0"/>
              <w:right w:val="single" w:color="auto" w:sz="2" w:space="0"/>
            </w:tcBorders>
            <w:vAlign w:val="center"/>
          </w:tcPr>
          <w:p w14:paraId="6510E39E">
            <w:pPr>
              <w:pStyle w:val="80"/>
              <w:widowControl w:val="0"/>
              <w:adjustRightInd w:val="0"/>
              <w:snapToGrid w:val="0"/>
              <w:spacing w:after="0" w:line="240" w:lineRule="auto"/>
              <w:jc w:val="center"/>
              <w:rPr>
                <w:rFonts w:hint="eastAsia" w:ascii="微软雅黑" w:hAnsi="微软雅黑" w:eastAsia="微软雅黑"/>
                <w:spacing w:val="-2"/>
                <w:kern w:val="2"/>
                <w:sz w:val="21"/>
                <w:szCs w:val="21"/>
              </w:rPr>
            </w:pPr>
            <w:r>
              <w:rPr>
                <w:rFonts w:hint="eastAsia" w:ascii="微软雅黑" w:hAnsi="微软雅黑" w:eastAsia="微软雅黑"/>
                <w:spacing w:val="-5"/>
                <w:sz w:val="21"/>
                <w:szCs w:val="21"/>
                <w:lang w:eastAsia="zh-CN"/>
              </w:rPr>
              <w:t>供应商</w:t>
            </w:r>
            <w:r>
              <w:rPr>
                <w:rFonts w:hint="eastAsia" w:ascii="微软雅黑" w:hAnsi="微软雅黑" w:eastAsia="微软雅黑"/>
                <w:spacing w:val="-5"/>
                <w:sz w:val="21"/>
                <w:szCs w:val="21"/>
              </w:rPr>
              <w:t>业绩</w:t>
            </w:r>
          </w:p>
        </w:tc>
        <w:tc>
          <w:tcPr>
            <w:tcW w:w="6642" w:type="dxa"/>
            <w:tcBorders>
              <w:top w:val="single" w:color="auto" w:sz="2" w:space="0"/>
              <w:left w:val="single" w:color="auto" w:sz="2" w:space="0"/>
              <w:bottom w:val="single" w:color="auto" w:sz="2" w:space="0"/>
              <w:right w:val="single" w:color="auto" w:sz="2" w:space="0"/>
            </w:tcBorders>
            <w:vAlign w:val="center"/>
          </w:tcPr>
          <w:p w14:paraId="53F9128B">
            <w:pPr>
              <w:pStyle w:val="80"/>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自2022年1月1日以来（以合同签订时间为准），供应商具有房地产行业合同金额为8万元以上的媒体整合推广宣传业绩的，每提供1个业绩得2分，最高得10分。</w:t>
            </w:r>
          </w:p>
          <w:p w14:paraId="35144C24">
            <w:pPr>
              <w:pStyle w:val="80"/>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注：</w:t>
            </w:r>
            <w:r>
              <w:rPr>
                <w:rFonts w:hint="eastAsia" w:ascii="微软雅黑" w:hAnsi="微软雅黑" w:eastAsia="微软雅黑"/>
                <w:b/>
                <w:bCs/>
                <w:spacing w:val="5"/>
                <w:sz w:val="21"/>
                <w:szCs w:val="21"/>
                <w:lang w:eastAsia="zh-CN"/>
              </w:rPr>
              <w:t>提供业绩合同扫描件，</w:t>
            </w:r>
            <w:r>
              <w:rPr>
                <w:rFonts w:hint="eastAsia" w:ascii="微软雅黑" w:hAnsi="微软雅黑" w:eastAsia="微软雅黑"/>
                <w:spacing w:val="5"/>
                <w:sz w:val="21"/>
                <w:szCs w:val="21"/>
                <w:lang w:eastAsia="zh-CN"/>
              </w:rPr>
              <w:t>如合同中无法体现签订时间、项目类型等评审要素，须另附业主单位（合同甲方）加盖公章的证明材料扫描件，否则不得分。</w:t>
            </w:r>
          </w:p>
          <w:p w14:paraId="66B9C1BD">
            <w:pPr>
              <w:pStyle w:val="80"/>
              <w:numPr>
                <w:ilvl w:val="0"/>
                <w:numId w:val="9"/>
              </w:numPr>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正在履约或已履约完成业绩均予以认可。</w:t>
            </w:r>
          </w:p>
          <w:p w14:paraId="644AF31F">
            <w:pPr>
              <w:pStyle w:val="80"/>
              <w:adjustRightInd w:val="0"/>
              <w:snapToGrid w:val="0"/>
              <w:spacing w:after="0" w:line="240" w:lineRule="auto"/>
              <w:ind w:left="113" w:right="103" w:firstLine="1"/>
              <w:rPr>
                <w:rFonts w:hint="eastAsia" w:ascii="微软雅黑" w:hAnsi="微软雅黑" w:eastAsia="微软雅黑"/>
                <w:b/>
                <w:bCs/>
                <w:spacing w:val="-2"/>
                <w:kern w:val="2"/>
                <w:sz w:val="21"/>
                <w:szCs w:val="21"/>
                <w:lang w:eastAsia="zh-CN"/>
              </w:rPr>
            </w:pPr>
            <w:r>
              <w:rPr>
                <w:rFonts w:hint="eastAsia" w:ascii="微软雅黑" w:hAnsi="微软雅黑" w:eastAsia="微软雅黑"/>
                <w:spacing w:val="5"/>
                <w:sz w:val="21"/>
                <w:szCs w:val="21"/>
                <w:lang w:eastAsia="zh-CN"/>
              </w:rPr>
              <w:t>（2）同一业绩同时满足多项的不重复计分，以最高分计算。</w:t>
            </w:r>
          </w:p>
        </w:tc>
        <w:tc>
          <w:tcPr>
            <w:tcW w:w="959" w:type="dxa"/>
            <w:tcBorders>
              <w:top w:val="single" w:color="auto" w:sz="2" w:space="0"/>
              <w:left w:val="single" w:color="auto" w:sz="2" w:space="0"/>
              <w:bottom w:val="single" w:color="auto" w:sz="2" w:space="0"/>
              <w:right w:val="single" w:color="auto" w:sz="2" w:space="0"/>
            </w:tcBorders>
            <w:vAlign w:val="center"/>
          </w:tcPr>
          <w:p w14:paraId="2A5DD623">
            <w:pPr>
              <w:pStyle w:val="80"/>
              <w:widowControl w:val="0"/>
              <w:adjustRightInd w:val="0"/>
              <w:snapToGrid w:val="0"/>
              <w:spacing w:before="78" w:after="0" w:line="240" w:lineRule="auto"/>
              <w:jc w:val="center"/>
              <w:rPr>
                <w:rFonts w:hint="eastAsia" w:ascii="微软雅黑" w:hAnsi="微软雅黑" w:eastAsia="微软雅黑"/>
                <w:spacing w:val="-8"/>
                <w:kern w:val="2"/>
                <w:sz w:val="21"/>
                <w:szCs w:val="21"/>
                <w:lang w:eastAsia="zh-CN"/>
              </w:rPr>
            </w:pPr>
            <w:r>
              <w:rPr>
                <w:rFonts w:hint="eastAsia" w:ascii="微软雅黑" w:hAnsi="微软雅黑" w:eastAsia="微软雅黑"/>
                <w:spacing w:val="-8"/>
                <w:sz w:val="21"/>
                <w:szCs w:val="21"/>
                <w:lang w:eastAsia="zh-CN"/>
              </w:rPr>
              <w:t>0-10</w:t>
            </w:r>
            <w:r>
              <w:rPr>
                <w:rFonts w:hint="eastAsia" w:ascii="微软雅黑" w:hAnsi="微软雅黑" w:eastAsia="微软雅黑"/>
                <w:spacing w:val="-8"/>
                <w:sz w:val="21"/>
                <w:szCs w:val="21"/>
              </w:rPr>
              <w:t>分</w:t>
            </w:r>
          </w:p>
        </w:tc>
        <w:tc>
          <w:tcPr>
            <w:tcW w:w="651" w:type="dxa"/>
            <w:tcBorders>
              <w:top w:val="single" w:color="auto" w:sz="2" w:space="0"/>
              <w:left w:val="single" w:color="auto" w:sz="2" w:space="0"/>
              <w:bottom w:val="single" w:color="auto" w:sz="2" w:space="0"/>
              <w:right w:val="single" w:color="auto" w:sz="2" w:space="0"/>
            </w:tcBorders>
            <w:vAlign w:val="center"/>
          </w:tcPr>
          <w:p w14:paraId="6CECC970">
            <w:pPr>
              <w:pStyle w:val="80"/>
              <w:widowControl w:val="0"/>
              <w:adjustRightInd w:val="0"/>
              <w:snapToGrid w:val="0"/>
              <w:spacing w:before="78" w:after="0" w:line="240" w:lineRule="auto"/>
              <w:jc w:val="center"/>
              <w:rPr>
                <w:rFonts w:hint="eastAsia" w:ascii="微软雅黑" w:hAnsi="微软雅黑" w:eastAsia="微软雅黑"/>
                <w:spacing w:val="-8"/>
                <w:kern w:val="2"/>
                <w:sz w:val="21"/>
                <w:szCs w:val="21"/>
              </w:rPr>
            </w:pPr>
          </w:p>
        </w:tc>
      </w:tr>
      <w:tr w14:paraId="0C0322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10"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14:paraId="2DFF7594">
            <w:pPr>
              <w:pStyle w:val="80"/>
              <w:widowControl w:val="0"/>
              <w:adjustRightInd w:val="0"/>
              <w:snapToGrid w:val="0"/>
              <w:spacing w:before="78" w:after="0" w:line="240" w:lineRule="auto"/>
              <w:jc w:val="center"/>
              <w:rPr>
                <w:rFonts w:hint="eastAsia" w:ascii="微软雅黑" w:hAnsi="微软雅黑" w:eastAsia="微软雅黑"/>
                <w:spacing w:val="-3"/>
                <w:sz w:val="21"/>
                <w:szCs w:val="21"/>
                <w:lang w:eastAsia="zh-CN"/>
              </w:rPr>
            </w:pPr>
            <w:r>
              <w:rPr>
                <w:rFonts w:hint="eastAsia" w:ascii="微软雅黑" w:hAnsi="微软雅黑" w:eastAsia="微软雅黑"/>
                <w:spacing w:val="-3"/>
                <w:sz w:val="21"/>
                <w:szCs w:val="21"/>
                <w:lang w:eastAsia="zh-CN"/>
              </w:rPr>
              <w:t>商务得分</w:t>
            </w:r>
          </w:p>
          <w:p w14:paraId="3C4E68C3">
            <w:pPr>
              <w:pStyle w:val="80"/>
              <w:widowControl w:val="0"/>
              <w:adjustRightInd w:val="0"/>
              <w:snapToGrid w:val="0"/>
              <w:spacing w:before="78" w:after="0" w:line="240" w:lineRule="auto"/>
              <w:jc w:val="center"/>
              <w:rPr>
                <w:rFonts w:hint="eastAsia" w:ascii="微软雅黑" w:hAnsi="微软雅黑" w:eastAsia="微软雅黑"/>
                <w:spacing w:val="-5"/>
                <w:sz w:val="21"/>
                <w:szCs w:val="21"/>
                <w:lang w:eastAsia="zh-CN"/>
              </w:rPr>
            </w:pPr>
            <w:r>
              <w:rPr>
                <w:rFonts w:hint="eastAsia" w:ascii="微软雅黑" w:hAnsi="微软雅黑" w:eastAsia="微软雅黑"/>
                <w:spacing w:val="-3"/>
                <w:sz w:val="21"/>
                <w:szCs w:val="21"/>
                <w:lang w:eastAsia="zh-CN"/>
              </w:rPr>
              <w:t>（30分）</w:t>
            </w:r>
          </w:p>
        </w:tc>
        <w:tc>
          <w:tcPr>
            <w:tcW w:w="7773" w:type="dxa"/>
            <w:gridSpan w:val="2"/>
            <w:tcBorders>
              <w:top w:val="single" w:color="auto" w:sz="2" w:space="0"/>
              <w:left w:val="single" w:color="auto" w:sz="2" w:space="0"/>
              <w:bottom w:val="single" w:color="auto" w:sz="2" w:space="0"/>
              <w:right w:val="single" w:color="auto" w:sz="2" w:space="0"/>
            </w:tcBorders>
            <w:vAlign w:val="center"/>
          </w:tcPr>
          <w:p w14:paraId="2715CAF2">
            <w:pPr>
              <w:pStyle w:val="80"/>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1、有效投标报价（因投标单位税前不一致，此项价格选定为税前价格）：根据投标人的投标报价，经评审委员会评审，未否决投标的报价为有效投标报价。</w:t>
            </w:r>
          </w:p>
          <w:p w14:paraId="0A17720B">
            <w:pPr>
              <w:pStyle w:val="80"/>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2、取所有有效投标报价的平均值为基准价；</w:t>
            </w:r>
          </w:p>
          <w:p w14:paraId="407ED874">
            <w:pPr>
              <w:pStyle w:val="80"/>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3、高于基准价的报价得分=30-（该有效投标报价-基准价）/基准价*100*0.6，扣完为止；</w:t>
            </w:r>
          </w:p>
          <w:p w14:paraId="5D42A66B">
            <w:pPr>
              <w:pStyle w:val="80"/>
              <w:adjustRightInd w:val="0"/>
              <w:snapToGrid w:val="0"/>
              <w:spacing w:after="0" w:line="240" w:lineRule="auto"/>
              <w:ind w:left="113" w:right="103" w:firstLine="1"/>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4、低于或等于基准价的报价得分=30-（基准价-该有效投标报价）/基准价*100*0.4，扣完为止。</w:t>
            </w:r>
          </w:p>
        </w:tc>
        <w:tc>
          <w:tcPr>
            <w:tcW w:w="959" w:type="dxa"/>
            <w:tcBorders>
              <w:top w:val="single" w:color="auto" w:sz="2" w:space="0"/>
              <w:left w:val="single" w:color="auto" w:sz="2" w:space="0"/>
              <w:bottom w:val="single" w:color="auto" w:sz="2" w:space="0"/>
              <w:right w:val="single" w:color="auto" w:sz="2" w:space="0"/>
            </w:tcBorders>
            <w:vAlign w:val="center"/>
          </w:tcPr>
          <w:p w14:paraId="60F72D43">
            <w:pPr>
              <w:pStyle w:val="80"/>
              <w:adjustRightInd w:val="0"/>
              <w:snapToGrid w:val="0"/>
              <w:spacing w:before="116" w:after="0" w:line="240" w:lineRule="auto"/>
              <w:ind w:left="113" w:right="103" w:firstLine="1"/>
              <w:jc w:val="center"/>
              <w:rPr>
                <w:rFonts w:hint="eastAsia" w:ascii="微软雅黑" w:hAnsi="微软雅黑" w:eastAsia="微软雅黑"/>
                <w:spacing w:val="5"/>
                <w:sz w:val="21"/>
                <w:szCs w:val="21"/>
                <w:lang w:eastAsia="zh-CN"/>
              </w:rPr>
            </w:pPr>
            <w:r>
              <w:rPr>
                <w:rFonts w:hint="eastAsia" w:ascii="微软雅黑" w:hAnsi="微软雅黑" w:eastAsia="微软雅黑"/>
                <w:spacing w:val="5"/>
                <w:sz w:val="21"/>
                <w:szCs w:val="21"/>
                <w:lang w:eastAsia="zh-CN"/>
              </w:rPr>
              <w:t>0-30分</w:t>
            </w:r>
          </w:p>
        </w:tc>
        <w:tc>
          <w:tcPr>
            <w:tcW w:w="651" w:type="dxa"/>
            <w:tcBorders>
              <w:top w:val="single" w:color="auto" w:sz="2" w:space="0"/>
              <w:left w:val="single" w:color="auto" w:sz="2" w:space="0"/>
              <w:bottom w:val="single" w:color="auto" w:sz="2" w:space="0"/>
              <w:right w:val="single" w:color="auto" w:sz="2" w:space="0"/>
            </w:tcBorders>
            <w:vAlign w:val="center"/>
          </w:tcPr>
          <w:p w14:paraId="05904DBE">
            <w:pPr>
              <w:pStyle w:val="80"/>
              <w:adjustRightInd w:val="0"/>
              <w:snapToGrid w:val="0"/>
              <w:spacing w:before="116" w:after="0" w:line="240" w:lineRule="auto"/>
              <w:ind w:left="113" w:right="103" w:firstLine="1"/>
              <w:jc w:val="center"/>
              <w:rPr>
                <w:rFonts w:hint="eastAsia" w:ascii="微软雅黑" w:hAnsi="微软雅黑" w:eastAsia="微软雅黑"/>
                <w:spacing w:val="5"/>
                <w:sz w:val="21"/>
                <w:szCs w:val="21"/>
                <w:lang w:eastAsia="zh-CN"/>
              </w:rPr>
            </w:pPr>
          </w:p>
        </w:tc>
      </w:tr>
    </w:tbl>
    <w:p w14:paraId="6F5AF5D3">
      <w:pPr>
        <w:numPr>
          <w:ilvl w:val="0"/>
          <w:numId w:val="4"/>
        </w:numPr>
        <w:spacing w:line="36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确定中标候选人</w:t>
      </w:r>
    </w:p>
    <w:p w14:paraId="0F959A50">
      <w:pPr>
        <w:spacing w:line="360" w:lineRule="auto"/>
        <w:ind w:left="420"/>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各投标人的综合得分为技术资信得分与商务得分之和（取两位有效数字，第三位四舍五入），按照综合得分高低顺序排名，确定中标候选人。如综合得分相同，则投标报价低者排名靠前。</w:t>
      </w:r>
    </w:p>
    <w:p w14:paraId="4C79D119">
      <w:pPr>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br w:type="page"/>
      </w:r>
    </w:p>
    <w:p w14:paraId="6B9CA545">
      <w:pPr>
        <w:pStyle w:val="4"/>
        <w:ind w:firstLine="440"/>
        <w:rPr>
          <w:rFonts w:hint="eastAsia"/>
          <w:sz w:val="22"/>
          <w:szCs w:val="22"/>
        </w:rPr>
      </w:pPr>
      <w:r>
        <w:rPr>
          <w:rFonts w:hint="eastAsia"/>
          <w:sz w:val="22"/>
          <w:szCs w:val="22"/>
        </w:rPr>
        <w:t>附件一：</w:t>
      </w:r>
    </w:p>
    <w:p w14:paraId="737D40D9">
      <w:pPr>
        <w:pStyle w:val="4"/>
        <w:ind w:firstLine="440"/>
        <w:jc w:val="center"/>
        <w:rPr>
          <w:rFonts w:hint="eastAsia"/>
          <w:sz w:val="22"/>
          <w:szCs w:val="22"/>
        </w:rPr>
      </w:pPr>
      <w:r>
        <w:rPr>
          <w:rFonts w:hint="eastAsia"/>
          <w:sz w:val="22"/>
          <w:szCs w:val="22"/>
        </w:rPr>
        <w:t>一、投标函</w:t>
      </w:r>
      <w:bookmarkEnd w:id="12"/>
      <w:bookmarkEnd w:id="13"/>
      <w:bookmarkEnd w:id="14"/>
      <w:bookmarkEnd w:id="15"/>
    </w:p>
    <w:p w14:paraId="272DBD8B">
      <w:pPr>
        <w:pStyle w:val="19"/>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致：合肥市包河区城市更新建设有限公司</w:t>
      </w:r>
    </w:p>
    <w:p w14:paraId="20CD48F3">
      <w:pPr>
        <w:pStyle w:val="3"/>
        <w:spacing w:line="360" w:lineRule="auto"/>
        <w:ind w:firstLine="440" w:firstLineChars="200"/>
        <w:rPr>
          <w:rFonts w:hint="eastAsia" w:ascii="微软雅黑" w:hAnsi="微软雅黑" w:eastAsia="微软雅黑" w:cs="微软雅黑"/>
          <w:dstrike/>
          <w:sz w:val="22"/>
          <w:szCs w:val="22"/>
        </w:rPr>
      </w:pPr>
      <w:r>
        <w:rPr>
          <w:rFonts w:hint="eastAsia" w:ascii="微软雅黑" w:hAnsi="微软雅黑" w:eastAsia="微软雅黑" w:cs="微软雅黑"/>
          <w:sz w:val="22"/>
          <w:szCs w:val="22"/>
        </w:rPr>
        <w:t>根据贵方</w:t>
      </w:r>
      <w:r>
        <w:rPr>
          <w:rFonts w:hint="eastAsia" w:ascii="微软雅黑" w:hAnsi="微软雅黑" w:eastAsia="微软雅黑" w:cs="微软雅黑"/>
          <w:sz w:val="22"/>
          <w:szCs w:val="22"/>
          <w:u w:val="single"/>
        </w:rPr>
        <w:t>“城市更新项目双节活动媒体宣传”</w:t>
      </w:r>
      <w:r>
        <w:rPr>
          <w:rFonts w:hint="eastAsia" w:ascii="微软雅黑" w:hAnsi="微软雅黑" w:eastAsia="微软雅黑" w:cs="微软雅黑"/>
          <w:sz w:val="22"/>
          <w:szCs w:val="22"/>
        </w:rPr>
        <w:t>项目的招标邀请书，正式授权下述签字人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（姓名）代表投标人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（投标人全称），提交投标文件正本</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rPr>
        <w:t>份，副本</w:t>
      </w:r>
      <w:r>
        <w:rPr>
          <w:rFonts w:hint="eastAsia" w:ascii="微软雅黑" w:hAnsi="微软雅黑" w:eastAsia="微软雅黑" w:cs="微软雅黑"/>
          <w:b/>
          <w:sz w:val="22"/>
          <w:szCs w:val="22"/>
          <w:u w:val="single"/>
        </w:rPr>
        <w:t>　</w:t>
      </w:r>
      <w:r>
        <w:rPr>
          <w:rFonts w:hint="eastAsia" w:ascii="微软雅黑" w:hAnsi="微软雅黑" w:eastAsia="微软雅黑" w:cs="微软雅黑"/>
          <w:sz w:val="22"/>
          <w:szCs w:val="22"/>
        </w:rPr>
        <w:t>份。</w:t>
      </w:r>
    </w:p>
    <w:p w14:paraId="7E7468BE">
      <w:pPr>
        <w:spacing w:line="360" w:lineRule="auto"/>
        <w:ind w:firstLine="440"/>
        <w:rPr>
          <w:rFonts w:hint="eastAsia" w:ascii="微软雅黑" w:hAnsi="微软雅黑" w:eastAsia="微软雅黑" w:cs="微软雅黑"/>
          <w:sz w:val="22"/>
          <w:szCs w:val="22"/>
        </w:rPr>
      </w:pPr>
    </w:p>
    <w:p w14:paraId="52E33264">
      <w:pPr>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据此函，签字人兹宣布同意如下：</w:t>
      </w:r>
    </w:p>
    <w:p w14:paraId="7110F96C">
      <w:pPr>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（1）我方完全响应招标文件要求，如我方中标，我方承诺将服从采购方管理，严格按照采购方相关规定履行业务。</w:t>
      </w:r>
    </w:p>
    <w:p w14:paraId="333D8EEF">
      <w:pPr>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（2）我方根据招标文件的规定，严格履行合同的责任和义务,并保证于招标方要求的日期内提供优质服务。</w:t>
      </w:r>
    </w:p>
    <w:p w14:paraId="5BA13379">
      <w:pPr>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5240A231">
      <w:pPr>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（4）我方同意从招标文件规定的开标日期起遵循本投标文件，并在招标文件规定的投标有效期之前均具有约束力。</w:t>
      </w:r>
    </w:p>
    <w:p w14:paraId="149B0799">
      <w:pPr>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（5）我方声明投标文件所提供的一切资料真实、及时、有效。由于我方提供资料不实而造成的责任和后果由我方承担。我方同意按照贵方提出的要求，提供与投标有关的任何证据、数据或资料。</w:t>
      </w:r>
    </w:p>
    <w:p w14:paraId="1A7F2B3C">
      <w:pPr>
        <w:spacing w:line="360" w:lineRule="auto"/>
        <w:ind w:firstLine="44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（6）与本投标有关的通讯地址：</w:t>
      </w:r>
      <w:r>
        <w:rPr>
          <w:rFonts w:hint="eastAsia" w:ascii="微软雅黑" w:hAnsi="微软雅黑" w:eastAsia="微软雅黑" w:cs="微软雅黑"/>
          <w:sz w:val="22"/>
          <w:szCs w:val="22"/>
          <w:u w:val="single"/>
        </w:rPr>
        <w:t xml:space="preserve">                                  </w:t>
      </w:r>
    </w:p>
    <w:p w14:paraId="1BAA6E8C">
      <w:pPr>
        <w:spacing w:line="360" w:lineRule="auto"/>
        <w:ind w:firstLine="44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电    话：</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传    真：</w:t>
      </w:r>
      <w:r>
        <w:rPr>
          <w:rFonts w:hint="eastAsia" w:ascii="微软雅黑" w:hAnsi="微软雅黑" w:eastAsia="微软雅黑" w:cs="微软雅黑"/>
          <w:sz w:val="22"/>
          <w:szCs w:val="22"/>
          <w:u w:val="single"/>
        </w:rPr>
        <w:t xml:space="preserve">                 </w:t>
      </w:r>
    </w:p>
    <w:p w14:paraId="745FAADA">
      <w:pPr>
        <w:spacing w:line="360" w:lineRule="auto"/>
        <w:ind w:firstLine="44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投标人（公章）：</w:t>
      </w:r>
      <w:r>
        <w:rPr>
          <w:rFonts w:hint="eastAsia" w:ascii="微软雅黑" w:hAnsi="微软雅黑" w:eastAsia="微软雅黑" w:cs="微软雅黑"/>
          <w:sz w:val="22"/>
          <w:szCs w:val="22"/>
          <w:u w:val="single"/>
        </w:rPr>
        <w:t xml:space="preserve">                     </w:t>
      </w:r>
    </w:p>
    <w:p w14:paraId="152A5DAA">
      <w:pPr>
        <w:tabs>
          <w:tab w:val="left" w:pos="630"/>
        </w:tabs>
        <w:spacing w:line="360" w:lineRule="auto"/>
        <w:ind w:firstLine="440"/>
        <w:rPr>
          <w:rFonts w:hint="eastAsia" w:ascii="微软雅黑" w:hAnsi="微软雅黑" w:eastAsia="微软雅黑" w:cs="微软雅黑"/>
          <w:sz w:val="22"/>
          <w:szCs w:val="22"/>
        </w:rPr>
      </w:pPr>
      <w:r>
        <w:rPr>
          <w:rFonts w:hint="eastAsia" w:ascii="微软雅黑" w:hAnsi="微软雅黑" w:eastAsia="微软雅黑" w:cs="微软雅黑"/>
          <w:sz w:val="22"/>
          <w:szCs w:val="22"/>
        </w:rPr>
        <w:t>日    期：</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w:t>
      </w:r>
    </w:p>
    <w:bookmarkEnd w:id="16"/>
    <w:bookmarkEnd w:id="17"/>
    <w:bookmarkEnd w:id="18"/>
    <w:bookmarkEnd w:id="19"/>
    <w:bookmarkEnd w:id="20"/>
    <w:p w14:paraId="15580EF6">
      <w:pPr>
        <w:pStyle w:val="4"/>
        <w:ind w:firstLine="440"/>
        <w:rPr>
          <w:rFonts w:hint="eastAsia"/>
          <w:sz w:val="22"/>
          <w:szCs w:val="22"/>
        </w:rPr>
      </w:pPr>
      <w:bookmarkStart w:id="21" w:name="_Toc245714174"/>
      <w:bookmarkStart w:id="22" w:name="_Toc39733484"/>
      <w:bookmarkStart w:id="23" w:name="_Toc273602356"/>
      <w:bookmarkStart w:id="24" w:name="_Toc10239"/>
      <w:bookmarkStart w:id="25" w:name="_Toc220232394"/>
      <w:bookmarkStart w:id="26" w:name="_Toc232592019"/>
      <w:r>
        <w:rPr>
          <w:rFonts w:hint="eastAsia"/>
          <w:sz w:val="22"/>
          <w:szCs w:val="22"/>
        </w:rPr>
        <w:t>附件二：</w:t>
      </w:r>
    </w:p>
    <w:p w14:paraId="6E42C2CA">
      <w:pPr>
        <w:pStyle w:val="4"/>
        <w:numPr>
          <w:ilvl w:val="0"/>
          <w:numId w:val="10"/>
        </w:numPr>
        <w:ind w:firstLine="440"/>
        <w:jc w:val="center"/>
        <w:rPr>
          <w:rFonts w:hint="eastAsia"/>
          <w:sz w:val="22"/>
          <w:szCs w:val="22"/>
        </w:rPr>
      </w:pPr>
      <w:r>
        <w:rPr>
          <w:rFonts w:hint="eastAsia"/>
          <w:sz w:val="22"/>
          <w:szCs w:val="22"/>
        </w:rPr>
        <w:t>投标授权书</w:t>
      </w:r>
      <w:bookmarkEnd w:id="21"/>
      <w:bookmarkEnd w:id="22"/>
      <w:bookmarkEnd w:id="23"/>
      <w:bookmarkEnd w:id="24"/>
    </w:p>
    <w:p w14:paraId="1237ADE8">
      <w:pPr>
        <w:ind w:firstLine="440"/>
        <w:rPr>
          <w:rFonts w:hint="eastAsia" w:ascii="微软雅黑" w:hAnsi="微软雅黑" w:eastAsia="微软雅黑" w:cs="微软雅黑"/>
          <w:sz w:val="22"/>
          <w:szCs w:val="22"/>
        </w:rPr>
      </w:pPr>
    </w:p>
    <w:p w14:paraId="7D174DC2">
      <w:pPr>
        <w:pStyle w:val="18"/>
        <w:snapToGrid w:val="0"/>
        <w:spacing w:line="48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本授权书声明：</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（投标单位）授权本公司</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（投标人授权代表姓名、职务）代表本公司参加合肥市包河区城市更新建设有限公司</w:t>
      </w:r>
      <w:r>
        <w:rPr>
          <w:rFonts w:hint="eastAsia" w:ascii="微软雅黑" w:hAnsi="微软雅黑" w:eastAsia="微软雅黑" w:cs="微软雅黑"/>
          <w:sz w:val="22"/>
          <w:szCs w:val="22"/>
          <w:u w:val="single"/>
        </w:rPr>
        <w:t>城市更新项目双节活动媒体宣传</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020EF953">
      <w:pPr>
        <w:pStyle w:val="18"/>
        <w:snapToGrid w:val="0"/>
        <w:spacing w:line="48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本授权书自出具之日起生效。</w:t>
      </w:r>
    </w:p>
    <w:p w14:paraId="137FA3B8">
      <w:pPr>
        <w:adjustRightInd w:val="0"/>
        <w:snapToGri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特此声明。</w:t>
      </w:r>
    </w:p>
    <w:p w14:paraId="22B89706">
      <w:pPr>
        <w:pStyle w:val="28"/>
        <w:ind w:left="0" w:leftChars="0" w:firstLine="440"/>
        <w:rPr>
          <w:sz w:val="22"/>
          <w:szCs w:val="22"/>
        </w:rPr>
      </w:pPr>
    </w:p>
    <w:p w14:paraId="1E868F1C">
      <w:pPr>
        <w:spacing w:line="360" w:lineRule="auto"/>
        <w:ind w:firstLine="44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9AD1ACB">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9AD1ACB">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sz w:val="22"/>
          <w:szCs w:val="22"/>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3B5CA7A">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23B5CA7A">
                      <w:pPr>
                        <w:jc w:val="center"/>
                        <w:rPr>
                          <w:rFonts w:hint="eastAsia"/>
                        </w:rPr>
                      </w:pPr>
                      <w:r>
                        <w:rPr>
                          <w:rFonts w:hint="eastAsia"/>
                        </w:rPr>
                        <w:t>授权代表身份复印件反面</w:t>
                      </w:r>
                    </w:p>
                  </w:txbxContent>
                </v:textbox>
                <w10:wrap type="none"/>
                <w10:anchorlock/>
              </v:roundrect>
            </w:pict>
          </mc:Fallback>
        </mc:AlternateContent>
      </w:r>
    </w:p>
    <w:p w14:paraId="2B2CD50D">
      <w:pPr>
        <w:adjustRightInd w:val="0"/>
        <w:snapToGrid w:val="0"/>
        <w:spacing w:line="360" w:lineRule="auto"/>
        <w:ind w:firstLine="440" w:firstLineChars="200"/>
        <w:rPr>
          <w:rFonts w:hint="eastAsia"/>
          <w:sz w:val="22"/>
          <w:szCs w:val="22"/>
        </w:rPr>
      </w:pPr>
      <w:r>
        <w:rPr>
          <w:rFonts w:hint="eastAsia" w:ascii="微软雅黑" w:hAnsi="微软雅黑" w:eastAsia="微软雅黑" w:cs="微软雅黑"/>
          <w:sz w:val="22"/>
          <w:szCs w:val="22"/>
        </w:rPr>
        <w:t>投标人授权代表</w:t>
      </w:r>
      <w:r>
        <w:rPr>
          <w:rFonts w:hint="eastAsia" w:ascii="微软雅黑" w:hAnsi="微软雅黑" w:eastAsia="微软雅黑" w:cs="微软雅黑"/>
          <w:b/>
          <w:sz w:val="22"/>
          <w:szCs w:val="22"/>
        </w:rPr>
        <w:t>（签字）</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 xml:space="preserve"> 性别：</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身份证号：</w:t>
      </w:r>
      <w:r>
        <w:rPr>
          <w:rFonts w:hint="eastAsia" w:ascii="微软雅黑" w:hAnsi="微软雅黑" w:eastAsia="微软雅黑" w:cs="微软雅黑"/>
          <w:sz w:val="22"/>
          <w:szCs w:val="22"/>
          <w:u w:val="single"/>
        </w:rPr>
        <w:t xml:space="preserve">                  </w:t>
      </w:r>
    </w:p>
    <w:p w14:paraId="71F6302E">
      <w:pPr>
        <w:adjustRightInd w:val="0"/>
        <w:snapToGrid w:val="0"/>
        <w:spacing w:line="360" w:lineRule="auto"/>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投标人（公章）：</w:t>
      </w:r>
      <w:r>
        <w:rPr>
          <w:rFonts w:hint="eastAsia" w:ascii="微软雅黑" w:hAnsi="微软雅黑" w:eastAsia="微软雅黑" w:cs="微软雅黑"/>
          <w:b/>
          <w:sz w:val="22"/>
          <w:szCs w:val="22"/>
          <w:u w:val="single"/>
        </w:rPr>
        <w:t xml:space="preserve">                </w:t>
      </w:r>
    </w:p>
    <w:p w14:paraId="0CA35A76">
      <w:pPr>
        <w:adjustRightInd w:val="0"/>
        <w:snapToGrid w:val="0"/>
        <w:spacing w:line="360" w:lineRule="auto"/>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日期：</w:t>
      </w:r>
      <w:r>
        <w:rPr>
          <w:rFonts w:hint="eastAsia" w:ascii="微软雅黑" w:hAnsi="微软雅黑" w:eastAsia="微软雅黑" w:cs="微软雅黑"/>
          <w:b/>
          <w:sz w:val="22"/>
          <w:szCs w:val="22"/>
          <w:u w:val="single"/>
        </w:rPr>
        <w:t xml:space="preserve">        </w:t>
      </w:r>
      <w:r>
        <w:rPr>
          <w:rFonts w:hint="eastAsia" w:ascii="微软雅黑" w:hAnsi="微软雅黑" w:eastAsia="微软雅黑" w:cs="微软雅黑"/>
          <w:b/>
          <w:sz w:val="22"/>
          <w:szCs w:val="22"/>
        </w:rPr>
        <w:t>年</w:t>
      </w:r>
      <w:r>
        <w:rPr>
          <w:rFonts w:hint="eastAsia" w:ascii="微软雅黑" w:hAnsi="微软雅黑" w:eastAsia="微软雅黑" w:cs="微软雅黑"/>
          <w:b/>
          <w:sz w:val="22"/>
          <w:szCs w:val="22"/>
          <w:u w:val="single"/>
        </w:rPr>
        <w:t xml:space="preserve">      </w:t>
      </w:r>
      <w:r>
        <w:rPr>
          <w:rFonts w:hint="eastAsia" w:ascii="微软雅黑" w:hAnsi="微软雅黑" w:eastAsia="微软雅黑" w:cs="微软雅黑"/>
          <w:b/>
          <w:sz w:val="22"/>
          <w:szCs w:val="22"/>
        </w:rPr>
        <w:t>月</w:t>
      </w:r>
      <w:r>
        <w:rPr>
          <w:rFonts w:hint="eastAsia" w:ascii="微软雅黑" w:hAnsi="微软雅黑" w:eastAsia="微软雅黑" w:cs="微软雅黑"/>
          <w:b/>
          <w:sz w:val="22"/>
          <w:szCs w:val="22"/>
          <w:u w:val="single"/>
        </w:rPr>
        <w:t xml:space="preserve">       </w:t>
      </w:r>
      <w:r>
        <w:rPr>
          <w:rFonts w:hint="eastAsia" w:ascii="微软雅黑" w:hAnsi="微软雅黑" w:eastAsia="微软雅黑" w:cs="微软雅黑"/>
          <w:b/>
          <w:sz w:val="22"/>
          <w:szCs w:val="22"/>
        </w:rPr>
        <w:t>日</w:t>
      </w:r>
    </w:p>
    <w:p w14:paraId="71D21D2F">
      <w:pPr>
        <w:pStyle w:val="18"/>
        <w:widowControl w:val="0"/>
        <w:snapToGri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注：本项目只允许有唯一的投标人授权代表，且必须为投标人在职员工并提供身份证复印件。</w:t>
      </w:r>
    </w:p>
    <w:p w14:paraId="24B67662">
      <w:pPr>
        <w:pStyle w:val="18"/>
        <w:snapToGrid w:val="0"/>
        <w:spacing w:line="240" w:lineRule="auto"/>
        <w:ind w:firstLine="420" w:firstLineChars="200"/>
        <w:rPr>
          <w:rFonts w:hint="eastAsia" w:ascii="微软雅黑" w:hAnsi="微软雅黑" w:eastAsia="微软雅黑" w:cs="微软雅黑"/>
          <w:b/>
          <w:kern w:val="2"/>
          <w:sz w:val="24"/>
          <w:szCs w:val="24"/>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4"/>
          <w:szCs w:val="24"/>
        </w:rPr>
        <w:t>附件三：</w:t>
      </w:r>
    </w:p>
    <w:bookmarkEnd w:id="27"/>
    <w:p w14:paraId="06E84D12">
      <w:pPr>
        <w:pStyle w:val="18"/>
        <w:snapToGrid w:val="0"/>
        <w:spacing w:line="360" w:lineRule="auto"/>
        <w:ind w:firstLine="480" w:firstLineChars="20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三、投标人信用承诺</w:t>
      </w:r>
    </w:p>
    <w:p w14:paraId="18E1593F">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致： [招标人/甲方公司全称]</w:t>
      </w:r>
    </w:p>
    <w:p w14:paraId="18299816">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本公司 [投标人公司全称] ，现正参与贵方组织的“</w:t>
      </w:r>
      <w:r>
        <w:rPr>
          <w:rFonts w:hint="eastAsia" w:ascii="微软雅黑" w:hAnsi="微软雅黑" w:eastAsia="微软雅黑" w:cs="微软雅黑"/>
          <w:sz w:val="24"/>
          <w:szCs w:val="24"/>
          <w:u w:val="single"/>
        </w:rPr>
        <w:t>城市更新项目双节活动媒体宣传</w:t>
      </w:r>
      <w:r>
        <w:rPr>
          <w:rFonts w:hint="eastAsia" w:ascii="微软雅黑" w:hAnsi="微软雅黑" w:eastAsia="微软雅黑" w:cs="微软雅黑"/>
          <w:sz w:val="24"/>
          <w:szCs w:val="24"/>
        </w:rPr>
        <w:t>”的投标活动。我公司郑重承诺如下：</w:t>
      </w:r>
    </w:p>
    <w:p w14:paraId="0EBC4170">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一、关于投标资格的承诺</w:t>
      </w:r>
    </w:p>
    <w:p w14:paraId="67271710">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我公司保证所提供的所有营业执照、资质证书、业绩证明、人员资质等投标资格文件均真实、合法、有效，无任何伪造、变造、涂改等情形。我们具备完全履行合同所必需的专业技术能力、设备设备和实践经验。</w:t>
      </w:r>
    </w:p>
    <w:p w14:paraId="61ACB58D">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 关于诚信投标的承诺</w:t>
      </w:r>
    </w:p>
    <w:p w14:paraId="39BDBBEA">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杜绝围标串标：我司保证独立参与本次投标，绝不与其他投标人相互串通投标报价。</w:t>
      </w:r>
    </w:p>
    <w:p w14:paraId="3EDEC3BE">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 杜绝虚假应标：我司承诺投标文件中的所有内容（包括但不限于设计方案构思、团队人员配置、项目业绩、服务周期、技术方案等）均真实可信，无任何虚假和误导性陈述。</w:t>
      </w:r>
    </w:p>
    <w:p w14:paraId="030831A9">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 关于质量与服务的承诺</w:t>
      </w:r>
    </w:p>
    <w:p w14:paraId="6C65C781">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严格履行合同：将严格按照招标文件、合同条款，全面、及时地履行全部服务工作。交付的所有成果均符合招标文件规定的技术要求。若因我方原因导致成果质量未达到约定标准，愿无条件按合同约定进行修改直至达标，并承担相应的违约责任。</w:t>
      </w:r>
    </w:p>
    <w:p w14:paraId="17A39907">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 提供优质服务：在项目实施过程中主动沟通，积极配合招标人的合理要求与监督。</w:t>
      </w:r>
    </w:p>
    <w:p w14:paraId="7A326101">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 接受监督与违约自担的承诺 </w:t>
      </w:r>
    </w:p>
    <w:p w14:paraId="79C05DCB">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我公司完全理解并接受贵方为本次招标制定的各项规则。若我公司在投标或合同履行过程中违反上述任何承诺，愿无条件承担由此带来的一切法律责任及后果，包括但不限于：</w:t>
      </w:r>
    </w:p>
    <w:p w14:paraId="63DB2D74">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接受贵方取消我方投标与中标资格；</w:t>
      </w:r>
    </w:p>
    <w:p w14:paraId="6A6BACF4">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列入不良信用记录名单，并接受市场准入限制；</w:t>
      </w:r>
    </w:p>
    <w:p w14:paraId="379331F6">
      <w:pPr>
        <w:pStyle w:val="18"/>
        <w:snapToGrid w:val="0"/>
        <w:spacing w:line="24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特此承诺！</w:t>
      </w:r>
    </w:p>
    <w:p w14:paraId="24F07D64">
      <w:pPr>
        <w:pStyle w:val="18"/>
        <w:snapToGrid w:val="0"/>
        <w:spacing w:line="240" w:lineRule="auto"/>
        <w:ind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投标人（公章）：</w:t>
      </w:r>
    </w:p>
    <w:p w14:paraId="390722B2">
      <w:pPr>
        <w:pStyle w:val="18"/>
        <w:snapToGrid w:val="0"/>
        <w:spacing w:line="240" w:lineRule="auto"/>
        <w:ind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  期：      年    月     日</w:t>
      </w:r>
    </w:p>
    <w:p w14:paraId="3DB7B62F">
      <w:pPr>
        <w:spacing w:after="0" w:line="240" w:lineRule="auto"/>
        <w:rPr>
          <w:rFonts w:hint="eastAsia" w:ascii="微软雅黑" w:hAnsi="微软雅黑" w:eastAsia="微软雅黑" w:cs="微软雅黑"/>
          <w:b/>
          <w:kern w:val="2"/>
          <w:sz w:val="24"/>
          <w:szCs w:val="24"/>
        </w:rPr>
      </w:pPr>
      <w:r>
        <w:rPr>
          <w:rFonts w:hint="eastAsia" w:ascii="微软雅黑" w:hAnsi="微软雅黑" w:eastAsia="微软雅黑" w:cs="微软雅黑"/>
          <w:sz w:val="22"/>
          <w:szCs w:val="22"/>
        </w:rPr>
        <w:br w:type="page"/>
      </w:r>
      <w:r>
        <w:rPr>
          <w:rFonts w:hint="eastAsia" w:ascii="微软雅黑" w:hAnsi="微软雅黑" w:eastAsia="微软雅黑" w:cs="微软雅黑"/>
          <w:b/>
          <w:kern w:val="2"/>
          <w:sz w:val="24"/>
          <w:szCs w:val="24"/>
        </w:rPr>
        <w:t>附件四：</w:t>
      </w:r>
    </w:p>
    <w:p w14:paraId="4BD50263">
      <w:pPr>
        <w:spacing w:line="500" w:lineRule="exact"/>
        <w:ind w:firstLine="48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四、资质证明文件</w:t>
      </w:r>
    </w:p>
    <w:p w14:paraId="45C97D96">
      <w:pPr>
        <w:pStyle w:val="28"/>
        <w:ind w:left="0" w:leftChars="0" w:firstLine="560"/>
        <w:rPr>
          <w:rFonts w:hint="eastAsia" w:ascii="微软雅黑" w:hAnsi="微软雅黑" w:eastAsia="微软雅黑" w:cs="微软雅黑"/>
          <w:sz w:val="28"/>
          <w:szCs w:val="28"/>
        </w:rPr>
      </w:pPr>
    </w:p>
    <w:p w14:paraId="5DE3B35D">
      <w:pPr>
        <w:numPr>
          <w:ilvl w:val="0"/>
          <w:numId w:val="11"/>
        </w:numPr>
        <w:spacing w:line="500" w:lineRule="exact"/>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有效营业执照，营业执照经营范围应包含活动策划执行等与招标项目相关的业务许可。</w:t>
      </w:r>
    </w:p>
    <w:p w14:paraId="0364E8C1">
      <w:pPr>
        <w:numPr>
          <w:ilvl w:val="0"/>
          <w:numId w:val="11"/>
        </w:numPr>
        <w:spacing w:line="500" w:lineRule="exact"/>
        <w:jc w:val="both"/>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业绩证明：三份同类业绩证明（自2022年1月1日起与不同开发商签订的至少3份媒体投放类合同，每份合同金额不低于8万元）。</w:t>
      </w:r>
    </w:p>
    <w:p w14:paraId="274A74FE">
      <w:pPr>
        <w:numPr>
          <w:ilvl w:val="0"/>
          <w:numId w:val="11"/>
        </w:numPr>
        <w:spacing w:line="500" w:lineRule="exact"/>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招标文件中要求的各媒体平台发布授权许可书。</w:t>
      </w:r>
    </w:p>
    <w:p w14:paraId="5141F227">
      <w:pPr>
        <w:numPr>
          <w:ilvl w:val="0"/>
          <w:numId w:val="11"/>
        </w:numPr>
        <w:spacing w:line="500" w:lineRule="exact"/>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招标文件要求的其他资格证明文件。</w:t>
      </w:r>
    </w:p>
    <w:p w14:paraId="69F3AB4A">
      <w:pPr>
        <w:spacing w:line="500" w:lineRule="exact"/>
        <w:ind w:firstLine="440"/>
        <w:jc w:val="center"/>
        <w:rPr>
          <w:rFonts w:hint="eastAsia" w:ascii="微软雅黑" w:hAnsi="微软雅黑" w:eastAsia="微软雅黑" w:cs="微软雅黑"/>
          <w:b/>
          <w:bCs/>
          <w:sz w:val="22"/>
          <w:szCs w:val="22"/>
        </w:rPr>
      </w:pPr>
    </w:p>
    <w:p w14:paraId="43FF3004">
      <w:pPr>
        <w:spacing w:line="500" w:lineRule="exact"/>
        <w:ind w:firstLine="440"/>
        <w:jc w:val="center"/>
        <w:rPr>
          <w:rFonts w:hint="eastAsia" w:ascii="微软雅黑" w:hAnsi="微软雅黑" w:eastAsia="微软雅黑" w:cs="微软雅黑"/>
          <w:b/>
          <w:bCs/>
          <w:sz w:val="22"/>
          <w:szCs w:val="22"/>
        </w:rPr>
      </w:pPr>
    </w:p>
    <w:p w14:paraId="2FE1E624">
      <w:pPr>
        <w:spacing w:line="500" w:lineRule="exact"/>
        <w:ind w:firstLine="440"/>
        <w:jc w:val="center"/>
        <w:rPr>
          <w:rFonts w:hint="eastAsia" w:ascii="微软雅黑" w:hAnsi="微软雅黑" w:eastAsia="微软雅黑" w:cs="微软雅黑"/>
          <w:b/>
          <w:bCs/>
          <w:sz w:val="22"/>
          <w:szCs w:val="22"/>
        </w:rPr>
      </w:pPr>
    </w:p>
    <w:p w14:paraId="0846C102">
      <w:pPr>
        <w:spacing w:line="500" w:lineRule="exact"/>
        <w:ind w:firstLine="440"/>
        <w:jc w:val="center"/>
        <w:rPr>
          <w:rFonts w:hint="eastAsia" w:ascii="微软雅黑" w:hAnsi="微软雅黑" w:eastAsia="微软雅黑" w:cs="微软雅黑"/>
          <w:b/>
          <w:bCs/>
          <w:sz w:val="22"/>
          <w:szCs w:val="22"/>
        </w:rPr>
      </w:pPr>
    </w:p>
    <w:p w14:paraId="1D67199C">
      <w:pPr>
        <w:spacing w:line="500" w:lineRule="exact"/>
        <w:ind w:firstLine="440"/>
        <w:jc w:val="center"/>
        <w:rPr>
          <w:rFonts w:hint="eastAsia" w:ascii="微软雅黑" w:hAnsi="微软雅黑" w:eastAsia="微软雅黑" w:cs="微软雅黑"/>
          <w:b/>
          <w:bCs/>
          <w:sz w:val="22"/>
          <w:szCs w:val="22"/>
        </w:rPr>
      </w:pPr>
    </w:p>
    <w:p w14:paraId="174E2BC6">
      <w:pPr>
        <w:spacing w:line="500" w:lineRule="exact"/>
        <w:ind w:firstLine="440"/>
        <w:jc w:val="center"/>
        <w:rPr>
          <w:rFonts w:hint="eastAsia" w:ascii="微软雅黑" w:hAnsi="微软雅黑" w:eastAsia="微软雅黑" w:cs="微软雅黑"/>
          <w:b/>
          <w:bCs/>
          <w:sz w:val="22"/>
          <w:szCs w:val="22"/>
        </w:rPr>
      </w:pPr>
    </w:p>
    <w:p w14:paraId="2CF203F4">
      <w:pPr>
        <w:spacing w:line="500" w:lineRule="exact"/>
        <w:ind w:firstLine="440"/>
        <w:jc w:val="center"/>
        <w:rPr>
          <w:rFonts w:hint="eastAsia" w:ascii="微软雅黑" w:hAnsi="微软雅黑" w:eastAsia="微软雅黑" w:cs="微软雅黑"/>
          <w:b/>
          <w:bCs/>
          <w:sz w:val="22"/>
          <w:szCs w:val="22"/>
        </w:rPr>
      </w:pPr>
    </w:p>
    <w:p w14:paraId="5B8E63E2">
      <w:pPr>
        <w:spacing w:line="500" w:lineRule="exact"/>
        <w:ind w:firstLine="440"/>
        <w:jc w:val="center"/>
        <w:rPr>
          <w:rFonts w:hint="eastAsia" w:ascii="微软雅黑" w:hAnsi="微软雅黑" w:eastAsia="微软雅黑" w:cs="微软雅黑"/>
          <w:b/>
          <w:bCs/>
          <w:sz w:val="22"/>
          <w:szCs w:val="22"/>
        </w:rPr>
      </w:pPr>
    </w:p>
    <w:p w14:paraId="009AB071">
      <w:pPr>
        <w:spacing w:line="500" w:lineRule="exact"/>
        <w:ind w:firstLine="440"/>
        <w:jc w:val="center"/>
        <w:rPr>
          <w:rFonts w:hint="eastAsia" w:ascii="微软雅黑" w:hAnsi="微软雅黑" w:eastAsia="微软雅黑" w:cs="微软雅黑"/>
          <w:b/>
          <w:bCs/>
          <w:sz w:val="22"/>
          <w:szCs w:val="22"/>
        </w:rPr>
      </w:pPr>
    </w:p>
    <w:p w14:paraId="496FA2A3">
      <w:pPr>
        <w:spacing w:line="500" w:lineRule="exact"/>
        <w:ind w:firstLine="440"/>
        <w:jc w:val="center"/>
        <w:rPr>
          <w:rFonts w:hint="eastAsia" w:ascii="微软雅黑" w:hAnsi="微软雅黑" w:eastAsia="微软雅黑" w:cs="微软雅黑"/>
          <w:b/>
          <w:bCs/>
          <w:sz w:val="22"/>
          <w:szCs w:val="22"/>
        </w:rPr>
      </w:pPr>
    </w:p>
    <w:p w14:paraId="5ABF1AE9">
      <w:pPr>
        <w:spacing w:line="500" w:lineRule="exact"/>
        <w:ind w:firstLine="440"/>
        <w:jc w:val="center"/>
        <w:rPr>
          <w:rFonts w:hint="eastAsia" w:ascii="微软雅黑" w:hAnsi="微软雅黑" w:eastAsia="微软雅黑" w:cs="微软雅黑"/>
          <w:b/>
          <w:bCs/>
          <w:sz w:val="22"/>
          <w:szCs w:val="22"/>
        </w:rPr>
      </w:pPr>
    </w:p>
    <w:p w14:paraId="70783DD3">
      <w:pPr>
        <w:spacing w:line="500" w:lineRule="exact"/>
        <w:ind w:firstLine="440"/>
        <w:jc w:val="center"/>
        <w:rPr>
          <w:rFonts w:hint="eastAsia" w:ascii="微软雅黑" w:hAnsi="微软雅黑" w:eastAsia="微软雅黑" w:cs="微软雅黑"/>
          <w:b/>
          <w:bCs/>
          <w:sz w:val="22"/>
          <w:szCs w:val="22"/>
        </w:rPr>
      </w:pPr>
    </w:p>
    <w:p w14:paraId="4FE8B80B">
      <w:pPr>
        <w:spacing w:line="500" w:lineRule="exact"/>
        <w:ind w:firstLine="440"/>
        <w:jc w:val="center"/>
        <w:rPr>
          <w:rFonts w:hint="eastAsia" w:ascii="微软雅黑" w:hAnsi="微软雅黑" w:eastAsia="微软雅黑" w:cs="微软雅黑"/>
          <w:b/>
          <w:bCs/>
          <w:sz w:val="22"/>
          <w:szCs w:val="22"/>
        </w:rPr>
      </w:pPr>
    </w:p>
    <w:p w14:paraId="2DE96985">
      <w:pPr>
        <w:spacing w:after="0" w:line="240" w:lineRule="auto"/>
        <w:rPr>
          <w:rFonts w:hint="eastAsia" w:ascii="微软雅黑" w:hAnsi="微软雅黑" w:eastAsia="微软雅黑" w:cs="微软雅黑"/>
          <w:b/>
          <w:bCs/>
          <w:sz w:val="22"/>
          <w:szCs w:val="22"/>
        </w:rPr>
      </w:pPr>
    </w:p>
    <w:p w14:paraId="1FC4218B">
      <w:pPr>
        <w:spacing w:after="0" w:line="240" w:lineRule="auto"/>
        <w:rPr>
          <w:rFonts w:hint="eastAsia" w:ascii="微软雅黑" w:hAnsi="微软雅黑" w:eastAsia="微软雅黑" w:cs="微软雅黑"/>
          <w:b/>
          <w:kern w:val="2"/>
          <w:sz w:val="24"/>
          <w:szCs w:val="24"/>
        </w:rPr>
      </w:pPr>
      <w:r>
        <w:rPr>
          <w:rFonts w:hint="eastAsia" w:ascii="微软雅黑" w:hAnsi="微软雅黑" w:eastAsia="微软雅黑" w:cs="微软雅黑"/>
          <w:b/>
          <w:bCs/>
          <w:sz w:val="22"/>
          <w:szCs w:val="22"/>
        </w:rPr>
        <w:br w:type="page"/>
      </w:r>
      <w:r>
        <w:rPr>
          <w:rFonts w:hint="eastAsia" w:ascii="微软雅黑" w:hAnsi="微软雅黑" w:eastAsia="微软雅黑" w:cs="微软雅黑"/>
          <w:b/>
          <w:kern w:val="2"/>
          <w:sz w:val="24"/>
          <w:szCs w:val="24"/>
        </w:rPr>
        <w:t>附件五：</w:t>
      </w:r>
    </w:p>
    <w:p w14:paraId="42478532">
      <w:pPr>
        <w:spacing w:line="500" w:lineRule="exact"/>
        <w:ind w:firstLine="48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合作确认书</w:t>
      </w:r>
    </w:p>
    <w:p w14:paraId="2A5B2A7F">
      <w:pPr>
        <w:ind w:firstLine="480"/>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合肥市包河区城市更新建设有限公司“城市更新项目双节活动媒体宣传”项目合作要求如下：</w:t>
      </w:r>
    </w:p>
    <w:p w14:paraId="724CBCB6">
      <w:pPr>
        <w:spacing w:line="500" w:lineRule="exact"/>
        <w:ind w:left="720"/>
        <w:rPr>
          <w:rFonts w:hint="eastAsia" w:ascii="微软雅黑" w:hAnsi="微软雅黑" w:eastAsia="微软雅黑" w:cs="微软雅黑"/>
          <w:b/>
          <w:bCs/>
          <w:sz w:val="24"/>
          <w:szCs w:val="24"/>
        </w:rPr>
      </w:pPr>
    </w:p>
    <w:p w14:paraId="10F5E32B">
      <w:pPr>
        <w:numPr>
          <w:ilvl w:val="0"/>
          <w:numId w:val="12"/>
        </w:numPr>
        <w:spacing w:line="500" w:lineRule="exact"/>
        <w:rPr>
          <w:rFonts w:hint="eastAsia" w:ascii="微软雅黑" w:hAnsi="微软雅黑" w:eastAsia="微软雅黑" w:cs="微软雅黑"/>
          <w:sz w:val="24"/>
          <w:szCs w:val="24"/>
        </w:rPr>
      </w:pPr>
      <w:r>
        <w:rPr>
          <w:rFonts w:ascii="微软雅黑" w:hAnsi="微软雅黑" w:eastAsia="微软雅黑" w:cs="微软雅黑"/>
          <w:b/>
          <w:bCs/>
          <w:sz w:val="24"/>
          <w:szCs w:val="24"/>
        </w:rPr>
        <w:t>媒体合作与稿件发布：</w:t>
      </w:r>
      <w:r>
        <w:rPr>
          <w:rFonts w:ascii="微软雅黑" w:hAnsi="微软雅黑" w:eastAsia="微软雅黑" w:cs="微软雅黑"/>
          <w:sz w:val="24"/>
          <w:szCs w:val="24"/>
        </w:rPr>
        <w:t>严格遵照招标文件规范，完成媒体资源合规洽谈与合作落地</w:t>
      </w:r>
      <w:r>
        <w:rPr>
          <w:rFonts w:hint="eastAsia" w:ascii="微软雅黑" w:hAnsi="微软雅黑" w:eastAsia="微软雅黑" w:cs="微软雅黑"/>
          <w:sz w:val="24"/>
          <w:szCs w:val="24"/>
        </w:rPr>
        <w:t>，于招标结果公示期结束3个工作日内完成相关媒体资源合同签订</w:t>
      </w:r>
      <w:r>
        <w:rPr>
          <w:rFonts w:ascii="微软雅黑" w:hAnsi="微软雅黑" w:eastAsia="微软雅黑" w:cs="微软雅黑"/>
          <w:sz w:val="24"/>
          <w:szCs w:val="24"/>
        </w:rPr>
        <w:t>；匹配甲方推广目标与内容定位，</w:t>
      </w:r>
      <w:r>
        <w:rPr>
          <w:rFonts w:hint="eastAsia" w:ascii="微软雅黑" w:hAnsi="微软雅黑" w:eastAsia="微软雅黑" w:cs="微软雅黑"/>
          <w:sz w:val="24"/>
          <w:szCs w:val="24"/>
        </w:rPr>
        <w:t>完成</w:t>
      </w:r>
      <w:r>
        <w:rPr>
          <w:rFonts w:ascii="微软雅黑" w:hAnsi="微软雅黑" w:eastAsia="微软雅黑" w:cs="微软雅黑"/>
          <w:sz w:val="24"/>
          <w:szCs w:val="24"/>
        </w:rPr>
        <w:t>稿件</w:t>
      </w:r>
      <w:r>
        <w:rPr>
          <w:rFonts w:hint="eastAsia" w:ascii="微软雅黑" w:hAnsi="微软雅黑" w:eastAsia="微软雅黑" w:cs="微软雅黑"/>
          <w:sz w:val="24"/>
          <w:szCs w:val="24"/>
        </w:rPr>
        <w:t>推发计划</w:t>
      </w:r>
      <w:r>
        <w:rPr>
          <w:rFonts w:ascii="微软雅黑" w:hAnsi="微软雅黑" w:eastAsia="微软雅黑" w:cs="微软雅黑"/>
          <w:sz w:val="24"/>
          <w:szCs w:val="24"/>
        </w:rPr>
        <w:t>。</w:t>
      </w:r>
      <w:r>
        <w:rPr>
          <w:rFonts w:ascii="Arial" w:hAnsi="Arial" w:eastAsia="微软雅黑" w:cs="Arial"/>
          <w:sz w:val="24"/>
          <w:szCs w:val="24"/>
        </w:rPr>
        <w:t>​</w:t>
      </w:r>
    </w:p>
    <w:p w14:paraId="4418B1E7">
      <w:pPr>
        <w:numPr>
          <w:ilvl w:val="0"/>
          <w:numId w:val="12"/>
        </w:numPr>
        <w:spacing w:line="500" w:lineRule="exact"/>
        <w:rPr>
          <w:rFonts w:hint="eastAsia" w:ascii="微软雅黑" w:hAnsi="微软雅黑" w:eastAsia="微软雅黑" w:cs="微软雅黑"/>
          <w:sz w:val="24"/>
          <w:szCs w:val="24"/>
        </w:rPr>
      </w:pPr>
      <w:r>
        <w:rPr>
          <w:rFonts w:ascii="微软雅黑" w:hAnsi="微软雅黑" w:eastAsia="微软雅黑" w:cs="微软雅黑"/>
          <w:b/>
          <w:bCs/>
          <w:sz w:val="24"/>
          <w:szCs w:val="24"/>
        </w:rPr>
        <w:t>互动 H5 设计制作：</w:t>
      </w:r>
      <w:r>
        <w:rPr>
          <w:rFonts w:ascii="微软雅黑" w:hAnsi="微软雅黑" w:eastAsia="微软雅黑" w:cs="微软雅黑"/>
          <w:sz w:val="24"/>
          <w:szCs w:val="24"/>
        </w:rPr>
        <w:t>需在活动上线前 2 个工作日内，完成互动 H5 全流程设计与开发制作，确保功能完整可用</w:t>
      </w:r>
      <w:r>
        <w:rPr>
          <w:rFonts w:hint="eastAsia" w:ascii="微软雅黑" w:hAnsi="微软雅黑" w:eastAsia="微软雅黑" w:cs="微软雅黑"/>
          <w:sz w:val="24"/>
          <w:szCs w:val="24"/>
        </w:rPr>
        <w:t>，需</w:t>
      </w:r>
      <w:r>
        <w:rPr>
          <w:rFonts w:ascii="微软雅黑" w:hAnsi="微软雅黑" w:eastAsia="微软雅黑" w:cs="微软雅黑"/>
          <w:sz w:val="24"/>
          <w:szCs w:val="24"/>
        </w:rPr>
        <w:t>涵盖用户登录确认、分享转发、礼品领取地点</w:t>
      </w:r>
      <w:r>
        <w:rPr>
          <w:rFonts w:hint="eastAsia" w:ascii="微软雅黑" w:hAnsi="微软雅黑" w:eastAsia="微软雅黑" w:cs="微软雅黑"/>
          <w:sz w:val="24"/>
          <w:szCs w:val="24"/>
        </w:rPr>
        <w:t>确认</w:t>
      </w:r>
      <w:r>
        <w:rPr>
          <w:rFonts w:ascii="微软雅黑" w:hAnsi="微软雅黑" w:eastAsia="微软雅黑" w:cs="微软雅黑"/>
          <w:sz w:val="24"/>
          <w:szCs w:val="24"/>
        </w:rPr>
        <w:t>、中奖凭证生成、分项目凭证核销等模块。</w:t>
      </w:r>
      <w:r>
        <w:rPr>
          <w:rFonts w:ascii="Arial" w:hAnsi="Arial" w:eastAsia="微软雅黑" w:cs="Arial"/>
          <w:sz w:val="24"/>
          <w:szCs w:val="24"/>
        </w:rPr>
        <w:t>​</w:t>
      </w:r>
    </w:p>
    <w:p w14:paraId="026DB720">
      <w:pPr>
        <w:numPr>
          <w:ilvl w:val="0"/>
          <w:numId w:val="12"/>
        </w:numPr>
        <w:spacing w:line="500" w:lineRule="exact"/>
        <w:rPr>
          <w:rFonts w:hint="eastAsia" w:ascii="微软雅黑" w:hAnsi="微软雅黑" w:eastAsia="微软雅黑" w:cs="微软雅黑"/>
          <w:b/>
          <w:bCs/>
          <w:sz w:val="24"/>
          <w:szCs w:val="24"/>
        </w:rPr>
      </w:pPr>
      <w:r>
        <w:rPr>
          <w:rFonts w:ascii="微软雅黑" w:hAnsi="微软雅黑" w:eastAsia="微软雅黑" w:cs="微软雅黑"/>
          <w:b/>
          <w:bCs/>
          <w:sz w:val="24"/>
          <w:szCs w:val="24"/>
        </w:rPr>
        <w:t>测试与运维保障：</w:t>
      </w:r>
      <w:r>
        <w:rPr>
          <w:rFonts w:ascii="微软雅黑" w:hAnsi="微软雅黑" w:eastAsia="微软雅黑" w:cs="微软雅黑"/>
          <w:sz w:val="24"/>
          <w:szCs w:val="24"/>
        </w:rPr>
        <w:t>活动上线前开展全面测试（含功能、兼容性、压力测试等），排查并修复所有问题；活动执行期间安排专人 7×24 小时值守，快速响应并处理各类故障，保障 H5 全程稳定运行。</w:t>
      </w:r>
    </w:p>
    <w:p w14:paraId="509645C2">
      <w:pPr>
        <w:spacing w:line="500" w:lineRule="exact"/>
        <w:ind w:firstLine="480"/>
        <w:rPr>
          <w:rFonts w:hint="eastAsia" w:ascii="微软雅黑" w:hAnsi="微软雅黑" w:eastAsia="微软雅黑" w:cs="微软雅黑"/>
          <w:b/>
          <w:bCs/>
          <w:sz w:val="24"/>
          <w:szCs w:val="24"/>
        </w:rPr>
      </w:pPr>
    </w:p>
    <w:p w14:paraId="1386BF11">
      <w:pPr>
        <w:ind w:firstLine="420" w:firstLineChars="175"/>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如因乙方原因造成本次投放不能履行或不能完全履行，将不予支付全部款项，取消后续参与滨湖集团及其关联公司所有招标项目的资格，另乙方应承担合同总价款30%的违约金。</w:t>
      </w:r>
    </w:p>
    <w:p w14:paraId="335CA38D">
      <w:pPr>
        <w:ind w:firstLine="480"/>
        <w:rPr>
          <w:rFonts w:hint="eastAsia" w:ascii="微软雅黑" w:hAnsi="微软雅黑" w:eastAsia="微软雅黑" w:cs="微软雅黑"/>
          <w:color w:val="000000"/>
          <w:sz w:val="24"/>
        </w:rPr>
      </w:pPr>
    </w:p>
    <w:p w14:paraId="03FB30CB">
      <w:pPr>
        <w:ind w:firstLine="480"/>
        <w:rPr>
          <w:rFonts w:hint="eastAsia" w:ascii="微软雅黑" w:hAnsi="微软雅黑" w:eastAsia="微软雅黑" w:cs="微软雅黑"/>
          <w:color w:val="000000"/>
          <w:sz w:val="24"/>
        </w:rPr>
      </w:pPr>
    </w:p>
    <w:p w14:paraId="568B83AF">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签字确认</w:t>
      </w:r>
    </w:p>
    <w:p w14:paraId="4147A34C">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公司签章</w:t>
      </w:r>
    </w:p>
    <w:p w14:paraId="74506276">
      <w:pPr>
        <w:ind w:firstLine="6243" w:firstLineChars="26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日期</w:t>
      </w:r>
    </w:p>
    <w:p w14:paraId="1D8176DC">
      <w:pPr>
        <w:spacing w:after="0" w:line="240" w:lineRule="auto"/>
        <w:rPr>
          <w:rFonts w:hint="eastAsia" w:ascii="微软雅黑" w:hAnsi="微软雅黑" w:eastAsia="微软雅黑" w:cs="微软雅黑"/>
          <w:b/>
          <w:bCs/>
          <w:sz w:val="22"/>
          <w:szCs w:val="22"/>
        </w:rPr>
      </w:pPr>
    </w:p>
    <w:p w14:paraId="079BA73F">
      <w:pPr>
        <w:spacing w:after="0" w:line="240" w:lineRule="auto"/>
        <w:rPr>
          <w:rFonts w:hint="eastAsia" w:ascii="微软雅黑" w:hAnsi="微软雅黑" w:eastAsia="微软雅黑" w:cs="微软雅黑"/>
          <w:b/>
          <w:bCs/>
          <w:sz w:val="22"/>
          <w:szCs w:val="22"/>
        </w:rPr>
      </w:pPr>
    </w:p>
    <w:p w14:paraId="0ABA9318">
      <w:pPr>
        <w:spacing w:line="500" w:lineRule="exact"/>
        <w:ind w:firstLine="440"/>
        <w:jc w:val="center"/>
        <w:rPr>
          <w:rFonts w:hint="eastAsia" w:ascii="微软雅黑" w:hAnsi="微软雅黑" w:eastAsia="微软雅黑" w:cs="微软雅黑"/>
          <w:b/>
          <w:bCs/>
          <w:sz w:val="22"/>
          <w:szCs w:val="22"/>
        </w:rPr>
      </w:pPr>
    </w:p>
    <w:bookmarkEnd w:id="25"/>
    <w:bookmarkEnd w:id="26"/>
    <w:p w14:paraId="0C232787">
      <w:pPr>
        <w:spacing w:line="900" w:lineRule="exact"/>
        <w:ind w:firstLine="440"/>
        <w:rPr>
          <w:rFonts w:hint="eastAsia" w:ascii="微软雅黑" w:hAnsi="微软雅黑" w:eastAsia="微软雅黑" w:cs="微软雅黑"/>
          <w:b/>
          <w:kern w:val="2"/>
          <w:sz w:val="22"/>
          <w:szCs w:val="22"/>
        </w:rPr>
      </w:pP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610232B1">
          <w:pPr>
            <w:spacing w:line="900" w:lineRule="exact"/>
            <w:ind w:firstLine="440"/>
            <w:jc w:val="center"/>
            <w:rPr>
              <w:rFonts w:hint="eastAsia" w:eastAsia="黑体"/>
              <w:b/>
              <w:bCs/>
              <w:sz w:val="56"/>
              <w:szCs w:val="56"/>
            </w:rPr>
          </w:pPr>
          <w:r>
            <w:rPr>
              <w:rFonts w:hint="eastAsia" w:eastAsia="黑体"/>
              <w:b/>
              <w:bCs/>
              <w:sz w:val="56"/>
              <w:szCs w:val="56"/>
            </w:rPr>
            <w:t>城市更新项目</w:t>
          </w:r>
        </w:p>
        <w:p w14:paraId="3BB00ECE">
          <w:pPr>
            <w:spacing w:line="900" w:lineRule="exact"/>
            <w:ind w:firstLine="440"/>
            <w:jc w:val="center"/>
            <w:rPr>
              <w:rFonts w:ascii="Arial" w:hAnsi="Arial" w:eastAsia="黑体"/>
              <w:b/>
              <w:sz w:val="72"/>
              <w:szCs w:val="72"/>
            </w:rPr>
          </w:pPr>
          <w:r>
            <w:rPr>
              <w:rFonts w:hint="eastAsia" w:eastAsia="黑体"/>
              <w:b/>
              <w:bCs/>
              <w:sz w:val="56"/>
              <w:szCs w:val="56"/>
            </w:rPr>
            <w:t>双节活动媒体宣传</w:t>
          </w:r>
        </w:p>
        <w:p w14:paraId="6C34C77B">
          <w:pPr>
            <w:adjustRightInd w:val="0"/>
            <w:snapToGrid w:val="0"/>
            <w:spacing w:before="48" w:beforeLines="20" w:after="48" w:afterLines="20" w:line="940" w:lineRule="exact"/>
            <w:ind w:firstLine="1680"/>
            <w:jc w:val="center"/>
            <w:rPr>
              <w:rFonts w:hint="eastAsia" w:ascii="宋体" w:hAnsi="宋体"/>
              <w:b/>
              <w:bCs/>
              <w:sz w:val="84"/>
              <w:szCs w:val="84"/>
            </w:rPr>
          </w:pPr>
        </w:p>
        <w:p w14:paraId="3FD5A0E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018BD65B">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6CAB1941">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7AF4B54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18DBEC2B">
          <w:pPr>
            <w:adjustRightInd w:val="0"/>
            <w:snapToGrid w:val="0"/>
            <w:spacing w:before="48" w:beforeLines="20" w:after="48" w:afterLines="20" w:line="540" w:lineRule="exact"/>
            <w:ind w:firstLine="600"/>
            <w:rPr>
              <w:rFonts w:hint="eastAsia" w:ascii="宋体" w:hAnsi="宋体"/>
              <w:b/>
              <w:sz w:val="30"/>
              <w:szCs w:val="30"/>
            </w:rPr>
          </w:pPr>
        </w:p>
        <w:p w14:paraId="47FFF314">
          <w:pPr>
            <w:adjustRightInd w:val="0"/>
            <w:snapToGrid w:val="0"/>
            <w:spacing w:before="48" w:beforeLines="20" w:after="48" w:afterLines="20" w:line="540" w:lineRule="exact"/>
            <w:ind w:firstLine="600"/>
            <w:rPr>
              <w:rFonts w:hint="eastAsia" w:ascii="宋体" w:hAnsi="宋体"/>
              <w:b/>
              <w:sz w:val="30"/>
              <w:szCs w:val="30"/>
            </w:rPr>
          </w:pPr>
        </w:p>
        <w:p w14:paraId="411D2EB7">
          <w:pPr>
            <w:pStyle w:val="28"/>
            <w:ind w:firstLine="600"/>
            <w:rPr>
              <w:rFonts w:hint="eastAsia" w:ascii="宋体" w:hAnsi="宋体"/>
              <w:b/>
              <w:sz w:val="30"/>
              <w:szCs w:val="30"/>
            </w:rPr>
          </w:pPr>
        </w:p>
        <w:p w14:paraId="17960444">
          <w:pPr>
            <w:pStyle w:val="28"/>
            <w:ind w:firstLine="600"/>
            <w:rPr>
              <w:rFonts w:hint="eastAsia" w:ascii="宋体" w:hAnsi="宋体"/>
              <w:b/>
              <w:sz w:val="30"/>
              <w:szCs w:val="30"/>
            </w:rPr>
          </w:pPr>
        </w:p>
        <w:p w14:paraId="712E59C0">
          <w:pPr>
            <w:adjustRightInd w:val="0"/>
            <w:snapToGrid w:val="0"/>
            <w:spacing w:before="48" w:beforeLines="20" w:after="48" w:afterLines="20" w:line="540" w:lineRule="exact"/>
            <w:ind w:firstLine="640"/>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1A360BAB">
          <w:pPr>
            <w:tabs>
              <w:tab w:val="left" w:pos="420"/>
              <w:tab w:val="left" w:pos="4200"/>
            </w:tabs>
            <w:spacing w:line="1700" w:lineRule="exact"/>
            <w:ind w:firstLine="720"/>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rPr>
            <w:t>九月</w:t>
          </w:r>
        </w:p>
        <w:p w14:paraId="266A6EC6">
          <w:pPr>
            <w:pStyle w:val="28"/>
            <w:widowControl w:val="0"/>
            <w:spacing w:after="0" w:line="560" w:lineRule="exact"/>
            <w:ind w:left="0" w:leftChars="0" w:firstLine="440"/>
            <w:jc w:val="both"/>
          </w:pPr>
        </w:p>
      </w:sdtContent>
    </w:sdt>
    <w:p w14:paraId="5C2858A0">
      <w:pPr>
        <w:pStyle w:val="28"/>
        <w:widowControl w:val="0"/>
        <w:spacing w:after="0" w:line="560" w:lineRule="exact"/>
        <w:ind w:left="0" w:leftChars="0" w:firstLine="440"/>
        <w:jc w:val="both"/>
        <w:rPr>
          <w:rFonts w:hint="eastAsia" w:ascii="微软雅黑" w:hAnsi="微软雅黑" w:eastAsia="微软雅黑" w:cs="微软雅黑"/>
          <w:snapToGrid w:val="0"/>
          <w:color w:val="000000"/>
          <w:sz w:val="22"/>
          <w:szCs w:val="22"/>
          <w:u w:val="single"/>
        </w:rPr>
      </w:pPr>
      <w:bookmarkStart w:id="28" w:name="_Toc273602363"/>
      <w:bookmarkStart w:id="29" w:name="_Toc240898303"/>
      <w:bookmarkStart w:id="30" w:name="_Toc270410845"/>
      <w:bookmarkStart w:id="31" w:name="_Toc328559344"/>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12DCE2E5">
      <w:pPr>
        <w:widowControl w:val="0"/>
        <w:adjustRightInd w:val="0"/>
        <w:snapToGrid w:val="0"/>
        <w:spacing w:line="560" w:lineRule="exact"/>
        <w:ind w:firstLine="44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3EF92CD4">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78399F59">
      <w:pPr>
        <w:widowControl w:val="0"/>
        <w:tabs>
          <w:tab w:val="left" w:pos="7560"/>
        </w:tabs>
        <w:adjustRightInd w:val="0"/>
        <w:snapToGrid w:val="0"/>
        <w:spacing w:line="560" w:lineRule="exact"/>
        <w:ind w:firstLine="44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55A30D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6B48A36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5CB1E5C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C92690">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52D9344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71B7A36B">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2D0523F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3941FB12">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3349C5CB">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035D7E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1CA9C7D7">
      <w:pPr>
        <w:pStyle w:val="28"/>
        <w:ind w:left="0" w:leftChars="0"/>
      </w:pPr>
    </w:p>
    <w:p w14:paraId="386438AE">
      <w:pPr>
        <w:spacing w:after="0" w:line="240" w:lineRule="auto"/>
        <w:ind w:firstLine="440"/>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br w:type="page"/>
      </w:r>
    </w:p>
    <w:p w14:paraId="77DF402D">
      <w:pPr>
        <w:pStyle w:val="28"/>
        <w:widowControl w:val="0"/>
        <w:spacing w:after="0" w:line="560" w:lineRule="exact"/>
        <w:ind w:left="0" w:leftChars="0" w:firstLine="44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4AADFDCD">
      <w:pPr>
        <w:pStyle w:val="24"/>
        <w:numPr>
          <w:ilvl w:val="0"/>
          <w:numId w:val="0"/>
        </w:numPr>
        <w:ind w:left="425" w:hanging="5"/>
      </w:pPr>
    </w:p>
    <w:p w14:paraId="0FEE7A44">
      <w:pPr>
        <w:widowControl w:val="0"/>
        <w:spacing w:line="360" w:lineRule="auto"/>
        <w:ind w:firstLine="440"/>
        <w:rPr>
          <w:rFonts w:hint="eastAsia" w:ascii="微软雅黑" w:hAnsi="微软雅黑" w:eastAsia="微软雅黑" w:cs="微软雅黑"/>
          <w:b/>
          <w:sz w:val="22"/>
          <w:szCs w:val="22"/>
        </w:rPr>
      </w:pPr>
    </w:p>
    <w:p w14:paraId="4AD53F8B">
      <w:pPr>
        <w:widowControl w:val="0"/>
        <w:spacing w:line="360" w:lineRule="auto"/>
        <w:ind w:firstLine="440"/>
        <w:rPr>
          <w:rFonts w:hint="eastAsia" w:ascii="微软雅黑" w:hAnsi="微软雅黑" w:eastAsia="微软雅黑" w:cs="微软雅黑"/>
          <w:b/>
          <w:sz w:val="22"/>
          <w:szCs w:val="22"/>
        </w:rPr>
      </w:pPr>
    </w:p>
    <w:p w14:paraId="71F3A437">
      <w:pPr>
        <w:widowControl w:val="0"/>
        <w:spacing w:line="360" w:lineRule="auto"/>
        <w:ind w:firstLine="440"/>
        <w:rPr>
          <w:rFonts w:hint="eastAsia" w:ascii="微软雅黑" w:hAnsi="微软雅黑" w:eastAsia="微软雅黑" w:cs="微软雅黑"/>
          <w:b/>
          <w:sz w:val="22"/>
          <w:szCs w:val="22"/>
        </w:rPr>
      </w:pPr>
    </w:p>
    <w:p w14:paraId="2AEFC153">
      <w:pPr>
        <w:widowControl w:val="0"/>
        <w:spacing w:line="360" w:lineRule="auto"/>
        <w:ind w:firstLine="440"/>
        <w:rPr>
          <w:rFonts w:hint="eastAsia" w:ascii="微软雅黑" w:hAnsi="微软雅黑" w:eastAsia="微软雅黑" w:cs="微软雅黑"/>
          <w:b/>
          <w:sz w:val="22"/>
          <w:szCs w:val="22"/>
        </w:rPr>
      </w:pPr>
    </w:p>
    <w:p w14:paraId="4AD863FE">
      <w:pPr>
        <w:widowControl w:val="0"/>
        <w:spacing w:line="360" w:lineRule="auto"/>
        <w:ind w:firstLine="440"/>
        <w:rPr>
          <w:rFonts w:hint="eastAsia" w:ascii="微软雅黑" w:hAnsi="微软雅黑" w:eastAsia="微软雅黑" w:cs="微软雅黑"/>
          <w:b/>
          <w:sz w:val="22"/>
          <w:szCs w:val="22"/>
        </w:rPr>
      </w:pPr>
    </w:p>
    <w:p w14:paraId="6A80F51E">
      <w:pPr>
        <w:widowControl w:val="0"/>
        <w:spacing w:line="360" w:lineRule="auto"/>
        <w:ind w:firstLine="440"/>
        <w:rPr>
          <w:rFonts w:hint="eastAsia" w:ascii="微软雅黑" w:hAnsi="微软雅黑" w:eastAsia="微软雅黑" w:cs="微软雅黑"/>
          <w:b/>
          <w:sz w:val="22"/>
          <w:szCs w:val="22"/>
        </w:rPr>
      </w:pPr>
    </w:p>
    <w:p w14:paraId="704864AD">
      <w:pPr>
        <w:widowControl w:val="0"/>
        <w:spacing w:line="360" w:lineRule="auto"/>
        <w:ind w:firstLine="440"/>
        <w:rPr>
          <w:rFonts w:hint="eastAsia" w:ascii="微软雅黑" w:hAnsi="微软雅黑" w:eastAsia="微软雅黑" w:cs="微软雅黑"/>
          <w:b/>
          <w:sz w:val="22"/>
          <w:szCs w:val="22"/>
        </w:rPr>
      </w:pPr>
    </w:p>
    <w:p w14:paraId="244B2674">
      <w:pPr>
        <w:widowControl w:val="0"/>
        <w:spacing w:line="360" w:lineRule="auto"/>
        <w:ind w:firstLine="440"/>
        <w:rPr>
          <w:rFonts w:hint="eastAsia" w:ascii="微软雅黑" w:hAnsi="微软雅黑" w:eastAsia="微软雅黑" w:cs="微软雅黑"/>
          <w:b/>
          <w:sz w:val="22"/>
          <w:szCs w:val="22"/>
        </w:rPr>
      </w:pPr>
    </w:p>
    <w:p w14:paraId="720EEF4D">
      <w:pPr>
        <w:widowControl w:val="0"/>
        <w:spacing w:line="360" w:lineRule="auto"/>
        <w:ind w:firstLine="440"/>
        <w:rPr>
          <w:rFonts w:hint="eastAsia" w:ascii="微软雅黑" w:hAnsi="微软雅黑" w:eastAsia="微软雅黑" w:cs="微软雅黑"/>
          <w:b/>
          <w:sz w:val="22"/>
          <w:szCs w:val="22"/>
        </w:rPr>
      </w:pPr>
    </w:p>
    <w:p w14:paraId="41FF61E5">
      <w:pPr>
        <w:widowControl w:val="0"/>
        <w:spacing w:line="360" w:lineRule="auto"/>
        <w:ind w:firstLine="440"/>
        <w:rPr>
          <w:rFonts w:hint="eastAsia" w:ascii="微软雅黑" w:hAnsi="微软雅黑" w:eastAsia="微软雅黑" w:cs="微软雅黑"/>
          <w:b/>
          <w:sz w:val="22"/>
          <w:szCs w:val="22"/>
        </w:rPr>
      </w:pPr>
    </w:p>
    <w:p w14:paraId="7D5B7105">
      <w:pPr>
        <w:widowControl w:val="0"/>
        <w:spacing w:line="360" w:lineRule="auto"/>
        <w:ind w:firstLine="440"/>
        <w:rPr>
          <w:rFonts w:hint="eastAsia" w:ascii="微软雅黑" w:hAnsi="微软雅黑" w:eastAsia="微软雅黑" w:cs="微软雅黑"/>
          <w:b/>
          <w:sz w:val="22"/>
          <w:szCs w:val="22"/>
        </w:rPr>
      </w:pPr>
    </w:p>
    <w:p w14:paraId="380BBD0F">
      <w:pPr>
        <w:widowControl w:val="0"/>
        <w:spacing w:line="360" w:lineRule="auto"/>
        <w:ind w:firstLine="440"/>
        <w:rPr>
          <w:rFonts w:hint="eastAsia" w:ascii="微软雅黑" w:hAnsi="微软雅黑" w:eastAsia="微软雅黑" w:cs="微软雅黑"/>
          <w:b/>
          <w:sz w:val="22"/>
          <w:szCs w:val="22"/>
        </w:rPr>
      </w:pPr>
    </w:p>
    <w:p w14:paraId="3560C62F">
      <w:pPr>
        <w:widowControl w:val="0"/>
        <w:spacing w:line="360" w:lineRule="auto"/>
        <w:ind w:firstLine="440"/>
        <w:rPr>
          <w:rFonts w:hint="eastAsia" w:ascii="微软雅黑" w:hAnsi="微软雅黑" w:eastAsia="微软雅黑" w:cs="微软雅黑"/>
          <w:b/>
          <w:sz w:val="22"/>
          <w:szCs w:val="22"/>
        </w:rPr>
      </w:pPr>
    </w:p>
    <w:p w14:paraId="5C9FDBD4">
      <w:pPr>
        <w:widowControl w:val="0"/>
        <w:spacing w:line="360" w:lineRule="auto"/>
        <w:ind w:firstLine="440"/>
        <w:rPr>
          <w:rFonts w:hint="eastAsia" w:ascii="微软雅黑" w:hAnsi="微软雅黑" w:eastAsia="微软雅黑" w:cs="微软雅黑"/>
          <w:b/>
          <w:sz w:val="22"/>
          <w:szCs w:val="22"/>
        </w:rPr>
      </w:pPr>
    </w:p>
    <w:p w14:paraId="7BC13D49">
      <w:pPr>
        <w:widowControl w:val="0"/>
        <w:spacing w:line="360" w:lineRule="auto"/>
        <w:ind w:firstLine="440"/>
        <w:rPr>
          <w:rFonts w:hint="eastAsia" w:ascii="微软雅黑" w:hAnsi="微软雅黑" w:eastAsia="微软雅黑" w:cs="微软雅黑"/>
          <w:b/>
          <w:sz w:val="22"/>
          <w:szCs w:val="22"/>
        </w:rPr>
      </w:pPr>
    </w:p>
    <w:p w14:paraId="63C04B28">
      <w:pPr>
        <w:widowControl w:val="0"/>
        <w:spacing w:line="360" w:lineRule="auto"/>
        <w:ind w:firstLine="440"/>
        <w:rPr>
          <w:rFonts w:hint="eastAsia" w:ascii="微软雅黑" w:hAnsi="微软雅黑" w:eastAsia="微软雅黑" w:cs="微软雅黑"/>
          <w:b/>
          <w:sz w:val="22"/>
          <w:szCs w:val="22"/>
        </w:rPr>
      </w:pPr>
    </w:p>
    <w:p w14:paraId="0D9F94FC">
      <w:pPr>
        <w:pStyle w:val="28"/>
        <w:widowControl w:val="0"/>
        <w:spacing w:after="0" w:line="560" w:lineRule="exact"/>
        <w:ind w:left="0" w:leftChars="0" w:firstLine="44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三、服务方案</w:t>
      </w:r>
    </w:p>
    <w:p w14:paraId="1B10021F">
      <w:pPr>
        <w:spacing w:after="0" w:line="240" w:lineRule="auto"/>
        <w:rPr>
          <w:rFonts w:ascii="Calibri" w:hAnsi="Calibri"/>
          <w:szCs w:val="22"/>
        </w:rPr>
      </w:pPr>
      <w:r>
        <w:br w:type="page"/>
      </w:r>
    </w:p>
    <w:p w14:paraId="596A724C">
      <w:pPr>
        <w:spacing w:before="100" w:beforeAutospacing="1" w:after="100" w:afterAutospacing="1"/>
        <w:ind w:firstLine="723"/>
        <w:jc w:val="center"/>
        <w:rPr>
          <w:rFonts w:hint="eastAsia" w:ascii="仿宋" w:hAnsi="仿宋" w:eastAsia="仿宋" w:cs="仿宋"/>
          <w:b/>
          <w:color w:val="000000" w:themeColor="text1"/>
          <w:sz w:val="36"/>
          <w:szCs w:val="36"/>
          <w:u w:val="single"/>
          <w14:textFill>
            <w14:solidFill>
              <w14:schemeClr w14:val="tx1"/>
            </w14:solidFill>
          </w14:textFill>
        </w:rPr>
      </w:pPr>
      <w:r>
        <w:rPr>
          <w:rFonts w:hint="eastAsia" w:ascii="仿宋" w:hAnsi="仿宋" w:eastAsia="仿宋" w:cs="仿宋"/>
          <w:b/>
          <w:color w:val="000000" w:themeColor="text1"/>
          <w:sz w:val="36"/>
          <w:szCs w:val="36"/>
          <w:u w:val="single"/>
          <w14:textFill>
            <w14:solidFill>
              <w14:schemeClr w14:val="tx1"/>
            </w14:solidFill>
          </w14:textFill>
        </w:rPr>
        <w:t>滨投城市更新项目</w:t>
      </w:r>
    </w:p>
    <w:p w14:paraId="63AFC2A5">
      <w:pPr>
        <w:spacing w:before="100" w:beforeAutospacing="1" w:after="100" w:afterAutospacing="1"/>
        <w:ind w:firstLine="723"/>
        <w:jc w:val="center"/>
        <w:rPr>
          <w:rFonts w:hint="eastAsia" w:ascii="仿宋" w:hAnsi="仿宋" w:eastAsia="仿宋" w:cs="仿宋"/>
          <w:b/>
          <w:color w:val="000000" w:themeColor="text1"/>
          <w:sz w:val="36"/>
          <w:szCs w:val="36"/>
          <w:u w:val="single"/>
          <w14:textFill>
            <w14:solidFill>
              <w14:schemeClr w14:val="tx1"/>
            </w14:solidFill>
          </w14:textFill>
        </w:rPr>
      </w:pPr>
      <w:r>
        <w:rPr>
          <w:rFonts w:hint="eastAsia" w:ascii="仿宋" w:hAnsi="仿宋" w:eastAsia="仿宋" w:cs="仿宋"/>
          <w:b/>
          <w:color w:val="000000" w:themeColor="text1"/>
          <w:sz w:val="36"/>
          <w:szCs w:val="36"/>
          <w:u w:val="single"/>
          <w14:textFill>
            <w14:solidFill>
              <w14:schemeClr w14:val="tx1"/>
            </w14:solidFill>
          </w14:textFill>
        </w:rPr>
        <w:t>双节媒体宣发合同</w:t>
      </w:r>
    </w:p>
    <w:p w14:paraId="68CB2980">
      <w:pPr>
        <w:tabs>
          <w:tab w:val="left" w:pos="5040"/>
        </w:tabs>
        <w:ind w:firstLine="482"/>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广告主（甲方）：</w:t>
      </w:r>
      <w:r>
        <w:rPr>
          <w:rFonts w:hint="eastAsia" w:ascii="仿宋" w:hAnsi="仿宋" w:eastAsia="仿宋" w:cs="仿宋"/>
          <w:b/>
          <w:color w:val="000000" w:themeColor="text1"/>
          <w:sz w:val="24"/>
          <w:szCs w:val="24"/>
          <w:u w:val="single"/>
          <w14:textFill>
            <w14:solidFill>
              <w14:schemeClr w14:val="tx1"/>
            </w14:solidFill>
          </w14:textFill>
        </w:rPr>
        <w:t xml:space="preserve">     合肥市包河区城市更新建设有限公司               </w:t>
      </w:r>
    </w:p>
    <w:p w14:paraId="5504137A">
      <w:pPr>
        <w:tabs>
          <w:tab w:val="left" w:pos="5040"/>
        </w:tabs>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联系地址：         安徽省合肥市包河区徽州大道 1388 号               </w:t>
      </w:r>
    </w:p>
    <w:p w14:paraId="186C1274">
      <w:pPr>
        <w:tabs>
          <w:tab w:val="left" w:pos="5040"/>
        </w:tabs>
        <w:ind w:firstLine="482"/>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广告发布者（乙方）：</w:t>
      </w:r>
      <w:r>
        <w:rPr>
          <w:rFonts w:hint="eastAsia" w:ascii="仿宋" w:hAnsi="仿宋" w:eastAsia="仿宋" w:cs="仿宋"/>
          <w:b/>
          <w:color w:val="000000" w:themeColor="text1"/>
          <w:sz w:val="24"/>
          <w:szCs w:val="24"/>
          <w:u w:val="single"/>
          <w14:textFill>
            <w14:solidFill>
              <w14:schemeClr w14:val="tx1"/>
            </w14:solidFill>
          </w14:textFill>
        </w:rPr>
        <w:t xml:space="preserve">                                                </w:t>
      </w:r>
    </w:p>
    <w:p w14:paraId="050CAB89">
      <w:pP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联系地址：                                                          </w:t>
      </w:r>
    </w:p>
    <w:p w14:paraId="521D4D82">
      <w:pPr>
        <w:spacing w:before="240"/>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依据</w:t>
      </w:r>
      <w:bookmarkStart w:id="32" w:name="auto_fouce_1"/>
      <w:r>
        <w:rPr>
          <w:rFonts w:hint="eastAsia" w:ascii="仿宋" w:hAnsi="仿宋" w:eastAsia="仿宋" w:cs="仿宋"/>
          <w:b/>
          <w:color w:val="000000" w:themeColor="text1"/>
          <w:sz w:val="24"/>
          <w:szCs w:val="24"/>
          <w14:textFill>
            <w14:solidFill>
              <w14:schemeClr w14:val="tx1"/>
            </w14:solidFill>
          </w14:textFill>
        </w:rPr>
        <w:t>《中华人民共和国</w:t>
      </w:r>
      <w:r>
        <w:rPr>
          <w:rFonts w:hint="eastAsia" w:ascii="仿宋" w:hAnsi="仿宋" w:eastAsia="仿宋" w:cs="仿宋"/>
          <w:b/>
          <w:color w:val="000000" w:themeColor="text1"/>
          <w:sz w:val="24"/>
          <w:szCs w:val="24"/>
          <w:lang w:eastAsia="zh-CN"/>
          <w14:textFill>
            <w14:solidFill>
              <w14:schemeClr w14:val="tx1"/>
            </w14:solidFill>
          </w14:textFill>
        </w:rPr>
        <w:t>民</w:t>
      </w:r>
      <w:r>
        <w:rPr>
          <w:rFonts w:hint="eastAsia" w:ascii="仿宋" w:hAnsi="仿宋" w:eastAsia="仿宋" w:cs="仿宋"/>
          <w:b/>
          <w:color w:val="000000" w:themeColor="text1"/>
          <w:sz w:val="24"/>
          <w:szCs w:val="24"/>
          <w14:textFill>
            <w14:solidFill>
              <w14:schemeClr w14:val="tx1"/>
            </w14:solidFill>
          </w14:textFill>
        </w:rPr>
        <w:t>法</w:t>
      </w:r>
      <w:r>
        <w:rPr>
          <w:rFonts w:hint="eastAsia" w:ascii="仿宋" w:hAnsi="仿宋" w:eastAsia="仿宋" w:cs="仿宋"/>
          <w:b/>
          <w:color w:val="000000" w:themeColor="text1"/>
          <w:sz w:val="24"/>
          <w:szCs w:val="24"/>
          <w:lang w:eastAsia="zh-CN"/>
          <w14:textFill>
            <w14:solidFill>
              <w14:schemeClr w14:val="tx1"/>
            </w14:solidFill>
          </w14:textFill>
        </w:rPr>
        <w:t>典</w:t>
      </w:r>
      <w:r>
        <w:rPr>
          <w:rFonts w:hint="eastAsia" w:ascii="仿宋" w:hAnsi="仿宋" w:eastAsia="仿宋" w:cs="仿宋"/>
          <w:b/>
          <w:color w:val="000000" w:themeColor="text1"/>
          <w:sz w:val="24"/>
          <w:szCs w:val="24"/>
          <w14:textFill>
            <w14:solidFill>
              <w14:schemeClr w14:val="tx1"/>
            </w14:solidFill>
          </w14:textFill>
        </w:rPr>
        <w:t>》</w:t>
      </w:r>
      <w:bookmarkEnd w:id="32"/>
      <w:r>
        <w:rPr>
          <w:rFonts w:hint="eastAsia" w:ascii="仿宋" w:hAnsi="仿宋" w:eastAsia="仿宋" w:cs="仿宋"/>
          <w:b/>
          <w:color w:val="000000" w:themeColor="text1"/>
          <w:sz w:val="24"/>
          <w:szCs w:val="24"/>
          <w14:textFill>
            <w14:solidFill>
              <w14:schemeClr w14:val="tx1"/>
            </w14:solidFill>
          </w14:textFill>
        </w:rPr>
        <w:t>、《中华人民共和国广告法》及相关法律、法规、规章的规定，双方协商一致，签订本合同，并共同遵守。</w:t>
      </w:r>
    </w:p>
    <w:p w14:paraId="49334A8B">
      <w:pPr>
        <w:numPr>
          <w:ilvl w:val="0"/>
          <w:numId w:val="13"/>
        </w:num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产品版本及报价：</w:t>
      </w:r>
    </w:p>
    <w:p w14:paraId="4FBF99ED">
      <w:pPr>
        <w:pStyle w:val="40"/>
        <w:numPr>
          <w:ilvl w:val="1"/>
          <w:numId w:val="14"/>
        </w:numPr>
        <w:ind w:left="1265"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具体发布内容及报价</w:t>
      </w:r>
    </w:p>
    <w:p w14:paraId="0480F45D">
      <w:pPr>
        <w:rPr>
          <w:rFonts w:hint="eastAsia" w:ascii="仿宋" w:hAnsi="仿宋" w:eastAsia="仿宋" w:cs="仿宋"/>
          <w:color w:val="000000" w:themeColor="text1"/>
          <w:sz w:val="24"/>
          <w:szCs w:val="24"/>
          <w14:textFill>
            <w14:solidFill>
              <w14:schemeClr w14:val="tx1"/>
            </w14:solidFill>
          </w14:textFill>
        </w:rPr>
      </w:pPr>
    </w:p>
    <w:p w14:paraId="622B5066">
      <w:pPr>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1.2上述广告内容发布总价</w:t>
      </w:r>
    </w:p>
    <w:p w14:paraId="32B8573C">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甲方选择执行以上服务内容,本合同含税（增值税税率</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%）总价款为人民币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元(即大写人民币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)，税额</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元，不含税总价</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元 </w:t>
      </w:r>
    </w:p>
    <w:p w14:paraId="64F76E23">
      <w:p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1.3广告费结算</w:t>
      </w:r>
    </w:p>
    <w:p w14:paraId="034930A6">
      <w:pPr>
        <w:ind w:firstLine="482"/>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1.3.1 </w:t>
      </w:r>
      <w:r>
        <w:rPr>
          <w:rFonts w:hint="eastAsia" w:ascii="仿宋" w:hAnsi="仿宋" w:eastAsia="仿宋" w:cs="仿宋"/>
          <w:color w:val="000000" w:themeColor="text1"/>
          <w:sz w:val="24"/>
          <w:szCs w:val="24"/>
          <w14:textFill>
            <w14:solidFill>
              <w14:schemeClr w14:val="tx1"/>
            </w14:solidFill>
          </w14:textFill>
        </w:rPr>
        <w:t>付款时间</w:t>
      </w:r>
    </w:p>
    <w:p w14:paraId="29DC146B">
      <w:pPr>
        <w:ind w:left="617" w:leftChars="294" w:firstLine="480"/>
        <w:rPr>
          <w:rFonts w:hint="eastAsia" w:ascii="仿宋" w:hAnsi="仿宋" w:eastAsia="仿宋" w:cs="仿宋"/>
          <w:color w:val="000000" w:themeColor="text1"/>
          <w:sz w:val="24"/>
          <w:szCs w:val="24"/>
          <w14:textFill>
            <w14:solidFill>
              <w14:schemeClr w14:val="tx1"/>
            </w14:solidFill>
          </w14:textFill>
        </w:rPr>
      </w:pPr>
      <w:bookmarkStart w:id="33" w:name="auto_fouce_2"/>
      <w:r>
        <w:rPr>
          <w:rFonts w:hint="eastAsia" w:ascii="仿宋" w:hAnsi="仿宋" w:eastAsia="仿宋" w:cs="仿宋"/>
          <w:color w:val="000000" w:themeColor="text1"/>
          <w:sz w:val="24"/>
          <w:szCs w:val="24"/>
          <w14:textFill>
            <w14:solidFill>
              <w14:schemeClr w14:val="tx1"/>
            </w14:solidFill>
          </w14:textFill>
        </w:rPr>
        <w:t>本合同项下全部服务完成且经甲方书面验收合格后，</w:t>
      </w:r>
      <w:r>
        <w:rPr>
          <w:rFonts w:hint="eastAsia" w:ascii="仿宋" w:hAnsi="仿宋" w:eastAsia="仿宋" w:cs="仿宋"/>
          <w:color w:val="000000" w:themeColor="text1"/>
          <w:sz w:val="24"/>
          <w:szCs w:val="24"/>
          <w:highlight w:val="yellow"/>
          <w14:textFill>
            <w14:solidFill>
              <w14:schemeClr w14:val="tx1"/>
            </w14:solidFill>
          </w14:textFill>
        </w:rPr>
        <w:t>根据实际服务内容和附件清单的单价据实结算</w:t>
      </w:r>
      <w:bookmarkEnd w:id="33"/>
      <w:r>
        <w:rPr>
          <w:rFonts w:hint="eastAsia" w:ascii="仿宋" w:hAnsi="仿宋" w:eastAsia="仿宋" w:cs="仿宋"/>
          <w:color w:val="000000" w:themeColor="text1"/>
          <w:sz w:val="24"/>
          <w:szCs w:val="24"/>
          <w:highlight w:val="yellow"/>
          <w14:textFill>
            <w14:solidFill>
              <w14:schemeClr w14:val="tx1"/>
            </w14:solidFill>
          </w14:textFill>
        </w:rPr>
        <w:t>。</w:t>
      </w:r>
    </w:p>
    <w:p w14:paraId="7B08049E">
      <w:pPr>
        <w:ind w:left="617" w:leftChars="294" w:firstLine="480"/>
        <w:rPr>
          <w:rFonts w:hint="eastAsia" w:ascii="仿宋" w:hAnsi="仿宋" w:eastAsia="仿宋" w:cs="仿宋"/>
          <w:color w:val="000000" w:themeColor="text1"/>
          <w:sz w:val="24"/>
          <w:szCs w:val="24"/>
          <w:lang w:eastAsia="zh-CN"/>
          <w14:textFill>
            <w14:solidFill>
              <w14:schemeClr w14:val="tx1"/>
            </w14:solidFill>
          </w14:textFill>
        </w:rPr>
      </w:pPr>
      <w:bookmarkStart w:id="34" w:name="auto_fouce_3"/>
      <w:r>
        <w:rPr>
          <w:rFonts w:hint="eastAsia" w:ascii="仿宋" w:hAnsi="仿宋" w:eastAsia="仿宋" w:cs="仿宋"/>
          <w:color w:val="000000" w:themeColor="text1"/>
          <w:sz w:val="24"/>
          <w:szCs w:val="24"/>
          <w14:textFill>
            <w14:solidFill>
              <w14:schemeClr w14:val="tx1"/>
            </w14:solidFill>
          </w14:textFill>
        </w:rPr>
        <w:t>广告发布完成后，经甲方验收合格且乙方提供相应的增值税专用发票后30日内，甲方支付合同价款的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，计人民币</w:t>
      </w:r>
      <w:r>
        <w:rPr>
          <w:rFonts w:hint="eastAsia" w:ascii="仿宋" w:hAnsi="仿宋" w:eastAsia="仿宋" w:cs="仿宋"/>
          <w:color w:val="000000" w:themeColor="text1"/>
          <w:sz w:val="24"/>
          <w:szCs w:val="24"/>
          <w:u w:val="single"/>
          <w14:textFill>
            <w14:solidFill>
              <w14:schemeClr w14:val="tx1"/>
            </w14:solidFill>
          </w14:textFill>
        </w:rPr>
        <w:t xml:space="preserve">      元</w:t>
      </w:r>
      <w:r>
        <w:rPr>
          <w:rFonts w:hint="eastAsia" w:ascii="仿宋" w:hAnsi="仿宋" w:eastAsia="仿宋" w:cs="仿宋"/>
          <w:color w:val="000000" w:themeColor="text1"/>
          <w:sz w:val="24"/>
          <w:szCs w:val="24"/>
          <w14:textFill>
            <w14:solidFill>
              <w14:schemeClr w14:val="tx1"/>
            </w14:solidFill>
          </w14:textFill>
        </w:rPr>
        <w:t>(即大写人民币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如乙方服务存在瑕疵、延误、未达标、发票内容或合规性存在异议，甲方有权拒绝付款或延期付款，直至乙方整改合格并经甲方书面确认。甲方有权对乙方开具的发票内容、合规性提出异议，乙方应在收到甲方异议通知后5个工作日内予以更正，否则甲方有权暂停付款。</w:t>
      </w:r>
      <w:bookmarkEnd w:id="34"/>
    </w:p>
    <w:p w14:paraId="7DA617A2">
      <w:pPr>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1.3.2 </w:t>
      </w:r>
      <w:r>
        <w:rPr>
          <w:rFonts w:hint="eastAsia" w:ascii="仿宋" w:hAnsi="仿宋" w:eastAsia="仿宋" w:cs="仿宋"/>
          <w:color w:val="000000" w:themeColor="text1"/>
          <w:sz w:val="24"/>
          <w:szCs w:val="24"/>
          <w14:textFill>
            <w14:solidFill>
              <w14:schemeClr w14:val="tx1"/>
            </w14:solidFill>
          </w14:textFill>
        </w:rPr>
        <w:t>乙方不接受现金收款，也不会委托其他公司或个人代收款，</w:t>
      </w:r>
      <w:bookmarkStart w:id="35" w:name="auto_fouce_4"/>
      <w:r>
        <w:rPr>
          <w:rFonts w:hint="eastAsia" w:ascii="仿宋" w:hAnsi="仿宋" w:eastAsia="仿宋" w:cs="仿宋"/>
          <w:color w:val="000000" w:themeColor="text1"/>
          <w:sz w:val="24"/>
          <w:szCs w:val="24"/>
          <w14:textFill>
            <w14:solidFill>
              <w14:schemeClr w14:val="tx1"/>
            </w14:solidFill>
          </w14:textFill>
        </w:rPr>
        <w:t>乙方的应收款应通过银行采用票据对公支付</w:t>
      </w:r>
      <w:r>
        <w:rPr>
          <w:rFonts w:hint="eastAsia" w:ascii="仿宋" w:hAnsi="仿宋" w:eastAsia="仿宋" w:cs="仿宋"/>
          <w:color w:val="000000" w:themeColor="text1"/>
          <w:sz w:val="24"/>
          <w:szCs w:val="24"/>
          <w:lang w:eastAsia="zh-CN"/>
          <w14:textFill>
            <w14:solidFill>
              <w14:schemeClr w14:val="tx1"/>
            </w14:solidFill>
          </w14:textFill>
        </w:rPr>
        <w:t>至本合同约定的唯一账户</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账户信息变更需提前15个工作日以加盖公章的书面通知送达甲方，</w:t>
      </w:r>
      <w:r>
        <w:rPr>
          <w:rFonts w:hint="eastAsia" w:ascii="仿宋" w:hAnsi="仿宋" w:eastAsia="仿宋" w:cs="仿宋"/>
          <w:color w:val="000000" w:themeColor="text1"/>
          <w:sz w:val="24"/>
          <w:szCs w:val="24"/>
          <w14:textFill>
            <w14:solidFill>
              <w14:schemeClr w14:val="tx1"/>
            </w14:solidFill>
          </w14:textFill>
        </w:rPr>
        <w:t>或者转账支付至下列账户：</w:t>
      </w:r>
      <w:bookmarkEnd w:id="35"/>
    </w:p>
    <w:tbl>
      <w:tblPr>
        <w:tblStyle w:val="30"/>
        <w:tblW w:w="7783"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6207"/>
      </w:tblGrid>
      <w:tr w14:paraId="24843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67E593F7">
            <w:pPr>
              <w:widowControl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w:t>
            </w:r>
          </w:p>
        </w:tc>
        <w:tc>
          <w:tcPr>
            <w:tcW w:w="6207" w:type="dxa"/>
            <w:vAlign w:val="center"/>
          </w:tcPr>
          <w:p w14:paraId="6D6A5D25">
            <w:pPr>
              <w:widowControl w:val="0"/>
              <w:spacing w:line="480" w:lineRule="auto"/>
              <w:jc w:val="center"/>
              <w:rPr>
                <w:rFonts w:hint="eastAsia" w:ascii="仿宋" w:hAnsi="仿宋" w:eastAsia="仿宋" w:cs="仿宋"/>
                <w:color w:val="000000" w:themeColor="text1"/>
                <w:sz w:val="24"/>
                <w:szCs w:val="24"/>
                <w14:textFill>
                  <w14:solidFill>
                    <w14:schemeClr w14:val="tx1"/>
                  </w14:solidFill>
                </w14:textFill>
              </w:rPr>
            </w:pPr>
          </w:p>
        </w:tc>
      </w:tr>
      <w:tr w14:paraId="1B8DCC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0009D9CC">
            <w:pPr>
              <w:widowControl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w:t>
            </w:r>
          </w:p>
        </w:tc>
        <w:tc>
          <w:tcPr>
            <w:tcW w:w="6207" w:type="dxa"/>
            <w:vAlign w:val="center"/>
          </w:tcPr>
          <w:p w14:paraId="14F524B4">
            <w:pPr>
              <w:widowControl w:val="0"/>
              <w:jc w:val="center"/>
              <w:rPr>
                <w:rFonts w:hint="eastAsia" w:ascii="仿宋" w:hAnsi="仿宋" w:eastAsia="仿宋" w:cs="仿宋"/>
                <w:color w:val="000000" w:themeColor="text1"/>
                <w:sz w:val="24"/>
                <w:szCs w:val="24"/>
                <w14:textFill>
                  <w14:solidFill>
                    <w14:schemeClr w14:val="tx1"/>
                  </w14:solidFill>
                </w14:textFill>
              </w:rPr>
            </w:pPr>
          </w:p>
        </w:tc>
      </w:tr>
      <w:tr w14:paraId="08531A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29F30F8B">
            <w:pPr>
              <w:widowControl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账户</w:t>
            </w:r>
          </w:p>
        </w:tc>
        <w:tc>
          <w:tcPr>
            <w:tcW w:w="6207" w:type="dxa"/>
            <w:vAlign w:val="center"/>
          </w:tcPr>
          <w:p w14:paraId="6CA81C50">
            <w:pPr>
              <w:widowControl w:val="0"/>
              <w:jc w:val="center"/>
              <w:rPr>
                <w:rFonts w:hint="eastAsia" w:ascii="仿宋" w:hAnsi="仿宋" w:eastAsia="仿宋" w:cs="仿宋"/>
                <w:color w:val="000000" w:themeColor="text1"/>
                <w:sz w:val="24"/>
                <w:szCs w:val="24"/>
                <w14:textFill>
                  <w14:solidFill>
                    <w14:schemeClr w14:val="tx1"/>
                  </w14:solidFill>
                </w14:textFill>
              </w:rPr>
            </w:pPr>
          </w:p>
        </w:tc>
      </w:tr>
    </w:tbl>
    <w:p w14:paraId="772F80CB">
      <w:pPr>
        <w:ind w:left="723" w:hanging="720" w:hangingChars="300"/>
        <w:outlineLvl w:val="0"/>
        <w:rPr>
          <w:rFonts w:hint="eastAsia" w:ascii="仿宋" w:hAnsi="仿宋" w:eastAsia="仿宋" w:cs="仿宋"/>
          <w:color w:val="000000" w:themeColor="text1"/>
          <w:sz w:val="24"/>
          <w:szCs w:val="24"/>
          <w14:textFill>
            <w14:solidFill>
              <w14:schemeClr w14:val="tx1"/>
            </w14:solidFill>
          </w14:textFill>
        </w:rPr>
      </w:pPr>
      <w:bookmarkStart w:id="36" w:name="auto_fouce_6"/>
      <w:r>
        <w:rPr>
          <w:rFonts w:hint="eastAsia" w:ascii="仿宋" w:hAnsi="仿宋" w:eastAsia="仿宋" w:cs="仿宋"/>
          <w:b/>
          <w:color w:val="000000" w:themeColor="text1"/>
          <w:sz w:val="24"/>
          <w:szCs w:val="24"/>
          <w14:textFill>
            <w14:solidFill>
              <w14:schemeClr w14:val="tx1"/>
            </w14:solidFill>
          </w14:textFill>
        </w:rPr>
        <w:t xml:space="preserve">1.3.3 </w:t>
      </w:r>
      <w:r>
        <w:rPr>
          <w:rFonts w:hint="eastAsia" w:ascii="仿宋" w:hAnsi="仿宋" w:eastAsia="仿宋" w:cs="仿宋"/>
          <w:color w:val="000000" w:themeColor="text1"/>
          <w:sz w:val="24"/>
          <w:szCs w:val="24"/>
          <w14:textFill>
            <w14:solidFill>
              <w14:schemeClr w14:val="tx1"/>
            </w14:solidFill>
          </w14:textFill>
        </w:rPr>
        <w:t>甲方付款前，乙方应开具等额合法、符合甲方要求的增值税专用发票。</w:t>
      </w:r>
      <w:r>
        <w:rPr>
          <w:rFonts w:hint="eastAsia" w:ascii="仿宋" w:hAnsi="仿宋" w:eastAsia="仿宋" w:cs="仿宋"/>
          <w:color w:val="000000" w:themeColor="text1"/>
          <w:sz w:val="24"/>
          <w:szCs w:val="24"/>
          <w:lang w:eastAsia="zh-CN"/>
          <w14:textFill>
            <w14:solidFill>
              <w14:schemeClr w14:val="tx1"/>
            </w14:solidFill>
          </w14:textFill>
        </w:rPr>
        <w:t>甲方仅在收到合规发票且验收合格后，方可付款，乙方</w:t>
      </w:r>
      <w:r>
        <w:rPr>
          <w:rFonts w:hint="eastAsia" w:ascii="仿宋" w:hAnsi="仿宋" w:eastAsia="仿宋" w:cs="仿宋"/>
          <w:color w:val="000000" w:themeColor="text1"/>
          <w:sz w:val="24"/>
          <w:szCs w:val="24"/>
          <w14:textFill>
            <w14:solidFill>
              <w14:schemeClr w14:val="tx1"/>
            </w14:solidFill>
          </w14:textFill>
        </w:rPr>
        <w:t>开具发票不视为已收到甲方付款。</w:t>
      </w:r>
      <w:bookmarkEnd w:id="36"/>
    </w:p>
    <w:p w14:paraId="746CF490">
      <w:pPr>
        <w:ind w:left="646" w:hanging="643" w:hangingChars="268"/>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1.3.4 </w:t>
      </w:r>
      <w:bookmarkStart w:id="37" w:name="auto_fouce_7"/>
      <w:r>
        <w:rPr>
          <w:rFonts w:hint="eastAsia" w:ascii="仿宋" w:hAnsi="仿宋" w:eastAsia="仿宋" w:cs="仿宋"/>
          <w:color w:val="000000" w:themeColor="text1"/>
          <w:sz w:val="24"/>
          <w:szCs w:val="24"/>
          <w14:textFill>
            <w14:solidFill>
              <w14:schemeClr w14:val="tx1"/>
            </w14:solidFill>
          </w14:textFill>
        </w:rPr>
        <w:t>如果发生不可抗</w:t>
      </w:r>
      <w:r>
        <w:rPr>
          <w:rFonts w:hint="eastAsia" w:ascii="仿宋" w:hAnsi="仿宋" w:eastAsia="仿宋" w:cs="仿宋"/>
          <w:color w:val="000000" w:themeColor="text1"/>
          <w:sz w:val="24"/>
          <w:szCs w:val="24"/>
          <w:lang w:eastAsia="zh-CN"/>
          <w14:textFill>
            <w14:solidFill>
              <w14:schemeClr w14:val="tx1"/>
            </w14:solidFill>
          </w14:textFill>
        </w:rPr>
        <w:t>力事件（仅限于法律规定的不可预见、不可避免、不可克服的事件）</w:t>
      </w:r>
      <w:r>
        <w:rPr>
          <w:rFonts w:hint="eastAsia" w:ascii="仿宋" w:hAnsi="仿宋" w:eastAsia="仿宋" w:cs="仿宋"/>
          <w:color w:val="000000" w:themeColor="text1"/>
          <w:sz w:val="24"/>
          <w:szCs w:val="24"/>
          <w14:textFill>
            <w14:solidFill>
              <w14:schemeClr w14:val="tx1"/>
            </w14:solidFill>
          </w14:textFill>
        </w:rPr>
        <w:t>导致付款延期，双方将协商解决。</w:t>
      </w:r>
      <w:bookmarkEnd w:id="37"/>
    </w:p>
    <w:p w14:paraId="12EF2C3B">
      <w:pPr>
        <w:ind w:left="643" w:hanging="643" w:hangingChars="268"/>
        <w:outlineLvl w:val="0"/>
        <w:rPr>
          <w:rFonts w:hint="eastAsia" w:ascii="仿宋" w:hAnsi="仿宋" w:eastAsia="仿宋" w:cs="仿宋"/>
          <w:color w:val="000000" w:themeColor="text1"/>
          <w:sz w:val="24"/>
          <w:szCs w:val="24"/>
          <w14:textFill>
            <w14:solidFill>
              <w14:schemeClr w14:val="tx1"/>
            </w14:solidFill>
          </w14:textFill>
        </w:rPr>
      </w:pPr>
    </w:p>
    <w:p w14:paraId="7C8086E8">
      <w:p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第二条 广告的设计、制作、修改、验收</w:t>
      </w:r>
    </w:p>
    <w:p w14:paraId="69C46A50">
      <w:p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2.1广告设计、制作</w:t>
      </w:r>
    </w:p>
    <w:p w14:paraId="2F2F7EF7">
      <w:pPr>
        <w:ind w:left="371" w:leftChars="177" w:firstLine="48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由甲方提供的内容与素材，甲方应在广告发布开始日前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日内通知乙方进行版面安排，并提供广告的样稿。</w:t>
      </w:r>
      <w:bookmarkStart w:id="38" w:name="auto_fouce_8"/>
      <w:r>
        <w:rPr>
          <w:rFonts w:hint="eastAsia" w:ascii="仿宋" w:hAnsi="仿宋" w:eastAsia="仿宋" w:cs="仿宋"/>
          <w:color w:val="000000" w:themeColor="text1"/>
          <w:sz w:val="24"/>
          <w:szCs w:val="24"/>
          <w14:textFill>
            <w14:solidFill>
              <w14:schemeClr w14:val="tx1"/>
            </w14:solidFill>
          </w14:textFill>
        </w:rPr>
        <w:t>未经甲方书面同意，乙方不得改动。</w:t>
      </w:r>
      <w:r>
        <w:rPr>
          <w:rFonts w:hint="eastAsia" w:ascii="仿宋" w:hAnsi="仿宋" w:eastAsia="仿宋" w:cs="仿宋"/>
          <w:color w:val="000000" w:themeColor="text1"/>
          <w:sz w:val="24"/>
          <w:szCs w:val="24"/>
          <w:lang w:eastAsia="zh-CN"/>
          <w14:textFill>
            <w14:solidFill>
              <w14:schemeClr w14:val="tx1"/>
            </w14:solidFill>
          </w14:textFill>
        </w:rPr>
        <w:t>甲方对广告内容、样稿、发布时间、发布位置等拥有最终决定权。</w:t>
      </w:r>
      <w:bookmarkEnd w:id="38"/>
    </w:p>
    <w:p w14:paraId="4C26A5E4">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2.2广告修改</w:t>
      </w:r>
    </w:p>
    <w:p w14:paraId="01B705B5">
      <w:pPr>
        <w:ind w:left="723" w:hanging="720" w:hangingChars="300"/>
        <w:rPr>
          <w:rFonts w:hint="eastAsia" w:ascii="仿宋" w:hAnsi="仿宋" w:eastAsia="仿宋" w:cs="仿宋"/>
          <w:color w:val="000000" w:themeColor="text1"/>
          <w:sz w:val="24"/>
          <w:szCs w:val="24"/>
          <w14:textFill>
            <w14:solidFill>
              <w14:schemeClr w14:val="tx1"/>
            </w14:solidFill>
          </w14:textFill>
        </w:rPr>
      </w:pPr>
      <w:bookmarkStart w:id="39" w:name="auto_fouce_9"/>
      <w:r>
        <w:rPr>
          <w:rFonts w:hint="eastAsia" w:ascii="仿宋" w:hAnsi="仿宋" w:eastAsia="仿宋" w:cs="仿宋"/>
          <w:b/>
          <w:color w:val="000000" w:themeColor="text1"/>
          <w:sz w:val="24"/>
          <w:szCs w:val="24"/>
          <w14:textFill>
            <w14:solidFill>
              <w14:schemeClr w14:val="tx1"/>
            </w14:solidFill>
          </w14:textFill>
        </w:rPr>
        <w:t>2.2.1</w:t>
      </w:r>
      <w:r>
        <w:rPr>
          <w:rFonts w:hint="eastAsia" w:ascii="仿宋" w:hAnsi="仿宋" w:eastAsia="仿宋" w:cs="仿宋"/>
          <w:color w:val="000000" w:themeColor="text1"/>
          <w:sz w:val="24"/>
          <w:szCs w:val="24"/>
          <w14:textFill>
            <w14:solidFill>
              <w14:schemeClr w14:val="tx1"/>
            </w14:solidFill>
          </w14:textFill>
        </w:rPr>
        <w:t>每次广告发布之前，甲方有权</w:t>
      </w:r>
      <w:r>
        <w:rPr>
          <w:rFonts w:hint="eastAsia" w:ascii="仿宋" w:hAnsi="仿宋" w:eastAsia="仿宋" w:cs="仿宋"/>
          <w:color w:val="000000" w:themeColor="text1"/>
          <w:sz w:val="24"/>
          <w:szCs w:val="24"/>
          <w:lang w:eastAsia="zh-CN"/>
          <w14:textFill>
            <w14:solidFill>
              <w14:schemeClr w14:val="tx1"/>
            </w14:solidFill>
          </w14:textFill>
        </w:rPr>
        <w:t>在发布广告时间前不少于3个工作日无条件</w:t>
      </w:r>
      <w:r>
        <w:rPr>
          <w:rFonts w:hint="eastAsia" w:ascii="仿宋" w:hAnsi="仿宋" w:eastAsia="仿宋" w:cs="仿宋"/>
          <w:color w:val="000000" w:themeColor="text1"/>
          <w:sz w:val="24"/>
          <w:szCs w:val="24"/>
          <w14:textFill>
            <w14:solidFill>
              <w14:schemeClr w14:val="tx1"/>
            </w14:solidFill>
          </w14:textFill>
        </w:rPr>
        <w:t>调整和撤销广告样稿，</w:t>
      </w:r>
      <w:r>
        <w:rPr>
          <w:rFonts w:hint="eastAsia" w:ascii="仿宋" w:hAnsi="仿宋" w:eastAsia="仿宋" w:cs="仿宋"/>
          <w:color w:val="000000" w:themeColor="text1"/>
          <w:sz w:val="24"/>
          <w:szCs w:val="24"/>
          <w:lang w:eastAsia="zh-CN"/>
          <w14:textFill>
            <w14:solidFill>
              <w14:schemeClr w14:val="tx1"/>
            </w14:solidFill>
          </w14:textFill>
        </w:rPr>
        <w:t>且不承担额外费用，</w:t>
      </w:r>
      <w:r>
        <w:rPr>
          <w:rFonts w:hint="eastAsia" w:ascii="仿宋" w:hAnsi="仿宋" w:eastAsia="仿宋" w:cs="仿宋"/>
          <w:color w:val="000000" w:themeColor="text1"/>
          <w:sz w:val="24"/>
          <w:szCs w:val="24"/>
          <w14:textFill>
            <w14:solidFill>
              <w14:schemeClr w14:val="tx1"/>
            </w14:solidFill>
          </w14:textFill>
        </w:rPr>
        <w:t>但须</w:t>
      </w:r>
      <w:r>
        <w:rPr>
          <w:rFonts w:hint="eastAsia" w:ascii="仿宋" w:hAnsi="仿宋" w:eastAsia="仿宋" w:cs="仿宋"/>
          <w:color w:val="000000" w:themeColor="text1"/>
          <w:sz w:val="24"/>
          <w:szCs w:val="24"/>
          <w:lang w:eastAsia="zh-CN"/>
          <w14:textFill>
            <w14:solidFill>
              <w14:schemeClr w14:val="tx1"/>
            </w14:solidFill>
          </w14:textFill>
        </w:rPr>
        <w:t>提</w:t>
      </w:r>
      <w:r>
        <w:rPr>
          <w:rFonts w:hint="eastAsia" w:ascii="仿宋" w:hAnsi="仿宋" w:eastAsia="仿宋" w:cs="仿宋"/>
          <w:color w:val="000000" w:themeColor="text1"/>
          <w:sz w:val="24"/>
          <w:szCs w:val="24"/>
          <w14:textFill>
            <w14:solidFill>
              <w14:schemeClr w14:val="tx1"/>
            </w14:solidFill>
          </w14:textFill>
        </w:rPr>
        <w:t>前通知乙方。</w:t>
      </w:r>
      <w:bookmarkEnd w:id="39"/>
    </w:p>
    <w:p w14:paraId="6562971E">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2.2.2</w:t>
      </w:r>
      <w:bookmarkStart w:id="40" w:name="auto_fouce_10"/>
      <w:r>
        <w:rPr>
          <w:rFonts w:hint="eastAsia" w:ascii="仿宋" w:hAnsi="仿宋" w:eastAsia="仿宋" w:cs="仿宋"/>
          <w:color w:val="000000" w:themeColor="text1"/>
          <w:sz w:val="24"/>
          <w:szCs w:val="24"/>
          <w14:textFill>
            <w14:solidFill>
              <w14:schemeClr w14:val="tx1"/>
            </w14:solidFill>
          </w14:textFill>
        </w:rPr>
        <w:t>甲方可根据其销售进度</w:t>
      </w:r>
      <w:r>
        <w:rPr>
          <w:rFonts w:hint="eastAsia" w:ascii="仿宋" w:hAnsi="仿宋" w:eastAsia="仿宋" w:cs="仿宋"/>
          <w:color w:val="000000" w:themeColor="text1"/>
          <w:sz w:val="24"/>
          <w:szCs w:val="24"/>
          <w:lang w:eastAsia="zh-CN"/>
          <w14:textFill>
            <w14:solidFill>
              <w14:schemeClr w14:val="tx1"/>
            </w14:solidFill>
          </w14:textFill>
        </w:rPr>
        <w:t>调整</w:t>
      </w:r>
      <w:r>
        <w:rPr>
          <w:rFonts w:hint="eastAsia" w:ascii="仿宋" w:hAnsi="仿宋" w:eastAsia="仿宋" w:cs="仿宋"/>
          <w:color w:val="000000" w:themeColor="text1"/>
          <w:sz w:val="24"/>
          <w:szCs w:val="24"/>
          <w14:textFill>
            <w14:solidFill>
              <w14:schemeClr w14:val="tx1"/>
            </w14:solidFill>
          </w14:textFill>
        </w:rPr>
        <w:t>本次服务细节，</w:t>
      </w:r>
      <w:r>
        <w:rPr>
          <w:rFonts w:hint="eastAsia" w:ascii="仿宋" w:hAnsi="仿宋" w:eastAsia="仿宋" w:cs="仿宋"/>
          <w:color w:val="000000" w:themeColor="text1"/>
          <w:sz w:val="24"/>
          <w:szCs w:val="24"/>
          <w:lang w:eastAsia="zh-CN"/>
          <w14:textFill>
            <w14:solidFill>
              <w14:schemeClr w14:val="tx1"/>
            </w14:solidFill>
          </w14:textFill>
        </w:rPr>
        <w:t>包括</w:t>
      </w:r>
      <w:r>
        <w:rPr>
          <w:rFonts w:hint="eastAsia" w:ascii="仿宋" w:hAnsi="仿宋" w:eastAsia="仿宋" w:cs="仿宋"/>
          <w:color w:val="000000" w:themeColor="text1"/>
          <w:sz w:val="24"/>
          <w:szCs w:val="24"/>
          <w14:textFill>
            <w14:solidFill>
              <w14:schemeClr w14:val="tx1"/>
            </w14:solidFill>
          </w14:textFill>
        </w:rPr>
        <w:t>广告发布样稿、时间、位置等，甲方须在发布前</w:t>
      </w:r>
      <w:r>
        <w:rPr>
          <w:rFonts w:hint="eastAsia" w:ascii="仿宋" w:hAnsi="仿宋" w:eastAsia="仿宋" w:cs="仿宋"/>
          <w:color w:val="000000" w:themeColor="text1"/>
          <w:sz w:val="24"/>
          <w:szCs w:val="24"/>
          <w:u w:val="single"/>
          <w:lang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eastAsia="zh-CN"/>
          <w14:textFill>
            <w14:solidFill>
              <w14:schemeClr w14:val="tx1"/>
            </w14:solidFill>
          </w14:textFill>
        </w:rPr>
        <w:t>书面</w:t>
      </w:r>
      <w:r>
        <w:rPr>
          <w:rFonts w:hint="eastAsia" w:ascii="仿宋" w:hAnsi="仿宋" w:eastAsia="仿宋" w:cs="仿宋"/>
          <w:color w:val="000000" w:themeColor="text1"/>
          <w:sz w:val="24"/>
          <w:szCs w:val="24"/>
          <w14:textFill>
            <w14:solidFill>
              <w14:schemeClr w14:val="tx1"/>
            </w14:solidFill>
          </w14:textFill>
        </w:rPr>
        <w:t>通知乙方</w:t>
      </w:r>
      <w:r>
        <w:rPr>
          <w:rFonts w:hint="eastAsia" w:ascii="仿宋" w:hAnsi="仿宋" w:eastAsia="仿宋" w:cs="仿宋"/>
          <w:color w:val="000000" w:themeColor="text1"/>
          <w:sz w:val="24"/>
          <w:szCs w:val="24"/>
          <w:lang w:eastAsia="zh-CN"/>
          <w14:textFill>
            <w14:solidFill>
              <w14:schemeClr w14:val="tx1"/>
            </w14:solidFill>
          </w14:textFill>
        </w:rPr>
        <w:t>。甲方单方调整发布计划的，</w:t>
      </w:r>
      <w:r>
        <w:rPr>
          <w:rFonts w:hint="eastAsia" w:ascii="仿宋" w:hAnsi="仿宋" w:eastAsia="仿宋" w:cs="仿宋"/>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lang w:eastAsia="zh-CN"/>
          <w14:textFill>
            <w14:solidFill>
              <w14:schemeClr w14:val="tx1"/>
            </w14:solidFill>
          </w14:textFill>
        </w:rPr>
        <w:t>应在收到通知后24小时内出具调整方案</w:t>
      </w:r>
      <w:r>
        <w:rPr>
          <w:rFonts w:hint="eastAsia" w:ascii="仿宋" w:hAnsi="仿宋" w:eastAsia="仿宋" w:cs="仿宋"/>
          <w:color w:val="000000" w:themeColor="text1"/>
          <w:sz w:val="24"/>
          <w:szCs w:val="24"/>
          <w14:textFill>
            <w14:solidFill>
              <w14:schemeClr w14:val="tx1"/>
            </w14:solidFill>
          </w14:textFill>
        </w:rPr>
        <w:t>，双方重新签署《发布排期确认单》。</w:t>
      </w:r>
      <w:bookmarkEnd w:id="40"/>
    </w:p>
    <w:p w14:paraId="124C33BE">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2.3广告验收</w:t>
      </w:r>
    </w:p>
    <w:p w14:paraId="1069C257">
      <w:pPr>
        <w:ind w:left="482" w:hanging="480" w:hangingChars="200"/>
        <w:rPr>
          <w:rFonts w:hint="eastAsia" w:ascii="仿宋" w:hAnsi="仿宋" w:eastAsia="仿宋" w:cs="仿宋"/>
          <w:color w:val="000000" w:themeColor="text1"/>
          <w:sz w:val="24"/>
          <w:szCs w:val="24"/>
          <w:lang w:eastAsia="zh-CN"/>
          <w14:textFill>
            <w14:solidFill>
              <w14:schemeClr w14:val="tx1"/>
            </w14:solidFill>
          </w14:textFill>
        </w:rPr>
      </w:pPr>
      <w:bookmarkStart w:id="41" w:name="auto_fouce_11"/>
      <w:r>
        <w:rPr>
          <w:rFonts w:hint="eastAsia" w:ascii="仿宋" w:hAnsi="仿宋" w:eastAsia="仿宋" w:cs="仿宋"/>
          <w:b/>
          <w:color w:val="000000" w:themeColor="text1"/>
          <w:sz w:val="24"/>
          <w:szCs w:val="24"/>
          <w14:textFill>
            <w14:solidFill>
              <w14:schemeClr w14:val="tx1"/>
            </w14:solidFill>
          </w14:textFill>
        </w:rPr>
        <w:t xml:space="preserve">2.3.1 </w:t>
      </w:r>
      <w:bookmarkStart w:id="42" w:name="_Hlk204078340"/>
      <w:r>
        <w:rPr>
          <w:rFonts w:hint="eastAsia" w:ascii="仿宋" w:hAnsi="仿宋" w:eastAsia="仿宋" w:cs="仿宋"/>
          <w:bCs/>
          <w:color w:val="000000" w:themeColor="text1"/>
          <w:sz w:val="24"/>
          <w:szCs w:val="24"/>
          <w14:textFill>
            <w14:solidFill>
              <w14:schemeClr w14:val="tx1"/>
            </w14:solidFill>
          </w14:textFill>
        </w:rPr>
        <w:t>验收方式：</w:t>
      </w:r>
      <w:r>
        <w:rPr>
          <w:rFonts w:hint="eastAsia" w:ascii="仿宋" w:hAnsi="仿宋" w:eastAsia="仿宋" w:cs="仿宋"/>
          <w:color w:val="000000" w:themeColor="text1"/>
          <w:sz w:val="24"/>
          <w:szCs w:val="24"/>
          <w:lang w:eastAsia="zh-CN"/>
          <w14:textFill>
            <w14:solidFill>
              <w14:schemeClr w14:val="tx1"/>
            </w14:solidFill>
          </w14:textFill>
        </w:rPr>
        <w:t>乙方应</w:t>
      </w:r>
      <w:r>
        <w:rPr>
          <w:rFonts w:hint="eastAsia" w:ascii="仿宋" w:hAnsi="仿宋" w:eastAsia="仿宋" w:cs="仿宋"/>
          <w:color w:val="000000" w:themeColor="text1"/>
          <w:sz w:val="24"/>
          <w:szCs w:val="24"/>
          <w14:textFill>
            <w14:solidFill>
              <w14:schemeClr w14:val="tx1"/>
            </w14:solidFill>
          </w14:textFill>
        </w:rPr>
        <w:t>在广告发布后</w:t>
      </w:r>
      <w:r>
        <w:rPr>
          <w:rFonts w:hint="eastAsia" w:ascii="仿宋" w:hAnsi="仿宋" w:eastAsia="仿宋" w:cs="仿宋"/>
          <w:color w:val="000000" w:themeColor="text1"/>
          <w:sz w:val="24"/>
          <w:szCs w:val="24"/>
          <w:lang w:eastAsia="zh-CN"/>
          <w14:textFill>
            <w14:solidFill>
              <w14:schemeClr w14:val="tx1"/>
            </w14:solidFill>
          </w14:textFill>
        </w:rPr>
        <w:t>提供详实的发布证明，包括相关媒体投放内容截图、投放位置、时长、曝光量、点击量等数据报告。验收标准应包括但不限于像素精度不低于1080P、广告展示时长误差率≤3%、关键信息完整呈现等量化指标。甲方有权依据实际广告效果、投放位置、时长、曝光量等多维度进行验收，并以甲方书面确认验收合格为准。甲方如认为验收不合格，有权拒绝付款、要求乙方重做或解除合同。</w:t>
      </w:r>
      <w:bookmarkEnd w:id="41"/>
    </w:p>
    <w:bookmarkEnd w:id="42"/>
    <w:p w14:paraId="44512D91">
      <w:pPr>
        <w:ind w:left="480" w:hanging="480" w:hanging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2.3.2乙方应对提供的服务成果作出全面自查和整理，并列出清单，作为甲方验收和使用的技术条件依据，清单应随提供的服务成果交给甲方。</w:t>
      </w:r>
    </w:p>
    <w:p w14:paraId="794DE2B9">
      <w:pPr>
        <w:ind w:left="480" w:hanging="480" w:hanging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2.3.3</w:t>
      </w:r>
      <w:bookmarkStart w:id="43" w:name="auto_fouce_12"/>
      <w:r>
        <w:rPr>
          <w:rFonts w:hint="eastAsia" w:ascii="仿宋" w:hAnsi="仿宋" w:eastAsia="仿宋" w:cs="仿宋"/>
          <w:color w:val="000000" w:themeColor="text1"/>
          <w:sz w:val="24"/>
          <w:szCs w:val="24"/>
          <w:lang w:eastAsia="zh-CN"/>
          <w14:textFill>
            <w14:solidFill>
              <w14:schemeClr w14:val="tx1"/>
            </w14:solidFill>
          </w14:textFill>
        </w:rPr>
        <w:t>如项目实施情况需要分阶段验收，则根据实际情况分阶段出具《验收报告》。</w:t>
      </w:r>
      <w:bookmarkStart w:id="44" w:name="auto_fouce_13"/>
    </w:p>
    <w:p w14:paraId="3BFFC540">
      <w:pPr>
        <w:ind w:left="480" w:hanging="480" w:hanging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2.3.4 验收异议处理：甲方提出书面异议的，乙方应在48小时内完成整改并重新提交验收，每整改一次顺延验收期限3个工作日。三次整改仍未通过的，甲方有权解除合同。</w:t>
      </w:r>
      <w:bookmarkEnd w:id="44"/>
      <w:r>
        <w:rPr>
          <w:rFonts w:hint="eastAsia" w:ascii="仿宋" w:hAnsi="仿宋" w:eastAsia="仿宋" w:cs="仿宋"/>
          <w:color w:val="000000" w:themeColor="text1"/>
          <w:sz w:val="24"/>
          <w:szCs w:val="24"/>
          <w:lang w:eastAsia="zh-CN"/>
          <w14:textFill>
            <w14:solidFill>
              <w14:schemeClr w14:val="tx1"/>
            </w14:solidFill>
          </w14:textFill>
        </w:rPr>
        <w:t xml:space="preserve"> 分阶段验收不合格的，后续阶段服务自动中止直至整改完成。整改期间，乙方应按每日合同总金额0.5%支付违约金，超过5日未整改的甲方有权解除合同。</w:t>
      </w:r>
      <w:bookmarkEnd w:id="43"/>
    </w:p>
    <w:p w14:paraId="5E3EED68">
      <w:pPr>
        <w:ind w:left="720" w:hanging="720" w:hangingChars="300"/>
        <w:rPr>
          <w:rFonts w:hint="eastAsia" w:ascii="仿宋" w:hAnsi="仿宋" w:eastAsia="仿宋" w:cs="仿宋"/>
          <w:color w:val="000000" w:themeColor="text1"/>
          <w:sz w:val="24"/>
          <w:szCs w:val="24"/>
          <w14:textFill>
            <w14:solidFill>
              <w14:schemeClr w14:val="tx1"/>
            </w14:solidFill>
          </w14:textFill>
        </w:rPr>
      </w:pPr>
    </w:p>
    <w:p w14:paraId="2F26A1B9">
      <w:p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第三条 双方权利与义务</w:t>
      </w:r>
    </w:p>
    <w:p w14:paraId="7817021B">
      <w:pPr>
        <w:ind w:left="723" w:hanging="720" w:hangingChars="3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3.1甲方权利与义务</w:t>
      </w:r>
    </w:p>
    <w:p w14:paraId="25B8C616">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3.1.1</w:t>
      </w:r>
      <w:r>
        <w:rPr>
          <w:rFonts w:hint="eastAsia" w:ascii="仿宋" w:hAnsi="仿宋" w:eastAsia="仿宋" w:cs="仿宋"/>
          <w:color w:val="000000" w:themeColor="text1"/>
          <w:sz w:val="24"/>
          <w:szCs w:val="24"/>
          <w14:textFill>
            <w14:solidFill>
              <w14:schemeClr w14:val="tx1"/>
            </w14:solidFill>
          </w14:textFill>
        </w:rPr>
        <w:t>甲方有权在签订本合同前对乙方进行相关的资格审查，乙方应提供必要配合。</w:t>
      </w:r>
    </w:p>
    <w:p w14:paraId="3C9412A2">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3.1.2</w:t>
      </w:r>
      <w:bookmarkStart w:id="45" w:name="_Hlk204012822"/>
      <w:r>
        <w:rPr>
          <w:rFonts w:hint="eastAsia" w:ascii="仿宋" w:hAnsi="仿宋" w:eastAsia="仿宋" w:cs="仿宋"/>
          <w:color w:val="000000" w:themeColor="text1"/>
          <w:sz w:val="24"/>
          <w:szCs w:val="24"/>
          <w14:textFill>
            <w14:solidFill>
              <w14:schemeClr w14:val="tx1"/>
            </w14:solidFill>
          </w14:textFill>
        </w:rPr>
        <w:t>甲方应及时向乙方提供广告发布信息，以保证宣传工作的开展。</w:t>
      </w:r>
      <w:bookmarkEnd w:id="45"/>
      <w:r>
        <w:rPr>
          <w:rFonts w:hint="eastAsia" w:ascii="仿宋" w:hAnsi="仿宋" w:eastAsia="仿宋" w:cs="仿宋"/>
          <w:color w:val="000000" w:themeColor="text1"/>
          <w:sz w:val="24"/>
          <w:szCs w:val="24"/>
          <w14:textFill>
            <w14:solidFill>
              <w14:schemeClr w14:val="tx1"/>
            </w14:solidFill>
          </w14:textFill>
        </w:rPr>
        <w:t>甲方提供的资料及相关信息须真实合法,</w:t>
      </w:r>
      <w:bookmarkStart w:id="46" w:name="_Hlk204012851"/>
      <w:r>
        <w:rPr>
          <w:rFonts w:hint="eastAsia" w:ascii="仿宋" w:hAnsi="仿宋" w:eastAsia="仿宋" w:cs="仿宋"/>
          <w:color w:val="000000" w:themeColor="text1"/>
          <w:sz w:val="24"/>
          <w:szCs w:val="24"/>
          <w14:textFill>
            <w14:solidFill>
              <w14:schemeClr w14:val="tx1"/>
            </w14:solidFill>
          </w14:textFill>
        </w:rPr>
        <w:t>不得故意提供虚假或者引人误解的资料。</w:t>
      </w:r>
    </w:p>
    <w:bookmarkEnd w:id="46"/>
    <w:p w14:paraId="179BA61F">
      <w:pPr>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3.1.3</w:t>
      </w:r>
      <w:bookmarkStart w:id="47" w:name="auto_fouce_14"/>
      <w:r>
        <w:rPr>
          <w:rFonts w:hint="eastAsia" w:ascii="仿宋" w:hAnsi="仿宋" w:eastAsia="仿宋" w:cs="仿宋"/>
          <w:color w:val="000000" w:themeColor="text1"/>
          <w:sz w:val="24"/>
          <w:szCs w:val="24"/>
          <w14:textFill>
            <w14:solidFill>
              <w14:schemeClr w14:val="tx1"/>
            </w14:solidFill>
          </w14:textFill>
        </w:rPr>
        <w:t>甲方要求发布的广告应合法合规，依法应向行政主管部门报批报备的，由乙方独立完成全部行政审批手续并承担申报费用，甲方仅配合提供基础资料。</w:t>
      </w:r>
      <w:bookmarkEnd w:id="47"/>
    </w:p>
    <w:p w14:paraId="4940C1DC">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3.1.4</w:t>
      </w:r>
      <w:r>
        <w:rPr>
          <w:rFonts w:hint="eastAsia" w:ascii="仿宋" w:hAnsi="仿宋" w:eastAsia="仿宋" w:cs="仿宋"/>
          <w:color w:val="000000" w:themeColor="text1"/>
          <w:sz w:val="24"/>
          <w:szCs w:val="24"/>
          <w14:textFill>
            <w14:solidFill>
              <w14:schemeClr w14:val="tx1"/>
            </w14:solidFill>
          </w14:textFill>
        </w:rPr>
        <w:t>甲方按照合同约定的金额、时间、方式支付合同价款。</w:t>
      </w:r>
    </w:p>
    <w:p w14:paraId="545A0384">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3.1.5</w:t>
      </w:r>
      <w:r>
        <w:rPr>
          <w:rFonts w:hint="eastAsia" w:ascii="仿宋" w:hAnsi="仿宋" w:eastAsia="仿宋" w:cs="仿宋"/>
          <w:color w:val="000000" w:themeColor="text1"/>
          <w:sz w:val="24"/>
          <w:szCs w:val="24"/>
          <w14:textFill>
            <w14:solidFill>
              <w14:schemeClr w14:val="tx1"/>
            </w14:solidFill>
          </w14:textFill>
        </w:rPr>
        <w:t>甲方应提供必要的支持协助乙方完成广告发布服务，并及时对乙方的广告发布情况进行确认或验收。</w:t>
      </w:r>
    </w:p>
    <w:p w14:paraId="1C45BCB1">
      <w:pPr>
        <w:tabs>
          <w:tab w:val="left" w:pos="1020"/>
        </w:tabs>
        <w:ind w:left="723" w:hanging="720" w:hangingChars="300"/>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3.1.6</w:t>
      </w:r>
      <w:r>
        <w:rPr>
          <w:rFonts w:hint="eastAsia" w:ascii="仿宋" w:hAnsi="仿宋" w:eastAsia="仿宋" w:cs="仿宋"/>
          <w:bCs/>
          <w:color w:val="000000" w:themeColor="text1"/>
          <w:sz w:val="24"/>
          <w:szCs w:val="24"/>
          <w14:textFill>
            <w14:solidFill>
              <w14:schemeClr w14:val="tx1"/>
            </w14:solidFill>
          </w14:textFill>
        </w:rPr>
        <w:t>甲方有权针对广告发布情况进行抽查，发现发布有瑕疵的，双方商榷，可将发布期顺延 。</w:t>
      </w:r>
      <w:bookmarkStart w:id="48" w:name="auto_fouce_15"/>
    </w:p>
    <w:p w14:paraId="3A648EB2">
      <w:pPr>
        <w:pStyle w:val="28"/>
        <w:ind w:left="0" w:leftChars="0"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3.1.7</w:t>
      </w:r>
      <w:r>
        <w:rPr>
          <w:rFonts w:hint="eastAsia" w:ascii="仿宋" w:hAnsi="仿宋" w:eastAsia="仿宋" w:cs="仿宋"/>
          <w:color w:val="000000" w:themeColor="text1"/>
          <w:sz w:val="24"/>
          <w:szCs w:val="24"/>
          <w14:textFill>
            <w14:solidFill>
              <w14:schemeClr w14:val="tx1"/>
            </w14:solidFill>
          </w14:textFill>
        </w:rPr>
        <w:t xml:space="preserve"> 甲方有权委托第三方机构对广告发布效果进行审计，乙方应提供全部后台数据配合。</w:t>
      </w:r>
      <w:bookmarkEnd w:id="48"/>
    </w:p>
    <w:p w14:paraId="3EC30593">
      <w:pPr>
        <w:tabs>
          <w:tab w:val="left" w:pos="2565"/>
        </w:tabs>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3.2乙方权利与义务</w:t>
      </w:r>
    </w:p>
    <w:p w14:paraId="5AB9BA1C">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bookmarkStart w:id="49" w:name="_Hlk204012942"/>
      <w:r>
        <w:rPr>
          <w:rFonts w:hint="eastAsia" w:ascii="仿宋" w:hAnsi="仿宋" w:eastAsia="仿宋" w:cs="仿宋"/>
          <w:b/>
          <w:bCs/>
          <w:color w:val="000000" w:themeColor="text1"/>
          <w:sz w:val="24"/>
          <w:szCs w:val="24"/>
          <w14:textFill>
            <w14:solidFill>
              <w14:schemeClr w14:val="tx1"/>
            </w14:solidFill>
          </w14:textFill>
        </w:rPr>
        <w:t xml:space="preserve">3.2.1 </w:t>
      </w:r>
      <w:r>
        <w:rPr>
          <w:rFonts w:hint="eastAsia" w:ascii="仿宋" w:hAnsi="仿宋" w:eastAsia="仿宋" w:cs="仿宋"/>
          <w:color w:val="000000" w:themeColor="text1"/>
          <w:sz w:val="24"/>
          <w:szCs w:val="24"/>
          <w14:textFill>
            <w14:solidFill>
              <w14:schemeClr w14:val="tx1"/>
            </w14:solidFill>
          </w14:textFill>
        </w:rPr>
        <w:t>乙方给予甲方网络广告资源的配送，配送广告的执行同样遵守本合同。</w:t>
      </w:r>
    </w:p>
    <w:p w14:paraId="2225989E">
      <w:pPr>
        <w:tabs>
          <w:tab w:val="left" w:pos="1020"/>
        </w:tabs>
        <w:ind w:left="723"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3.2.2 </w:t>
      </w:r>
      <w:r>
        <w:rPr>
          <w:rFonts w:hint="eastAsia" w:ascii="仿宋" w:hAnsi="仿宋" w:eastAsia="仿宋" w:cs="仿宋"/>
          <w:color w:val="000000" w:themeColor="text1"/>
          <w:sz w:val="24"/>
          <w:szCs w:val="24"/>
          <w14:textFill>
            <w14:solidFill>
              <w14:schemeClr w14:val="tx1"/>
            </w14:solidFill>
          </w14:textFill>
        </w:rPr>
        <w:t>合同有效期内，广告价格、配送等的调整均需经甲乙双方协商一致。</w:t>
      </w:r>
    </w:p>
    <w:p w14:paraId="175CB413">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bookmarkStart w:id="50" w:name="auto_fouce_16"/>
      <w:r>
        <w:rPr>
          <w:rFonts w:hint="eastAsia" w:ascii="仿宋" w:hAnsi="仿宋" w:eastAsia="仿宋" w:cs="仿宋"/>
          <w:b/>
          <w:bCs/>
          <w:color w:val="000000" w:themeColor="text1"/>
          <w:sz w:val="24"/>
          <w:szCs w:val="24"/>
          <w14:textFill>
            <w14:solidFill>
              <w14:schemeClr w14:val="tx1"/>
            </w14:solidFill>
          </w14:textFill>
        </w:rPr>
        <w:t xml:space="preserve">3.2.3 </w:t>
      </w:r>
      <w:r>
        <w:rPr>
          <w:rFonts w:hint="eastAsia" w:ascii="仿宋" w:hAnsi="仿宋" w:eastAsia="仿宋" w:cs="仿宋"/>
          <w:color w:val="000000" w:themeColor="text1"/>
          <w:sz w:val="24"/>
          <w:szCs w:val="24"/>
          <w14:textFill>
            <w14:solidFill>
              <w14:schemeClr w14:val="tx1"/>
            </w14:solidFill>
          </w14:textFill>
        </w:rPr>
        <w:t>乙方应具有本合同所涉及媒体的合法广告发布权或广告发布代理权</w:t>
      </w:r>
      <w:r>
        <w:rPr>
          <w:rFonts w:hint="eastAsia" w:ascii="仿宋" w:hAnsi="仿宋" w:eastAsia="仿宋" w:cs="仿宋"/>
          <w:color w:val="000000" w:themeColor="text1"/>
          <w:sz w:val="24"/>
          <w:szCs w:val="24"/>
          <w:lang w:eastAsia="zh-CN"/>
          <w14:textFill>
            <w14:solidFill>
              <w14:schemeClr w14:val="tx1"/>
            </w14:solidFill>
          </w14:textFill>
        </w:rPr>
        <w:t>，并应向甲方提供相关资质证明</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若因乙方资质问题导致无法发布，乙方应承担全部责任并赔偿甲方合同价款30%的违约金，违约金不足以弥补甲方损失的，甲方有权继续向乙方追偿。</w:t>
      </w:r>
      <w:bookmarkEnd w:id="50"/>
    </w:p>
    <w:p w14:paraId="5A750C1A">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3.2.4 </w:t>
      </w:r>
      <w:r>
        <w:rPr>
          <w:rFonts w:hint="eastAsia" w:ascii="仿宋" w:hAnsi="仿宋" w:eastAsia="仿宋" w:cs="仿宋"/>
          <w:color w:val="000000" w:themeColor="text1"/>
          <w:sz w:val="24"/>
          <w:szCs w:val="24"/>
          <w14:textFill>
            <w14:solidFill>
              <w14:schemeClr w14:val="tx1"/>
            </w14:solidFill>
          </w14:textFill>
        </w:rPr>
        <w:t>乙方应切实履行广告申报审批备案工作，如因乙方原因未完成申报，或提供虚假批文而导致广告不能发布或发布后被撤换，</w:t>
      </w:r>
      <w:r>
        <w:rPr>
          <w:rFonts w:hint="eastAsia" w:ascii="仿宋" w:hAnsi="仿宋" w:eastAsia="仿宋" w:cs="仿宋"/>
          <w:color w:val="000000" w:themeColor="text1"/>
          <w:sz w:val="24"/>
          <w:szCs w:val="24"/>
          <w:lang w:eastAsia="zh-CN"/>
          <w14:textFill>
            <w14:solidFill>
              <w14:schemeClr w14:val="tx1"/>
            </w14:solidFill>
          </w14:textFill>
        </w:rPr>
        <w:t>乙方应承担全部责任并赔偿甲方合同价款30%的违约金，违约金不足以弥补甲方损失的，甲方有权继续向乙方追偿。</w:t>
      </w:r>
    </w:p>
    <w:p w14:paraId="575E1B0F">
      <w:pPr>
        <w:tabs>
          <w:tab w:val="left" w:pos="1020"/>
        </w:tabs>
        <w:ind w:left="720"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w:t>
      </w:r>
      <w:bookmarkStart w:id="51" w:name="auto_fouce_17"/>
      <w:r>
        <w:rPr>
          <w:rFonts w:hint="eastAsia" w:ascii="仿宋" w:hAnsi="仿宋" w:eastAsia="仿宋" w:cs="仿宋"/>
          <w:b/>
          <w:bCs/>
          <w:color w:val="000000" w:themeColor="text1"/>
          <w:sz w:val="24"/>
          <w:szCs w:val="24"/>
          <w14:textFill>
            <w14:solidFill>
              <w14:schemeClr w14:val="tx1"/>
            </w14:solidFill>
          </w14:textFill>
        </w:rPr>
        <w:t xml:space="preserve">3.2.5 </w:t>
      </w:r>
      <w:r>
        <w:rPr>
          <w:rFonts w:hint="eastAsia" w:ascii="仿宋" w:hAnsi="仿宋" w:eastAsia="仿宋" w:cs="仿宋"/>
          <w:color w:val="000000" w:themeColor="text1"/>
          <w:sz w:val="24"/>
          <w:szCs w:val="24"/>
          <w14:textFill>
            <w14:solidFill>
              <w14:schemeClr w14:val="tx1"/>
            </w14:solidFill>
          </w14:textFill>
        </w:rPr>
        <w:t>乙方具有对广告的实质性审查义务，并向甲方承担质量瑕疵担保责任。</w:t>
      </w:r>
      <w:r>
        <w:rPr>
          <w:rFonts w:hint="eastAsia" w:ascii="仿宋" w:hAnsi="仿宋" w:eastAsia="仿宋" w:cs="仿宋"/>
          <w:color w:val="000000" w:themeColor="text1"/>
          <w:sz w:val="24"/>
          <w:szCs w:val="24"/>
          <w:lang w:eastAsia="zh-CN"/>
          <w14:textFill>
            <w14:solidFill>
              <w14:schemeClr w14:val="tx1"/>
            </w14:solidFill>
          </w14:textFill>
        </w:rPr>
        <w:t>乙方承诺其审查标准不得低于市级市场监督管理部门广告审查标准，并应建立双人复核机制。</w:t>
      </w:r>
      <w:bookmarkEnd w:id="51"/>
      <w:r>
        <w:rPr>
          <w:rFonts w:hint="eastAsia" w:ascii="仿宋" w:hAnsi="仿宋" w:eastAsia="仿宋" w:cs="仿宋"/>
          <w:color w:val="000000" w:themeColor="text1"/>
          <w:sz w:val="24"/>
          <w:szCs w:val="24"/>
          <w:lang w:eastAsia="zh-CN"/>
          <w14:textFill>
            <w14:solidFill>
              <w14:schemeClr w14:val="tx1"/>
            </w14:solidFill>
          </w14:textFill>
        </w:rPr>
        <w:t xml:space="preserve"> </w:t>
      </w:r>
    </w:p>
    <w:bookmarkEnd w:id="49"/>
    <w:p w14:paraId="5040F194">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bookmarkStart w:id="52" w:name="_Hlk204013115"/>
      <w:r>
        <w:rPr>
          <w:rFonts w:hint="eastAsia" w:ascii="仿宋" w:hAnsi="仿宋" w:eastAsia="仿宋" w:cs="仿宋"/>
          <w:color w:val="000000" w:themeColor="text1"/>
          <w:sz w:val="24"/>
          <w:szCs w:val="24"/>
          <w14:textFill>
            <w14:solidFill>
              <w14:schemeClr w14:val="tx1"/>
            </w14:solidFill>
          </w14:textFill>
        </w:rPr>
        <w:t>实质性审查义务的内涵主要包括：</w:t>
      </w:r>
    </w:p>
    <w:p w14:paraId="6680A084">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乙方发布广告应以不违反相关广告法律法规为前提，其次方为满足甲方的具体要求；</w:t>
      </w:r>
    </w:p>
    <w:p w14:paraId="6F9ADB6A">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乙方对广告的内容及形式应进行实质性审查，并确保广告本身的合法合规性；</w:t>
      </w:r>
    </w:p>
    <w:p w14:paraId="22E06E31">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乙方应保证广告发布行为符合《广告法》等法律法规的具体要求。</w:t>
      </w:r>
    </w:p>
    <w:p w14:paraId="16F00ADF">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bookmarkStart w:id="53" w:name="auto_fouce_18"/>
      <w:r>
        <w:rPr>
          <w:rFonts w:hint="eastAsia" w:ascii="仿宋" w:hAnsi="仿宋" w:eastAsia="仿宋" w:cs="仿宋"/>
          <w:color w:val="000000" w:themeColor="text1"/>
          <w:sz w:val="24"/>
          <w:szCs w:val="24"/>
          <w14:textFill>
            <w14:solidFill>
              <w14:schemeClr w14:val="tx1"/>
            </w14:solidFill>
          </w14:textFill>
        </w:rPr>
        <w:t>乙方审查过程中发现广告存在上述风险，可能导致政府主管机关的行政处罚或批评等不利法律后果的，应书面告知甲方进行修订调整，且应立即暂停发布流程，甲方应予以配合。</w:t>
      </w:r>
      <w:bookmarkEnd w:id="53"/>
      <w:r>
        <w:rPr>
          <w:rFonts w:hint="eastAsia" w:ascii="仿宋" w:hAnsi="仿宋" w:eastAsia="仿宋" w:cs="仿宋"/>
          <w:color w:val="000000" w:themeColor="text1"/>
          <w:sz w:val="24"/>
          <w:szCs w:val="24"/>
          <w14:textFill>
            <w14:solidFill>
              <w14:schemeClr w14:val="tx1"/>
            </w14:solidFill>
          </w14:textFill>
        </w:rPr>
        <w:t>如甲方不按照乙方要求调整广告内容，乙方应以书面形式拒绝甲方发布要求并提供相关证明，履行上述义务后乙方无需承担违约责任，但不涉及上述情形的其他广告应按照合同约定及时发布。</w:t>
      </w:r>
    </w:p>
    <w:p w14:paraId="11DDC1EA">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发布广告之行为即视作乙方完成广告的实质性审查，并保证广告的内容、形式、发布主体、发布行为等不存在会被相关行政主管机关予以处罚的风险。本合同履行期间及本合同履行结束后，因广告内容或发布行为不具有合规性或不符合广告行政主管部门要求而受到行政处罚时，</w:t>
      </w:r>
      <w:bookmarkStart w:id="54" w:name="auto_fouce_19"/>
      <w:r>
        <w:rPr>
          <w:rFonts w:hint="eastAsia" w:ascii="仿宋" w:hAnsi="仿宋" w:eastAsia="仿宋" w:cs="仿宋"/>
          <w:color w:val="000000" w:themeColor="text1"/>
          <w:sz w:val="24"/>
          <w:szCs w:val="24"/>
          <w14:textFill>
            <w14:solidFill>
              <w14:schemeClr w14:val="tx1"/>
            </w14:solidFill>
          </w14:textFill>
        </w:rPr>
        <w:t>乙方应无条件按照行政处罚机关决定处罚金额两倍向甲方承担违约责任，如甲方仍有其他损失未受偿付的，乙方还应按照甲方实际损失承担赔偿责任。</w:t>
      </w:r>
      <w:bookmarkEnd w:id="54"/>
    </w:p>
    <w:p w14:paraId="0364EAA1">
      <w:pPr>
        <w:tabs>
          <w:tab w:val="left" w:pos="1020"/>
        </w:tabs>
        <w:ind w:left="720" w:hanging="720" w:hanging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本合同履行期间，甲方对广告内容及乙方发布行为的确认或同意，不视为对乙方实质性审查义务、质量瑕疵担保责任的任何减轻及豁免。</w:t>
      </w:r>
    </w:p>
    <w:bookmarkEnd w:id="52"/>
    <w:p w14:paraId="5189D3F1">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bookmarkStart w:id="55" w:name="auto_fouce_20"/>
      <w:r>
        <w:rPr>
          <w:rFonts w:hint="eastAsia" w:ascii="仿宋" w:hAnsi="仿宋" w:eastAsia="仿宋" w:cs="仿宋"/>
          <w:b/>
          <w:bCs/>
          <w:color w:val="000000" w:themeColor="text1"/>
          <w:sz w:val="24"/>
          <w:szCs w:val="24"/>
          <w14:textFill>
            <w14:solidFill>
              <w14:schemeClr w14:val="tx1"/>
            </w14:solidFill>
          </w14:textFill>
        </w:rPr>
        <w:t xml:space="preserve">3.2.6 </w:t>
      </w:r>
      <w:r>
        <w:rPr>
          <w:rFonts w:hint="eastAsia" w:ascii="仿宋" w:hAnsi="仿宋" w:eastAsia="仿宋" w:cs="仿宋"/>
          <w:color w:val="000000" w:themeColor="text1"/>
          <w:sz w:val="24"/>
          <w:szCs w:val="24"/>
          <w14:textFill>
            <w14:solidFill>
              <w14:schemeClr w14:val="tx1"/>
            </w14:solidFill>
          </w14:textFill>
        </w:rPr>
        <w:t>乙方根据当月《广告发布排期单》完成所有广告的上刊后十个工作日内提交上刊广告的截屏及服务报告供甲方验收，甲方应在15日内确认或提出异议。</w:t>
      </w:r>
      <w:bookmarkStart w:id="56" w:name="_Hlk204013156"/>
      <w:r>
        <w:rPr>
          <w:rFonts w:hint="eastAsia" w:ascii="仿宋" w:hAnsi="仿宋" w:eastAsia="仿宋" w:cs="仿宋"/>
          <w:color w:val="000000" w:themeColor="text1"/>
          <w:sz w:val="24"/>
          <w:szCs w:val="24"/>
          <w:lang w:eastAsia="zh-CN"/>
          <w14:textFill>
            <w14:solidFill>
              <w14:schemeClr w14:val="tx1"/>
            </w14:solidFill>
          </w14:textFill>
        </w:rPr>
        <w:t>甲方提出异议后，乙方应在48小时内完成整改并重新提交验收，每延迟1小时按合同总金额0.1%计付违约金。</w:t>
      </w:r>
      <w:bookmarkEnd w:id="55"/>
    </w:p>
    <w:bookmarkEnd w:id="56"/>
    <w:p w14:paraId="2F9499E5">
      <w:pPr>
        <w:tabs>
          <w:tab w:val="left" w:pos="1020"/>
        </w:tabs>
        <w:ind w:left="723" w:hanging="720" w:hangingChars="300"/>
        <w:rPr>
          <w:rFonts w:hint="eastAsia" w:ascii="仿宋" w:hAnsi="仿宋" w:eastAsia="仿宋" w:cs="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3.2.7 </w:t>
      </w:r>
      <w:bookmarkStart w:id="57" w:name="_Hlk204013627"/>
      <w:r>
        <w:rPr>
          <w:rFonts w:hint="eastAsia" w:ascii="仿宋" w:hAnsi="仿宋" w:eastAsia="仿宋" w:cs="仿宋"/>
          <w:color w:val="000000" w:themeColor="text1"/>
          <w:sz w:val="24"/>
          <w:szCs w:val="24"/>
          <w14:textFill>
            <w14:solidFill>
              <w14:schemeClr w14:val="tx1"/>
            </w14:solidFill>
          </w14:textFill>
        </w:rPr>
        <w:t>负面舆情预控：乙方需安排专人实时监督并控制网站内出现关于甲方的不利消息，</w:t>
      </w:r>
      <w:bookmarkStart w:id="58" w:name="auto_fouce_21"/>
      <w:r>
        <w:rPr>
          <w:rFonts w:hint="eastAsia" w:ascii="仿宋" w:hAnsi="仿宋" w:eastAsia="仿宋" w:cs="仿宋"/>
          <w:color w:val="000000" w:themeColor="text1"/>
          <w:sz w:val="24"/>
          <w:szCs w:val="24"/>
          <w14:textFill>
            <w14:solidFill>
              <w14:schemeClr w14:val="tx1"/>
            </w14:solidFill>
          </w14:textFill>
        </w:rPr>
        <w:t>若有发现应</w:t>
      </w:r>
      <w:r>
        <w:rPr>
          <w:rFonts w:hint="eastAsia" w:ascii="仿宋" w:hAnsi="仿宋" w:eastAsia="仿宋" w:cs="仿宋"/>
          <w:color w:val="000000" w:themeColor="text1"/>
          <w:sz w:val="24"/>
          <w:szCs w:val="24"/>
          <w:lang w:eastAsia="zh-CN"/>
          <w14:textFill>
            <w14:solidFill>
              <w14:schemeClr w14:val="tx1"/>
            </w14:solidFill>
          </w14:textFill>
        </w:rPr>
        <w:t>立即采取技术措施屏蔽相关信息，并在发现后1小</w:t>
      </w:r>
      <w:r>
        <w:rPr>
          <w:rFonts w:hint="eastAsia" w:ascii="仿宋" w:hAnsi="仿宋" w:eastAsia="仿宋" w:cs="仿宋"/>
          <w:color w:val="000000" w:themeColor="text1"/>
          <w:sz w:val="24"/>
          <w:szCs w:val="24"/>
          <w14:textFill>
            <w14:solidFill>
              <w14:schemeClr w14:val="tx1"/>
            </w14:solidFill>
          </w14:textFill>
        </w:rPr>
        <w:t>时</w:t>
      </w:r>
      <w:r>
        <w:rPr>
          <w:rFonts w:hint="eastAsia" w:ascii="仿宋" w:hAnsi="仿宋" w:eastAsia="仿宋" w:cs="仿宋"/>
          <w:color w:val="000000" w:themeColor="text1"/>
          <w:sz w:val="24"/>
          <w:szCs w:val="24"/>
          <w:lang w:eastAsia="zh-CN"/>
          <w14:textFill>
            <w14:solidFill>
              <w14:schemeClr w14:val="tx1"/>
            </w14:solidFill>
          </w14:textFill>
        </w:rPr>
        <w:t>内书面</w:t>
      </w:r>
      <w:r>
        <w:rPr>
          <w:rFonts w:hint="eastAsia" w:ascii="仿宋" w:hAnsi="仿宋" w:eastAsia="仿宋" w:cs="仿宋"/>
          <w:color w:val="000000" w:themeColor="text1"/>
          <w:sz w:val="24"/>
          <w:szCs w:val="24"/>
          <w14:textFill>
            <w14:solidFill>
              <w14:schemeClr w14:val="tx1"/>
            </w14:solidFill>
          </w14:textFill>
        </w:rPr>
        <w:t>通知甲方</w:t>
      </w:r>
      <w:r>
        <w:rPr>
          <w:rFonts w:hint="eastAsia" w:ascii="仿宋" w:hAnsi="仿宋" w:eastAsia="仿宋" w:cs="仿宋"/>
          <w:color w:val="000000" w:themeColor="text1"/>
          <w:sz w:val="24"/>
          <w:szCs w:val="24"/>
          <w:lang w:eastAsia="zh-CN"/>
          <w14:textFill>
            <w14:solidFill>
              <w14:schemeClr w14:val="tx1"/>
            </w14:solidFill>
          </w14:textFill>
        </w:rPr>
        <w:t>。接到甲方指令后，应在1小时内</w:t>
      </w:r>
      <w:r>
        <w:rPr>
          <w:rFonts w:hint="eastAsia" w:ascii="仿宋" w:hAnsi="仿宋" w:eastAsia="仿宋" w:cs="仿宋"/>
          <w:color w:val="000000" w:themeColor="text1"/>
          <w:sz w:val="24"/>
          <w:szCs w:val="24"/>
          <w14:textFill>
            <w14:solidFill>
              <w14:schemeClr w14:val="tx1"/>
            </w14:solidFill>
          </w14:textFill>
        </w:rPr>
        <w:t>按甲方处理意见对不利消息进行删除、正面引导或屏蔽</w:t>
      </w:r>
      <w:r>
        <w:rPr>
          <w:rFonts w:hint="eastAsia" w:ascii="仿宋" w:hAnsi="仿宋" w:eastAsia="仿宋" w:cs="仿宋"/>
          <w:sz w:val="24"/>
          <w:szCs w:val="24"/>
        </w:rPr>
        <w:t>。</w:t>
      </w:r>
      <w:bookmarkEnd w:id="58"/>
      <w:r>
        <w:rPr>
          <w:rFonts w:hint="eastAsia" w:ascii="仿宋" w:hAnsi="仿宋" w:eastAsia="仿宋" w:cs="仿宋"/>
          <w:sz w:val="24"/>
          <w:szCs w:val="24"/>
          <w:lang w:eastAsia="zh-CN"/>
        </w:rPr>
        <w:t>因乙方处置不力导致负面信息扩大、甲方损失的，乙方应承担全部赔偿责任。</w:t>
      </w:r>
    </w:p>
    <w:p w14:paraId="72E0BBC2">
      <w:pPr>
        <w:tabs>
          <w:tab w:val="left" w:pos="1020"/>
        </w:tabs>
        <w:ind w:left="723"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3.2.8 </w:t>
      </w:r>
      <w:bookmarkStart w:id="59" w:name="auto_fouce_22"/>
      <w:r>
        <w:rPr>
          <w:rFonts w:hint="eastAsia" w:ascii="仿宋" w:hAnsi="仿宋" w:eastAsia="仿宋" w:cs="仿宋"/>
          <w:color w:val="000000" w:themeColor="text1"/>
          <w:sz w:val="24"/>
          <w:szCs w:val="24"/>
          <w14:textFill>
            <w14:solidFill>
              <w14:schemeClr w14:val="tx1"/>
            </w14:solidFill>
          </w14:textFill>
        </w:rPr>
        <w:t>乙方应按照甲方的要求</w:t>
      </w:r>
      <w:r>
        <w:rPr>
          <w:rFonts w:hint="eastAsia" w:ascii="仿宋" w:hAnsi="仿宋" w:eastAsia="仿宋" w:cs="仿宋"/>
          <w:color w:val="000000" w:themeColor="text1"/>
          <w:sz w:val="24"/>
          <w:szCs w:val="24"/>
          <w:lang w:eastAsia="zh-CN"/>
          <w14:textFill>
            <w14:solidFill>
              <w14:schemeClr w14:val="tx1"/>
            </w14:solidFill>
          </w14:textFill>
        </w:rPr>
        <w:t>在指定时间</w:t>
      </w:r>
      <w:r>
        <w:rPr>
          <w:rFonts w:hint="eastAsia" w:ascii="仿宋" w:hAnsi="仿宋" w:eastAsia="仿宋" w:cs="仿宋"/>
          <w:color w:val="000000" w:themeColor="text1"/>
          <w:sz w:val="24"/>
          <w:szCs w:val="24"/>
          <w14:textFill>
            <w14:solidFill>
              <w14:schemeClr w14:val="tx1"/>
            </w14:solidFill>
          </w14:textFill>
        </w:rPr>
        <w:t>提供广告投放效果监测报告，对广告发布效果进行分析评估并提供相关优化建议。</w:t>
      </w:r>
      <w:bookmarkStart w:id="60" w:name="auto_fouce_24"/>
    </w:p>
    <w:bookmarkEnd w:id="60"/>
    <w:p w14:paraId="328FEBF3">
      <w:pPr>
        <w:tabs>
          <w:tab w:val="left" w:pos="1020"/>
        </w:tabs>
        <w:ind w:left="720" w:hanging="720" w:hangingChars="300"/>
        <w:rPr>
          <w:rFonts w:hint="eastAsia" w:ascii="仿宋" w:hAnsi="仿宋" w:eastAsia="仿宋" w:cs="仿宋"/>
          <w:color w:val="000000" w:themeColor="text1"/>
          <w:sz w:val="24"/>
          <w:szCs w:val="24"/>
          <w:lang w:eastAsia="zh-CN"/>
          <w14:textFill>
            <w14:solidFill>
              <w14:schemeClr w14:val="tx1"/>
            </w14:solidFill>
          </w14:textFill>
        </w:rPr>
      </w:pPr>
      <w:bookmarkStart w:id="61" w:name="auto_fouce_25"/>
      <w:r>
        <w:rPr>
          <w:rFonts w:hint="eastAsia" w:ascii="仿宋" w:hAnsi="仿宋" w:eastAsia="仿宋" w:cs="仿宋"/>
          <w:color w:val="000000" w:themeColor="text1"/>
          <w:sz w:val="24"/>
          <w:szCs w:val="24"/>
          <w14:textFill>
            <w14:solidFill>
              <w14:schemeClr w14:val="tx1"/>
            </w14:solidFill>
          </w14:textFill>
        </w:rPr>
        <w:t>3.2.9</w:t>
      </w:r>
      <w:r>
        <w:rPr>
          <w:rFonts w:hint="eastAsia" w:ascii="仿宋" w:hAnsi="仿宋" w:eastAsia="仿宋" w:cs="仿宋"/>
          <w:color w:val="000000" w:themeColor="text1"/>
          <w:sz w:val="24"/>
          <w:szCs w:val="24"/>
          <w:lang w:eastAsia="zh-CN"/>
          <w14:textFill>
            <w14:solidFill>
              <w14:schemeClr w14:val="tx1"/>
            </w14:solidFill>
          </w14:textFill>
        </w:rPr>
        <w:t>乙方应建立7×24小时应急响应机制，在接到甲方修改指令后2小时内完成广告内容调整。</w:t>
      </w:r>
      <w:bookmarkEnd w:id="61"/>
      <w:r>
        <w:rPr>
          <w:rFonts w:hint="eastAsia" w:ascii="仿宋" w:hAnsi="仿宋" w:eastAsia="仿宋" w:cs="仿宋"/>
          <w:color w:val="000000" w:themeColor="text1"/>
          <w:sz w:val="24"/>
          <w:szCs w:val="24"/>
          <w:lang w:eastAsia="zh-CN"/>
          <w14:textFill>
            <w14:solidFill>
              <w14:schemeClr w14:val="tx1"/>
            </w14:solidFill>
          </w14:textFill>
        </w:rPr>
        <w:t xml:space="preserve"> </w:t>
      </w:r>
      <w:bookmarkStart w:id="62" w:name="auto_fouce_23"/>
    </w:p>
    <w:p w14:paraId="565BA776">
      <w:pPr>
        <w:tabs>
          <w:tab w:val="left" w:pos="1020"/>
        </w:tabs>
        <w:ind w:left="720" w:hanging="720" w:hanging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w:t>
      </w:r>
      <w:r>
        <w:rPr>
          <w:rFonts w:hint="eastAsia" w:ascii="仿宋" w:hAnsi="仿宋" w:eastAsia="仿宋" w:cs="仿宋"/>
          <w:color w:val="000000" w:themeColor="text1"/>
          <w:sz w:val="24"/>
          <w:szCs w:val="24"/>
          <w:lang w:eastAsia="zh-CN"/>
          <w14:textFill>
            <w14:solidFill>
              <w14:schemeClr w14:val="tx1"/>
            </w14:solidFill>
          </w14:textFill>
        </w:rPr>
        <w:t>广告效果保证：</w:t>
      </w:r>
      <w:r>
        <w:rPr>
          <w:rFonts w:hint="eastAsia" w:ascii="仿宋" w:hAnsi="仿宋" w:eastAsia="仿宋" w:cs="仿宋"/>
          <w:color w:val="000000" w:themeColor="text1"/>
          <w:sz w:val="24"/>
          <w:szCs w:val="24"/>
          <w:highlight w:val="yellow"/>
          <w:lang w:eastAsia="zh-CN"/>
          <w14:textFill>
            <w14:solidFill>
              <w14:schemeClr w14:val="tx1"/>
            </w14:solidFill>
          </w14:textFill>
        </w:rPr>
        <w:t>乙方承诺广告投放期间曝光量不低于</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__ __</w:t>
      </w:r>
      <w:r>
        <w:rPr>
          <w:rFonts w:hint="eastAsia" w:ascii="仿宋" w:hAnsi="仿宋" w:eastAsia="仿宋" w:cs="仿宋"/>
          <w:color w:val="000000" w:themeColor="text1"/>
          <w:sz w:val="24"/>
          <w:szCs w:val="24"/>
          <w:highlight w:val="yellow"/>
          <w:lang w:eastAsia="zh-CN"/>
          <w14:textFill>
            <w14:solidFill>
              <w14:schemeClr w14:val="tx1"/>
            </w14:solidFill>
          </w14:textFill>
        </w:rPr>
        <w:t>次，</w:t>
      </w:r>
      <w:r>
        <w:rPr>
          <w:rFonts w:hint="eastAsia" w:ascii="仿宋" w:hAnsi="仿宋" w:eastAsia="仿宋" w:cs="仿宋"/>
          <w:color w:val="000000" w:themeColor="text1"/>
          <w:sz w:val="24"/>
          <w:szCs w:val="24"/>
          <w:lang w:eastAsia="zh-CN"/>
          <w14:textFill>
            <w14:solidFill>
              <w14:schemeClr w14:val="tx1"/>
            </w14:solidFill>
          </w14:textFill>
        </w:rPr>
        <w:t>实际效果未达承诺指标的，应按比例扣减广告费用。</w:t>
      </w:r>
      <w:bookmarkEnd w:id="62"/>
      <w:r>
        <w:rPr>
          <w:rFonts w:hint="eastAsia" w:ascii="仿宋" w:hAnsi="仿宋" w:eastAsia="仿宋" w:cs="仿宋"/>
          <w:color w:val="000000" w:themeColor="text1"/>
          <w:sz w:val="24"/>
          <w:szCs w:val="24"/>
          <w:lang w:eastAsia="zh-CN"/>
          <w14:textFill>
            <w14:solidFill>
              <w14:schemeClr w14:val="tx1"/>
            </w14:solidFill>
          </w14:textFill>
        </w:rPr>
        <w:t xml:space="preserve"> 因乙方未履行3.2.7条负面舆情管控义务导致甲方损失的，应按单个舆情事件支付合同总价5%的违约金，累计不超过30%。乙方未按3.2.8条提供效果监测报告的，每延迟一日按合同总金额0.1%支付违约金。甲方有权根据效果要求乙方进行优化调整，乙方应无条件配合。</w:t>
      </w:r>
      <w:bookmarkEnd w:id="59"/>
    </w:p>
    <w:bookmarkEnd w:id="57"/>
    <w:p w14:paraId="15344013">
      <w:pPr>
        <w:pStyle w:val="28"/>
        <w:rPr>
          <w:rFonts w:hint="eastAsia" w:ascii="仿宋" w:hAnsi="仿宋" w:eastAsia="仿宋" w:cs="仿宋"/>
          <w:color w:val="000000" w:themeColor="text1"/>
          <w:sz w:val="24"/>
          <w:szCs w:val="24"/>
          <w14:textFill>
            <w14:solidFill>
              <w14:schemeClr w14:val="tx1"/>
            </w14:solidFill>
          </w14:textFill>
        </w:rPr>
      </w:pPr>
    </w:p>
    <w:p w14:paraId="108AC317">
      <w:p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第四条 违约责任及免责</w:t>
      </w:r>
    </w:p>
    <w:p w14:paraId="366B06F3">
      <w:pPr>
        <w:ind w:left="482" w:hanging="480" w:hangingChars="200"/>
        <w:rPr>
          <w:rFonts w:hint="eastAsia" w:ascii="仿宋" w:hAnsi="仿宋" w:eastAsia="仿宋" w:cs="仿宋"/>
          <w:color w:val="000000" w:themeColor="text1"/>
          <w:sz w:val="24"/>
          <w:szCs w:val="24"/>
          <w:lang w:eastAsia="zh-CN"/>
          <w14:textFill>
            <w14:solidFill>
              <w14:schemeClr w14:val="tx1"/>
            </w14:solidFill>
          </w14:textFill>
        </w:rPr>
      </w:pPr>
      <w:bookmarkStart w:id="63" w:name="auto_fouce_26"/>
      <w:r>
        <w:rPr>
          <w:rFonts w:hint="eastAsia" w:ascii="仿宋" w:hAnsi="仿宋" w:eastAsia="仿宋" w:cs="仿宋"/>
          <w:b/>
          <w:color w:val="000000" w:themeColor="text1"/>
          <w:sz w:val="24"/>
          <w:szCs w:val="24"/>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甲方应该按照约定的付款方式支付乙方广告费，甲方无正当理由逾期付款超过1</w:t>
      </w: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天，且经乙方书面提示后甲方仍未付款的，乙方有权停止继续发布广告并终止本协议。</w:t>
      </w:r>
      <w:r>
        <w:rPr>
          <w:rFonts w:hint="eastAsia" w:ascii="仿宋" w:hAnsi="仿宋" w:eastAsia="仿宋" w:cs="仿宋"/>
          <w:color w:val="000000" w:themeColor="text1"/>
          <w:sz w:val="24"/>
          <w:szCs w:val="24"/>
          <w:lang w:eastAsia="zh-CN"/>
          <w14:textFill>
            <w14:solidFill>
              <w14:schemeClr w14:val="tx1"/>
            </w14:solidFill>
          </w14:textFill>
        </w:rPr>
        <w:t>乙方不得因甲方轻微延迟付款而单方解除合同或停止服务。</w:t>
      </w:r>
      <w:bookmarkEnd w:id="63"/>
    </w:p>
    <w:p w14:paraId="42F65798">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如乙方逾期发布标的广告，每延误一日，乙方应按逾期发布广告结算价格万分之五/天向甲方承担违约金。逾期累计延误超过十日</w:t>
      </w:r>
      <w:bookmarkStart w:id="64" w:name="_Hlk204013766"/>
      <w:r>
        <w:rPr>
          <w:rFonts w:hint="eastAsia" w:ascii="仿宋" w:hAnsi="仿宋" w:eastAsia="仿宋" w:cs="仿宋"/>
          <w:color w:val="000000" w:themeColor="text1"/>
          <w:sz w:val="24"/>
          <w:szCs w:val="24"/>
          <w14:textFill>
            <w14:solidFill>
              <w14:schemeClr w14:val="tx1"/>
            </w14:solidFill>
          </w14:textFill>
        </w:rPr>
        <w:t>，且经甲方书面提示后乙方仍未整改的，甲方有权解除本合同，</w:t>
      </w:r>
      <w:bookmarkStart w:id="65" w:name="auto_fouce_27"/>
      <w:r>
        <w:rPr>
          <w:rFonts w:hint="eastAsia" w:ascii="仿宋" w:hAnsi="仿宋" w:eastAsia="仿宋" w:cs="仿宋"/>
          <w:color w:val="000000" w:themeColor="text1"/>
          <w:sz w:val="24"/>
          <w:szCs w:val="24"/>
          <w14:textFill>
            <w14:solidFill>
              <w14:schemeClr w14:val="tx1"/>
            </w14:solidFill>
          </w14:textFill>
        </w:rPr>
        <w:t>乙方应退还甲方已支付款项，并按合同总金额</w:t>
      </w:r>
      <w:r>
        <w:rPr>
          <w:rFonts w:hint="eastAsia" w:ascii="仿宋" w:hAnsi="仿宋" w:eastAsia="仿宋" w:cs="仿宋"/>
          <w:color w:val="000000" w:themeColor="text1"/>
          <w:sz w:val="24"/>
          <w:szCs w:val="24"/>
          <w:u w:val="single"/>
          <w:lang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%向甲方</w:t>
      </w:r>
      <w:r>
        <w:rPr>
          <w:rFonts w:hint="eastAsia" w:ascii="仿宋" w:hAnsi="仿宋" w:eastAsia="仿宋" w:cs="仿宋"/>
          <w:color w:val="000000" w:themeColor="text1"/>
          <w:sz w:val="24"/>
          <w:szCs w:val="24"/>
          <w:lang w:eastAsia="zh-CN"/>
          <w14:textFill>
            <w14:solidFill>
              <w14:schemeClr w14:val="tx1"/>
            </w14:solidFill>
          </w14:textFill>
        </w:rPr>
        <w:t>支付</w:t>
      </w:r>
      <w:r>
        <w:rPr>
          <w:rFonts w:hint="eastAsia" w:ascii="仿宋" w:hAnsi="仿宋" w:eastAsia="仿宋" w:cs="仿宋"/>
          <w:color w:val="000000" w:themeColor="text1"/>
          <w:sz w:val="24"/>
          <w:szCs w:val="24"/>
          <w14:textFill>
            <w14:solidFill>
              <w14:schemeClr w14:val="tx1"/>
            </w14:solidFill>
          </w14:textFill>
        </w:rPr>
        <w:t>违约</w:t>
      </w:r>
      <w:r>
        <w:rPr>
          <w:rFonts w:hint="eastAsia" w:ascii="仿宋" w:hAnsi="仿宋" w:eastAsia="仿宋" w:cs="仿宋"/>
          <w:color w:val="000000" w:themeColor="text1"/>
          <w:sz w:val="24"/>
          <w:szCs w:val="24"/>
          <w:lang w:eastAsia="zh-CN"/>
          <w14:textFill>
            <w14:solidFill>
              <w14:schemeClr w14:val="tx1"/>
            </w14:solidFill>
          </w14:textFill>
        </w:rPr>
        <w:t>金，且不排除甲方主张实际损失赔偿</w:t>
      </w:r>
      <w:r>
        <w:rPr>
          <w:rFonts w:hint="eastAsia" w:ascii="仿宋" w:hAnsi="仿宋" w:eastAsia="仿宋" w:cs="仿宋"/>
          <w:color w:val="000000" w:themeColor="text1"/>
          <w:sz w:val="24"/>
          <w:szCs w:val="24"/>
          <w14:textFill>
            <w14:solidFill>
              <w14:schemeClr w14:val="tx1"/>
            </w14:solidFill>
          </w14:textFill>
        </w:rPr>
        <w:t>的权利。</w:t>
      </w:r>
      <w:bookmarkEnd w:id="65"/>
    </w:p>
    <w:bookmarkEnd w:id="64"/>
    <w:p w14:paraId="7F8B2859">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4.3</w:t>
      </w:r>
      <w:bookmarkStart w:id="66" w:name="auto_fouce_28"/>
      <w:bookmarkStart w:id="67" w:name="_Hlk204013817"/>
      <w:r>
        <w:rPr>
          <w:rFonts w:hint="eastAsia" w:ascii="仿宋" w:hAnsi="仿宋" w:eastAsia="仿宋" w:cs="仿宋"/>
          <w:color w:val="000000" w:themeColor="text1"/>
          <w:sz w:val="24"/>
          <w:szCs w:val="24"/>
          <w14:textFill>
            <w14:solidFill>
              <w14:schemeClr w14:val="tx1"/>
            </w14:solidFill>
          </w14:textFill>
        </w:rPr>
        <w:t>因不可抗力、互联网灾难、网站遭遇不法攻击及电力、电信等第三方部门故障等非乙方主观原因情形致使广告无法按约定发布的，</w:t>
      </w:r>
      <w:r>
        <w:rPr>
          <w:rFonts w:hint="eastAsia" w:ascii="仿宋" w:hAnsi="仿宋" w:eastAsia="仿宋" w:cs="仿宋"/>
          <w:color w:val="000000" w:themeColor="text1"/>
          <w:sz w:val="24"/>
          <w:szCs w:val="24"/>
          <w:lang w:eastAsia="zh-CN"/>
          <w14:textFill>
            <w14:solidFill>
              <w14:schemeClr w14:val="tx1"/>
            </w14:solidFill>
          </w14:textFill>
        </w:rPr>
        <w:t>且</w:t>
      </w:r>
      <w:r>
        <w:rPr>
          <w:rFonts w:hint="eastAsia" w:ascii="仿宋" w:hAnsi="仿宋" w:eastAsia="仿宋" w:cs="仿宋"/>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lang w:eastAsia="zh-CN"/>
          <w14:textFill>
            <w14:solidFill>
              <w14:schemeClr w14:val="tx1"/>
            </w14:solidFill>
          </w14:textFill>
        </w:rPr>
        <w:t>应在事发后24小时内提供权威机构证明文件，乙方</w:t>
      </w:r>
      <w:r>
        <w:rPr>
          <w:rFonts w:hint="eastAsia" w:ascii="仿宋" w:hAnsi="仿宋" w:eastAsia="仿宋" w:cs="仿宋"/>
          <w:color w:val="000000" w:themeColor="text1"/>
          <w:sz w:val="24"/>
          <w:szCs w:val="24"/>
          <w14:textFill>
            <w14:solidFill>
              <w14:schemeClr w14:val="tx1"/>
            </w14:solidFill>
          </w14:textFill>
        </w:rPr>
        <w:t>不承担违约责任，未完成的发布事宜可由甲乙双方协商解决。</w:t>
      </w:r>
      <w:bookmarkEnd w:id="66"/>
    </w:p>
    <w:p w14:paraId="1897DF23">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4.4</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因乙方原因造成广告未能按约发布的，如错发、漏发等除延期发布以外的违约情形，</w:t>
      </w:r>
      <w:bookmarkStart w:id="68" w:name="auto_fouce_29"/>
      <w:r>
        <w:rPr>
          <w:rFonts w:hint="eastAsia" w:ascii="仿宋" w:hAnsi="仿宋" w:eastAsia="仿宋" w:cs="仿宋"/>
          <w:color w:val="000000" w:themeColor="text1"/>
          <w:sz w:val="24"/>
          <w:szCs w:val="24"/>
          <w14:textFill>
            <w14:solidFill>
              <w14:schemeClr w14:val="tx1"/>
            </w14:solidFill>
          </w14:textFill>
        </w:rPr>
        <w:t>甲方有权要求乙方将违约发布广告内容（内容可根据甲方要求无条件更换）按照约定的位置及方式、约定发布时间的二倍时间重新发布，且赔偿给甲方造成的</w:t>
      </w:r>
      <w:r>
        <w:rPr>
          <w:rFonts w:hint="eastAsia" w:ascii="仿宋" w:hAnsi="仿宋" w:eastAsia="仿宋" w:cs="仿宋"/>
          <w:color w:val="000000" w:themeColor="text1"/>
          <w:sz w:val="24"/>
          <w:szCs w:val="24"/>
          <w:lang w:eastAsia="zh-CN"/>
          <w14:textFill>
            <w14:solidFill>
              <w14:schemeClr w14:val="tx1"/>
            </w14:solidFill>
          </w14:textFill>
        </w:rPr>
        <w:t>全部实际</w:t>
      </w:r>
      <w:r>
        <w:rPr>
          <w:rFonts w:hint="eastAsia" w:ascii="仿宋" w:hAnsi="仿宋" w:eastAsia="仿宋" w:cs="仿宋"/>
          <w:color w:val="000000" w:themeColor="text1"/>
          <w:sz w:val="24"/>
          <w:szCs w:val="24"/>
          <w14:textFill>
            <w14:solidFill>
              <w14:schemeClr w14:val="tx1"/>
            </w14:solidFill>
          </w14:textFill>
        </w:rPr>
        <w:t>损失。</w:t>
      </w:r>
      <w:r>
        <w:rPr>
          <w:rFonts w:hint="eastAsia" w:ascii="仿宋" w:hAnsi="仿宋" w:eastAsia="仿宋" w:cs="仿宋"/>
          <w:color w:val="000000" w:themeColor="text1"/>
          <w:sz w:val="24"/>
          <w:szCs w:val="24"/>
          <w:lang w:eastAsia="zh-CN"/>
          <w14:textFill>
            <w14:solidFill>
              <w14:schemeClr w14:val="tx1"/>
            </w14:solidFill>
          </w14:textFill>
        </w:rPr>
        <w:t>补发时间不得影响甲方原定宣传计划，甲方有权要求更换内容。每发生一次错发、漏发情形，乙方应另行支付该次广告费用30%的违约金。</w:t>
      </w:r>
      <w:bookmarkEnd w:id="68"/>
    </w:p>
    <w:p w14:paraId="1557FE7C">
      <w:pPr>
        <w:pStyle w:val="28"/>
        <w:spacing w:line="360" w:lineRule="auto"/>
        <w:ind w:left="0" w:leftChars="0" w:firstLine="482"/>
        <w:rPr>
          <w:ins w:id="0" w:author="律师 牛" w:date="2025-07-17T17:48: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4.5 </w:t>
      </w:r>
      <w:r>
        <w:rPr>
          <w:rFonts w:hint="eastAsia" w:ascii="仿宋" w:hAnsi="仿宋" w:eastAsia="仿宋" w:cs="仿宋"/>
          <w:color w:val="000000" w:themeColor="text1"/>
          <w:sz w:val="24"/>
          <w:szCs w:val="24"/>
          <w14:textFill>
            <w14:solidFill>
              <w14:schemeClr w14:val="tx1"/>
            </w14:solidFill>
          </w14:textFill>
        </w:rPr>
        <w:t>乙方应承担甲方为主张因乙方违约造成的损失所实际支出的费用（包括但不限于诉讼费、律师代理费、公证费用、保全费用等）。本协议项下违约金不足以弥补甲方损失的，乙方还应赔偿不足部分损失。</w:t>
      </w:r>
    </w:p>
    <w:bookmarkEnd w:id="67"/>
    <w:p w14:paraId="6BCA9A6F">
      <w:pPr>
        <w:pStyle w:val="28"/>
        <w:rPr>
          <w:color w:val="000000" w:themeColor="text1"/>
          <w14:textFill>
            <w14:solidFill>
              <w14:schemeClr w14:val="tx1"/>
            </w14:solidFill>
          </w14:textFill>
        </w:rPr>
      </w:pPr>
    </w:p>
    <w:p w14:paraId="569387CA">
      <w:pPr>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第五条 知识产权及保密</w:t>
      </w:r>
    </w:p>
    <w:p w14:paraId="74CD26C6">
      <w:pPr>
        <w:tabs>
          <w:tab w:val="left" w:pos="1020"/>
        </w:tabs>
        <w:ind w:left="482" w:hanging="480" w:hangingChars="200"/>
        <w:rPr>
          <w:rFonts w:hint="eastAsia" w:ascii="仿宋" w:hAnsi="仿宋" w:eastAsia="仿宋" w:cs="仿宋"/>
          <w:color w:val="000000" w:themeColor="text1"/>
          <w:sz w:val="24"/>
          <w:szCs w:val="24"/>
          <w:lang w:eastAsia="zh-CN"/>
          <w14:textFill>
            <w14:solidFill>
              <w14:schemeClr w14:val="tx1"/>
            </w14:solidFill>
          </w14:textFill>
        </w:rPr>
      </w:pPr>
      <w:bookmarkStart w:id="69" w:name="auto_fouce_30"/>
      <w:r>
        <w:rPr>
          <w:rFonts w:hint="eastAsia" w:ascii="仿宋" w:hAnsi="仿宋" w:eastAsia="仿宋" w:cs="仿宋"/>
          <w:b/>
          <w:color w:val="000000" w:themeColor="text1"/>
          <w:sz w:val="24"/>
          <w:szCs w:val="24"/>
          <w14:textFill>
            <w14:solidFill>
              <w14:schemeClr w14:val="tx1"/>
            </w14:solidFill>
          </w14:textFill>
        </w:rPr>
        <w:t>5.1</w:t>
      </w:r>
      <w:bookmarkStart w:id="70" w:name="_Hlk204013961"/>
      <w:r>
        <w:rPr>
          <w:rFonts w:hint="eastAsia" w:ascii="仿宋" w:hAnsi="仿宋" w:eastAsia="仿宋" w:cs="仿宋"/>
          <w:color w:val="000000" w:themeColor="text1"/>
          <w:sz w:val="24"/>
          <w:szCs w:val="24"/>
          <w14:textFill>
            <w14:solidFill>
              <w14:schemeClr w14:val="tx1"/>
            </w14:solidFill>
          </w14:textFill>
        </w:rPr>
        <w:t>合同项下，由甲方或甲方委托乙方设计制作的广告创意、样稿、宣传资料</w:t>
      </w:r>
      <w:r>
        <w:rPr>
          <w:rFonts w:hint="eastAsia" w:ascii="仿宋" w:hAnsi="仿宋" w:eastAsia="仿宋" w:cs="仿宋"/>
          <w:color w:val="000000" w:themeColor="text1"/>
          <w:sz w:val="24"/>
          <w:szCs w:val="24"/>
          <w:lang w:eastAsia="zh-CN"/>
          <w14:textFill>
            <w14:solidFill>
              <w14:schemeClr w14:val="tx1"/>
            </w14:solidFill>
          </w14:textFill>
        </w:rPr>
        <w:t>、数据、报告</w:t>
      </w:r>
      <w:r>
        <w:rPr>
          <w:rFonts w:hint="eastAsia" w:ascii="仿宋" w:hAnsi="仿宋" w:eastAsia="仿宋" w:cs="仿宋"/>
          <w:color w:val="000000" w:themeColor="text1"/>
          <w:sz w:val="24"/>
          <w:szCs w:val="24"/>
          <w14:textFill>
            <w14:solidFill>
              <w14:schemeClr w14:val="tx1"/>
            </w14:solidFill>
          </w14:textFill>
        </w:rPr>
        <w:t>等知识产权，归甲方所有，未经甲方书面同意，乙方不得擅自使用或提供给任何第三方。</w:t>
      </w:r>
      <w:r>
        <w:rPr>
          <w:rFonts w:hint="eastAsia" w:ascii="仿宋" w:hAnsi="仿宋" w:eastAsia="仿宋" w:cs="仿宋"/>
          <w:color w:val="000000" w:themeColor="text1"/>
          <w:sz w:val="24"/>
          <w:szCs w:val="24"/>
          <w:lang w:eastAsia="zh-CN"/>
          <w14:textFill>
            <w14:solidFill>
              <w14:schemeClr w14:val="tx1"/>
            </w14:solidFill>
          </w14:textFill>
        </w:rPr>
        <w:t>乙方不得将甲方提供的素材用于自身宣传或第三方案例展示，违者按每使用一次支付合同总价20%的惩罚性违约金。</w:t>
      </w:r>
      <w:bookmarkEnd w:id="69"/>
    </w:p>
    <w:bookmarkEnd w:id="70"/>
    <w:p w14:paraId="7D556453">
      <w:pPr>
        <w:tabs>
          <w:tab w:val="left" w:pos="1020"/>
        </w:tabs>
        <w:ind w:left="482" w:hanging="480" w:hangingChars="200"/>
        <w:rPr>
          <w:rFonts w:hint="eastAsia" w:ascii="仿宋" w:hAnsi="仿宋" w:eastAsia="仿宋" w:cs="仿宋"/>
          <w:lang w:eastAsia="zh-CN"/>
        </w:rPr>
      </w:pPr>
      <w:r>
        <w:rPr>
          <w:rFonts w:hint="eastAsia" w:ascii="仿宋" w:hAnsi="仿宋" w:eastAsia="仿宋" w:cs="仿宋"/>
          <w:b/>
          <w:color w:val="000000" w:themeColor="text1"/>
          <w:sz w:val="24"/>
          <w:szCs w:val="24"/>
          <w14:textFill>
            <w14:solidFill>
              <w14:schemeClr w14:val="tx1"/>
            </w14:solidFill>
          </w14:textFill>
        </w:rPr>
        <w:t>5.2</w:t>
      </w:r>
      <w:bookmarkStart w:id="71" w:name="_Hlk204014071"/>
      <w:r>
        <w:rPr>
          <w:rFonts w:hint="eastAsia" w:ascii="仿宋" w:hAnsi="仿宋" w:eastAsia="仿宋" w:cs="仿宋"/>
          <w:color w:val="000000" w:themeColor="text1"/>
          <w:sz w:val="24"/>
          <w:szCs w:val="24"/>
          <w14:textFill>
            <w14:solidFill>
              <w14:schemeClr w14:val="tx1"/>
            </w14:solidFill>
          </w14:textFill>
        </w:rPr>
        <w:t>由甲方提供的内容与素材，乙方需对甲方提供的内容与素材进行实质性审查，因乙方未进行审查发生纠纷的，由乙方承担责任；乙方设计制作的广告创意、样稿等，乙方保证其广告表现形式（如字体、图片等）为乙方原创或者已取得相关权利方的授权，因乙方发布广告侵犯第三人知识产权的，由乙方承担相关责任。</w:t>
      </w:r>
      <w:bookmarkStart w:id="72" w:name="auto_fouce_34"/>
      <w:r>
        <w:rPr>
          <w:rFonts w:hint="eastAsia" w:ascii="仿宋" w:hAnsi="仿宋" w:eastAsia="仿宋" w:cs="仿宋"/>
          <w:color w:val="000000" w:themeColor="text1"/>
          <w:sz w:val="24"/>
          <w:szCs w:val="24"/>
          <w14:textFill>
            <w14:solidFill>
              <w14:schemeClr w14:val="tx1"/>
            </w14:solidFill>
          </w14:textFill>
        </w:rPr>
        <w:t>乙方违反第5.1与5.2条知识产权保证义务的，除承担侵权责任外，应按每次违约行为支付合同总金额10%的违约金。</w:t>
      </w:r>
      <w:bookmarkEnd w:id="72"/>
      <w:bookmarkStart w:id="73" w:name="_Hlk204014046"/>
      <w:r>
        <w:rPr>
          <w:rFonts w:hint="eastAsia" w:ascii="仿宋" w:hAnsi="仿宋" w:eastAsia="仿宋" w:cs="仿宋"/>
          <w:color w:val="000000" w:themeColor="text1"/>
          <w:sz w:val="24"/>
          <w:szCs w:val="24"/>
          <w14:textFill>
            <w14:solidFill>
              <w14:schemeClr w14:val="tx1"/>
            </w14:solidFill>
          </w14:textFill>
        </w:rPr>
        <w:t>乙方应在广告发布前向甲方提交所有使用素材的版权证明及授权文件。</w:t>
      </w:r>
      <w:bookmarkEnd w:id="73"/>
    </w:p>
    <w:p w14:paraId="4FF6C1A8">
      <w:pPr>
        <w:tabs>
          <w:tab w:val="left" w:pos="1020"/>
        </w:tabs>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5.3</w:t>
      </w:r>
      <w:r>
        <w:rPr>
          <w:rFonts w:hint="eastAsia" w:ascii="仿宋" w:hAnsi="仿宋" w:eastAsia="仿宋" w:cs="仿宋"/>
          <w:color w:val="000000" w:themeColor="text1"/>
          <w:sz w:val="24"/>
          <w:szCs w:val="24"/>
          <w14:textFill>
            <w14:solidFill>
              <w14:schemeClr w14:val="tx1"/>
            </w14:solidFill>
          </w14:textFill>
        </w:rPr>
        <w:t>甲乙双方对在合同履行期间获知的对方的商业秘密、技术秘密等需双方保密的事项，负有严格保密义务，</w:t>
      </w:r>
      <w:bookmarkStart w:id="74" w:name="auto_fouce_32"/>
      <w:r>
        <w:rPr>
          <w:rFonts w:hint="eastAsia" w:ascii="仿宋" w:hAnsi="仿宋" w:eastAsia="仿宋" w:cs="仿宋"/>
          <w:color w:val="000000" w:themeColor="text1"/>
          <w:sz w:val="24"/>
          <w:szCs w:val="24"/>
          <w14:textFill>
            <w14:solidFill>
              <w14:schemeClr w14:val="tx1"/>
            </w14:solidFill>
          </w14:textFill>
        </w:rPr>
        <w:t>在未取得另一方书面同意的情况下，在合同期间及合同终止后</w:t>
      </w:r>
      <w:r>
        <w:rPr>
          <w:rFonts w:hint="eastAsia" w:ascii="仿宋" w:hAnsi="仿宋" w:eastAsia="仿宋" w:cs="仿宋"/>
          <w:color w:val="000000" w:themeColor="text1"/>
          <w:sz w:val="24"/>
          <w:szCs w:val="24"/>
          <w:lang w:eastAsia="zh-CN"/>
          <w14:textFill>
            <w14:solidFill>
              <w14:schemeClr w14:val="tx1"/>
            </w14:solidFill>
          </w14:textFill>
        </w:rPr>
        <w:t>五年内</w:t>
      </w:r>
      <w:r>
        <w:rPr>
          <w:rFonts w:hint="eastAsia" w:ascii="仿宋" w:hAnsi="仿宋" w:eastAsia="仿宋" w:cs="仿宋"/>
          <w:color w:val="000000" w:themeColor="text1"/>
          <w:sz w:val="24"/>
          <w:szCs w:val="24"/>
          <w14:textFill>
            <w14:solidFill>
              <w14:schemeClr w14:val="tx1"/>
            </w14:solidFill>
          </w14:textFill>
        </w:rPr>
        <w:t>不得向任何第三方披露或公开；如因任何一方泄露合同及广告内容导致对方经济损失，泄露方应全额赔偿对方经济损失，否则受损失方可以选择解除合同或通过法律途径解决。</w:t>
      </w:r>
      <w:bookmarkEnd w:id="74"/>
    </w:p>
    <w:p w14:paraId="48702D76">
      <w:pPr>
        <w:tabs>
          <w:tab w:val="left" w:pos="1020"/>
        </w:tabs>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5.4</w:t>
      </w:r>
      <w:r>
        <w:rPr>
          <w:rFonts w:hint="eastAsia" w:ascii="仿宋" w:hAnsi="仿宋" w:eastAsia="仿宋" w:cs="仿宋"/>
          <w:color w:val="000000" w:themeColor="text1"/>
          <w:sz w:val="24"/>
          <w:szCs w:val="24"/>
          <w14:textFill>
            <w14:solidFill>
              <w14:schemeClr w14:val="tx1"/>
            </w14:solidFill>
          </w14:textFill>
        </w:rPr>
        <w:t>任何一方违反上述条款，应向另一方赔偿所产生的一切损失及费用，并承担相应的法律责任。</w:t>
      </w:r>
    </w:p>
    <w:p w14:paraId="128CE322">
      <w:pPr>
        <w:tabs>
          <w:tab w:val="left" w:pos="1020"/>
        </w:tabs>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上述条款在双方合作期间及合同终止后持续有效。</w:t>
      </w:r>
    </w:p>
    <w:p w14:paraId="41F24BF8">
      <w:pPr>
        <w:pStyle w:val="28"/>
        <w:rPr>
          <w:color w:val="000000" w:themeColor="text1"/>
          <w14:textFill>
            <w14:solidFill>
              <w14:schemeClr w14:val="tx1"/>
            </w14:solidFill>
          </w14:textFill>
        </w:rPr>
      </w:pPr>
    </w:p>
    <w:bookmarkEnd w:id="71"/>
    <w:p w14:paraId="075940EA">
      <w:pPr>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第六条 </w:t>
      </w:r>
      <w:bookmarkStart w:id="75" w:name="_Hlk204014088"/>
      <w:r>
        <w:rPr>
          <w:rFonts w:hint="eastAsia" w:ascii="仿宋" w:hAnsi="仿宋" w:eastAsia="仿宋" w:cs="仿宋"/>
          <w:b/>
          <w:color w:val="000000" w:themeColor="text1"/>
          <w:sz w:val="24"/>
          <w:szCs w:val="24"/>
          <w14:textFill>
            <w14:solidFill>
              <w14:schemeClr w14:val="tx1"/>
            </w14:solidFill>
          </w14:textFill>
        </w:rPr>
        <w:t>转让与分包</w:t>
      </w:r>
    </w:p>
    <w:p w14:paraId="061BFFFE">
      <w:pPr>
        <w:ind w:firstLine="482"/>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sz w:val="24"/>
          <w:szCs w:val="24"/>
        </w:rPr>
        <w:t>6.1</w:t>
      </w:r>
      <w:r>
        <w:rPr>
          <w:rFonts w:hint="eastAsia" w:ascii="仿宋" w:hAnsi="仿宋" w:eastAsia="仿宋" w:cs="仿宋"/>
          <w:sz w:val="24"/>
          <w:szCs w:val="24"/>
        </w:rPr>
        <w:t xml:space="preserve"> </w:t>
      </w:r>
      <w:r>
        <w:rPr>
          <w:rFonts w:hint="eastAsia" w:ascii="仿宋" w:hAnsi="仿宋" w:eastAsia="仿宋" w:cs="仿宋"/>
          <w:color w:val="000000" w:themeColor="text1"/>
          <w:sz w:val="24"/>
          <w:szCs w:val="24"/>
          <w14:textFill>
            <w14:solidFill>
              <w14:schemeClr w14:val="tx1"/>
            </w14:solidFill>
          </w14:textFill>
        </w:rPr>
        <w:t>乙方不得部分转让或全部转让其应履行的合同义务</w:t>
      </w:r>
      <w:r>
        <w:rPr>
          <w:rFonts w:hint="eastAsia" w:ascii="仿宋" w:hAnsi="仿宋" w:eastAsia="仿宋" w:cs="仿宋"/>
          <w:color w:val="000000" w:themeColor="text1"/>
          <w:sz w:val="24"/>
          <w:szCs w:val="24"/>
          <w:lang w:eastAsia="zh-CN"/>
          <w14:textFill>
            <w14:solidFill>
              <w14:schemeClr w14:val="tx1"/>
            </w14:solidFill>
          </w14:textFill>
        </w:rPr>
        <w:t>，亦不得将合同义务分包，除非经甲方书面同意</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即使甲方同意分包，乙方仍对全部服务质量和违约责任承担总责。</w:t>
      </w:r>
    </w:p>
    <w:p w14:paraId="7B38627A">
      <w:pPr>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未经甲方事先书面同意，</w:t>
      </w:r>
      <w:r>
        <w:rPr>
          <w:rFonts w:hint="eastAsia" w:ascii="仿宋" w:hAnsi="仿宋" w:eastAsia="仿宋" w:cs="仿宋"/>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lang w:eastAsia="zh-CN"/>
          <w14:textFill>
            <w14:solidFill>
              <w14:schemeClr w14:val="tx1"/>
            </w14:solidFill>
          </w14:textFill>
        </w:rPr>
        <w:t>不得进行任何形式的分包。乙方</w:t>
      </w:r>
      <w:r>
        <w:rPr>
          <w:rFonts w:hint="eastAsia" w:ascii="仿宋" w:hAnsi="仿宋" w:eastAsia="仿宋" w:cs="仿宋"/>
          <w:color w:val="000000" w:themeColor="text1"/>
          <w:sz w:val="24"/>
          <w:szCs w:val="24"/>
          <w14:textFill>
            <w14:solidFill>
              <w14:schemeClr w14:val="tx1"/>
            </w14:solidFill>
          </w14:textFill>
        </w:rPr>
        <w:t>应在竞价文件中或以其他书面形式对甲方确认本合同项下所授予的所有分包合同。</w:t>
      </w:r>
      <w:r>
        <w:rPr>
          <w:rFonts w:hint="eastAsia" w:ascii="仿宋" w:hAnsi="仿宋" w:eastAsia="仿宋" w:cs="仿宋"/>
          <w:color w:val="000000" w:themeColor="text1"/>
          <w:sz w:val="24"/>
          <w:szCs w:val="24"/>
          <w:lang w:eastAsia="zh-CN"/>
          <w14:textFill>
            <w14:solidFill>
              <w14:schemeClr w14:val="tx1"/>
            </w14:solidFill>
          </w14:textFill>
        </w:rPr>
        <w:t>甲方有权对分包对象进行资质审查、否决或要求更换。分包方违约时，乙方应与分包方对甲方承担连带责任。</w:t>
      </w:r>
      <w:r>
        <w:rPr>
          <w:rFonts w:hint="eastAsia" w:ascii="仿宋" w:hAnsi="仿宋" w:eastAsia="仿宋" w:cs="仿宋"/>
          <w:color w:val="000000" w:themeColor="text1"/>
          <w:sz w:val="24"/>
          <w:szCs w:val="24"/>
          <w14:textFill>
            <w14:solidFill>
              <w14:schemeClr w14:val="tx1"/>
            </w14:solidFill>
          </w14:textFill>
        </w:rPr>
        <w:t>该确认不解除乙方承担的本合同下的任何责任或义务。意即在本合同项下，乙方对甲方负总责。</w:t>
      </w:r>
    </w:p>
    <w:bookmarkEnd w:id="75"/>
    <w:p w14:paraId="3D26CCCB">
      <w:pPr>
        <w:ind w:firstLine="482"/>
        <w:rPr>
          <w:rFonts w:hint="eastAsia" w:ascii="仿宋" w:hAnsi="仿宋" w:eastAsia="仿宋" w:cs="仿宋"/>
          <w:b/>
          <w:color w:val="000000" w:themeColor="text1"/>
          <w:sz w:val="24"/>
          <w:szCs w:val="24"/>
          <w14:textFill>
            <w14:solidFill>
              <w14:schemeClr w14:val="tx1"/>
            </w14:solidFill>
          </w14:textFill>
        </w:rPr>
      </w:pPr>
      <w:bookmarkStart w:id="76" w:name="_Hlk204014106"/>
      <w:r>
        <w:rPr>
          <w:rFonts w:hint="eastAsia" w:ascii="仿宋" w:hAnsi="仿宋" w:eastAsia="仿宋" w:cs="仿宋"/>
          <w:b/>
          <w:color w:val="000000" w:themeColor="text1"/>
          <w:sz w:val="24"/>
          <w:szCs w:val="24"/>
          <w14:textFill>
            <w14:solidFill>
              <w14:schemeClr w14:val="tx1"/>
            </w14:solidFill>
          </w14:textFill>
        </w:rPr>
        <w:t>第七条 其他</w:t>
      </w:r>
    </w:p>
    <w:p w14:paraId="148B65EF">
      <w:pPr>
        <w:ind w:left="482" w:hanging="480" w:hangingChars="200"/>
        <w:rPr>
          <w:rFonts w:hint="eastAsia" w:ascii="仿宋" w:hAnsi="仿宋" w:eastAsia="仿宋" w:cs="仿宋"/>
          <w:b/>
          <w:color w:val="000000" w:themeColor="text1"/>
          <w:sz w:val="24"/>
          <w:szCs w:val="24"/>
          <w14:textFill>
            <w14:solidFill>
              <w14:schemeClr w14:val="tx1"/>
            </w14:solidFill>
          </w14:textFill>
        </w:rPr>
      </w:pPr>
      <w:bookmarkStart w:id="77" w:name="auto_fouce_37"/>
      <w:r>
        <w:rPr>
          <w:rFonts w:hint="eastAsia" w:ascii="仿宋" w:hAnsi="仿宋" w:eastAsia="仿宋" w:cs="仿宋"/>
          <w:b/>
          <w:color w:val="000000" w:themeColor="text1"/>
          <w:sz w:val="24"/>
          <w:szCs w:val="24"/>
          <w14:textFill>
            <w14:solidFill>
              <w14:schemeClr w14:val="tx1"/>
            </w14:solidFill>
          </w14:textFill>
        </w:rPr>
        <w:t>7.1</w:t>
      </w:r>
      <w:r>
        <w:rPr>
          <w:rFonts w:hint="eastAsia" w:ascii="仿宋" w:hAnsi="仿宋" w:eastAsia="仿宋" w:cs="仿宋"/>
          <w:color w:val="000000" w:themeColor="text1"/>
          <w:sz w:val="24"/>
          <w:szCs w:val="24"/>
          <w14:textFill>
            <w14:solidFill>
              <w14:schemeClr w14:val="tx1"/>
            </w14:solidFill>
          </w14:textFill>
        </w:rPr>
        <w:t>合同中未尽事宜或本合同如需修改，</w:t>
      </w:r>
      <w:r>
        <w:rPr>
          <w:rFonts w:hint="eastAsia" w:ascii="仿宋" w:hAnsi="仿宋" w:eastAsia="仿宋" w:cs="仿宋"/>
          <w:color w:val="000000" w:themeColor="text1"/>
          <w:sz w:val="24"/>
          <w:szCs w:val="24"/>
          <w:lang w:eastAsia="zh-CN"/>
          <w14:textFill>
            <w14:solidFill>
              <w14:schemeClr w14:val="tx1"/>
            </w14:solidFill>
          </w14:textFill>
        </w:rPr>
        <w:t>须经甲方书面同意后方</w:t>
      </w:r>
      <w:r>
        <w:rPr>
          <w:rFonts w:hint="eastAsia" w:ascii="仿宋" w:hAnsi="仿宋" w:eastAsia="仿宋" w:cs="仿宋"/>
          <w:color w:val="000000" w:themeColor="text1"/>
          <w:sz w:val="24"/>
          <w:szCs w:val="24"/>
          <w14:textFill>
            <w14:solidFill>
              <w14:schemeClr w14:val="tx1"/>
            </w14:solidFill>
          </w14:textFill>
        </w:rPr>
        <w:t>可签订补充合同，补充协议与本合同有同等法律效力。</w:t>
      </w:r>
    </w:p>
    <w:p w14:paraId="42D241AA">
      <w:pPr>
        <w:ind w:left="482"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7.2</w:t>
      </w:r>
      <w:r>
        <w:rPr>
          <w:rFonts w:hint="eastAsia" w:ascii="仿宋" w:hAnsi="仿宋" w:eastAsia="仿宋" w:cs="仿宋"/>
          <w:color w:val="000000" w:themeColor="text1"/>
          <w:sz w:val="24"/>
          <w:szCs w:val="24"/>
          <w14:textFill>
            <w14:solidFill>
              <w14:schemeClr w14:val="tx1"/>
            </w14:solidFill>
          </w14:textFill>
        </w:rPr>
        <w:t>甲乙双方应本着友好协商的方式解决合同问题，协商不成，可向甲方所在地的人民法院起诉。</w:t>
      </w:r>
    </w:p>
    <w:p w14:paraId="172DE74F">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7.3</w:t>
      </w:r>
      <w:r>
        <w:rPr>
          <w:rFonts w:hint="eastAsia" w:ascii="仿宋" w:hAnsi="仿宋" w:eastAsia="仿宋" w:cs="仿宋"/>
          <w:color w:val="000000" w:themeColor="text1"/>
          <w:sz w:val="24"/>
          <w:szCs w:val="24"/>
          <w14:textFill>
            <w14:solidFill>
              <w14:schemeClr w14:val="tx1"/>
            </w14:solidFill>
          </w14:textFill>
        </w:rPr>
        <w:t>本合同一式肆份，甲方执叁份，乙方执壹份，本合同自双方盖章</w:t>
      </w:r>
      <w:r>
        <w:rPr>
          <w:rFonts w:hint="eastAsia" w:ascii="仿宋" w:hAnsi="仿宋" w:eastAsia="仿宋" w:cs="仿宋"/>
          <w:color w:val="000000" w:themeColor="text1"/>
          <w:sz w:val="24"/>
          <w:szCs w:val="24"/>
          <w:lang w:eastAsia="zh-CN"/>
          <w14:textFill>
            <w14:solidFill>
              <w14:schemeClr w14:val="tx1"/>
            </w14:solidFill>
          </w14:textFill>
        </w:rPr>
        <w:t>且法定代表人或授权代表签字</w:t>
      </w:r>
      <w:r>
        <w:rPr>
          <w:rFonts w:hint="eastAsia" w:ascii="仿宋" w:hAnsi="仿宋" w:eastAsia="仿宋" w:cs="仿宋"/>
          <w:color w:val="000000" w:themeColor="text1"/>
          <w:sz w:val="24"/>
          <w:szCs w:val="24"/>
          <w14:textFill>
            <w14:solidFill>
              <w14:schemeClr w14:val="tx1"/>
            </w14:solidFill>
          </w14:textFill>
        </w:rPr>
        <w:t>之日起生效。</w:t>
      </w:r>
      <w:r>
        <w:rPr>
          <w:rFonts w:hint="eastAsia" w:ascii="仿宋" w:hAnsi="仿宋" w:eastAsia="仿宋" w:cs="仿宋"/>
          <w:color w:val="000000" w:themeColor="text1"/>
          <w:sz w:val="24"/>
          <w:szCs w:val="24"/>
          <w:lang w:eastAsia="zh-CN"/>
          <w14:textFill>
            <w14:solidFill>
              <w14:schemeClr w14:val="tx1"/>
            </w14:solidFill>
          </w14:textFill>
        </w:rPr>
        <w:t>所有附件、清单、排期单、乙方资质证明文件等均为合同不可分割部分，与主合同具有同等法律效力。</w:t>
      </w:r>
    </w:p>
    <w:p w14:paraId="570F7F4A">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7.4</w:t>
      </w:r>
      <w:r>
        <w:rPr>
          <w:rFonts w:hint="eastAsia" w:ascii="仿宋" w:hAnsi="仿宋" w:eastAsia="仿宋" w:cs="仿宋"/>
          <w:color w:val="000000" w:themeColor="text1"/>
          <w:sz w:val="24"/>
          <w:szCs w:val="24"/>
          <w14:textFill>
            <w14:solidFill>
              <w14:schemeClr w14:val="tx1"/>
            </w14:solidFill>
          </w14:textFill>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08931F90">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        】</w:t>
      </w:r>
    </w:p>
    <w:p w14:paraId="0F2E9D73">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        】</w:t>
      </w:r>
    </w:p>
    <w:p w14:paraId="0A5AF8DB">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收件人：【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p>
    <w:p w14:paraId="5F09A640">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         】</w:t>
      </w:r>
    </w:p>
    <w:p w14:paraId="103BC40A">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              】</w:t>
      </w:r>
    </w:p>
    <w:p w14:paraId="5FDC5E7D">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           】</w:t>
      </w:r>
    </w:p>
    <w:p w14:paraId="2421DDB8">
      <w:pPr>
        <w:spacing w:line="520" w:lineRule="exact"/>
        <w:rPr>
          <w:ins w:id="1" w:author="律师 牛" w:date="2025-07-17T17:46: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收件人：【               】</w:t>
      </w:r>
    </w:p>
    <w:p w14:paraId="42439C6F">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            】</w:t>
      </w:r>
    </w:p>
    <w:p w14:paraId="36D517D4">
      <w:pPr>
        <w:spacing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电子邮件：【         】</w:t>
      </w:r>
    </w:p>
    <w:p w14:paraId="28000120">
      <w:pPr>
        <w:spacing w:line="520" w:lineRule="exact"/>
        <w:rPr>
          <w:ins w:id="2" w:author="律师 牛" w:date="2025-07-17T17:46: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重要事项均应以书面形式送交对方签收或按协议约定地址邮寄送达，一经签收或邮寄后即视为对方已收到。</w:t>
      </w:r>
    </w:p>
    <w:p w14:paraId="2337EBB0">
      <w:pPr>
        <w:adjustRightInd w:val="0"/>
        <w:snapToGrid w:val="0"/>
        <w:rPr>
          <w:del w:id="3" w:author="律师 牛" w:date="2025-07-17T17:43:00Z"/>
          <w:rFonts w:hint="eastAsia" w:ascii="仿宋" w:hAnsi="仿宋" w:eastAsia="仿宋" w:cs="仿宋"/>
          <w:color w:val="000000" w:themeColor="text1"/>
          <w:sz w:val="24"/>
          <w:szCs w:val="24"/>
          <w14:textFill>
            <w14:solidFill>
              <w14:schemeClr w14:val="tx1"/>
            </w14:solidFill>
          </w14:textFill>
        </w:rPr>
      </w:pPr>
    </w:p>
    <w:bookmarkEnd w:id="76"/>
    <w:bookmarkEnd w:id="77"/>
    <w:p w14:paraId="33598838">
      <w:pPr>
        <w:adjustRightInd w:val="0"/>
        <w:snapToGrid w:val="0"/>
        <w:rPr>
          <w:del w:id="4" w:author="律师 牛" w:date="2025-07-17T17:43:00Z"/>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CCB988D">
      <w:pPr>
        <w:adjustRightInd w:val="0"/>
        <w:snapToGrid w:val="0"/>
        <w:ind w:left="5400" w:firstLine="480"/>
        <w:rPr>
          <w:rFonts w:hint="eastAsia" w:ascii="仿宋" w:hAnsi="仿宋" w:eastAsia="仿宋" w:cs="仿宋"/>
          <w:bCs/>
          <w:color w:val="000000" w:themeColor="text1"/>
          <w:sz w:val="24"/>
          <w:szCs w:val="24"/>
          <w14:textFill>
            <w14:solidFill>
              <w14:schemeClr w14:val="tx1"/>
            </w14:solidFill>
          </w14:textFill>
        </w:rPr>
      </w:pPr>
    </w:p>
    <w:p w14:paraId="79A80248">
      <w:pPr>
        <w:adjustRightInd w:val="0"/>
        <w:snapToGrid w:val="0"/>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甲方:（盖章）                                  乙方：（盖章）</w:t>
      </w:r>
      <w:bookmarkStart w:id="78" w:name="auto_fouce_39"/>
    </w:p>
    <w:bookmarkEnd w:id="78"/>
    <w:p w14:paraId="3D6C72AD">
      <w:pPr>
        <w:adjustRightInd w:val="0"/>
        <w:snapToGrid w:val="0"/>
        <w:rPr>
          <w:rFonts w:hint="eastAsia" w:ascii="仿宋" w:hAnsi="仿宋" w:eastAsia="仿宋" w:cs="仿宋"/>
          <w:color w:val="000000" w:themeColor="text1"/>
          <w:sz w:val="24"/>
          <w:szCs w:val="24"/>
          <w14:textFill>
            <w14:solidFill>
              <w14:schemeClr w14:val="tx1"/>
            </w14:solidFill>
          </w14:textFill>
        </w:rPr>
      </w:pPr>
      <w:r>
        <w:rPr>
          <w:rFonts w:hint="eastAsia"/>
          <w:color w:val="000000" w:themeColor="text1"/>
          <w:lang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法定代表人或授权代表：                         法定代表人或授权代表：</w:t>
      </w:r>
    </w:p>
    <w:p w14:paraId="04782DB2">
      <w:pPr>
        <w:adjustRightInd w:val="0"/>
        <w:snapToGrid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（签字）                                      （签字）</w:t>
      </w:r>
    </w:p>
    <w:p w14:paraId="117DA6C9">
      <w:pPr>
        <w:adjustRightInd w:val="0"/>
        <w:snapToGrid w:val="0"/>
        <w:rPr>
          <w:rFonts w:hint="eastAsia" w:ascii="仿宋" w:hAnsi="仿宋" w:eastAsia="仿宋" w:cs="仿宋"/>
          <w:color w:val="000000" w:themeColor="text1"/>
          <w:sz w:val="24"/>
          <w:szCs w:val="24"/>
          <w14:textFill>
            <w14:solidFill>
              <w14:schemeClr w14:val="tx1"/>
            </w14:solidFill>
          </w14:textFill>
        </w:rPr>
      </w:pPr>
    </w:p>
    <w:p w14:paraId="1C742B70">
      <w:pPr>
        <w:adjustRightInd w:val="0"/>
        <w:snapToGrid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                          日期：  年   月   日</w:t>
      </w:r>
    </w:p>
    <w:p w14:paraId="2FB326EE">
      <w:pPr>
        <w:spacing w:line="360" w:lineRule="auto"/>
        <w:ind w:firstLine="560"/>
        <w:jc w:val="both"/>
        <w:rPr>
          <w:rFonts w:hint="eastAsia" w:ascii="宋体" w:hAnsi="宋体" w:eastAsia="宋体" w:cs="宋体"/>
          <w:color w:val="000000" w:themeColor="text1"/>
          <w:sz w:val="28"/>
          <w:szCs w:val="28"/>
          <w14:textFill>
            <w14:solidFill>
              <w14:schemeClr w14:val="tx1"/>
            </w14:solidFill>
          </w14:textFill>
        </w:rPr>
      </w:pPr>
    </w:p>
    <w:p w14:paraId="06E937A1">
      <w:pPr>
        <w:rPr>
          <w:rFonts w:hint="eastAsia"/>
          <w:color w:val="000000" w:themeColor="text1"/>
          <w14:textFill>
            <w14:solidFill>
              <w14:schemeClr w14:val="tx1"/>
            </w14:solidFill>
          </w14:textFill>
        </w:rPr>
      </w:pPr>
    </w:p>
    <w:p w14:paraId="3C07D3AF">
      <w:pPr>
        <w:jc w:val="center"/>
        <w:rPr>
          <w:rFonts w:hint="eastAsia"/>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C2B9">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A301AC3">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BE05">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AEACFF">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C9051">
    <w:pPr>
      <w:pStyle w:val="20"/>
      <w:ind w:firstLine="360"/>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45AD">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594A">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9D87BF1A"/>
    <w:multiLevelType w:val="singleLevel"/>
    <w:tmpl w:val="9D87BF1A"/>
    <w:lvl w:ilvl="0" w:tentative="0">
      <w:start w:val="1"/>
      <w:numFmt w:val="chineseCounting"/>
      <w:suff w:val="space"/>
      <w:lvlText w:val="%1、"/>
      <w:lvlJc w:val="left"/>
      <w:rPr>
        <w:rFonts w:hint="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FFB68599"/>
    <w:multiLevelType w:val="singleLevel"/>
    <w:tmpl w:val="FFB68599"/>
    <w:lvl w:ilvl="0" w:tentative="0">
      <w:start w:val="1"/>
      <w:numFmt w:val="decimal"/>
      <w:pStyle w:val="24"/>
      <w:lvlText w:val="（%1）"/>
      <w:lvlJc w:val="left"/>
      <w:pPr>
        <w:ind w:left="1055" w:hanging="425"/>
      </w:pPr>
      <w:rPr>
        <w:rFonts w:hint="default"/>
      </w:rPr>
    </w:lvl>
  </w:abstractNum>
  <w:abstractNum w:abstractNumId="4">
    <w:nsid w:val="0000000B"/>
    <w:multiLevelType w:val="singleLevel"/>
    <w:tmpl w:val="0000000B"/>
    <w:lvl w:ilvl="0" w:tentative="0">
      <w:start w:val="1"/>
      <w:numFmt w:val="decimal"/>
      <w:suff w:val="nothing"/>
      <w:lvlText w:val="（%1）"/>
      <w:lvlJc w:val="left"/>
    </w:lvl>
  </w:abstractNum>
  <w:abstractNum w:abstractNumId="5">
    <w:nsid w:val="00000015"/>
    <w:multiLevelType w:val="singleLevel"/>
    <w:tmpl w:val="00000015"/>
    <w:lvl w:ilvl="0" w:tentative="0">
      <w:start w:val="1"/>
      <w:numFmt w:val="decimal"/>
      <w:lvlText w:val="%1、"/>
      <w:lvlJc w:val="left"/>
      <w:pPr>
        <w:ind w:left="845" w:hanging="425"/>
      </w:pPr>
      <w:rPr>
        <w:rFonts w:hint="default"/>
        <w:b/>
        <w:bCs/>
      </w:rPr>
    </w:lvl>
  </w:abstractNum>
  <w:abstractNum w:abstractNumId="6">
    <w:nsid w:val="00000018"/>
    <w:multiLevelType w:val="singleLevel"/>
    <w:tmpl w:val="00000018"/>
    <w:lvl w:ilvl="0" w:tentative="0">
      <w:start w:val="1"/>
      <w:numFmt w:val="decimal"/>
      <w:lvlText w:val="%1."/>
      <w:lvlJc w:val="left"/>
      <w:pPr>
        <w:ind w:left="845" w:hanging="425"/>
      </w:pPr>
      <w:rPr>
        <w:rFonts w:hint="default"/>
        <w:b/>
        <w:bCs/>
      </w:rPr>
    </w:lvl>
  </w:abstractNum>
  <w:abstractNum w:abstractNumId="7">
    <w:nsid w:val="20A93D7E"/>
    <w:multiLevelType w:val="multilevel"/>
    <w:tmpl w:val="20A93D7E"/>
    <w:lvl w:ilvl="0" w:tentative="0">
      <w:start w:val="1"/>
      <w:numFmt w:val="decimal"/>
      <w:lvlText w:val="%1、"/>
      <w:lvlJc w:val="left"/>
      <w:pPr>
        <w:ind w:left="800" w:hanging="440"/>
      </w:pPr>
      <w:rPr>
        <w:rFonts w:hint="default"/>
        <w:b/>
        <w:bCs/>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8">
    <w:nsid w:val="3C106BBC"/>
    <w:multiLevelType w:val="multilevel"/>
    <w:tmpl w:val="3C106BBC"/>
    <w:lvl w:ilvl="0" w:tentative="0">
      <w:start w:val="1"/>
      <w:numFmt w:val="decimal"/>
      <w:lvlText w:val="（%1）"/>
      <w:lvlJc w:val="left"/>
      <w:pPr>
        <w:ind w:left="440" w:hanging="44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EE812BE"/>
    <w:multiLevelType w:val="multilevel"/>
    <w:tmpl w:val="3EE812BE"/>
    <w:lvl w:ilvl="0" w:tentative="0">
      <w:start w:val="1"/>
      <w:numFmt w:val="decimal"/>
      <w:lvlText w:val="（%1）"/>
      <w:lvlJc w:val="left"/>
      <w:pPr>
        <w:ind w:left="1280" w:hanging="440"/>
      </w:pPr>
      <w:rPr>
        <w:rFonts w:hint="default"/>
      </w:rPr>
    </w:lvl>
    <w:lvl w:ilvl="1" w:tentative="0">
      <w:start w:val="1"/>
      <w:numFmt w:val="decimal"/>
      <w:lvlText w:val="（%2）"/>
      <w:lvlJc w:val="left"/>
      <w:pPr>
        <w:ind w:left="440" w:hanging="440"/>
      </w:pPr>
      <w:rPr>
        <w:rFonts w:hint="default"/>
      </w:r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0">
    <w:nsid w:val="465C09E2"/>
    <w:multiLevelType w:val="multilevel"/>
    <w:tmpl w:val="465C09E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739904F2"/>
    <w:multiLevelType w:val="multilevel"/>
    <w:tmpl w:val="739904F2"/>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91323B1"/>
    <w:multiLevelType w:val="multilevel"/>
    <w:tmpl w:val="791323B1"/>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7FC151F7"/>
    <w:multiLevelType w:val="multilevel"/>
    <w:tmpl w:val="7FC151F7"/>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1"/>
  </w:num>
  <w:num w:numId="3">
    <w:abstractNumId w:val="5"/>
  </w:num>
  <w:num w:numId="4">
    <w:abstractNumId w:val="6"/>
  </w:num>
  <w:num w:numId="5">
    <w:abstractNumId w:val="13"/>
  </w:num>
  <w:num w:numId="6">
    <w:abstractNumId w:val="12"/>
  </w:num>
  <w:num w:numId="7">
    <w:abstractNumId w:val="8"/>
  </w:num>
  <w:num w:numId="8">
    <w:abstractNumId w:val="9"/>
  </w:num>
  <w:num w:numId="9">
    <w:abstractNumId w:val="4"/>
  </w:num>
  <w:num w:numId="10">
    <w:abstractNumId w:val="0"/>
  </w:num>
  <w:num w:numId="11">
    <w:abstractNumId w:val="2"/>
  </w:num>
  <w:num w:numId="12">
    <w:abstractNumId w:val="7"/>
  </w:num>
  <w:num w:numId="13">
    <w:abstractNumId w:val="1"/>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律师 牛">
    <w15:presenceInfo w15:providerId="Windows Live" w15:userId="6a4dcb2d0eb45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51FD"/>
    <w:rsid w:val="00016510"/>
    <w:rsid w:val="0003050B"/>
    <w:rsid w:val="00033B17"/>
    <w:rsid w:val="00034569"/>
    <w:rsid w:val="0003585D"/>
    <w:rsid w:val="0003738A"/>
    <w:rsid w:val="00041952"/>
    <w:rsid w:val="00046740"/>
    <w:rsid w:val="00046E24"/>
    <w:rsid w:val="0005469B"/>
    <w:rsid w:val="00054B30"/>
    <w:rsid w:val="00066D0A"/>
    <w:rsid w:val="00075CE0"/>
    <w:rsid w:val="00090265"/>
    <w:rsid w:val="00091236"/>
    <w:rsid w:val="000A668A"/>
    <w:rsid w:val="000B72FA"/>
    <w:rsid w:val="000E090D"/>
    <w:rsid w:val="000E2C79"/>
    <w:rsid w:val="000E4E0E"/>
    <w:rsid w:val="000E4F1A"/>
    <w:rsid w:val="001042DA"/>
    <w:rsid w:val="00114A72"/>
    <w:rsid w:val="00123F38"/>
    <w:rsid w:val="001341E6"/>
    <w:rsid w:val="001576F3"/>
    <w:rsid w:val="001821D9"/>
    <w:rsid w:val="00197033"/>
    <w:rsid w:val="001A2254"/>
    <w:rsid w:val="001A632E"/>
    <w:rsid w:val="001A6430"/>
    <w:rsid w:val="001A768A"/>
    <w:rsid w:val="001B0F7D"/>
    <w:rsid w:val="001C275E"/>
    <w:rsid w:val="001D27CC"/>
    <w:rsid w:val="001D653F"/>
    <w:rsid w:val="001E38D1"/>
    <w:rsid w:val="001E6686"/>
    <w:rsid w:val="001F0665"/>
    <w:rsid w:val="002149E6"/>
    <w:rsid w:val="0022341D"/>
    <w:rsid w:val="00224F58"/>
    <w:rsid w:val="00225728"/>
    <w:rsid w:val="0024081B"/>
    <w:rsid w:val="00241DBE"/>
    <w:rsid w:val="00243075"/>
    <w:rsid w:val="0024429E"/>
    <w:rsid w:val="00244CB3"/>
    <w:rsid w:val="002460BF"/>
    <w:rsid w:val="00252956"/>
    <w:rsid w:val="00254D25"/>
    <w:rsid w:val="002556AC"/>
    <w:rsid w:val="002762D6"/>
    <w:rsid w:val="00276A92"/>
    <w:rsid w:val="00287935"/>
    <w:rsid w:val="00296E8D"/>
    <w:rsid w:val="002A2F00"/>
    <w:rsid w:val="002D5B53"/>
    <w:rsid w:val="002D7379"/>
    <w:rsid w:val="002F0D1E"/>
    <w:rsid w:val="002F67F3"/>
    <w:rsid w:val="003148A9"/>
    <w:rsid w:val="003175B4"/>
    <w:rsid w:val="00320A1F"/>
    <w:rsid w:val="00341CEB"/>
    <w:rsid w:val="003422DE"/>
    <w:rsid w:val="003450C2"/>
    <w:rsid w:val="003608E8"/>
    <w:rsid w:val="00376DED"/>
    <w:rsid w:val="00382F89"/>
    <w:rsid w:val="0039063B"/>
    <w:rsid w:val="00393289"/>
    <w:rsid w:val="00394FB5"/>
    <w:rsid w:val="0039762C"/>
    <w:rsid w:val="003A00EF"/>
    <w:rsid w:val="003A1798"/>
    <w:rsid w:val="003B12D3"/>
    <w:rsid w:val="003B2760"/>
    <w:rsid w:val="003B458B"/>
    <w:rsid w:val="003C06D2"/>
    <w:rsid w:val="003D2D1B"/>
    <w:rsid w:val="003D7EA0"/>
    <w:rsid w:val="003F2E6E"/>
    <w:rsid w:val="003F4454"/>
    <w:rsid w:val="003F7FE0"/>
    <w:rsid w:val="004012C1"/>
    <w:rsid w:val="004163BC"/>
    <w:rsid w:val="00416A60"/>
    <w:rsid w:val="00431290"/>
    <w:rsid w:val="00437F28"/>
    <w:rsid w:val="00443945"/>
    <w:rsid w:val="00452BB8"/>
    <w:rsid w:val="004543E3"/>
    <w:rsid w:val="00463C78"/>
    <w:rsid w:val="00470AE1"/>
    <w:rsid w:val="004714CE"/>
    <w:rsid w:val="0047592E"/>
    <w:rsid w:val="00481B6E"/>
    <w:rsid w:val="00483330"/>
    <w:rsid w:val="00486C9C"/>
    <w:rsid w:val="00493DCC"/>
    <w:rsid w:val="004A5674"/>
    <w:rsid w:val="004C3D1A"/>
    <w:rsid w:val="004D4778"/>
    <w:rsid w:val="004D51BF"/>
    <w:rsid w:val="004F42CF"/>
    <w:rsid w:val="004F5CDE"/>
    <w:rsid w:val="00505141"/>
    <w:rsid w:val="00512BE8"/>
    <w:rsid w:val="005170B3"/>
    <w:rsid w:val="00526541"/>
    <w:rsid w:val="00527253"/>
    <w:rsid w:val="00535656"/>
    <w:rsid w:val="005465BF"/>
    <w:rsid w:val="0055036C"/>
    <w:rsid w:val="0055050E"/>
    <w:rsid w:val="005547EB"/>
    <w:rsid w:val="0056051E"/>
    <w:rsid w:val="00575275"/>
    <w:rsid w:val="005831BC"/>
    <w:rsid w:val="0058586B"/>
    <w:rsid w:val="00590BEF"/>
    <w:rsid w:val="005911EC"/>
    <w:rsid w:val="005968EC"/>
    <w:rsid w:val="00597D61"/>
    <w:rsid w:val="005A7048"/>
    <w:rsid w:val="005B61DD"/>
    <w:rsid w:val="005B7D40"/>
    <w:rsid w:val="005D1FD9"/>
    <w:rsid w:val="005D36F4"/>
    <w:rsid w:val="005E059D"/>
    <w:rsid w:val="0060236B"/>
    <w:rsid w:val="006067DB"/>
    <w:rsid w:val="00617FBE"/>
    <w:rsid w:val="006232FB"/>
    <w:rsid w:val="00625939"/>
    <w:rsid w:val="00631634"/>
    <w:rsid w:val="0063485D"/>
    <w:rsid w:val="00640CE5"/>
    <w:rsid w:val="00642833"/>
    <w:rsid w:val="00645A17"/>
    <w:rsid w:val="00656C30"/>
    <w:rsid w:val="00660812"/>
    <w:rsid w:val="0066408A"/>
    <w:rsid w:val="006770CF"/>
    <w:rsid w:val="006820FA"/>
    <w:rsid w:val="00682AE8"/>
    <w:rsid w:val="00687103"/>
    <w:rsid w:val="006A36E9"/>
    <w:rsid w:val="006A4936"/>
    <w:rsid w:val="006B347D"/>
    <w:rsid w:val="006B427C"/>
    <w:rsid w:val="006B6D20"/>
    <w:rsid w:val="006C0A01"/>
    <w:rsid w:val="006C2419"/>
    <w:rsid w:val="006C2953"/>
    <w:rsid w:val="006C42D4"/>
    <w:rsid w:val="006C4D0B"/>
    <w:rsid w:val="006D3091"/>
    <w:rsid w:val="006E1128"/>
    <w:rsid w:val="006E1986"/>
    <w:rsid w:val="006E368D"/>
    <w:rsid w:val="006E5731"/>
    <w:rsid w:val="006E7F15"/>
    <w:rsid w:val="006F20EA"/>
    <w:rsid w:val="007043C4"/>
    <w:rsid w:val="007231B3"/>
    <w:rsid w:val="0073639A"/>
    <w:rsid w:val="00736EAF"/>
    <w:rsid w:val="00741381"/>
    <w:rsid w:val="00742970"/>
    <w:rsid w:val="00745EC8"/>
    <w:rsid w:val="00746DDD"/>
    <w:rsid w:val="00747610"/>
    <w:rsid w:val="00747CDA"/>
    <w:rsid w:val="00763F7A"/>
    <w:rsid w:val="007643A9"/>
    <w:rsid w:val="00774ABF"/>
    <w:rsid w:val="00777E8C"/>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3B89"/>
    <w:rsid w:val="00817E79"/>
    <w:rsid w:val="008218C3"/>
    <w:rsid w:val="00824835"/>
    <w:rsid w:val="00833325"/>
    <w:rsid w:val="00837252"/>
    <w:rsid w:val="0084076C"/>
    <w:rsid w:val="0084132F"/>
    <w:rsid w:val="00850697"/>
    <w:rsid w:val="008516D5"/>
    <w:rsid w:val="008610A7"/>
    <w:rsid w:val="00874836"/>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861F7"/>
    <w:rsid w:val="00993D19"/>
    <w:rsid w:val="009967DF"/>
    <w:rsid w:val="009C1A24"/>
    <w:rsid w:val="009D0DDC"/>
    <w:rsid w:val="009E5BAA"/>
    <w:rsid w:val="009F7B3A"/>
    <w:rsid w:val="00A00447"/>
    <w:rsid w:val="00A1195F"/>
    <w:rsid w:val="00A23657"/>
    <w:rsid w:val="00A247F8"/>
    <w:rsid w:val="00A26D54"/>
    <w:rsid w:val="00A27840"/>
    <w:rsid w:val="00A27AC1"/>
    <w:rsid w:val="00A3534A"/>
    <w:rsid w:val="00A35853"/>
    <w:rsid w:val="00A3669A"/>
    <w:rsid w:val="00A54C58"/>
    <w:rsid w:val="00A55287"/>
    <w:rsid w:val="00A71C56"/>
    <w:rsid w:val="00A738B2"/>
    <w:rsid w:val="00A767CF"/>
    <w:rsid w:val="00A8001C"/>
    <w:rsid w:val="00A82C17"/>
    <w:rsid w:val="00A84342"/>
    <w:rsid w:val="00A849AF"/>
    <w:rsid w:val="00A9677B"/>
    <w:rsid w:val="00AA3008"/>
    <w:rsid w:val="00AA37A3"/>
    <w:rsid w:val="00AA3D03"/>
    <w:rsid w:val="00AA519D"/>
    <w:rsid w:val="00AA7AEC"/>
    <w:rsid w:val="00AB2865"/>
    <w:rsid w:val="00AB602F"/>
    <w:rsid w:val="00AD6E51"/>
    <w:rsid w:val="00AE257A"/>
    <w:rsid w:val="00AF231C"/>
    <w:rsid w:val="00B01754"/>
    <w:rsid w:val="00B02FA1"/>
    <w:rsid w:val="00B0493E"/>
    <w:rsid w:val="00B05E50"/>
    <w:rsid w:val="00B2396E"/>
    <w:rsid w:val="00B25AD7"/>
    <w:rsid w:val="00B40B51"/>
    <w:rsid w:val="00B64BF5"/>
    <w:rsid w:val="00B92472"/>
    <w:rsid w:val="00BA0017"/>
    <w:rsid w:val="00BA51EC"/>
    <w:rsid w:val="00BB1658"/>
    <w:rsid w:val="00BB20D7"/>
    <w:rsid w:val="00BB5B71"/>
    <w:rsid w:val="00BC0144"/>
    <w:rsid w:val="00BD17AC"/>
    <w:rsid w:val="00BD5B29"/>
    <w:rsid w:val="00BE4D0E"/>
    <w:rsid w:val="00BE789D"/>
    <w:rsid w:val="00BE7EE3"/>
    <w:rsid w:val="00BF34F1"/>
    <w:rsid w:val="00BF4504"/>
    <w:rsid w:val="00BF6EC0"/>
    <w:rsid w:val="00C076A6"/>
    <w:rsid w:val="00C206E1"/>
    <w:rsid w:val="00C232AB"/>
    <w:rsid w:val="00C24F2E"/>
    <w:rsid w:val="00C258C8"/>
    <w:rsid w:val="00C33A34"/>
    <w:rsid w:val="00C34C73"/>
    <w:rsid w:val="00C3638C"/>
    <w:rsid w:val="00C37CA6"/>
    <w:rsid w:val="00C509FC"/>
    <w:rsid w:val="00C553AD"/>
    <w:rsid w:val="00C603D7"/>
    <w:rsid w:val="00C7257B"/>
    <w:rsid w:val="00C8336B"/>
    <w:rsid w:val="00C9685D"/>
    <w:rsid w:val="00C96D4D"/>
    <w:rsid w:val="00CC52EC"/>
    <w:rsid w:val="00CC6AD3"/>
    <w:rsid w:val="00CE07BF"/>
    <w:rsid w:val="00CF27FC"/>
    <w:rsid w:val="00D0557B"/>
    <w:rsid w:val="00D16C1A"/>
    <w:rsid w:val="00D172C8"/>
    <w:rsid w:val="00D172CF"/>
    <w:rsid w:val="00D34EFC"/>
    <w:rsid w:val="00D41A21"/>
    <w:rsid w:val="00D424AC"/>
    <w:rsid w:val="00D45EA6"/>
    <w:rsid w:val="00D51800"/>
    <w:rsid w:val="00D56EA3"/>
    <w:rsid w:val="00D611BE"/>
    <w:rsid w:val="00D619E7"/>
    <w:rsid w:val="00D64C06"/>
    <w:rsid w:val="00D64EC3"/>
    <w:rsid w:val="00D84A84"/>
    <w:rsid w:val="00D864CC"/>
    <w:rsid w:val="00DA4451"/>
    <w:rsid w:val="00DB195C"/>
    <w:rsid w:val="00DB4FC1"/>
    <w:rsid w:val="00DB59D3"/>
    <w:rsid w:val="00DC0C33"/>
    <w:rsid w:val="00DD25A9"/>
    <w:rsid w:val="00DD2E1E"/>
    <w:rsid w:val="00DE4649"/>
    <w:rsid w:val="00DE76E9"/>
    <w:rsid w:val="00DF3BA2"/>
    <w:rsid w:val="00E02410"/>
    <w:rsid w:val="00E0634E"/>
    <w:rsid w:val="00E1336B"/>
    <w:rsid w:val="00E33B42"/>
    <w:rsid w:val="00E3400E"/>
    <w:rsid w:val="00E4484F"/>
    <w:rsid w:val="00E61C2F"/>
    <w:rsid w:val="00E636BF"/>
    <w:rsid w:val="00E71A03"/>
    <w:rsid w:val="00E72CCC"/>
    <w:rsid w:val="00E80500"/>
    <w:rsid w:val="00E86AD0"/>
    <w:rsid w:val="00E973BE"/>
    <w:rsid w:val="00EA50E6"/>
    <w:rsid w:val="00EC04DF"/>
    <w:rsid w:val="00EC05E3"/>
    <w:rsid w:val="00ED0FFD"/>
    <w:rsid w:val="00EE63A1"/>
    <w:rsid w:val="00EF316E"/>
    <w:rsid w:val="00EF3D98"/>
    <w:rsid w:val="00F024FC"/>
    <w:rsid w:val="00F04CBC"/>
    <w:rsid w:val="00F06A6A"/>
    <w:rsid w:val="00F112C0"/>
    <w:rsid w:val="00F20052"/>
    <w:rsid w:val="00F36366"/>
    <w:rsid w:val="00F568E6"/>
    <w:rsid w:val="00F70210"/>
    <w:rsid w:val="00F705D5"/>
    <w:rsid w:val="00F75BE8"/>
    <w:rsid w:val="00F8325C"/>
    <w:rsid w:val="00FA3068"/>
    <w:rsid w:val="00FB2E99"/>
    <w:rsid w:val="00FB59A2"/>
    <w:rsid w:val="00FC031C"/>
    <w:rsid w:val="00FC1A9F"/>
    <w:rsid w:val="00FD279F"/>
    <w:rsid w:val="00FD67D1"/>
    <w:rsid w:val="00FF54BE"/>
    <w:rsid w:val="03A81E16"/>
    <w:rsid w:val="0CA82AC4"/>
    <w:rsid w:val="0E4B63E2"/>
    <w:rsid w:val="10AE6120"/>
    <w:rsid w:val="11437FDD"/>
    <w:rsid w:val="148B75BC"/>
    <w:rsid w:val="20792546"/>
    <w:rsid w:val="216D64F7"/>
    <w:rsid w:val="269D21F9"/>
    <w:rsid w:val="275A34C6"/>
    <w:rsid w:val="2B8101D0"/>
    <w:rsid w:val="2F565974"/>
    <w:rsid w:val="340C668B"/>
    <w:rsid w:val="34CA5ACD"/>
    <w:rsid w:val="366C4B34"/>
    <w:rsid w:val="38966226"/>
    <w:rsid w:val="38B05B5E"/>
    <w:rsid w:val="3BAE5737"/>
    <w:rsid w:val="44FF48D5"/>
    <w:rsid w:val="46AF70E5"/>
    <w:rsid w:val="4EC70B92"/>
    <w:rsid w:val="4F8537C2"/>
    <w:rsid w:val="514E2DFA"/>
    <w:rsid w:val="52A32E2E"/>
    <w:rsid w:val="55085A60"/>
    <w:rsid w:val="55A726C6"/>
    <w:rsid w:val="571961BE"/>
    <w:rsid w:val="5DDA2B31"/>
    <w:rsid w:val="60256EF4"/>
    <w:rsid w:val="65146C84"/>
    <w:rsid w:val="69A668E3"/>
    <w:rsid w:val="6DDB2AEC"/>
    <w:rsid w:val="6E5673E4"/>
    <w:rsid w:val="70660DD2"/>
    <w:rsid w:val="73EF579C"/>
    <w:rsid w:val="76DD7FF1"/>
    <w:rsid w:val="76E5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unhideWhenUsed/>
    <w:qFormat/>
    <w:uiPriority w:val="9"/>
    <w:pPr>
      <w:keepNext/>
      <w:keepLines/>
      <w:spacing w:before="80" w:after="0" w:line="240" w:lineRule="auto"/>
      <w:outlineLvl w:val="2"/>
    </w:pPr>
    <w:rPr>
      <w:rFonts w:ascii="微软雅黑" w:hAnsi="微软雅黑" w:eastAsia="微软雅黑" w:cs="微软雅黑"/>
      <w:b/>
      <w:bCs/>
      <w:caps/>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link w:val="79"/>
    <w:unhideWhenUsed/>
    <w:qFormat/>
    <w:uiPriority w:val="0"/>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numPr>
        <w:ilvl w:val="0"/>
        <w:numId w:val="1"/>
      </w:numPr>
      <w:ind w:left="425" w:leftChars="200" w:hanging="5"/>
      <w:jc w:val="both"/>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unhideWhenUsed/>
    <w:qFormat/>
    <w:uiPriority w:val="0"/>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qFormat/>
    <w:uiPriority w:val="9"/>
    <w:rPr>
      <w:rFonts w:ascii="微软雅黑" w:hAnsi="微软雅黑" w:eastAsia="微软雅黑" w:cs="微软雅黑"/>
      <w:b/>
      <w:bCs/>
      <w:caps/>
      <w:sz w:val="21"/>
      <w:szCs w:val="21"/>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批注文字 字符"/>
    <w:basedOn w:val="31"/>
    <w:link w:val="12"/>
    <w:uiPriority w:val="0"/>
    <w:rPr>
      <w:rFonts w:asciiTheme="minorHAnsi" w:hAnsiTheme="minorHAnsi" w:eastAsiaTheme="minorEastAsia" w:cstheme="minorBidi"/>
      <w:sz w:val="21"/>
      <w:szCs w:val="21"/>
    </w:rPr>
  </w:style>
  <w:style w:type="paragraph" w:customStyle="1" w:styleId="80">
    <w:name w:val="Table Text"/>
    <w:basedOn w:val="1"/>
    <w:uiPriority w:val="0"/>
    <w:rPr>
      <w:rFonts w:ascii="宋体" w:hAnsi="宋体" w:eastAsia="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25</Pages>
  <Words>8619</Words>
  <Characters>9140</Characters>
  <Lines>381</Lines>
  <Paragraphs>371</Paragraphs>
  <TotalTime>312</TotalTime>
  <ScaleCrop>false</ScaleCrop>
  <LinksUpToDate>false</LinksUpToDate>
  <CharactersWithSpaces>9935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2025-05-22T08:55:00Z</dcterms:created>
  <dc:creator>513706183@qq.com</dc:creator>
  <cp:lastModifiedBy>陈小萌</cp:lastModifiedBy>
  <cp:lastPrinted>2024-01-30T08:05:00Z</cp:lastPrinted>
  <dcterms:modified xsi:type="dcterms:W3CDTF">2025-09-17T09:41:40Z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6213C8EABF294A6394E96711EA664FEC_13</vt:lpwstr>
  </property>
  <property fmtid="{D5CDD505-2E9C-101B-9397-08002B2CF9AE}" pid="4" name="KSOTemplateDocerSaveRecord">
    <vt:lpwstr>eyJoZGlkIjoiODhkM2E2MTg4YzA0ODg3MmI4NjE2NTZlY2U0ZmM5MjAiLCJ1c2VySWQiOiIyNTYyMzY5NzkifQ==</vt:lpwstr>
  </property>
</Properties>
</file>