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黑体"/>
              <w:b/>
              <w:bCs/>
              <w:sz w:val="56"/>
              <w:szCs w:val="56"/>
              <w:highlight w:val="none"/>
            </w:rPr>
          </w:pPr>
          <w:bookmarkStart w:id="0" w:name="_Toc245092759"/>
          <w:bookmarkStart w:id="1" w:name="_Toc328559326"/>
          <w:bookmarkStart w:id="2" w:name="_Toc273602339"/>
          <w:r>
            <w:rPr>
              <w:rFonts w:hint="eastAsia" w:eastAsia="黑体"/>
              <w:b/>
              <w:bCs/>
              <w:sz w:val="56"/>
              <w:szCs w:val="56"/>
              <w:highlight w:val="none"/>
            </w:rPr>
            <w:t>城市更新项目</w:t>
          </w:r>
        </w:p>
        <w:p w14:paraId="3EC20F31">
          <w:pPr>
            <w:spacing w:line="360" w:lineRule="auto"/>
            <w:jc w:val="center"/>
            <w:rPr>
              <w:rFonts w:ascii="Arial" w:hAnsi="Arial" w:eastAsia="黑体"/>
              <w:b/>
              <w:sz w:val="72"/>
              <w:szCs w:val="72"/>
              <w:highlight w:val="none"/>
            </w:rPr>
          </w:pPr>
          <w:r>
            <w:rPr>
              <w:rFonts w:hint="eastAsia" w:eastAsia="黑体"/>
              <w:b/>
              <w:bCs/>
              <w:sz w:val="56"/>
              <w:szCs w:val="56"/>
              <w:highlight w:val="none"/>
              <w:lang w:val="en-US" w:eastAsia="zh-CN"/>
            </w:rPr>
            <w:t>小红书信息流广告投放</w:t>
          </w:r>
          <w:r>
            <w:rPr>
              <w:rFonts w:eastAsia="黑体"/>
              <w:sz w:val="144"/>
              <w:szCs w:val="28"/>
              <w:highlight w:val="none"/>
            </w:rPr>
            <w:tab/>
          </w:r>
        </w:p>
        <w:p w14:paraId="2432D4C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“城市更新项目小红书信息流广告投放”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w:t>
      </w:r>
      <w:r>
        <w:rPr>
          <w:rFonts w:hint="eastAsia" w:ascii="微软雅黑" w:hAnsi="微软雅黑" w:eastAsia="微软雅黑" w:cs="微软雅黑"/>
          <w:color w:val="000000"/>
          <w:sz w:val="24"/>
          <w:szCs w:val="24"/>
          <w:highlight w:val="none"/>
          <w:lang w:val="zh-CN"/>
        </w:rPr>
        <w:t>小红书信息流广告投放服务</w:t>
      </w:r>
    </w:p>
    <w:p w14:paraId="3F5DAD9B">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不超过4</w:t>
      </w:r>
      <w:r>
        <w:rPr>
          <w:rFonts w:hint="eastAsia" w:ascii="微软雅黑" w:hAnsi="微软雅黑" w:eastAsia="微软雅黑" w:cs="微软雅黑"/>
          <w:color w:val="000000"/>
          <w:sz w:val="24"/>
          <w:szCs w:val="24"/>
          <w:highlight w:val="none"/>
          <w:lang w:val="zh-CN"/>
        </w:rPr>
        <w:t>万元（含税）</w:t>
      </w:r>
    </w:p>
    <w:p w14:paraId="02B9E919">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小红书</w:t>
      </w:r>
    </w:p>
    <w:p w14:paraId="549988CA">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结算方式：按 CPM（千次曝光成本）单价执行，据实结算，总费用不超过预算上</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万元（</w:t>
      </w:r>
      <w:r>
        <w:rPr>
          <w:rFonts w:hint="eastAsia" w:ascii="微软雅黑" w:hAnsi="微软雅黑" w:eastAsia="微软雅黑" w:cs="微软雅黑"/>
          <w:color w:val="000000"/>
          <w:sz w:val="24"/>
          <w:szCs w:val="24"/>
          <w:highlight w:val="none"/>
          <w:lang w:val="en-US" w:eastAsia="zh-CN"/>
        </w:rPr>
        <w:t>含税</w:t>
      </w:r>
      <w:r>
        <w:rPr>
          <w:rFonts w:hint="eastAsia" w:ascii="微软雅黑" w:hAnsi="微软雅黑" w:eastAsia="微软雅黑" w:cs="微软雅黑"/>
          <w:color w:val="000000"/>
          <w:sz w:val="24"/>
          <w:szCs w:val="24"/>
          <w:highlight w:val="none"/>
          <w:lang w:val="zh-CN"/>
        </w:rPr>
        <w:t>）。</w:t>
      </w:r>
    </w:p>
    <w:p w14:paraId="3755E870">
      <w:pPr>
        <w:pStyle w:val="28"/>
        <w:numPr>
          <w:ilvl w:val="0"/>
          <w:numId w:val="1"/>
        </w:numPr>
        <w:ind w:left="425" w:leftChars="0" w:hanging="425" w:firstLineChars="0"/>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小红书信息流广告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5004FE3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717F83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2、经询价小组评审符合询价文件规定条件的有效投标人如低于三家，则本次招标流标（另行重新组织询价）；</w:t>
      </w:r>
    </w:p>
    <w:p w14:paraId="130432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3、在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eastAsia="zh-CN"/>
        </w:rPr>
        <w:t>加盖公章。</w:t>
      </w:r>
    </w:p>
    <w:p w14:paraId="27FD65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eastAsia="zh-CN"/>
        </w:rPr>
        <w:t>加盖公章。</w:t>
      </w:r>
    </w:p>
    <w:p w14:paraId="1E330214">
      <w:pPr>
        <w:pStyle w:val="28"/>
        <w:rPr>
          <w:rFonts w:hint="eastAsia"/>
          <w:highlight w:val="none"/>
          <w:lang w:val="zh-CN"/>
        </w:rPr>
      </w:pP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75" w:type="dxa"/>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2028" w:type="dxa"/>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3512" w:type="dxa"/>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3540" w:type="dxa"/>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028" w:type="dxa"/>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3512" w:type="dxa"/>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日</w:t>
            </w:r>
          </w:p>
        </w:tc>
        <w:tc>
          <w:tcPr>
            <w:tcW w:w="3540" w:type="dxa"/>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2028" w:type="dxa"/>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3512" w:type="dxa"/>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3540" w:type="dxa"/>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5" w:type="dxa"/>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2028" w:type="dxa"/>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3512" w:type="dxa"/>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日（暂定）</w:t>
            </w:r>
          </w:p>
        </w:tc>
        <w:tc>
          <w:tcPr>
            <w:tcW w:w="3540" w:type="dxa"/>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2658930F">
      <w:pPr>
        <w:tabs>
          <w:tab w:val="left" w:pos="993"/>
        </w:tabs>
        <w:spacing w:line="360" w:lineRule="auto"/>
        <w:ind w:firstLine="420" w:firstLineChars="200"/>
        <w:rPr>
          <w:rFonts w:hint="eastAsia" w:ascii="微软雅黑" w:hAnsi="微软雅黑" w:eastAsia="微软雅黑" w:cs="微软雅黑"/>
          <w:highlight w:val="none"/>
        </w:rPr>
      </w:pPr>
    </w:p>
    <w:p w14:paraId="4E9158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1、预算金额：不超过4万元（含税）</w:t>
      </w:r>
    </w:p>
    <w:p w14:paraId="3C8C29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2、结算方式：按 CPM（千次曝光成本）单价执行，据实结算，总费用不超过预算上限4万元（含税）。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3、招标内容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小红书信息流广告投放。</w:t>
      </w:r>
    </w:p>
    <w:p w14:paraId="12D083DE">
      <w:pPr>
        <w:pStyle w:val="24"/>
        <w:spacing w:line="36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7" w:name="_Toc273602342"/>
      <w:bookmarkStart w:id="8" w:name="_Toc245092762"/>
      <w:bookmarkStart w:id="9" w:name="_Toc39733479"/>
      <w:bookmarkStart w:id="10" w:name="_Toc22397"/>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小红书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028818"/>
      <w:bookmarkStart w:id="13" w:name="_Toc245714170"/>
      <w:bookmarkStart w:id="14" w:name="_Toc39733482"/>
      <w:bookmarkStart w:id="15" w:name="_Toc2829"/>
      <w:bookmarkStart w:id="16"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45714173"/>
      <w:bookmarkStart w:id="18" w:name="_Toc20758"/>
      <w:bookmarkStart w:id="19" w:name="_Toc39733483"/>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w:t>
      </w:r>
      <w:r>
        <w:rPr>
          <w:rFonts w:hint="eastAsia" w:ascii="微软雅黑" w:hAnsi="微软雅黑" w:eastAsia="微软雅黑" w:cs="微软雅黑"/>
          <w:sz w:val="21"/>
          <w:szCs w:val="21"/>
          <w:highlight w:val="none"/>
          <w:u w:val="single"/>
          <w:lang w:eastAsia="zh-CN"/>
        </w:rPr>
        <w:t>小红书信息流广告投放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39733484"/>
      <w:bookmarkStart w:id="22" w:name="_Toc245714174"/>
      <w:bookmarkStart w:id="23" w:name="_Toc273602356"/>
      <w:bookmarkStart w:id="24" w:name="_Toc10239"/>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小红书信息流广告投放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A885B84">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rPr>
        <w:t>附件三：</w:t>
      </w:r>
    </w:p>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小红书信息流广告投放</w:t>
      </w:r>
      <w:r>
        <w:rPr>
          <w:rFonts w:hint="eastAsia" w:ascii="微软雅黑" w:hAnsi="微软雅黑" w:eastAsia="微软雅黑" w:cs="微软雅黑"/>
          <w:highlight w:val="none"/>
          <w:u w:val="single"/>
          <w:lang w:val="en-US" w:eastAsia="zh-CN"/>
        </w:rPr>
        <w:t xml:space="preserve">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1CFE4B83">
      <w:pPr>
        <w:pStyle w:val="18"/>
        <w:snapToGrid w:val="0"/>
        <w:spacing w:line="360" w:lineRule="auto"/>
        <w:ind w:firstLine="420" w:firstLineChars="200"/>
        <w:jc w:val="right"/>
        <w:rPr>
          <w:rFonts w:hint="eastAsia" w:ascii="微软雅黑" w:hAnsi="微软雅黑" w:eastAsia="微软雅黑" w:cs="微软雅黑"/>
          <w:highlight w:val="none"/>
        </w:rPr>
      </w:pP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3B3324C0">
      <w:pPr>
        <w:numPr>
          <w:ilvl w:val="0"/>
          <w:numId w:val="3"/>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：有效的营业执照，经营范围包含广告发布、媒体推广等相关业务；</w:t>
      </w:r>
    </w:p>
    <w:p w14:paraId="7F800875">
      <w:pPr>
        <w:numPr>
          <w:ilvl w:val="0"/>
          <w:numId w:val="3"/>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业绩证明文件：自2022年1月1日起与不同房地产开发商签订的至少5份小红书信息流广告合同，每份合同金额不低于5万元；</w:t>
      </w:r>
    </w:p>
    <w:p w14:paraId="378948BC">
      <w:pPr>
        <w:pStyle w:val="28"/>
        <w:numPr>
          <w:ilvl w:val="0"/>
          <w:numId w:val="3"/>
        </w:numPr>
        <w:ind w:left="0" w:leftChars="0" w:firstLine="0" w:firstLineChars="0"/>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14F3F462">
      <w:pPr>
        <w:rPr>
          <w:rFonts w:hint="eastAsia" w:ascii="微软雅黑" w:hAnsi="微软雅黑" w:eastAsia="微软雅黑" w:cs="微软雅黑"/>
          <w:sz w:val="22"/>
          <w:szCs w:val="22"/>
          <w:highlight w:val="none"/>
          <w:lang w:eastAsia="zh-CN"/>
        </w:rPr>
      </w:pPr>
    </w:p>
    <w:p w14:paraId="2B780705">
      <w:pPr>
        <w:rPr>
          <w:rFonts w:hint="eastAsia" w:ascii="微软雅黑" w:hAnsi="微软雅黑" w:eastAsia="微软雅黑" w:cs="微软雅黑"/>
          <w:sz w:val="22"/>
          <w:szCs w:val="22"/>
          <w:highlight w:val="none"/>
          <w:lang w:eastAsia="zh-CN"/>
        </w:rPr>
      </w:pPr>
    </w:p>
    <w:p w14:paraId="08B3455F">
      <w:pPr>
        <w:rPr>
          <w:rFonts w:hint="eastAsia" w:ascii="微软雅黑" w:hAnsi="微软雅黑" w:eastAsia="微软雅黑" w:cs="微软雅黑"/>
          <w:sz w:val="22"/>
          <w:szCs w:val="22"/>
          <w:highlight w:val="none"/>
          <w:lang w:eastAsia="zh-CN"/>
        </w:rPr>
      </w:pPr>
    </w:p>
    <w:p w14:paraId="4F71EAC9">
      <w:pPr>
        <w:rPr>
          <w:rFonts w:hint="eastAsia" w:ascii="微软雅黑" w:hAnsi="微软雅黑" w:eastAsia="微软雅黑" w:cs="微软雅黑"/>
          <w:sz w:val="22"/>
          <w:szCs w:val="22"/>
          <w:highlight w:val="none"/>
          <w:lang w:eastAsia="zh-CN"/>
        </w:rPr>
      </w:pPr>
    </w:p>
    <w:p w14:paraId="4D70F6AE">
      <w:pPr>
        <w:rPr>
          <w:rFonts w:hint="eastAsia" w:ascii="微软雅黑" w:hAnsi="微软雅黑" w:eastAsia="微软雅黑" w:cs="微软雅黑"/>
          <w:sz w:val="22"/>
          <w:szCs w:val="22"/>
          <w:highlight w:val="none"/>
          <w:lang w:eastAsia="zh-CN"/>
        </w:rPr>
      </w:pPr>
    </w:p>
    <w:p w14:paraId="3D399EFB">
      <w:pPr>
        <w:rPr>
          <w:rFonts w:hint="eastAsia" w:ascii="微软雅黑" w:hAnsi="微软雅黑" w:eastAsia="微软雅黑" w:cs="微软雅黑"/>
          <w:sz w:val="22"/>
          <w:szCs w:val="22"/>
          <w:highlight w:val="none"/>
          <w:lang w:eastAsia="zh-CN"/>
        </w:rPr>
      </w:pPr>
    </w:p>
    <w:p w14:paraId="42F63D14">
      <w:pPr>
        <w:rPr>
          <w:rFonts w:hint="eastAsia" w:ascii="微软雅黑" w:hAnsi="微软雅黑" w:eastAsia="微软雅黑" w:cs="微软雅黑"/>
          <w:sz w:val="22"/>
          <w:szCs w:val="22"/>
          <w:highlight w:val="none"/>
          <w:lang w:eastAsia="zh-CN"/>
        </w:rPr>
      </w:pPr>
    </w:p>
    <w:p w14:paraId="56BCD0D1">
      <w:pPr>
        <w:rPr>
          <w:rFonts w:hint="eastAsia" w:ascii="微软雅黑" w:hAnsi="微软雅黑" w:eastAsia="微软雅黑" w:cs="微软雅黑"/>
          <w:sz w:val="22"/>
          <w:szCs w:val="22"/>
          <w:highlight w:val="none"/>
          <w:lang w:eastAsia="zh-CN"/>
        </w:rPr>
      </w:pPr>
    </w:p>
    <w:p w14:paraId="1E025770">
      <w:pPr>
        <w:rPr>
          <w:rFonts w:hint="eastAsia" w:ascii="微软雅黑" w:hAnsi="微软雅黑" w:eastAsia="微软雅黑" w:cs="微软雅黑"/>
          <w:sz w:val="22"/>
          <w:szCs w:val="22"/>
          <w:highlight w:val="none"/>
          <w:lang w:eastAsia="zh-CN"/>
        </w:rPr>
      </w:pPr>
    </w:p>
    <w:p w14:paraId="23FEA74A">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588F730C">
      <w:pPr>
        <w:jc w:val="center"/>
        <w:rPr>
          <w:rFonts w:hint="eastAsia"/>
          <w:b/>
          <w:bCs/>
          <w:sz w:val="52"/>
          <w:szCs w:val="52"/>
          <w:lang w:val="en-US" w:eastAsia="zh-CN"/>
        </w:rPr>
      </w:pPr>
      <w:r>
        <w:rPr>
          <w:rFonts w:hint="eastAsia"/>
          <w:b/>
          <w:bCs/>
          <w:sz w:val="52"/>
          <w:szCs w:val="52"/>
          <w:lang w:val="en-US" w:eastAsia="zh-CN"/>
        </w:rPr>
        <w:t>合作确认书</w:t>
      </w:r>
    </w:p>
    <w:p w14:paraId="4EE86C78">
      <w:pPr>
        <w:jc w:val="center"/>
        <w:rPr>
          <w:rFonts w:hint="eastAsia"/>
          <w:b/>
          <w:bCs/>
          <w:lang w:val="en-US" w:eastAsia="zh-CN"/>
        </w:rPr>
      </w:pPr>
    </w:p>
    <w:p w14:paraId="43617B07">
      <w:pPr>
        <w:rPr>
          <w:rFonts w:hint="default" w:ascii="微软雅黑" w:hAnsi="微软雅黑" w:eastAsia="微软雅黑" w:cs="微软雅黑"/>
          <w:color w:val="000000"/>
          <w:sz w:val="24"/>
          <w:szCs w:val="24"/>
          <w:lang w:val="en-US" w:eastAsia="zh-CN"/>
        </w:rPr>
      </w:pPr>
      <w:r>
        <w:rPr>
          <w:rFonts w:hint="eastAsia"/>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小红书信息流广告投放招标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23618410">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07CC858A">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rPr>
        <w:t>投放过程中，需根据甲方需求提供广告投放后台</w:t>
      </w:r>
      <w:r>
        <w:rPr>
          <w:rFonts w:hint="eastAsia" w:ascii="微软雅黑" w:hAnsi="微软雅黑" w:eastAsia="微软雅黑" w:cs="微软雅黑"/>
          <w:color w:val="000000"/>
          <w:sz w:val="24"/>
          <w:szCs w:val="24"/>
          <w:lang w:val="en-US" w:eastAsia="zh-CN"/>
        </w:rPr>
        <w:t>真实数据</w:t>
      </w:r>
      <w:r>
        <w:rPr>
          <w:rFonts w:hint="default" w:ascii="微软雅黑" w:hAnsi="微软雅黑" w:eastAsia="微软雅黑" w:cs="微软雅黑"/>
          <w:color w:val="000000"/>
          <w:sz w:val="24"/>
          <w:szCs w:val="24"/>
          <w:lang w:val="en-US" w:eastAsia="zh-CN"/>
        </w:rPr>
        <w:t>，</w:t>
      </w:r>
      <w:r>
        <w:rPr>
          <w:rFonts w:hint="eastAsia" w:ascii="微软雅黑" w:hAnsi="微软雅黑" w:eastAsia="微软雅黑" w:cs="微软雅黑"/>
          <w:color w:val="000000"/>
          <w:sz w:val="24"/>
          <w:szCs w:val="24"/>
          <w:lang w:val="en-US" w:eastAsia="zh-CN"/>
        </w:rPr>
        <w:t>以确保投放</w:t>
      </w:r>
      <w:r>
        <w:rPr>
          <w:rFonts w:hint="default" w:ascii="微软雅黑" w:hAnsi="微软雅黑" w:eastAsia="微软雅黑" w:cs="微软雅黑"/>
          <w:color w:val="000000"/>
          <w:sz w:val="24"/>
          <w:szCs w:val="24"/>
          <w:lang w:val="en-US" w:eastAsia="zh-CN"/>
        </w:rPr>
        <w:t>曝光量</w:t>
      </w:r>
      <w:r>
        <w:rPr>
          <w:rFonts w:hint="eastAsia" w:ascii="微软雅黑" w:hAnsi="微软雅黑" w:eastAsia="微软雅黑" w:cs="微软雅黑"/>
          <w:color w:val="000000"/>
          <w:sz w:val="24"/>
          <w:szCs w:val="24"/>
          <w:lang w:val="en-US" w:eastAsia="zh-CN"/>
        </w:rPr>
        <w:t>真实、有效；</w:t>
      </w:r>
    </w:p>
    <w:p w14:paraId="445B9130">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239861AB">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3DCFCD16">
      <w:pPr>
        <w:numPr>
          <w:ilvl w:val="0"/>
          <w:numId w:val="4"/>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确保投放的广告不被封户下线；</w:t>
      </w:r>
    </w:p>
    <w:p w14:paraId="5437C7B4">
      <w:pPr>
        <w:numPr>
          <w:ilvl w:val="0"/>
          <w:numId w:val="0"/>
        </w:numPr>
        <w:rPr>
          <w:rFonts w:hint="default" w:ascii="微软雅黑" w:hAnsi="微软雅黑" w:eastAsia="微软雅黑" w:cs="微软雅黑"/>
          <w:color w:val="000000"/>
          <w:sz w:val="24"/>
          <w:szCs w:val="24"/>
          <w:lang w:val="en-US" w:eastAsia="zh-CN"/>
        </w:rPr>
      </w:pP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67405FD">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085DBD54">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3E8C1004">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53E7122E">
      <w:pPr>
        <w:numPr>
          <w:ilvl w:val="0"/>
          <w:numId w:val="0"/>
        </w:numPr>
        <w:ind w:firstLine="6243" w:firstLineChars="2600"/>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738CE4C4">
      <w:pPr>
        <w:pStyle w:val="28"/>
        <w:rPr>
          <w:rFonts w:hint="eastAsia"/>
          <w:lang w:val="en-US" w:eastAsia="zh-CN"/>
        </w:rPr>
      </w:pPr>
    </w:p>
    <w:p w14:paraId="38C107DB">
      <w:pPr>
        <w:pStyle w:val="4"/>
        <w:spacing w:line="360" w:lineRule="auto"/>
        <w:jc w:val="both"/>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8" w:name="_Toc11208"/>
    </w:p>
    <w:bookmarkEnd w:id="25"/>
    <w:bookmarkEnd w:id="26"/>
    <w:bookmarkEnd w:id="28"/>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360" w:lineRule="auto"/>
            <w:jc w:val="center"/>
            <w:rPr>
              <w:rFonts w:hint="eastAsia" w:eastAsia="黑体"/>
              <w:b/>
              <w:bCs/>
              <w:sz w:val="22"/>
              <w:szCs w:val="22"/>
              <w:highlight w:val="none"/>
              <w:lang w:val="zh-CN"/>
            </w:rPr>
          </w:pPr>
        </w:p>
        <w:p w14:paraId="45961266">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城市更新项目</w:t>
          </w:r>
        </w:p>
        <w:p w14:paraId="59D427B8">
          <w:pPr>
            <w:spacing w:line="360" w:lineRule="auto"/>
            <w:jc w:val="center"/>
            <w:rPr>
              <w:rFonts w:hint="eastAsia" w:ascii="宋体" w:hAnsi="宋体"/>
              <w:b/>
              <w:bCs/>
              <w:sz w:val="56"/>
              <w:szCs w:val="56"/>
              <w:highlight w:val="none"/>
            </w:rPr>
          </w:pPr>
          <w:r>
            <w:rPr>
              <w:rFonts w:hint="eastAsia" w:eastAsia="黑体"/>
              <w:b/>
              <w:bCs/>
              <w:sz w:val="56"/>
              <w:szCs w:val="56"/>
              <w:highlight w:val="none"/>
              <w:lang w:val="zh-CN"/>
            </w:rPr>
            <w:t>小红书信息流广告投放</w:t>
          </w:r>
          <w:r>
            <w:rPr>
              <w:rFonts w:eastAsia="黑体"/>
              <w:sz w:val="144"/>
              <w:szCs w:val="28"/>
              <w:highlight w:val="none"/>
            </w:rPr>
            <w:tab/>
          </w: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bookmarkStart w:id="59" w:name="_GoBack"/>
          <w:bookmarkEnd w:id="59"/>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9" w:name="_Toc270410845"/>
          <w:bookmarkStart w:id="30" w:name="_Toc240898303"/>
          <w:bookmarkStart w:id="31" w:name="_Toc328559344"/>
          <w:bookmarkStart w:id="32"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9"/>
      <w:bookmarkEnd w:id="30"/>
      <w:bookmarkEnd w:id="31"/>
      <w:bookmarkEnd w:id="3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城市更新项目小红书信息流广告投放报价单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小红书信息流广告投放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总费用不超过4万元（含税）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以4万总价（含税），预估可收集的有效销售线索，执行中需按实际投放金额与总预算的比例完成对应比例的线索收集目标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1122D6F5">
      <w:pPr>
        <w:pStyle w:val="24"/>
        <w:rPr>
          <w:rFonts w:hint="eastAsia" w:ascii="微软雅黑" w:hAnsi="微软雅黑" w:eastAsia="微软雅黑" w:cs="微软雅黑"/>
          <w:b/>
          <w:sz w:val="22"/>
          <w:szCs w:val="22"/>
          <w:highlight w:val="none"/>
          <w:lang w:val="en-US" w:eastAsia="zh-CN"/>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rPr>
        <w:t>滨投城市更新项目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小红书信息流</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合肥市包河区城市更新建设有限公司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3"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3"/>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6"/>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7"/>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1765B61D">
      <w:pPr>
        <w:widowControl/>
        <w:spacing w:beforeAutospacing="1" w:afterAutospacing="1"/>
        <w:ind w:left="618" w:leftChars="294" w:hanging="1"/>
        <w:jc w:val="left"/>
        <w:rPr>
          <w:rFonts w:hint="eastAsia" w:ascii="仿宋" w:hAnsi="仿宋" w:eastAsia="仿宋" w:cs="仿宋"/>
          <w:highlight w:val="yellow"/>
          <w:lang w:eastAsia="zh-CN"/>
        </w:rPr>
      </w:pPr>
      <w:r>
        <w:rPr>
          <w:rFonts w:hint="eastAsia" w:ascii="仿宋" w:hAnsi="仿宋" w:eastAsia="仿宋" w:cs="仿宋"/>
          <w:highlight w:val="yellow"/>
        </w:rPr>
        <w:t>一次性付款，结算金额根据上述报价中的单价</w:t>
      </w:r>
      <w:r>
        <w:rPr>
          <w:rFonts w:hint="eastAsia" w:ascii="仿宋" w:hAnsi="仿宋" w:eastAsia="仿宋" w:cs="仿宋"/>
          <w:highlight w:val="yellow"/>
          <w:lang w:eastAsia="zh-CN"/>
        </w:rPr>
        <w:t>和实际服务内容</w:t>
      </w:r>
      <w:r>
        <w:rPr>
          <w:rFonts w:hint="eastAsia" w:ascii="仿宋" w:hAnsi="仿宋" w:eastAsia="仿宋" w:cs="仿宋"/>
          <w:highlight w:val="yellow"/>
        </w:rPr>
        <w:t>据实结算</w:t>
      </w:r>
      <w:bookmarkStart w:id="34" w:name="auto_fouce_2"/>
      <w:r>
        <w:rPr>
          <w:rFonts w:hint="eastAsia" w:ascii="仿宋" w:hAnsi="仿宋" w:eastAsia="仿宋" w:cs="仿宋"/>
          <w:highlight w:val="yellow"/>
          <w:lang w:eastAsia="zh-CN"/>
        </w:rPr>
        <w:t>。</w:t>
      </w:r>
    </w:p>
    <w:p w14:paraId="154E3439">
      <w:pPr>
        <w:widowControl/>
        <w:spacing w:beforeAutospacing="1" w:afterAutospacing="1"/>
        <w:ind w:left="618" w:leftChars="294" w:hanging="1"/>
        <w:jc w:val="left"/>
        <w:rPr>
          <w:rFonts w:hint="eastAsia" w:ascii="仿宋" w:hAnsi="仿宋" w:eastAsia="仿宋" w:cs="仿宋"/>
          <w:highlight w:val="none"/>
        </w:rPr>
      </w:pP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4"/>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仿宋" w:hAnsi="仿宋" w:eastAsia="仿宋" w:cs="仿宋"/>
          <w:highlight w:val="none"/>
          <w:lang w:eastAsia="zh-CN"/>
        </w:rPr>
      </w:pPr>
      <w:bookmarkStart w:id="35"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5"/>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6" w:name="auto_fouce_4"/>
      <w:r>
        <w:rPr>
          <w:rFonts w:hint="eastAsia" w:ascii="仿宋" w:hAnsi="仿宋" w:eastAsia="仿宋" w:cs="仿宋"/>
          <w:highlight w:val="none"/>
        </w:rPr>
        <w:t>乙方应开具等额合法、符合甲方要求的增值税</w:t>
      </w:r>
      <w:r>
        <w:rPr>
          <w:rFonts w:hint="eastAsia" w:ascii="仿宋" w:hAnsi="仿宋" w:eastAsia="仿宋" w:cs="仿宋"/>
          <w:color w:val="000000"/>
          <w:kern w:val="0"/>
          <w:highlight w:val="none"/>
          <w:lang w:bidi="ar"/>
        </w:rPr>
        <w:t>专用发票</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6"/>
    <w:p w14:paraId="28E59CB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7"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7"/>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AFA24AD">
      <w:pPr>
        <w:widowControl/>
        <w:spacing w:beforeAutospacing="1" w:afterAutospacing="1"/>
        <w:ind w:left="371" w:leftChars="177" w:firstLine="1"/>
        <w:jc w:val="left"/>
        <w:rPr>
          <w:rFonts w:hint="eastAsia" w:ascii="仿宋" w:hAnsi="仿宋" w:eastAsia="仿宋" w:cs="仿宋"/>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8"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9"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9"/>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40"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40"/>
      <w:r>
        <w:rPr>
          <w:rFonts w:hint="eastAsia" w:ascii="仿宋" w:hAnsi="仿宋" w:eastAsia="仿宋" w:cs="仿宋"/>
          <w:color w:val="000000" w:themeColor="text1"/>
          <w:highlight w:val="yellow"/>
          <w:lang w:eastAsia="zh-CN"/>
          <w14:textFill>
            <w14:solidFill>
              <w14:schemeClr w14:val="tx1"/>
            </w14:solidFill>
          </w14:textFill>
        </w:rPr>
        <w:t>验收标准包括但不限于：</w:t>
      </w:r>
      <w:r>
        <w:rPr>
          <w:rFonts w:hint="eastAsia" w:ascii="仿宋" w:hAnsi="仿宋" w:eastAsia="仿宋" w:cs="仿宋"/>
          <w:color w:val="000000" w:themeColor="text1"/>
          <w:highlight w:val="yellow"/>
          <w:lang w:val="en-US" w:eastAsia="zh-CN"/>
          <w14:textFill>
            <w14:solidFill>
              <w14:schemeClr w14:val="tx1"/>
            </w14:solidFill>
          </w14:textFill>
        </w:rPr>
        <w:t>广告曝光量不少于_____、线索获取量不少于_____。</w:t>
      </w:r>
      <w:r>
        <w:rPr>
          <w:rFonts w:hint="eastAsia" w:ascii="仿宋" w:hAnsi="仿宋" w:eastAsia="仿宋" w:cs="仿宋"/>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41"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41"/>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2" w:name="auto_fouce_11"/>
    </w:p>
    <w:bookmarkEnd w:id="42"/>
    <w:p w14:paraId="4430D44B">
      <w:pPr>
        <w:widowControl/>
        <w:spacing w:beforeAutospacing="1" w:afterAutospacing="1"/>
        <w:ind w:left="480" w:hanging="420" w:hangingChars="200"/>
        <w:jc w:val="left"/>
        <w:rPr>
          <w:rFonts w:hint="eastAsia" w:ascii="仿宋" w:hAnsi="仿宋" w:eastAsia="仿宋" w:cs="仿宋"/>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3"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3"/>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4"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4"/>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5"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6"/>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tabs>
          <w:tab w:val="left" w:pos="1020"/>
        </w:tabs>
        <w:ind w:left="720" w:hanging="630" w:hangingChars="300"/>
        <w:rPr>
          <w:rFonts w:hint="eastAsia" w:ascii="仿宋" w:hAnsi="仿宋" w:eastAsia="仿宋" w:cs="仿宋"/>
          <w:szCs w:val="24"/>
          <w:highlight w:val="none"/>
        </w:rPr>
      </w:pPr>
      <w:r>
        <w:rPr>
          <w:rFonts w:hint="eastAsia" w:ascii="仿宋" w:hAnsi="仿宋" w:eastAsia="仿宋" w:cs="仿宋"/>
          <w:b/>
          <w:bCs/>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w:t>
      </w:r>
      <w:r>
        <w:rPr>
          <w:rFonts w:hint="eastAsia" w:ascii="仿宋" w:hAnsi="仿宋" w:eastAsia="仿宋" w:cs="仿宋"/>
          <w:color w:val="000000" w:themeColor="text1"/>
          <w:highlight w:val="none"/>
          <w:lang w:val="en-US" w:eastAsia="zh-CN"/>
          <w14:textFill>
            <w14:solidFill>
              <w14:schemeClr w14:val="tx1"/>
            </w14:solidFill>
          </w14:textFill>
        </w:rPr>
        <w:t>线索获取量</w:t>
      </w:r>
      <w:r>
        <w:rPr>
          <w:rFonts w:hint="eastAsia" w:ascii="仿宋" w:hAnsi="仿宋" w:eastAsia="仿宋" w:cs="仿宋"/>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仿宋" w:hAnsi="仿宋" w:eastAsia="仿宋" w:cs="仿宋"/>
          <w:highlight w:val="none"/>
        </w:rPr>
        <w:t xml:space="preserve"> </w:t>
      </w:r>
    </w:p>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8"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8"/>
    </w:p>
    <w:p w14:paraId="67CED508">
      <w:pPr>
        <w:ind w:left="420" w:leftChars="0" w:hanging="420" w:hangingChars="200"/>
        <w:rPr>
          <w:rFonts w:hint="eastAsia" w:ascii="仿宋" w:hAnsi="仿宋" w:eastAsia="仿宋" w:cs="仿宋"/>
          <w:color w:val="000000" w:themeColor="text1"/>
          <w:highlight w:val="none"/>
          <w14:textFill>
            <w14:solidFill>
              <w14:schemeClr w14:val="tx1"/>
            </w14:solidFill>
          </w14:textFill>
        </w:rPr>
      </w:pPr>
      <w:bookmarkStart w:id="49"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9"/>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50" w:name="auto_fouce_26"/>
      <w:r>
        <w:rPr>
          <w:rFonts w:hint="eastAsia" w:ascii="仿宋" w:hAnsi="仿宋" w:eastAsia="仿宋" w:cs="仿宋"/>
          <w:b/>
          <w:highlight w:val="none"/>
        </w:rPr>
        <w:t>4.3</w:t>
      </w:r>
      <w:bookmarkStart w:id="51"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51"/>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8"/>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3"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tabs>
          <w:tab w:val="left" w:pos="1020"/>
        </w:tabs>
        <w:ind w:left="482" w:hanging="420" w:hangingChars="200"/>
        <w:rPr>
          <w:rFonts w:hint="eastAsia" w:ascii="仿宋" w:hAnsi="仿宋" w:eastAsia="仿宋" w:cs="仿宋"/>
          <w:highlight w:val="none"/>
          <w:lang w:eastAsia="zh-CN"/>
        </w:rPr>
      </w:pPr>
      <w:bookmarkStart w:id="54" w:name="auto_fouce_33"/>
      <w:r>
        <w:rPr>
          <w:rFonts w:hint="eastAsia" w:ascii="仿宋" w:hAnsi="仿宋" w:eastAsia="仿宋" w:cs="仿宋"/>
          <w:b/>
          <w:highlight w:val="none"/>
        </w:rPr>
        <w:t>5.2</w:t>
      </w:r>
      <w:bookmarkStart w:id="55"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仿宋" w:hAnsi="仿宋" w:eastAsia="仿宋" w:cs="仿宋"/>
          <w:highlight w:val="none"/>
          <w:lang w:eastAsia="zh-CN"/>
        </w:rPr>
        <w:t>乙方应在广告发布前向甲方提交所有使用素材的版权证明及授权文件。</w:t>
      </w:r>
      <w:bookmarkEnd w:id="54"/>
      <w:bookmarkEnd w:id="57"/>
    </w:p>
    <w:bookmarkEnd w:id="55"/>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tabs>
          <w:tab w:val="left" w:pos="1020"/>
        </w:tabs>
        <w:ind w:left="482" w:hanging="420" w:hangingChars="200"/>
        <w:rPr>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51BD2BEB">
      <w:pPr>
        <w:rPr>
          <w:highlight w:val="none"/>
        </w:rPr>
      </w:pPr>
      <w:r>
        <w:rPr>
          <w:rFonts w:hint="eastAsia" w:ascii="仿宋" w:hAnsi="仿宋" w:eastAsia="仿宋" w:cs="仿宋"/>
          <w:b/>
          <w:bCs/>
          <w:highlight w:val="none"/>
        </w:rPr>
        <w:t>6.2</w:t>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5DE5DC29">
      <w:pPr>
        <w:pStyle w:val="24"/>
        <w:rPr>
          <w:rFonts w:hint="default"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7F3AB7A"/>
    <w:multiLevelType w:val="singleLevel"/>
    <w:tmpl w:val="27F3AB7A"/>
    <w:lvl w:ilvl="0" w:tentative="0">
      <w:start w:val="1"/>
      <w:numFmt w:val="decimal"/>
      <w:lvlText w:val="%1."/>
      <w:lvlJc w:val="left"/>
      <w:pPr>
        <w:ind w:left="425" w:hanging="425"/>
      </w:pPr>
      <w:rPr>
        <w:rFonts w:hint="default"/>
      </w:rPr>
    </w:lvl>
  </w:abstractNum>
  <w:abstractNum w:abstractNumId="5">
    <w:nsid w:val="281D3F66"/>
    <w:multiLevelType w:val="singleLevel"/>
    <w:tmpl w:val="281D3F66"/>
    <w:lvl w:ilvl="0" w:tentative="0">
      <w:start w:val="1"/>
      <w:numFmt w:val="decimal"/>
      <w:suff w:val="nothing"/>
      <w:lvlText w:val="%1、"/>
      <w:lvlJc w:val="left"/>
    </w:lvl>
  </w:abstractNum>
  <w:abstractNum w:abstractNumId="6">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2F69B1"/>
    <w:rsid w:val="06905732"/>
    <w:rsid w:val="06BE6445"/>
    <w:rsid w:val="07AB47F6"/>
    <w:rsid w:val="0A28331E"/>
    <w:rsid w:val="0A8425C1"/>
    <w:rsid w:val="0B8B7DF8"/>
    <w:rsid w:val="0CA82AC4"/>
    <w:rsid w:val="0CB70104"/>
    <w:rsid w:val="0E4B63E2"/>
    <w:rsid w:val="0EAA4EB7"/>
    <w:rsid w:val="10AE6120"/>
    <w:rsid w:val="113F222E"/>
    <w:rsid w:val="11437FDD"/>
    <w:rsid w:val="11A83E70"/>
    <w:rsid w:val="12606D73"/>
    <w:rsid w:val="12972340"/>
    <w:rsid w:val="142F15AD"/>
    <w:rsid w:val="148B75BC"/>
    <w:rsid w:val="168460D8"/>
    <w:rsid w:val="19A1335A"/>
    <w:rsid w:val="1BB65B86"/>
    <w:rsid w:val="1BE3639A"/>
    <w:rsid w:val="1C5E514E"/>
    <w:rsid w:val="1D3E230B"/>
    <w:rsid w:val="1E2E78B2"/>
    <w:rsid w:val="1F34435E"/>
    <w:rsid w:val="209357F1"/>
    <w:rsid w:val="216D64F7"/>
    <w:rsid w:val="22981E84"/>
    <w:rsid w:val="25461841"/>
    <w:rsid w:val="25577F9C"/>
    <w:rsid w:val="2A4D7312"/>
    <w:rsid w:val="2B8101D0"/>
    <w:rsid w:val="2D692244"/>
    <w:rsid w:val="2DC10CE8"/>
    <w:rsid w:val="2DC5133A"/>
    <w:rsid w:val="2E4C209F"/>
    <w:rsid w:val="2F565974"/>
    <w:rsid w:val="305D2645"/>
    <w:rsid w:val="321C75CA"/>
    <w:rsid w:val="326170DF"/>
    <w:rsid w:val="32694AB3"/>
    <w:rsid w:val="32BA694D"/>
    <w:rsid w:val="334141A4"/>
    <w:rsid w:val="340C668B"/>
    <w:rsid w:val="34187305"/>
    <w:rsid w:val="363E7C07"/>
    <w:rsid w:val="366C4B34"/>
    <w:rsid w:val="36C86A94"/>
    <w:rsid w:val="382F4FD4"/>
    <w:rsid w:val="3891486E"/>
    <w:rsid w:val="38B05B5E"/>
    <w:rsid w:val="3C430575"/>
    <w:rsid w:val="3C472D40"/>
    <w:rsid w:val="3CF04064"/>
    <w:rsid w:val="3CFD60B9"/>
    <w:rsid w:val="3E1C107E"/>
    <w:rsid w:val="3FF200B1"/>
    <w:rsid w:val="40336737"/>
    <w:rsid w:val="40D519B8"/>
    <w:rsid w:val="41C04416"/>
    <w:rsid w:val="436D39AD"/>
    <w:rsid w:val="4384520B"/>
    <w:rsid w:val="44270FE3"/>
    <w:rsid w:val="4473751E"/>
    <w:rsid w:val="44FF48D5"/>
    <w:rsid w:val="4683508A"/>
    <w:rsid w:val="4ACD4DCC"/>
    <w:rsid w:val="4BCA1764"/>
    <w:rsid w:val="4BE42533"/>
    <w:rsid w:val="4C053274"/>
    <w:rsid w:val="4DB75FC8"/>
    <w:rsid w:val="4F8537C2"/>
    <w:rsid w:val="514E2DFA"/>
    <w:rsid w:val="52A32E2E"/>
    <w:rsid w:val="55355AB3"/>
    <w:rsid w:val="55A726C6"/>
    <w:rsid w:val="571961BE"/>
    <w:rsid w:val="57B51D71"/>
    <w:rsid w:val="57D35194"/>
    <w:rsid w:val="596C37F2"/>
    <w:rsid w:val="5B302501"/>
    <w:rsid w:val="5B476934"/>
    <w:rsid w:val="5DDA2B31"/>
    <w:rsid w:val="5F2E65C5"/>
    <w:rsid w:val="60256EF4"/>
    <w:rsid w:val="609F6CB1"/>
    <w:rsid w:val="60A76A75"/>
    <w:rsid w:val="61C6472A"/>
    <w:rsid w:val="61E92E15"/>
    <w:rsid w:val="64C40159"/>
    <w:rsid w:val="681C34B5"/>
    <w:rsid w:val="684856D7"/>
    <w:rsid w:val="692D5480"/>
    <w:rsid w:val="69A668E3"/>
    <w:rsid w:val="6ABF53DC"/>
    <w:rsid w:val="6B5D1C60"/>
    <w:rsid w:val="6BA10E9F"/>
    <w:rsid w:val="6BCE3108"/>
    <w:rsid w:val="6CBD0550"/>
    <w:rsid w:val="6DDB2AEC"/>
    <w:rsid w:val="70052532"/>
    <w:rsid w:val="70660DD2"/>
    <w:rsid w:val="711164E0"/>
    <w:rsid w:val="71E60A7F"/>
    <w:rsid w:val="720C1815"/>
    <w:rsid w:val="74497E05"/>
    <w:rsid w:val="79A32B26"/>
    <w:rsid w:val="7AA23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9610</Words>
  <Characters>10005</Characters>
  <Lines>203</Lines>
  <Paragraphs>224</Paragraphs>
  <TotalTime>1</TotalTime>
  <ScaleCrop>false</ScaleCrop>
  <LinksUpToDate>false</LinksUpToDate>
  <CharactersWithSpaces>11139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2025-12-02T03:18:24Z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7D27FE19C57D4A81814E2D6630521D09_13</vt:lpwstr>
  </property>
  <property fmtid="{D5CDD505-2E9C-101B-9397-08002B2CF9AE}" pid="4" name="KSOTemplateDocerSaveRecord">
    <vt:lpwstr>eyJoZGlkIjoiNzZmYTZjMzJlYjIwZDcyZDZlNTQ5OGRkMjUwYzlkNDEiLCJ1c2VySWQiOiI0MzczMjUwOTUifQ==</vt:lpwstr>
  </property>
</Properties>
</file>