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32DFDDD3">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大南门城门楼及树木</w:t>
          </w:r>
        </w:p>
        <w:p w14:paraId="4926FC8E">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景观亮化提升工程</w:t>
          </w:r>
        </w:p>
        <w:p w14:paraId="7CED050C">
          <w:pPr>
            <w:adjustRightInd w:val="0"/>
            <w:snapToGrid w:val="0"/>
            <w:spacing w:before="48" w:beforeLines="20" w:after="48" w:afterLines="20" w:line="940" w:lineRule="exact"/>
            <w:jc w:val="center"/>
            <w:rPr>
              <w:rFonts w:hint="eastAsia" w:ascii="宋体" w:hAnsi="宋体"/>
              <w:bCs/>
              <w:sz w:val="84"/>
              <w:szCs w:val="84"/>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default" w:ascii="宋体" w:hAnsi="宋体" w:eastAsiaTheme="minorEastAsia"/>
              <w:b/>
              <w:bCs/>
              <w:spacing w:val="-20"/>
              <w:sz w:val="36"/>
              <w:szCs w:val="36"/>
              <w:lang w:val="en-US" w:eastAsia="zh-CN"/>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lang w:val="en-US" w:eastAsia="zh-CN"/>
            </w:rPr>
            <w:t>安庆罍街文化旅游发展有限公司</w:t>
          </w:r>
        </w:p>
        <w:p w14:paraId="306CD661">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lang w:eastAsia="zh-CN"/>
        </w:rPr>
        <w:t>安庆罍街文化旅游发展</w:t>
      </w:r>
      <w:r>
        <w:rPr>
          <w:rFonts w:hint="eastAsia" w:ascii="微软雅黑" w:hAnsi="微软雅黑" w:eastAsia="微软雅黑" w:cs="微软雅黑"/>
          <w:color w:val="000000"/>
          <w:sz w:val="22"/>
          <w:szCs w:val="22"/>
        </w:rPr>
        <w:t>有限公司对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大南门城门楼及树木景观亮化提升工程</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、项目名称：大南门城门楼及树木景观亮化提升工程；</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w:t>
      </w:r>
      <w:r>
        <w:rPr>
          <w:rFonts w:hint="eastAsia" w:ascii="微软雅黑" w:hAnsi="微软雅黑" w:eastAsia="微软雅黑" w:cs="微软雅黑"/>
          <w:color w:val="000000"/>
          <w:sz w:val="22"/>
          <w:szCs w:val="22"/>
          <w:lang w:val="en-US" w:eastAsia="zh-CN"/>
        </w:rPr>
        <w:t>9.5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投标人资质要求：具有有效的营业执照，营业执照经营范围应包含广告制作等与招标项目相关的业务许可。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自2021年1月1日以来（以合同签订时间为准），投标人在中华人民共和国境内须具备单个合同金额不低于5万元的亮化工程施工（或雕塑类供货安装业绩或美陈类供货安装）</w:t>
      </w:r>
      <w:r>
        <w:rPr>
          <w:rFonts w:hint="eastAsia" w:ascii="微软雅黑" w:hAnsi="微软雅黑" w:eastAsia="微软雅黑" w:cs="微软雅黑"/>
          <w:color w:val="auto"/>
          <w:sz w:val="22"/>
          <w:szCs w:val="22"/>
          <w:lang w:val="zh-CN"/>
        </w:rPr>
        <w:t>。</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附件5：合作确认书 加盖公章；</w:t>
      </w:r>
    </w:p>
    <w:p w14:paraId="0EF78CE4">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附件6：安全承诺书，加盖公章。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6"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2026年1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16</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时前送至</w:t>
      </w:r>
      <w:r>
        <w:rPr>
          <w:rFonts w:hint="eastAsia" w:ascii="微软雅黑" w:hAnsi="微软雅黑" w:eastAsia="微软雅黑" w:cs="微软雅黑"/>
          <w:sz w:val="22"/>
          <w:szCs w:val="22"/>
          <w:lang w:val="en-US" w:eastAsia="zh-CN"/>
        </w:rPr>
        <w:t>罍街文旅会议室</w:t>
      </w:r>
      <w:r>
        <w:rPr>
          <w:rFonts w:hint="eastAsia" w:ascii="微软雅黑" w:hAnsi="微软雅黑" w:eastAsia="微软雅黑" w:cs="微软雅黑"/>
          <w:sz w:val="22"/>
          <w:szCs w:val="22"/>
        </w:rPr>
        <w:t>，地址：合肥市包河区</w:t>
      </w:r>
      <w:r>
        <w:rPr>
          <w:rFonts w:hint="eastAsia" w:ascii="微软雅黑" w:hAnsi="微软雅黑" w:eastAsia="微软雅黑" w:cs="微软雅黑"/>
          <w:sz w:val="22"/>
          <w:szCs w:val="22"/>
          <w:lang w:val="en-US" w:eastAsia="zh-CN"/>
        </w:rPr>
        <w:t>徽州大道1388号滨湖集团大楼7楼</w:t>
      </w:r>
      <w:r>
        <w:rPr>
          <w:rFonts w:hint="eastAsia" w:ascii="微软雅黑" w:hAnsi="微软雅黑" w:eastAsia="微软雅黑" w:cs="微软雅黑"/>
          <w:sz w:val="22"/>
          <w:szCs w:val="22"/>
        </w:rPr>
        <w:t>。</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吴工</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13063217167</w:t>
      </w:r>
      <w:r>
        <w:rPr>
          <w:rFonts w:hint="eastAsia" w:ascii="微软雅黑" w:hAnsi="微软雅黑" w:eastAsia="微软雅黑" w:cs="微软雅黑"/>
          <w:sz w:val="22"/>
          <w:szCs w:val="22"/>
          <w:u w:val="single"/>
        </w:rPr>
        <w:t xml:space="preserve">  </w:t>
      </w:r>
    </w:p>
    <w:p w14:paraId="2C53CCE5">
      <w:pPr>
        <w:pStyle w:val="25"/>
        <w:spacing w:before="0" w:beforeAutospacing="0" w:after="0" w:afterAutospacing="0" w:line="24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联系地址：</w:t>
      </w:r>
      <w:r>
        <w:rPr>
          <w:rFonts w:hint="eastAsia" w:ascii="微软雅黑" w:hAnsi="微软雅黑" w:eastAsia="微软雅黑" w:cs="微软雅黑"/>
          <w:sz w:val="22"/>
          <w:szCs w:val="22"/>
          <w:lang w:val="en-US" w:eastAsia="zh-CN"/>
        </w:rPr>
        <w:t>安庆市迎江区沿江中路50号大南门招商中心</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w:t>
      </w:r>
      <w:r>
        <w:rPr>
          <w:rFonts w:hint="eastAsia" w:ascii="微软雅黑" w:hAnsi="微软雅黑" w:eastAsia="微软雅黑" w:cs="微软雅黑"/>
          <w:sz w:val="22"/>
          <w:szCs w:val="22"/>
          <w:lang w:val="en-US" w:eastAsia="zh-CN"/>
        </w:rPr>
        <w:t>择日</w:t>
      </w:r>
      <w:r>
        <w:rPr>
          <w:rFonts w:hint="eastAsia" w:ascii="微软雅黑" w:hAnsi="微软雅黑" w:eastAsia="微软雅黑" w:cs="微软雅黑"/>
          <w:sz w:val="22"/>
          <w:szCs w:val="22"/>
        </w:rPr>
        <w:t>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lang w:eastAsia="zh-CN"/>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官网</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r>
              <w:rPr>
                <w:rFonts w:hint="eastAsia" w:ascii="微软雅黑" w:hAnsi="微软雅黑" w:eastAsia="微软雅黑" w:cs="微软雅黑"/>
                <w:lang w:val="en-US" w:eastAsia="zh-CN"/>
              </w:rPr>
              <w:t>16</w:t>
            </w:r>
            <w:r>
              <w:rPr>
                <w:rFonts w:hint="eastAsia" w:ascii="微软雅黑" w:hAnsi="微软雅黑" w:eastAsia="微软雅黑" w:cs="微软雅黑"/>
              </w:rPr>
              <w:t>时</w:t>
            </w:r>
          </w:p>
        </w:tc>
        <w:tc>
          <w:tcPr>
            <w:tcW w:w="1759" w:type="pct"/>
            <w:vAlign w:val="center"/>
          </w:tcPr>
          <w:p w14:paraId="16916605">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p w14:paraId="2A9898DF">
            <w:pPr>
              <w:tabs>
                <w:tab w:val="left" w:pos="993"/>
              </w:tabs>
              <w:spacing w:line="44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7楼会议室</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default" w:ascii="微软雅黑" w:hAnsi="微软雅黑" w:eastAsia="微软雅黑" w:cs="微软雅黑"/>
                <w:lang w:val="en-US" w:eastAsia="zh-CN"/>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r>
              <w:rPr>
                <w:rFonts w:hint="eastAsia" w:ascii="微软雅黑" w:hAnsi="微软雅黑" w:eastAsia="微软雅黑" w:cs="微软雅黑"/>
                <w:lang w:val="en-US" w:eastAsia="zh-CN"/>
              </w:rPr>
              <w:t>16时</w:t>
            </w:r>
          </w:p>
        </w:tc>
        <w:tc>
          <w:tcPr>
            <w:tcW w:w="1759" w:type="pct"/>
            <w:vAlign w:val="center"/>
          </w:tcPr>
          <w:p w14:paraId="3E92A207">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7楼会议室</w:t>
            </w:r>
            <w:r>
              <w:rPr>
                <w:rFonts w:hint="eastAsia" w:ascii="微软雅黑" w:hAnsi="微软雅黑" w:eastAsia="微软雅黑" w:cs="微软雅黑"/>
              </w:rPr>
              <w:t>（暂定）</w:t>
            </w:r>
          </w:p>
        </w:tc>
      </w:tr>
    </w:tbl>
    <w:p w14:paraId="17AD8D23">
      <w:pPr>
        <w:tabs>
          <w:tab w:val="left" w:pos="993"/>
        </w:tabs>
        <w:spacing w:line="440" w:lineRule="exact"/>
        <w:ind w:firstLine="420" w:firstLineChars="200"/>
        <w:rPr>
          <w:rFonts w:hint="eastAsia" w:ascii="微软雅黑" w:hAnsi="微软雅黑" w:eastAsia="微软雅黑" w:cs="微软雅黑"/>
        </w:rPr>
      </w:pP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9.5</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2"/>
          <w:szCs w:val="22"/>
        </w:rPr>
      </w:pPr>
      <w:bookmarkStart w:id="7" w:name="_Toc273602342"/>
      <w:bookmarkStart w:id="8" w:name="_Toc22397"/>
      <w:bookmarkStart w:id="9" w:name="_Toc39733479"/>
      <w:bookmarkStart w:id="10" w:name="_Toc245092762"/>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b/>
          <w:bCs/>
          <w:color w:val="000000"/>
          <w:sz w:val="22"/>
          <w:szCs w:val="22"/>
          <w:u w:val="single"/>
          <w:lang w:eastAsia="zh-CN"/>
        </w:rPr>
        <w:t>大南门城门楼及树木景观亮化提升工程</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0758"/>
      <w:bookmarkStart w:id="13" w:name="_Toc245714173"/>
      <w:bookmarkStart w:id="14" w:name="_Toc39733483"/>
      <w:bookmarkStart w:id="15" w:name="_Toc273602355"/>
      <w:bookmarkStart w:id="16" w:name="_Toc245714170"/>
      <w:bookmarkStart w:id="17" w:name="_Toc273602352"/>
      <w:bookmarkStart w:id="18" w:name="_Toc39733482"/>
      <w:bookmarkStart w:id="19" w:name="_Toc245028818"/>
      <w:bookmarkStart w:id="20" w:name="_Toc2829"/>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w:t>
      </w:r>
      <w:r>
        <w:rPr>
          <w:rFonts w:hint="eastAsia" w:ascii="微软雅黑" w:hAnsi="微软雅黑" w:eastAsia="微软雅黑" w:cs="微软雅黑"/>
          <w:color w:val="000000"/>
          <w:sz w:val="22"/>
          <w:szCs w:val="22"/>
          <w:lang w:eastAsia="zh-CN"/>
        </w:rPr>
        <w:t>安庆罍街文化旅游发展</w:t>
      </w:r>
      <w:r>
        <w:rPr>
          <w:rFonts w:hint="eastAsia" w:ascii="微软雅黑" w:hAnsi="微软雅黑" w:eastAsia="微软雅黑" w:cs="微软雅黑"/>
          <w:color w:val="000000"/>
          <w:sz w:val="22"/>
          <w:szCs w:val="22"/>
        </w:rPr>
        <w:t>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大南门城门楼及树木景观亮化提升工程</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u w:val="single"/>
          <w:lang w:val="en-US" w:eastAsia="zh-CN"/>
        </w:rPr>
        <w:t xml:space="preserve">1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b w:val="0"/>
          <w:bCs/>
          <w:sz w:val="21"/>
          <w:szCs w:val="21"/>
          <w:u w:val="single"/>
          <w:lang w:val="en-US" w:eastAsia="zh-CN"/>
        </w:rPr>
        <w:t xml:space="preserve">1 </w:t>
      </w:r>
      <w:r>
        <w:rPr>
          <w:rFonts w:hint="eastAsia" w:ascii="微软雅黑" w:hAnsi="微软雅黑" w:eastAsia="微软雅黑" w:cs="微软雅黑"/>
          <w:b/>
          <w:sz w:val="21"/>
          <w:szCs w:val="21"/>
          <w:u w:val="single"/>
          <w:lang w:val="en-US" w:eastAsia="zh-CN"/>
        </w:rPr>
        <w:t xml:space="preserve">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39733484"/>
      <w:bookmarkStart w:id="22" w:name="_Toc245714174"/>
      <w:bookmarkStart w:id="23" w:name="_Toc273602356"/>
      <w:bookmarkStart w:id="24" w:name="_Toc10239"/>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3"/>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color w:val="000000"/>
          <w:sz w:val="21"/>
          <w:szCs w:val="21"/>
          <w:lang w:eastAsia="zh-CN"/>
        </w:rPr>
        <w:t>安庆罍街文化旅游发展</w:t>
      </w:r>
      <w:r>
        <w:rPr>
          <w:rFonts w:hint="eastAsia" w:ascii="微软雅黑" w:hAnsi="微软雅黑" w:eastAsia="微软雅黑" w:cs="微软雅黑"/>
          <w:color w:val="000000"/>
          <w:sz w:val="21"/>
          <w:szCs w:val="21"/>
        </w:rPr>
        <w:t>有限公司</w:t>
      </w:r>
      <w:r>
        <w:rPr>
          <w:rFonts w:hint="eastAsia" w:ascii="微软雅黑" w:hAnsi="微软雅黑" w:eastAsia="微软雅黑" w:cs="微软雅黑"/>
          <w:sz w:val="21"/>
          <w:szCs w:val="21"/>
          <w:u w:val="single"/>
          <w:lang w:eastAsia="zh-CN"/>
        </w:rPr>
        <w:t>大南门城门楼及树木景观亮化提升工程</w:t>
      </w:r>
      <w:r>
        <w:rPr>
          <w:rFonts w:hint="eastAsia" w:ascii="微软雅黑" w:hAnsi="微软雅黑" w:eastAsia="微软雅黑" w:cs="微软雅黑"/>
          <w:sz w:val="21"/>
          <w:szCs w:val="21"/>
          <w:u w:val="none"/>
          <w:lang w:val="en-US" w:eastAsia="zh-CN"/>
        </w:rPr>
        <w:t>项目</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sz w:val="21"/>
          <w:szCs w:val="21"/>
          <w:u w:val="single"/>
          <w:lang w:eastAsia="zh-CN"/>
        </w:rPr>
        <w:t>大南门城门楼及树木景观亮化提升工程</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营业执照经营范围应包含广告制作等与招标项目相关的业务许可。</w:t>
      </w:r>
    </w:p>
    <w:p w14:paraId="0A1F832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000000"/>
          <w:sz w:val="22"/>
          <w:szCs w:val="22"/>
          <w:lang w:val="en-US" w:eastAsia="zh-CN"/>
        </w:rPr>
        <w:t xml:space="preserve"> [ </w:t>
      </w:r>
      <w:r>
        <w:rPr>
          <w:rFonts w:hint="eastAsia" w:ascii="微软雅黑" w:hAnsi="微软雅黑" w:eastAsia="微软雅黑" w:cs="微软雅黑"/>
          <w:color w:val="auto"/>
          <w:sz w:val="22"/>
          <w:szCs w:val="22"/>
          <w:lang w:val="en-US" w:eastAsia="zh-CN"/>
        </w:rPr>
        <w:t>自2021年1月1日以来（以合同签订时间为准），投标人在中华人民共和国境内须具备单个合同金额不低于5万元的亮化工程施工（或雕塑类供货安装业绩或美陈物料类供货安装）]</w:t>
      </w:r>
    </w:p>
    <w:p w14:paraId="566F5A1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sz w:val="24"/>
          <w:szCs w:val="24"/>
          <w:lang w:val="en-US" w:eastAsia="zh-CN" w:bidi="ar-SA"/>
        </w:rPr>
        <w:t xml:space="preserve"> 安庆罍街文化旅游发展有限公司</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b/>
          <w:bCs/>
          <w:sz w:val="24"/>
          <w:szCs w:val="24"/>
          <w:u w:val="single"/>
          <w:lang w:eastAsia="zh-CN"/>
        </w:rPr>
        <w:t>大南门城门楼及树木景观亮化提升工程</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物料制作前，须按招标文件要求提交印刷样品等相关资料，经甲方确认通过后，方可启动正式制作工作；</w:t>
      </w:r>
    </w:p>
    <w:p w14:paraId="1874C15E">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1D1E6F97">
      <w:pPr>
        <w:pStyle w:val="17"/>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定制美陈</w:t>
      </w:r>
      <w:r>
        <w:rPr>
          <w:rFonts w:hint="eastAsia" w:ascii="微软雅黑" w:hAnsi="微软雅黑" w:eastAsia="微软雅黑" w:cs="微软雅黑"/>
          <w:sz w:val="24"/>
          <w:szCs w:val="24"/>
        </w:rPr>
        <w:t>物料</w:t>
      </w:r>
      <w:r>
        <w:rPr>
          <w:rFonts w:hint="eastAsia" w:ascii="微软雅黑" w:hAnsi="微软雅黑" w:eastAsia="微软雅黑" w:cs="微软雅黑"/>
          <w:sz w:val="24"/>
          <w:szCs w:val="24"/>
          <w:lang w:val="en-US" w:eastAsia="zh-CN"/>
        </w:rPr>
        <w:t>类需先提交定制效果图</w:t>
      </w:r>
      <w:r>
        <w:rPr>
          <w:rFonts w:hint="eastAsia" w:ascii="微软雅黑" w:hAnsi="微软雅黑" w:eastAsia="微软雅黑" w:cs="微软雅黑"/>
          <w:sz w:val="24"/>
          <w:szCs w:val="24"/>
        </w:rPr>
        <w:t>，经甲方审核确认后完成成品制作及现场布展工作，保障展陈效果达标</w:t>
      </w:r>
      <w:r>
        <w:rPr>
          <w:rFonts w:hint="eastAsia" w:ascii="微软雅黑" w:hAnsi="微软雅黑" w:eastAsia="微软雅黑" w:cs="微软雅黑"/>
          <w:sz w:val="24"/>
          <w:szCs w:val="24"/>
          <w:lang w:eastAsia="zh-CN"/>
        </w:rPr>
        <w:t>；</w:t>
      </w:r>
    </w:p>
    <w:p w14:paraId="05329F37">
      <w:pPr>
        <w:pStyle w:val="17"/>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制作文件正式发包后 </w:t>
      </w: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个自然日内，乙方须将全部物料成品安全送达指定项目现场，确保按时交付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具体以甲方需求送达时间为准。</w:t>
      </w:r>
    </w:p>
    <w:p w14:paraId="6CBAD90C">
      <w:pPr>
        <w:pStyle w:val="17"/>
        <w:numPr>
          <w:ilvl w:val="0"/>
          <w:numId w:val="0"/>
        </w:numPr>
        <w:snapToGrid w:val="0"/>
        <w:spacing w:line="360" w:lineRule="auto"/>
        <w:ind w:left="420" w:leftChars="0"/>
        <w:rPr>
          <w:rFonts w:hint="default" w:ascii="微软雅黑" w:hAnsi="微软雅黑" w:eastAsia="微软雅黑" w:cs="微软雅黑"/>
          <w:sz w:val="24"/>
          <w:szCs w:val="24"/>
          <w:lang w:val="en-US" w:eastAsia="zh-CN"/>
        </w:rPr>
      </w:pPr>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171753C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0AE3A9B5">
      <w:pPr>
        <w:rPr>
          <w:rFonts w:hint="eastAsia"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附件六：</w:t>
      </w:r>
    </w:p>
    <w:p w14:paraId="0E134F13">
      <w:pPr>
        <w:jc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sz w:val="24"/>
          <w:lang w:val="en-US" w:eastAsia="zh-CN"/>
        </w:rPr>
        <w:t>六、安全责任承诺书</w:t>
      </w:r>
    </w:p>
    <w:p w14:paraId="379E608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本单位（公司）在承诺并保证：</w:t>
      </w:r>
    </w:p>
    <w:p w14:paraId="28E6B033">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一、</w:t>
      </w:r>
      <w:r>
        <w:rPr>
          <w:rFonts w:hint="eastAsia" w:ascii="微软雅黑" w:hAnsi="微软雅黑" w:eastAsia="微软雅黑" w:cs="微软雅黑"/>
          <w:b/>
          <w:bCs/>
          <w:sz w:val="24"/>
          <w:szCs w:val="24"/>
        </w:rPr>
        <w:t>全面安全责任：</w:t>
      </w:r>
      <w:r>
        <w:rPr>
          <w:rFonts w:hint="eastAsia" w:ascii="微软雅黑" w:hAnsi="微软雅黑" w:eastAsia="微软雅黑" w:cs="微软雅黑"/>
          <w:sz w:val="24"/>
          <w:szCs w:val="24"/>
        </w:rPr>
        <w:t>对本工程施工过程中的安全生产负全面责任。因本单位原因（包括但不限于安全管理不到位、措施不落实、人员违章操作、设备设施缺陷等）导致的任何安全事故、人身伤害（包括施工人员及第三方人员）、财产损失，均由本单位承担全部法律责任和经济赔偿责任。</w:t>
      </w:r>
    </w:p>
    <w:p w14:paraId="232BB7B9">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二、</w:t>
      </w:r>
      <w:r>
        <w:rPr>
          <w:rFonts w:hint="eastAsia" w:ascii="微软雅黑" w:hAnsi="微软雅黑" w:eastAsia="微软雅黑" w:cs="微软雅黑"/>
          <w:b/>
          <w:bCs/>
          <w:sz w:val="24"/>
          <w:szCs w:val="24"/>
        </w:rPr>
        <w:t>特定风险全责：</w:t>
      </w:r>
      <w:r>
        <w:rPr>
          <w:rFonts w:hint="eastAsia" w:ascii="微软雅黑" w:hAnsi="微软雅黑" w:eastAsia="微软雅黑" w:cs="微软雅黑"/>
          <w:sz w:val="24"/>
          <w:szCs w:val="24"/>
        </w:rPr>
        <w:t>特别承诺，对于在本工程施工期间及因本工程施工质量、工艺缺陷在后续产生的，因亮化工程接电、线路敷设、电器安装、设备质量等问题直接或间接引发的火灾事故，无论发生在施工期间或质保期内，所造成的一切人员伤亡、财产损失（包括但不限于工程本身、相邻建筑、设施及其他第三方损失）以及由此产生的一切法律责任、赔偿费用、罚款、诉讼费用、律师费用等，均由本单位承担全部责任。</w:t>
      </w:r>
    </w:p>
    <w:p w14:paraId="1AA90694">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三、</w:t>
      </w:r>
      <w:r>
        <w:rPr>
          <w:rFonts w:hint="eastAsia" w:ascii="微软雅黑" w:hAnsi="微软雅黑" w:eastAsia="微软雅黑" w:cs="微软雅黑"/>
          <w:b/>
          <w:bCs/>
          <w:sz w:val="24"/>
          <w:szCs w:val="24"/>
        </w:rPr>
        <w:t>独立承担责任：</w:t>
      </w:r>
      <w:r>
        <w:rPr>
          <w:rFonts w:hint="eastAsia" w:ascii="微软雅黑" w:hAnsi="微软雅黑" w:eastAsia="微软雅黑" w:cs="微软雅黑"/>
          <w:sz w:val="24"/>
          <w:szCs w:val="24"/>
        </w:rPr>
        <w:t>上述责任承担独立于贵单位可能购买的工程保险。本单位将自行投保足额的建筑工程一切险、安装工程一切险、第三方责任险及施工人员意外伤害险等，并将贵单位列为共同被保险人（如适用）。保险赔付不足以覆盖全部损失、赔偿和费用的，剩余部分仍由本单位全额承担。</w:t>
      </w:r>
    </w:p>
    <w:p w14:paraId="536073E9">
      <w:pPr>
        <w:pStyle w:val="17"/>
        <w:snapToGrid w:val="0"/>
        <w:spacing w:line="360" w:lineRule="auto"/>
        <w:ind w:firstLine="480" w:firstLineChars="200"/>
        <w:rPr>
          <w:rFonts w:hint="eastAsia" w:ascii="微软雅黑" w:hAnsi="微软雅黑" w:eastAsia="微软雅黑" w:cs="微软雅黑"/>
          <w:sz w:val="24"/>
          <w:szCs w:val="24"/>
        </w:rPr>
      </w:pPr>
    </w:p>
    <w:p w14:paraId="6CE569E0">
      <w:pPr>
        <w:pStyle w:val="17"/>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承诺单位（盖章）：</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法定代表人或授权代理人（签字）：</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日期：</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年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月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日</w:t>
      </w:r>
    </w:p>
    <w:p w14:paraId="00428CF9">
      <w:pPr>
        <w:ind w:firstLine="5720" w:firstLineChars="2600"/>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8" w:name="_Toc11208"/>
    </w:p>
    <w:bookmarkEnd w:id="25"/>
    <w:bookmarkEnd w:id="26"/>
    <w:bookmarkEnd w:id="28"/>
    <w:p w14:paraId="0907173A">
      <w:pPr>
        <w:spacing w:line="900" w:lineRule="exact"/>
        <w:ind w:firstLine="440"/>
        <w:jc w:val="center"/>
        <w:rPr>
          <w:rFonts w:hint="eastAsia" w:ascii="微软雅黑" w:hAnsi="微软雅黑" w:eastAsia="微软雅黑" w:cs="微软雅黑"/>
          <w:caps/>
          <w:sz w:val="22"/>
          <w:szCs w:val="22"/>
          <w:lang w:val="zh-CN"/>
        </w:rPr>
      </w:pPr>
    </w:p>
    <w:p w14:paraId="59BA0E74">
      <w:pPr>
        <w:spacing w:line="900" w:lineRule="exact"/>
        <w:ind w:firstLine="440"/>
        <w:jc w:val="center"/>
        <w:rPr>
          <w:rFonts w:hint="eastAsia" w:eastAsia="黑体"/>
          <w:b/>
          <w:bCs/>
          <w:sz w:val="56"/>
          <w:szCs w:val="56"/>
          <w:lang w:val="en-US" w:eastAsia="zh-CN"/>
        </w:rPr>
      </w:pPr>
      <w:r>
        <w:rPr>
          <w:rFonts w:hint="eastAsia" w:eastAsia="黑体"/>
          <w:b/>
          <w:bCs/>
          <w:sz w:val="56"/>
          <w:szCs w:val="56"/>
          <w:lang w:val="en-US" w:eastAsia="zh-CN"/>
        </w:rPr>
        <w:t>大南门城门楼及树木景观亮化提升工程</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73602363"/>
      <w:bookmarkStart w:id="30" w:name="_Toc270410845"/>
      <w:bookmarkStart w:id="31" w:name="_Toc240898303"/>
      <w:bookmarkStart w:id="32" w:name="_Toc328559344"/>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jc w:val="both"/>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jc w:val="both"/>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w:t>
      </w:r>
      <w:r>
        <w:rPr>
          <w:rFonts w:hint="eastAsia" w:ascii="微软雅黑" w:hAnsi="微软雅黑" w:eastAsia="微软雅黑" w:cs="微软雅黑"/>
          <w:kern w:val="2"/>
          <w:sz w:val="22"/>
          <w:szCs w:val="22"/>
          <w:u w:val="single"/>
        </w:rPr>
        <w:t xml:space="preserve">         </w:t>
      </w:r>
      <w:r>
        <w:rPr>
          <w:rFonts w:hint="eastAsia" w:ascii="微软雅黑" w:hAnsi="微软雅黑" w:eastAsia="微软雅黑" w:cs="微软雅黑"/>
          <w:kern w:val="2"/>
          <w:sz w:val="22"/>
          <w:szCs w:val="22"/>
        </w:rPr>
        <w:t>元</w:t>
      </w:r>
      <w:r>
        <w:rPr>
          <w:rFonts w:hint="eastAsia" w:ascii="微软雅黑" w:hAnsi="微软雅黑" w:eastAsia="微软雅黑" w:cs="微软雅黑"/>
          <w:kern w:val="2"/>
          <w:sz w:val="22"/>
          <w:szCs w:val="22"/>
          <w:lang w:val="en-US" w:eastAsia="zh-CN"/>
        </w:rPr>
        <w:t xml:space="preserve"> </w:t>
      </w:r>
      <w:r>
        <w:rPr>
          <w:rFonts w:hint="eastAsia" w:ascii="微软雅黑" w:hAnsi="微软雅黑" w:eastAsia="微软雅黑" w:cs="微软雅黑"/>
          <w:kern w:val="2"/>
          <w:sz w:val="22"/>
          <w:szCs w:val="22"/>
        </w:rPr>
        <w:t xml:space="preserve">¥ </w:t>
      </w:r>
      <w:r>
        <w:rPr>
          <w:rFonts w:hint="eastAsia" w:ascii="微软雅黑" w:hAnsi="微软雅黑" w:eastAsia="微软雅黑" w:cs="微软雅黑"/>
          <w:b/>
          <w:bCs/>
          <w:kern w:val="2"/>
          <w:sz w:val="22"/>
          <w:szCs w:val="22"/>
          <w:u w:val="single"/>
        </w:rPr>
        <w:t xml:space="preserve">        </w:t>
      </w:r>
      <w:r>
        <w:rPr>
          <w:rFonts w:hint="eastAsia" w:ascii="微软雅黑" w:hAnsi="微软雅黑" w:eastAsia="微软雅黑" w:cs="微软雅黑"/>
          <w:b/>
          <w:bCs/>
          <w:kern w:val="2"/>
          <w:sz w:val="22"/>
          <w:szCs w:val="22"/>
          <w:u w:val="single"/>
          <w:lang w:val="en-US" w:eastAsia="zh-CN"/>
        </w:rPr>
        <w:t xml:space="preserve"> </w:t>
      </w:r>
      <w:r>
        <w:rPr>
          <w:rFonts w:hint="eastAsia" w:ascii="微软雅黑" w:hAnsi="微软雅黑" w:eastAsia="微软雅黑" w:cs="微软雅黑"/>
          <w:kern w:val="2"/>
          <w:sz w:val="22"/>
          <w:szCs w:val="22"/>
        </w:rPr>
        <w:t>的投标总报价</w:t>
      </w:r>
      <w:r>
        <w:rPr>
          <w:rFonts w:hint="eastAsia" w:ascii="微软雅黑" w:hAnsi="微软雅黑" w:eastAsia="微软雅黑" w:cs="微软雅黑"/>
          <w:kern w:val="2"/>
          <w:sz w:val="22"/>
          <w:szCs w:val="22"/>
          <w:lang w:eastAsia="zh-CN"/>
        </w:rPr>
        <w:t>（</w:t>
      </w:r>
      <w:r>
        <w:rPr>
          <w:rFonts w:hint="eastAsia" w:ascii="微软雅黑" w:hAnsi="微软雅黑" w:eastAsia="微软雅黑" w:cs="微软雅黑"/>
          <w:kern w:val="2"/>
          <w:sz w:val="22"/>
          <w:szCs w:val="22"/>
          <w:lang w:val="en-US" w:eastAsia="zh-CN"/>
        </w:rPr>
        <w:t>含税</w:t>
      </w:r>
      <w:r>
        <w:rPr>
          <w:rFonts w:hint="eastAsia" w:ascii="微软雅黑" w:hAnsi="微软雅黑" w:eastAsia="微软雅黑" w:cs="微软雅黑"/>
          <w:kern w:val="2"/>
          <w:sz w:val="22"/>
          <w:szCs w:val="22"/>
          <w:lang w:eastAsia="zh-CN"/>
        </w:rPr>
        <w:t>）</w:t>
      </w:r>
      <w:r>
        <w:rPr>
          <w:rFonts w:hint="eastAsia" w:ascii="微软雅黑" w:hAnsi="微软雅黑" w:eastAsia="微软雅黑" w:cs="微软雅黑"/>
          <w:kern w:val="2"/>
          <w:sz w:val="22"/>
          <w:szCs w:val="22"/>
        </w:rPr>
        <w:t>，</w:t>
      </w:r>
      <w:r>
        <w:rPr>
          <w:rFonts w:hint="eastAsia" w:ascii="微软雅黑" w:hAnsi="微软雅黑" w:eastAsia="微软雅黑" w:cs="微软雅黑"/>
          <w:kern w:val="2"/>
          <w:sz w:val="22"/>
          <w:szCs w:val="22"/>
          <w:lang w:val="en-US" w:eastAsia="zh-CN"/>
        </w:rPr>
        <w:t>不含税价格</w:t>
      </w:r>
      <w:r>
        <w:rPr>
          <w:rFonts w:hint="eastAsia" w:ascii="微软雅黑" w:hAnsi="微软雅黑" w:eastAsia="微软雅黑" w:cs="微软雅黑"/>
          <w:kern w:val="2"/>
          <w:sz w:val="22"/>
          <w:szCs w:val="22"/>
        </w:rPr>
        <w:t>（大写）</w:t>
      </w:r>
      <w:r>
        <w:rPr>
          <w:rFonts w:hint="eastAsia" w:ascii="微软雅黑" w:hAnsi="微软雅黑" w:eastAsia="微软雅黑" w:cs="微软雅黑"/>
          <w:kern w:val="2"/>
          <w:sz w:val="22"/>
          <w:szCs w:val="22"/>
          <w:u w:val="single"/>
        </w:rPr>
        <w:t xml:space="preserve">         </w:t>
      </w:r>
      <w:r>
        <w:rPr>
          <w:rFonts w:hint="eastAsia" w:ascii="微软雅黑" w:hAnsi="微软雅黑" w:eastAsia="微软雅黑" w:cs="微软雅黑"/>
          <w:kern w:val="2"/>
          <w:sz w:val="22"/>
          <w:szCs w:val="22"/>
        </w:rPr>
        <w:t xml:space="preserve">元¥ </w:t>
      </w:r>
      <w:r>
        <w:rPr>
          <w:rFonts w:hint="eastAsia" w:ascii="微软雅黑" w:hAnsi="微软雅黑" w:eastAsia="微软雅黑" w:cs="微软雅黑"/>
          <w:b/>
          <w:bCs/>
          <w:kern w:val="2"/>
          <w:sz w:val="22"/>
          <w:szCs w:val="22"/>
          <w:u w:val="single"/>
        </w:rPr>
        <w:t xml:space="preserve">        </w:t>
      </w:r>
      <w:r>
        <w:rPr>
          <w:rFonts w:hint="eastAsia" w:ascii="微软雅黑" w:hAnsi="微软雅黑" w:eastAsia="微软雅黑" w:cs="微软雅黑"/>
          <w:kern w:val="2"/>
          <w:sz w:val="22"/>
          <w:szCs w:val="22"/>
          <w:lang w:eastAsia="zh-CN"/>
        </w:rPr>
        <w:t>，</w:t>
      </w:r>
      <w:r>
        <w:rPr>
          <w:rFonts w:hint="eastAsia" w:ascii="微软雅黑" w:hAnsi="微软雅黑" w:eastAsia="微软雅黑" w:cs="微软雅黑"/>
          <w:kern w:val="2"/>
          <w:sz w:val="22"/>
          <w:szCs w:val="22"/>
          <w:lang w:val="en-US" w:eastAsia="zh-CN"/>
        </w:rPr>
        <w:t>税费</w:t>
      </w:r>
      <w:r>
        <w:rPr>
          <w:rFonts w:hint="eastAsia" w:ascii="微软雅黑" w:hAnsi="微软雅黑" w:eastAsia="微软雅黑" w:cs="微软雅黑"/>
          <w:kern w:val="2"/>
          <w:sz w:val="22"/>
          <w:szCs w:val="22"/>
        </w:rPr>
        <w:t>（大写）</w:t>
      </w:r>
      <w:r>
        <w:rPr>
          <w:rFonts w:hint="eastAsia" w:ascii="微软雅黑" w:hAnsi="微软雅黑" w:eastAsia="微软雅黑" w:cs="微软雅黑"/>
          <w:kern w:val="2"/>
          <w:sz w:val="22"/>
          <w:szCs w:val="22"/>
          <w:u w:val="single"/>
        </w:rPr>
        <w:t xml:space="preserve">         </w:t>
      </w:r>
      <w:r>
        <w:rPr>
          <w:rFonts w:hint="eastAsia" w:ascii="微软雅黑" w:hAnsi="微软雅黑" w:eastAsia="微软雅黑" w:cs="微软雅黑"/>
          <w:kern w:val="2"/>
          <w:sz w:val="22"/>
          <w:szCs w:val="22"/>
        </w:rPr>
        <w:t xml:space="preserve">元¥ </w:t>
      </w:r>
      <w:r>
        <w:rPr>
          <w:rFonts w:hint="eastAsia" w:ascii="微软雅黑" w:hAnsi="微软雅黑" w:eastAsia="微软雅黑" w:cs="微软雅黑"/>
          <w:b/>
          <w:bCs/>
          <w:kern w:val="2"/>
          <w:sz w:val="22"/>
          <w:szCs w:val="22"/>
          <w:u w:val="single"/>
        </w:rPr>
        <w:t xml:space="preserve">        </w:t>
      </w:r>
      <w:r>
        <w:rPr>
          <w:rFonts w:hint="eastAsia" w:ascii="微软雅黑" w:hAnsi="微软雅黑" w:eastAsia="微软雅黑" w:cs="微软雅黑"/>
          <w:b/>
          <w:bCs/>
          <w:kern w:val="2"/>
          <w:sz w:val="22"/>
          <w:szCs w:val="22"/>
          <w:u w:val="none"/>
          <w:lang w:val="en-US" w:eastAsia="zh-CN"/>
        </w:rPr>
        <w:t xml:space="preserve"> ，</w:t>
      </w:r>
      <w:r>
        <w:rPr>
          <w:rFonts w:hint="eastAsia" w:ascii="微软雅黑" w:hAnsi="微软雅黑" w:eastAsia="微软雅黑" w:cs="微软雅黑"/>
          <w:kern w:val="2"/>
          <w:sz w:val="22"/>
          <w:szCs w:val="22"/>
        </w:rPr>
        <w:t>按合同约定实施。</w:t>
      </w:r>
    </w:p>
    <w:p w14:paraId="08DF0284">
      <w:pPr>
        <w:widowControl w:val="0"/>
        <w:adjustRightInd w:val="0"/>
        <w:snapToGrid w:val="0"/>
        <w:spacing w:line="560" w:lineRule="exact"/>
        <w:ind w:firstLine="440" w:firstLineChars="200"/>
        <w:jc w:val="both"/>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w:t>
      </w:r>
      <w:bookmarkStart w:id="40" w:name="_GoBack"/>
      <w:bookmarkEnd w:id="40"/>
      <w:r>
        <w:rPr>
          <w:rFonts w:hint="eastAsia" w:ascii="微软雅黑" w:hAnsi="微软雅黑" w:eastAsia="微软雅黑" w:cs="微软雅黑"/>
          <w:kern w:val="2"/>
          <w:sz w:val="22"/>
          <w:szCs w:val="22"/>
        </w:rPr>
        <w:t>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jc w:val="both"/>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大南门城门楼及树木景观亮化提升工程制作</w:t>
      </w:r>
      <w:r>
        <w:rPr>
          <w:rFonts w:hint="eastAsia" w:ascii="微软雅黑" w:hAnsi="微软雅黑" w:eastAsia="微软雅黑" w:cs="微软雅黑"/>
          <w:b/>
          <w:sz w:val="36"/>
          <w:szCs w:val="36"/>
        </w:rPr>
        <w:t>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sz w:val="24"/>
          <w:szCs w:val="24"/>
          <w:u w:val="single"/>
          <w:lang w:val="en-US" w:eastAsia="zh-CN" w:bidi="ar-SA"/>
        </w:rPr>
        <w:t>安庆罍街文化旅游发展有限公司</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4AE8242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75995FC4">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26372856">
      <w:pPr>
        <w:numPr>
          <w:ilvl w:val="0"/>
          <w:numId w:val="8"/>
        </w:numPr>
        <w:spacing w:line="400" w:lineRule="exact"/>
        <w:rPr>
          <w:rFonts w:hint="eastAsia" w:ascii="微软雅黑" w:hAnsi="微软雅黑" w:eastAsia="微软雅黑" w:cs="微软雅黑"/>
          <w:color w:val="0D0D0D" w:themeColor="text1" w:themeTint="F2"/>
          <w:szCs w:val="21"/>
          <w:highlight w:val="none"/>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none"/>
          <w14:textFill>
            <w14:solidFill>
              <w14:schemeClr w14:val="tx1">
                <w14:lumMod w14:val="95000"/>
                <w14:lumOff w14:val="5000"/>
              </w14:schemeClr>
            </w14:solidFill>
          </w14:textFill>
        </w:rPr>
        <w:t>甲方按照实际制作且验收合格的数量进行据实结算。结算定案后累计支付至结算价的97%，余款3%作为质保金，待工程质量保修期（</w:t>
      </w:r>
      <w:r>
        <w:rPr>
          <w:rFonts w:hint="eastAsia" w:ascii="微软雅黑" w:hAnsi="微软雅黑" w:eastAsia="微软雅黑" w:cs="微软雅黑"/>
          <w:bCs/>
          <w:color w:val="0D0D0D" w:themeColor="text1" w:themeTint="F2"/>
          <w:szCs w:val="21"/>
          <w:highlight w:val="none"/>
          <w:lang w:val="en-US" w:eastAsia="zh-CN"/>
          <w14:textFill>
            <w14:solidFill>
              <w14:schemeClr w14:val="tx1">
                <w14:lumMod w14:val="95000"/>
                <w14:lumOff w14:val="5000"/>
              </w14:schemeClr>
            </w14:solidFill>
          </w14:textFill>
        </w:rPr>
        <w:t>壹</w:t>
      </w:r>
      <w:r>
        <w:rPr>
          <w:rFonts w:hint="eastAsia" w:ascii="微软雅黑" w:hAnsi="微软雅黑" w:eastAsia="微软雅黑" w:cs="微软雅黑"/>
          <w:bCs/>
          <w:color w:val="0D0D0D" w:themeColor="text1" w:themeTint="F2"/>
          <w:szCs w:val="21"/>
          <w:highlight w:val="none"/>
          <w14:textFill>
            <w14:solidFill>
              <w14:schemeClr w14:val="tx1">
                <w14:lumMod w14:val="95000"/>
                <w14:lumOff w14:val="5000"/>
              </w14:schemeClr>
            </w14:solidFill>
          </w14:textFill>
        </w:rPr>
        <w:t>年）满后付清（无息）。</w:t>
      </w:r>
    </w:p>
    <w:p w14:paraId="02D314F3">
      <w:pPr>
        <w:numPr>
          <w:ilvl w:val="0"/>
          <w:numId w:val="8"/>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pStyle w:val="13"/>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9"/>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5" w:name="auto_fouce_18"/>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6"/>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6ECE30C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12E971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4A357677">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3CE3DE7C">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3"/>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86CCF34">
      <w:pPr>
        <w:numPr>
          <w:ilvl w:val="0"/>
          <w:numId w:val="13"/>
        </w:numPr>
        <w:spacing w:line="400" w:lineRule="exact"/>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lang w:val="en-US" w:eastAsia="zh-CN"/>
      </w:rPr>
      <w:t>安庆罍街文化旅游发展</w:t>
    </w:r>
    <w:r>
      <w:rPr>
        <w:rFonts w:hint="eastAsia"/>
      </w:rPr>
      <w:t>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55C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2EE479BF"/>
    <w:multiLevelType w:val="singleLevel"/>
    <w:tmpl w:val="2EE479BF"/>
    <w:lvl w:ilvl="0" w:tentative="0">
      <w:start w:val="1"/>
      <w:numFmt w:val="decimal"/>
      <w:lvlText w:val="%1."/>
      <w:lvlJc w:val="left"/>
      <w:pPr>
        <w:ind w:left="845" w:hanging="425"/>
      </w:pPr>
      <w:rPr>
        <w:rFonts w:hint="default"/>
      </w:rPr>
    </w:lvl>
  </w:abstractNum>
  <w:abstractNum w:abstractNumId="6">
    <w:nsid w:val="3A658CC2"/>
    <w:multiLevelType w:val="singleLevel"/>
    <w:tmpl w:val="3A658CC2"/>
    <w:lvl w:ilvl="0" w:tentative="0">
      <w:start w:val="1"/>
      <w:numFmt w:val="decimal"/>
      <w:lvlText w:val="%1."/>
      <w:lvlJc w:val="left"/>
      <w:pPr>
        <w:ind w:left="845" w:hanging="425"/>
      </w:pPr>
      <w:rPr>
        <w:rFonts w:hint="default"/>
      </w:rPr>
    </w:lvl>
  </w:abstractNum>
  <w:abstractNum w:abstractNumId="7">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8">
    <w:nsid w:val="61BECD94"/>
    <w:multiLevelType w:val="singleLevel"/>
    <w:tmpl w:val="61BECD94"/>
    <w:lvl w:ilvl="0" w:tentative="0">
      <w:start w:val="1"/>
      <w:numFmt w:val="decimal"/>
      <w:lvlText w:val="%1."/>
      <w:lvlJc w:val="left"/>
      <w:pPr>
        <w:ind w:left="845" w:hanging="425"/>
      </w:pPr>
      <w:rPr>
        <w:rFonts w:hint="default"/>
      </w:rPr>
    </w:lvl>
  </w:abstractNum>
  <w:abstractNum w:abstractNumId="9">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abstractNum w:abstractNumId="12">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9"/>
  </w:num>
  <w:num w:numId="3">
    <w:abstractNumId w:val="1"/>
  </w:num>
  <w:num w:numId="4">
    <w:abstractNumId w:val="3"/>
  </w:num>
  <w:num w:numId="5">
    <w:abstractNumId w:val="0"/>
  </w:num>
  <w:num w:numId="6">
    <w:abstractNumId w:val="7"/>
  </w:num>
  <w:num w:numId="7">
    <w:abstractNumId w:val="10"/>
  </w:num>
  <w:num w:numId="8">
    <w:abstractNumId w:val="8"/>
  </w:num>
  <w:num w:numId="9">
    <w:abstractNumId w:val="12"/>
  </w:num>
  <w:num w:numId="10">
    <w:abstractNumId w:val="5"/>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2234C2"/>
    <w:rsid w:val="03A81E16"/>
    <w:rsid w:val="03BB7FBE"/>
    <w:rsid w:val="0752460B"/>
    <w:rsid w:val="07DB3A9A"/>
    <w:rsid w:val="09EA47B4"/>
    <w:rsid w:val="0CA82AC4"/>
    <w:rsid w:val="0E4B63E2"/>
    <w:rsid w:val="10AE6120"/>
    <w:rsid w:val="11437FDD"/>
    <w:rsid w:val="11BF74BA"/>
    <w:rsid w:val="14135500"/>
    <w:rsid w:val="148B75BC"/>
    <w:rsid w:val="18E72325"/>
    <w:rsid w:val="216D64F7"/>
    <w:rsid w:val="234E20D6"/>
    <w:rsid w:val="29351A27"/>
    <w:rsid w:val="2B8101D0"/>
    <w:rsid w:val="2E670113"/>
    <w:rsid w:val="2F565974"/>
    <w:rsid w:val="336F70EC"/>
    <w:rsid w:val="340C668B"/>
    <w:rsid w:val="364D1A66"/>
    <w:rsid w:val="366C4B34"/>
    <w:rsid w:val="36C6190C"/>
    <w:rsid w:val="38B05B5E"/>
    <w:rsid w:val="3EAA2AF7"/>
    <w:rsid w:val="44380293"/>
    <w:rsid w:val="44FF48D5"/>
    <w:rsid w:val="469E5E95"/>
    <w:rsid w:val="4F8537C2"/>
    <w:rsid w:val="514E2DFA"/>
    <w:rsid w:val="515B15DC"/>
    <w:rsid w:val="52121074"/>
    <w:rsid w:val="52A32E2E"/>
    <w:rsid w:val="55A726C6"/>
    <w:rsid w:val="571961BE"/>
    <w:rsid w:val="57D62AA9"/>
    <w:rsid w:val="5B8E59C0"/>
    <w:rsid w:val="5DDA2B31"/>
    <w:rsid w:val="60256EF4"/>
    <w:rsid w:val="69A668E3"/>
    <w:rsid w:val="6DDB2AEC"/>
    <w:rsid w:val="70660DD2"/>
    <w:rsid w:val="736336EB"/>
    <w:rsid w:val="736877BF"/>
    <w:rsid w:val="74D6127F"/>
    <w:rsid w:val="78C23757"/>
    <w:rsid w:val="7AC61E33"/>
    <w:rsid w:val="7CCB7024"/>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4538</Words>
  <Characters>4675</Characters>
  <Lines>142</Lines>
  <Paragraphs>97</Paragraphs>
  <TotalTime>7</TotalTime>
  <ScaleCrop>false</ScaleCrop>
  <LinksUpToDate>false</LinksUpToDate>
  <CharactersWithSpaces>5297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Cc</cp:lastModifiedBy>
  <cp:lastPrinted>2024-01-30T08:05:00Z</cp:lastPrinted>
  <dcterms:modified xsi:type="dcterms:W3CDTF">2026-01-12T10:45:31Z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003CFADA386A4F7889E6B5A331E2AE79_13</vt:lpwstr>
  </property>
  <property fmtid="{D5CDD505-2E9C-101B-9397-08002B2CF9AE}" pid="4" name="KSOTemplateDocerSaveRecord">
    <vt:lpwstr>eyJoZGlkIjoiOWJkOGQxNzhiY2FiZDM3OWE0MTQ5Y2ExMzE0NzRlMmIiLCJ1c2VySWQiOiIyNTAwNDA2ODkifQ==</vt:lpwstr>
  </property>
</Properties>
</file>