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273602339"/>
          <w:bookmarkStart w:id="2" w:name="_Toc328559326"/>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智慧工牌系统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0" w:name="_GoBack"/>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智慧工牌系统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6"/>
    </w:p>
    <w:p w14:paraId="48FBA132">
      <w:pPr>
        <w:numPr>
          <w:ilvl w:val="0"/>
          <w:numId w:val="0"/>
        </w:numPr>
        <w:rPr>
          <w:rFonts w:hint="eastAsia" w:ascii="微软雅黑" w:hAnsi="微软雅黑" w:eastAsia="微软雅黑" w:cs="微软雅黑"/>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智慧工牌系统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5F3AD8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2FE4E1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4、采购说明：本次采购由合肥市包河区城市更新建设有限公司负责，后期合同与合肥市包河区城市更新建设有限公司（珺玺中心项目、嘉玺项目、包河区BH202512号地块项目）、合肥滨投文化创意发展有限公司（合柴拾间项目）分别签订、分开付款。</w:t>
      </w:r>
    </w:p>
    <w:p w14:paraId="5C1C6DE1">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5、系统需求：当前珺玺中心、嘉玺项目使用“明源云客电子商务平台”系统，合柴拾间项目使用“旺小宝数智化营销平台”系统，中标智慧工牌系统需兼容各项目当前系统，并提供明确的解决方案或系统演示。</w:t>
      </w:r>
    </w:p>
    <w:p w14:paraId="44D0B1A5">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6、说明：珺玺中心项目、嘉玺项目、包河区BH202512号地块项目及合柴拾间项目分别进行报价，具体执行项目以采购方通知为准，以实际执行项目进行日期及费用计算。</w:t>
      </w:r>
    </w:p>
    <w:p w14:paraId="4D375F57">
      <w:pPr>
        <w:pStyle w:val="27"/>
        <w:rPr>
          <w:rFonts w:hint="eastAsia" w:ascii="微软雅黑" w:hAnsi="微软雅黑" w:eastAsia="微软雅黑" w:cs="微软雅黑"/>
        </w:rPr>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不少于3个房地产案场智慧工牌系统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rPr>
          <w:rFonts w:hint="eastAsia" w:ascii="微软雅黑" w:hAnsi="微软雅黑" w:eastAsia="微软雅黑" w:cs="微软雅黑"/>
        </w:rPr>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综合评标法</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1F28F6F1">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3、详细评审详见评分标准表。</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4</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rPr>
          <w:rFonts w:hint="eastAsia" w:ascii="微软雅黑" w:hAnsi="微软雅黑" w:eastAsia="微软雅黑" w:cs="微软雅黑"/>
        </w:rPr>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79C8595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en-US" w:eastAsia="zh-CN"/>
        </w:rPr>
      </w:pPr>
      <w:bookmarkStart w:id="7" w:name="_Hlk200707264"/>
      <w:r>
        <w:rPr>
          <w:rFonts w:hint="eastAsia" w:ascii="微软雅黑" w:hAnsi="微软雅黑" w:eastAsia="微软雅黑" w:cs="微软雅黑"/>
          <w:color w:val="000000"/>
          <w:sz w:val="22"/>
          <w:szCs w:val="22"/>
        </w:rPr>
        <w:t>附件1：</w:t>
      </w:r>
      <w:r>
        <w:rPr>
          <w:rFonts w:hint="eastAsia" w:ascii="微软雅黑" w:hAnsi="微软雅黑" w:eastAsia="微软雅黑" w:cs="微软雅黑"/>
          <w:color w:val="000000"/>
          <w:sz w:val="22"/>
          <w:szCs w:val="22"/>
          <w:lang w:val="en-US" w:eastAsia="zh-CN"/>
        </w:rPr>
        <w:t>服务方案加盖公章；</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附件2：</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highlight w:val="none"/>
          <w:lang w:val="en-US" w:eastAsia="zh-CN"/>
        </w:rPr>
        <w:t>19</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rPr>
        <w:t>时前送至合肥市包河区城市更新建设有限公司，地址：合肥市包河区徽州大道1388号401。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郭子奇</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22</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23</w:t>
            </w:r>
            <w:r>
              <w:rPr>
                <w:rFonts w:hint="eastAsia" w:ascii="微软雅黑" w:hAnsi="微软雅黑" w:eastAsia="微软雅黑" w:cs="微软雅黑"/>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hint="eastAsia"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bookmarkEnd w:id="50"/>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8" w:name="_Toc273602342"/>
      <w:bookmarkStart w:id="9" w:name="_Toc39733479"/>
      <w:bookmarkStart w:id="10" w:name="_Toc22397"/>
      <w:bookmarkStart w:id="11" w:name="_Toc245092762"/>
      <w:r>
        <w:rPr>
          <w:rFonts w:hint="eastAsia" w:ascii="微软雅黑" w:hAnsi="微软雅黑" w:eastAsia="微软雅黑" w:cs="微软雅黑"/>
          <w:b/>
          <w:bCs/>
          <w:sz w:val="22"/>
          <w:szCs w:val="22"/>
        </w:rPr>
        <w:t>第二章 招标人要求</w:t>
      </w:r>
    </w:p>
    <w:p w14:paraId="42FC0CBC">
      <w:pPr>
        <w:pStyle w:val="3"/>
        <w:numPr>
          <w:ilvl w:val="0"/>
          <w:numId w:val="4"/>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4"/>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38F2DA52">
      <w:pPr>
        <w:pStyle w:val="3"/>
        <w:numPr>
          <w:ilvl w:val="0"/>
          <w:numId w:val="0"/>
        </w:numPr>
        <w:spacing w:line="360" w:lineRule="auto"/>
        <w:ind w:left="630" w:leftChars="0" w:firstLine="440" w:firstLineChars="2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智慧工牌系统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本次项目评标采用综合评分法作为对投标人标书的比较方法。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3623770F">
      <w:pPr>
        <w:spacing w:line="360" w:lineRule="auto"/>
        <w:ind w:left="480" w:right="-10" w:firstLine="440"/>
        <w:rPr>
          <w:rFonts w:hint="eastAsia" w:ascii="微软雅黑" w:hAnsi="微软雅黑" w:eastAsia="微软雅黑" w:cs="微软雅黑"/>
          <w:sz w:val="22"/>
          <w:szCs w:val="22"/>
        </w:rPr>
      </w:pPr>
      <w:bookmarkStart w:id="13" w:name="_Toc39733483"/>
      <w:bookmarkStart w:id="14" w:name="_Toc20758"/>
      <w:bookmarkStart w:id="15" w:name="_Toc245714173"/>
      <w:bookmarkStart w:id="16" w:name="_Toc273602355"/>
      <w:bookmarkStart w:id="17" w:name="_Toc2829"/>
      <w:bookmarkStart w:id="18" w:name="_Toc39733482"/>
      <w:bookmarkStart w:id="19" w:name="_Toc245714170"/>
      <w:bookmarkStart w:id="20" w:name="_Toc245028818"/>
      <w:bookmarkStart w:id="21" w:name="_Toc273602352"/>
      <w:r>
        <w:rPr>
          <w:rFonts w:hint="eastAsia" w:ascii="微软雅黑" w:hAnsi="微软雅黑" w:eastAsia="微软雅黑" w:cs="微软雅黑"/>
          <w:sz w:val="22"/>
          <w:szCs w:val="22"/>
        </w:rPr>
        <w:t>（一）本项目采用综合评分法进行评审，在最大限度地满足</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实质性要求前提下，按照</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中规定的各项因素进行综合评审。综合评分法的主要因素是：资格资质、技术以及报价的比重。满分为100分。</w:t>
      </w:r>
    </w:p>
    <w:p w14:paraId="6450DBD9">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（二）评委会首先对投标文件进行初审，投标文件应实质上响应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的要求，应与</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所有条款、条件和规定相符，无显著差异或保留。对内容不全，影响正常评标的投标文件由评标委员会初审后按无效标书处理</w:t>
      </w:r>
      <w:r>
        <w:rPr>
          <w:rFonts w:hint="eastAsia" w:ascii="微软雅黑" w:hAnsi="微软雅黑" w:eastAsia="微软雅黑" w:cs="微软雅黑"/>
          <w:sz w:val="22"/>
          <w:szCs w:val="22"/>
          <w:lang w:eastAsia="zh-CN"/>
        </w:rPr>
        <w:t>。</w:t>
      </w:r>
    </w:p>
    <w:p w14:paraId="587728E4">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w:t>
      </w:r>
      <w:r>
        <w:rPr>
          <w:rFonts w:hint="eastAsia" w:ascii="微软雅黑" w:hAnsi="微软雅黑" w:eastAsia="微软雅黑" w:cs="微软雅黑"/>
          <w:sz w:val="22"/>
          <w:szCs w:val="22"/>
          <w:lang w:val="en-US" w:eastAsia="zh-CN"/>
        </w:rPr>
        <w:t>三</w:t>
      </w:r>
      <w:r>
        <w:rPr>
          <w:rFonts w:hint="eastAsia" w:ascii="微软雅黑" w:hAnsi="微软雅黑" w:eastAsia="微软雅黑" w:cs="微软雅黑"/>
          <w:sz w:val="22"/>
          <w:szCs w:val="22"/>
        </w:rPr>
        <w:t>）对投标文件进行综合评审。评标委员会只对通过初审，实质上响应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要求的投标文件按照下述指标表进行评审。</w:t>
      </w:r>
    </w:p>
    <w:p w14:paraId="2F6CD4B4">
      <w:pPr>
        <w:numPr>
          <w:ilvl w:val="0"/>
          <w:numId w:val="6"/>
        </w:numPr>
        <w:spacing w:line="360" w:lineRule="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 xml:space="preserve">评审表 </w:t>
      </w:r>
    </w:p>
    <w:p w14:paraId="45968DAC">
      <w:pPr>
        <w:numPr>
          <w:ilvl w:val="0"/>
          <w:numId w:val="7"/>
        </w:numPr>
        <w:spacing w:line="360" w:lineRule="auto"/>
        <w:ind w:left="84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评议组按照下表要求，结合供应商汇报内容进行综合评分。</w:t>
      </w:r>
    </w:p>
    <w:p w14:paraId="348EB06D">
      <w:pPr>
        <w:numPr>
          <w:ilvl w:val="0"/>
          <w:numId w:val="7"/>
        </w:numPr>
        <w:spacing w:line="360" w:lineRule="auto"/>
        <w:ind w:left="84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本项目综合评分满分为100分，其中：技术资信分值占总分值的权重为</w:t>
      </w:r>
      <w:r>
        <w:rPr>
          <w:rFonts w:hint="eastAsia" w:ascii="微软雅黑" w:hAnsi="微软雅黑" w:eastAsia="微软雅黑" w:cs="微软雅黑"/>
          <w:sz w:val="22"/>
          <w:szCs w:val="22"/>
          <w:highlight w:val="none"/>
          <w:lang w:val="en-US" w:eastAsia="zh-CN"/>
        </w:rPr>
        <w:t>8</w:t>
      </w:r>
      <w:r>
        <w:rPr>
          <w:rFonts w:hint="eastAsia" w:ascii="微软雅黑" w:hAnsi="微软雅黑" w:eastAsia="微软雅黑" w:cs="微软雅黑"/>
          <w:sz w:val="22"/>
          <w:szCs w:val="22"/>
          <w:highlight w:val="none"/>
        </w:rPr>
        <w:t>0%，</w:t>
      </w:r>
      <w:r>
        <w:rPr>
          <w:rFonts w:hint="eastAsia" w:ascii="微软雅黑" w:hAnsi="微软雅黑" w:eastAsia="微软雅黑" w:cs="微软雅黑"/>
          <w:sz w:val="22"/>
          <w:szCs w:val="22"/>
          <w:highlight w:val="none"/>
          <w:lang w:val="en-US" w:eastAsia="zh-CN"/>
        </w:rPr>
        <w:t>商务</w:t>
      </w:r>
      <w:r>
        <w:rPr>
          <w:rFonts w:hint="eastAsia" w:ascii="微软雅黑" w:hAnsi="微软雅黑" w:eastAsia="微软雅黑" w:cs="微软雅黑"/>
          <w:sz w:val="22"/>
          <w:szCs w:val="22"/>
          <w:highlight w:val="none"/>
        </w:rPr>
        <w:t>分值占总分值的权重为</w:t>
      </w:r>
      <w:r>
        <w:rPr>
          <w:rFonts w:hint="eastAsia" w:ascii="微软雅黑" w:hAnsi="微软雅黑" w:eastAsia="微软雅黑" w:cs="微软雅黑"/>
          <w:sz w:val="22"/>
          <w:szCs w:val="22"/>
          <w:highlight w:val="none"/>
          <w:lang w:val="en-US" w:eastAsia="zh-CN"/>
        </w:rPr>
        <w:t>2</w:t>
      </w:r>
      <w:r>
        <w:rPr>
          <w:rFonts w:hint="eastAsia" w:ascii="微软雅黑" w:hAnsi="微软雅黑" w:eastAsia="微软雅黑" w:cs="微软雅黑"/>
          <w:sz w:val="22"/>
          <w:szCs w:val="22"/>
          <w:highlight w:val="none"/>
        </w:rPr>
        <w:t>0%。具体评分细则如下：</w:t>
      </w:r>
    </w:p>
    <w:p w14:paraId="589E39A6">
      <w:pPr>
        <w:numPr>
          <w:ilvl w:val="0"/>
          <w:numId w:val="0"/>
        </w:numPr>
        <w:spacing w:line="360" w:lineRule="auto"/>
        <w:ind w:left="840" w:leftChars="0" w:firstLine="440" w:firstLineChars="200"/>
        <w:rPr>
          <w:rFonts w:hint="eastAsia" w:ascii="微软雅黑" w:hAnsi="微软雅黑" w:eastAsia="微软雅黑" w:cs="微软雅黑"/>
          <w:sz w:val="22"/>
          <w:szCs w:val="22"/>
          <w:highlight w:val="none"/>
          <w:lang w:val="zh-CN"/>
        </w:rPr>
      </w:pPr>
      <w:r>
        <w:rPr>
          <w:rFonts w:hint="eastAsia" w:ascii="微软雅黑" w:hAnsi="微软雅黑" w:eastAsia="微软雅黑" w:cs="微软雅黑"/>
          <w:sz w:val="22"/>
          <w:szCs w:val="22"/>
          <w:highlight w:val="none"/>
        </w:rPr>
        <w:t>各评委成员按下列评分项目进行评判，评选委员会各成员应当独立对每个有效参选人的投标情况进行评价、打分，然后汇总每个参选人每项评分因素的得分。各参选人的最终得分为所有评委评分的平均值（平均值计算精确至小数点后二位，小数点后第三位四舍五入）</w:t>
      </w:r>
      <w:r>
        <w:rPr>
          <w:rFonts w:hint="eastAsia" w:ascii="微软雅黑" w:hAnsi="微软雅黑" w:eastAsia="微软雅黑" w:cs="微软雅黑"/>
          <w:sz w:val="22"/>
          <w:szCs w:val="22"/>
          <w:highlight w:val="none"/>
          <w:lang w:val="zh-CN"/>
        </w:rPr>
        <w:t>。</w:t>
      </w:r>
    </w:p>
    <w:tbl>
      <w:tblPr>
        <w:tblStyle w:val="2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7390"/>
        <w:gridCol w:w="1266"/>
      </w:tblGrid>
      <w:tr w14:paraId="76D6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jc w:val="center"/>
        </w:trPr>
        <w:tc>
          <w:tcPr>
            <w:tcW w:w="649" w:type="pct"/>
            <w:tcBorders>
              <w:top w:val="single" w:color="auto" w:sz="4" w:space="0"/>
              <w:left w:val="single" w:color="auto" w:sz="4" w:space="0"/>
              <w:bottom w:val="single" w:color="auto" w:sz="4" w:space="0"/>
              <w:right w:val="single" w:color="auto" w:sz="4" w:space="0"/>
            </w:tcBorders>
            <w:noWrap w:val="0"/>
            <w:vAlign w:val="center"/>
          </w:tcPr>
          <w:p w14:paraId="603ADC36">
            <w:pPr>
              <w:keepNext w:val="0"/>
              <w:keepLines w:val="0"/>
              <w:widowControl w:val="0"/>
              <w:suppressLineNumbers w:val="0"/>
              <w:spacing w:before="0" w:beforeAutospacing="0" w:after="0" w:afterAutospacing="0" w:line="240" w:lineRule="auto"/>
              <w:ind w:left="0" w:right="0"/>
              <w:jc w:val="center"/>
              <w:rPr>
                <w:rFonts w:hint="eastAsia" w:ascii="微软雅黑" w:hAnsi="微软雅黑" w:eastAsia="微软雅黑" w:cs="微软雅黑"/>
                <w:b w:val="0"/>
                <w:bCs w:val="0"/>
                <w:color w:val="auto"/>
                <w:kern w:val="2"/>
                <w:sz w:val="20"/>
                <w:szCs w:val="20"/>
                <w:highlight w:val="none"/>
              </w:rPr>
            </w:pPr>
            <w:r>
              <w:rPr>
                <w:rFonts w:hint="eastAsia" w:ascii="微软雅黑" w:hAnsi="微软雅黑" w:eastAsia="微软雅黑" w:cs="微软雅黑"/>
                <w:b w:val="0"/>
                <w:bCs w:val="0"/>
                <w:color w:val="auto"/>
                <w:kern w:val="0"/>
                <w:sz w:val="20"/>
                <w:szCs w:val="20"/>
                <w:highlight w:val="none"/>
                <w:lang w:val="en-US" w:eastAsia="zh-CN" w:bidi="ar"/>
              </w:rPr>
              <w:t>指标</w:t>
            </w:r>
          </w:p>
        </w:tc>
        <w:tc>
          <w:tcPr>
            <w:tcW w:w="3713" w:type="pct"/>
            <w:tcBorders>
              <w:top w:val="single" w:color="auto" w:sz="4" w:space="0"/>
              <w:left w:val="nil"/>
              <w:bottom w:val="single" w:color="auto" w:sz="4" w:space="0"/>
              <w:right w:val="single" w:color="auto" w:sz="4" w:space="0"/>
            </w:tcBorders>
            <w:noWrap w:val="0"/>
            <w:vAlign w:val="center"/>
          </w:tcPr>
          <w:p w14:paraId="4693E76E">
            <w:pPr>
              <w:keepNext w:val="0"/>
              <w:keepLines w:val="0"/>
              <w:widowControl w:val="0"/>
              <w:suppressLineNumbers w:val="0"/>
              <w:spacing w:before="0" w:beforeAutospacing="0" w:after="0" w:afterAutospacing="0" w:line="240" w:lineRule="auto"/>
              <w:ind w:left="0" w:right="0"/>
              <w:jc w:val="center"/>
              <w:rPr>
                <w:rFonts w:hint="eastAsia" w:ascii="微软雅黑" w:hAnsi="微软雅黑" w:eastAsia="微软雅黑" w:cs="微软雅黑"/>
                <w:b w:val="0"/>
                <w:bCs w:val="0"/>
                <w:color w:val="auto"/>
                <w:kern w:val="2"/>
                <w:sz w:val="20"/>
                <w:szCs w:val="20"/>
                <w:highlight w:val="none"/>
              </w:rPr>
            </w:pPr>
            <w:r>
              <w:rPr>
                <w:rFonts w:hint="eastAsia" w:ascii="微软雅黑" w:hAnsi="微软雅黑" w:eastAsia="微软雅黑" w:cs="微软雅黑"/>
                <w:b w:val="0"/>
                <w:bCs w:val="0"/>
                <w:color w:val="auto"/>
                <w:kern w:val="0"/>
                <w:sz w:val="20"/>
                <w:szCs w:val="20"/>
                <w:highlight w:val="none"/>
                <w:lang w:val="en-US" w:eastAsia="zh-CN" w:bidi="ar"/>
              </w:rPr>
              <w:t>指标描述</w:t>
            </w:r>
          </w:p>
        </w:tc>
        <w:tc>
          <w:tcPr>
            <w:tcW w:w="636" w:type="pct"/>
            <w:tcBorders>
              <w:top w:val="single" w:color="auto" w:sz="4" w:space="0"/>
              <w:left w:val="nil"/>
              <w:bottom w:val="single" w:color="auto" w:sz="4" w:space="0"/>
              <w:right w:val="single" w:color="auto" w:sz="4" w:space="0"/>
            </w:tcBorders>
            <w:noWrap w:val="0"/>
            <w:vAlign w:val="center"/>
          </w:tcPr>
          <w:p w14:paraId="4CB81744">
            <w:pPr>
              <w:keepNext w:val="0"/>
              <w:keepLines w:val="0"/>
              <w:widowControl w:val="0"/>
              <w:suppressLineNumbers w:val="0"/>
              <w:spacing w:before="0" w:beforeAutospacing="0" w:after="0" w:afterAutospacing="0" w:line="240" w:lineRule="auto"/>
              <w:ind w:left="0" w:right="0"/>
              <w:jc w:val="center"/>
              <w:rPr>
                <w:rFonts w:hint="eastAsia" w:ascii="微软雅黑" w:hAnsi="微软雅黑" w:eastAsia="微软雅黑" w:cs="微软雅黑"/>
                <w:b w:val="0"/>
                <w:bCs w:val="0"/>
                <w:color w:val="auto"/>
                <w:kern w:val="2"/>
                <w:sz w:val="20"/>
                <w:szCs w:val="20"/>
                <w:highlight w:val="none"/>
              </w:rPr>
            </w:pPr>
            <w:r>
              <w:rPr>
                <w:rFonts w:hint="eastAsia" w:ascii="微软雅黑" w:hAnsi="微软雅黑" w:eastAsia="微软雅黑" w:cs="微软雅黑"/>
                <w:b w:val="0"/>
                <w:bCs w:val="0"/>
                <w:color w:val="auto"/>
                <w:kern w:val="0"/>
                <w:sz w:val="20"/>
                <w:szCs w:val="20"/>
                <w:highlight w:val="none"/>
                <w:lang w:val="en-US" w:eastAsia="zh-CN" w:bidi="ar"/>
              </w:rPr>
              <w:t>满分</w:t>
            </w:r>
          </w:p>
        </w:tc>
      </w:tr>
      <w:tr w14:paraId="134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jc w:val="center"/>
        </w:trPr>
        <w:tc>
          <w:tcPr>
            <w:tcW w:w="649" w:type="pct"/>
            <w:tcBorders>
              <w:top w:val="single" w:color="auto" w:sz="4" w:space="0"/>
              <w:left w:val="single" w:color="auto" w:sz="4" w:space="0"/>
              <w:bottom w:val="single" w:color="auto" w:sz="4" w:space="0"/>
              <w:right w:val="single" w:color="auto" w:sz="4" w:space="0"/>
            </w:tcBorders>
            <w:noWrap w:val="0"/>
            <w:vAlign w:val="center"/>
          </w:tcPr>
          <w:p w14:paraId="0CF464F4">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微软雅黑" w:hAnsi="微软雅黑" w:eastAsia="微软雅黑" w:cs="微软雅黑"/>
                <w:b w:val="0"/>
                <w:bCs w:val="0"/>
                <w:color w:val="auto"/>
                <w:kern w:val="0"/>
                <w:sz w:val="20"/>
                <w:szCs w:val="20"/>
                <w:highlight w:val="none"/>
              </w:rPr>
            </w:pPr>
            <w:r>
              <w:rPr>
                <w:rFonts w:hint="eastAsia" w:ascii="微软雅黑" w:hAnsi="微软雅黑" w:eastAsia="微软雅黑" w:cs="微软雅黑"/>
                <w:b w:val="0"/>
                <w:bCs w:val="0"/>
                <w:color w:val="auto"/>
                <w:kern w:val="2"/>
                <w:sz w:val="20"/>
                <w:szCs w:val="20"/>
                <w:highlight w:val="none"/>
                <w:lang w:val="en-US" w:eastAsia="zh-CN" w:bidi="ar"/>
              </w:rPr>
              <w:t>业绩</w:t>
            </w:r>
          </w:p>
        </w:tc>
        <w:tc>
          <w:tcPr>
            <w:tcW w:w="3713" w:type="pct"/>
            <w:tcBorders>
              <w:top w:val="single" w:color="auto" w:sz="4" w:space="0"/>
              <w:left w:val="nil"/>
              <w:bottom w:val="single" w:color="auto" w:sz="4" w:space="0"/>
              <w:right w:val="single" w:color="auto" w:sz="4" w:space="0"/>
            </w:tcBorders>
            <w:noWrap w:val="0"/>
            <w:vAlign w:val="center"/>
          </w:tcPr>
          <w:p w14:paraId="29A8E4DA">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val="en-US" w:eastAsia="zh" w:bidi="ar"/>
              </w:rPr>
            </w:pPr>
            <w:r>
              <w:rPr>
                <w:rFonts w:hint="eastAsia" w:ascii="微软雅黑" w:hAnsi="微软雅黑" w:eastAsia="微软雅黑" w:cs="微软雅黑"/>
                <w:b w:val="0"/>
                <w:bCs w:val="0"/>
                <w:color w:val="auto"/>
                <w:kern w:val="2"/>
                <w:sz w:val="20"/>
                <w:szCs w:val="20"/>
                <w:highlight w:val="none"/>
                <w:lang w:val="en-US" w:eastAsia="zh" w:bidi="ar"/>
              </w:rPr>
              <w:t>自202</w:t>
            </w:r>
            <w:r>
              <w:rPr>
                <w:rFonts w:hint="eastAsia" w:ascii="微软雅黑" w:hAnsi="微软雅黑" w:eastAsia="微软雅黑" w:cs="微软雅黑"/>
                <w:b w:val="0"/>
                <w:bCs w:val="0"/>
                <w:color w:val="auto"/>
                <w:kern w:val="2"/>
                <w:sz w:val="20"/>
                <w:szCs w:val="20"/>
                <w:highlight w:val="none"/>
                <w:lang w:val="en-US" w:eastAsia="zh-CN" w:bidi="ar"/>
              </w:rPr>
              <w:t>5</w:t>
            </w:r>
            <w:r>
              <w:rPr>
                <w:rFonts w:hint="eastAsia" w:ascii="微软雅黑" w:hAnsi="微软雅黑" w:eastAsia="微软雅黑" w:cs="微软雅黑"/>
                <w:b w:val="0"/>
                <w:bCs w:val="0"/>
                <w:color w:val="auto"/>
                <w:kern w:val="2"/>
                <w:sz w:val="20"/>
                <w:szCs w:val="20"/>
                <w:highlight w:val="none"/>
                <w:lang w:val="en-US" w:eastAsia="zh" w:bidi="ar"/>
              </w:rPr>
              <w:t>年1月1日以来（以合同签订时间为准），</w:t>
            </w:r>
            <w:r>
              <w:rPr>
                <w:rFonts w:hint="eastAsia" w:ascii="微软雅黑" w:hAnsi="微软雅黑" w:eastAsia="微软雅黑" w:cs="微软雅黑"/>
                <w:b w:val="0"/>
                <w:bCs w:val="0"/>
                <w:color w:val="auto"/>
                <w:kern w:val="2"/>
                <w:sz w:val="20"/>
                <w:szCs w:val="20"/>
                <w:highlight w:val="none"/>
                <w:lang w:val="en-US" w:eastAsia="zh-CN" w:bidi="ar"/>
              </w:rPr>
              <w:t>参选</w:t>
            </w:r>
            <w:r>
              <w:rPr>
                <w:rFonts w:hint="eastAsia" w:ascii="微软雅黑" w:hAnsi="微软雅黑" w:eastAsia="微软雅黑" w:cs="微软雅黑"/>
                <w:b w:val="0"/>
                <w:bCs w:val="0"/>
                <w:color w:val="auto"/>
                <w:kern w:val="2"/>
                <w:sz w:val="20"/>
                <w:szCs w:val="20"/>
                <w:highlight w:val="none"/>
                <w:lang w:val="en-US" w:eastAsia="zh" w:bidi="ar"/>
              </w:rPr>
              <w:t>人具有</w:t>
            </w:r>
            <w:r>
              <w:rPr>
                <w:rFonts w:hint="eastAsia" w:ascii="微软雅黑" w:hAnsi="微软雅黑" w:eastAsia="微软雅黑" w:cs="微软雅黑"/>
                <w:b w:val="0"/>
                <w:bCs w:val="0"/>
                <w:color w:val="auto"/>
                <w:kern w:val="2"/>
                <w:sz w:val="20"/>
                <w:szCs w:val="20"/>
                <w:highlight w:val="none"/>
                <w:lang w:val="en-US" w:eastAsia="zh-CN" w:bidi="ar"/>
              </w:rPr>
              <w:t>房地产案场智慧工牌系统</w:t>
            </w:r>
            <w:r>
              <w:rPr>
                <w:rFonts w:hint="eastAsia" w:ascii="微软雅黑" w:hAnsi="微软雅黑" w:eastAsia="微软雅黑" w:cs="微软雅黑"/>
                <w:b w:val="0"/>
                <w:bCs w:val="0"/>
                <w:color w:val="auto"/>
                <w:kern w:val="2"/>
                <w:sz w:val="20"/>
                <w:szCs w:val="20"/>
                <w:highlight w:val="none"/>
                <w:lang w:val="en-US" w:eastAsia="zh" w:bidi="ar"/>
              </w:rPr>
              <w:t>业绩的</w:t>
            </w:r>
            <w:r>
              <w:rPr>
                <w:rFonts w:hint="eastAsia" w:ascii="微软雅黑" w:hAnsi="微软雅黑" w:eastAsia="微软雅黑" w:cs="微软雅黑"/>
                <w:b w:val="0"/>
                <w:bCs w:val="0"/>
                <w:color w:val="auto"/>
                <w:kern w:val="2"/>
                <w:sz w:val="20"/>
                <w:szCs w:val="20"/>
                <w:highlight w:val="none"/>
                <w:lang w:val="en-US" w:eastAsia="zh-CN" w:bidi="ar"/>
              </w:rPr>
              <w:t>（合同金额在5万元以上），</w:t>
            </w:r>
            <w:r>
              <w:rPr>
                <w:rFonts w:hint="eastAsia" w:ascii="微软雅黑" w:hAnsi="微软雅黑" w:eastAsia="微软雅黑" w:cs="微软雅黑"/>
                <w:b w:val="0"/>
                <w:bCs w:val="0"/>
                <w:color w:val="auto"/>
                <w:kern w:val="2"/>
                <w:sz w:val="20"/>
                <w:szCs w:val="20"/>
                <w:highlight w:val="none"/>
                <w:lang w:val="en-US" w:eastAsia="zh" w:bidi="ar"/>
              </w:rPr>
              <w:t>每</w:t>
            </w:r>
            <w:r>
              <w:rPr>
                <w:rFonts w:hint="eastAsia" w:ascii="微软雅黑" w:hAnsi="微软雅黑" w:eastAsia="微软雅黑" w:cs="微软雅黑"/>
                <w:b w:val="0"/>
                <w:bCs w:val="0"/>
                <w:color w:val="auto"/>
                <w:kern w:val="2"/>
                <w:sz w:val="20"/>
                <w:szCs w:val="20"/>
                <w:highlight w:val="none"/>
                <w:lang w:val="en-US" w:eastAsia="zh-CN" w:bidi="ar"/>
              </w:rPr>
              <w:t>有一</w:t>
            </w:r>
            <w:r>
              <w:rPr>
                <w:rFonts w:hint="eastAsia" w:ascii="微软雅黑" w:hAnsi="微软雅黑" w:eastAsia="微软雅黑" w:cs="微软雅黑"/>
                <w:b w:val="0"/>
                <w:bCs w:val="0"/>
                <w:color w:val="auto"/>
                <w:kern w:val="2"/>
                <w:sz w:val="20"/>
                <w:szCs w:val="20"/>
                <w:highlight w:val="none"/>
                <w:lang w:val="en-US" w:eastAsia="zh" w:bidi="ar"/>
              </w:rPr>
              <w:t>个业绩得</w:t>
            </w:r>
            <w:r>
              <w:rPr>
                <w:rFonts w:hint="eastAsia" w:ascii="微软雅黑" w:hAnsi="微软雅黑" w:eastAsia="微软雅黑" w:cs="微软雅黑"/>
                <w:b w:val="0"/>
                <w:bCs w:val="0"/>
                <w:color w:val="auto"/>
                <w:kern w:val="2"/>
                <w:sz w:val="20"/>
                <w:szCs w:val="20"/>
                <w:highlight w:val="none"/>
                <w:lang w:val="en-US" w:eastAsia="zh-CN" w:bidi="ar"/>
              </w:rPr>
              <w:t>1</w:t>
            </w:r>
            <w:r>
              <w:rPr>
                <w:rFonts w:hint="eastAsia" w:ascii="微软雅黑" w:hAnsi="微软雅黑" w:eastAsia="微软雅黑" w:cs="微软雅黑"/>
                <w:b w:val="0"/>
                <w:bCs w:val="0"/>
                <w:color w:val="auto"/>
                <w:kern w:val="2"/>
                <w:sz w:val="20"/>
                <w:szCs w:val="20"/>
                <w:highlight w:val="none"/>
                <w:lang w:val="en-US" w:eastAsia="zh" w:bidi="ar"/>
              </w:rPr>
              <w:t xml:space="preserve">分，满分 </w:t>
            </w:r>
            <w:r>
              <w:rPr>
                <w:rFonts w:hint="eastAsia" w:ascii="微软雅黑" w:hAnsi="微软雅黑" w:eastAsia="微软雅黑" w:cs="微软雅黑"/>
                <w:b w:val="0"/>
                <w:bCs w:val="0"/>
                <w:color w:val="auto"/>
                <w:kern w:val="2"/>
                <w:sz w:val="20"/>
                <w:szCs w:val="20"/>
                <w:highlight w:val="none"/>
                <w:lang w:val="en-US" w:eastAsia="zh-CN" w:bidi="ar"/>
              </w:rPr>
              <w:t>5</w:t>
            </w:r>
            <w:r>
              <w:rPr>
                <w:rFonts w:hint="eastAsia" w:ascii="微软雅黑" w:hAnsi="微软雅黑" w:eastAsia="微软雅黑" w:cs="微软雅黑"/>
                <w:b w:val="0"/>
                <w:bCs w:val="0"/>
                <w:color w:val="auto"/>
                <w:kern w:val="2"/>
                <w:sz w:val="20"/>
                <w:szCs w:val="20"/>
                <w:highlight w:val="none"/>
                <w:lang w:val="en-US" w:eastAsia="zh" w:bidi="ar"/>
              </w:rPr>
              <w:t>分。</w:t>
            </w:r>
          </w:p>
          <w:p w14:paraId="0F234767">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val="en-US" w:eastAsia="zh" w:bidi="ar"/>
              </w:rPr>
            </w:pPr>
            <w:r>
              <w:rPr>
                <w:rFonts w:hint="eastAsia" w:ascii="微软雅黑" w:hAnsi="微软雅黑" w:eastAsia="微软雅黑" w:cs="微软雅黑"/>
                <w:b w:val="0"/>
                <w:bCs w:val="0"/>
                <w:color w:val="auto"/>
                <w:kern w:val="2"/>
                <w:sz w:val="20"/>
                <w:szCs w:val="20"/>
                <w:highlight w:val="none"/>
                <w:lang w:val="en-US" w:eastAsia="zh" w:bidi="ar"/>
              </w:rPr>
              <w:t>注：</w:t>
            </w:r>
          </w:p>
          <w:p w14:paraId="0173F90B">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rPr>
            </w:pPr>
            <w:r>
              <w:rPr>
                <w:rFonts w:hint="eastAsia" w:ascii="微软雅黑" w:hAnsi="微软雅黑" w:eastAsia="微软雅黑" w:cs="微软雅黑"/>
                <w:b w:val="0"/>
                <w:bCs w:val="0"/>
                <w:color w:val="auto"/>
                <w:kern w:val="2"/>
                <w:sz w:val="20"/>
                <w:szCs w:val="20"/>
                <w:highlight w:val="none"/>
                <w:lang w:val="en-US" w:eastAsia="zh-CN" w:bidi="ar"/>
              </w:rPr>
              <w:t>1.履约完成或正在履约的业绩均予以认可。</w:t>
            </w:r>
          </w:p>
          <w:p w14:paraId="0F68FC7E">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rPr>
            </w:pPr>
            <w:r>
              <w:rPr>
                <w:rFonts w:hint="eastAsia" w:ascii="微软雅黑" w:hAnsi="微软雅黑" w:eastAsia="微软雅黑" w:cs="微软雅黑"/>
                <w:b w:val="0"/>
                <w:bCs w:val="0"/>
                <w:color w:val="auto"/>
                <w:kern w:val="2"/>
                <w:sz w:val="20"/>
                <w:szCs w:val="20"/>
                <w:highlight w:val="none"/>
                <w:lang w:val="en-US" w:eastAsia="zh-CN" w:bidi="ar"/>
              </w:rPr>
              <w:t>2.业绩证明材料：参选文件中提供合同，合同内容中须能体现合同签订时间及评审内容，如不能体现，则须另行提供由合同甲方出具的证明材料，加盖合同甲方公章。</w:t>
            </w:r>
          </w:p>
          <w:p w14:paraId="05843AF8">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auto"/>
              <w:ind w:right="0" w:rightChars="0"/>
              <w:jc w:val="both"/>
              <w:rPr>
                <w:rFonts w:hint="eastAsia" w:ascii="微软雅黑" w:hAnsi="微软雅黑" w:eastAsia="微软雅黑" w:cs="微软雅黑"/>
                <w:b w:val="0"/>
                <w:bCs w:val="0"/>
                <w:color w:val="auto"/>
                <w:sz w:val="20"/>
                <w:szCs w:val="20"/>
                <w:highlight w:val="none"/>
                <w:lang w:eastAsia="zh"/>
              </w:rPr>
            </w:pPr>
            <w:r>
              <w:rPr>
                <w:rFonts w:hint="eastAsia" w:ascii="微软雅黑" w:hAnsi="微软雅黑" w:eastAsia="微软雅黑" w:cs="微软雅黑"/>
                <w:b w:val="0"/>
                <w:bCs w:val="0"/>
                <w:color w:val="auto"/>
                <w:kern w:val="2"/>
                <w:sz w:val="20"/>
                <w:szCs w:val="20"/>
                <w:highlight w:val="none"/>
                <w:lang w:val="en-US" w:eastAsia="zh-CN" w:bidi="ar"/>
              </w:rPr>
              <w:t>3.提供的项目业绩只计算评标分值对应的项目数量，按照排列顺序从首个业绩开始评审至对应数量，超出部分不进行评审。对应数量内业绩不符合比选文件要求不得分的，不再补充评审超出部分业绩。如：提供4个业绩即得满分的，按照响应文件排序评审第一、第二、第三、第四项业绩，其余超出部分不再评审。</w:t>
            </w:r>
          </w:p>
        </w:tc>
        <w:tc>
          <w:tcPr>
            <w:tcW w:w="636" w:type="pct"/>
            <w:tcBorders>
              <w:top w:val="single" w:color="auto" w:sz="4" w:space="0"/>
              <w:left w:val="nil"/>
              <w:bottom w:val="single" w:color="auto" w:sz="4" w:space="0"/>
              <w:right w:val="single" w:color="auto" w:sz="4" w:space="0"/>
            </w:tcBorders>
            <w:noWrap w:val="0"/>
            <w:vAlign w:val="center"/>
          </w:tcPr>
          <w:p w14:paraId="7BE4C47D">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default" w:ascii="微软雅黑" w:hAnsi="微软雅黑" w:eastAsia="微软雅黑" w:cs="微软雅黑"/>
                <w:b w:val="0"/>
                <w:bCs w:val="0"/>
                <w:color w:val="auto"/>
                <w:kern w:val="0"/>
                <w:sz w:val="20"/>
                <w:szCs w:val="20"/>
                <w:highlight w:val="none"/>
                <w:lang w:val="en-US" w:eastAsia="zh-CN"/>
              </w:rPr>
            </w:pPr>
            <w:r>
              <w:rPr>
                <w:rFonts w:hint="eastAsia" w:ascii="微软雅黑" w:hAnsi="微软雅黑" w:eastAsia="微软雅黑" w:cs="微软雅黑"/>
                <w:b w:val="0"/>
                <w:bCs w:val="0"/>
                <w:color w:val="auto"/>
                <w:kern w:val="0"/>
                <w:sz w:val="20"/>
                <w:szCs w:val="20"/>
                <w:highlight w:val="none"/>
                <w:lang w:val="en-US" w:eastAsia="zh-CN"/>
              </w:rPr>
              <w:t>5</w:t>
            </w:r>
          </w:p>
        </w:tc>
      </w:tr>
      <w:tr w14:paraId="2773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tcBorders>
              <w:top w:val="single" w:color="auto" w:sz="4" w:space="0"/>
              <w:left w:val="single" w:color="auto" w:sz="4" w:space="0"/>
              <w:bottom w:val="single" w:color="auto" w:sz="4" w:space="0"/>
              <w:right w:val="single" w:color="auto" w:sz="4" w:space="0"/>
            </w:tcBorders>
            <w:noWrap w:val="0"/>
            <w:vAlign w:val="center"/>
          </w:tcPr>
          <w:p w14:paraId="225EE0CF">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需求匹配度</w:t>
            </w:r>
          </w:p>
        </w:tc>
        <w:tc>
          <w:tcPr>
            <w:tcW w:w="3713" w:type="pct"/>
            <w:tcBorders>
              <w:top w:val="single" w:color="auto" w:sz="4" w:space="0"/>
              <w:left w:val="nil"/>
              <w:bottom w:val="single" w:color="auto" w:sz="4" w:space="0"/>
              <w:right w:val="single" w:color="auto" w:sz="4" w:space="0"/>
            </w:tcBorders>
            <w:noWrap w:val="0"/>
            <w:vAlign w:val="center"/>
          </w:tcPr>
          <w:p w14:paraId="244EE584">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bCs/>
                <w:color w:val="auto"/>
                <w:kern w:val="2"/>
                <w:sz w:val="20"/>
                <w:szCs w:val="20"/>
                <w:highlight w:val="none"/>
                <w:lang w:eastAsia="zh"/>
              </w:rPr>
            </w:pPr>
            <w:r>
              <w:rPr>
                <w:rFonts w:hint="eastAsia" w:ascii="微软雅黑" w:hAnsi="微软雅黑" w:eastAsia="微软雅黑" w:cs="微软雅黑"/>
                <w:b/>
                <w:bCs/>
                <w:color w:val="auto"/>
                <w:kern w:val="2"/>
                <w:sz w:val="20"/>
                <w:szCs w:val="20"/>
                <w:highlight w:val="none"/>
                <w:lang w:eastAsia="zh"/>
              </w:rPr>
              <w:t>提供的</w:t>
            </w:r>
            <w:r>
              <w:rPr>
                <w:rFonts w:hint="eastAsia" w:ascii="微软雅黑" w:hAnsi="微软雅黑" w:eastAsia="微软雅黑" w:cs="微软雅黑"/>
                <w:b/>
                <w:bCs/>
                <w:color w:val="auto"/>
                <w:kern w:val="2"/>
                <w:sz w:val="20"/>
                <w:szCs w:val="20"/>
                <w:highlight w:val="none"/>
                <w:lang w:val="en-US" w:eastAsia="zh-CN"/>
              </w:rPr>
              <w:t>智慧</w:t>
            </w:r>
            <w:r>
              <w:rPr>
                <w:rFonts w:hint="eastAsia" w:ascii="微软雅黑" w:hAnsi="微软雅黑" w:eastAsia="微软雅黑" w:cs="微软雅黑"/>
                <w:b/>
                <w:bCs/>
                <w:color w:val="auto"/>
                <w:kern w:val="2"/>
                <w:sz w:val="20"/>
                <w:szCs w:val="20"/>
                <w:highlight w:val="none"/>
                <w:lang w:eastAsia="zh"/>
              </w:rPr>
              <w:t>工牌方案需要包含以下</w:t>
            </w:r>
            <w:r>
              <w:rPr>
                <w:rFonts w:hint="eastAsia" w:ascii="微软雅黑" w:hAnsi="微软雅黑" w:eastAsia="微软雅黑" w:cs="微软雅黑"/>
                <w:b/>
                <w:bCs/>
                <w:color w:val="auto"/>
                <w:kern w:val="2"/>
                <w:sz w:val="20"/>
                <w:szCs w:val="20"/>
                <w:highlight w:val="none"/>
                <w:lang w:val="en-US" w:eastAsia="zh-CN"/>
              </w:rPr>
              <w:t>功能</w:t>
            </w:r>
            <w:r>
              <w:rPr>
                <w:rFonts w:hint="eastAsia" w:ascii="微软雅黑" w:hAnsi="微软雅黑" w:eastAsia="微软雅黑" w:cs="微软雅黑"/>
                <w:b/>
                <w:bCs/>
                <w:color w:val="auto"/>
                <w:kern w:val="2"/>
                <w:sz w:val="20"/>
                <w:szCs w:val="20"/>
                <w:highlight w:val="none"/>
                <w:lang w:eastAsia="zh"/>
              </w:rPr>
              <w:t>：</w:t>
            </w:r>
          </w:p>
          <w:p w14:paraId="20741E3F">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
              </w:rPr>
            </w:pP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val="en-US" w:eastAsia="zh-CN"/>
              </w:rPr>
              <w:t>1</w:t>
            </w: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eastAsia="zh"/>
              </w:rPr>
              <w:t>支持AI功能，支持对整个接待录音内容自动梳理销售过程、客户情况总结，辅助销售经理快速盘客；</w:t>
            </w:r>
          </w:p>
          <w:p w14:paraId="7BD747B7">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
              </w:rPr>
            </w:pP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val="en-US" w:eastAsia="zh-CN"/>
              </w:rPr>
              <w:t>2</w:t>
            </w: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eastAsia="zh"/>
              </w:rPr>
              <w:t>支持客户接待情况分析，包含客户来访数据、录音数据、高意向数据、客户画像等维度展示；</w:t>
            </w:r>
          </w:p>
          <w:p w14:paraId="40D8C13E">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CN"/>
              </w:rPr>
            </w:pP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val="en-US" w:eastAsia="zh-CN"/>
              </w:rPr>
              <w:t>3</w:t>
            </w:r>
            <w:r>
              <w:rPr>
                <w:rFonts w:hint="eastAsia" w:ascii="微软雅黑" w:hAnsi="微软雅黑" w:eastAsia="微软雅黑" w:cs="微软雅黑"/>
                <w:b w:val="0"/>
                <w:bCs w:val="0"/>
                <w:color w:val="auto"/>
                <w:kern w:val="2"/>
                <w:sz w:val="20"/>
                <w:szCs w:val="20"/>
                <w:highlight w:val="none"/>
                <w:lang w:eastAsia="zh-CN"/>
              </w:rPr>
              <w:t>）能够根据项目特性自定义设置风险话术，并且能直观展示，准确率90%以上；</w:t>
            </w:r>
          </w:p>
          <w:p w14:paraId="3A64FBAB">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CN"/>
              </w:rPr>
            </w:pP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val="en-US" w:eastAsia="zh-CN"/>
              </w:rPr>
              <w:t>4</w:t>
            </w: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eastAsia="zh"/>
              </w:rPr>
              <w:t>支持数据看板含首访/复访录音覆盖率、置业顾问各阶段接待时长、客户分布及话术执行分析</w:t>
            </w:r>
            <w:r>
              <w:rPr>
                <w:rFonts w:hint="eastAsia" w:ascii="微软雅黑" w:hAnsi="微软雅黑" w:eastAsia="微软雅黑" w:cs="微软雅黑"/>
                <w:b w:val="0"/>
                <w:bCs w:val="0"/>
                <w:color w:val="auto"/>
                <w:kern w:val="2"/>
                <w:sz w:val="20"/>
                <w:szCs w:val="20"/>
                <w:highlight w:val="none"/>
                <w:lang w:eastAsia="zh-CN"/>
              </w:rPr>
              <w:t>；</w:t>
            </w:r>
          </w:p>
          <w:p w14:paraId="6F52B030">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w:t>
            </w:r>
            <w:r>
              <w:rPr>
                <w:rFonts w:hint="eastAsia" w:ascii="微软雅黑" w:hAnsi="微软雅黑" w:eastAsia="微软雅黑" w:cs="微软雅黑"/>
                <w:color w:val="auto"/>
                <w:sz w:val="20"/>
                <w:szCs w:val="20"/>
                <w:highlight w:val="none"/>
                <w:lang w:val="en-US" w:eastAsia="zh-CN"/>
              </w:rPr>
              <w:t>5</w:t>
            </w:r>
            <w:r>
              <w:rPr>
                <w:rFonts w:hint="eastAsia" w:ascii="微软雅黑" w:hAnsi="微软雅黑" w:eastAsia="微软雅黑" w:cs="微软雅黑"/>
                <w:color w:val="auto"/>
                <w:sz w:val="20"/>
                <w:szCs w:val="20"/>
                <w:highlight w:val="none"/>
              </w:rPr>
              <w:t>）</w:t>
            </w:r>
            <w:r>
              <w:rPr>
                <w:rFonts w:hint="eastAsia" w:ascii="微软雅黑" w:hAnsi="微软雅黑" w:eastAsia="微软雅黑" w:cs="微软雅黑"/>
                <w:color w:val="auto"/>
                <w:sz w:val="20"/>
                <w:szCs w:val="20"/>
                <w:highlight w:val="none"/>
                <w:lang w:val="en-US" w:eastAsia="zh-CN"/>
              </w:rPr>
              <w:t>支持案场接待</w:t>
            </w:r>
            <w:r>
              <w:rPr>
                <w:rFonts w:hint="eastAsia" w:ascii="微软雅黑" w:hAnsi="微软雅黑" w:eastAsia="微软雅黑" w:cs="微软雅黑"/>
                <w:color w:val="auto"/>
                <w:sz w:val="20"/>
                <w:szCs w:val="20"/>
                <w:highlight w:val="none"/>
              </w:rPr>
              <w:t>数据</w:t>
            </w:r>
            <w:r>
              <w:rPr>
                <w:rFonts w:hint="eastAsia" w:ascii="微软雅黑" w:hAnsi="微软雅黑" w:eastAsia="微软雅黑" w:cs="微软雅黑"/>
                <w:color w:val="auto"/>
                <w:sz w:val="20"/>
                <w:szCs w:val="20"/>
                <w:highlight w:val="none"/>
                <w:lang w:val="en-US" w:eastAsia="zh-CN"/>
              </w:rPr>
              <w:t>AI自动识别基本信息并自动</w:t>
            </w:r>
            <w:r>
              <w:rPr>
                <w:rFonts w:hint="eastAsia" w:ascii="微软雅黑" w:hAnsi="微软雅黑" w:eastAsia="微软雅黑" w:cs="微软雅黑"/>
                <w:color w:val="auto"/>
                <w:sz w:val="20"/>
                <w:szCs w:val="20"/>
                <w:highlight w:val="none"/>
              </w:rPr>
              <w:t>同步至</w:t>
            </w:r>
            <w:r>
              <w:rPr>
                <w:rFonts w:hint="eastAsia" w:ascii="微软雅黑" w:hAnsi="微软雅黑" w:eastAsia="微软雅黑" w:cs="微软雅黑"/>
                <w:color w:val="auto"/>
                <w:sz w:val="20"/>
                <w:szCs w:val="20"/>
                <w:highlight w:val="none"/>
                <w:lang w:val="en-US" w:eastAsia="zh-CN"/>
              </w:rPr>
              <w:t>城市更新项目案场置业顾问移动销售端，协助置业顾问客户跟进，减少置业顾问手工录入工作量，帮助案场提效；</w:t>
            </w:r>
          </w:p>
          <w:p w14:paraId="356C4EDF">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（6）支持案场接待设置置业顾问接待必讲、必做、必问，销售负责人可以直接手机端查看置业顾问销讲整体评分，并可穿透查看必讲、必做、必问明细，协助案场提升接待质量。</w:t>
            </w:r>
          </w:p>
          <w:p w14:paraId="68F8D90B">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（7）支持自动成交客户和非成交客户对比分析及音频回听统计分析；</w:t>
            </w:r>
          </w:p>
          <w:p w14:paraId="2217D03C">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（8）</w:t>
            </w:r>
            <w:r>
              <w:rPr>
                <w:rFonts w:hint="eastAsia" w:ascii="微软雅黑" w:hAnsi="微软雅黑" w:eastAsia="微软雅黑" w:cs="微软雅黑"/>
                <w:color w:val="auto"/>
                <w:sz w:val="20"/>
                <w:szCs w:val="20"/>
                <w:highlight w:val="none"/>
                <w:lang w:val="en-US" w:eastAsia="zh"/>
              </w:rPr>
              <w:t>录音上传后，及时生成日报，每周自动生成项目周报</w:t>
            </w:r>
            <w:r>
              <w:rPr>
                <w:rFonts w:hint="eastAsia" w:ascii="微软雅黑" w:hAnsi="微软雅黑" w:eastAsia="微软雅黑" w:cs="微软雅黑"/>
                <w:color w:val="auto"/>
                <w:sz w:val="20"/>
                <w:szCs w:val="20"/>
                <w:highlight w:val="none"/>
                <w:lang w:val="en-US" w:eastAsia="zh-CN"/>
              </w:rPr>
              <w:t>、月报等；</w:t>
            </w:r>
          </w:p>
          <w:p w14:paraId="2396B2B3">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（9）地产行业语音转写准确率90%以上，支持至少两种方言转写且准确率不低于80%。</w:t>
            </w:r>
          </w:p>
          <w:p w14:paraId="37BAE611">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（10）同时具有在线机器人和人工沟通功能；具有远程协助功能</w:t>
            </w:r>
          </w:p>
          <w:p w14:paraId="13A76B14">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
              </w:rPr>
            </w:pPr>
            <w:r>
              <w:rPr>
                <w:rFonts w:hint="eastAsia" w:ascii="微软雅黑" w:hAnsi="微软雅黑" w:eastAsia="微软雅黑" w:cs="微软雅黑"/>
                <w:b w:val="0"/>
                <w:bCs w:val="0"/>
                <w:color w:val="auto"/>
                <w:kern w:val="2"/>
                <w:sz w:val="20"/>
                <w:szCs w:val="20"/>
                <w:highlight w:val="none"/>
                <w:lang w:eastAsia="zh"/>
              </w:rPr>
              <w:t>注：本项</w:t>
            </w:r>
            <w:r>
              <w:rPr>
                <w:rFonts w:hint="eastAsia" w:ascii="微软雅黑" w:hAnsi="微软雅黑" w:eastAsia="微软雅黑" w:cs="微软雅黑"/>
                <w:b w:val="0"/>
                <w:bCs w:val="0"/>
                <w:color w:val="auto"/>
                <w:kern w:val="2"/>
                <w:sz w:val="20"/>
                <w:szCs w:val="20"/>
                <w:highlight w:val="none"/>
                <w:lang w:val="en-US" w:eastAsia="zh-CN"/>
              </w:rPr>
              <w:t>满分30</w:t>
            </w:r>
            <w:r>
              <w:rPr>
                <w:rFonts w:hint="eastAsia" w:ascii="微软雅黑" w:hAnsi="微软雅黑" w:eastAsia="微软雅黑" w:cs="微软雅黑"/>
                <w:b w:val="0"/>
                <w:bCs w:val="0"/>
                <w:color w:val="auto"/>
                <w:kern w:val="2"/>
                <w:sz w:val="20"/>
                <w:szCs w:val="20"/>
                <w:highlight w:val="none"/>
                <w:lang w:eastAsia="zh"/>
              </w:rPr>
              <w:t>分，每</w:t>
            </w:r>
            <w:r>
              <w:rPr>
                <w:rFonts w:hint="eastAsia" w:ascii="微软雅黑" w:hAnsi="微软雅黑" w:eastAsia="微软雅黑" w:cs="微软雅黑"/>
                <w:b w:val="0"/>
                <w:bCs w:val="0"/>
                <w:color w:val="auto"/>
                <w:kern w:val="2"/>
                <w:sz w:val="20"/>
                <w:szCs w:val="20"/>
                <w:highlight w:val="none"/>
                <w:lang w:val="en-US" w:eastAsia="zh-CN"/>
              </w:rPr>
              <w:t>不</w:t>
            </w:r>
            <w:r>
              <w:rPr>
                <w:rFonts w:hint="eastAsia" w:ascii="微软雅黑" w:hAnsi="微软雅黑" w:eastAsia="微软雅黑" w:cs="微软雅黑"/>
                <w:b w:val="0"/>
                <w:bCs w:val="0"/>
                <w:color w:val="auto"/>
                <w:kern w:val="2"/>
                <w:sz w:val="20"/>
                <w:szCs w:val="20"/>
                <w:highlight w:val="none"/>
                <w:lang w:eastAsia="zh"/>
              </w:rPr>
              <w:t>满足一项</w:t>
            </w:r>
            <w:r>
              <w:rPr>
                <w:rFonts w:hint="eastAsia" w:ascii="微软雅黑" w:hAnsi="微软雅黑" w:eastAsia="微软雅黑" w:cs="微软雅黑"/>
                <w:b w:val="0"/>
                <w:bCs w:val="0"/>
                <w:color w:val="auto"/>
                <w:kern w:val="2"/>
                <w:sz w:val="20"/>
                <w:szCs w:val="20"/>
                <w:highlight w:val="none"/>
                <w:lang w:val="en-US" w:eastAsia="zh-CN"/>
              </w:rPr>
              <w:t>扣3</w:t>
            </w:r>
            <w:r>
              <w:rPr>
                <w:rFonts w:hint="eastAsia" w:ascii="微软雅黑" w:hAnsi="微软雅黑" w:eastAsia="微软雅黑" w:cs="微软雅黑"/>
                <w:b w:val="0"/>
                <w:bCs w:val="0"/>
                <w:color w:val="auto"/>
                <w:kern w:val="2"/>
                <w:sz w:val="20"/>
                <w:szCs w:val="20"/>
                <w:highlight w:val="none"/>
                <w:lang w:eastAsia="zh"/>
              </w:rPr>
              <w:t>分，</w:t>
            </w:r>
            <w:r>
              <w:rPr>
                <w:rFonts w:hint="eastAsia" w:ascii="微软雅黑" w:hAnsi="微软雅黑" w:eastAsia="微软雅黑" w:cs="微软雅黑"/>
                <w:b w:val="0"/>
                <w:bCs w:val="0"/>
                <w:color w:val="auto"/>
                <w:kern w:val="2"/>
                <w:sz w:val="20"/>
                <w:szCs w:val="20"/>
                <w:highlight w:val="none"/>
                <w:lang w:val="en-US" w:eastAsia="zh-CN"/>
              </w:rPr>
              <w:t>提供软件截图，未提供或提供的资料不能证明满足上述功能的</w:t>
            </w:r>
            <w:r>
              <w:rPr>
                <w:rFonts w:hint="eastAsia" w:ascii="微软雅黑" w:hAnsi="微软雅黑" w:eastAsia="微软雅黑" w:cs="微软雅黑"/>
                <w:b w:val="0"/>
                <w:bCs w:val="0"/>
                <w:color w:val="auto"/>
                <w:kern w:val="2"/>
                <w:sz w:val="20"/>
                <w:szCs w:val="20"/>
                <w:highlight w:val="none"/>
                <w:lang w:eastAsia="zh"/>
              </w:rPr>
              <w:t>不得分。</w:t>
            </w:r>
          </w:p>
        </w:tc>
        <w:tc>
          <w:tcPr>
            <w:tcW w:w="636" w:type="pct"/>
            <w:tcBorders>
              <w:top w:val="single" w:color="auto" w:sz="4" w:space="0"/>
              <w:left w:val="nil"/>
              <w:bottom w:val="single" w:color="auto" w:sz="4" w:space="0"/>
              <w:right w:val="single" w:color="auto" w:sz="4" w:space="0"/>
            </w:tcBorders>
            <w:noWrap w:val="0"/>
            <w:vAlign w:val="center"/>
          </w:tcPr>
          <w:p w14:paraId="580C91F0">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both"/>
              <w:rPr>
                <w:rFonts w:hint="eastAsia" w:ascii="微软雅黑" w:hAnsi="微软雅黑" w:eastAsia="微软雅黑" w:cs="微软雅黑"/>
                <w:b w:val="0"/>
                <w:bCs w:val="0"/>
                <w:color w:val="auto"/>
                <w:kern w:val="2"/>
                <w:sz w:val="20"/>
                <w:szCs w:val="20"/>
                <w:highlight w:val="none"/>
                <w:lang w:val="en-US" w:eastAsia="zh-CN"/>
              </w:rPr>
            </w:pPr>
          </w:p>
          <w:p w14:paraId="0D1A2175">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default"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30</w:t>
            </w:r>
          </w:p>
        </w:tc>
      </w:tr>
      <w:tr w14:paraId="5602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9" w:type="pct"/>
            <w:tcBorders>
              <w:top w:val="single" w:color="auto" w:sz="4" w:space="0"/>
              <w:left w:val="single" w:color="auto" w:sz="4" w:space="0"/>
              <w:bottom w:val="single" w:color="auto" w:sz="4" w:space="0"/>
              <w:right w:val="single" w:color="auto" w:sz="4" w:space="0"/>
            </w:tcBorders>
            <w:noWrap w:val="0"/>
            <w:vAlign w:val="center"/>
          </w:tcPr>
          <w:p w14:paraId="0100961D">
            <w:pPr>
              <w:keepNext w:val="0"/>
              <w:keepLines w:val="0"/>
              <w:widowControl w:val="0"/>
              <w:suppressLineNumbers w:val="0"/>
              <w:autoSpaceDE w:val="0"/>
              <w:autoSpaceDN/>
              <w:adjustRightInd w:val="0"/>
              <w:snapToGrid w:val="0"/>
              <w:spacing w:before="0" w:beforeAutospacing="0" w:after="0" w:afterAutospacing="0" w:line="240" w:lineRule="auto"/>
              <w:ind w:left="0" w:right="0" w:firstLine="0" w:firstLineChars="0"/>
              <w:jc w:val="center"/>
              <w:rPr>
                <w:rFonts w:hint="default"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模拟演示</w:t>
            </w:r>
          </w:p>
        </w:tc>
        <w:tc>
          <w:tcPr>
            <w:tcW w:w="3713" w:type="pct"/>
            <w:tcBorders>
              <w:top w:val="single" w:color="auto" w:sz="4" w:space="0"/>
              <w:left w:val="nil"/>
              <w:bottom w:val="single" w:color="auto" w:sz="4" w:space="0"/>
              <w:right w:val="single" w:color="auto" w:sz="4" w:space="0"/>
            </w:tcBorders>
            <w:noWrap w:val="0"/>
            <w:vAlign w:val="center"/>
          </w:tcPr>
          <w:p w14:paraId="6485D0C0">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auto"/>
              <w:ind w:right="0" w:rightChars="0"/>
              <w:jc w:val="both"/>
              <w:rPr>
                <w:rFonts w:hint="default"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现场模拟客户接待流程，演示软件功能（录音、转文字、风险话术、报表生成、方言撰写等）</w:t>
            </w:r>
          </w:p>
        </w:tc>
        <w:tc>
          <w:tcPr>
            <w:tcW w:w="636" w:type="pct"/>
            <w:tcBorders>
              <w:top w:val="single" w:color="auto" w:sz="4" w:space="0"/>
              <w:left w:val="nil"/>
              <w:bottom w:val="single" w:color="auto" w:sz="4" w:space="0"/>
              <w:right w:val="single" w:color="auto" w:sz="4" w:space="0"/>
            </w:tcBorders>
            <w:noWrap w:val="0"/>
            <w:vAlign w:val="center"/>
          </w:tcPr>
          <w:p w14:paraId="4C4DAF6A">
            <w:pPr>
              <w:keepNext w:val="0"/>
              <w:keepLines w:val="0"/>
              <w:widowControl w:val="0"/>
              <w:suppressLineNumbers w:val="0"/>
              <w:autoSpaceDE w:val="0"/>
              <w:autoSpaceDN/>
              <w:adjustRightInd w:val="0"/>
              <w:snapToGrid w:val="0"/>
              <w:spacing w:before="0" w:beforeAutospacing="0" w:after="0" w:afterAutospacing="0" w:line="240" w:lineRule="auto"/>
              <w:ind w:left="0" w:right="0" w:firstLine="0" w:firstLineChars="0"/>
              <w:jc w:val="center"/>
              <w:rPr>
                <w:rFonts w:hint="default"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40</w:t>
            </w:r>
          </w:p>
        </w:tc>
      </w:tr>
      <w:tr w14:paraId="4D1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tcBorders>
              <w:top w:val="single" w:color="auto" w:sz="4" w:space="0"/>
              <w:left w:val="single" w:color="auto" w:sz="4" w:space="0"/>
              <w:bottom w:val="single" w:color="auto" w:sz="4" w:space="0"/>
              <w:right w:val="single" w:color="auto" w:sz="4" w:space="0"/>
            </w:tcBorders>
            <w:noWrap w:val="0"/>
            <w:vAlign w:val="center"/>
          </w:tcPr>
          <w:p w14:paraId="4F46D1B8">
            <w:pPr>
              <w:keepNext w:val="0"/>
              <w:keepLines w:val="0"/>
              <w:widowControl w:val="0"/>
              <w:suppressLineNumbers w:val="0"/>
              <w:autoSpaceDE w:val="0"/>
              <w:autoSpaceDN/>
              <w:adjustRightInd w:val="0"/>
              <w:snapToGrid w:val="0"/>
              <w:spacing w:before="0" w:beforeAutospacing="0" w:after="0" w:afterAutospacing="0" w:line="360" w:lineRule="auto"/>
              <w:ind w:right="0"/>
              <w:jc w:val="center"/>
              <w:rPr>
                <w:rFonts w:hint="default" w:ascii="微软雅黑" w:hAnsi="微软雅黑" w:eastAsia="微软雅黑" w:cs="微软雅黑"/>
                <w:b w:val="0"/>
                <w:bCs w:val="0"/>
                <w:color w:val="auto"/>
                <w:kern w:val="2"/>
                <w:sz w:val="20"/>
                <w:szCs w:val="20"/>
                <w:highlight w:val="none"/>
                <w:lang w:val="en-US" w:eastAsia="zh-CN" w:bidi="ar"/>
              </w:rPr>
            </w:pPr>
            <w:r>
              <w:rPr>
                <w:rFonts w:hint="eastAsia" w:ascii="微软雅黑" w:hAnsi="微软雅黑" w:eastAsia="微软雅黑" w:cs="微软雅黑"/>
                <w:b w:val="0"/>
                <w:bCs w:val="0"/>
                <w:color w:val="auto"/>
                <w:kern w:val="2"/>
                <w:sz w:val="20"/>
                <w:szCs w:val="20"/>
                <w:highlight w:val="none"/>
                <w:lang w:val="en-US" w:eastAsia="zh-CN" w:bidi="ar"/>
              </w:rPr>
              <w:t>运营及服务</w:t>
            </w:r>
          </w:p>
        </w:tc>
        <w:tc>
          <w:tcPr>
            <w:tcW w:w="3713" w:type="pct"/>
            <w:tcBorders>
              <w:top w:val="single" w:color="auto" w:sz="4" w:space="0"/>
              <w:left w:val="nil"/>
              <w:bottom w:val="single" w:color="auto" w:sz="4" w:space="0"/>
              <w:right w:val="single" w:color="auto" w:sz="4" w:space="0"/>
            </w:tcBorders>
            <w:noWrap w:val="0"/>
            <w:vAlign w:val="center"/>
          </w:tcPr>
          <w:p w14:paraId="2438CA0B">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auto"/>
              <w:ind w:right="0" w:rightChars="0"/>
              <w:jc w:val="left"/>
              <w:rPr>
                <w:rFonts w:hint="eastAsia" w:ascii="微软雅黑" w:hAnsi="微软雅黑" w:eastAsia="微软雅黑" w:cs="微软雅黑"/>
                <w:b w:val="0"/>
                <w:bCs w:val="0"/>
                <w:color w:val="auto"/>
                <w:kern w:val="2"/>
                <w:sz w:val="20"/>
                <w:szCs w:val="20"/>
                <w:highlight w:val="none"/>
                <w:lang w:val="en-US" w:eastAsia="zh-CN" w:bidi="ar"/>
              </w:rPr>
            </w:pPr>
            <w:r>
              <w:rPr>
                <w:rFonts w:hint="eastAsia" w:ascii="微软雅黑" w:hAnsi="微软雅黑" w:eastAsia="微软雅黑" w:cs="微软雅黑"/>
                <w:b w:val="0"/>
                <w:bCs w:val="0"/>
                <w:color w:val="auto"/>
                <w:kern w:val="2"/>
                <w:sz w:val="20"/>
                <w:szCs w:val="20"/>
                <w:highlight w:val="none"/>
                <w:lang w:val="en-US" w:eastAsia="zh-CN" w:bidi="ar"/>
              </w:rPr>
              <w:t>（1）系统性重大故障/异常处理要求：发生系统性重大故障或异常时，须于6 小时内完成原因排查，并彻底解决故障、恢复系统正常运行。</w:t>
            </w:r>
          </w:p>
          <w:p w14:paraId="0603BDFD">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auto"/>
              <w:ind w:right="0" w:rightChars="0"/>
              <w:jc w:val="left"/>
              <w:rPr>
                <w:rFonts w:hint="eastAsia" w:ascii="微软雅黑" w:hAnsi="微软雅黑" w:eastAsia="微软雅黑" w:cs="微软雅黑"/>
                <w:b w:val="0"/>
                <w:bCs w:val="0"/>
                <w:color w:val="auto"/>
                <w:kern w:val="2"/>
                <w:sz w:val="20"/>
                <w:szCs w:val="20"/>
                <w:highlight w:val="none"/>
                <w:lang w:val="en-US" w:eastAsia="zh-CN" w:bidi="ar"/>
              </w:rPr>
            </w:pPr>
            <w:r>
              <w:rPr>
                <w:rFonts w:hint="eastAsia" w:ascii="微软雅黑" w:hAnsi="微软雅黑" w:eastAsia="微软雅黑" w:cs="微软雅黑"/>
                <w:b w:val="0"/>
                <w:bCs w:val="0"/>
                <w:color w:val="auto"/>
                <w:kern w:val="2"/>
                <w:sz w:val="20"/>
                <w:szCs w:val="20"/>
                <w:highlight w:val="none"/>
                <w:lang w:val="en-US" w:eastAsia="zh-CN" w:bidi="ar"/>
              </w:rPr>
              <w:t>（2）单个项目硬件/系统重大故障/异常处理要求：单个项目出现硬件或系统重大故障、异常时，须12小时内完成原因排查；经判定为硬件故障的，须在2个工作日内提供上门维修服务。</w:t>
            </w:r>
          </w:p>
          <w:p w14:paraId="65D94A0D">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auto"/>
              <w:ind w:right="0" w:rightChars="0"/>
              <w:jc w:val="left"/>
              <w:rPr>
                <w:rFonts w:hint="eastAsia" w:ascii="微软雅黑" w:hAnsi="微软雅黑" w:eastAsia="微软雅黑" w:cs="微软雅黑"/>
                <w:b w:val="0"/>
                <w:bCs w:val="0"/>
                <w:color w:val="auto"/>
                <w:kern w:val="2"/>
                <w:sz w:val="20"/>
                <w:szCs w:val="20"/>
                <w:highlight w:val="none"/>
                <w:lang w:val="en-US" w:eastAsia="zh-CN" w:bidi="ar"/>
              </w:rPr>
            </w:pPr>
            <w:r>
              <w:rPr>
                <w:rFonts w:hint="eastAsia" w:ascii="微软雅黑" w:hAnsi="微软雅黑" w:eastAsia="微软雅黑" w:cs="微软雅黑"/>
                <w:b w:val="0"/>
                <w:bCs w:val="0"/>
                <w:color w:val="auto"/>
                <w:kern w:val="2"/>
                <w:sz w:val="20"/>
                <w:szCs w:val="20"/>
                <w:highlight w:val="none"/>
                <w:lang w:val="en-US" w:eastAsia="zh-CN" w:bidi="ar"/>
              </w:rPr>
              <w:t>履约考核规则</w:t>
            </w:r>
          </w:p>
          <w:p w14:paraId="0EB81235">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auto"/>
              <w:ind w:right="0" w:rightChars="0" w:firstLine="400" w:firstLineChars="200"/>
              <w:jc w:val="left"/>
              <w:rPr>
                <w:rFonts w:hint="eastAsia" w:ascii="微软雅黑" w:hAnsi="微软雅黑" w:eastAsia="微软雅黑" w:cs="微软雅黑"/>
                <w:b w:val="0"/>
                <w:bCs w:val="0"/>
                <w:color w:val="auto"/>
                <w:kern w:val="2"/>
                <w:sz w:val="20"/>
                <w:szCs w:val="20"/>
                <w:highlight w:val="none"/>
                <w:lang w:val="en-US" w:eastAsia="zh-CN" w:bidi="ar"/>
              </w:rPr>
            </w:pPr>
            <w:r>
              <w:rPr>
                <w:rFonts w:hint="eastAsia" w:ascii="微软雅黑" w:hAnsi="微软雅黑" w:eastAsia="微软雅黑" w:cs="微软雅黑"/>
                <w:b w:val="0"/>
                <w:bCs w:val="0"/>
                <w:color w:val="auto"/>
                <w:kern w:val="2"/>
                <w:sz w:val="20"/>
                <w:szCs w:val="20"/>
                <w:highlight w:val="none"/>
                <w:lang w:val="en-US" w:eastAsia="zh-CN" w:bidi="ar"/>
              </w:rPr>
              <w:t>承诺严格履行上述服务要求，若未按要求完成，将对单个涉事项目执行扣款10000元处理。</w:t>
            </w:r>
          </w:p>
          <w:p w14:paraId="776B6FC4">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auto"/>
              <w:ind w:right="0" w:rightChars="0" w:firstLine="400" w:firstLineChars="200"/>
              <w:jc w:val="left"/>
              <w:rPr>
                <w:rFonts w:hint="default" w:ascii="微软雅黑" w:hAnsi="微软雅黑" w:eastAsia="微软雅黑" w:cs="微软雅黑"/>
                <w:b w:val="0"/>
                <w:bCs w:val="0"/>
                <w:color w:val="auto"/>
                <w:kern w:val="2"/>
                <w:sz w:val="20"/>
                <w:szCs w:val="20"/>
                <w:highlight w:val="none"/>
                <w:lang w:val="en-US" w:eastAsia="zh-CN" w:bidi="ar"/>
              </w:rPr>
            </w:pPr>
            <w:r>
              <w:rPr>
                <w:rFonts w:hint="eastAsia" w:ascii="微软雅黑" w:hAnsi="微软雅黑" w:eastAsia="微软雅黑" w:cs="微软雅黑"/>
                <w:b/>
                <w:bCs/>
                <w:color w:val="auto"/>
                <w:sz w:val="20"/>
                <w:szCs w:val="20"/>
                <w:highlight w:val="none"/>
              </w:rPr>
              <w:t>注：</w:t>
            </w:r>
            <w:r>
              <w:rPr>
                <w:rFonts w:hint="eastAsia" w:ascii="微软雅黑" w:hAnsi="微软雅黑" w:eastAsia="微软雅黑" w:cs="微软雅黑"/>
                <w:b/>
                <w:bCs/>
                <w:color w:val="auto"/>
                <w:sz w:val="20"/>
                <w:szCs w:val="20"/>
                <w:highlight w:val="none"/>
                <w:lang w:val="en-US" w:eastAsia="zh-CN"/>
              </w:rPr>
              <w:t>有上述承诺得5分，没有上述承诺则不得分。</w:t>
            </w:r>
          </w:p>
        </w:tc>
        <w:tc>
          <w:tcPr>
            <w:tcW w:w="636" w:type="pct"/>
            <w:tcBorders>
              <w:top w:val="single" w:color="auto" w:sz="4" w:space="0"/>
              <w:left w:val="nil"/>
              <w:bottom w:val="single" w:color="auto" w:sz="4" w:space="0"/>
              <w:right w:val="single" w:color="auto" w:sz="4" w:space="0"/>
            </w:tcBorders>
            <w:noWrap w:val="0"/>
            <w:vAlign w:val="center"/>
          </w:tcPr>
          <w:p w14:paraId="2DF28C8D">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default" w:ascii="微软雅黑" w:hAnsi="微软雅黑" w:eastAsia="微软雅黑" w:cs="微软雅黑"/>
                <w:b w:val="0"/>
                <w:bCs w:val="0"/>
                <w:color w:val="auto"/>
                <w:kern w:val="0"/>
                <w:sz w:val="20"/>
                <w:szCs w:val="20"/>
                <w:highlight w:val="none"/>
                <w:lang w:val="en-US" w:eastAsia="zh-CN"/>
              </w:rPr>
            </w:pPr>
            <w:r>
              <w:rPr>
                <w:rFonts w:hint="eastAsia" w:ascii="微软雅黑" w:hAnsi="微软雅黑" w:eastAsia="微软雅黑" w:cs="微软雅黑"/>
                <w:b w:val="0"/>
                <w:bCs w:val="0"/>
                <w:color w:val="auto"/>
                <w:kern w:val="0"/>
                <w:sz w:val="20"/>
                <w:szCs w:val="20"/>
                <w:highlight w:val="none"/>
                <w:lang w:val="en-US" w:eastAsia="zh-CN"/>
              </w:rPr>
              <w:t>5</w:t>
            </w:r>
          </w:p>
        </w:tc>
      </w:tr>
      <w:tr w14:paraId="1896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9" w:type="pct"/>
            <w:tcBorders>
              <w:top w:val="single" w:color="auto" w:sz="4" w:space="0"/>
              <w:left w:val="single" w:color="auto" w:sz="4" w:space="0"/>
              <w:bottom w:val="single" w:color="auto" w:sz="4" w:space="0"/>
              <w:right w:val="single" w:color="auto" w:sz="4" w:space="0"/>
            </w:tcBorders>
            <w:noWrap w:val="0"/>
            <w:vAlign w:val="center"/>
          </w:tcPr>
          <w:p w14:paraId="53DF07CB">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val="0"/>
                <w:bCs w:val="0"/>
                <w:color w:val="auto"/>
                <w:kern w:val="0"/>
                <w:sz w:val="20"/>
                <w:szCs w:val="20"/>
                <w:highlight w:val="none"/>
              </w:rPr>
            </w:pPr>
            <w:r>
              <w:rPr>
                <w:rFonts w:hint="eastAsia" w:ascii="微软雅黑" w:hAnsi="微软雅黑" w:eastAsia="微软雅黑" w:cs="微软雅黑"/>
                <w:b w:val="0"/>
                <w:bCs w:val="0"/>
                <w:color w:val="auto"/>
                <w:kern w:val="0"/>
                <w:sz w:val="20"/>
                <w:szCs w:val="20"/>
                <w:highlight w:val="none"/>
                <w:lang w:val="en-US" w:eastAsia="zh-CN" w:bidi="ar"/>
              </w:rPr>
              <w:t>报价得分</w:t>
            </w:r>
          </w:p>
        </w:tc>
        <w:tc>
          <w:tcPr>
            <w:tcW w:w="3713" w:type="pct"/>
            <w:tcBorders>
              <w:top w:val="single" w:color="auto" w:sz="4" w:space="0"/>
              <w:left w:val="nil"/>
              <w:bottom w:val="single" w:color="auto" w:sz="4" w:space="0"/>
              <w:right w:val="single" w:color="auto" w:sz="4" w:space="0"/>
            </w:tcBorders>
            <w:noWrap w:val="0"/>
            <w:vAlign w:val="center"/>
          </w:tcPr>
          <w:p w14:paraId="445A47E6">
            <w:pPr>
              <w:spacing w:line="360" w:lineRule="auto"/>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1.</w:t>
            </w:r>
            <w:r>
              <w:rPr>
                <w:rFonts w:hint="eastAsia" w:ascii="微软雅黑" w:hAnsi="微软雅黑" w:eastAsia="微软雅黑" w:cs="微软雅黑"/>
                <w:color w:val="auto"/>
                <w:sz w:val="20"/>
                <w:szCs w:val="20"/>
                <w:highlight w:val="none"/>
                <w:lang w:val="en-US" w:eastAsia="zh-CN"/>
              </w:rPr>
              <w:t>本次招标包含4个项目，各项目需分别单独报价，各项目报价之和参与评选；</w:t>
            </w:r>
          </w:p>
          <w:p w14:paraId="193943A8">
            <w:pPr>
              <w:spacing w:line="360" w:lineRule="auto"/>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2.各个项目</w:t>
            </w:r>
            <w:r>
              <w:rPr>
                <w:rFonts w:hint="eastAsia" w:ascii="微软雅黑" w:hAnsi="微软雅黑" w:eastAsia="微软雅黑" w:cs="微软雅黑"/>
                <w:color w:val="auto"/>
                <w:sz w:val="20"/>
                <w:szCs w:val="20"/>
                <w:highlight w:val="none"/>
              </w:rPr>
              <w:t>评</w:t>
            </w:r>
            <w:r>
              <w:rPr>
                <w:rFonts w:hint="eastAsia" w:ascii="微软雅黑" w:hAnsi="微软雅黑" w:eastAsia="微软雅黑" w:cs="微软雅黑"/>
                <w:color w:val="auto"/>
                <w:sz w:val="20"/>
                <w:szCs w:val="20"/>
                <w:highlight w:val="none"/>
                <w:lang w:val="en-US" w:eastAsia="zh-CN"/>
              </w:rPr>
              <w:t>标</w:t>
            </w:r>
            <w:r>
              <w:rPr>
                <w:rFonts w:hint="eastAsia" w:ascii="微软雅黑" w:hAnsi="微软雅黑" w:eastAsia="微软雅黑" w:cs="微软雅黑"/>
                <w:color w:val="auto"/>
                <w:sz w:val="20"/>
                <w:szCs w:val="20"/>
                <w:highlight w:val="none"/>
              </w:rPr>
              <w:t>基准价为</w:t>
            </w:r>
            <w:r>
              <w:rPr>
                <w:rFonts w:hint="eastAsia" w:ascii="微软雅黑" w:hAnsi="微软雅黑" w:eastAsia="微软雅黑" w:cs="微软雅黑"/>
                <w:color w:val="auto"/>
                <w:sz w:val="20"/>
                <w:szCs w:val="20"/>
                <w:highlight w:val="none"/>
                <w:lang w:val="en-US" w:eastAsia="zh-CN"/>
              </w:rPr>
              <w:t>50000元；</w:t>
            </w:r>
          </w:p>
          <w:p w14:paraId="5C62E6E9">
            <w:pPr>
              <w:spacing w:line="360" w:lineRule="auto"/>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3.最后报价为各项目报价平均值；</w:t>
            </w:r>
          </w:p>
          <w:p w14:paraId="4700E607">
            <w:pPr>
              <w:spacing w:line="360" w:lineRule="auto"/>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4.</w:t>
            </w:r>
            <w:r>
              <w:rPr>
                <w:rFonts w:hint="default" w:ascii="微软雅黑" w:hAnsi="微软雅黑" w:eastAsia="微软雅黑" w:cs="微软雅黑"/>
                <w:color w:val="auto"/>
                <w:sz w:val="20"/>
                <w:szCs w:val="20"/>
                <w:highlight w:val="none"/>
                <w:lang w:val="en-US" w:eastAsia="zh-CN"/>
              </w:rPr>
              <w:t>最后报价得分＝</w:t>
            </w:r>
            <w:r>
              <w:rPr>
                <w:rFonts w:hint="eastAsia" w:ascii="微软雅黑" w:hAnsi="微软雅黑" w:eastAsia="微软雅黑" w:cs="微软雅黑"/>
                <w:color w:val="auto"/>
                <w:sz w:val="20"/>
                <w:szCs w:val="20"/>
                <w:highlight w:val="none"/>
                <w:lang w:val="en-US" w:eastAsia="zh-CN"/>
              </w:rPr>
              <w:t>（评标基准价-</w:t>
            </w:r>
            <w:r>
              <w:rPr>
                <w:rFonts w:hint="default" w:ascii="微软雅黑" w:hAnsi="微软雅黑" w:eastAsia="微软雅黑" w:cs="微软雅黑"/>
                <w:color w:val="auto"/>
                <w:sz w:val="20"/>
                <w:szCs w:val="20"/>
                <w:highlight w:val="none"/>
                <w:lang w:val="en-US" w:eastAsia="zh-CN"/>
              </w:rPr>
              <w:t>最后报价</w:t>
            </w:r>
            <w:r>
              <w:rPr>
                <w:rFonts w:hint="eastAsia" w:ascii="微软雅黑" w:hAnsi="微软雅黑" w:eastAsia="微软雅黑" w:cs="微软雅黑"/>
                <w:color w:val="auto"/>
                <w:sz w:val="20"/>
                <w:szCs w:val="20"/>
                <w:highlight w:val="none"/>
                <w:lang w:val="en-US" w:eastAsia="zh-CN"/>
              </w:rPr>
              <w:t>）/评标基准价*20</w:t>
            </w:r>
          </w:p>
          <w:p w14:paraId="636E8A53">
            <w:pPr>
              <w:keepNext w:val="0"/>
              <w:keepLines w:val="0"/>
              <w:widowControl w:val="0"/>
              <w:suppressLineNumbers w:val="0"/>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rPr>
            </w:pPr>
            <w:r>
              <w:rPr>
                <w:rFonts w:hint="eastAsia" w:ascii="微软雅黑" w:hAnsi="微软雅黑" w:eastAsia="微软雅黑" w:cs="微软雅黑"/>
                <w:b/>
                <w:bCs/>
                <w:color w:val="auto"/>
                <w:sz w:val="20"/>
                <w:szCs w:val="20"/>
                <w:highlight w:val="none"/>
              </w:rPr>
              <w:t>注：评标结束后，评标基准价不因招投标当事人质疑、投诉、复议以及其它任何情形而改变。</w:t>
            </w:r>
          </w:p>
        </w:tc>
        <w:tc>
          <w:tcPr>
            <w:tcW w:w="636" w:type="pct"/>
            <w:tcBorders>
              <w:top w:val="single" w:color="auto" w:sz="4" w:space="0"/>
              <w:left w:val="nil"/>
              <w:bottom w:val="single" w:color="auto" w:sz="4" w:space="0"/>
              <w:right w:val="single" w:color="auto" w:sz="4" w:space="0"/>
            </w:tcBorders>
            <w:noWrap w:val="0"/>
            <w:vAlign w:val="center"/>
          </w:tcPr>
          <w:p w14:paraId="1B972E2A">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val="0"/>
                <w:bCs w:val="0"/>
                <w:color w:val="auto"/>
                <w:kern w:val="2"/>
                <w:sz w:val="20"/>
                <w:szCs w:val="20"/>
                <w:highlight w:val="none"/>
                <w:lang w:val="en-US"/>
              </w:rPr>
            </w:pPr>
            <w:r>
              <w:rPr>
                <w:rFonts w:hint="eastAsia" w:ascii="微软雅黑" w:hAnsi="微软雅黑" w:eastAsia="微软雅黑" w:cs="微软雅黑"/>
                <w:b w:val="0"/>
                <w:bCs w:val="0"/>
                <w:color w:val="auto"/>
                <w:kern w:val="2"/>
                <w:sz w:val="20"/>
                <w:szCs w:val="20"/>
                <w:highlight w:val="none"/>
                <w:lang w:val="en-US" w:eastAsia="zh-CN" w:bidi="ar"/>
              </w:rPr>
              <w:t>20</w:t>
            </w:r>
          </w:p>
        </w:tc>
      </w:tr>
    </w:tbl>
    <w:p w14:paraId="1F1E6FA2">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备注：</w:t>
      </w:r>
    </w:p>
    <w:p w14:paraId="150D6974">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（1）以上评分汇总分精确至小数点后二位、小数点后第三位四舍五入。</w:t>
      </w:r>
    </w:p>
    <w:p w14:paraId="02E7EAF9">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r>
        <w:rPr>
          <w:rFonts w:hint="eastAsia" w:ascii="微软雅黑" w:hAnsi="微软雅黑" w:eastAsia="微软雅黑" w:cs="微软雅黑"/>
          <w:color w:val="auto"/>
          <w:sz w:val="22"/>
          <w:szCs w:val="22"/>
          <w:highlight w:val="none"/>
          <w:lang w:eastAsia="zh"/>
        </w:rPr>
        <w:t>参选</w:t>
      </w:r>
      <w:r>
        <w:rPr>
          <w:rFonts w:hint="eastAsia" w:ascii="微软雅黑" w:hAnsi="微软雅黑" w:eastAsia="微软雅黑" w:cs="微软雅黑"/>
          <w:color w:val="auto"/>
          <w:sz w:val="22"/>
          <w:szCs w:val="22"/>
          <w:highlight w:val="none"/>
        </w:rPr>
        <w:t>人提供的证明材料要能清晰反映评分的实质内容，如因材料模糊不清，导致评标委员会无法辨认的，评标委员会可以不予认可该材料，一切后果由投标人自行承担。</w:t>
      </w:r>
    </w:p>
    <w:p w14:paraId="296AA2C9">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（3）以上评分项中要求参选人提供的证明文件，参选人提供证明文件的扫描件或复印件或影印件即可。</w:t>
      </w:r>
    </w:p>
    <w:p w14:paraId="5F87CAED">
      <w:pPr>
        <w:numPr>
          <w:ilvl w:val="0"/>
          <w:numId w:val="6"/>
        </w:numPr>
        <w:spacing w:line="360" w:lineRule="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确定中标候选人</w:t>
      </w:r>
    </w:p>
    <w:p w14:paraId="7113920A">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highlight w:val="none"/>
          <w:lang w:eastAsia="zh-CN"/>
        </w:rPr>
        <w:t>各投标人的综合得分为技术</w:t>
      </w:r>
      <w:r>
        <w:rPr>
          <w:rFonts w:hint="eastAsia" w:ascii="微软雅黑" w:hAnsi="微软雅黑" w:eastAsia="微软雅黑" w:cs="微软雅黑"/>
          <w:sz w:val="22"/>
          <w:szCs w:val="22"/>
          <w:highlight w:val="none"/>
          <w:lang w:val="en-US" w:eastAsia="zh-CN"/>
        </w:rPr>
        <w:t>资信</w:t>
      </w:r>
      <w:r>
        <w:rPr>
          <w:rFonts w:hint="eastAsia" w:ascii="微软雅黑" w:hAnsi="微软雅黑" w:eastAsia="微软雅黑" w:cs="微软雅黑"/>
          <w:sz w:val="22"/>
          <w:szCs w:val="22"/>
          <w:highlight w:val="none"/>
          <w:lang w:eastAsia="zh-CN"/>
        </w:rPr>
        <w:t>得分</w:t>
      </w:r>
      <w:r>
        <w:rPr>
          <w:rFonts w:hint="eastAsia" w:ascii="微软雅黑" w:hAnsi="微软雅黑" w:eastAsia="微软雅黑" w:cs="微软雅黑"/>
          <w:sz w:val="22"/>
          <w:szCs w:val="22"/>
          <w:highlight w:val="none"/>
          <w:lang w:val="en-US" w:eastAsia="zh-CN"/>
        </w:rPr>
        <w:t>与</w:t>
      </w:r>
      <w:r>
        <w:rPr>
          <w:rFonts w:hint="eastAsia" w:ascii="微软雅黑" w:hAnsi="微软雅黑" w:eastAsia="微软雅黑" w:cs="微软雅黑"/>
          <w:sz w:val="22"/>
          <w:szCs w:val="22"/>
          <w:highlight w:val="none"/>
          <w:lang w:eastAsia="zh-CN"/>
        </w:rPr>
        <w:t>商务得分之和（取两位有效数字，第三位四舍五入），按照综合得分高低顺序排名，确定</w:t>
      </w:r>
      <w:r>
        <w:rPr>
          <w:rFonts w:hint="eastAsia" w:ascii="微软雅黑" w:hAnsi="微软雅黑" w:eastAsia="微软雅黑" w:cs="微软雅黑"/>
          <w:sz w:val="22"/>
          <w:szCs w:val="22"/>
          <w:highlight w:val="none"/>
          <w:lang w:val="en-US" w:eastAsia="zh-CN"/>
        </w:rPr>
        <w:t>中标候选人</w:t>
      </w:r>
      <w:r>
        <w:rPr>
          <w:rFonts w:hint="eastAsia" w:ascii="微软雅黑" w:hAnsi="微软雅黑" w:eastAsia="微软雅黑" w:cs="微软雅黑"/>
          <w:sz w:val="22"/>
          <w:szCs w:val="22"/>
          <w:highlight w:val="none"/>
          <w:lang w:eastAsia="zh-CN"/>
        </w:rPr>
        <w:t>。如综合得分相同，则投标报价低者排名靠前。</w:t>
      </w:r>
    </w:p>
    <w:p w14:paraId="35FA6757">
      <w:pPr>
        <w:rPr>
          <w:rFonts w:hint="eastAsia" w:ascii="微软雅黑" w:hAnsi="微软雅黑" w:eastAsia="微软雅黑" w:cs="微软雅黑"/>
          <w:b/>
          <w:sz w:val="21"/>
          <w:szCs w:val="21"/>
        </w:rPr>
      </w:pPr>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智慧工牌系统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39733484"/>
      <w:bookmarkStart w:id="23" w:name="_Toc10239"/>
      <w:bookmarkStart w:id="24" w:name="_Toc273602356"/>
      <w:bookmarkStart w:id="25" w:name="_Toc245714174"/>
      <w:bookmarkStart w:id="26" w:name="_Toc220232394"/>
      <w:bookmarkStart w:id="27" w:name="_Toc232592019"/>
      <w:r>
        <w:rPr>
          <w:rFonts w:hint="eastAsia" w:ascii="微软雅黑" w:hAnsi="微软雅黑" w:eastAsia="微软雅黑" w:cs="微软雅黑"/>
          <w:b/>
          <w:sz w:val="22"/>
          <w:szCs w:val="22"/>
        </w:rPr>
        <w:t>附件二：</w:t>
      </w:r>
    </w:p>
    <w:p w14:paraId="50162A95">
      <w:pPr>
        <w:pStyle w:val="4"/>
        <w:numPr>
          <w:ilvl w:val="0"/>
          <w:numId w:val="8"/>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val="en-US" w:eastAsia="zh-CN"/>
        </w:rPr>
        <w:t>智慧工牌系统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智慧工牌系统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9"/>
        </w:numPr>
        <w:spacing w:line="500" w:lineRule="exact"/>
        <w:jc w:val="both"/>
        <w:rPr>
          <w:rFonts w:hint="eastAsia" w:ascii="微软雅黑" w:hAnsi="微软雅黑" w:eastAsia="微软雅黑" w:cs="微软雅黑"/>
        </w:rPr>
      </w:pPr>
      <w:r>
        <w:rPr>
          <w:rFonts w:hint="eastAsia" w:ascii="微软雅黑" w:hAnsi="微软雅黑" w:eastAsia="微软雅黑" w:cs="微软雅黑"/>
          <w:color w:val="000000"/>
          <w:sz w:val="22"/>
          <w:szCs w:val="22"/>
          <w:lang w:val="zh-CN"/>
        </w:rPr>
        <w:t>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p>
    <w:p w14:paraId="0A1F8322">
      <w:pPr>
        <w:numPr>
          <w:ilvl w:val="0"/>
          <w:numId w:val="9"/>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不少于3个房地产案场智慧工牌系统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566F5A12">
      <w:pPr>
        <w:numPr>
          <w:ilvl w:val="0"/>
          <w:numId w:val="9"/>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lang w:eastAsia="zh-CN"/>
        </w:rPr>
        <w:t>采购文件</w:t>
      </w:r>
      <w:r>
        <w:rPr>
          <w:rFonts w:hint="eastAsia" w:ascii="微软雅黑" w:hAnsi="微软雅黑" w:eastAsia="微软雅黑" w:cs="微软雅黑"/>
          <w:kern w:val="2"/>
        </w:rPr>
        <w:t>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bookmarkEnd w:id="26"/>
    <w:bookmarkEnd w:id="27"/>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智慧工牌系统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hint="eastAsia" w:ascii="宋体" w:hAnsi="宋体"/>
              <w:bCs/>
              <w:sz w:val="36"/>
            </w:rPr>
            <w:t>月</w:t>
          </w:r>
        </w:p>
        <w:p w14:paraId="1D7662AF">
          <w:pPr>
            <w:pStyle w:val="27"/>
            <w:widowControl w:val="0"/>
            <w:spacing w:after="0" w:line="560" w:lineRule="exact"/>
            <w:ind w:left="0" w:leftChars="0" w:firstLine="440"/>
            <w:jc w:val="both"/>
          </w:pPr>
          <w:bookmarkStart w:id="29" w:name="_Toc270410845"/>
          <w:bookmarkStart w:id="30" w:name="_Toc240898303"/>
          <w:bookmarkStart w:id="31" w:name="_Toc273602363"/>
          <w:bookmarkStart w:id="32" w:name="_Toc328559344"/>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6D2DCB16">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highlight w:val="none"/>
          <w:lang w:val="en-US" w:eastAsia="zh-CN"/>
        </w:rPr>
      </w:pPr>
      <w:r>
        <w:rPr>
          <w:rFonts w:hint="eastAsia" w:ascii="微软雅黑" w:hAnsi="微软雅黑" w:eastAsia="微软雅黑" w:cs="微软雅黑"/>
          <w:kern w:val="2"/>
          <w:sz w:val="22"/>
          <w:szCs w:val="22"/>
          <w:highlight w:val="none"/>
          <w:lang w:val="en-US" w:eastAsia="zh-CN"/>
        </w:rPr>
        <w:t>2.分项目报价分别为：珺玺中心项目</w:t>
      </w:r>
      <w:r>
        <w:rPr>
          <w:rFonts w:hint="eastAsia" w:ascii="微软雅黑" w:hAnsi="微软雅黑" w:eastAsia="微软雅黑" w:cs="微软雅黑"/>
          <w:kern w:val="2"/>
          <w:sz w:val="22"/>
          <w:szCs w:val="22"/>
          <w:highlight w:val="none"/>
        </w:rPr>
        <w:t>人民币（大写）         元（¥         ）</w:t>
      </w:r>
      <w:r>
        <w:rPr>
          <w:rFonts w:hint="eastAsia" w:ascii="微软雅黑" w:hAnsi="微软雅黑" w:eastAsia="微软雅黑" w:cs="微软雅黑"/>
          <w:kern w:val="2"/>
          <w:sz w:val="22"/>
          <w:szCs w:val="22"/>
          <w:highlight w:val="none"/>
          <w:lang w:eastAsia="zh-CN"/>
        </w:rPr>
        <w:t>、</w:t>
      </w:r>
      <w:r>
        <w:rPr>
          <w:rFonts w:hint="eastAsia" w:ascii="微软雅黑" w:hAnsi="微软雅黑" w:eastAsia="微软雅黑" w:cs="微软雅黑"/>
          <w:kern w:val="2"/>
          <w:sz w:val="22"/>
          <w:szCs w:val="22"/>
          <w:highlight w:val="none"/>
          <w:lang w:val="en-US" w:eastAsia="zh-CN"/>
        </w:rPr>
        <w:t>嘉玺项目</w:t>
      </w:r>
      <w:r>
        <w:rPr>
          <w:rFonts w:hint="eastAsia" w:ascii="微软雅黑" w:hAnsi="微软雅黑" w:eastAsia="微软雅黑" w:cs="微软雅黑"/>
          <w:kern w:val="2"/>
          <w:sz w:val="22"/>
          <w:szCs w:val="22"/>
          <w:highlight w:val="none"/>
        </w:rPr>
        <w:t>人民币（大写）         元（¥         ）</w:t>
      </w:r>
      <w:r>
        <w:rPr>
          <w:rFonts w:hint="eastAsia" w:ascii="微软雅黑" w:hAnsi="微软雅黑" w:eastAsia="微软雅黑" w:cs="微软雅黑"/>
          <w:kern w:val="2"/>
          <w:sz w:val="22"/>
          <w:szCs w:val="22"/>
          <w:highlight w:val="none"/>
          <w:lang w:eastAsia="zh-CN"/>
        </w:rPr>
        <w:t>、</w:t>
      </w:r>
      <w:r>
        <w:rPr>
          <w:rFonts w:hint="eastAsia" w:ascii="微软雅黑" w:hAnsi="微软雅黑" w:eastAsia="微软雅黑" w:cs="微软雅黑"/>
          <w:color w:val="000000"/>
          <w:sz w:val="22"/>
          <w:szCs w:val="22"/>
          <w:highlight w:val="none"/>
          <w:lang w:val="en-US" w:eastAsia="zh-CN"/>
        </w:rPr>
        <w:t>包河区BH202512号地块项目</w:t>
      </w:r>
      <w:r>
        <w:rPr>
          <w:rFonts w:hint="eastAsia" w:ascii="微软雅黑" w:hAnsi="微软雅黑" w:eastAsia="微软雅黑" w:cs="微软雅黑"/>
          <w:kern w:val="2"/>
          <w:sz w:val="22"/>
          <w:szCs w:val="22"/>
          <w:highlight w:val="none"/>
        </w:rPr>
        <w:t>人民币（大写）         元（¥         ）</w:t>
      </w:r>
      <w:r>
        <w:rPr>
          <w:rFonts w:hint="eastAsia" w:ascii="微软雅黑" w:hAnsi="微软雅黑" w:eastAsia="微软雅黑" w:cs="微软雅黑"/>
          <w:color w:val="000000"/>
          <w:sz w:val="22"/>
          <w:szCs w:val="22"/>
          <w:highlight w:val="none"/>
          <w:lang w:val="en-US" w:eastAsia="zh-CN"/>
        </w:rPr>
        <w:t>、</w:t>
      </w:r>
      <w:r>
        <w:rPr>
          <w:rFonts w:hint="eastAsia" w:ascii="微软雅黑" w:hAnsi="微软雅黑" w:eastAsia="微软雅黑" w:cs="微软雅黑"/>
          <w:kern w:val="2"/>
          <w:sz w:val="22"/>
          <w:szCs w:val="22"/>
          <w:highlight w:val="none"/>
          <w:lang w:val="en-US" w:eastAsia="zh-CN"/>
        </w:rPr>
        <w:t>合柴拾间项目</w:t>
      </w:r>
      <w:r>
        <w:rPr>
          <w:rFonts w:hint="eastAsia" w:ascii="微软雅黑" w:hAnsi="微软雅黑" w:eastAsia="微软雅黑" w:cs="微软雅黑"/>
          <w:kern w:val="2"/>
          <w:sz w:val="22"/>
          <w:szCs w:val="22"/>
          <w:highlight w:val="none"/>
        </w:rPr>
        <w:t>人民币（大写）         元（¥         ）</w:t>
      </w:r>
      <w:r>
        <w:rPr>
          <w:rFonts w:hint="eastAsia" w:ascii="微软雅黑" w:hAnsi="微软雅黑" w:eastAsia="微软雅黑" w:cs="微软雅黑"/>
          <w:kern w:val="2"/>
          <w:sz w:val="22"/>
          <w:szCs w:val="22"/>
          <w:highlight w:val="none"/>
          <w:lang w:eastAsia="zh-CN"/>
        </w:rPr>
        <w:t>。</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4</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685F1FAC">
      <w:pPr>
        <w:pStyle w:val="27"/>
        <w:widowControl w:val="0"/>
        <w:numPr>
          <w:ilvl w:val="0"/>
          <w:numId w:val="8"/>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2D9CB9EB">
      <w:pPr>
        <w:pStyle w:val="23"/>
        <w:jc w:val="center"/>
        <w:rPr>
          <w:rFonts w:hint="eastAsia" w:ascii="微软雅黑" w:hAnsi="微软雅黑" w:eastAsia="微软雅黑" w:cs="微软雅黑"/>
          <w:sz w:val="36"/>
          <w:szCs w:val="40"/>
          <w:lang w:val="en-US" w:eastAsia="zh-CN"/>
        </w:rPr>
      </w:pPr>
      <w:r>
        <w:rPr>
          <w:rFonts w:hint="eastAsia" w:ascii="微软雅黑" w:hAnsi="微软雅黑" w:eastAsia="微软雅黑" w:cs="微软雅黑"/>
          <w:sz w:val="36"/>
          <w:szCs w:val="40"/>
          <w:lang w:val="en-US" w:eastAsia="zh-CN"/>
        </w:rPr>
        <w:t>智慧工牌系统报价单</w:t>
      </w:r>
    </w:p>
    <w:p w14:paraId="4FE61D38">
      <w:pPr>
        <w:pStyle w:val="23"/>
        <w:jc w:val="left"/>
        <w:rPr>
          <w:rFonts w:hint="eastAsia" w:ascii="微软雅黑" w:hAnsi="微软雅黑" w:eastAsia="微软雅黑" w:cs="微软雅黑"/>
          <w:sz w:val="24"/>
          <w:szCs w:val="28"/>
          <w:lang w:val="en-US" w:eastAsia="zh-CN"/>
        </w:rPr>
      </w:pPr>
      <w:r>
        <w:rPr>
          <w:rFonts w:hint="eastAsia" w:ascii="微软雅黑" w:hAnsi="微软雅黑" w:eastAsia="微软雅黑" w:cs="微软雅黑"/>
          <w:sz w:val="24"/>
          <w:szCs w:val="28"/>
          <w:lang w:val="en-US" w:eastAsia="zh-CN"/>
        </w:rPr>
        <w:t>甲方：合肥市包河区城市更新建设有限公司</w:t>
      </w:r>
    </w:p>
    <w:tbl>
      <w:tblPr>
        <w:tblStyle w:val="29"/>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13"/>
        <w:gridCol w:w="5150"/>
        <w:gridCol w:w="1150"/>
        <w:gridCol w:w="1100"/>
      </w:tblGrid>
      <w:tr w14:paraId="419B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57" w:type="dxa"/>
            <w:gridSpan w:val="5"/>
            <w:vAlign w:val="center"/>
          </w:tcPr>
          <w:p w14:paraId="6338AAC5">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2"/>
                <w:szCs w:val="22"/>
                <w:vertAlign w:val="baseline"/>
                <w:lang w:val="en-US" w:eastAsia="zh-CN"/>
              </w:rPr>
              <w:t>（报价单位全称）</w:t>
            </w:r>
          </w:p>
        </w:tc>
      </w:tr>
      <w:tr w14:paraId="571E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957" w:type="dxa"/>
            <w:gridSpan w:val="5"/>
            <w:vAlign w:val="center"/>
          </w:tcPr>
          <w:p w14:paraId="156F0FE6">
            <w:pPr>
              <w:pStyle w:val="23"/>
              <w:widowControl w:val="0"/>
              <w:spacing w:line="240" w:lineRule="auto"/>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公司办公地址：</w:t>
            </w:r>
          </w:p>
          <w:p w14:paraId="2FC0BA14">
            <w:pPr>
              <w:pStyle w:val="23"/>
              <w:widowControl w:val="0"/>
              <w:spacing w:line="240" w:lineRule="auto"/>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联系人：</w:t>
            </w:r>
          </w:p>
          <w:p w14:paraId="2E363961">
            <w:pPr>
              <w:pStyle w:val="23"/>
              <w:widowControl w:val="0"/>
              <w:spacing w:line="240" w:lineRule="auto"/>
              <w:jc w:val="both"/>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18"/>
                <w:szCs w:val="18"/>
                <w:vertAlign w:val="baseline"/>
                <w:lang w:val="en-US" w:eastAsia="zh-CN"/>
              </w:rPr>
              <w:t>联系电话：</w:t>
            </w:r>
          </w:p>
        </w:tc>
      </w:tr>
      <w:tr w14:paraId="5088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44" w:type="dxa"/>
            <w:vAlign w:val="center"/>
          </w:tcPr>
          <w:p w14:paraId="0DE6B51E">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时间</w:t>
            </w:r>
          </w:p>
        </w:tc>
        <w:tc>
          <w:tcPr>
            <w:tcW w:w="1213" w:type="dxa"/>
            <w:vAlign w:val="center"/>
          </w:tcPr>
          <w:p w14:paraId="25D088A0">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项目</w:t>
            </w:r>
          </w:p>
        </w:tc>
        <w:tc>
          <w:tcPr>
            <w:tcW w:w="5150" w:type="dxa"/>
            <w:vAlign w:val="center"/>
          </w:tcPr>
          <w:p w14:paraId="150A4420">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服务内容</w:t>
            </w:r>
          </w:p>
        </w:tc>
        <w:tc>
          <w:tcPr>
            <w:tcW w:w="1150" w:type="dxa"/>
            <w:vAlign w:val="center"/>
          </w:tcPr>
          <w:p w14:paraId="5ADF283C">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不含税价</w:t>
            </w:r>
          </w:p>
        </w:tc>
        <w:tc>
          <w:tcPr>
            <w:tcW w:w="1100" w:type="dxa"/>
            <w:vAlign w:val="center"/>
          </w:tcPr>
          <w:p w14:paraId="63175DB5">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含税价</w:t>
            </w:r>
          </w:p>
        </w:tc>
      </w:tr>
      <w:tr w14:paraId="3815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Merge w:val="restart"/>
            <w:vAlign w:val="center"/>
          </w:tcPr>
          <w:p w14:paraId="22B1A35E">
            <w:pPr>
              <w:pStyle w:val="23"/>
              <w:widowControl w:val="0"/>
              <w:spacing w:line="240" w:lineRule="auto"/>
              <w:jc w:val="both"/>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以甲方通知为准</w:t>
            </w:r>
          </w:p>
        </w:tc>
        <w:tc>
          <w:tcPr>
            <w:tcW w:w="1213" w:type="dxa"/>
            <w:vAlign w:val="center"/>
          </w:tcPr>
          <w:p w14:paraId="51EE25C7">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珺玺中心</w:t>
            </w:r>
          </w:p>
        </w:tc>
        <w:tc>
          <w:tcPr>
            <w:tcW w:w="5150" w:type="dxa"/>
            <w:vAlign w:val="center"/>
          </w:tcPr>
          <w:p w14:paraId="69EE2427">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
              </w:rPr>
            </w:pPr>
            <w:r>
              <w:rPr>
                <w:rFonts w:hint="eastAsia" w:ascii="微软雅黑" w:hAnsi="微软雅黑" w:eastAsia="微软雅黑" w:cs="微软雅黑"/>
                <w:b w:val="0"/>
                <w:bCs w:val="0"/>
                <w:color w:val="auto"/>
                <w:kern w:val="2"/>
                <w:sz w:val="20"/>
                <w:szCs w:val="20"/>
                <w:highlight w:val="none"/>
                <w:lang w:val="en-US" w:eastAsia="zh-CN"/>
              </w:rPr>
              <w:t>1、软件功能：</w:t>
            </w: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val="en-US" w:eastAsia="zh-CN"/>
              </w:rPr>
              <w:t>1</w:t>
            </w: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eastAsia="zh"/>
              </w:rPr>
              <w:t>支持AI 功能，支持对整个接待录音内容自动梳理销售过程、客户情况总结，辅助销售经理快速盘客；</w:t>
            </w:r>
          </w:p>
          <w:p w14:paraId="2BB3971B">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
              </w:rPr>
            </w:pP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val="en-US" w:eastAsia="zh-CN"/>
              </w:rPr>
              <w:t>2</w:t>
            </w: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eastAsia="zh"/>
              </w:rPr>
              <w:t>支持客户接待情况分析，包含客户来访数据、录音数据、高意向数据、客户画像等维度展示；</w:t>
            </w:r>
          </w:p>
          <w:p w14:paraId="0CBBDAE7">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eastAsia="zh-CN"/>
              </w:rPr>
            </w:pP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val="en-US" w:eastAsia="zh-CN"/>
              </w:rPr>
              <w:t>3</w:t>
            </w:r>
            <w:r>
              <w:rPr>
                <w:rFonts w:hint="eastAsia" w:ascii="微软雅黑" w:hAnsi="微软雅黑" w:eastAsia="微软雅黑" w:cs="微软雅黑"/>
                <w:b w:val="0"/>
                <w:bCs w:val="0"/>
                <w:color w:val="auto"/>
                <w:kern w:val="2"/>
                <w:sz w:val="20"/>
                <w:szCs w:val="20"/>
                <w:highlight w:val="none"/>
                <w:lang w:eastAsia="zh-CN"/>
              </w:rPr>
              <w:t>）</w:t>
            </w:r>
            <w:r>
              <w:rPr>
                <w:rFonts w:hint="eastAsia" w:ascii="微软雅黑" w:hAnsi="微软雅黑" w:eastAsia="微软雅黑" w:cs="微软雅黑"/>
                <w:b w:val="0"/>
                <w:bCs w:val="0"/>
                <w:color w:val="auto"/>
                <w:kern w:val="2"/>
                <w:sz w:val="20"/>
                <w:szCs w:val="20"/>
                <w:highlight w:val="none"/>
                <w:lang w:eastAsia="zh"/>
              </w:rPr>
              <w:t>支持数据看板含首访/复访录音覆盖率、置业顾问各阶段接待时长、客户分布及话术执行分析</w:t>
            </w:r>
            <w:r>
              <w:rPr>
                <w:rFonts w:hint="eastAsia" w:ascii="微软雅黑" w:hAnsi="微软雅黑" w:eastAsia="微软雅黑" w:cs="微软雅黑"/>
                <w:b w:val="0"/>
                <w:bCs w:val="0"/>
                <w:color w:val="auto"/>
                <w:kern w:val="2"/>
                <w:sz w:val="20"/>
                <w:szCs w:val="20"/>
                <w:highlight w:val="none"/>
                <w:lang w:eastAsia="zh-CN"/>
              </w:rPr>
              <w:t>；</w:t>
            </w:r>
          </w:p>
          <w:p w14:paraId="4E1E2D14">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rPr>
              <w:t>（</w:t>
            </w:r>
            <w:r>
              <w:rPr>
                <w:rFonts w:hint="eastAsia" w:ascii="微软雅黑" w:hAnsi="微软雅黑" w:eastAsia="微软雅黑" w:cs="微软雅黑"/>
                <w:sz w:val="20"/>
                <w:szCs w:val="20"/>
                <w:lang w:val="en-US" w:eastAsia="zh-CN"/>
              </w:rPr>
              <w:t>4</w:t>
            </w:r>
            <w:r>
              <w:rPr>
                <w:rFonts w:hint="eastAsia" w:ascii="微软雅黑" w:hAnsi="微软雅黑" w:eastAsia="微软雅黑" w:cs="微软雅黑"/>
                <w:sz w:val="20"/>
                <w:szCs w:val="20"/>
              </w:rPr>
              <w:t>）</w:t>
            </w:r>
            <w:r>
              <w:rPr>
                <w:rFonts w:hint="eastAsia" w:ascii="微软雅黑" w:hAnsi="微软雅黑" w:eastAsia="微软雅黑" w:cs="微软雅黑"/>
                <w:sz w:val="20"/>
                <w:szCs w:val="20"/>
                <w:lang w:val="en-US" w:eastAsia="zh-CN"/>
              </w:rPr>
              <w:t>支持案场接待</w:t>
            </w:r>
            <w:r>
              <w:rPr>
                <w:rFonts w:hint="eastAsia" w:ascii="微软雅黑" w:hAnsi="微软雅黑" w:eastAsia="微软雅黑" w:cs="微软雅黑"/>
                <w:sz w:val="20"/>
                <w:szCs w:val="20"/>
              </w:rPr>
              <w:t>数据</w:t>
            </w:r>
            <w:r>
              <w:rPr>
                <w:rFonts w:hint="eastAsia" w:ascii="微软雅黑" w:hAnsi="微软雅黑" w:eastAsia="微软雅黑" w:cs="微软雅黑"/>
                <w:sz w:val="20"/>
                <w:szCs w:val="20"/>
                <w:lang w:val="en-US" w:eastAsia="zh-CN"/>
              </w:rPr>
              <w:t>AI自动识别基本信息并自动</w:t>
            </w:r>
            <w:r>
              <w:rPr>
                <w:rFonts w:hint="eastAsia" w:ascii="微软雅黑" w:hAnsi="微软雅黑" w:eastAsia="微软雅黑" w:cs="微软雅黑"/>
                <w:sz w:val="20"/>
                <w:szCs w:val="20"/>
              </w:rPr>
              <w:t>同步至</w:t>
            </w:r>
            <w:r>
              <w:rPr>
                <w:rFonts w:hint="eastAsia" w:ascii="微软雅黑" w:hAnsi="微软雅黑" w:eastAsia="微软雅黑" w:cs="微软雅黑"/>
                <w:sz w:val="20"/>
                <w:szCs w:val="20"/>
                <w:lang w:val="en-US" w:eastAsia="zh-CN"/>
              </w:rPr>
              <w:t>城市更新项目案场置业顾问移动销售端，协助置业顾问客户跟进，减少置业顾问手工录入工作量，帮助案场提效；</w:t>
            </w:r>
          </w:p>
          <w:p w14:paraId="46BC33A6">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（5）支持案场接待设置置业顾问接待必讲、必做、必问，销售负责人可以直接手机端查看置业顾问销讲整体评分，并可穿透查看必讲、必做、必问明细，协助案场提升接待质量。</w:t>
            </w:r>
          </w:p>
          <w:p w14:paraId="7178E804">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sz w:val="20"/>
                <w:szCs w:val="20"/>
                <w:lang w:val="en-US" w:eastAsia="zh-CN"/>
              </w:rPr>
              <w:t>（</w:t>
            </w:r>
            <w:r>
              <w:rPr>
                <w:rFonts w:hint="eastAsia" w:ascii="微软雅黑" w:hAnsi="微软雅黑" w:eastAsia="微软雅黑" w:cs="微软雅黑"/>
                <w:b w:val="0"/>
                <w:bCs w:val="0"/>
                <w:color w:val="auto"/>
                <w:kern w:val="2"/>
                <w:sz w:val="20"/>
                <w:szCs w:val="20"/>
                <w:highlight w:val="none"/>
                <w:lang w:val="en-US" w:eastAsia="zh-CN"/>
              </w:rPr>
              <w:t>6）支持自动成交客户和非成交客户对比分析及音频回听统计分析。</w:t>
            </w:r>
          </w:p>
          <w:p w14:paraId="17A70F7E">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val="en-US" w:eastAsia="zh"/>
              </w:rPr>
            </w:pPr>
            <w:r>
              <w:rPr>
                <w:rFonts w:hint="eastAsia" w:ascii="微软雅黑" w:hAnsi="微软雅黑" w:eastAsia="微软雅黑" w:cs="微软雅黑"/>
                <w:b w:val="0"/>
                <w:bCs w:val="0"/>
                <w:color w:val="auto"/>
                <w:kern w:val="2"/>
                <w:sz w:val="20"/>
                <w:szCs w:val="20"/>
                <w:highlight w:val="none"/>
                <w:lang w:val="en-US" w:eastAsia="zh-CN"/>
              </w:rPr>
              <w:t>（7）保障与案场原有销售、来访等系统相互兼容。</w:t>
            </w:r>
          </w:p>
          <w:p w14:paraId="77C57565">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2、硬件功能：工牌 10个；支持磁吸/背夹。</w:t>
            </w:r>
          </w:p>
          <w:p w14:paraId="37D4EAD7">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3、协作功能：提供的产品界面含有在线服务平台功能：同时具有在线机器人和人工沟通；具有远程协助。</w:t>
            </w:r>
          </w:p>
          <w:p w14:paraId="254F8C5F">
            <w:pPr>
              <w:keepNext w:val="0"/>
              <w:keepLines w:val="0"/>
              <w:widowControl w:val="0"/>
              <w:suppressLineNumbers w:val="0"/>
              <w:autoSpaceDE w:val="0"/>
              <w:autoSpaceDN/>
              <w:adjustRightInd w:val="0"/>
              <w:snapToGrid w:val="0"/>
              <w:spacing w:before="0" w:beforeAutospacing="0" w:after="0" w:afterAutospacing="0" w:line="360" w:lineRule="auto"/>
              <w:ind w:right="0"/>
              <w:jc w:val="both"/>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b w:val="0"/>
                <w:bCs w:val="0"/>
                <w:color w:val="auto"/>
                <w:kern w:val="2"/>
                <w:sz w:val="20"/>
                <w:szCs w:val="20"/>
                <w:highlight w:val="none"/>
                <w:lang w:val="en-US" w:eastAsia="zh-CN"/>
              </w:rPr>
              <w:t>4、质保期：1年</w:t>
            </w:r>
          </w:p>
        </w:tc>
        <w:tc>
          <w:tcPr>
            <w:tcW w:w="1150" w:type="dxa"/>
            <w:vAlign w:val="center"/>
          </w:tcPr>
          <w:p w14:paraId="21C2E848">
            <w:pPr>
              <w:pStyle w:val="23"/>
              <w:widowControl w:val="0"/>
              <w:spacing w:line="240" w:lineRule="auto"/>
              <w:jc w:val="center"/>
              <w:rPr>
                <w:rFonts w:hint="eastAsia" w:ascii="微软雅黑" w:hAnsi="微软雅黑" w:eastAsia="微软雅黑" w:cs="微软雅黑"/>
                <w:sz w:val="20"/>
                <w:szCs w:val="20"/>
                <w:vertAlign w:val="baseline"/>
              </w:rPr>
            </w:pPr>
          </w:p>
        </w:tc>
        <w:tc>
          <w:tcPr>
            <w:tcW w:w="1100" w:type="dxa"/>
            <w:vAlign w:val="center"/>
          </w:tcPr>
          <w:p w14:paraId="5E96FA4D">
            <w:pPr>
              <w:pStyle w:val="23"/>
              <w:widowControl w:val="0"/>
              <w:spacing w:line="240" w:lineRule="auto"/>
              <w:jc w:val="center"/>
              <w:rPr>
                <w:rFonts w:hint="eastAsia" w:ascii="微软雅黑" w:hAnsi="微软雅黑" w:eastAsia="微软雅黑" w:cs="微软雅黑"/>
                <w:sz w:val="20"/>
                <w:szCs w:val="20"/>
                <w:vertAlign w:val="baseline"/>
              </w:rPr>
            </w:pPr>
          </w:p>
        </w:tc>
      </w:tr>
      <w:tr w14:paraId="1633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44" w:type="dxa"/>
            <w:vMerge w:val="continue"/>
            <w:vAlign w:val="center"/>
          </w:tcPr>
          <w:p w14:paraId="75B7042A">
            <w:pPr>
              <w:pStyle w:val="23"/>
              <w:widowControl w:val="0"/>
              <w:spacing w:line="240" w:lineRule="auto"/>
              <w:jc w:val="center"/>
              <w:rPr>
                <w:rFonts w:hint="eastAsia" w:ascii="微软雅黑" w:hAnsi="微软雅黑" w:eastAsia="微软雅黑" w:cs="微软雅黑"/>
                <w:sz w:val="20"/>
                <w:szCs w:val="20"/>
                <w:vertAlign w:val="baseline"/>
                <w:lang w:val="en-US" w:eastAsia="zh-CN"/>
              </w:rPr>
            </w:pPr>
          </w:p>
        </w:tc>
        <w:tc>
          <w:tcPr>
            <w:tcW w:w="1213" w:type="dxa"/>
            <w:vAlign w:val="center"/>
          </w:tcPr>
          <w:p w14:paraId="0A108762">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嘉玺</w:t>
            </w:r>
          </w:p>
        </w:tc>
        <w:tc>
          <w:tcPr>
            <w:tcW w:w="5150" w:type="dxa"/>
            <w:vAlign w:val="center"/>
          </w:tcPr>
          <w:p w14:paraId="69397320">
            <w:pPr>
              <w:pStyle w:val="23"/>
              <w:widowControl w:val="0"/>
              <w:spacing w:line="240" w:lineRule="auto"/>
              <w:jc w:val="center"/>
              <w:rPr>
                <w:rFonts w:hint="default" w:ascii="微软雅黑" w:hAnsi="微软雅黑" w:eastAsia="微软雅黑" w:cs="微软雅黑"/>
                <w:sz w:val="20"/>
                <w:szCs w:val="20"/>
                <w:vertAlign w:val="baseline"/>
                <w:lang w:val="en-US" w:eastAsia="zh-CN"/>
              </w:rPr>
            </w:pPr>
            <w:r>
              <w:rPr>
                <w:rFonts w:hint="eastAsia" w:ascii="微软雅黑" w:hAnsi="微软雅黑" w:eastAsia="微软雅黑" w:cs="微软雅黑"/>
                <w:b w:val="0"/>
                <w:bCs w:val="0"/>
                <w:color w:val="auto"/>
                <w:kern w:val="2"/>
                <w:sz w:val="20"/>
                <w:szCs w:val="20"/>
                <w:highlight w:val="none"/>
                <w:lang w:val="en-US" w:eastAsia="zh-CN"/>
              </w:rPr>
              <w:t>工牌10个，其余同上</w:t>
            </w:r>
          </w:p>
        </w:tc>
        <w:tc>
          <w:tcPr>
            <w:tcW w:w="1150" w:type="dxa"/>
            <w:vAlign w:val="center"/>
          </w:tcPr>
          <w:p w14:paraId="73E39027">
            <w:pPr>
              <w:pStyle w:val="23"/>
              <w:widowControl w:val="0"/>
              <w:spacing w:line="240" w:lineRule="auto"/>
              <w:jc w:val="center"/>
              <w:rPr>
                <w:rFonts w:hint="eastAsia" w:ascii="微软雅黑" w:hAnsi="微软雅黑" w:eastAsia="微软雅黑" w:cs="微软雅黑"/>
                <w:sz w:val="20"/>
                <w:szCs w:val="20"/>
                <w:vertAlign w:val="baseline"/>
              </w:rPr>
            </w:pPr>
          </w:p>
        </w:tc>
        <w:tc>
          <w:tcPr>
            <w:tcW w:w="1100" w:type="dxa"/>
            <w:vAlign w:val="center"/>
          </w:tcPr>
          <w:p w14:paraId="04D92DAF">
            <w:pPr>
              <w:pStyle w:val="23"/>
              <w:widowControl w:val="0"/>
              <w:spacing w:line="240" w:lineRule="auto"/>
              <w:jc w:val="center"/>
              <w:rPr>
                <w:rFonts w:hint="eastAsia" w:ascii="微软雅黑" w:hAnsi="微软雅黑" w:eastAsia="微软雅黑" w:cs="微软雅黑"/>
                <w:sz w:val="20"/>
                <w:szCs w:val="20"/>
                <w:vertAlign w:val="baseline"/>
              </w:rPr>
            </w:pPr>
          </w:p>
        </w:tc>
      </w:tr>
      <w:tr w14:paraId="45EB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44" w:type="dxa"/>
            <w:vMerge w:val="continue"/>
            <w:vAlign w:val="center"/>
          </w:tcPr>
          <w:p w14:paraId="1B7EF92A">
            <w:pPr>
              <w:pStyle w:val="23"/>
              <w:widowControl w:val="0"/>
              <w:spacing w:line="240" w:lineRule="auto"/>
              <w:jc w:val="center"/>
              <w:rPr>
                <w:rFonts w:hint="eastAsia" w:ascii="微软雅黑" w:hAnsi="微软雅黑" w:eastAsia="微软雅黑" w:cs="微软雅黑"/>
                <w:sz w:val="20"/>
                <w:szCs w:val="20"/>
                <w:vertAlign w:val="baseline"/>
                <w:lang w:val="en-US" w:eastAsia="zh-CN"/>
              </w:rPr>
            </w:pPr>
          </w:p>
        </w:tc>
        <w:tc>
          <w:tcPr>
            <w:tcW w:w="1213" w:type="dxa"/>
            <w:vAlign w:val="center"/>
          </w:tcPr>
          <w:p w14:paraId="0F18AA9D">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包河区BH202512号地块</w:t>
            </w:r>
          </w:p>
        </w:tc>
        <w:tc>
          <w:tcPr>
            <w:tcW w:w="5150" w:type="dxa"/>
            <w:vAlign w:val="center"/>
          </w:tcPr>
          <w:p w14:paraId="1D2005C8">
            <w:pPr>
              <w:pStyle w:val="23"/>
              <w:widowControl w:val="0"/>
              <w:spacing w:line="240" w:lineRule="auto"/>
              <w:jc w:val="center"/>
              <w:rPr>
                <w:rFonts w:hint="eastAsia" w:ascii="微软雅黑" w:hAnsi="微软雅黑" w:eastAsia="微软雅黑" w:cs="微软雅黑"/>
                <w:b w:val="0"/>
                <w:bCs w:val="0"/>
                <w:color w:val="auto"/>
                <w:kern w:val="2"/>
                <w:sz w:val="20"/>
                <w:szCs w:val="20"/>
                <w:highlight w:val="none"/>
                <w:lang w:val="en-US" w:eastAsia="zh-CN"/>
              </w:rPr>
            </w:pPr>
            <w:r>
              <w:rPr>
                <w:rFonts w:hint="eastAsia" w:ascii="微软雅黑" w:hAnsi="微软雅黑" w:eastAsia="微软雅黑" w:cs="微软雅黑"/>
                <w:b w:val="0"/>
                <w:bCs w:val="0"/>
                <w:color w:val="auto"/>
                <w:kern w:val="2"/>
                <w:sz w:val="20"/>
                <w:szCs w:val="20"/>
                <w:highlight w:val="none"/>
                <w:lang w:val="en-US" w:eastAsia="zh-CN"/>
              </w:rPr>
              <w:t>工牌10个（暂定），其余同上</w:t>
            </w:r>
          </w:p>
        </w:tc>
        <w:tc>
          <w:tcPr>
            <w:tcW w:w="1150" w:type="dxa"/>
            <w:vAlign w:val="center"/>
          </w:tcPr>
          <w:p w14:paraId="54667A12">
            <w:pPr>
              <w:pStyle w:val="23"/>
              <w:widowControl w:val="0"/>
              <w:spacing w:line="240" w:lineRule="auto"/>
              <w:jc w:val="center"/>
              <w:rPr>
                <w:rFonts w:hint="eastAsia" w:ascii="微软雅黑" w:hAnsi="微软雅黑" w:eastAsia="微软雅黑" w:cs="微软雅黑"/>
                <w:sz w:val="20"/>
                <w:szCs w:val="20"/>
                <w:vertAlign w:val="baseline"/>
              </w:rPr>
            </w:pPr>
          </w:p>
        </w:tc>
        <w:tc>
          <w:tcPr>
            <w:tcW w:w="1100" w:type="dxa"/>
            <w:vAlign w:val="center"/>
          </w:tcPr>
          <w:p w14:paraId="7842B7B7">
            <w:pPr>
              <w:pStyle w:val="23"/>
              <w:widowControl w:val="0"/>
              <w:spacing w:line="240" w:lineRule="auto"/>
              <w:jc w:val="center"/>
              <w:rPr>
                <w:rFonts w:hint="eastAsia" w:ascii="微软雅黑" w:hAnsi="微软雅黑" w:eastAsia="微软雅黑" w:cs="微软雅黑"/>
                <w:sz w:val="20"/>
                <w:szCs w:val="20"/>
                <w:vertAlign w:val="baseline"/>
              </w:rPr>
            </w:pPr>
          </w:p>
        </w:tc>
      </w:tr>
      <w:tr w14:paraId="060C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44" w:type="dxa"/>
            <w:vMerge w:val="continue"/>
            <w:vAlign w:val="center"/>
          </w:tcPr>
          <w:p w14:paraId="170A73A8">
            <w:pPr>
              <w:pStyle w:val="23"/>
              <w:widowControl w:val="0"/>
              <w:spacing w:line="240" w:lineRule="auto"/>
              <w:jc w:val="center"/>
              <w:rPr>
                <w:rFonts w:hint="eastAsia" w:ascii="微软雅黑" w:hAnsi="微软雅黑" w:eastAsia="微软雅黑" w:cs="微软雅黑"/>
                <w:sz w:val="20"/>
                <w:szCs w:val="20"/>
                <w:vertAlign w:val="baseline"/>
                <w:lang w:val="en-US" w:eastAsia="zh-CN"/>
              </w:rPr>
            </w:pPr>
          </w:p>
        </w:tc>
        <w:tc>
          <w:tcPr>
            <w:tcW w:w="1213" w:type="dxa"/>
            <w:vAlign w:val="center"/>
          </w:tcPr>
          <w:p w14:paraId="1886C9EF">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合柴拾间</w:t>
            </w:r>
          </w:p>
        </w:tc>
        <w:tc>
          <w:tcPr>
            <w:tcW w:w="5150" w:type="dxa"/>
            <w:vAlign w:val="center"/>
          </w:tcPr>
          <w:p w14:paraId="0C2A3FC6">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b w:val="0"/>
                <w:bCs w:val="0"/>
                <w:color w:val="auto"/>
                <w:kern w:val="2"/>
                <w:sz w:val="20"/>
                <w:szCs w:val="20"/>
                <w:highlight w:val="none"/>
                <w:lang w:val="en-US" w:eastAsia="zh-CN"/>
              </w:rPr>
              <w:t>工牌10个（暂定），其余同上</w:t>
            </w:r>
          </w:p>
        </w:tc>
        <w:tc>
          <w:tcPr>
            <w:tcW w:w="1150" w:type="dxa"/>
            <w:vAlign w:val="center"/>
          </w:tcPr>
          <w:p w14:paraId="77DABA1D">
            <w:pPr>
              <w:pStyle w:val="23"/>
              <w:widowControl w:val="0"/>
              <w:spacing w:line="240" w:lineRule="auto"/>
              <w:jc w:val="center"/>
              <w:rPr>
                <w:rFonts w:hint="eastAsia" w:ascii="微软雅黑" w:hAnsi="微软雅黑" w:eastAsia="微软雅黑" w:cs="微软雅黑"/>
                <w:sz w:val="20"/>
                <w:szCs w:val="20"/>
                <w:vertAlign w:val="baseline"/>
              </w:rPr>
            </w:pPr>
          </w:p>
        </w:tc>
        <w:tc>
          <w:tcPr>
            <w:tcW w:w="1100" w:type="dxa"/>
            <w:vAlign w:val="center"/>
          </w:tcPr>
          <w:p w14:paraId="475DC7A9">
            <w:pPr>
              <w:pStyle w:val="23"/>
              <w:widowControl w:val="0"/>
              <w:spacing w:line="240" w:lineRule="auto"/>
              <w:jc w:val="center"/>
              <w:rPr>
                <w:rFonts w:hint="eastAsia" w:ascii="微软雅黑" w:hAnsi="微软雅黑" w:eastAsia="微软雅黑" w:cs="微软雅黑"/>
                <w:sz w:val="20"/>
                <w:szCs w:val="20"/>
                <w:vertAlign w:val="baseline"/>
              </w:rPr>
            </w:pPr>
          </w:p>
        </w:tc>
      </w:tr>
      <w:tr w14:paraId="212E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07" w:type="dxa"/>
            <w:gridSpan w:val="3"/>
            <w:vAlign w:val="center"/>
          </w:tcPr>
          <w:p w14:paraId="75CE0D8B">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税率</w:t>
            </w:r>
          </w:p>
        </w:tc>
        <w:tc>
          <w:tcPr>
            <w:tcW w:w="2250" w:type="dxa"/>
            <w:gridSpan w:val="2"/>
            <w:vAlign w:val="center"/>
          </w:tcPr>
          <w:p w14:paraId="2030F9A7">
            <w:pPr>
              <w:pStyle w:val="23"/>
              <w:widowControl w:val="0"/>
              <w:spacing w:line="240" w:lineRule="auto"/>
              <w:jc w:val="center"/>
              <w:rPr>
                <w:rFonts w:hint="eastAsia" w:ascii="微软雅黑" w:hAnsi="微软雅黑" w:eastAsia="微软雅黑" w:cs="微软雅黑"/>
                <w:sz w:val="20"/>
                <w:szCs w:val="20"/>
                <w:vertAlign w:val="baseline"/>
              </w:rPr>
            </w:pPr>
          </w:p>
        </w:tc>
      </w:tr>
      <w:tr w14:paraId="03E7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07" w:type="dxa"/>
            <w:gridSpan w:val="3"/>
            <w:vAlign w:val="center"/>
          </w:tcPr>
          <w:p w14:paraId="4BF02A6A">
            <w:pPr>
              <w:pStyle w:val="23"/>
              <w:widowControl w:val="0"/>
              <w:spacing w:line="240" w:lineRule="auto"/>
              <w:jc w:val="center"/>
              <w:rPr>
                <w:rFonts w:hint="eastAsia" w:ascii="微软雅黑" w:hAnsi="微软雅黑" w:eastAsia="微软雅黑" w:cs="微软雅黑"/>
                <w:sz w:val="20"/>
                <w:szCs w:val="20"/>
                <w:vertAlign w:val="baseline"/>
                <w:lang w:val="en-US" w:eastAsia="zh-CN"/>
              </w:rPr>
            </w:pPr>
            <w:r>
              <w:rPr>
                <w:rFonts w:hint="eastAsia" w:ascii="微软雅黑" w:hAnsi="微软雅黑" w:eastAsia="微软雅黑" w:cs="微软雅黑"/>
                <w:sz w:val="20"/>
                <w:szCs w:val="20"/>
                <w:vertAlign w:val="baseline"/>
                <w:lang w:val="en-US" w:eastAsia="zh-CN"/>
              </w:rPr>
              <w:t>总计金额（含税）</w:t>
            </w:r>
          </w:p>
        </w:tc>
        <w:tc>
          <w:tcPr>
            <w:tcW w:w="2250" w:type="dxa"/>
            <w:gridSpan w:val="2"/>
            <w:vAlign w:val="center"/>
          </w:tcPr>
          <w:p w14:paraId="0C2783C1">
            <w:pPr>
              <w:pStyle w:val="23"/>
              <w:widowControl w:val="0"/>
              <w:spacing w:line="240" w:lineRule="auto"/>
              <w:jc w:val="center"/>
              <w:rPr>
                <w:rFonts w:hint="eastAsia" w:ascii="微软雅黑" w:hAnsi="微软雅黑" w:eastAsia="微软雅黑" w:cs="微软雅黑"/>
                <w:sz w:val="20"/>
                <w:szCs w:val="20"/>
                <w:vertAlign w:val="baseline"/>
              </w:rPr>
            </w:pPr>
          </w:p>
        </w:tc>
      </w:tr>
    </w:tbl>
    <w:p w14:paraId="256DA615">
      <w:pPr>
        <w:widowControl w:val="0"/>
        <w:spacing w:line="360" w:lineRule="auto"/>
        <w:rPr>
          <w:rFonts w:hint="eastAsia" w:ascii="微软雅黑" w:hAnsi="微软雅黑" w:eastAsia="微软雅黑" w:cs="微软雅黑"/>
          <w:b/>
          <w:sz w:val="22"/>
          <w:szCs w:val="22"/>
        </w:rPr>
      </w:pPr>
    </w:p>
    <w:p w14:paraId="598AA076">
      <w:pPr>
        <w:pStyle w:val="13"/>
        <w:spacing w:before="185" w:line="360" w:lineRule="auto"/>
        <w:ind w:left="122" w:right="83" w:firstLine="480"/>
        <w:rPr>
          <w:rFonts w:hint="eastAsia" w:ascii="微软雅黑" w:hAnsi="微软雅黑" w:eastAsia="微软雅黑" w:cs="微软雅黑"/>
          <w:b/>
          <w:bCs/>
          <w:sz w:val="24"/>
          <w:szCs w:val="24"/>
        </w:rPr>
      </w:pPr>
      <w:r>
        <w:rPr>
          <w:rFonts w:hint="eastAsia" w:ascii="微软雅黑" w:hAnsi="微软雅黑" w:eastAsia="微软雅黑" w:cs="微软雅黑"/>
          <w:b/>
          <w:bCs/>
          <w:spacing w:val="3"/>
          <w:sz w:val="24"/>
          <w:szCs w:val="24"/>
        </w:rPr>
        <w:t>注：以上需求为最低要求，相关功能包括但不</w:t>
      </w:r>
      <w:r>
        <w:rPr>
          <w:rFonts w:hint="eastAsia" w:ascii="微软雅黑" w:hAnsi="微软雅黑" w:eastAsia="微软雅黑" w:cs="微软雅黑"/>
          <w:b/>
          <w:bCs/>
          <w:spacing w:val="2"/>
          <w:sz w:val="24"/>
          <w:szCs w:val="24"/>
        </w:rPr>
        <w:t>限于以上选项，投标方需提</w:t>
      </w:r>
      <w:r>
        <w:rPr>
          <w:rFonts w:hint="eastAsia" w:ascii="微软雅黑" w:hAnsi="微软雅黑" w:eastAsia="微软雅黑" w:cs="微软雅黑"/>
          <w:b/>
          <w:bCs/>
          <w:spacing w:val="-2"/>
          <w:sz w:val="24"/>
          <w:szCs w:val="24"/>
        </w:rPr>
        <w:t>供完整解决方案及优化建议，确保系统兼容性、稳定性及可扩展性。</w:t>
      </w:r>
    </w:p>
    <w:p w14:paraId="75CF8744">
      <w:pPr>
        <w:widowControl w:val="0"/>
        <w:spacing w:line="360" w:lineRule="auto"/>
        <w:ind w:firstLine="440"/>
        <w:rPr>
          <w:rFonts w:hint="eastAsia" w:ascii="微软雅黑" w:hAnsi="微软雅黑" w:eastAsia="微软雅黑" w:cs="微软雅黑"/>
          <w:b/>
          <w:sz w:val="22"/>
          <w:szCs w:val="22"/>
        </w:rPr>
      </w:pPr>
    </w:p>
    <w:p w14:paraId="04E43B30">
      <w:pPr>
        <w:rPr>
          <w:rFonts w:hint="eastAsia" w:ascii="宋体" w:hAnsi="宋体" w:eastAsia="宋体" w:cs="宋体"/>
          <w:b/>
          <w:sz w:val="36"/>
          <w:szCs w:val="36"/>
          <w:lang w:eastAsia="zh-CN"/>
        </w:rPr>
      </w:pPr>
      <w:bookmarkStart w:id="33" w:name="_Toc501460777"/>
      <w:bookmarkStart w:id="34" w:name="_Toc247514197"/>
      <w:bookmarkStart w:id="35" w:name="_Toc144974829"/>
      <w:bookmarkStart w:id="36" w:name="_Toc246997081"/>
      <w:bookmarkStart w:id="37" w:name="_Toc144974578"/>
      <w:bookmarkStart w:id="38" w:name="_Toc247085853"/>
      <w:bookmarkStart w:id="39" w:name="_Toc247527798"/>
      <w:bookmarkStart w:id="40" w:name="_Toc246996338"/>
      <w:bookmarkStart w:id="41" w:name="_Toc179632787"/>
      <w:bookmarkStart w:id="42" w:name="_Toc152042549"/>
      <w:bookmarkStart w:id="43" w:name="_Toc152045610"/>
      <w:bookmarkStart w:id="44" w:name="_Toc152042388"/>
      <w:bookmarkStart w:id="45" w:name="_Toc184635122"/>
      <w:bookmarkStart w:id="46" w:name="_Toc300835199"/>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eastAsia="zh-CN"/>
        </w:rPr>
        <w:t>智慧工牌系统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p w14:paraId="7E186770">
      <w:pPr>
        <w:keepNext w:val="0"/>
        <w:keepLines w:val="0"/>
        <w:widowControl/>
        <w:suppressLineNumbers w:val="0"/>
        <w:spacing w:line="240" w:lineRule="auto"/>
        <w:jc w:val="left"/>
        <w:rPr>
          <w:rFonts w:hint="eastAsia" w:ascii="微软雅黑" w:hAnsi="微软雅黑" w:eastAsia="微软雅黑" w:cs="微软雅黑"/>
          <w:b/>
          <w:color w:val="000000"/>
          <w:szCs w:val="21"/>
          <w:lang w:val="en-US" w:eastAsia="zh-CN"/>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合肥市包河区城市更新建设有限公司</w:t>
      </w:r>
    </w:p>
    <w:p w14:paraId="7F77C1A6">
      <w:pPr>
        <w:keepNext w:val="0"/>
        <w:keepLines w:val="0"/>
        <w:widowControl/>
        <w:suppressLineNumbers w:val="0"/>
        <w:spacing w:line="240" w:lineRule="auto"/>
        <w:ind w:firstLine="630" w:firstLineChars="300"/>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lang w:val="en-US" w:eastAsia="zh-CN"/>
        </w:rPr>
        <w:t xml:space="preserve">合肥滨投文化创意发展有限公司   </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10"/>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7" w:name="OLE_LINK4"/>
      <w:bookmarkStart w:id="48"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11"/>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10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895"/>
        <w:gridCol w:w="1944"/>
        <w:gridCol w:w="1944"/>
        <w:gridCol w:w="1945"/>
      </w:tblGrid>
      <w:tr w14:paraId="3874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85" w:type="dxa"/>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2895" w:type="dxa"/>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1944" w:type="dxa"/>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1944" w:type="dxa"/>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1945" w:type="dxa"/>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r>
      <w:tr w14:paraId="6B8B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vMerge w:val="restart"/>
            <w:noWrap/>
            <w:vAlign w:val="center"/>
          </w:tcPr>
          <w:p w14:paraId="308DEE4B">
            <w:pPr>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智慧工牌</w:t>
            </w:r>
          </w:p>
        </w:tc>
        <w:tc>
          <w:tcPr>
            <w:tcW w:w="2895" w:type="dxa"/>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珺玺中心</w:t>
            </w:r>
          </w:p>
        </w:tc>
        <w:tc>
          <w:tcPr>
            <w:tcW w:w="1944" w:type="dxa"/>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1944" w:type="dxa"/>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1945" w:type="dxa"/>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B67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2895" w:type="dxa"/>
            <w:shd w:val="clear" w:color="auto" w:fill="auto"/>
            <w:noWrap/>
            <w:vAlign w:val="center"/>
          </w:tcPr>
          <w:p w14:paraId="27F55C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嘉玺</w:t>
            </w:r>
          </w:p>
        </w:tc>
        <w:tc>
          <w:tcPr>
            <w:tcW w:w="1944" w:type="dxa"/>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1944" w:type="dxa"/>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1945" w:type="dxa"/>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9A3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2895" w:type="dxa"/>
            <w:shd w:val="clear" w:color="auto" w:fill="auto"/>
            <w:noWrap/>
            <w:vAlign w:val="center"/>
          </w:tcPr>
          <w:p w14:paraId="130E5907">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包河区BH202512号地块</w:t>
            </w:r>
          </w:p>
        </w:tc>
        <w:tc>
          <w:tcPr>
            <w:tcW w:w="1944" w:type="dxa"/>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1944" w:type="dxa"/>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1945" w:type="dxa"/>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931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vMerge w:val="continue"/>
            <w:noWrap/>
            <w:vAlign w:val="center"/>
          </w:tcPr>
          <w:p w14:paraId="5BB39244">
            <w:pPr>
              <w:rPr>
                <w:rFonts w:hint="eastAsia" w:ascii="微软雅黑" w:hAnsi="微软雅黑" w:eastAsia="微软雅黑" w:cs="微软雅黑"/>
                <w:kern w:val="2"/>
                <w:sz w:val="21"/>
                <w:szCs w:val="21"/>
                <w:highlight w:val="none"/>
                <w:lang w:val="en-US" w:eastAsia="zh-CN" w:bidi="ar-SA"/>
              </w:rPr>
            </w:pPr>
          </w:p>
        </w:tc>
        <w:tc>
          <w:tcPr>
            <w:tcW w:w="2895" w:type="dxa"/>
            <w:shd w:val="clear" w:color="auto" w:fill="auto"/>
            <w:noWrap/>
            <w:vAlign w:val="center"/>
          </w:tcPr>
          <w:p w14:paraId="51F6F0E5">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合柴拾间</w:t>
            </w:r>
          </w:p>
        </w:tc>
        <w:tc>
          <w:tcPr>
            <w:tcW w:w="1944" w:type="dxa"/>
            <w:noWrap/>
            <w:vAlign w:val="center"/>
          </w:tcPr>
          <w:p w14:paraId="77A01D76">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1944" w:type="dxa"/>
            <w:noWrap/>
            <w:vAlign w:val="center"/>
          </w:tcPr>
          <w:p w14:paraId="6DA7A4A9">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1945" w:type="dxa"/>
            <w:noWrap w:val="0"/>
            <w:vAlign w:val="center"/>
          </w:tcPr>
          <w:p w14:paraId="144F31B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2977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68" w:type="dxa"/>
            <w:gridSpan w:val="4"/>
            <w:noWrap/>
            <w:vAlign w:val="center"/>
          </w:tcPr>
          <w:p w14:paraId="4EE184B0">
            <w:pPr>
              <w:widowControl/>
              <w:spacing w:before="156" w:beforeLines="50" w:after="156" w:afterLines="50" w:line="360" w:lineRule="exact"/>
              <w:jc w:val="center"/>
              <w:rPr>
                <w:rFonts w:hint="eastAsia" w:ascii="微软雅黑" w:hAnsi="微软雅黑" w:eastAsia="微软雅黑" w:cs="微软雅黑"/>
                <w:b/>
                <w:bCs/>
                <w:kern w:val="0"/>
                <w:sz w:val="21"/>
                <w:szCs w:val="21"/>
                <w:highlight w:val="none"/>
                <w:lang w:eastAsia="zh-Hans"/>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1945" w:type="dxa"/>
            <w:noWrap w:val="0"/>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11"/>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11"/>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其中珺玺中心续费金额为：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嘉玺续费金额为：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包河区BH202512号地块续费金额为：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合柴拾间续费金额为：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p w14:paraId="1C42489C">
      <w:pPr>
        <w:pStyle w:val="77"/>
        <w:numPr>
          <w:ilvl w:val="0"/>
          <w:numId w:val="11"/>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highlight w:val="none"/>
          <w:lang w:val="en-GB"/>
        </w:rPr>
      </w:pPr>
      <w:r>
        <w:rPr>
          <w:rFonts w:hint="eastAsia" w:ascii="微软雅黑" w:hAnsi="微软雅黑" w:eastAsia="微软雅黑" w:cs="微软雅黑"/>
          <w:b w:val="0"/>
          <w:bCs w:val="0"/>
          <w:szCs w:val="21"/>
          <w:highlight w:val="none"/>
          <w:lang w:val="en-US" w:eastAsia="zh-CN"/>
        </w:rPr>
        <w:t>服务期限到期后，</w:t>
      </w:r>
      <w:r>
        <w:rPr>
          <w:rFonts w:hint="eastAsia" w:ascii="微软雅黑" w:hAnsi="微软雅黑" w:eastAsia="微软雅黑" w:cs="微软雅黑"/>
          <w:szCs w:val="21"/>
          <w:highlight w:val="none"/>
          <w:lang w:val="en-US" w:eastAsia="zh-CN"/>
        </w:rPr>
        <w:t>珺玺中心、嘉玺、</w:t>
      </w:r>
      <w:r>
        <w:rPr>
          <w:rFonts w:hint="eastAsia" w:ascii="微软雅黑" w:hAnsi="微软雅黑" w:eastAsia="微软雅黑" w:cs="微软雅黑"/>
          <w:color w:val="000000"/>
          <w:sz w:val="22"/>
          <w:szCs w:val="22"/>
          <w:highlight w:val="none"/>
          <w:lang w:val="en-US" w:eastAsia="zh-CN"/>
        </w:rPr>
        <w:t>包河区BH202512号地块、</w:t>
      </w:r>
      <w:r>
        <w:rPr>
          <w:rFonts w:hint="eastAsia" w:ascii="微软雅黑" w:hAnsi="微软雅黑" w:eastAsia="微软雅黑" w:cs="微软雅黑"/>
          <w:szCs w:val="21"/>
          <w:highlight w:val="none"/>
          <w:lang w:val="en-US" w:eastAsia="zh-CN"/>
        </w:rPr>
        <w:t>合柴拾间4个项目根据甲方需求独立续签合同、分别续签，续签金额、周期、付款等均按项目独立执行。</w:t>
      </w:r>
    </w:p>
    <w:bookmarkEnd w:id="47"/>
    <w:bookmarkEnd w:id="48"/>
    <w:p w14:paraId="13F0918C">
      <w:pPr>
        <w:widowControl/>
        <w:numPr>
          <w:ilvl w:val="0"/>
          <w:numId w:val="10"/>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9" w:name="_Toc241620184"/>
      <w:r>
        <w:rPr>
          <w:rFonts w:hint="eastAsia" w:ascii="微软雅黑" w:hAnsi="微软雅黑" w:eastAsia="微软雅黑" w:cs="微软雅黑"/>
          <w:b/>
          <w:szCs w:val="21"/>
        </w:rPr>
        <w:t>付款方式</w:t>
      </w:r>
    </w:p>
    <w:p w14:paraId="4484DAA7">
      <w:pPr>
        <w:pStyle w:val="77"/>
        <w:numPr>
          <w:ilvl w:val="1"/>
          <w:numId w:val="12"/>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12"/>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FD2AC87">
      <w:pPr>
        <w:pStyle w:val="77"/>
        <w:numPr>
          <w:ilvl w:val="1"/>
          <w:numId w:val="12"/>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highlight w:val="none"/>
          <w:lang w:val="en-GB"/>
        </w:rPr>
      </w:pPr>
      <w:r>
        <w:rPr>
          <w:rFonts w:hint="eastAsia" w:ascii="微软雅黑" w:hAnsi="微软雅黑" w:eastAsia="微软雅黑" w:cs="微软雅黑"/>
          <w:szCs w:val="21"/>
          <w:highlight w:val="none"/>
          <w:lang w:val="en-US" w:eastAsia="zh-CN"/>
        </w:rPr>
        <w:t>珺玺中心、嘉玺、</w:t>
      </w:r>
      <w:r>
        <w:rPr>
          <w:rFonts w:hint="eastAsia" w:ascii="微软雅黑" w:hAnsi="微软雅黑" w:eastAsia="微软雅黑" w:cs="微软雅黑"/>
          <w:color w:val="000000"/>
          <w:sz w:val="22"/>
          <w:szCs w:val="22"/>
          <w:highlight w:val="none"/>
          <w:lang w:val="en-US" w:eastAsia="zh-CN"/>
        </w:rPr>
        <w:t>包河区BH202512号地块、</w:t>
      </w:r>
      <w:r>
        <w:rPr>
          <w:rFonts w:hint="eastAsia" w:ascii="微软雅黑" w:hAnsi="微软雅黑" w:eastAsia="微软雅黑" w:cs="微软雅黑"/>
          <w:szCs w:val="21"/>
          <w:highlight w:val="none"/>
          <w:lang w:val="en-US" w:eastAsia="zh-CN"/>
        </w:rPr>
        <w:t>合柴拾间4个项目分开付款，乙方需按项目分别提供发票、分别付款；</w:t>
      </w:r>
    </w:p>
    <w:p w14:paraId="0C9F8568">
      <w:pPr>
        <w:numPr>
          <w:ilvl w:val="1"/>
          <w:numId w:val="12"/>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10"/>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3"/>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智慧工牌系统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智慧工牌系统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3"/>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9"/>
    <w:p w14:paraId="555C2192">
      <w:pPr>
        <w:widowControl/>
        <w:numPr>
          <w:ilvl w:val="0"/>
          <w:numId w:val="10"/>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4"/>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4"/>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4"/>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4"/>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4"/>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4"/>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4"/>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4"/>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4"/>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10"/>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10"/>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10"/>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7"/>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FE55CBD8"/>
    <w:multiLevelType w:val="singleLevel"/>
    <w:tmpl w:val="FE55CBD8"/>
    <w:lvl w:ilvl="0" w:tentative="0">
      <w:start w:val="1"/>
      <w:numFmt w:val="decimal"/>
      <w:suff w:val="nothing"/>
      <w:lvlText w:val="（%1）"/>
      <w:lvlJc w:val="left"/>
      <w:rPr>
        <w:rFonts w:hint="default"/>
        <w:sz w:val="22"/>
        <w:szCs w:val="22"/>
      </w:rPr>
    </w:lvl>
  </w:abstractNum>
  <w:abstractNum w:abstractNumId="4">
    <w:nsid w:val="00000006"/>
    <w:multiLevelType w:val="singleLevel"/>
    <w:tmpl w:val="00000006"/>
    <w:lvl w:ilvl="0" w:tentative="0">
      <w:start w:val="1"/>
      <w:numFmt w:val="decimal"/>
      <w:lvlText w:val="%1."/>
      <w:lvlJc w:val="left"/>
      <w:pPr>
        <w:ind w:left="1055" w:hanging="425"/>
      </w:pPr>
      <w:rPr>
        <w:rFonts w:hint="default"/>
      </w:rPr>
    </w:lvl>
  </w:abstractNum>
  <w:abstractNum w:abstractNumId="5">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6">
    <w:nsid w:val="00000018"/>
    <w:multiLevelType w:val="singleLevel"/>
    <w:tmpl w:val="00000018"/>
    <w:lvl w:ilvl="0" w:tentative="0">
      <w:start w:val="1"/>
      <w:numFmt w:val="decimal"/>
      <w:lvlText w:val="%1."/>
      <w:lvlJc w:val="left"/>
      <w:pPr>
        <w:ind w:left="845" w:hanging="425"/>
      </w:pPr>
      <w:rPr>
        <w:rFonts w:hint="default" w:ascii="微软雅黑" w:hAnsi="微软雅黑" w:eastAsia="微软雅黑" w:cs="微软雅黑"/>
        <w:b w:val="0"/>
        <w:bCs w:val="0"/>
        <w:sz w:val="22"/>
        <w:szCs w:val="22"/>
      </w:rPr>
    </w:lvl>
  </w:abstractNum>
  <w:abstractNum w:abstractNumId="7">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68EFB3B"/>
    <w:multiLevelType w:val="singleLevel"/>
    <w:tmpl w:val="168EFB3B"/>
    <w:lvl w:ilvl="0" w:tentative="0">
      <w:start w:val="1"/>
      <w:numFmt w:val="chineseCounting"/>
      <w:suff w:val="space"/>
      <w:lvlText w:val="第%1章"/>
      <w:lvlJc w:val="left"/>
      <w:rPr>
        <w:rFonts w:hint="eastAsia"/>
      </w:rPr>
    </w:lvl>
  </w:abstractNum>
  <w:abstractNum w:abstractNumId="9">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
  </w:num>
  <w:num w:numId="3">
    <w:abstractNumId w:val="13"/>
  </w:num>
  <w:num w:numId="4">
    <w:abstractNumId w:val="5"/>
  </w:num>
  <w:num w:numId="5">
    <w:abstractNumId w:val="4"/>
  </w:num>
  <w:num w:numId="6">
    <w:abstractNumId w:val="6"/>
  </w:num>
  <w:num w:numId="7">
    <w:abstractNumId w:val="3"/>
  </w:num>
  <w:num w:numId="8">
    <w:abstractNumId w:val="0"/>
  </w:num>
  <w:num w:numId="9">
    <w:abstractNumId w:val="1"/>
  </w:num>
  <w:num w:numId="10">
    <w:abstractNumId w:val="14"/>
  </w:num>
  <w:num w:numId="11">
    <w:abstractNumId w:val="7"/>
  </w:num>
  <w:num w:numId="12">
    <w:abstractNumId w:val="10"/>
  </w:num>
  <w:num w:numId="13">
    <w:abstractNumId w:val="16"/>
  </w:num>
  <w:num w:numId="14">
    <w:abstractNumId w:val="12"/>
  </w:num>
  <w:num w:numId="15">
    <w:abstractNumId w:val="1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2F30758"/>
    <w:rsid w:val="03A81E16"/>
    <w:rsid w:val="04846602"/>
    <w:rsid w:val="06677B55"/>
    <w:rsid w:val="0AD7450A"/>
    <w:rsid w:val="0CA82AC4"/>
    <w:rsid w:val="0CCC783D"/>
    <w:rsid w:val="0DBB1446"/>
    <w:rsid w:val="0E4B63E2"/>
    <w:rsid w:val="0E835DB0"/>
    <w:rsid w:val="0FA06742"/>
    <w:rsid w:val="10AE6120"/>
    <w:rsid w:val="10DC4D6D"/>
    <w:rsid w:val="11437FDD"/>
    <w:rsid w:val="11BF74BA"/>
    <w:rsid w:val="13801830"/>
    <w:rsid w:val="14135500"/>
    <w:rsid w:val="145324C0"/>
    <w:rsid w:val="148B75BC"/>
    <w:rsid w:val="178F4411"/>
    <w:rsid w:val="19AF06A3"/>
    <w:rsid w:val="1B973287"/>
    <w:rsid w:val="1BB03DF0"/>
    <w:rsid w:val="1C0E2142"/>
    <w:rsid w:val="1DB326ED"/>
    <w:rsid w:val="1E027E59"/>
    <w:rsid w:val="1E2307E2"/>
    <w:rsid w:val="1EDA5344"/>
    <w:rsid w:val="20A26995"/>
    <w:rsid w:val="216D64F7"/>
    <w:rsid w:val="22936046"/>
    <w:rsid w:val="233F732B"/>
    <w:rsid w:val="23754E06"/>
    <w:rsid w:val="24183AA4"/>
    <w:rsid w:val="24294678"/>
    <w:rsid w:val="26DA0EF9"/>
    <w:rsid w:val="27756BD0"/>
    <w:rsid w:val="29351A27"/>
    <w:rsid w:val="2B8101D0"/>
    <w:rsid w:val="2C7F154B"/>
    <w:rsid w:val="2D7A4752"/>
    <w:rsid w:val="2E670113"/>
    <w:rsid w:val="2F565974"/>
    <w:rsid w:val="328048CA"/>
    <w:rsid w:val="340C668B"/>
    <w:rsid w:val="34841DF8"/>
    <w:rsid w:val="34E55CBD"/>
    <w:rsid w:val="35185979"/>
    <w:rsid w:val="35B72ADD"/>
    <w:rsid w:val="35D92DDF"/>
    <w:rsid w:val="362679F2"/>
    <w:rsid w:val="364D1A66"/>
    <w:rsid w:val="366C4B34"/>
    <w:rsid w:val="36C6190C"/>
    <w:rsid w:val="38B05B5E"/>
    <w:rsid w:val="390E601C"/>
    <w:rsid w:val="3951646F"/>
    <w:rsid w:val="39CB4418"/>
    <w:rsid w:val="3DD26770"/>
    <w:rsid w:val="3EAA2AF7"/>
    <w:rsid w:val="41280C70"/>
    <w:rsid w:val="413F40CA"/>
    <w:rsid w:val="42825B5F"/>
    <w:rsid w:val="42DA7A6B"/>
    <w:rsid w:val="42FD72C9"/>
    <w:rsid w:val="44363A36"/>
    <w:rsid w:val="44380293"/>
    <w:rsid w:val="44FF48D5"/>
    <w:rsid w:val="463D43E9"/>
    <w:rsid w:val="47344AD0"/>
    <w:rsid w:val="47C32A20"/>
    <w:rsid w:val="48D27575"/>
    <w:rsid w:val="49AF59EA"/>
    <w:rsid w:val="4B4038E1"/>
    <w:rsid w:val="4C573B2F"/>
    <w:rsid w:val="4D061577"/>
    <w:rsid w:val="4EEB299E"/>
    <w:rsid w:val="4F8537C2"/>
    <w:rsid w:val="4FC610F0"/>
    <w:rsid w:val="508C0B11"/>
    <w:rsid w:val="514E2DFA"/>
    <w:rsid w:val="52121074"/>
    <w:rsid w:val="52457E67"/>
    <w:rsid w:val="52A32E2E"/>
    <w:rsid w:val="54F71AA5"/>
    <w:rsid w:val="55A726C6"/>
    <w:rsid w:val="56710779"/>
    <w:rsid w:val="56BA279D"/>
    <w:rsid w:val="571275F0"/>
    <w:rsid w:val="571961BE"/>
    <w:rsid w:val="57E131EF"/>
    <w:rsid w:val="5A292701"/>
    <w:rsid w:val="5A64617C"/>
    <w:rsid w:val="5DDA2B31"/>
    <w:rsid w:val="5EC20B10"/>
    <w:rsid w:val="60256EF4"/>
    <w:rsid w:val="665222AE"/>
    <w:rsid w:val="69A668E3"/>
    <w:rsid w:val="6B7F31B3"/>
    <w:rsid w:val="6DDB2AEC"/>
    <w:rsid w:val="6F2179F2"/>
    <w:rsid w:val="70660DD2"/>
    <w:rsid w:val="71056437"/>
    <w:rsid w:val="736336EB"/>
    <w:rsid w:val="7401172F"/>
    <w:rsid w:val="75F0011F"/>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6090</Words>
  <Characters>6290</Characters>
  <Lines>142</Lines>
  <Paragraphs>97</Paragraphs>
  <TotalTime>17</TotalTime>
  <ScaleCrop>false</ScaleCrop>
  <LinksUpToDate>false</LinksUpToDate>
  <CharactersWithSpaces>6934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Administrator</cp:lastModifiedBy>
  <cp:lastPrinted>2024-01-30T08:05:00Z</cp:lastPrinted>
  <dcterms:modified xsi:type="dcterms:W3CDTF">2026-01-19T06:39:17Z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28742583ABBC4C559DE61D1F256E2EE2_13</vt:lpwstr>
  </property>
  <property fmtid="{D5CDD505-2E9C-101B-9397-08002B2CF9AE}" pid="4" name="KSOTemplateDocerSaveRecord">
    <vt:lpwstr>eyJoZGlkIjoiYzdkM2VkZmU0NzkyODIxNWEyYWVmZDY0MTY0YjJlNzQiLCJ1c2VySWQiOiIxNTc1OTMyMTg0In0=</vt:lpwstr>
  </property>
</Properties>
</file>