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1272"/>
        <w:gridCol w:w="1014"/>
        <w:gridCol w:w="1191"/>
        <w:gridCol w:w="804"/>
        <w:gridCol w:w="2870"/>
        <w:gridCol w:w="181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941"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after="160" w:line="240" w:lineRule="auto"/>
              <w:jc w:val="center"/>
              <w:textAlignment w:val="center"/>
              <w:rPr>
                <w:rFonts w:hint="eastAsia" w:ascii="宋体" w:hAnsi="宋体" w:eastAsia="宋体" w:cs="宋体"/>
                <w:b/>
                <w:bCs/>
                <w:i w:val="0"/>
                <w:iCs w:val="0"/>
                <w:color w:val="000000"/>
                <w:kern w:val="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城市更新项目朋友圈信息流广告投放报价单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微软雅黑" w:hAnsi="微软雅黑" w:eastAsia="微软雅黑" w:cs="微软雅黑"/>
                <w:i w:val="0"/>
                <w:iCs w:val="0"/>
                <w:color w:val="000000"/>
                <w:kern w:val="0"/>
                <w:sz w:val="21"/>
                <w:szCs w:val="21"/>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微软雅黑" w:hAnsi="微软雅黑" w:eastAsia="微软雅黑" w:cs="微软雅黑"/>
                <w:i w:val="0"/>
                <w:iCs w:val="0"/>
                <w:color w:val="000000"/>
                <w:kern w:val="0"/>
                <w:sz w:val="21"/>
                <w:szCs w:val="21"/>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微软雅黑" w:hAnsi="微软雅黑" w:eastAsia="微软雅黑" w:cs="微软雅黑"/>
                <w:i w:val="0"/>
                <w:iCs w:val="0"/>
                <w:color w:val="000000"/>
                <w:kern w:val="0"/>
                <w:sz w:val="21"/>
                <w:szCs w:val="21"/>
                <w:u w:val="none"/>
                <w:lang w:val="en-US" w:eastAsia="zh-CN" w:bidi="ar"/>
              </w:rPr>
              <w:t>公司办公地址：</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事项</w:t>
            </w:r>
          </w:p>
        </w:tc>
        <w:tc>
          <w:tcPr>
            <w:tcW w:w="1272"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报价项</w:t>
            </w:r>
          </w:p>
        </w:tc>
        <w:tc>
          <w:tcPr>
            <w:tcW w:w="1014" w:type="dxa"/>
            <w:tcBorders>
              <w:top w:val="nil"/>
              <w:left w:val="nil"/>
              <w:bottom w:val="single" w:color="auto" w:sz="4" w:space="0"/>
              <w:right w:val="single" w:color="auto" w:sz="4" w:space="0"/>
            </w:tcBorders>
            <w:shd w:val="clear" w:color="auto" w:fill="auto"/>
            <w:vAlign w:val="center"/>
          </w:tcPr>
          <w:p w14:paraId="25A9D1F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单价</w:t>
            </w:r>
          </w:p>
          <w:p w14:paraId="78BEDC5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（税前价）</w:t>
            </w:r>
          </w:p>
        </w:tc>
        <w:tc>
          <w:tcPr>
            <w:tcW w:w="1191" w:type="dxa"/>
            <w:tcBorders>
              <w:top w:val="nil"/>
              <w:left w:val="nil"/>
              <w:bottom w:val="single" w:color="auto" w:sz="4" w:space="0"/>
              <w:right w:val="single" w:color="auto" w:sz="4" w:space="0"/>
            </w:tcBorders>
            <w:shd w:val="clear" w:color="auto" w:fill="auto"/>
            <w:vAlign w:val="center"/>
          </w:tcPr>
          <w:p w14:paraId="4749A7B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税费</w:t>
            </w:r>
          </w:p>
          <w:p w14:paraId="5AB3B35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（税率____%）</w:t>
            </w:r>
          </w:p>
        </w:tc>
        <w:tc>
          <w:tcPr>
            <w:tcW w:w="804" w:type="dxa"/>
            <w:tcBorders>
              <w:top w:val="nil"/>
              <w:left w:val="nil"/>
              <w:bottom w:val="single" w:color="auto" w:sz="4" w:space="0"/>
              <w:right w:val="single" w:color="auto" w:sz="4" w:space="0"/>
            </w:tcBorders>
            <w:shd w:val="clear" w:color="auto" w:fill="auto"/>
            <w:vAlign w:val="center"/>
          </w:tcPr>
          <w:p w14:paraId="3B1CB91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单价</w:t>
            </w:r>
          </w:p>
          <w:p w14:paraId="7985015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（含税）</w:t>
            </w:r>
          </w:p>
        </w:tc>
        <w:tc>
          <w:tcPr>
            <w:tcW w:w="2870"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说明</w:t>
            </w:r>
          </w:p>
        </w:tc>
        <w:tc>
          <w:tcPr>
            <w:tcW w:w="1814"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微软雅黑" w:hAnsi="微软雅黑" w:eastAsia="微软雅黑" w:cs="微软雅黑"/>
                <w:b/>
                <w:bCs/>
                <w:i w:val="0"/>
                <w:iCs w:val="0"/>
                <w:color w:val="auto"/>
                <w:kern w:val="0"/>
                <w:sz w:val="21"/>
                <w:szCs w:val="21"/>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朋友圈信息流广告投放</w:t>
            </w:r>
          </w:p>
        </w:tc>
        <w:tc>
          <w:tcPr>
            <w:tcW w:w="1272" w:type="dxa"/>
            <w:tcBorders>
              <w:top w:val="nil"/>
              <w:left w:val="nil"/>
              <w:bottom w:val="single" w:color="auto" w:sz="4" w:space="0"/>
              <w:right w:val="single" w:color="auto" w:sz="4" w:space="0"/>
            </w:tcBorders>
            <w:shd w:val="clear" w:color="000000" w:fill="FFFFFF"/>
            <w:vAlign w:val="center"/>
          </w:tcPr>
          <w:p w14:paraId="6B87E4E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CPM单价</w:t>
            </w:r>
          </w:p>
          <w:p w14:paraId="0248EDC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（元/千次曝光）</w:t>
            </w:r>
          </w:p>
        </w:tc>
        <w:tc>
          <w:tcPr>
            <w:tcW w:w="1014"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1191"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804"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2870" w:type="dxa"/>
            <w:tcBorders>
              <w:top w:val="nil"/>
              <w:left w:val="nil"/>
              <w:bottom w:val="single" w:color="auto" w:sz="4" w:space="0"/>
              <w:right w:val="single" w:color="auto" w:sz="4" w:space="0"/>
            </w:tcBorders>
            <w:shd w:val="clear" w:color="000000" w:fill="FFFFFF"/>
            <w:vAlign w:val="center"/>
          </w:tcPr>
          <w:p w14:paraId="696E811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请填写可执行CPM报价</w:t>
            </w:r>
          </w:p>
          <w:p w14:paraId="0240031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以</w:t>
            </w:r>
            <w:r>
              <w:rPr>
                <w:rFonts w:hint="eastAsia" w:ascii="微软雅黑" w:hAnsi="微软雅黑" w:eastAsia="微软雅黑" w:cs="微软雅黑"/>
                <w:b/>
                <w:bCs/>
                <w:i w:val="0"/>
                <w:iCs w:val="0"/>
                <w:color w:val="auto"/>
                <w:kern w:val="0"/>
                <w:sz w:val="21"/>
                <w:szCs w:val="21"/>
                <w:u w:val="none"/>
                <w:lang w:val="en-US" w:eastAsia="zh-CN" w:bidi="ar"/>
              </w:rPr>
              <w:t>不含税单价</w:t>
            </w:r>
            <w:r>
              <w:rPr>
                <w:rFonts w:hint="eastAsia" w:ascii="微软雅黑" w:hAnsi="微软雅黑" w:eastAsia="微软雅黑" w:cs="微软雅黑"/>
                <w:i w:val="0"/>
                <w:iCs w:val="0"/>
                <w:color w:val="auto"/>
                <w:kern w:val="0"/>
                <w:sz w:val="21"/>
                <w:szCs w:val="21"/>
                <w:u w:val="none"/>
                <w:lang w:val="en-US" w:eastAsia="zh-CN" w:bidi="ar"/>
              </w:rPr>
              <w:t>作为核心评标依据</w:t>
            </w:r>
          </w:p>
        </w:tc>
        <w:tc>
          <w:tcPr>
            <w:tcW w:w="181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根据项目需求投放，据实结算；</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总费用不超过8万元（含税）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jc w:val="center"/>
        </w:trPr>
        <w:tc>
          <w:tcPr>
            <w:tcW w:w="976" w:type="dxa"/>
            <w:tcBorders>
              <w:top w:val="nil"/>
              <w:left w:val="single" w:color="auto" w:sz="4" w:space="0"/>
              <w:bottom w:val="single" w:color="auto" w:sz="4" w:space="0"/>
              <w:right w:val="single" w:color="auto" w:sz="4" w:space="0"/>
            </w:tcBorders>
            <w:shd w:val="clear" w:color="auto" w:fill="auto"/>
            <w:noWrap/>
            <w:vAlign w:val="center"/>
          </w:tcPr>
          <w:p w14:paraId="673A716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线索</w:t>
            </w:r>
          </w:p>
          <w:p w14:paraId="5BDED33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保障</w:t>
            </w:r>
          </w:p>
        </w:tc>
        <w:tc>
          <w:tcPr>
            <w:tcW w:w="428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微软雅黑" w:hAnsi="微软雅黑" w:eastAsia="微软雅黑" w:cs="微软雅黑"/>
                <w:i w:val="0"/>
                <w:iCs w:val="0"/>
                <w:color w:val="auto"/>
                <w:kern w:val="0"/>
                <w:sz w:val="21"/>
                <w:szCs w:val="21"/>
                <w:u w:val="none"/>
                <w:lang w:val="en-US" w:eastAsia="zh-CN" w:bidi="ar"/>
              </w:rPr>
              <w:t xml:space="preserve">线索获取量 </w:t>
            </w:r>
            <w:r>
              <w:rPr>
                <w:rFonts w:hint="eastAsia" w:ascii="微软雅黑" w:hAnsi="微软雅黑" w:eastAsia="微软雅黑" w:cs="微软雅黑"/>
                <w:i w:val="0"/>
                <w:iCs w:val="0"/>
                <w:color w:val="auto"/>
                <w:kern w:val="0"/>
                <w:sz w:val="21"/>
                <w:szCs w:val="21"/>
                <w:u w:val="single"/>
                <w:lang w:val="en-US" w:eastAsia="zh-CN" w:bidi="ar"/>
              </w:rPr>
              <w:t xml:space="preserve">         </w:t>
            </w:r>
            <w:r>
              <w:rPr>
                <w:rFonts w:hint="eastAsia" w:ascii="微软雅黑" w:hAnsi="微软雅黑" w:eastAsia="微软雅黑" w:cs="微软雅黑"/>
                <w:i w:val="0"/>
                <w:iCs w:val="0"/>
                <w:color w:val="auto"/>
                <w:kern w:val="0"/>
                <w:sz w:val="21"/>
                <w:szCs w:val="21"/>
                <w:u w:val="none"/>
                <w:lang w:val="en-US" w:eastAsia="zh-CN" w:bidi="ar"/>
              </w:rPr>
              <w:t>（条）</w:t>
            </w:r>
          </w:p>
        </w:tc>
        <w:tc>
          <w:tcPr>
            <w:tcW w:w="2870"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以8万总价（含税），预估可收集的有效销售线索，执行中需按实际投放金额与总预算的比例完成对应比例的线索收集目标</w:t>
            </w:r>
          </w:p>
        </w:tc>
        <w:tc>
          <w:tcPr>
            <w:tcW w:w="181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2C92C7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优化</w:t>
            </w:r>
          </w:p>
          <w:p w14:paraId="7F9B37E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服务</w:t>
            </w:r>
          </w:p>
        </w:tc>
        <w:tc>
          <w:tcPr>
            <w:tcW w:w="7151"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账户管理及优化：腾讯社交广告账户搭建，根据投放数据进行账户优化</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(人群优化、创意优化、时间段优化、地域优化、出价优化、定向优化等)</w:t>
            </w:r>
          </w:p>
        </w:tc>
        <w:tc>
          <w:tcPr>
            <w:tcW w:w="1814"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r>
      <w:tr w14:paraId="723C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FF5299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c>
          <w:tcPr>
            <w:tcW w:w="7151" w:type="dxa"/>
            <w:gridSpan w:val="5"/>
            <w:tcBorders>
              <w:top w:val="single" w:color="auto" w:sz="4" w:space="0"/>
              <w:left w:val="nil"/>
              <w:bottom w:val="single" w:color="auto" w:sz="4" w:space="0"/>
              <w:right w:val="single" w:color="auto" w:sz="4" w:space="0"/>
            </w:tcBorders>
            <w:shd w:val="clear" w:color="auto" w:fill="auto"/>
            <w:noWrap/>
            <w:vAlign w:val="center"/>
          </w:tcPr>
          <w:p w14:paraId="01130BB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日常运营指导：腾讯社交广告账</w:t>
            </w:r>
            <w:bookmarkStart w:id="0" w:name="_GoBack"/>
            <w:bookmarkEnd w:id="0"/>
            <w:r>
              <w:rPr>
                <w:rFonts w:hint="eastAsia" w:ascii="微软雅黑" w:hAnsi="微软雅黑" w:eastAsia="微软雅黑" w:cs="微软雅黑"/>
                <w:i w:val="0"/>
                <w:iCs w:val="0"/>
                <w:color w:val="auto"/>
                <w:kern w:val="0"/>
                <w:sz w:val="21"/>
                <w:szCs w:val="21"/>
                <w:u w:val="none"/>
                <w:lang w:val="en-US" w:eastAsia="zh-CN" w:bidi="ar"/>
              </w:rPr>
              <w:t>户专业运营服务，并提供专业人员为客户进行答疑，每日数据反馈</w:t>
            </w:r>
          </w:p>
        </w:tc>
        <w:tc>
          <w:tcPr>
            <w:tcW w:w="1814" w:type="dxa"/>
            <w:vMerge w:val="continue"/>
            <w:tcBorders>
              <w:top w:val="nil"/>
              <w:left w:val="single" w:color="auto" w:sz="4" w:space="0"/>
              <w:bottom w:val="single" w:color="auto" w:sz="4" w:space="0"/>
              <w:right w:val="single" w:color="auto" w:sz="4" w:space="0"/>
            </w:tcBorders>
            <w:shd w:val="clear" w:color="auto" w:fill="auto"/>
            <w:vAlign w:val="center"/>
          </w:tcPr>
          <w:p w14:paraId="0A17F37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c>
          <w:tcPr>
            <w:tcW w:w="715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结案分析报告：广告投放结束，提供数据分析报告：PPT形式提供。</w:t>
            </w:r>
          </w:p>
        </w:tc>
        <w:tc>
          <w:tcPr>
            <w:tcW w:w="1814"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976" w:type="dxa"/>
            <w:tcBorders>
              <w:top w:val="nil"/>
              <w:left w:val="single" w:color="auto" w:sz="4" w:space="0"/>
              <w:bottom w:val="single" w:color="auto" w:sz="4" w:space="0"/>
              <w:right w:val="single" w:color="auto" w:sz="4" w:space="0"/>
            </w:tcBorders>
            <w:shd w:val="clear" w:color="auto" w:fill="auto"/>
            <w:vAlign w:val="center"/>
          </w:tcPr>
          <w:p w14:paraId="3A020B8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运营</w:t>
            </w:r>
          </w:p>
          <w:p w14:paraId="564116F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保障</w:t>
            </w:r>
          </w:p>
        </w:tc>
        <w:tc>
          <w:tcPr>
            <w:tcW w:w="7151" w:type="dxa"/>
            <w:gridSpan w:val="5"/>
            <w:tcBorders>
              <w:top w:val="single" w:color="auto" w:sz="4" w:space="0"/>
              <w:left w:val="nil"/>
              <w:bottom w:val="single" w:color="auto" w:sz="4" w:space="0"/>
              <w:right w:val="single" w:color="auto" w:sz="4" w:space="0"/>
            </w:tcBorders>
            <w:shd w:val="clear" w:color="auto" w:fill="auto"/>
            <w:vAlign w:val="center"/>
          </w:tcPr>
          <w:p w14:paraId="620DD6C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确保曝光范围为甲方指定范围，不可在指定范围以外；</w:t>
            </w:r>
          </w:p>
          <w:p w14:paraId="3B635EF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确保曝光行业为甲方指定行业，不可在指定行业以外；</w:t>
            </w:r>
          </w:p>
          <w:p w14:paraId="3EFD968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确保投放的广告不被封户下线；</w:t>
            </w:r>
          </w:p>
        </w:tc>
        <w:tc>
          <w:tcPr>
            <w:tcW w:w="181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99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微软雅黑" w:hAnsi="微软雅黑" w:eastAsia="微软雅黑" w:cs="微软雅黑"/>
                <w:i w:val="0"/>
                <w:iCs w:val="0"/>
                <w:color w:val="auto"/>
                <w:kern w:val="0"/>
                <w:sz w:val="21"/>
                <w:szCs w:val="21"/>
                <w:u w:val="none"/>
                <w:lang w:val="en-US" w:eastAsia="zh-CN" w:bidi="ar"/>
              </w:rPr>
              <w:t>后附营业执照</w:t>
            </w:r>
          </w:p>
        </w:tc>
      </w:tr>
    </w:tbl>
    <w:p w14:paraId="4F26F1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C9599"/>
    <w:multiLevelType w:val="singleLevel"/>
    <w:tmpl w:val="314C95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C080E"/>
    <w:rsid w:val="68AB62A4"/>
    <w:rsid w:val="709C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462</Characters>
  <Lines>0</Lines>
  <Paragraphs>0</Paragraphs>
  <TotalTime>1</TotalTime>
  <ScaleCrop>false</ScaleCrop>
  <LinksUpToDate>false</LinksUpToDate>
  <CharactersWithSpaces>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2025-11-11T08:36:00Z</dcterms:created>
  <dc:creator>景初</dc:creator>
  <cp:lastModifiedBy>景初</cp:lastModifiedBy>
  <dcterms:modified xsi:type="dcterms:W3CDTF">2026-01-22T09:12:51Z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9A3C2E8F111E4D1CA0F64788C4AD0485_11</vt:lpwstr>
  </property>
  <property fmtid="{D5CDD505-2E9C-101B-9397-08002B2CF9AE}" pid="4" name="KSOTemplateDocerSaveRecord">
    <vt:lpwstr>eyJoZGlkIjoiNzZmYTZjMzJlYjIwZDcyZDZlNTQ5OGRkMjUwYzlkNDEiLCJ1c2VySWQiOiI0MzczMjUwOTUifQ==</vt:lpwstr>
  </property>
</Properties>
</file>