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62313">
      <w:pPr>
        <w:tabs>
          <w:tab w:val="left" w:pos="4860"/>
        </w:tabs>
        <w:ind w:firstLine="1446" w:firstLineChars="400"/>
        <w:jc w:val="both"/>
        <w:rPr>
          <w:rFonts w:hint="default" w:ascii="宋体" w:eastAsia="宋体"/>
          <w:b/>
          <w:sz w:val="36"/>
          <w:szCs w:val="36"/>
          <w:lang w:val="en-US" w:eastAsia="zh-CN"/>
        </w:rPr>
      </w:pPr>
      <w:r>
        <w:rPr>
          <w:rFonts w:hint="eastAsia" w:ascii="宋体" w:hAnsi="宋体"/>
          <w:b/>
          <w:sz w:val="36"/>
          <w:szCs w:val="36"/>
          <w:lang w:val="en-US" w:eastAsia="zh-CN"/>
        </w:rPr>
        <w:t>合柴1972文创园配电房</w:t>
      </w:r>
      <w:r>
        <w:rPr>
          <w:rFonts w:hint="eastAsia" w:ascii="宋体" w:hAnsi="宋体"/>
          <w:b/>
          <w:sz w:val="36"/>
          <w:szCs w:val="36"/>
        </w:rPr>
        <w:t>维保服务</w:t>
      </w:r>
      <w:r>
        <w:rPr>
          <w:rFonts w:hint="eastAsia" w:ascii="宋体" w:hAnsi="宋体"/>
          <w:b/>
          <w:sz w:val="36"/>
          <w:szCs w:val="36"/>
          <w:lang w:val="en-US" w:eastAsia="zh-CN"/>
        </w:rPr>
        <w:t>报价单</w:t>
      </w:r>
    </w:p>
    <w:p w14:paraId="7F912C16">
      <w:pPr>
        <w:rPr>
          <w:rFonts w:ascii="宋体" w:hAnsi="宋体"/>
          <w:sz w:val="24"/>
        </w:rPr>
      </w:pPr>
      <w:r>
        <w:rPr>
          <w:rFonts w:ascii="宋体" w:hAnsi="宋体"/>
          <w:sz w:val="24"/>
        </w:rPr>
        <w:t xml:space="preserve">  </w:t>
      </w:r>
    </w:p>
    <w:p w14:paraId="4E228347">
      <w:pPr>
        <w:jc w:val="left"/>
        <w:rPr>
          <w:rFonts w:ascii="宋体"/>
          <w:b/>
          <w:sz w:val="24"/>
        </w:rPr>
      </w:pPr>
      <w:r>
        <w:rPr>
          <w:rFonts w:hint="eastAsia" w:ascii="宋体" w:hAnsi="宋体"/>
          <w:b/>
          <w:sz w:val="24"/>
          <w:lang w:val="en-US" w:eastAsia="zh-CN"/>
        </w:rPr>
        <w:t>一</w:t>
      </w:r>
      <w:r>
        <w:rPr>
          <w:rFonts w:hint="eastAsia" w:ascii="宋体" w:hAnsi="宋体"/>
          <w:b/>
          <w:sz w:val="24"/>
        </w:rPr>
        <w:t>、维保项目概括：</w:t>
      </w:r>
    </w:p>
    <w:p w14:paraId="7E89667D">
      <w:pPr>
        <w:spacing w:line="360" w:lineRule="auto"/>
        <w:ind w:firstLine="600" w:firstLineChars="250"/>
        <w:rPr>
          <w:rFonts w:hint="default" w:ascii="宋体" w:eastAsia="宋体"/>
          <w:sz w:val="24"/>
          <w:lang w:val="en-US" w:eastAsia="zh-CN"/>
        </w:rPr>
      </w:pPr>
      <w:r>
        <w:rPr>
          <w:rFonts w:hint="eastAsia" w:ascii="宋体" w:hAnsi="宋体"/>
          <w:sz w:val="24"/>
        </w:rPr>
        <w:t>本次</w:t>
      </w:r>
      <w:r>
        <w:rPr>
          <w:rFonts w:hint="eastAsia" w:ascii="宋体" w:hAnsi="宋体"/>
          <w:sz w:val="24"/>
          <w:lang w:val="en-US" w:eastAsia="zh-CN"/>
        </w:rPr>
        <w:t>配电房维保</w:t>
      </w:r>
      <w:r>
        <w:rPr>
          <w:rFonts w:hint="eastAsia" w:ascii="宋体" w:hAnsi="宋体"/>
          <w:sz w:val="24"/>
        </w:rPr>
        <w:t>项目所涉及的设备有：</w:t>
      </w:r>
      <w:r>
        <w:rPr>
          <w:rFonts w:hint="eastAsia" w:ascii="宋体" w:hAnsi="宋体"/>
          <w:sz w:val="24"/>
          <w:lang w:val="en-US" w:eastAsia="zh-CN"/>
        </w:rPr>
        <w:t>变压器、高压柜、低压柜、电容补偿柜及直流屏。</w:t>
      </w:r>
    </w:p>
    <w:p w14:paraId="2563057B">
      <w:pPr>
        <w:spacing w:line="360" w:lineRule="auto"/>
        <w:ind w:firstLine="480" w:firstLineChars="200"/>
        <w:jc w:val="left"/>
        <w:rPr>
          <w:rFonts w:ascii="宋体"/>
          <w:sz w:val="24"/>
        </w:rPr>
      </w:pPr>
      <w:r>
        <w:rPr>
          <w:rFonts w:hint="eastAsia" w:ascii="宋体" w:hAnsi="宋体"/>
          <w:sz w:val="24"/>
        </w:rPr>
        <w:t>为确保甲方</w:t>
      </w:r>
      <w:r>
        <w:rPr>
          <w:rFonts w:hint="eastAsia" w:ascii="宋体" w:hAnsi="宋体"/>
          <w:sz w:val="24"/>
          <w:lang w:val="en-US" w:eastAsia="zh-CN"/>
        </w:rPr>
        <w:t>配电房</w:t>
      </w:r>
      <w:r>
        <w:rPr>
          <w:rFonts w:hint="eastAsia" w:ascii="宋体" w:hAnsi="宋体"/>
          <w:sz w:val="24"/>
        </w:rPr>
        <w:t>能够安全</w:t>
      </w:r>
      <w:r>
        <w:rPr>
          <w:rFonts w:hint="eastAsia" w:ascii="宋体" w:hAnsi="宋体"/>
          <w:sz w:val="24"/>
          <w:lang w:eastAsia="zh-CN"/>
        </w:rPr>
        <w:t>、</w:t>
      </w:r>
      <w:r>
        <w:rPr>
          <w:rFonts w:hint="eastAsia" w:ascii="宋体" w:hAnsi="宋体"/>
          <w:sz w:val="24"/>
        </w:rPr>
        <w:t>稳定运行，由乙方对甲方</w:t>
      </w:r>
      <w:r>
        <w:rPr>
          <w:rFonts w:hint="eastAsia" w:ascii="宋体" w:hAnsi="宋体"/>
          <w:sz w:val="24"/>
          <w:lang w:val="en-US" w:eastAsia="zh-CN"/>
        </w:rPr>
        <w:t>配电房</w:t>
      </w:r>
      <w:r>
        <w:rPr>
          <w:rFonts w:hint="eastAsia" w:ascii="宋体" w:hAnsi="宋体"/>
          <w:sz w:val="24"/>
        </w:rPr>
        <w:t>提供专业维修保养服务，包括：（</w:t>
      </w:r>
      <w:r>
        <w:rPr>
          <w:rFonts w:ascii="宋体" w:hAnsi="宋体"/>
          <w:sz w:val="24"/>
        </w:rPr>
        <w:t>1</w:t>
      </w:r>
      <w:r>
        <w:rPr>
          <w:rFonts w:hint="eastAsia" w:ascii="宋体" w:hAnsi="宋体"/>
          <w:sz w:val="24"/>
        </w:rPr>
        <w:t>）定期保养；（</w:t>
      </w:r>
      <w:r>
        <w:rPr>
          <w:rFonts w:ascii="宋体" w:hAnsi="宋体"/>
          <w:sz w:val="24"/>
        </w:rPr>
        <w:t>2</w:t>
      </w:r>
      <w:r>
        <w:rPr>
          <w:rFonts w:hint="eastAsia" w:ascii="宋体" w:hAnsi="宋体"/>
          <w:sz w:val="24"/>
        </w:rPr>
        <w:t>）故障处理；（</w:t>
      </w:r>
      <w:r>
        <w:rPr>
          <w:rFonts w:ascii="宋体" w:hAnsi="宋体"/>
          <w:sz w:val="24"/>
        </w:rPr>
        <w:t>3</w:t>
      </w:r>
      <w:r>
        <w:rPr>
          <w:rFonts w:hint="eastAsia" w:ascii="宋体" w:hAnsi="宋体"/>
          <w:sz w:val="24"/>
        </w:rPr>
        <w:t>）设备维修；（</w:t>
      </w:r>
      <w:r>
        <w:rPr>
          <w:rFonts w:ascii="宋体" w:hAnsi="宋体"/>
          <w:sz w:val="24"/>
        </w:rPr>
        <w:t>4</w:t>
      </w:r>
      <w:r>
        <w:rPr>
          <w:rFonts w:hint="eastAsia" w:ascii="宋体" w:hAnsi="宋体"/>
          <w:sz w:val="24"/>
        </w:rPr>
        <w:t>）现场技术支持；（</w:t>
      </w:r>
      <w:r>
        <w:rPr>
          <w:rFonts w:ascii="宋体" w:hAnsi="宋体"/>
          <w:sz w:val="24"/>
        </w:rPr>
        <w:t>5</w:t>
      </w:r>
      <w:r>
        <w:rPr>
          <w:rFonts w:hint="eastAsia" w:ascii="宋体" w:hAnsi="宋体"/>
          <w:sz w:val="24"/>
        </w:rPr>
        <w:t>）其它必要的专业服务。</w:t>
      </w:r>
    </w:p>
    <w:p w14:paraId="16FEF226">
      <w:pPr>
        <w:spacing w:line="360" w:lineRule="auto"/>
        <w:rPr>
          <w:rFonts w:hint="default" w:ascii="宋体" w:eastAsia="宋体"/>
          <w:b/>
          <w:sz w:val="24"/>
          <w:lang w:val="en-US" w:eastAsia="zh-CN"/>
        </w:rPr>
      </w:pPr>
      <w:r>
        <w:rPr>
          <w:rFonts w:hint="eastAsia" w:ascii="宋体" w:hAnsi="宋体"/>
          <w:b/>
          <w:sz w:val="24"/>
          <w:lang w:val="en-US" w:eastAsia="zh-CN"/>
        </w:rPr>
        <w:t>二</w:t>
      </w:r>
      <w:r>
        <w:rPr>
          <w:rFonts w:hint="eastAsia" w:ascii="宋体" w:hAnsi="宋体"/>
          <w:b/>
          <w:sz w:val="24"/>
        </w:rPr>
        <w:t>、费用组成：</w:t>
      </w:r>
      <w:r>
        <w:rPr>
          <w:rFonts w:hint="eastAsia" w:ascii="宋体" w:hAnsi="宋体"/>
          <w:b/>
          <w:sz w:val="24"/>
          <w:lang w:val="en-US" w:eastAsia="zh-CN"/>
        </w:rPr>
        <w:t>维保期间维修更换200元以下（含200元）配件给予免费，所有维修项目免人工费，只收取配件费用，配件费用按照报价附件</w:t>
      </w:r>
      <w:r>
        <w:rPr>
          <w:rFonts w:hint="eastAsia" w:ascii="宋体" w:hAnsi="宋体" w:eastAsia="宋体" w:cs="宋体"/>
          <w:b/>
          <w:bCs/>
          <w:sz w:val="24"/>
          <w:szCs w:val="18"/>
          <w:highlight w:val="none"/>
          <w:lang w:val="en-US" w:eastAsia="zh-CN"/>
        </w:rPr>
        <w:t>常规易损配件清单报价表</w:t>
      </w:r>
      <w:r>
        <w:rPr>
          <w:rFonts w:hint="eastAsia" w:ascii="宋体" w:hAnsi="宋体"/>
          <w:b/>
          <w:sz w:val="24"/>
          <w:lang w:val="en-US" w:eastAsia="zh-CN"/>
        </w:rPr>
        <w:t>结算。</w:t>
      </w:r>
    </w:p>
    <w:tbl>
      <w:tblPr>
        <w:tblStyle w:val="4"/>
        <w:tblW w:w="10473" w:type="dxa"/>
        <w:tblInd w:w="-34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3"/>
        <w:gridCol w:w="1459"/>
        <w:gridCol w:w="996"/>
        <w:gridCol w:w="1677"/>
        <w:gridCol w:w="559"/>
        <w:gridCol w:w="1854"/>
        <w:gridCol w:w="600"/>
        <w:gridCol w:w="859"/>
        <w:gridCol w:w="601"/>
        <w:gridCol w:w="995"/>
      </w:tblGrid>
      <w:tr w14:paraId="20CD4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047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7B6DE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2026年配电房维保报价单</w:t>
            </w:r>
          </w:p>
        </w:tc>
      </w:tr>
      <w:tr w14:paraId="35DED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3473B">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名称</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0254A">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变压器参数/台数</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99C23">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合计</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C98CB">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高压柜</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90FD2">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合计</w:t>
            </w: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66DBC">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低压柜</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5C826">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合计</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855EA">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（电容补偿柜）</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913AB">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直流屏</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20020">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单价（元）</w:t>
            </w:r>
          </w:p>
        </w:tc>
      </w:tr>
      <w:tr w14:paraId="631D7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12E3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园区旧配电房</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916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变压器：1600KVA1</w:t>
            </w: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33BA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3200KVA</w:t>
            </w:r>
          </w:p>
        </w:tc>
        <w:tc>
          <w:tcPr>
            <w:tcW w:w="1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AC7675">
            <w:pPr>
              <w:jc w:val="center"/>
              <w:rPr>
                <w:rFonts w:hint="eastAsia" w:ascii="宋体" w:hAnsi="宋体" w:eastAsia="宋体" w:cs="宋体"/>
                <w:i w:val="0"/>
                <w:iCs w:val="0"/>
                <w:color w:val="000000"/>
                <w:sz w:val="24"/>
                <w:szCs w:val="24"/>
                <w:u w:val="none"/>
              </w:rPr>
            </w:pP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882F2F">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0</w:t>
            </w: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1A5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GGD101-GGD106</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2B29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ED0E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026535">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0</w:t>
            </w:r>
          </w:p>
        </w:tc>
        <w:tc>
          <w:tcPr>
            <w:tcW w:w="9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491F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CE21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8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BD076">
            <w:pPr>
              <w:jc w:val="center"/>
              <w:rPr>
                <w:rFonts w:hint="eastAsia" w:ascii="宋体" w:hAnsi="宋体" w:eastAsia="宋体" w:cs="宋体"/>
                <w:i w:val="0"/>
                <w:iCs w:val="0"/>
                <w:color w:val="000000"/>
                <w:sz w:val="24"/>
                <w:szCs w:val="24"/>
                <w:u w:val="none"/>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CCF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变压器：1600KVA2</w:t>
            </w: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0D64E">
            <w:pPr>
              <w:jc w:val="center"/>
              <w:rPr>
                <w:rFonts w:hint="eastAsia" w:ascii="宋体" w:hAnsi="宋体" w:eastAsia="宋体" w:cs="宋体"/>
                <w:i w:val="0"/>
                <w:iCs w:val="0"/>
                <w:color w:val="000000"/>
                <w:sz w:val="24"/>
                <w:szCs w:val="24"/>
                <w:u w:val="none"/>
              </w:rPr>
            </w:pPr>
          </w:p>
        </w:tc>
        <w:tc>
          <w:tcPr>
            <w:tcW w:w="1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D26A2">
            <w:pPr>
              <w:jc w:val="center"/>
              <w:rPr>
                <w:rFonts w:hint="eastAsia" w:ascii="宋体" w:hAnsi="宋体" w:eastAsia="宋体" w:cs="宋体"/>
                <w:i w:val="0"/>
                <w:iCs w:val="0"/>
                <w:color w:val="000000"/>
                <w:sz w:val="24"/>
                <w:szCs w:val="24"/>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5BC90">
            <w:pPr>
              <w:jc w:val="center"/>
              <w:rPr>
                <w:rFonts w:hint="eastAsia" w:ascii="宋体" w:hAnsi="宋体" w:eastAsia="宋体" w:cs="宋体"/>
                <w:i w:val="0"/>
                <w:iCs w:val="0"/>
                <w:color w:val="000000"/>
                <w:sz w:val="24"/>
                <w:szCs w:val="24"/>
                <w:u w:val="none"/>
              </w:rPr>
            </w:pP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A19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GGD201-GGD205</w:t>
            </w: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E4DF2">
            <w:pPr>
              <w:jc w:val="center"/>
              <w:rPr>
                <w:rFonts w:hint="eastAsia" w:ascii="宋体" w:hAnsi="宋体" w:eastAsia="宋体" w:cs="宋体"/>
                <w:i w:val="0"/>
                <w:iCs w:val="0"/>
                <w:color w:val="000000"/>
                <w:sz w:val="24"/>
                <w:szCs w:val="24"/>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48232">
            <w:pPr>
              <w:jc w:val="center"/>
              <w:rPr>
                <w:rFonts w:hint="eastAsia" w:ascii="宋体" w:hAnsi="宋体" w:eastAsia="宋体" w:cs="宋体"/>
                <w:i w:val="0"/>
                <w:iCs w:val="0"/>
                <w:color w:val="000000"/>
                <w:sz w:val="24"/>
                <w:szCs w:val="24"/>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55852">
            <w:pPr>
              <w:jc w:val="center"/>
              <w:rPr>
                <w:rFonts w:hint="eastAsia" w:ascii="宋体" w:hAnsi="宋体" w:eastAsia="宋体" w:cs="宋体"/>
                <w:i w:val="0"/>
                <w:iCs w:val="0"/>
                <w:color w:val="000000"/>
                <w:sz w:val="24"/>
                <w:szCs w:val="24"/>
                <w:u w:val="none"/>
              </w:rPr>
            </w:pPr>
          </w:p>
        </w:tc>
        <w:tc>
          <w:tcPr>
            <w:tcW w:w="9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2D02C">
            <w:pPr>
              <w:jc w:val="center"/>
              <w:rPr>
                <w:rFonts w:hint="eastAsia" w:ascii="宋体" w:hAnsi="宋体" w:eastAsia="宋体" w:cs="宋体"/>
                <w:i w:val="0"/>
                <w:iCs w:val="0"/>
                <w:color w:val="000000"/>
                <w:sz w:val="24"/>
                <w:szCs w:val="24"/>
                <w:u w:val="none"/>
              </w:rPr>
            </w:pPr>
          </w:p>
        </w:tc>
      </w:tr>
      <w:tr w14:paraId="4BCF3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6D49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园区新配电房</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0DB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变压器：1600KVA1</w:t>
            </w: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6848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9600KVA</w:t>
            </w:r>
          </w:p>
        </w:tc>
        <w:tc>
          <w:tcPr>
            <w:tcW w:w="1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969A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G01-G20</w:t>
            </w:r>
          </w:p>
        </w:tc>
        <w:tc>
          <w:tcPr>
            <w:tcW w:w="5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7B5A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8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A383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D01-D54</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CE8E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DB92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C019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9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EEF7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6195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F35C9">
            <w:pPr>
              <w:jc w:val="center"/>
              <w:rPr>
                <w:rFonts w:hint="eastAsia" w:ascii="宋体" w:hAnsi="宋体" w:eastAsia="宋体" w:cs="宋体"/>
                <w:i w:val="0"/>
                <w:iCs w:val="0"/>
                <w:color w:val="000000"/>
                <w:sz w:val="24"/>
                <w:szCs w:val="24"/>
                <w:u w:val="none"/>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707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变压器：1600KVA2</w:t>
            </w: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313A5">
            <w:pPr>
              <w:jc w:val="center"/>
              <w:rPr>
                <w:rFonts w:hint="eastAsia" w:ascii="宋体" w:hAnsi="宋体" w:eastAsia="宋体" w:cs="宋体"/>
                <w:i w:val="0"/>
                <w:iCs w:val="0"/>
                <w:color w:val="000000"/>
                <w:sz w:val="24"/>
                <w:szCs w:val="24"/>
                <w:u w:val="none"/>
              </w:rPr>
            </w:pPr>
          </w:p>
        </w:tc>
        <w:tc>
          <w:tcPr>
            <w:tcW w:w="1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9FDEC">
            <w:pPr>
              <w:jc w:val="center"/>
              <w:rPr>
                <w:rFonts w:hint="eastAsia" w:ascii="宋体" w:hAnsi="宋体" w:eastAsia="宋体" w:cs="宋体"/>
                <w:i w:val="0"/>
                <w:iCs w:val="0"/>
                <w:color w:val="000000"/>
                <w:sz w:val="24"/>
                <w:szCs w:val="24"/>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5B5DE">
            <w:pPr>
              <w:jc w:val="center"/>
              <w:rPr>
                <w:rFonts w:hint="eastAsia" w:ascii="宋体" w:hAnsi="宋体" w:eastAsia="宋体" w:cs="宋体"/>
                <w:i w:val="0"/>
                <w:iCs w:val="0"/>
                <w:color w:val="000000"/>
                <w:sz w:val="24"/>
                <w:szCs w:val="24"/>
                <w:u w:val="none"/>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2A779">
            <w:pPr>
              <w:jc w:val="center"/>
              <w:rPr>
                <w:rFonts w:hint="eastAsia" w:ascii="宋体" w:hAnsi="宋体" w:eastAsia="宋体" w:cs="宋体"/>
                <w:i w:val="0"/>
                <w:iCs w:val="0"/>
                <w:color w:val="000000"/>
                <w:sz w:val="24"/>
                <w:szCs w:val="24"/>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C74E5">
            <w:pPr>
              <w:jc w:val="center"/>
              <w:rPr>
                <w:rFonts w:hint="eastAsia" w:ascii="宋体" w:hAnsi="宋体" w:eastAsia="宋体" w:cs="宋体"/>
                <w:i w:val="0"/>
                <w:iCs w:val="0"/>
                <w:color w:val="000000"/>
                <w:sz w:val="24"/>
                <w:szCs w:val="24"/>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930EA">
            <w:pPr>
              <w:jc w:val="center"/>
              <w:rPr>
                <w:rFonts w:hint="eastAsia" w:ascii="宋体" w:hAnsi="宋体" w:eastAsia="宋体" w:cs="宋体"/>
                <w:i w:val="0"/>
                <w:iCs w:val="0"/>
                <w:color w:val="000000"/>
                <w:sz w:val="24"/>
                <w:szCs w:val="24"/>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863A8">
            <w:pPr>
              <w:jc w:val="center"/>
              <w:rPr>
                <w:rFonts w:hint="eastAsia" w:ascii="宋体" w:hAnsi="宋体" w:eastAsia="宋体" w:cs="宋体"/>
                <w:i w:val="0"/>
                <w:iCs w:val="0"/>
                <w:color w:val="000000"/>
                <w:sz w:val="24"/>
                <w:szCs w:val="24"/>
                <w:u w:val="none"/>
              </w:rPr>
            </w:pPr>
          </w:p>
        </w:tc>
        <w:tc>
          <w:tcPr>
            <w:tcW w:w="9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A7BEF">
            <w:pPr>
              <w:jc w:val="center"/>
              <w:rPr>
                <w:rFonts w:hint="eastAsia" w:ascii="宋体" w:hAnsi="宋体" w:eastAsia="宋体" w:cs="宋体"/>
                <w:i w:val="0"/>
                <w:iCs w:val="0"/>
                <w:color w:val="000000"/>
                <w:sz w:val="24"/>
                <w:szCs w:val="24"/>
                <w:u w:val="none"/>
              </w:rPr>
            </w:pPr>
          </w:p>
        </w:tc>
      </w:tr>
      <w:tr w14:paraId="22245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E4C2D">
            <w:pPr>
              <w:jc w:val="center"/>
              <w:rPr>
                <w:rFonts w:hint="eastAsia" w:ascii="宋体" w:hAnsi="宋体" w:eastAsia="宋体" w:cs="宋体"/>
                <w:i w:val="0"/>
                <w:iCs w:val="0"/>
                <w:color w:val="000000"/>
                <w:sz w:val="24"/>
                <w:szCs w:val="24"/>
                <w:u w:val="none"/>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E6E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变压器：1600KVA3</w:t>
            </w: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71D08">
            <w:pPr>
              <w:jc w:val="center"/>
              <w:rPr>
                <w:rFonts w:hint="eastAsia" w:ascii="宋体" w:hAnsi="宋体" w:eastAsia="宋体" w:cs="宋体"/>
                <w:i w:val="0"/>
                <w:iCs w:val="0"/>
                <w:color w:val="000000"/>
                <w:sz w:val="24"/>
                <w:szCs w:val="24"/>
                <w:u w:val="none"/>
              </w:rPr>
            </w:pPr>
          </w:p>
        </w:tc>
        <w:tc>
          <w:tcPr>
            <w:tcW w:w="1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D4903">
            <w:pPr>
              <w:jc w:val="center"/>
              <w:rPr>
                <w:rFonts w:hint="eastAsia" w:ascii="宋体" w:hAnsi="宋体" w:eastAsia="宋体" w:cs="宋体"/>
                <w:i w:val="0"/>
                <w:iCs w:val="0"/>
                <w:color w:val="000000"/>
                <w:sz w:val="24"/>
                <w:szCs w:val="24"/>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23933">
            <w:pPr>
              <w:jc w:val="center"/>
              <w:rPr>
                <w:rFonts w:hint="eastAsia" w:ascii="宋体" w:hAnsi="宋体" w:eastAsia="宋体" w:cs="宋体"/>
                <w:i w:val="0"/>
                <w:iCs w:val="0"/>
                <w:color w:val="000000"/>
                <w:sz w:val="24"/>
                <w:szCs w:val="24"/>
                <w:u w:val="none"/>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B3BAB">
            <w:pPr>
              <w:jc w:val="center"/>
              <w:rPr>
                <w:rFonts w:hint="eastAsia" w:ascii="宋体" w:hAnsi="宋体" w:eastAsia="宋体" w:cs="宋体"/>
                <w:i w:val="0"/>
                <w:iCs w:val="0"/>
                <w:color w:val="000000"/>
                <w:sz w:val="24"/>
                <w:szCs w:val="24"/>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8A367">
            <w:pPr>
              <w:jc w:val="center"/>
              <w:rPr>
                <w:rFonts w:hint="eastAsia" w:ascii="宋体" w:hAnsi="宋体" w:eastAsia="宋体" w:cs="宋体"/>
                <w:i w:val="0"/>
                <w:iCs w:val="0"/>
                <w:color w:val="000000"/>
                <w:sz w:val="24"/>
                <w:szCs w:val="24"/>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61C16">
            <w:pPr>
              <w:jc w:val="center"/>
              <w:rPr>
                <w:rFonts w:hint="eastAsia" w:ascii="宋体" w:hAnsi="宋体" w:eastAsia="宋体" w:cs="宋体"/>
                <w:i w:val="0"/>
                <w:iCs w:val="0"/>
                <w:color w:val="000000"/>
                <w:sz w:val="24"/>
                <w:szCs w:val="24"/>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43BFC">
            <w:pPr>
              <w:jc w:val="center"/>
              <w:rPr>
                <w:rFonts w:hint="eastAsia" w:ascii="宋体" w:hAnsi="宋体" w:eastAsia="宋体" w:cs="宋体"/>
                <w:i w:val="0"/>
                <w:iCs w:val="0"/>
                <w:color w:val="000000"/>
                <w:sz w:val="24"/>
                <w:szCs w:val="24"/>
                <w:u w:val="none"/>
              </w:rPr>
            </w:pPr>
          </w:p>
        </w:tc>
        <w:tc>
          <w:tcPr>
            <w:tcW w:w="9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18CDC">
            <w:pPr>
              <w:jc w:val="center"/>
              <w:rPr>
                <w:rFonts w:hint="eastAsia" w:ascii="宋体" w:hAnsi="宋体" w:eastAsia="宋体" w:cs="宋体"/>
                <w:i w:val="0"/>
                <w:iCs w:val="0"/>
                <w:color w:val="000000"/>
                <w:sz w:val="24"/>
                <w:szCs w:val="24"/>
                <w:u w:val="none"/>
              </w:rPr>
            </w:pPr>
          </w:p>
        </w:tc>
      </w:tr>
      <w:tr w14:paraId="41F4D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67C98">
            <w:pPr>
              <w:jc w:val="center"/>
              <w:rPr>
                <w:rFonts w:hint="eastAsia" w:ascii="宋体" w:hAnsi="宋体" w:eastAsia="宋体" w:cs="宋体"/>
                <w:i w:val="0"/>
                <w:iCs w:val="0"/>
                <w:color w:val="000000"/>
                <w:sz w:val="24"/>
                <w:szCs w:val="24"/>
                <w:u w:val="none"/>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37C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变压器：1600KVA4</w:t>
            </w: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C2E2A">
            <w:pPr>
              <w:jc w:val="center"/>
              <w:rPr>
                <w:rFonts w:hint="eastAsia" w:ascii="宋体" w:hAnsi="宋体" w:eastAsia="宋体" w:cs="宋体"/>
                <w:i w:val="0"/>
                <w:iCs w:val="0"/>
                <w:color w:val="000000"/>
                <w:sz w:val="24"/>
                <w:szCs w:val="24"/>
                <w:u w:val="none"/>
              </w:rPr>
            </w:pPr>
          </w:p>
        </w:tc>
        <w:tc>
          <w:tcPr>
            <w:tcW w:w="1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276A2">
            <w:pPr>
              <w:jc w:val="center"/>
              <w:rPr>
                <w:rFonts w:hint="eastAsia" w:ascii="宋体" w:hAnsi="宋体" w:eastAsia="宋体" w:cs="宋体"/>
                <w:i w:val="0"/>
                <w:iCs w:val="0"/>
                <w:color w:val="000000"/>
                <w:sz w:val="24"/>
                <w:szCs w:val="24"/>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1EF67">
            <w:pPr>
              <w:jc w:val="center"/>
              <w:rPr>
                <w:rFonts w:hint="eastAsia" w:ascii="宋体" w:hAnsi="宋体" w:eastAsia="宋体" w:cs="宋体"/>
                <w:i w:val="0"/>
                <w:iCs w:val="0"/>
                <w:color w:val="000000"/>
                <w:sz w:val="24"/>
                <w:szCs w:val="24"/>
                <w:u w:val="none"/>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346B4">
            <w:pPr>
              <w:jc w:val="center"/>
              <w:rPr>
                <w:rFonts w:hint="eastAsia" w:ascii="宋体" w:hAnsi="宋体" w:eastAsia="宋体" w:cs="宋体"/>
                <w:i w:val="0"/>
                <w:iCs w:val="0"/>
                <w:color w:val="000000"/>
                <w:sz w:val="24"/>
                <w:szCs w:val="24"/>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E323D">
            <w:pPr>
              <w:jc w:val="center"/>
              <w:rPr>
                <w:rFonts w:hint="eastAsia" w:ascii="宋体" w:hAnsi="宋体" w:eastAsia="宋体" w:cs="宋体"/>
                <w:i w:val="0"/>
                <w:iCs w:val="0"/>
                <w:color w:val="000000"/>
                <w:sz w:val="24"/>
                <w:szCs w:val="24"/>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60822">
            <w:pPr>
              <w:jc w:val="center"/>
              <w:rPr>
                <w:rFonts w:hint="eastAsia" w:ascii="宋体" w:hAnsi="宋体" w:eastAsia="宋体" w:cs="宋体"/>
                <w:i w:val="0"/>
                <w:iCs w:val="0"/>
                <w:color w:val="000000"/>
                <w:sz w:val="24"/>
                <w:szCs w:val="24"/>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B6CFE">
            <w:pPr>
              <w:jc w:val="center"/>
              <w:rPr>
                <w:rFonts w:hint="eastAsia" w:ascii="宋体" w:hAnsi="宋体" w:eastAsia="宋体" w:cs="宋体"/>
                <w:i w:val="0"/>
                <w:iCs w:val="0"/>
                <w:color w:val="000000"/>
                <w:sz w:val="24"/>
                <w:szCs w:val="24"/>
                <w:u w:val="none"/>
              </w:rPr>
            </w:pPr>
          </w:p>
        </w:tc>
        <w:tc>
          <w:tcPr>
            <w:tcW w:w="9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90716">
            <w:pPr>
              <w:jc w:val="center"/>
              <w:rPr>
                <w:rFonts w:hint="eastAsia" w:ascii="宋体" w:hAnsi="宋体" w:eastAsia="宋体" w:cs="宋体"/>
                <w:i w:val="0"/>
                <w:iCs w:val="0"/>
                <w:color w:val="000000"/>
                <w:sz w:val="24"/>
                <w:szCs w:val="24"/>
                <w:u w:val="none"/>
              </w:rPr>
            </w:pPr>
          </w:p>
        </w:tc>
      </w:tr>
      <w:tr w14:paraId="1C674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C4537">
            <w:pPr>
              <w:jc w:val="center"/>
              <w:rPr>
                <w:rFonts w:hint="eastAsia" w:ascii="宋体" w:hAnsi="宋体" w:eastAsia="宋体" w:cs="宋体"/>
                <w:i w:val="0"/>
                <w:iCs w:val="0"/>
                <w:color w:val="000000"/>
                <w:sz w:val="24"/>
                <w:szCs w:val="24"/>
                <w:u w:val="none"/>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440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变压器：1600KVA5</w:t>
            </w: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ED3E77">
            <w:pPr>
              <w:jc w:val="center"/>
              <w:rPr>
                <w:rFonts w:hint="eastAsia" w:ascii="宋体" w:hAnsi="宋体" w:eastAsia="宋体" w:cs="宋体"/>
                <w:i w:val="0"/>
                <w:iCs w:val="0"/>
                <w:color w:val="000000"/>
                <w:sz w:val="24"/>
                <w:szCs w:val="24"/>
                <w:u w:val="none"/>
              </w:rPr>
            </w:pPr>
          </w:p>
        </w:tc>
        <w:tc>
          <w:tcPr>
            <w:tcW w:w="1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B863F">
            <w:pPr>
              <w:jc w:val="center"/>
              <w:rPr>
                <w:rFonts w:hint="eastAsia" w:ascii="宋体" w:hAnsi="宋体" w:eastAsia="宋体" w:cs="宋体"/>
                <w:i w:val="0"/>
                <w:iCs w:val="0"/>
                <w:color w:val="000000"/>
                <w:sz w:val="24"/>
                <w:szCs w:val="24"/>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59814">
            <w:pPr>
              <w:jc w:val="center"/>
              <w:rPr>
                <w:rFonts w:hint="eastAsia" w:ascii="宋体" w:hAnsi="宋体" w:eastAsia="宋体" w:cs="宋体"/>
                <w:i w:val="0"/>
                <w:iCs w:val="0"/>
                <w:color w:val="000000"/>
                <w:sz w:val="24"/>
                <w:szCs w:val="24"/>
                <w:u w:val="none"/>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84B4B">
            <w:pPr>
              <w:jc w:val="center"/>
              <w:rPr>
                <w:rFonts w:hint="eastAsia" w:ascii="宋体" w:hAnsi="宋体" w:eastAsia="宋体" w:cs="宋体"/>
                <w:i w:val="0"/>
                <w:iCs w:val="0"/>
                <w:color w:val="000000"/>
                <w:sz w:val="24"/>
                <w:szCs w:val="24"/>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1446C">
            <w:pPr>
              <w:jc w:val="center"/>
              <w:rPr>
                <w:rFonts w:hint="eastAsia" w:ascii="宋体" w:hAnsi="宋体" w:eastAsia="宋体" w:cs="宋体"/>
                <w:i w:val="0"/>
                <w:iCs w:val="0"/>
                <w:color w:val="000000"/>
                <w:sz w:val="24"/>
                <w:szCs w:val="24"/>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885B1">
            <w:pPr>
              <w:jc w:val="center"/>
              <w:rPr>
                <w:rFonts w:hint="eastAsia" w:ascii="宋体" w:hAnsi="宋体" w:eastAsia="宋体" w:cs="宋体"/>
                <w:i w:val="0"/>
                <w:iCs w:val="0"/>
                <w:color w:val="000000"/>
                <w:sz w:val="24"/>
                <w:szCs w:val="24"/>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81027">
            <w:pPr>
              <w:jc w:val="center"/>
              <w:rPr>
                <w:rFonts w:hint="eastAsia" w:ascii="宋体" w:hAnsi="宋体" w:eastAsia="宋体" w:cs="宋体"/>
                <w:i w:val="0"/>
                <w:iCs w:val="0"/>
                <w:color w:val="000000"/>
                <w:sz w:val="24"/>
                <w:szCs w:val="24"/>
                <w:u w:val="none"/>
              </w:rPr>
            </w:pPr>
          </w:p>
        </w:tc>
        <w:tc>
          <w:tcPr>
            <w:tcW w:w="9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3CBBE">
            <w:pPr>
              <w:jc w:val="center"/>
              <w:rPr>
                <w:rFonts w:hint="eastAsia" w:ascii="宋体" w:hAnsi="宋体" w:eastAsia="宋体" w:cs="宋体"/>
                <w:i w:val="0"/>
                <w:iCs w:val="0"/>
                <w:color w:val="000000"/>
                <w:sz w:val="24"/>
                <w:szCs w:val="24"/>
                <w:u w:val="none"/>
              </w:rPr>
            </w:pPr>
          </w:p>
        </w:tc>
      </w:tr>
      <w:tr w14:paraId="7A864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6C832">
            <w:pPr>
              <w:jc w:val="center"/>
              <w:rPr>
                <w:rFonts w:hint="eastAsia" w:ascii="宋体" w:hAnsi="宋体" w:eastAsia="宋体" w:cs="宋体"/>
                <w:i w:val="0"/>
                <w:iCs w:val="0"/>
                <w:color w:val="000000"/>
                <w:sz w:val="24"/>
                <w:szCs w:val="24"/>
                <w:u w:val="none"/>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C6A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变压器：1600KVA6</w:t>
            </w: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72A48">
            <w:pPr>
              <w:jc w:val="center"/>
              <w:rPr>
                <w:rFonts w:hint="eastAsia" w:ascii="宋体" w:hAnsi="宋体" w:eastAsia="宋体" w:cs="宋体"/>
                <w:i w:val="0"/>
                <w:iCs w:val="0"/>
                <w:color w:val="000000"/>
                <w:sz w:val="24"/>
                <w:szCs w:val="24"/>
                <w:u w:val="none"/>
              </w:rPr>
            </w:pPr>
          </w:p>
        </w:tc>
        <w:tc>
          <w:tcPr>
            <w:tcW w:w="1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E7310">
            <w:pPr>
              <w:jc w:val="center"/>
              <w:rPr>
                <w:rFonts w:hint="eastAsia" w:ascii="宋体" w:hAnsi="宋体" w:eastAsia="宋体" w:cs="宋体"/>
                <w:i w:val="0"/>
                <w:iCs w:val="0"/>
                <w:color w:val="000000"/>
                <w:sz w:val="24"/>
                <w:szCs w:val="24"/>
                <w:u w:val="none"/>
              </w:rPr>
            </w:pPr>
          </w:p>
        </w:tc>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DACC3">
            <w:pPr>
              <w:jc w:val="center"/>
              <w:rPr>
                <w:rFonts w:hint="eastAsia" w:ascii="宋体" w:hAnsi="宋体" w:eastAsia="宋体" w:cs="宋体"/>
                <w:i w:val="0"/>
                <w:iCs w:val="0"/>
                <w:color w:val="000000"/>
                <w:sz w:val="24"/>
                <w:szCs w:val="24"/>
                <w:u w:val="none"/>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0CC34">
            <w:pPr>
              <w:jc w:val="center"/>
              <w:rPr>
                <w:rFonts w:hint="eastAsia" w:ascii="宋体" w:hAnsi="宋体" w:eastAsia="宋体" w:cs="宋体"/>
                <w:i w:val="0"/>
                <w:iCs w:val="0"/>
                <w:color w:val="000000"/>
                <w:sz w:val="24"/>
                <w:szCs w:val="24"/>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B7067">
            <w:pPr>
              <w:jc w:val="center"/>
              <w:rPr>
                <w:rFonts w:hint="eastAsia" w:ascii="宋体" w:hAnsi="宋体" w:eastAsia="宋体" w:cs="宋体"/>
                <w:i w:val="0"/>
                <w:iCs w:val="0"/>
                <w:color w:val="000000"/>
                <w:sz w:val="24"/>
                <w:szCs w:val="24"/>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44406">
            <w:pPr>
              <w:jc w:val="center"/>
              <w:rPr>
                <w:rFonts w:hint="eastAsia" w:ascii="宋体" w:hAnsi="宋体" w:eastAsia="宋体" w:cs="宋体"/>
                <w:i w:val="0"/>
                <w:iCs w:val="0"/>
                <w:color w:val="000000"/>
                <w:sz w:val="24"/>
                <w:szCs w:val="24"/>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04B8A">
            <w:pPr>
              <w:jc w:val="center"/>
              <w:rPr>
                <w:rFonts w:hint="eastAsia" w:ascii="宋体" w:hAnsi="宋体" w:eastAsia="宋体" w:cs="宋体"/>
                <w:i w:val="0"/>
                <w:iCs w:val="0"/>
                <w:color w:val="000000"/>
                <w:sz w:val="24"/>
                <w:szCs w:val="24"/>
                <w:u w:val="none"/>
              </w:rPr>
            </w:pPr>
          </w:p>
        </w:tc>
        <w:tc>
          <w:tcPr>
            <w:tcW w:w="9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CE2BC">
            <w:pPr>
              <w:jc w:val="center"/>
              <w:rPr>
                <w:rFonts w:hint="eastAsia" w:ascii="宋体" w:hAnsi="宋体" w:eastAsia="宋体" w:cs="宋体"/>
                <w:i w:val="0"/>
                <w:iCs w:val="0"/>
                <w:color w:val="000000"/>
                <w:sz w:val="24"/>
                <w:szCs w:val="24"/>
                <w:u w:val="none"/>
              </w:rPr>
            </w:pPr>
          </w:p>
        </w:tc>
      </w:tr>
      <w:tr w14:paraId="35BB3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73" w:type="dxa"/>
            <w:vMerge w:val="restart"/>
            <w:tcBorders>
              <w:top w:val="single" w:color="000000" w:sz="4" w:space="0"/>
              <w:left w:val="single" w:color="000000" w:sz="4" w:space="0"/>
              <w:bottom w:val="nil"/>
              <w:right w:val="single" w:color="000000" w:sz="4" w:space="0"/>
            </w:tcBorders>
            <w:shd w:val="clear" w:color="auto" w:fill="auto"/>
            <w:vAlign w:val="center"/>
          </w:tcPr>
          <w:p w14:paraId="174A97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设计大厦配电房</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4B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变压器：2500KVA1     </w:t>
            </w:r>
          </w:p>
        </w:tc>
        <w:tc>
          <w:tcPr>
            <w:tcW w:w="996" w:type="dxa"/>
            <w:vMerge w:val="restart"/>
            <w:tcBorders>
              <w:top w:val="single" w:color="000000" w:sz="4" w:space="0"/>
              <w:left w:val="single" w:color="000000" w:sz="4" w:space="0"/>
              <w:bottom w:val="nil"/>
              <w:right w:val="single" w:color="000000" w:sz="4" w:space="0"/>
            </w:tcBorders>
            <w:shd w:val="clear" w:color="auto" w:fill="auto"/>
            <w:vAlign w:val="center"/>
          </w:tcPr>
          <w:p w14:paraId="52D85E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6000KVA</w:t>
            </w:r>
          </w:p>
        </w:tc>
        <w:tc>
          <w:tcPr>
            <w:tcW w:w="1677" w:type="dxa"/>
            <w:vMerge w:val="restart"/>
            <w:tcBorders>
              <w:top w:val="single" w:color="000000" w:sz="4" w:space="0"/>
              <w:left w:val="single" w:color="000000" w:sz="4" w:space="0"/>
              <w:bottom w:val="nil"/>
              <w:right w:val="single" w:color="000000" w:sz="4" w:space="0"/>
            </w:tcBorders>
            <w:shd w:val="clear" w:color="auto" w:fill="auto"/>
            <w:vAlign w:val="center"/>
          </w:tcPr>
          <w:p w14:paraId="77966F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KYN28A-12（Z101-Z113）</w:t>
            </w:r>
          </w:p>
        </w:tc>
        <w:tc>
          <w:tcPr>
            <w:tcW w:w="559" w:type="dxa"/>
            <w:vMerge w:val="restart"/>
            <w:tcBorders>
              <w:top w:val="single" w:color="000000" w:sz="4" w:space="0"/>
              <w:left w:val="single" w:color="000000" w:sz="4" w:space="0"/>
              <w:bottom w:val="nil"/>
              <w:right w:val="single" w:color="000000" w:sz="4" w:space="0"/>
            </w:tcBorders>
            <w:shd w:val="clear" w:color="auto" w:fill="auto"/>
            <w:vAlign w:val="center"/>
          </w:tcPr>
          <w:p w14:paraId="406E1B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23F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GCS101-GCS107</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79E6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5C9F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20CD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9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2F34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1C8F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73" w:type="dxa"/>
            <w:vMerge w:val="continue"/>
            <w:tcBorders>
              <w:top w:val="single" w:color="000000" w:sz="4" w:space="0"/>
              <w:left w:val="single" w:color="000000" w:sz="4" w:space="0"/>
              <w:bottom w:val="nil"/>
              <w:right w:val="single" w:color="000000" w:sz="4" w:space="0"/>
            </w:tcBorders>
            <w:shd w:val="clear" w:color="auto" w:fill="auto"/>
            <w:vAlign w:val="center"/>
          </w:tcPr>
          <w:p w14:paraId="2E7AFE94">
            <w:pPr>
              <w:jc w:val="center"/>
              <w:rPr>
                <w:rFonts w:hint="eastAsia" w:ascii="宋体" w:hAnsi="宋体" w:eastAsia="宋体" w:cs="宋体"/>
                <w:i w:val="0"/>
                <w:iCs w:val="0"/>
                <w:color w:val="000000"/>
                <w:sz w:val="24"/>
                <w:szCs w:val="24"/>
                <w:u w:val="none"/>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B80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变压器：2500KVA2     </w:t>
            </w:r>
          </w:p>
        </w:tc>
        <w:tc>
          <w:tcPr>
            <w:tcW w:w="996" w:type="dxa"/>
            <w:vMerge w:val="continue"/>
            <w:tcBorders>
              <w:top w:val="single" w:color="000000" w:sz="4" w:space="0"/>
              <w:left w:val="single" w:color="000000" w:sz="4" w:space="0"/>
              <w:bottom w:val="nil"/>
              <w:right w:val="single" w:color="000000" w:sz="4" w:space="0"/>
            </w:tcBorders>
            <w:shd w:val="clear" w:color="auto" w:fill="auto"/>
            <w:vAlign w:val="center"/>
          </w:tcPr>
          <w:p w14:paraId="52965C67">
            <w:pPr>
              <w:jc w:val="center"/>
              <w:rPr>
                <w:rFonts w:hint="eastAsia" w:ascii="宋体" w:hAnsi="宋体" w:eastAsia="宋体" w:cs="宋体"/>
                <w:i w:val="0"/>
                <w:iCs w:val="0"/>
                <w:color w:val="000000"/>
                <w:sz w:val="24"/>
                <w:szCs w:val="24"/>
                <w:u w:val="none"/>
              </w:rPr>
            </w:pPr>
          </w:p>
        </w:tc>
        <w:tc>
          <w:tcPr>
            <w:tcW w:w="1677" w:type="dxa"/>
            <w:vMerge w:val="continue"/>
            <w:tcBorders>
              <w:top w:val="single" w:color="000000" w:sz="4" w:space="0"/>
              <w:left w:val="single" w:color="000000" w:sz="4" w:space="0"/>
              <w:bottom w:val="nil"/>
              <w:right w:val="single" w:color="000000" w:sz="4" w:space="0"/>
            </w:tcBorders>
            <w:shd w:val="clear" w:color="auto" w:fill="auto"/>
            <w:vAlign w:val="center"/>
          </w:tcPr>
          <w:p w14:paraId="6FF9FF85">
            <w:pPr>
              <w:jc w:val="center"/>
              <w:rPr>
                <w:rFonts w:hint="eastAsia" w:ascii="宋体" w:hAnsi="宋体" w:eastAsia="宋体" w:cs="宋体"/>
                <w:i w:val="0"/>
                <w:iCs w:val="0"/>
                <w:color w:val="000000"/>
                <w:sz w:val="24"/>
                <w:szCs w:val="24"/>
                <w:u w:val="none"/>
              </w:rPr>
            </w:pPr>
          </w:p>
        </w:tc>
        <w:tc>
          <w:tcPr>
            <w:tcW w:w="559" w:type="dxa"/>
            <w:vMerge w:val="continue"/>
            <w:tcBorders>
              <w:top w:val="single" w:color="000000" w:sz="4" w:space="0"/>
              <w:left w:val="single" w:color="000000" w:sz="4" w:space="0"/>
              <w:bottom w:val="nil"/>
              <w:right w:val="single" w:color="000000" w:sz="4" w:space="0"/>
            </w:tcBorders>
            <w:shd w:val="clear" w:color="auto" w:fill="auto"/>
            <w:vAlign w:val="center"/>
          </w:tcPr>
          <w:p w14:paraId="4583C922">
            <w:pPr>
              <w:jc w:val="center"/>
              <w:rPr>
                <w:rFonts w:hint="eastAsia" w:ascii="宋体" w:hAnsi="宋体" w:eastAsia="宋体" w:cs="宋体"/>
                <w:i w:val="0"/>
                <w:iCs w:val="0"/>
                <w:color w:val="000000"/>
                <w:sz w:val="24"/>
                <w:szCs w:val="24"/>
                <w:u w:val="none"/>
              </w:rPr>
            </w:pP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769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GCS201-GCS301</w:t>
            </w: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5A686">
            <w:pPr>
              <w:jc w:val="center"/>
              <w:rPr>
                <w:rFonts w:hint="eastAsia" w:ascii="宋体" w:hAnsi="宋体" w:eastAsia="宋体" w:cs="宋体"/>
                <w:i w:val="0"/>
                <w:iCs w:val="0"/>
                <w:color w:val="000000"/>
                <w:sz w:val="24"/>
                <w:szCs w:val="24"/>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F6F2F">
            <w:pPr>
              <w:jc w:val="center"/>
              <w:rPr>
                <w:rFonts w:hint="eastAsia" w:ascii="宋体" w:hAnsi="宋体" w:eastAsia="宋体" w:cs="宋体"/>
                <w:i w:val="0"/>
                <w:iCs w:val="0"/>
                <w:color w:val="000000"/>
                <w:sz w:val="24"/>
                <w:szCs w:val="24"/>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C3BCC">
            <w:pPr>
              <w:jc w:val="center"/>
              <w:rPr>
                <w:rFonts w:hint="eastAsia" w:ascii="宋体" w:hAnsi="宋体" w:eastAsia="宋体" w:cs="宋体"/>
                <w:i w:val="0"/>
                <w:iCs w:val="0"/>
                <w:color w:val="000000"/>
                <w:sz w:val="24"/>
                <w:szCs w:val="24"/>
                <w:u w:val="none"/>
              </w:rPr>
            </w:pPr>
          </w:p>
        </w:tc>
        <w:tc>
          <w:tcPr>
            <w:tcW w:w="9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A4542">
            <w:pPr>
              <w:jc w:val="center"/>
              <w:rPr>
                <w:rFonts w:hint="eastAsia" w:ascii="宋体" w:hAnsi="宋体" w:eastAsia="宋体" w:cs="宋体"/>
                <w:i w:val="0"/>
                <w:iCs w:val="0"/>
                <w:color w:val="000000"/>
                <w:sz w:val="24"/>
                <w:szCs w:val="24"/>
                <w:u w:val="none"/>
              </w:rPr>
            </w:pPr>
          </w:p>
        </w:tc>
      </w:tr>
      <w:tr w14:paraId="67FF6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73" w:type="dxa"/>
            <w:vMerge w:val="continue"/>
            <w:tcBorders>
              <w:top w:val="single" w:color="000000" w:sz="4" w:space="0"/>
              <w:left w:val="single" w:color="000000" w:sz="4" w:space="0"/>
              <w:bottom w:val="nil"/>
              <w:right w:val="single" w:color="000000" w:sz="4" w:space="0"/>
            </w:tcBorders>
            <w:shd w:val="clear" w:color="auto" w:fill="auto"/>
            <w:vAlign w:val="center"/>
          </w:tcPr>
          <w:p w14:paraId="56D2B691">
            <w:pPr>
              <w:jc w:val="center"/>
              <w:rPr>
                <w:rFonts w:hint="eastAsia" w:ascii="宋体" w:hAnsi="宋体" w:eastAsia="宋体" w:cs="宋体"/>
                <w:i w:val="0"/>
                <w:iCs w:val="0"/>
                <w:color w:val="000000"/>
                <w:sz w:val="24"/>
                <w:szCs w:val="24"/>
                <w:u w:val="none"/>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6D3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变压器：1000KVA3    </w:t>
            </w:r>
          </w:p>
        </w:tc>
        <w:tc>
          <w:tcPr>
            <w:tcW w:w="996" w:type="dxa"/>
            <w:vMerge w:val="continue"/>
            <w:tcBorders>
              <w:top w:val="single" w:color="000000" w:sz="4" w:space="0"/>
              <w:left w:val="single" w:color="000000" w:sz="4" w:space="0"/>
              <w:bottom w:val="nil"/>
              <w:right w:val="single" w:color="000000" w:sz="4" w:space="0"/>
            </w:tcBorders>
            <w:shd w:val="clear" w:color="auto" w:fill="auto"/>
            <w:vAlign w:val="center"/>
          </w:tcPr>
          <w:p w14:paraId="0E9BF906">
            <w:pPr>
              <w:jc w:val="center"/>
              <w:rPr>
                <w:rFonts w:hint="eastAsia" w:ascii="宋体" w:hAnsi="宋体" w:eastAsia="宋体" w:cs="宋体"/>
                <w:i w:val="0"/>
                <w:iCs w:val="0"/>
                <w:color w:val="000000"/>
                <w:sz w:val="24"/>
                <w:szCs w:val="24"/>
                <w:u w:val="none"/>
              </w:rPr>
            </w:pPr>
          </w:p>
        </w:tc>
        <w:tc>
          <w:tcPr>
            <w:tcW w:w="1677" w:type="dxa"/>
            <w:vMerge w:val="continue"/>
            <w:tcBorders>
              <w:top w:val="single" w:color="000000" w:sz="4" w:space="0"/>
              <w:left w:val="single" w:color="000000" w:sz="4" w:space="0"/>
              <w:bottom w:val="nil"/>
              <w:right w:val="single" w:color="000000" w:sz="4" w:space="0"/>
            </w:tcBorders>
            <w:shd w:val="clear" w:color="auto" w:fill="auto"/>
            <w:vAlign w:val="center"/>
          </w:tcPr>
          <w:p w14:paraId="5C73BD36">
            <w:pPr>
              <w:jc w:val="center"/>
              <w:rPr>
                <w:rFonts w:hint="eastAsia" w:ascii="宋体" w:hAnsi="宋体" w:eastAsia="宋体" w:cs="宋体"/>
                <w:i w:val="0"/>
                <w:iCs w:val="0"/>
                <w:color w:val="000000"/>
                <w:sz w:val="24"/>
                <w:szCs w:val="24"/>
                <w:u w:val="none"/>
              </w:rPr>
            </w:pPr>
          </w:p>
        </w:tc>
        <w:tc>
          <w:tcPr>
            <w:tcW w:w="559" w:type="dxa"/>
            <w:vMerge w:val="continue"/>
            <w:tcBorders>
              <w:top w:val="single" w:color="000000" w:sz="4" w:space="0"/>
              <w:left w:val="single" w:color="000000" w:sz="4" w:space="0"/>
              <w:bottom w:val="nil"/>
              <w:right w:val="single" w:color="000000" w:sz="4" w:space="0"/>
            </w:tcBorders>
            <w:shd w:val="clear" w:color="auto" w:fill="auto"/>
            <w:vAlign w:val="center"/>
          </w:tcPr>
          <w:p w14:paraId="21383FEF">
            <w:pPr>
              <w:jc w:val="center"/>
              <w:rPr>
                <w:rFonts w:hint="eastAsia" w:ascii="宋体" w:hAnsi="宋体" w:eastAsia="宋体" w:cs="宋体"/>
                <w:i w:val="0"/>
                <w:iCs w:val="0"/>
                <w:color w:val="000000"/>
                <w:sz w:val="24"/>
                <w:szCs w:val="24"/>
                <w:u w:val="none"/>
              </w:rPr>
            </w:pP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079DB">
            <w:pPr>
              <w:jc w:val="center"/>
              <w:rPr>
                <w:rFonts w:hint="eastAsia" w:ascii="宋体" w:hAnsi="宋体" w:eastAsia="宋体" w:cs="宋体"/>
                <w:i w:val="0"/>
                <w:iCs w:val="0"/>
                <w:color w:val="000000"/>
                <w:sz w:val="24"/>
                <w:szCs w:val="24"/>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A17FD">
            <w:pPr>
              <w:jc w:val="center"/>
              <w:rPr>
                <w:rFonts w:hint="eastAsia" w:ascii="宋体" w:hAnsi="宋体" w:eastAsia="宋体" w:cs="宋体"/>
                <w:i w:val="0"/>
                <w:iCs w:val="0"/>
                <w:color w:val="000000"/>
                <w:sz w:val="24"/>
                <w:szCs w:val="24"/>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60D59">
            <w:pPr>
              <w:jc w:val="center"/>
              <w:rPr>
                <w:rFonts w:hint="eastAsia" w:ascii="宋体" w:hAnsi="宋体" w:eastAsia="宋体" w:cs="宋体"/>
                <w:i w:val="0"/>
                <w:iCs w:val="0"/>
                <w:color w:val="000000"/>
                <w:sz w:val="24"/>
                <w:szCs w:val="24"/>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F2A0C">
            <w:pPr>
              <w:jc w:val="center"/>
              <w:rPr>
                <w:rFonts w:hint="eastAsia" w:ascii="宋体" w:hAnsi="宋体" w:eastAsia="宋体" w:cs="宋体"/>
                <w:i w:val="0"/>
                <w:iCs w:val="0"/>
                <w:color w:val="000000"/>
                <w:sz w:val="24"/>
                <w:szCs w:val="24"/>
                <w:u w:val="none"/>
              </w:rPr>
            </w:pPr>
          </w:p>
        </w:tc>
        <w:tc>
          <w:tcPr>
            <w:tcW w:w="9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BEF06">
            <w:pPr>
              <w:jc w:val="center"/>
              <w:rPr>
                <w:rFonts w:hint="eastAsia" w:ascii="宋体" w:hAnsi="宋体" w:eastAsia="宋体" w:cs="宋体"/>
                <w:i w:val="0"/>
                <w:iCs w:val="0"/>
                <w:color w:val="000000"/>
                <w:sz w:val="24"/>
                <w:szCs w:val="24"/>
                <w:u w:val="none"/>
              </w:rPr>
            </w:pPr>
          </w:p>
        </w:tc>
      </w:tr>
      <w:tr w14:paraId="1BEFF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DD42">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合计</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26C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r>
              <w:rPr>
                <w:rFonts w:hint="eastAsia" w:ascii="宋体" w:hAnsi="宋体" w:cs="宋体"/>
                <w:i w:val="0"/>
                <w:iCs w:val="0"/>
                <w:color w:val="000000"/>
                <w:kern w:val="0"/>
                <w:sz w:val="24"/>
                <w:szCs w:val="24"/>
                <w:u w:val="none"/>
                <w:lang w:val="en-US" w:eastAsia="zh-CN" w:bidi="ar"/>
              </w:rPr>
              <w:t>1</w:t>
            </w:r>
            <w:bookmarkStart w:id="0" w:name="_GoBack"/>
            <w:bookmarkEnd w:id="0"/>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516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18800</w:t>
            </w:r>
            <w:r>
              <w:rPr>
                <w:rFonts w:hint="eastAsia" w:ascii="宋体" w:hAnsi="宋体" w:eastAsia="宋体" w:cs="宋体"/>
                <w:i w:val="0"/>
                <w:iCs w:val="0"/>
                <w:color w:val="000000"/>
                <w:kern w:val="0"/>
                <w:sz w:val="24"/>
                <w:szCs w:val="24"/>
                <w:u w:val="none"/>
                <w:lang w:val="en-US" w:eastAsia="zh-CN" w:bidi="ar"/>
              </w:rPr>
              <w:t>KVA</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C6CE3">
            <w:pPr>
              <w:jc w:val="center"/>
              <w:rPr>
                <w:rFonts w:hint="eastAsia" w:ascii="宋体" w:hAnsi="宋体" w:eastAsia="宋体" w:cs="宋体"/>
                <w:i w:val="0"/>
                <w:iCs w:val="0"/>
                <w:color w:val="000000"/>
                <w:sz w:val="24"/>
                <w:szCs w:val="24"/>
                <w:u w:val="none"/>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21B56">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33</w:t>
            </w: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4F06E">
            <w:pPr>
              <w:jc w:val="center"/>
              <w:rPr>
                <w:rFonts w:hint="eastAsia" w:ascii="宋体" w:hAnsi="宋体" w:eastAsia="宋体" w:cs="宋体"/>
                <w:i w:val="0"/>
                <w:iCs w:val="0"/>
                <w:color w:val="000000"/>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2615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82</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DA954">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21</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719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8</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C6BF2">
            <w:pPr>
              <w:jc w:val="center"/>
              <w:rPr>
                <w:rFonts w:hint="eastAsia" w:ascii="宋体" w:hAnsi="宋体" w:eastAsia="宋体" w:cs="宋体"/>
                <w:i w:val="0"/>
                <w:iCs w:val="0"/>
                <w:color w:val="000000"/>
                <w:sz w:val="24"/>
                <w:szCs w:val="24"/>
                <w:u w:val="none"/>
              </w:rPr>
            </w:pPr>
          </w:p>
        </w:tc>
      </w:tr>
      <w:tr w14:paraId="3EC91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47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0E3DBCB">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合计</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3EF70">
            <w:pPr>
              <w:jc w:val="center"/>
              <w:rPr>
                <w:rFonts w:hint="eastAsia" w:ascii="宋体" w:hAnsi="宋体" w:eastAsia="宋体" w:cs="宋体"/>
                <w:i w:val="0"/>
                <w:iCs w:val="0"/>
                <w:color w:val="000000"/>
                <w:sz w:val="22"/>
                <w:szCs w:val="22"/>
                <w:u w:val="none"/>
              </w:rPr>
            </w:pPr>
          </w:p>
        </w:tc>
      </w:tr>
    </w:tbl>
    <w:p w14:paraId="691FE287">
      <w:pPr>
        <w:spacing w:line="360" w:lineRule="auto"/>
        <w:ind w:firstLine="495"/>
        <w:rPr>
          <w:rFonts w:ascii="宋体"/>
          <w:sz w:val="24"/>
        </w:rPr>
      </w:pPr>
    </w:p>
    <w:p w14:paraId="4FB5B08B">
      <w:pPr>
        <w:spacing w:line="360" w:lineRule="auto"/>
        <w:rPr>
          <w:rFonts w:hint="eastAsia" w:ascii="宋体" w:hAnsi="宋体"/>
          <w:b/>
          <w:sz w:val="24"/>
          <w:lang w:val="en-US" w:eastAsia="zh-CN"/>
        </w:rPr>
      </w:pPr>
    </w:p>
    <w:p w14:paraId="3B33C575">
      <w:pPr>
        <w:spacing w:line="360" w:lineRule="auto"/>
        <w:rPr>
          <w:rFonts w:ascii="宋体" w:hAnsi="宋体"/>
          <w:b/>
          <w:sz w:val="24"/>
        </w:rPr>
      </w:pPr>
      <w:r>
        <w:rPr>
          <w:rFonts w:hint="eastAsia" w:ascii="宋体" w:hAnsi="宋体"/>
          <w:b/>
          <w:sz w:val="24"/>
          <w:lang w:val="en-US" w:eastAsia="zh-CN"/>
        </w:rPr>
        <w:t>三</w:t>
      </w:r>
      <w:r>
        <w:rPr>
          <w:rFonts w:hint="eastAsia" w:ascii="宋体" w:hAnsi="宋体"/>
          <w:b/>
          <w:sz w:val="24"/>
        </w:rPr>
        <w:t>、</w:t>
      </w:r>
      <w:r>
        <w:rPr>
          <w:rFonts w:ascii="宋体" w:hAnsi="宋体"/>
          <w:b/>
          <w:sz w:val="24"/>
        </w:rPr>
        <w:t xml:space="preserve"> </w:t>
      </w:r>
      <w:r>
        <w:rPr>
          <w:rFonts w:hint="eastAsia" w:ascii="宋体" w:hAnsi="宋体"/>
          <w:b/>
          <w:sz w:val="24"/>
        </w:rPr>
        <w:t>维保范围包括：</w:t>
      </w:r>
      <w:r>
        <w:rPr>
          <w:rFonts w:ascii="宋体" w:hAnsi="宋体"/>
          <w:b/>
          <w:sz w:val="24"/>
        </w:rPr>
        <w:t xml:space="preserve"> </w:t>
      </w:r>
    </w:p>
    <w:p w14:paraId="716A5A8D">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1.配电房</w:t>
      </w:r>
    </w:p>
    <w:p w14:paraId="5D23B50D">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保障10kV配电房的安全运行及对设备运行情况及时了解，消除故障隐患，主导完成配电房电气设备的数据参数的设置和修改，保障电气设备满足工况要求。促进安全生产。必须对高、低压柜、直流屏、变压器、接地系统等设备和装置进行每个月进行检查、每半年进行清理及检查、每年进行年检，每年进行一次配变电设备综合性试验，出具试验报告两份。</w:t>
      </w:r>
    </w:p>
    <w:p w14:paraId="21FC2831">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2．高压配电柜</w:t>
      </w:r>
    </w:p>
    <w:p w14:paraId="6F8D6FBE">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（1）每个月一次对电气设备进行检查。</w:t>
      </w:r>
    </w:p>
    <w:p w14:paraId="472EB353">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（2）检查母线接头处有无变形，有无放电变黑痕迹，紧固联接螺栓，螺栓若有生锈应予以更换，确保接头连接紧密。检查母线上绝缘子有无松动和损坏。</w:t>
      </w:r>
    </w:p>
    <w:p w14:paraId="74A1EE27">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（3）柜内的机械闭锁，电气闭锁应动作准确、可靠，开关小车推拉应灵活，无卡阻现象。</w:t>
      </w:r>
    </w:p>
    <w:p w14:paraId="2C4C8029">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（4）柜的接地应牢固良好，装有电器的可开启的门，应以裸铜软线与接地金属构件可靠地连接。</w:t>
      </w:r>
    </w:p>
    <w:p w14:paraId="45D75C04">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（5）柜的正面各电器、端子排等应标明编号、名称、用途及操作位置，其标明的字迹应清晰、工整、不易脱落。</w:t>
      </w:r>
    </w:p>
    <w:p w14:paraId="697CB083">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（6）柜内二次回路的连接件均应采用铜质制品牢固紧接，绝缘件采用自熄性阻燃材料，并应清洁干燥。</w:t>
      </w:r>
    </w:p>
    <w:p w14:paraId="62C64AE4">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（7）柜上装有装置性设备或其它有接地要求的电器，其外壳应可靠接地</w:t>
      </w:r>
    </w:p>
    <w:p w14:paraId="7C0617BE">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3.每半年一次对电气设备进行清理、检查。</w:t>
      </w:r>
    </w:p>
    <w:p w14:paraId="6588863E">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（1）高压柜必须清理干净，漆层完好，各构件间连接应牢固，接头温度应在允许范围。</w:t>
      </w:r>
    </w:p>
    <w:p w14:paraId="5F7717AB">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（2）柜的接地应牢固良好，装有电器的可开启的门，应以裸铜软线与接地金属构件可靠地连接。</w:t>
      </w:r>
    </w:p>
    <w:p w14:paraId="76C28A46">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（3）柜的正面各电器、端子排等应标明编号、名称、用途及操作位置，其标明的字迹应清晰、工整、不易脱落。</w:t>
      </w:r>
    </w:p>
    <w:p w14:paraId="025D18E6">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（4）柜内二次回路的连接件均应采用铜质制品牢固紧接，绝缘件采用自熄性阻燃材料，并应清洁干燥。</w:t>
      </w:r>
    </w:p>
    <w:p w14:paraId="75111FC5">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（5）柜上装有装置性设备或其它有接地要求的电器，其外壳应可靠接地。</w:t>
      </w:r>
    </w:p>
    <w:p w14:paraId="36BE6977">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4.每年一次按预防性试验规程对高压柜等进行预防性试验，并将试验报告交招标人存档，具体工作内容：</w:t>
      </w:r>
    </w:p>
    <w:p w14:paraId="19313535">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（1）重复每半年的检查内容；</w:t>
      </w:r>
    </w:p>
    <w:p w14:paraId="7109D365">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（2）开关及一次电气设备必须</w:t>
      </w:r>
      <w:r>
        <w:rPr>
          <w:rFonts w:hint="eastAsia" w:ascii="宋体" w:hAnsi="宋体" w:cs="Times New Roman"/>
          <w:color w:val="auto"/>
          <w:sz w:val="24"/>
          <w:szCs w:val="24"/>
          <w:lang w:val="en-US" w:eastAsia="zh-CN"/>
        </w:rPr>
        <w:t>做</w:t>
      </w:r>
      <w:r>
        <w:rPr>
          <w:rFonts w:hint="eastAsia" w:ascii="宋体" w:hAnsi="宋体" w:eastAsia="宋体" w:cs="Times New Roman"/>
          <w:color w:val="auto"/>
          <w:sz w:val="24"/>
          <w:szCs w:val="24"/>
          <w:lang w:val="en-US" w:eastAsia="zh-CN"/>
        </w:rPr>
        <w:t>绝缘试验和耐压试验。</w:t>
      </w:r>
    </w:p>
    <w:p w14:paraId="6DE7FDC7">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（3）柜内的互感器</w:t>
      </w:r>
      <w:r>
        <w:rPr>
          <w:rFonts w:hint="eastAsia" w:ascii="宋体" w:hAnsi="宋体" w:cs="Times New Roman"/>
          <w:color w:val="auto"/>
          <w:sz w:val="24"/>
          <w:szCs w:val="24"/>
          <w:lang w:val="en-US" w:eastAsia="zh-CN"/>
        </w:rPr>
        <w:t>做</w:t>
      </w:r>
      <w:r>
        <w:rPr>
          <w:rFonts w:hint="eastAsia" w:ascii="宋体" w:hAnsi="宋体" w:eastAsia="宋体" w:cs="Times New Roman"/>
          <w:color w:val="auto"/>
          <w:sz w:val="24"/>
          <w:szCs w:val="24"/>
          <w:lang w:val="en-US" w:eastAsia="zh-CN"/>
        </w:rPr>
        <w:t>变比检查和测量绝缘电阻。</w:t>
      </w:r>
    </w:p>
    <w:p w14:paraId="593C3DF6">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（4）测量开关的分、合闸线圈直流电阻，开关接触电阻，动作电压和返回电压以及分闸时间。</w:t>
      </w:r>
    </w:p>
    <w:p w14:paraId="6AA96589">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（5）校核继保器的动作值、返回值、整定值。</w:t>
      </w:r>
    </w:p>
    <w:p w14:paraId="13ADBB94">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5.蓄电池直流屏每个月的工作内容</w:t>
      </w:r>
    </w:p>
    <w:p w14:paraId="4A781570">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（1）对蓄电池进行恢复性的充放电。</w:t>
      </w:r>
    </w:p>
    <w:p w14:paraId="578135B7">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（2）巡看蓄电池的液面是否符合要求，有无漏液发生。</w:t>
      </w:r>
    </w:p>
    <w:p w14:paraId="25EB2477">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6.蓄电池直流屏每半年的工作内容</w:t>
      </w:r>
    </w:p>
    <w:p w14:paraId="354736EA">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（1）清除屏内充电机及设备上的灰尘和蓄电池槽表面污垢，连接件上的氧化物；</w:t>
      </w:r>
    </w:p>
    <w:p w14:paraId="61FC0F18">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（2）对充电机、输出回路进行绝缘测试以及各种特性测试。</w:t>
      </w:r>
    </w:p>
    <w:p w14:paraId="62F17835">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7.蓄电池直流屏每年的工作内容</w:t>
      </w:r>
    </w:p>
    <w:p w14:paraId="654383CC">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重复每半年的工作内容。</w:t>
      </w:r>
    </w:p>
    <w:p w14:paraId="1AF59C25">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8.变压器每个月一次对变压器进行检查。</w:t>
      </w:r>
    </w:p>
    <w:p w14:paraId="0D64A71D">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（1）变压器套管是否清洁，有无破损、裂纹和放电痕迹；</w:t>
      </w:r>
    </w:p>
    <w:p w14:paraId="168D3303">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（2）变压器零部件必须无损伤或移位，接线是否松动、断裂、绝缘件和线圈是否有破损，是否有</w:t>
      </w:r>
      <w:r>
        <w:rPr>
          <w:rFonts w:hint="eastAsia" w:ascii="宋体" w:hAnsi="宋体" w:cs="Times New Roman"/>
          <w:color w:val="auto"/>
          <w:sz w:val="24"/>
          <w:szCs w:val="24"/>
          <w:lang w:val="en-US" w:eastAsia="zh-CN"/>
        </w:rPr>
        <w:t>脏</w:t>
      </w:r>
      <w:r>
        <w:rPr>
          <w:rFonts w:hint="eastAsia" w:ascii="宋体" w:hAnsi="宋体" w:eastAsia="宋体" w:cs="Times New Roman"/>
          <w:color w:val="auto"/>
          <w:sz w:val="24"/>
          <w:szCs w:val="24"/>
          <w:lang w:val="en-US" w:eastAsia="zh-CN"/>
        </w:rPr>
        <w:t>物或异物等；</w:t>
      </w:r>
    </w:p>
    <w:p w14:paraId="70F52860">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（3）检查风机、温控设备等能否正常运行；</w:t>
      </w:r>
    </w:p>
    <w:p w14:paraId="7BF31200">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（4）变压器的主</w:t>
      </w:r>
      <w:r>
        <w:rPr>
          <w:rFonts w:hint="eastAsia" w:ascii="宋体" w:hAnsi="宋体" w:cs="Times New Roman"/>
          <w:color w:val="auto"/>
          <w:sz w:val="24"/>
          <w:szCs w:val="24"/>
          <w:lang w:val="en-US" w:eastAsia="zh-CN"/>
        </w:rPr>
        <w:t>副</w:t>
      </w:r>
      <w:r>
        <w:rPr>
          <w:rFonts w:hint="eastAsia" w:ascii="宋体" w:hAnsi="宋体" w:eastAsia="宋体" w:cs="Times New Roman"/>
          <w:color w:val="auto"/>
          <w:sz w:val="24"/>
          <w:szCs w:val="24"/>
          <w:lang w:val="en-US" w:eastAsia="zh-CN"/>
        </w:rPr>
        <w:t>设备的外壳接地是否良好。</w:t>
      </w:r>
    </w:p>
    <w:p w14:paraId="6E398CE4">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9.变压器每半年一次对变压器进行清理，检查。</w:t>
      </w:r>
    </w:p>
    <w:p w14:paraId="63448B23">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（1）重复每个月检查的内容；</w:t>
      </w:r>
    </w:p>
    <w:p w14:paraId="07DD25EE">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（2）高低压电缆头的接触情况，螺丝有无松动，接头是否过热；</w:t>
      </w:r>
    </w:p>
    <w:p w14:paraId="4635EAFC">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（3）检查所有的紧固件、连接件、标准件是否松动，并重新紧固一次；</w:t>
      </w:r>
    </w:p>
    <w:p w14:paraId="2B6A7C5B">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（4）检查变压器的箱体和铁芯是否可靠接地，穿心螺杆的绝缘是否良好；</w:t>
      </w:r>
    </w:p>
    <w:p w14:paraId="2C812833">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（5）套管密封、顶部连接片、密封衬垫的检查，瓷绝缘的检查和清扫；</w:t>
      </w:r>
    </w:p>
    <w:p w14:paraId="6A555952">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（6）各种保护装置、测量装置及操作控制箱的检修、试验；</w:t>
      </w:r>
    </w:p>
    <w:p w14:paraId="20428E28">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10.变压器每年一次进行年检</w:t>
      </w:r>
    </w:p>
    <w:p w14:paraId="3984FF79">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（1）重复每半年一次检查的内容；</w:t>
      </w:r>
    </w:p>
    <w:p w14:paraId="55DA0F2D">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（2）每年一次还必须进行下列预防性试验；①测量变压器绕组直流电阻，测量前绕组应充分放电；②测量变压器绕组的绝缘电阻，采用2500V兆欧表进行测量；③、进行变压器绕组的交流耐压试验；</w:t>
      </w:r>
    </w:p>
    <w:p w14:paraId="3B9961CA">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11.低压配电柜每个月一次对电气设备进行检查。</w:t>
      </w:r>
    </w:p>
    <w:p w14:paraId="49A91D3C">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（1）观察母排的发热程度，示温蜡片有否熔化，各连接螺丝有否松动；</w:t>
      </w:r>
    </w:p>
    <w:p w14:paraId="6FCFFF46">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（2）测量电容柜的温度，检查各电容器的外观有无变形，熔断器有无熔断，运行时不应该有任何声音。</w:t>
      </w:r>
    </w:p>
    <w:p w14:paraId="72F9344E">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（3）低压柜的机械闭锁、电气闭锁应动作准确、可靠；</w:t>
      </w:r>
    </w:p>
    <w:p w14:paraId="7472101E">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（4）配电柜抽屉推拉应灵活、无卡阻现象；</w:t>
      </w:r>
    </w:p>
    <w:p w14:paraId="76F7803F">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12.每半年一次对电气设备进行</w:t>
      </w:r>
      <w:r>
        <w:rPr>
          <w:rFonts w:hint="eastAsia" w:ascii="宋体" w:hAnsi="宋体" w:cs="Times New Roman"/>
          <w:color w:val="auto"/>
          <w:sz w:val="24"/>
          <w:szCs w:val="24"/>
          <w:lang w:val="en-US" w:eastAsia="zh-CN"/>
        </w:rPr>
        <w:t>卫生</w:t>
      </w:r>
      <w:r>
        <w:rPr>
          <w:rFonts w:hint="eastAsia" w:ascii="宋体" w:hAnsi="宋体" w:eastAsia="宋体" w:cs="Times New Roman"/>
          <w:color w:val="auto"/>
          <w:sz w:val="24"/>
          <w:szCs w:val="24"/>
          <w:lang w:val="en-US" w:eastAsia="zh-CN"/>
        </w:rPr>
        <w:t>清理、</w:t>
      </w:r>
      <w:r>
        <w:rPr>
          <w:rFonts w:hint="eastAsia" w:ascii="宋体" w:hAnsi="宋体" w:cs="Times New Roman"/>
          <w:color w:val="auto"/>
          <w:sz w:val="24"/>
          <w:szCs w:val="24"/>
          <w:lang w:val="en-US" w:eastAsia="zh-CN"/>
        </w:rPr>
        <w:t>安全运行</w:t>
      </w:r>
      <w:r>
        <w:rPr>
          <w:rFonts w:hint="eastAsia" w:ascii="宋体" w:hAnsi="宋体" w:eastAsia="宋体" w:cs="Times New Roman"/>
          <w:color w:val="auto"/>
          <w:sz w:val="24"/>
          <w:szCs w:val="24"/>
          <w:lang w:val="en-US" w:eastAsia="zh-CN"/>
        </w:rPr>
        <w:t xml:space="preserve">检查。  </w:t>
      </w:r>
    </w:p>
    <w:p w14:paraId="4DDF2BE7">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 xml:space="preserve">（1）低压柜内设备与各构件间连接应牢固，接头温度应在允许范围； </w:t>
      </w:r>
    </w:p>
    <w:p w14:paraId="4DD65A32">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（2）低压柜的机械闭锁、电气闭锁应动作准确、可靠；</w:t>
      </w:r>
    </w:p>
    <w:p w14:paraId="74CBF987">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（3）配电柜抽屉推拉应灵活、无卡阻现象；</w:t>
      </w:r>
    </w:p>
    <w:p w14:paraId="7D00D83D">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（4）柜的固定及接地可靠，漆层应完好、清洁整齐。</w:t>
      </w:r>
    </w:p>
    <w:p w14:paraId="6E8D0973">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13.低压配电柜每年一次年检内容</w:t>
      </w:r>
    </w:p>
    <w:p w14:paraId="219487C8">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（1）重复每半年的清理检查；</w:t>
      </w:r>
    </w:p>
    <w:p w14:paraId="29A241EF">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按预防性试验规程对设备进行预防性试验，并将试验报告交业主存档；①低压柜每段母线绝缘电阻不应小于0.5MΩ,电力线路绝缘电阻不小于0.5MΩ，试验采用500V兆欧表；②加1000V进行交流耐压试验；③校核仪表、继电器的动作值和返回值。</w:t>
      </w:r>
    </w:p>
    <w:p w14:paraId="7B9E076D">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14.低压配电柜每个月及每半年检查内容：</w:t>
      </w:r>
    </w:p>
    <w:p w14:paraId="4D4C3EEE">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（1）检查地网有无脱漆、锈蚀、设备各接地处、导体搭接处是否牢固。</w:t>
      </w:r>
    </w:p>
    <w:p w14:paraId="5365C8B3">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15.每年进行接地系统的接地电阻测量。</w:t>
      </w:r>
    </w:p>
    <w:p w14:paraId="5EEEB89B">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16.其他</w:t>
      </w:r>
    </w:p>
    <w:p w14:paraId="225A3FE8">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（1）检查配电房照明和防潮灯及通风机是否正常。</w:t>
      </w:r>
    </w:p>
    <w:p w14:paraId="545DE70D">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（2）检查配电房屋面有否漏水，电缆沟有否积水，门窗有否损坏。</w:t>
      </w:r>
    </w:p>
    <w:p w14:paraId="4263055E">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（3）检查防鼠挡板是否完整，房内孔洞有否堵死。</w:t>
      </w:r>
    </w:p>
    <w:p w14:paraId="65D08E73">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（4）检查配电房门外通道是否畅顺，有否被堵现象。</w:t>
      </w:r>
    </w:p>
    <w:p w14:paraId="19405DE7">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17.由于中标人维保不到位或者未能提供应急服务导致配电房停运的扣除当年的维护费用，并立即解除合同，如果因为维护不到位造成招标人损失的，招标人有权进行追诉并要求相应赔偿。</w:t>
      </w:r>
    </w:p>
    <w:p w14:paraId="6258188B">
      <w:pPr>
        <w:adjustRightInd w:val="0"/>
        <w:spacing w:line="360" w:lineRule="auto"/>
        <w:ind w:firstLine="482" w:firstLineChars="200"/>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四、服务要求</w:t>
      </w:r>
    </w:p>
    <w:p w14:paraId="21947523">
      <w:pPr>
        <w:spacing w:line="360" w:lineRule="auto"/>
        <w:ind w:firstLine="437"/>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1.中标人需配备一位项目负责人（具备机电工程二级及以上注册建造师资格），负责与招标人联系以及对项目进行整体管控。（</w:t>
      </w:r>
      <w:r>
        <w:rPr>
          <w:rFonts w:hint="eastAsia" w:ascii="宋体" w:hAnsi="宋体" w:eastAsia="宋体" w:cs="宋体"/>
          <w:b/>
          <w:sz w:val="24"/>
          <w:szCs w:val="18"/>
          <w:highlight w:val="none"/>
          <w:lang w:val="en-US" w:eastAsia="zh-CN"/>
        </w:rPr>
        <w:t>注：投标人在投标文件中无须提供人员相关证明材料，由招标人在合同签订后中标人进场服务前核查人员配备情况，人员须按照要求配备到位，否则招标人有权解除合同。</w:t>
      </w:r>
      <w:r>
        <w:rPr>
          <w:rFonts w:hint="eastAsia" w:ascii="宋体" w:hAnsi="宋体" w:eastAsia="宋体" w:cs="Times New Roman"/>
          <w:color w:val="auto"/>
          <w:sz w:val="24"/>
          <w:szCs w:val="24"/>
          <w:lang w:val="en-US" w:eastAsia="zh-CN"/>
        </w:rPr>
        <w:t>）</w:t>
      </w:r>
    </w:p>
    <w:p w14:paraId="035D75D7">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2.中标人应确保本项目所涉维保设备（包含电缆）达到完好状态。</w:t>
      </w:r>
    </w:p>
    <w:p w14:paraId="0587664E">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3.中标人应保证及时有效地处理好供电设备故障，保障招标人设备正常运行。</w:t>
      </w:r>
    </w:p>
    <w:p w14:paraId="4652474B">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4.中标人须保证严格遵守国家及行业规范要求，做好维护、抢修和试验等。</w:t>
      </w:r>
    </w:p>
    <w:p w14:paraId="07A2A205">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5.中标人所属本项目人员须持证上岗，定期维护、检验、履责，根据招标人用电负荷情况提醒并协助做好用电规划，及时向招标人报告，并做好记录，确保招标人用电安全。</w:t>
      </w:r>
    </w:p>
    <w:p w14:paraId="59EC5E35">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6.高压、低压设备的故障排查、保养维护项目，每月至少进行一次，且工作要细致、不留隐患、努力增长设备使用寿命、有效降低设备损坏率；每月维保表单须报业主确认，并签字存档。</w:t>
      </w:r>
    </w:p>
    <w:p w14:paraId="0F07E275">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7.本项目所涉维保设备的预防性试验每年进行一次。并出具正规的检测报告报业主确认存档。</w:t>
      </w:r>
    </w:p>
    <w:p w14:paraId="14F69DC5">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8.中标人须确保24小时全天候应急，高压设备重大故障，至少1小时内能赶到现场进行抢修；若未按时到达，或单次维修连续送电次数超过三次，招标人有权解除止合同。</w:t>
      </w:r>
    </w:p>
    <w:p w14:paraId="580C79CC">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10.更换元器件应和原设备厂家一致，特殊情况需要采用其他厂家产品时应征得招标人书面同意。若中标人投标时提供的常规易损清单中的元器件品牌并非和原设备厂家一致，则由中标人报给招标人审核，招标人审核同意后可采用其他厂家产品。</w:t>
      </w:r>
    </w:p>
    <w:p w14:paraId="1923EC26">
      <w:pPr>
        <w:adjustRightInd w:val="0"/>
        <w:spacing w:line="360" w:lineRule="auto"/>
        <w:ind w:firstLine="480" w:firstLineChars="200"/>
        <w:rPr>
          <w:rFonts w:hint="eastAsia" w:ascii="宋体" w:hAnsi="宋体" w:eastAsia="宋体" w:cs="Times New Roman"/>
          <w:b/>
          <w:bCs/>
          <w:color w:val="auto"/>
          <w:sz w:val="24"/>
          <w:szCs w:val="24"/>
          <w:lang w:val="en-US" w:eastAsia="zh-CN"/>
        </w:rPr>
      </w:pPr>
      <w:r>
        <w:rPr>
          <w:rFonts w:hint="eastAsia" w:ascii="宋体" w:hAnsi="宋体" w:eastAsia="宋体" w:cs="Times New Roman"/>
          <w:color w:val="auto"/>
          <w:sz w:val="24"/>
          <w:szCs w:val="24"/>
          <w:lang w:val="en-US" w:eastAsia="zh-CN"/>
        </w:rPr>
        <w:t>11.中标人在作业时应做好自身和作业区域的安全防范措施，作业过程中所引起的的人身安全和发生意外及由此造成第三方人身与财产损失的，全权由中标人负责承担，与招标人无关，造成的一切损失及人身伤亡等，均由中标人负责修复和承担赔偿等责任</w:t>
      </w:r>
      <w:r>
        <w:rPr>
          <w:rFonts w:hint="eastAsia" w:ascii="宋体" w:hAnsi="宋体" w:eastAsia="宋体" w:cs="Times New Roman"/>
          <w:b/>
          <w:bCs/>
          <w:color w:val="auto"/>
          <w:sz w:val="24"/>
          <w:szCs w:val="24"/>
          <w:lang w:val="en-US" w:eastAsia="zh-CN"/>
        </w:rPr>
        <w:t>。</w:t>
      </w:r>
    </w:p>
    <w:p w14:paraId="703EBC9E">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sz w:val="24"/>
          <w:szCs w:val="18"/>
          <w:highlight w:val="none"/>
          <w:lang w:val="en-US" w:eastAsia="zh-CN"/>
        </w:rPr>
      </w:pPr>
      <w:r>
        <w:rPr>
          <w:rFonts w:hint="eastAsia" w:ascii="宋体" w:hAnsi="宋体" w:eastAsia="宋体" w:cs="Times New Roman"/>
          <w:b/>
          <w:bCs/>
          <w:color w:val="auto"/>
          <w:sz w:val="24"/>
          <w:szCs w:val="24"/>
          <w:lang w:val="en-US" w:eastAsia="zh-CN"/>
        </w:rPr>
        <w:t>12.</w:t>
      </w:r>
      <w:r>
        <w:rPr>
          <w:rFonts w:hint="eastAsia" w:ascii="宋体" w:hAnsi="宋体" w:eastAsia="宋体" w:cs="宋体"/>
          <w:b/>
          <w:bCs/>
          <w:sz w:val="24"/>
          <w:szCs w:val="18"/>
          <w:lang w:val="en-US" w:eastAsia="zh-CN"/>
        </w:rPr>
        <w:t>投标人在投标时，需提供2份常规易损</w:t>
      </w:r>
      <w:r>
        <w:rPr>
          <w:rFonts w:hint="eastAsia" w:ascii="宋体" w:hAnsi="宋体" w:eastAsia="宋体" w:cs="宋体"/>
          <w:b/>
          <w:bCs/>
          <w:sz w:val="24"/>
          <w:szCs w:val="18"/>
          <w:highlight w:val="none"/>
          <w:lang w:val="en-US" w:eastAsia="zh-CN"/>
        </w:rPr>
        <w:t>配件清单【本项作为资格审查项，投标人须按招标文件要求提供，否则投标无效。格式详见 投标文件格式 商务文件 常规易损配件清单报价表。</w:t>
      </w:r>
    </w:p>
    <w:p w14:paraId="03D19810">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sz w:val="24"/>
          <w:szCs w:val="18"/>
          <w:lang w:val="en-US" w:eastAsia="zh-CN"/>
        </w:rPr>
      </w:pPr>
      <w:r>
        <w:rPr>
          <w:rFonts w:hint="eastAsia" w:ascii="宋体" w:hAnsi="宋体" w:eastAsia="宋体" w:cs="宋体"/>
          <w:b/>
          <w:bCs/>
          <w:sz w:val="24"/>
          <w:szCs w:val="18"/>
          <w:lang w:val="en-US" w:eastAsia="zh-CN"/>
        </w:rPr>
        <w:t>（1）单价小于或等于200元的常规易损配件清单，清单内容包括配件名称、品牌、规格、价格。</w:t>
      </w:r>
    </w:p>
    <w:p w14:paraId="4E642D02">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sz w:val="24"/>
          <w:szCs w:val="18"/>
          <w:lang w:val="en-US" w:eastAsia="zh-CN"/>
        </w:rPr>
      </w:pPr>
      <w:r>
        <w:rPr>
          <w:rFonts w:hint="eastAsia" w:ascii="宋体" w:hAnsi="宋体" w:eastAsia="宋体" w:cs="宋体"/>
          <w:b/>
          <w:bCs/>
          <w:sz w:val="24"/>
          <w:szCs w:val="18"/>
          <w:lang w:val="en-US" w:eastAsia="zh-CN"/>
        </w:rPr>
        <w:t>（2）单价大于200元的常规易损配件清单，清单内容包括配件名称、品牌、规格、价格。</w:t>
      </w:r>
    </w:p>
    <w:p w14:paraId="53A1C1DB">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sz w:val="24"/>
          <w:szCs w:val="18"/>
          <w:lang w:val="en-US" w:eastAsia="zh-CN"/>
        </w:rPr>
      </w:pPr>
      <w:r>
        <w:rPr>
          <w:rFonts w:hint="eastAsia" w:ascii="宋体" w:hAnsi="宋体" w:eastAsia="宋体" w:cs="宋体"/>
          <w:b/>
          <w:bCs/>
          <w:sz w:val="24"/>
          <w:szCs w:val="18"/>
          <w:lang w:val="en-US" w:eastAsia="zh-CN"/>
        </w:rPr>
        <w:t>作为合同期内更换配件费用确定的依据。</w:t>
      </w:r>
    </w:p>
    <w:p w14:paraId="54519906">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default" w:ascii="宋体" w:hAnsi="宋体" w:eastAsia="宋体" w:cs="宋体"/>
          <w:b/>
          <w:bCs/>
          <w:sz w:val="24"/>
          <w:szCs w:val="18"/>
          <w:lang w:val="en-US" w:eastAsia="zh-CN"/>
        </w:rPr>
      </w:pPr>
      <w:r>
        <w:rPr>
          <w:rFonts w:hint="eastAsia" w:ascii="宋体" w:hAnsi="宋体" w:eastAsia="宋体" w:cs="宋体"/>
          <w:b/>
          <w:bCs/>
          <w:sz w:val="24"/>
          <w:szCs w:val="18"/>
          <w:lang w:val="en-US" w:eastAsia="zh-CN"/>
        </w:rPr>
        <w:t>注：单项、单件材料费为200元</w:t>
      </w:r>
      <w:r>
        <w:rPr>
          <w:rFonts w:hint="eastAsia" w:ascii="宋体" w:hAnsi="宋体" w:cs="宋体"/>
          <w:b/>
          <w:bCs/>
          <w:sz w:val="24"/>
          <w:szCs w:val="18"/>
          <w:lang w:val="en-US" w:eastAsia="zh-CN"/>
        </w:rPr>
        <w:t>及</w:t>
      </w:r>
      <w:r>
        <w:rPr>
          <w:rFonts w:hint="eastAsia" w:ascii="宋体" w:hAnsi="宋体" w:eastAsia="宋体" w:cs="宋体"/>
          <w:b/>
          <w:bCs/>
          <w:sz w:val="24"/>
          <w:szCs w:val="18"/>
          <w:lang w:val="en-US" w:eastAsia="zh-CN"/>
        </w:rPr>
        <w:t>以下的由中标人免费负责更换；单项、单件材料费为200元以上的材料，由中标人书面向招标人提出更换申请，经招标人同意后，由招标人自行采购或委托中标人采购，由中标人免费维修更换，招标人不再支付人工费等其他费用。更换的材料质保期为1年。</w:t>
      </w:r>
    </w:p>
    <w:p w14:paraId="0F933D71">
      <w:pPr>
        <w:spacing w:line="360" w:lineRule="auto"/>
        <w:ind w:firstLine="480" w:firstLineChars="200"/>
        <w:rPr>
          <w:rFonts w:hint="eastAsia" w:ascii="宋体" w:hAnsi="宋体" w:eastAsia="宋体" w:cs="Times New Roman"/>
          <w:color w:val="auto"/>
          <w:sz w:val="24"/>
          <w:szCs w:val="24"/>
          <w:lang w:val="en-US" w:eastAsia="zh-CN"/>
        </w:rPr>
      </w:pPr>
    </w:p>
    <w:p w14:paraId="3A0B1E27">
      <w:pPr>
        <w:spacing w:line="360" w:lineRule="auto"/>
        <w:rPr>
          <w:rFonts w:ascii="宋体"/>
          <w:sz w:val="24"/>
        </w:rPr>
      </w:pPr>
    </w:p>
    <w:p w14:paraId="3FBF7ADC">
      <w:pPr>
        <w:spacing w:line="360" w:lineRule="auto"/>
        <w:jc w:val="center"/>
        <w:rPr>
          <w:rFonts w:ascii="宋体"/>
          <w:sz w:val="24"/>
        </w:rPr>
      </w:pPr>
    </w:p>
    <w:p w14:paraId="2D9C7381">
      <w:pPr>
        <w:spacing w:line="360" w:lineRule="auto"/>
        <w:ind w:firstLine="720" w:firstLineChars="300"/>
        <w:jc w:val="center"/>
        <w:rPr>
          <w:rFonts w:hint="default" w:ascii="宋体"/>
          <w:sz w:val="24"/>
          <w:lang w:val="en-US" w:eastAsia="zh-CN"/>
        </w:rPr>
      </w:pPr>
      <w:r>
        <w:rPr>
          <w:rFonts w:hint="eastAsia" w:ascii="宋体"/>
          <w:sz w:val="24"/>
          <w:lang w:val="en-US" w:eastAsia="zh-CN"/>
        </w:rPr>
        <w:t xml:space="preserve">                                  报价单位：</w:t>
      </w:r>
    </w:p>
    <w:p w14:paraId="18B65714">
      <w:pPr>
        <w:spacing w:line="360" w:lineRule="auto"/>
        <w:ind w:firstLine="4800" w:firstLineChars="2000"/>
        <w:jc w:val="center"/>
        <w:rPr>
          <w:rFonts w:hint="eastAsia" w:ascii="宋体" w:hAnsi="宋体"/>
          <w:sz w:val="24"/>
          <w:lang w:eastAsia="zh-CN"/>
        </w:rPr>
      </w:pPr>
      <w:r>
        <w:rPr>
          <w:rFonts w:hint="eastAsia" w:ascii="宋体" w:hAnsi="宋体"/>
          <w:sz w:val="24"/>
          <w:lang w:val="en-US" w:eastAsia="zh-CN"/>
        </w:rPr>
        <w:t xml:space="preserve">  联系</w:t>
      </w:r>
      <w:r>
        <w:rPr>
          <w:rFonts w:hint="eastAsia" w:ascii="宋体" w:hAnsi="宋体"/>
          <w:sz w:val="24"/>
        </w:rPr>
        <w:t>人</w:t>
      </w:r>
      <w:r>
        <w:rPr>
          <w:rFonts w:hint="eastAsia" w:ascii="宋体" w:hAnsi="宋体"/>
          <w:sz w:val="24"/>
          <w:lang w:eastAsia="zh-CN"/>
        </w:rPr>
        <w:t>：</w:t>
      </w:r>
    </w:p>
    <w:p w14:paraId="00D2F7CA">
      <w:pPr>
        <w:spacing w:line="360" w:lineRule="auto"/>
        <w:ind w:firstLine="720" w:firstLineChars="300"/>
        <w:jc w:val="center"/>
        <w:rPr>
          <w:rFonts w:hint="eastAsia" w:ascii="宋体" w:hAnsi="宋体"/>
          <w:sz w:val="24"/>
          <w:lang w:val="en-US" w:eastAsia="zh-CN"/>
        </w:rPr>
      </w:pPr>
      <w:r>
        <w:rPr>
          <w:rFonts w:hint="eastAsia" w:ascii="宋体" w:hAnsi="宋体"/>
          <w:sz w:val="24"/>
          <w:lang w:val="en-US" w:eastAsia="zh-CN"/>
        </w:rPr>
        <w:t xml:space="preserve">                                  联系电话：</w:t>
      </w:r>
    </w:p>
    <w:p w14:paraId="51EF154E">
      <w:pPr>
        <w:spacing w:line="360" w:lineRule="auto"/>
        <w:ind w:firstLine="720" w:firstLineChars="300"/>
        <w:jc w:val="center"/>
        <w:rPr>
          <w:rFonts w:hint="default" w:ascii="宋体" w:hAnsi="宋体"/>
          <w:sz w:val="24"/>
          <w:lang w:val="en-US" w:eastAsia="zh-CN"/>
        </w:rPr>
      </w:pPr>
      <w:r>
        <w:rPr>
          <w:rFonts w:hint="eastAsia" w:ascii="宋体" w:hAnsi="宋体"/>
          <w:sz w:val="24"/>
          <w:lang w:val="en-US" w:eastAsia="zh-CN"/>
        </w:rPr>
        <w:t xml:space="preserve">                                      日期：</w:t>
      </w:r>
    </w:p>
    <w:p w14:paraId="18B1FA3F">
      <w:pPr>
        <w:spacing w:line="360" w:lineRule="auto"/>
        <w:ind w:firstLine="240" w:firstLineChars="100"/>
        <w:rPr>
          <w:rFonts w:hint="eastAsia" w:ascii="宋体" w:hAnsi="宋体"/>
          <w:sz w:val="24"/>
          <w:lang w:eastAsia="zh-CN"/>
        </w:rPr>
      </w:pPr>
      <w:r>
        <w:rPr>
          <w:rFonts w:ascii="宋体" w:hAnsi="宋体"/>
          <w:sz w:val="24"/>
        </w:rPr>
        <w:t xml:space="preserve">   </w:t>
      </w:r>
      <w:r>
        <w:rPr>
          <w:rFonts w:hint="eastAsia" w:ascii="宋体" w:hAnsi="宋体"/>
          <w:sz w:val="24"/>
          <w:lang w:val="en-US" w:eastAsia="zh-CN"/>
        </w:rPr>
        <w:t xml:space="preserve">                    </w:t>
      </w:r>
    </w:p>
    <w:p w14:paraId="7498B3DE">
      <w:pPr>
        <w:spacing w:line="360" w:lineRule="auto"/>
        <w:ind w:firstLine="240" w:firstLineChars="100"/>
        <w:rPr>
          <w:rFonts w:hint="eastAsia" w:ascii="宋体" w:hAnsi="宋体"/>
          <w:sz w:val="24"/>
          <w:lang w:eastAsia="zh-CN"/>
        </w:rPr>
      </w:pPr>
    </w:p>
    <w:p w14:paraId="4D071324">
      <w:pPr>
        <w:spacing w:line="360" w:lineRule="auto"/>
        <w:ind w:firstLine="240" w:firstLineChars="100"/>
        <w:rPr>
          <w:rFonts w:hint="eastAsia" w:ascii="宋体" w:hAnsi="宋体"/>
          <w:sz w:val="24"/>
          <w:lang w:eastAsia="zh-CN"/>
        </w:rPr>
      </w:pPr>
    </w:p>
    <w:p w14:paraId="3B7ACAC7">
      <w:pPr>
        <w:spacing w:line="360" w:lineRule="auto"/>
        <w:ind w:firstLine="240" w:firstLineChars="100"/>
        <w:rPr>
          <w:rFonts w:hint="eastAsia" w:ascii="宋体" w:hAnsi="宋体"/>
          <w:sz w:val="24"/>
          <w:lang w:eastAsia="zh-CN"/>
        </w:rPr>
      </w:pPr>
    </w:p>
    <w:p w14:paraId="0CDB5CF3">
      <w:pPr>
        <w:spacing w:line="360" w:lineRule="auto"/>
        <w:ind w:firstLine="240" w:firstLineChars="100"/>
        <w:rPr>
          <w:rFonts w:hint="eastAsia" w:ascii="宋体" w:hAnsi="宋体"/>
          <w:sz w:val="24"/>
          <w:lang w:eastAsia="zh-CN"/>
        </w:rPr>
      </w:pPr>
    </w:p>
    <w:p w14:paraId="74E63EBA">
      <w:pPr>
        <w:spacing w:line="360" w:lineRule="auto"/>
        <w:ind w:firstLine="240" w:firstLineChars="100"/>
        <w:rPr>
          <w:rFonts w:hint="eastAsia" w:ascii="宋体" w:hAnsi="宋体"/>
          <w:sz w:val="24"/>
          <w:lang w:eastAsia="zh-CN"/>
        </w:rPr>
      </w:pPr>
    </w:p>
    <w:p w14:paraId="08AFE5ED">
      <w:pPr>
        <w:spacing w:line="360" w:lineRule="auto"/>
        <w:ind w:firstLine="240" w:firstLineChars="100"/>
        <w:rPr>
          <w:rFonts w:hint="eastAsia" w:ascii="宋体" w:hAnsi="宋体"/>
          <w:sz w:val="24"/>
          <w:lang w:eastAsia="zh-CN"/>
        </w:rPr>
      </w:pPr>
    </w:p>
    <w:p w14:paraId="35021C02">
      <w:pPr>
        <w:spacing w:line="360" w:lineRule="auto"/>
        <w:ind w:firstLine="240" w:firstLineChars="100"/>
        <w:rPr>
          <w:rFonts w:hint="eastAsia" w:ascii="宋体" w:hAnsi="宋体"/>
          <w:sz w:val="24"/>
          <w:lang w:eastAsia="zh-CN"/>
        </w:rPr>
      </w:pPr>
    </w:p>
    <w:p w14:paraId="7CBBB18B">
      <w:pPr>
        <w:spacing w:line="360" w:lineRule="auto"/>
        <w:ind w:firstLine="240" w:firstLineChars="100"/>
        <w:rPr>
          <w:rFonts w:hint="eastAsia" w:ascii="宋体" w:hAnsi="宋体"/>
          <w:sz w:val="24"/>
          <w:lang w:eastAsia="zh-CN"/>
        </w:rPr>
      </w:pPr>
    </w:p>
    <w:p w14:paraId="34E42F7B">
      <w:pPr>
        <w:spacing w:line="360" w:lineRule="auto"/>
        <w:ind w:firstLine="240" w:firstLineChars="100"/>
        <w:rPr>
          <w:rFonts w:hint="eastAsia" w:ascii="宋体" w:hAnsi="宋体"/>
          <w:sz w:val="24"/>
          <w:lang w:eastAsia="zh-CN"/>
        </w:rPr>
      </w:pPr>
    </w:p>
    <w:p w14:paraId="417287DB">
      <w:pPr>
        <w:spacing w:line="360" w:lineRule="auto"/>
        <w:ind w:firstLine="240" w:firstLineChars="100"/>
        <w:rPr>
          <w:rFonts w:hint="eastAsia" w:ascii="宋体" w:hAnsi="宋体"/>
          <w:sz w:val="24"/>
          <w:lang w:eastAsia="zh-CN"/>
        </w:rPr>
      </w:pPr>
    </w:p>
    <w:p w14:paraId="55D5BC7D">
      <w:pPr>
        <w:spacing w:line="360" w:lineRule="auto"/>
        <w:ind w:firstLine="240" w:firstLineChars="100"/>
        <w:rPr>
          <w:rFonts w:hint="eastAsia" w:ascii="宋体" w:hAnsi="宋体"/>
          <w:sz w:val="24"/>
          <w:lang w:eastAsia="zh-CN"/>
        </w:rPr>
      </w:pPr>
    </w:p>
    <w:p w14:paraId="26EC7794">
      <w:pPr>
        <w:spacing w:line="360" w:lineRule="auto"/>
        <w:ind w:firstLine="240" w:firstLineChars="100"/>
        <w:rPr>
          <w:rFonts w:hint="eastAsia" w:ascii="宋体" w:hAnsi="宋体"/>
          <w:sz w:val="24"/>
          <w:lang w:val="en-US" w:eastAsia="zh-CN"/>
        </w:rPr>
      </w:pPr>
    </w:p>
    <w:sectPr>
      <w:pgSz w:w="11906" w:h="16838"/>
      <w:pgMar w:top="1134" w:right="1134" w:bottom="85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zOWZlZWNiZWE5OTViMTA3MmZmMGRlYTM5YTcxNTIifQ=="/>
  </w:docVars>
  <w:rsids>
    <w:rsidRoot w:val="0021300D"/>
    <w:rsid w:val="000F4E3C"/>
    <w:rsid w:val="00106A77"/>
    <w:rsid w:val="001F0E0F"/>
    <w:rsid w:val="0021300D"/>
    <w:rsid w:val="002178BA"/>
    <w:rsid w:val="0025271E"/>
    <w:rsid w:val="002A39B4"/>
    <w:rsid w:val="002B4CD3"/>
    <w:rsid w:val="002F7482"/>
    <w:rsid w:val="00314BD9"/>
    <w:rsid w:val="003436A2"/>
    <w:rsid w:val="00410817"/>
    <w:rsid w:val="004D79B0"/>
    <w:rsid w:val="00711F23"/>
    <w:rsid w:val="00717717"/>
    <w:rsid w:val="00726BC4"/>
    <w:rsid w:val="00782ED6"/>
    <w:rsid w:val="007A1A08"/>
    <w:rsid w:val="007A1BC3"/>
    <w:rsid w:val="007A7E3E"/>
    <w:rsid w:val="008C1595"/>
    <w:rsid w:val="00911646"/>
    <w:rsid w:val="00934365"/>
    <w:rsid w:val="009B2432"/>
    <w:rsid w:val="00A26749"/>
    <w:rsid w:val="00A271E8"/>
    <w:rsid w:val="00AA1EA7"/>
    <w:rsid w:val="00AE4DD7"/>
    <w:rsid w:val="00B14A84"/>
    <w:rsid w:val="00B43371"/>
    <w:rsid w:val="00C0707F"/>
    <w:rsid w:val="00C93A07"/>
    <w:rsid w:val="00D20B33"/>
    <w:rsid w:val="00D8154B"/>
    <w:rsid w:val="00E57CD4"/>
    <w:rsid w:val="00E85306"/>
    <w:rsid w:val="00E86CDB"/>
    <w:rsid w:val="00EA60CC"/>
    <w:rsid w:val="00EE49A8"/>
    <w:rsid w:val="00F27E74"/>
    <w:rsid w:val="00F43310"/>
    <w:rsid w:val="00F468D3"/>
    <w:rsid w:val="00F8217B"/>
    <w:rsid w:val="00F83708"/>
    <w:rsid w:val="00F91B40"/>
    <w:rsid w:val="00FA2B94"/>
    <w:rsid w:val="00FC0B63"/>
    <w:rsid w:val="00FF3CE6"/>
    <w:rsid w:val="0B236878"/>
    <w:rsid w:val="0D006A41"/>
    <w:rsid w:val="0D1D3A97"/>
    <w:rsid w:val="0ED17109"/>
    <w:rsid w:val="10305890"/>
    <w:rsid w:val="1332659D"/>
    <w:rsid w:val="18584BE3"/>
    <w:rsid w:val="1A5D27F8"/>
    <w:rsid w:val="1CFC75C8"/>
    <w:rsid w:val="1F8F276F"/>
    <w:rsid w:val="289C7CAD"/>
    <w:rsid w:val="29F62CD8"/>
    <w:rsid w:val="2B9C0772"/>
    <w:rsid w:val="2C3A1B18"/>
    <w:rsid w:val="34626514"/>
    <w:rsid w:val="3ADE1EC7"/>
    <w:rsid w:val="40645024"/>
    <w:rsid w:val="4690085B"/>
    <w:rsid w:val="47D66741"/>
    <w:rsid w:val="536C61AC"/>
    <w:rsid w:val="53B96CE9"/>
    <w:rsid w:val="54971006"/>
    <w:rsid w:val="5AD85ED5"/>
    <w:rsid w:val="64607667"/>
    <w:rsid w:val="67AD4485"/>
    <w:rsid w:val="68D75DBC"/>
    <w:rsid w:val="69B322C1"/>
    <w:rsid w:val="6D541ADD"/>
    <w:rsid w:val="70BF3967"/>
    <w:rsid w:val="760342F6"/>
    <w:rsid w:val="786A41B8"/>
    <w:rsid w:val="78D635FC"/>
    <w:rsid w:val="7AEA68C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sz w:val="18"/>
      <w:szCs w:val="18"/>
    </w:rPr>
  </w:style>
  <w:style w:type="character" w:customStyle="1" w:styleId="7">
    <w:name w:val="页脚 Char"/>
    <w:basedOn w:val="5"/>
    <w:link w:val="2"/>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6</Pages>
  <Words>4727</Words>
  <Characters>5085</Characters>
  <Lines>14</Lines>
  <Paragraphs>4</Paragraphs>
  <TotalTime>4</TotalTime>
  <ScaleCrop>false</ScaleCrop>
  <LinksUpToDate>false</LinksUpToDate>
  <CharactersWithSpaces>5240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2017-04-15T01:16:00Z</dcterms:created>
  <dc:creator>Sky123.Org</dc:creator>
  <cp:lastModifiedBy>&amp;羙侑\茹菓</cp:lastModifiedBy>
  <cp:lastPrinted>2019-04-08T01:07:00Z</cp:lastPrinted>
  <dcterms:modified xsi:type="dcterms:W3CDTF">2026-04-15T07:47:17Z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1EC46436491741D3B866FEBCC596476A_13</vt:lpwstr>
  </property>
  <property fmtid="{D5CDD505-2E9C-101B-9397-08002B2CF9AE}" pid="4" name="KSOTemplateDocerSaveRecord">
    <vt:lpwstr>eyJoZGlkIjoiMTRhMjkxNWI1ZDI5OGUwMDAyMDA4OTA5MTQxMmUwNjkiLCJ1c2VySWQiOiI0OTI0NDIwNjgifQ==</vt:lpwstr>
  </property>
</Properties>
</file>