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w:t>
      </w:r>
      <w:r>
        <w:rPr>
          <w:rFonts w:hint="eastAsia" w:eastAsia="黑体" w:cs="Times New Roman"/>
          <w:sz w:val="56"/>
          <w:szCs w:val="21"/>
          <w:highlight w:val="none"/>
          <w:lang w:val="en-US" w:eastAsia="zh-CN"/>
        </w:rPr>
        <w:t>磨滩旅游度假区抖音服务商合作</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50"/>
        <w:rPr>
          <w:rFonts w:hint="eastAsia" w:ascii="宋体" w:hAnsi="宋体"/>
          <w:b/>
          <w:sz w:val="30"/>
          <w:szCs w:val="30"/>
          <w:highlight w:val="none"/>
        </w:rPr>
      </w:pPr>
    </w:p>
    <w:p w14:paraId="541D66F6">
      <w:pPr>
        <w:pStyle w:val="50"/>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五</w:t>
      </w:r>
      <w:r>
        <w:rPr>
          <w:rFonts w:ascii="宋体" w:hAnsi="宋体"/>
          <w:bCs/>
          <w:sz w:val="36"/>
          <w:highlight w:val="none"/>
        </w:rPr>
        <w:t>月</w:t>
      </w:r>
    </w:p>
    <w:p w14:paraId="61EC76EF">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3"/>
        <w:spacing w:line="500" w:lineRule="exact"/>
        <w:ind w:firstLine="0"/>
        <w:rPr>
          <w:rFonts w:hint="eastAsia" w:ascii="微软雅黑" w:hAnsi="微软雅黑" w:eastAsia="微软雅黑" w:cs="微软雅黑"/>
          <w:sz w:val="24"/>
          <w:szCs w:val="16"/>
          <w:highlight w:val="none"/>
        </w:rPr>
      </w:pPr>
      <w:bookmarkStart w:id="3" w:name="_Toc245092759"/>
      <w:bookmarkStart w:id="4" w:name="_Toc273602339"/>
      <w:bookmarkStart w:id="5" w:name="_Toc19026"/>
      <w:bookmarkStart w:id="6" w:name="_Toc3973347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Hlt510343011"/>
      <w:bookmarkStart w:id="8" w:name="_Toc229413619"/>
      <w:bookmarkStart w:id="9" w:name="_Toc245092760"/>
      <w:bookmarkStart w:id="10" w:name="_Toc273602340"/>
      <w:bookmarkStart w:id="11" w:name="_Hlt510342998"/>
      <w:bookmarkStart w:id="12" w:name="_Toc39733477"/>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“2026年磨滩旅游度假区抖音服务商合作</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w:t>
      </w:r>
      <w:r>
        <w:rPr>
          <w:rFonts w:hint="eastAsia" w:ascii="宋体" w:hAnsi="宋体"/>
          <w:szCs w:val="21"/>
          <w:highlight w:val="none"/>
          <w:lang w:val="en-US" w:eastAsia="zh-CN"/>
        </w:rPr>
        <w:t>评审方式：综合评分法</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w:t>
      </w:r>
      <w:r>
        <w:rPr>
          <w:rFonts w:hint="eastAsia" w:ascii="宋体" w:hAnsi="宋体"/>
          <w:szCs w:val="21"/>
          <w:highlight w:val="none"/>
          <w:lang w:eastAsia="zh-CN"/>
        </w:rPr>
        <w:t>，</w:t>
      </w:r>
      <w:r>
        <w:rPr>
          <w:rFonts w:hint="eastAsia" w:ascii="宋体" w:hAnsi="宋体"/>
          <w:szCs w:val="21"/>
          <w:highlight w:val="none"/>
        </w:rPr>
        <w:t>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w:t>
      </w:r>
      <w:r>
        <w:rPr>
          <w:rFonts w:hint="eastAsia" w:ascii="宋体" w:hAnsi="宋体"/>
          <w:b/>
          <w:bCs/>
          <w:color w:val="000000"/>
          <w:szCs w:val="21"/>
          <w:highlight w:val="none"/>
          <w:lang w:val="en-US" w:eastAsia="zh-CN"/>
        </w:rPr>
        <w:t>24</w:t>
      </w:r>
      <w:r>
        <w:rPr>
          <w:rFonts w:hint="eastAsia" w:ascii="宋体" w:hAnsi="宋体"/>
          <w:b/>
          <w:bCs/>
          <w:color w:val="000000"/>
          <w:szCs w:val="21"/>
          <w:highlight w:val="none"/>
        </w:rPr>
        <w:t>年1月1日以来（依据合同签约日期），作为独立中标人</w:t>
      </w:r>
      <w:r>
        <w:rPr>
          <w:rFonts w:hint="eastAsia" w:ascii="宋体" w:hAnsi="宋体"/>
          <w:b/>
          <w:bCs/>
          <w:color w:val="000000"/>
          <w:szCs w:val="21"/>
          <w:highlight w:val="none"/>
          <w:lang w:val="en-US" w:eastAsia="zh-CN"/>
        </w:rPr>
        <w:t>完成真实可核验酒店或景区（乐园或商业街区/园区等项目均可称为景区）门票一体化抖音运营落地标杆案例</w:t>
      </w:r>
      <w:r>
        <w:rPr>
          <w:rFonts w:hint="eastAsia" w:ascii="宋体" w:hAnsi="宋体"/>
          <w:b/>
          <w:bCs/>
          <w:color w:val="000000"/>
          <w:szCs w:val="21"/>
          <w:highlight w:val="none"/>
        </w:rPr>
        <w:t>1个，并提供相应的证明材料（</w:t>
      </w:r>
      <w:r>
        <w:rPr>
          <w:rFonts w:hint="eastAsia" w:ascii="宋体" w:hAnsi="宋体"/>
          <w:b/>
          <w:bCs/>
          <w:color w:val="000000"/>
          <w:szCs w:val="21"/>
          <w:highlight w:val="none"/>
          <w:lang w:val="en-US" w:eastAsia="zh-CN"/>
        </w:rPr>
        <w:t>项目后台数据截图、项目合同</w:t>
      </w:r>
      <w:r>
        <w:rPr>
          <w:rFonts w:hint="eastAsia" w:ascii="宋体" w:hAnsi="宋体"/>
          <w:b/>
          <w:bCs/>
          <w:color w:val="000000"/>
          <w:szCs w:val="21"/>
          <w:highlight w:val="none"/>
        </w:rPr>
        <w:t>等）。</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w:t>
      </w:r>
      <w:r>
        <w:rPr>
          <w:rFonts w:hint="eastAsia" w:ascii="宋体" w:hAnsi="宋体"/>
          <w:szCs w:val="21"/>
          <w:highlight w:val="none"/>
          <w:lang w:val="en-US" w:eastAsia="zh-CN"/>
        </w:rPr>
        <w:t>服务商佣金比例在满足要求后客房住宿类不得高于9%</w:t>
      </w:r>
      <w:r>
        <w:rPr>
          <w:rFonts w:hint="eastAsia" w:ascii="宋体" w:hAnsi="宋体"/>
          <w:szCs w:val="21"/>
          <w:highlight w:val="none"/>
        </w:rPr>
        <w:t>，</w:t>
      </w:r>
      <w:r>
        <w:rPr>
          <w:rFonts w:hint="eastAsia" w:ascii="宋体" w:hAnsi="宋体"/>
          <w:szCs w:val="21"/>
          <w:highlight w:val="none"/>
          <w:lang w:val="en-US" w:eastAsia="zh-CN"/>
        </w:rPr>
        <w:t>景区游玩类不得超过8%，</w:t>
      </w:r>
      <w:r>
        <w:rPr>
          <w:rFonts w:hint="eastAsia" w:ascii="宋体" w:hAnsi="宋体"/>
          <w:szCs w:val="21"/>
          <w:highlight w:val="none"/>
        </w:rPr>
        <w:t>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1424B880">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default"/>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7F426E05">
      <w:pPr>
        <w:pStyle w:val="37"/>
        <w:rPr>
          <w:rFonts w:hint="eastAsia"/>
          <w:lang w:eastAsia="zh-CN"/>
        </w:rPr>
      </w:pPr>
    </w:p>
    <w:p w14:paraId="6B4D9DFA">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 加盖公章；</w:t>
      </w:r>
    </w:p>
    <w:p w14:paraId="5585C9F5">
      <w:pPr>
        <w:pStyle w:val="50"/>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 加盖公章；</w:t>
      </w:r>
    </w:p>
    <w:p w14:paraId="4F97DC70">
      <w:pPr>
        <w:pStyle w:val="50"/>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5ACF7D0B">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项目联系人：</w:t>
      </w:r>
    </w:p>
    <w:p w14:paraId="53BB90FF">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孙林林 15256564548</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潘超群</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17356571250</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开标地址：合肥滨湖集团3楼小会议室（合肥市徽州大道1388号）（暂定）</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招标文件发布时间</w:t>
            </w:r>
          </w:p>
        </w:tc>
        <w:tc>
          <w:tcPr>
            <w:tcW w:w="1632" w:type="pct"/>
            <w:shd w:val="clear" w:color="auto" w:fill="auto"/>
            <w:noWrap w:val="0"/>
            <w:vAlign w:val="center"/>
          </w:tcPr>
          <w:p w14:paraId="76BB08D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28</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shd w:val="clear" w:color="auto" w:fill="auto"/>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6 15:00</w:t>
            </w:r>
          </w:p>
        </w:tc>
        <w:tc>
          <w:tcPr>
            <w:tcW w:w="1595" w:type="pct"/>
            <w:noWrap w:val="0"/>
            <w:vAlign w:val="center"/>
          </w:tcPr>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滨湖集团3楼小会议室</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暂定</w:t>
            </w:r>
            <w:r>
              <w:rPr>
                <w:rFonts w:hint="eastAsia" w:ascii="宋体" w:hAnsi="宋体"/>
                <w:color w:val="000000"/>
                <w:szCs w:val="21"/>
                <w:highlight w:val="none"/>
                <w:lang w:eastAsia="zh-CN"/>
              </w:rPr>
              <w:t>）</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shd w:val="clear" w:color="auto" w:fill="auto"/>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6 15:00</w:t>
            </w:r>
          </w:p>
        </w:tc>
        <w:tc>
          <w:tcPr>
            <w:tcW w:w="1595" w:type="pct"/>
            <w:noWrap w:val="0"/>
            <w:vAlign w:val="center"/>
          </w:tcPr>
          <w:p w14:paraId="77D7BF3E">
            <w:pPr>
              <w:tabs>
                <w:tab w:val="left" w:pos="993"/>
              </w:tabs>
              <w:spacing w:line="440" w:lineRule="exact"/>
              <w:jc w:val="center"/>
              <w:rPr>
                <w:rFonts w:hint="eastAsia" w:ascii="宋体" w:hAnsi="宋体" w:eastAsia="宋体"/>
                <w:color w:val="000000"/>
                <w:szCs w:val="21"/>
                <w:highlight w:val="none"/>
                <w:lang w:eastAsia="zh-CN"/>
              </w:rPr>
            </w:pPr>
            <w:r>
              <w:rPr>
                <w:rFonts w:hint="eastAsia" w:ascii="宋体" w:hAnsi="宋体"/>
                <w:color w:val="000000"/>
                <w:szCs w:val="21"/>
                <w:highlight w:val="none"/>
              </w:rPr>
              <w:t>滨湖集团3楼小会议室</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暂定</w:t>
            </w:r>
            <w:r>
              <w:rPr>
                <w:rFonts w:hint="eastAsia" w:ascii="宋体" w:hAnsi="宋体"/>
                <w:color w:val="000000"/>
                <w:szCs w:val="21"/>
                <w:highlight w:val="none"/>
                <w:lang w:eastAsia="zh-CN"/>
              </w:rPr>
              <w:t>）</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4</w:t>
      </w:r>
      <w:r>
        <w:rPr>
          <w:rFonts w:hint="eastAsia" w:ascii="宋体" w:hAnsi="宋体"/>
          <w:color w:val="000000"/>
          <w:szCs w:val="21"/>
          <w:highlight w:val="none"/>
        </w:rPr>
        <w:t>月</w:t>
      </w:r>
      <w:r>
        <w:rPr>
          <w:rFonts w:hint="eastAsia" w:ascii="宋体" w:hAnsi="宋体"/>
          <w:color w:val="000000"/>
          <w:szCs w:val="21"/>
          <w:highlight w:val="none"/>
          <w:lang w:val="en-US" w:eastAsia="zh-CN"/>
        </w:rPr>
        <w:t>28</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12个月</w:t>
      </w:r>
      <w:r>
        <w:rPr>
          <w:rFonts w:hint="eastAsia" w:ascii="宋体" w:hAnsi="宋体"/>
          <w:color w:val="000000"/>
          <w:szCs w:val="21"/>
          <w:highlight w:val="none"/>
        </w:rPr>
        <w:t>。</w:t>
      </w:r>
    </w:p>
    <w:p w14:paraId="541B133D">
      <w:pPr>
        <w:tabs>
          <w:tab w:val="left" w:pos="993"/>
        </w:tabs>
        <w:spacing w:line="440" w:lineRule="exact"/>
        <w:ind w:firstLine="420" w:firstLineChars="200"/>
        <w:rPr>
          <w:rFonts w:hint="default" w:ascii="宋体" w:hAnsi="宋体"/>
          <w:b/>
          <w:bCs/>
          <w:szCs w:val="21"/>
          <w:highlight w:val="yellow"/>
          <w:lang w:val="en-US" w:eastAsia="zh-CN"/>
        </w:rPr>
      </w:pPr>
      <w:r>
        <w:rPr>
          <w:rFonts w:hint="eastAsia" w:ascii="宋体" w:hAnsi="宋体"/>
          <w:color w:val="000000"/>
          <w:szCs w:val="21"/>
          <w:highlight w:val="none"/>
        </w:rPr>
        <w:t>投标</w:t>
      </w:r>
      <w:r>
        <w:rPr>
          <w:rFonts w:hint="eastAsia" w:ascii="宋体" w:hAnsi="宋体"/>
          <w:color w:val="000000"/>
          <w:szCs w:val="21"/>
          <w:highlight w:val="none"/>
          <w:lang w:val="en-US" w:eastAsia="zh-CN"/>
        </w:rPr>
        <w:t>佣金比例</w:t>
      </w:r>
      <w:r>
        <w:rPr>
          <w:rFonts w:hint="eastAsia" w:ascii="宋体" w:hAnsi="宋体"/>
          <w:color w:val="000000"/>
          <w:szCs w:val="21"/>
          <w:highlight w:val="none"/>
        </w:rPr>
        <w:t>报价：</w:t>
      </w:r>
      <w:r>
        <w:rPr>
          <w:rFonts w:hint="eastAsia" w:ascii="宋体" w:hAnsi="宋体"/>
          <w:b/>
          <w:bCs/>
          <w:szCs w:val="21"/>
          <w:highlight w:val="none"/>
          <w:lang w:val="en-US" w:eastAsia="zh-CN"/>
        </w:rPr>
        <w:t>客房住宿类不得高于9%；景区游玩类不得超过8%；合作期内（以合同签订日期为准）保底500万，其中客房住宿保底70万、景区票券类【圩圩谷精灵部落保底380万，小火车保底15万，奇嗨文旅（游船和爱马乐园）保底35万】；若完成保底金额，则按阶梯式佣金比例提点。若合作期满未达全年保底金额，则返还全年佣金点1%，其中单个小项未完成则返还单项佣金点1%。（例如：一档报价中景区票券报价5%，客房住宿类7%，合同期结束景区票券完成保底，住宿未完成70万，则最终景区票券类计提点为5%，客房住宿类计提点为6%）</w:t>
      </w:r>
    </w:p>
    <w:p w14:paraId="0802595D">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阶梯式佣金比例（不含平台佣金、不含职人带货金额，职人带货金额不计提服务商佣金）：</w:t>
      </w:r>
    </w:p>
    <w:p w14:paraId="6C2F667D">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一档：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年累计核销GMV达500万-650万）</w:t>
      </w:r>
    </w:p>
    <w:p w14:paraId="180FCAC9">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二档：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年累计核销GMV达650万-850万）</w:t>
      </w:r>
    </w:p>
    <w:p w14:paraId="3397F74B">
      <w:pPr>
        <w:tabs>
          <w:tab w:val="left" w:pos="993"/>
        </w:tabs>
        <w:spacing w:line="440" w:lineRule="exact"/>
        <w:ind w:firstLine="480" w:firstLineChars="200"/>
        <w:rPr>
          <w:rFonts w:hint="eastAsia" w:ascii="宋体" w:hAnsi="宋体"/>
          <w:b/>
          <w:bCs/>
          <w:szCs w:val="21"/>
          <w:highlight w:val="none"/>
          <w:lang w:val="en-US" w:eastAsia="zh-CN"/>
        </w:rPr>
      </w:pPr>
      <w:r>
        <w:rPr>
          <w:rFonts w:hint="eastAsia" w:ascii="宋体" w:hAnsi="宋体" w:cs="Times New Roman"/>
          <w:kern w:val="2"/>
          <w:sz w:val="24"/>
          <w:szCs w:val="28"/>
          <w:highlight w:val="none"/>
          <w:lang w:val="en-US" w:eastAsia="zh-CN" w:bidi="ar-SA"/>
        </w:rPr>
        <w:t>三档：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年累计核销GMV达850万以上）</w:t>
      </w:r>
    </w:p>
    <w:bookmarkEnd w:id="7"/>
    <w:bookmarkEnd w:id="8"/>
    <w:bookmarkEnd w:id="9"/>
    <w:bookmarkEnd w:id="10"/>
    <w:bookmarkEnd w:id="11"/>
    <w:bookmarkEnd w:id="12"/>
    <w:p w14:paraId="08CB51EC">
      <w:pPr>
        <w:rPr>
          <w:rFonts w:hint="eastAsia" w:ascii="宋体" w:hAnsi="宋体" w:eastAsia="宋体"/>
          <w:highlight w:val="none"/>
        </w:rPr>
      </w:pPr>
      <w:bookmarkStart w:id="13" w:name="_Toc273602341"/>
      <w:bookmarkStart w:id="14" w:name="_Toc245092761"/>
      <w:bookmarkStart w:id="15" w:name="_Toc220232390"/>
      <w:bookmarkStart w:id="16" w:name="_Toc6595"/>
      <w:bookmarkStart w:id="17" w:name="_Toc39733478"/>
      <w:r>
        <w:rPr>
          <w:rFonts w:hint="eastAsia" w:ascii="宋体" w:hAnsi="宋体" w:eastAsia="宋体"/>
          <w:highlight w:val="none"/>
        </w:rPr>
        <w:br w:type="page"/>
      </w:r>
    </w:p>
    <w:p w14:paraId="3A0CBD0E">
      <w:pPr>
        <w:pStyle w:val="3"/>
        <w:spacing w:line="500" w:lineRule="exact"/>
        <w:ind w:firstLine="0"/>
        <w:jc w:val="both"/>
        <w:rPr>
          <w:rFonts w:hint="eastAsia" w:ascii="宋体" w:hAnsi="宋体" w:eastAsia="宋体"/>
          <w:highlight w:val="none"/>
        </w:rPr>
      </w:pPr>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4075"/>
        <w:gridCol w:w="713"/>
        <w:gridCol w:w="2950"/>
      </w:tblGrid>
      <w:tr w14:paraId="577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5" w:type="dxa"/>
            <w:shd w:val="clear" w:color="auto" w:fill="FFFF00"/>
            <w:noWrap w:val="0"/>
            <w:vAlign w:val="center"/>
          </w:tcPr>
          <w:p w14:paraId="5A14E938">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4075"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713" w:type="dxa"/>
            <w:shd w:val="clear" w:color="auto" w:fill="FFFF00"/>
            <w:noWrap w:val="0"/>
            <w:vAlign w:val="center"/>
          </w:tcPr>
          <w:p w14:paraId="03B7BA5F">
            <w:pPr>
              <w:widowControl/>
              <w:jc w:val="center"/>
              <w:textAlignment w:val="center"/>
              <w:rPr>
                <w:rFonts w:hint="eastAsia" w:ascii="Times New Roman" w:hAnsi="Times New Roman" w:eastAsia="宋体" w:cs="Times New Roman"/>
                <w:b/>
                <w:bCs/>
                <w:color w:val="000000"/>
                <w:kern w:val="2"/>
                <w:sz w:val="20"/>
                <w:highlight w:val="none"/>
                <w:lang w:val="en-US" w:eastAsia="zh-CN" w:bidi="ar-SA"/>
              </w:rPr>
            </w:pPr>
            <w:r>
              <w:rPr>
                <w:rFonts w:hint="eastAsia" w:ascii="宋体" w:hAnsi="宋体" w:cs="宋体"/>
                <w:b/>
                <w:bCs/>
                <w:color w:val="000000"/>
                <w:kern w:val="0"/>
                <w:sz w:val="20"/>
                <w:highlight w:val="none"/>
                <w:lang w:bidi="ar"/>
              </w:rPr>
              <w:t>分值</w:t>
            </w:r>
          </w:p>
        </w:tc>
        <w:tc>
          <w:tcPr>
            <w:tcW w:w="2950" w:type="dxa"/>
            <w:shd w:val="clear" w:color="auto" w:fill="FFFF00"/>
            <w:noWrap w:val="0"/>
            <w:vAlign w:val="center"/>
          </w:tcPr>
          <w:p w14:paraId="4C2F147E">
            <w:pPr>
              <w:jc w:val="center"/>
              <w:rPr>
                <w:rFonts w:hint="eastAsia" w:ascii="Times New Roman" w:hAnsi="Times New Roman" w:eastAsia="宋体" w:cs="Times New Roman"/>
                <w:b/>
                <w:bCs/>
                <w:color w:val="000000"/>
                <w:kern w:val="2"/>
                <w:sz w:val="20"/>
                <w:highlight w:val="none"/>
                <w:lang w:val="en-US" w:eastAsia="zh-CN" w:bidi="ar-SA"/>
              </w:rPr>
            </w:pPr>
            <w:r>
              <w:rPr>
                <w:rFonts w:hint="eastAsia"/>
                <w:b/>
                <w:bCs/>
                <w:color w:val="000000"/>
                <w:sz w:val="20"/>
                <w:highlight w:val="none"/>
              </w:rPr>
              <w:t>应答材料要求</w:t>
            </w:r>
          </w:p>
        </w:tc>
      </w:tr>
      <w:tr w14:paraId="1943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198B38B1">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企业资质</w:t>
            </w:r>
          </w:p>
          <w:p w14:paraId="1649E72C">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与合规评审</w:t>
            </w:r>
          </w:p>
          <w:p w14:paraId="08673A18">
            <w:pPr>
              <w:jc w:val="center"/>
              <w:rPr>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10</w:t>
            </w:r>
            <w:r>
              <w:rPr>
                <w:rFonts w:hint="eastAsia"/>
                <w:b/>
                <w:bCs/>
                <w:color w:val="auto"/>
                <w:sz w:val="16"/>
                <w:szCs w:val="16"/>
                <w:highlight w:val="none"/>
              </w:rPr>
              <w:t>分）</w:t>
            </w:r>
          </w:p>
        </w:tc>
        <w:tc>
          <w:tcPr>
            <w:tcW w:w="4075"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具备合法有效独立法人营业执照，经营范围包含文旅、酒店运营、电子商务、新媒体营销相关类目</w:t>
            </w:r>
          </w:p>
        </w:tc>
        <w:tc>
          <w:tcPr>
            <w:tcW w:w="713" w:type="dxa"/>
            <w:shd w:val="clear" w:color="auto" w:fill="auto"/>
            <w:noWrap w:val="0"/>
            <w:vAlign w:val="center"/>
          </w:tcPr>
          <w:p w14:paraId="5DBE502F">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3</w:t>
            </w:r>
          </w:p>
        </w:tc>
        <w:tc>
          <w:tcPr>
            <w:tcW w:w="2950" w:type="dxa"/>
            <w:shd w:val="clear" w:color="auto" w:fill="auto"/>
            <w:noWrap w:val="0"/>
            <w:vAlign w:val="center"/>
          </w:tcPr>
          <w:p w14:paraId="02C7834B">
            <w:pPr>
              <w:widowControl/>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w:t>
            </w:r>
            <w:bookmarkStart w:id="48" w:name="_GoBack"/>
            <w:bookmarkEnd w:id="48"/>
            <w:r>
              <w:rPr>
                <w:rFonts w:hint="eastAsia" w:ascii="宋体" w:hAnsi="宋体" w:cs="宋体"/>
                <w:color w:val="auto"/>
                <w:kern w:val="0"/>
                <w:sz w:val="16"/>
                <w:szCs w:val="16"/>
                <w:highlight w:val="none"/>
                <w:lang w:bidi="ar"/>
              </w:rPr>
              <w:t>不得分。</w:t>
            </w:r>
          </w:p>
        </w:tc>
      </w:tr>
      <w:tr w14:paraId="4D5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091966D7">
            <w:pPr>
              <w:jc w:val="center"/>
              <w:rPr>
                <w:color w:val="auto"/>
                <w:sz w:val="15"/>
                <w:szCs w:val="15"/>
                <w:highlight w:val="none"/>
              </w:rPr>
            </w:pPr>
          </w:p>
        </w:tc>
        <w:tc>
          <w:tcPr>
            <w:tcW w:w="4075" w:type="dxa"/>
            <w:noWrap w:val="0"/>
            <w:vAlign w:val="center"/>
          </w:tcPr>
          <w:p w14:paraId="55494C02">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持有抖音生活服务本地生活官方服务商认证、抖音来客平台合作授权相关有效证明材料。</w:t>
            </w:r>
          </w:p>
        </w:tc>
        <w:tc>
          <w:tcPr>
            <w:tcW w:w="713" w:type="dxa"/>
            <w:shd w:val="clear" w:color="auto" w:fill="auto"/>
            <w:noWrap w:val="0"/>
            <w:vAlign w:val="center"/>
          </w:tcPr>
          <w:p w14:paraId="1DDDFFC4">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4</w:t>
            </w:r>
          </w:p>
        </w:tc>
        <w:tc>
          <w:tcPr>
            <w:tcW w:w="2950" w:type="dxa"/>
            <w:shd w:val="clear" w:color="auto" w:fill="auto"/>
            <w:noWrap w:val="0"/>
            <w:vAlign w:val="center"/>
          </w:tcPr>
          <w:p w14:paraId="254EB499">
            <w:pPr>
              <w:widowControl/>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提供抖音服务商后台截图并加盖公章或提供官方授权书或合作协议关键页复印件并加盖公章，提供得分，不提供不得分。</w:t>
            </w:r>
          </w:p>
        </w:tc>
      </w:tr>
      <w:tr w14:paraId="7B43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475" w:type="dxa"/>
            <w:vMerge w:val="continue"/>
            <w:noWrap w:val="0"/>
            <w:vAlign w:val="center"/>
          </w:tcPr>
          <w:p w14:paraId="3E5DCBEA">
            <w:pPr>
              <w:jc w:val="center"/>
              <w:rPr>
                <w:color w:val="auto"/>
                <w:sz w:val="15"/>
                <w:szCs w:val="15"/>
                <w:highlight w:val="none"/>
              </w:rPr>
            </w:pPr>
          </w:p>
        </w:tc>
        <w:tc>
          <w:tcPr>
            <w:tcW w:w="4075"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具备一般纳税人资质，可合规开具项目对应增值税专用发票，满足财务结算全流程要求。</w:t>
            </w:r>
          </w:p>
        </w:tc>
        <w:tc>
          <w:tcPr>
            <w:tcW w:w="713" w:type="dxa"/>
            <w:shd w:val="clear" w:color="auto" w:fill="auto"/>
            <w:noWrap w:val="0"/>
            <w:vAlign w:val="center"/>
          </w:tcPr>
          <w:p w14:paraId="5D5CD71D">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3</w:t>
            </w:r>
          </w:p>
        </w:tc>
        <w:tc>
          <w:tcPr>
            <w:tcW w:w="2950" w:type="dxa"/>
            <w:shd w:val="clear" w:color="auto" w:fill="auto"/>
            <w:noWrap w:val="0"/>
            <w:vAlign w:val="center"/>
          </w:tcPr>
          <w:p w14:paraId="0F7BA757">
            <w:pPr>
              <w:widowControl/>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提供《增值税一般纳税人登记表》或近6个月内开具的增值税专票以及其他证明一般纳税人资格证明</w:t>
            </w:r>
          </w:p>
        </w:tc>
      </w:tr>
      <w:tr w14:paraId="431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7AEE841A">
            <w:pPr>
              <w:jc w:val="center"/>
              <w:rPr>
                <w:color w:val="auto"/>
                <w:sz w:val="15"/>
                <w:szCs w:val="15"/>
                <w:highlight w:val="none"/>
              </w:rPr>
            </w:pPr>
            <w:r>
              <w:rPr>
                <w:rFonts w:hint="eastAsia"/>
                <w:b/>
                <w:bCs/>
                <w:color w:val="auto"/>
                <w:sz w:val="16"/>
                <w:szCs w:val="16"/>
                <w:highlight w:val="none"/>
                <w:lang w:val="en-US" w:eastAsia="zh-CN"/>
              </w:rPr>
              <w:t>酒旅同类项目实战业绩实力（20分）</w:t>
            </w:r>
          </w:p>
        </w:tc>
        <w:tc>
          <w:tcPr>
            <w:tcW w:w="4075" w:type="dxa"/>
            <w:noWrap w:val="0"/>
            <w:vAlign w:val="center"/>
          </w:tcPr>
          <w:p w14:paraId="7D6C4CD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近2年（以合同签订时间为准）具有酒店或景区类抖音代运营成功案例</w:t>
            </w:r>
            <w:r>
              <w:rPr>
                <w:rFonts w:hint="eastAsia" w:ascii="宋体" w:hAnsi="宋体" w:cs="宋体"/>
                <w:i w:val="0"/>
                <w:iCs w:val="0"/>
                <w:color w:val="auto"/>
                <w:kern w:val="0"/>
                <w:sz w:val="18"/>
                <w:szCs w:val="18"/>
                <w:highlight w:val="none"/>
                <w:u w:val="none"/>
                <w:lang w:val="en-US" w:eastAsia="zh-CN" w:bidi="ar"/>
              </w:rPr>
              <w:t>（包括但不限于产品设计、直播间场景打造、图文设计及宣推标题文案等）</w:t>
            </w:r>
            <w:r>
              <w:rPr>
                <w:rFonts w:hint="eastAsia" w:ascii="宋体" w:hAnsi="宋体" w:eastAsia="宋体" w:cs="宋体"/>
                <w:i w:val="0"/>
                <w:iCs w:val="0"/>
                <w:color w:val="auto"/>
                <w:kern w:val="0"/>
                <w:sz w:val="18"/>
                <w:szCs w:val="18"/>
                <w:highlight w:val="none"/>
                <w:u w:val="none"/>
                <w:lang w:val="en-US" w:eastAsia="zh-CN" w:bidi="ar"/>
              </w:rPr>
              <w:t>。其中酒店类3分/个；景区类3分/个；酒店+景区6分/个；满分12分。</w:t>
            </w:r>
          </w:p>
        </w:tc>
        <w:tc>
          <w:tcPr>
            <w:tcW w:w="713" w:type="dxa"/>
            <w:shd w:val="clear" w:color="auto" w:fill="auto"/>
            <w:noWrap w:val="0"/>
            <w:vAlign w:val="center"/>
          </w:tcPr>
          <w:p w14:paraId="20B2DC6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2950" w:type="dxa"/>
            <w:shd w:val="clear" w:color="auto" w:fill="auto"/>
            <w:noWrap w:val="0"/>
            <w:vAlign w:val="center"/>
          </w:tcPr>
          <w:p w14:paraId="4135501A">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须提供服务合同关键页（含服务内容、签约双方、盖章页）复印件，以及能体现运营成果的证明材料（如：客户盖章确认的结案报告关键页、体现播放量/核销额等关键数据的官方后台截图等）。材料不全或无法体现业绩者不得分。</w:t>
            </w:r>
          </w:p>
        </w:tc>
      </w:tr>
      <w:tr w14:paraId="543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3D797851">
            <w:pPr>
              <w:jc w:val="center"/>
              <w:rPr>
                <w:color w:val="auto"/>
                <w:sz w:val="15"/>
                <w:szCs w:val="15"/>
                <w:highlight w:val="none"/>
              </w:rPr>
            </w:pPr>
          </w:p>
        </w:tc>
        <w:tc>
          <w:tcPr>
            <w:tcW w:w="4075" w:type="dxa"/>
            <w:noWrap w:val="0"/>
            <w:vAlign w:val="center"/>
          </w:tcPr>
          <w:p w14:paraId="1DA19BF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抖音酒旅板块真实有效综合 GMV 履约业绩：月均综合 GMV 达标最高得8分；中档达标按比例得分；基础达标最低得分，无真实业绩不得分。</w:t>
            </w:r>
          </w:p>
        </w:tc>
        <w:tc>
          <w:tcPr>
            <w:tcW w:w="713" w:type="dxa"/>
            <w:shd w:val="clear" w:color="auto" w:fill="auto"/>
            <w:noWrap w:val="0"/>
            <w:vAlign w:val="center"/>
          </w:tcPr>
          <w:p w14:paraId="49F62FF4">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42A40A5B">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提供过往项目周期对应银行回单或发票。数据真实有效即可得分，根据规模分三档打分。</w:t>
            </w:r>
          </w:p>
          <w:p w14:paraId="00714F70">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8B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4486CABA">
            <w:pPr>
              <w:jc w:val="center"/>
              <w:rPr>
                <w:color w:val="auto"/>
                <w:sz w:val="15"/>
                <w:szCs w:val="15"/>
                <w:highlight w:val="none"/>
              </w:rPr>
            </w:pPr>
            <w:bookmarkStart w:id="20" w:name="heading_3"/>
            <w:r>
              <w:rPr>
                <w:rFonts w:hint="eastAsia"/>
                <w:b/>
                <w:bCs/>
                <w:color w:val="auto"/>
                <w:sz w:val="16"/>
                <w:szCs w:val="16"/>
                <w:highlight w:val="none"/>
                <w:lang w:val="en-US" w:eastAsia="zh-CN"/>
              </w:rPr>
              <w:t>全链路落地运营专项方案评审（38 分）</w:t>
            </w:r>
            <w:bookmarkEnd w:id="20"/>
          </w:p>
        </w:tc>
        <w:tc>
          <w:tcPr>
            <w:tcW w:w="4075" w:type="dxa"/>
            <w:noWrap w:val="0"/>
            <w:vAlign w:val="center"/>
          </w:tcPr>
          <w:p w14:paraId="0A7AB724">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产品营销方案：根据节假日、季节制定适合磨滩的营销日历并制定对应策划方案</w:t>
            </w:r>
          </w:p>
        </w:tc>
        <w:tc>
          <w:tcPr>
            <w:tcW w:w="713" w:type="dxa"/>
            <w:shd w:val="clear" w:color="auto" w:fill="auto"/>
            <w:noWrap w:val="0"/>
            <w:vAlign w:val="center"/>
          </w:tcPr>
          <w:p w14:paraId="520CB1DE">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2950" w:type="dxa"/>
            <w:shd w:val="clear" w:color="auto" w:fill="auto"/>
            <w:noWrap w:val="0"/>
            <w:vAlign w:val="center"/>
          </w:tcPr>
          <w:p w14:paraId="4A31A2F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要求方案逻辑通顺、落地性高。</w:t>
            </w:r>
          </w:p>
        </w:tc>
      </w:tr>
      <w:tr w14:paraId="34B6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57E8927B">
            <w:pPr>
              <w:jc w:val="center"/>
              <w:rPr>
                <w:color w:val="auto"/>
                <w:sz w:val="15"/>
                <w:szCs w:val="15"/>
                <w:highlight w:val="none"/>
              </w:rPr>
            </w:pPr>
          </w:p>
        </w:tc>
        <w:tc>
          <w:tcPr>
            <w:tcW w:w="4075" w:type="dxa"/>
            <w:noWrap w:val="0"/>
            <w:vAlign w:val="center"/>
          </w:tcPr>
          <w:p w14:paraId="42FE0A37">
            <w:pPr>
              <w:widowControl/>
              <w:jc w:val="left"/>
              <w:textAlignment w:val="center"/>
              <w:rPr>
                <w:rFonts w:hint="default" w:ascii="Arial" w:hAnsi="Arial" w:eastAsia="等线" w:cs="Arial"/>
                <w:color w:val="auto"/>
                <w:sz w:val="22"/>
                <w:lang w:val="en-US" w:eastAsia="zh-CN"/>
              </w:rPr>
            </w:pPr>
            <w:r>
              <w:rPr>
                <w:rFonts w:hint="eastAsia" w:ascii="宋体" w:hAnsi="宋体" w:eastAsia="宋体" w:cs="宋体"/>
                <w:i w:val="0"/>
                <w:iCs w:val="0"/>
                <w:color w:val="auto"/>
                <w:kern w:val="0"/>
                <w:sz w:val="18"/>
                <w:szCs w:val="18"/>
                <w:highlight w:val="none"/>
                <w:u w:val="none"/>
                <w:lang w:val="en-US" w:eastAsia="zh-CN" w:bidi="ar"/>
              </w:rPr>
              <w:t>宣推全案</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需包含：短视频主播内容规划（主播垂类和粉丝量、月更数量、内容方向）、直播规划（场次、时长、形式）、达人分销策略。直播配置（需提供过往直播间场景设计截图）</w:t>
            </w:r>
            <w:r>
              <w:rPr>
                <w:rFonts w:hint="eastAsia" w:ascii="Arial" w:hAnsi="Arial" w:eastAsia="等线" w:cs="Arial"/>
                <w:color w:val="auto"/>
                <w:sz w:val="22"/>
                <w:lang w:val="en-US" w:eastAsia="zh-CN"/>
              </w:rPr>
              <w:t xml:space="preserve">  </w:t>
            </w:r>
          </w:p>
          <w:p w14:paraId="4EBCE0EE">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3" w:type="dxa"/>
            <w:shd w:val="clear" w:color="auto" w:fill="auto"/>
            <w:noWrap w:val="0"/>
            <w:vAlign w:val="center"/>
          </w:tcPr>
          <w:p w14:paraId="36C1A947">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10</w:t>
            </w:r>
          </w:p>
        </w:tc>
        <w:tc>
          <w:tcPr>
            <w:tcW w:w="2950" w:type="dxa"/>
            <w:shd w:val="clear" w:color="auto" w:fill="auto"/>
            <w:noWrap w:val="0"/>
            <w:vAlign w:val="center"/>
          </w:tcPr>
          <w:p w14:paraId="09E4EC5B">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按要求提供</w:t>
            </w:r>
          </w:p>
        </w:tc>
      </w:tr>
      <w:tr w14:paraId="5689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66D4AB37">
            <w:pPr>
              <w:jc w:val="center"/>
              <w:rPr>
                <w:color w:val="auto"/>
                <w:sz w:val="15"/>
                <w:szCs w:val="15"/>
                <w:highlight w:val="none"/>
              </w:rPr>
            </w:pPr>
          </w:p>
        </w:tc>
        <w:tc>
          <w:tcPr>
            <w:tcW w:w="4075" w:type="dxa"/>
            <w:noWrap w:val="0"/>
            <w:vAlign w:val="center"/>
          </w:tcPr>
          <w:p w14:paraId="777EC30A">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数据复盘与优化（8 分）：提供数据监测维度及复盘报告方案（如：月度线下复盘）。</w:t>
            </w:r>
          </w:p>
        </w:tc>
        <w:tc>
          <w:tcPr>
            <w:tcW w:w="713" w:type="dxa"/>
            <w:shd w:val="clear" w:color="auto" w:fill="auto"/>
            <w:noWrap w:val="0"/>
            <w:vAlign w:val="center"/>
          </w:tcPr>
          <w:p w14:paraId="69BC9DFB">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2950" w:type="dxa"/>
            <w:shd w:val="clear" w:color="auto" w:fill="auto"/>
            <w:noWrap w:val="0"/>
            <w:vAlign w:val="center"/>
          </w:tcPr>
          <w:p w14:paraId="46F0D08E">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按要求提供</w:t>
            </w:r>
          </w:p>
        </w:tc>
      </w:tr>
      <w:tr w14:paraId="72B0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52440863">
            <w:pPr>
              <w:jc w:val="center"/>
              <w:rPr>
                <w:color w:val="auto"/>
                <w:sz w:val="15"/>
                <w:szCs w:val="15"/>
                <w:highlight w:val="none"/>
              </w:rPr>
            </w:pPr>
            <w:r>
              <w:rPr>
                <w:rFonts w:hint="eastAsia"/>
                <w:b/>
                <w:bCs/>
                <w:color w:val="auto"/>
                <w:sz w:val="16"/>
                <w:szCs w:val="16"/>
                <w:highlight w:val="none"/>
                <w:lang w:val="en-US" w:eastAsia="zh-CN"/>
              </w:rPr>
              <w:t>专属驻场团队配置与本地化服务能力（16 分）</w:t>
            </w:r>
          </w:p>
        </w:tc>
        <w:tc>
          <w:tcPr>
            <w:tcW w:w="4075" w:type="dxa"/>
            <w:noWrap w:val="0"/>
            <w:vAlign w:val="center"/>
          </w:tcPr>
          <w:p w14:paraId="45EC1A9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专属项目总负责人在岗全职配置，具备两年及以上酒店景区抖音全流程操盘实战经验</w:t>
            </w:r>
          </w:p>
        </w:tc>
        <w:tc>
          <w:tcPr>
            <w:tcW w:w="713" w:type="dxa"/>
            <w:shd w:val="clear" w:color="auto" w:fill="auto"/>
            <w:noWrap w:val="0"/>
            <w:vAlign w:val="center"/>
          </w:tcPr>
          <w:p w14:paraId="7109E3BD">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4</w:t>
            </w:r>
          </w:p>
        </w:tc>
        <w:tc>
          <w:tcPr>
            <w:tcW w:w="2950" w:type="dxa"/>
            <w:shd w:val="clear" w:color="auto" w:fill="auto"/>
            <w:noWrap w:val="0"/>
            <w:vAlign w:val="center"/>
          </w:tcPr>
          <w:p w14:paraId="0F436CE4">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提供负责人简历</w:t>
            </w:r>
          </w:p>
        </w:tc>
      </w:tr>
      <w:tr w14:paraId="5BCC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153DCB69">
            <w:pPr>
              <w:jc w:val="center"/>
              <w:rPr>
                <w:color w:val="auto"/>
                <w:sz w:val="15"/>
                <w:szCs w:val="15"/>
                <w:highlight w:val="none"/>
              </w:rPr>
            </w:pPr>
          </w:p>
        </w:tc>
        <w:tc>
          <w:tcPr>
            <w:tcW w:w="4075" w:type="dxa"/>
            <w:noWrap w:val="0"/>
            <w:vAlign w:val="center"/>
          </w:tcPr>
          <w:p w14:paraId="2E98F167">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配齐全套专项在岗人员：专属运营专员、实景拍摄编导剪辑、直播常驻主播、专业付费投手、美工设计、售后对接客服，团队架构完整齐全。</w:t>
            </w:r>
          </w:p>
        </w:tc>
        <w:tc>
          <w:tcPr>
            <w:tcW w:w="713" w:type="dxa"/>
            <w:shd w:val="clear" w:color="auto" w:fill="auto"/>
            <w:noWrap w:val="0"/>
            <w:vAlign w:val="center"/>
          </w:tcPr>
          <w:p w14:paraId="47FF4E9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1AC6A4B2">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提供人员总人数及分工表</w:t>
            </w:r>
          </w:p>
        </w:tc>
      </w:tr>
      <w:tr w14:paraId="53F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70BE6627">
            <w:pPr>
              <w:jc w:val="center"/>
              <w:rPr>
                <w:color w:val="auto"/>
                <w:sz w:val="15"/>
                <w:szCs w:val="15"/>
                <w:highlight w:val="none"/>
              </w:rPr>
            </w:pPr>
          </w:p>
        </w:tc>
        <w:tc>
          <w:tcPr>
            <w:tcW w:w="4075" w:type="dxa"/>
            <w:noWrap w:val="0"/>
            <w:vAlign w:val="center"/>
          </w:tcPr>
          <w:p w14:paraId="23457C51">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全时段服务响应保障机制：工作日 + 节假日全时段对接、突发工作紧急响应时效</w:t>
            </w:r>
          </w:p>
        </w:tc>
        <w:tc>
          <w:tcPr>
            <w:tcW w:w="713" w:type="dxa"/>
            <w:shd w:val="clear" w:color="auto" w:fill="auto"/>
            <w:noWrap w:val="0"/>
            <w:vAlign w:val="center"/>
          </w:tcPr>
          <w:p w14:paraId="2236BB3D">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3</w:t>
            </w:r>
          </w:p>
        </w:tc>
        <w:tc>
          <w:tcPr>
            <w:tcW w:w="2950" w:type="dxa"/>
            <w:shd w:val="clear" w:color="auto" w:fill="auto"/>
            <w:noWrap w:val="0"/>
            <w:vAlign w:val="center"/>
          </w:tcPr>
          <w:p w14:paraId="68986CCF">
            <w:pPr>
              <w:widowControl/>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eastAsia="宋体" w:cs="宋体"/>
                <w:i w:val="0"/>
                <w:iCs w:val="0"/>
                <w:color w:val="auto"/>
                <w:kern w:val="0"/>
                <w:sz w:val="18"/>
                <w:szCs w:val="18"/>
                <w:highlight w:val="none"/>
                <w:u w:val="none"/>
                <w:lang w:val="en-US" w:eastAsia="zh-CN" w:bidi="ar"/>
              </w:rPr>
              <w:t>明确书面承诺。</w:t>
            </w:r>
          </w:p>
        </w:tc>
      </w:tr>
      <w:tr w14:paraId="59F1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4D521232">
            <w:pPr>
              <w:jc w:val="center"/>
              <w:rPr>
                <w:color w:val="auto"/>
                <w:sz w:val="15"/>
                <w:szCs w:val="15"/>
                <w:highlight w:val="none"/>
              </w:rPr>
            </w:pPr>
          </w:p>
        </w:tc>
        <w:tc>
          <w:tcPr>
            <w:tcW w:w="4075" w:type="dxa"/>
            <w:noWrap w:val="0"/>
            <w:vAlign w:val="center"/>
          </w:tcPr>
          <w:p w14:paraId="2BE9059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具备本地属地化服务能力：可上门实地踩点、实地实景拍摄、现场驻场对接、现场应急联动处置本地化服务能力。</w:t>
            </w:r>
          </w:p>
        </w:tc>
        <w:tc>
          <w:tcPr>
            <w:tcW w:w="713" w:type="dxa"/>
            <w:shd w:val="clear" w:color="auto" w:fill="auto"/>
            <w:noWrap w:val="0"/>
            <w:vAlign w:val="center"/>
          </w:tcPr>
          <w:p w14:paraId="4EF5299E">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3</w:t>
            </w:r>
          </w:p>
        </w:tc>
        <w:tc>
          <w:tcPr>
            <w:tcW w:w="2950" w:type="dxa"/>
            <w:shd w:val="clear" w:color="auto" w:fill="auto"/>
            <w:noWrap w:val="0"/>
            <w:vAlign w:val="center"/>
          </w:tcPr>
          <w:p w14:paraId="7D8D28F7">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可在上述宣推全案中体现</w:t>
            </w:r>
          </w:p>
        </w:tc>
      </w:tr>
      <w:tr w14:paraId="467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noWrap w:val="0"/>
            <w:vAlign w:val="center"/>
          </w:tcPr>
          <w:p w14:paraId="0FFB404B">
            <w:pPr>
              <w:jc w:val="center"/>
              <w:rPr>
                <w:color w:val="auto"/>
                <w:sz w:val="15"/>
                <w:szCs w:val="15"/>
                <w:highlight w:val="none"/>
              </w:rPr>
            </w:pPr>
            <w:r>
              <w:rPr>
                <w:rFonts w:hint="eastAsia"/>
                <w:b/>
                <w:bCs/>
                <w:color w:val="auto"/>
                <w:sz w:val="16"/>
                <w:szCs w:val="16"/>
                <w:highlight w:val="none"/>
                <w:lang w:val="en-US" w:eastAsia="zh-CN"/>
              </w:rPr>
              <w:t>履约风控、售后保障与舆情管理方案（6 分）</w:t>
            </w:r>
          </w:p>
        </w:tc>
        <w:tc>
          <w:tcPr>
            <w:tcW w:w="4075" w:type="dxa"/>
            <w:noWrap w:val="0"/>
            <w:vAlign w:val="center"/>
          </w:tcPr>
          <w:p w14:paraId="0626B3F1">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综合保障方案</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包含价格管控措施、舆情应急预案。</w:t>
            </w:r>
          </w:p>
          <w:p w14:paraId="7D39B763">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3" w:type="dxa"/>
            <w:shd w:val="clear" w:color="auto" w:fill="auto"/>
            <w:noWrap w:val="0"/>
            <w:vAlign w:val="center"/>
          </w:tcPr>
          <w:p w14:paraId="5AA513E9">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6</w:t>
            </w:r>
          </w:p>
        </w:tc>
        <w:tc>
          <w:tcPr>
            <w:tcW w:w="2950" w:type="dxa"/>
            <w:shd w:val="clear" w:color="auto" w:fill="auto"/>
            <w:noWrap w:val="0"/>
            <w:vAlign w:val="center"/>
          </w:tcPr>
          <w:p w14:paraId="104A1C00">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要求：</w:t>
            </w:r>
          </w:p>
          <w:p w14:paraId="30835D17">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提供价格管控承诺及具体措施，确保线上价格体系稳定，不与线下官方渠道价格产生恶性冲突。</w:t>
            </w:r>
          </w:p>
          <w:p w14:paraId="1ECAC2DD">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提供针对网络差评、突发舆情的专项应急预案，包含响应流程、处理原则和沟通话术。预案完整、可操作性强</w:t>
            </w:r>
          </w:p>
          <w:p w14:paraId="42F71CBB">
            <w:pPr>
              <w:widowControl/>
              <w:jc w:val="left"/>
              <w:textAlignment w:val="center"/>
              <w:rPr>
                <w:rFonts w:hint="eastAsia" w:ascii="宋体" w:hAnsi="宋体" w:cs="宋体"/>
                <w:i w:val="0"/>
                <w:iCs w:val="0"/>
                <w:color w:val="auto"/>
                <w:kern w:val="0"/>
                <w:sz w:val="18"/>
                <w:szCs w:val="18"/>
                <w:highlight w:val="none"/>
                <w:u w:val="none"/>
                <w:lang w:val="en-US" w:eastAsia="zh-CN" w:bidi="ar"/>
              </w:rPr>
            </w:pPr>
          </w:p>
        </w:tc>
      </w:tr>
      <w:tr w14:paraId="6637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restart"/>
            <w:noWrap w:val="0"/>
            <w:vAlign w:val="center"/>
          </w:tcPr>
          <w:p w14:paraId="795F1ECB">
            <w:pPr>
              <w:jc w:val="center"/>
              <w:rPr>
                <w:rFonts w:hint="eastAsia"/>
                <w:b/>
                <w:bCs/>
                <w:color w:val="auto"/>
                <w:sz w:val="16"/>
                <w:szCs w:val="16"/>
                <w:highlight w:val="none"/>
                <w:lang w:val="en-US" w:eastAsia="zh-CN"/>
              </w:rPr>
            </w:pPr>
            <w:r>
              <w:rPr>
                <w:rFonts w:hint="eastAsia"/>
                <w:b/>
                <w:bCs/>
                <w:color w:val="auto"/>
                <w:sz w:val="16"/>
                <w:szCs w:val="16"/>
                <w:highlight w:val="none"/>
                <w:lang w:val="en-US" w:eastAsia="zh-CN"/>
              </w:rPr>
              <w:t>服务报价方案合理合规性（10 分）</w:t>
            </w:r>
          </w:p>
        </w:tc>
        <w:tc>
          <w:tcPr>
            <w:tcW w:w="4075" w:type="dxa"/>
            <w:noWrap w:val="0"/>
            <w:vAlign w:val="center"/>
          </w:tcPr>
          <w:p w14:paraId="08F62469">
            <w:pPr>
              <w:numPr>
                <w:ilvl w:val="0"/>
                <w:numId w:val="0"/>
              </w:numPr>
              <w:spacing w:before="120" w:after="120" w:line="288" w:lineRule="auto"/>
              <w:jc w:val="lef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整体服务费比例透明清晰，无隐性收费、无捆绑额外收费、无后期加价附加条款。</w:t>
            </w:r>
          </w:p>
        </w:tc>
        <w:tc>
          <w:tcPr>
            <w:tcW w:w="713" w:type="dxa"/>
            <w:shd w:val="clear" w:color="auto" w:fill="auto"/>
            <w:noWrap w:val="0"/>
            <w:vAlign w:val="center"/>
          </w:tcPr>
          <w:p w14:paraId="65EEAD14">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2950" w:type="dxa"/>
            <w:shd w:val="clear" w:color="auto" w:fill="auto"/>
            <w:noWrap w:val="0"/>
            <w:vAlign w:val="center"/>
          </w:tcPr>
          <w:p w14:paraId="4511D7FC">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按要求报价</w:t>
            </w:r>
          </w:p>
        </w:tc>
      </w:tr>
      <w:tr w14:paraId="1493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vMerge w:val="continue"/>
            <w:noWrap w:val="0"/>
            <w:vAlign w:val="center"/>
          </w:tcPr>
          <w:p w14:paraId="7A9C1019">
            <w:pPr>
              <w:jc w:val="center"/>
              <w:rPr>
                <w:rFonts w:hint="eastAsia"/>
                <w:b/>
                <w:bCs/>
                <w:color w:val="auto"/>
                <w:sz w:val="16"/>
                <w:szCs w:val="16"/>
                <w:highlight w:val="none"/>
                <w:lang w:val="en-US" w:eastAsia="zh-CN"/>
              </w:rPr>
            </w:pPr>
          </w:p>
        </w:tc>
        <w:tc>
          <w:tcPr>
            <w:tcW w:w="4075" w:type="dxa"/>
            <w:noWrap w:val="0"/>
            <w:vAlign w:val="center"/>
          </w:tcPr>
          <w:p w14:paraId="1D43D685">
            <w:pPr>
              <w:widowControl/>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综合履约承诺</w:t>
            </w:r>
          </w:p>
        </w:tc>
        <w:tc>
          <w:tcPr>
            <w:tcW w:w="713" w:type="dxa"/>
            <w:shd w:val="clear" w:color="auto" w:fill="auto"/>
            <w:noWrap w:val="0"/>
            <w:vAlign w:val="center"/>
          </w:tcPr>
          <w:p w14:paraId="2CFA8FA2">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w:t>
            </w:r>
          </w:p>
        </w:tc>
        <w:tc>
          <w:tcPr>
            <w:tcW w:w="2950" w:type="dxa"/>
            <w:shd w:val="clear" w:color="auto" w:fill="auto"/>
            <w:noWrap w:val="0"/>
            <w:vAlign w:val="center"/>
          </w:tcPr>
          <w:p w14:paraId="3E8D14B6">
            <w:pPr>
              <w:widowControl/>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打印并签署履约承诺书</w:t>
            </w:r>
          </w:p>
        </w:tc>
      </w:tr>
    </w:tbl>
    <w:p w14:paraId="5659C4AA">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2E3C68D5">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26B22A72">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default" w:ascii="宋体" w:hAnsi="宋体" w:eastAsia="宋体"/>
          <w:sz w:val="18"/>
          <w:szCs w:val="10"/>
          <w:highlight w:val="none"/>
          <w:lang w:val="en-US" w:eastAsia="zh-CN"/>
        </w:rPr>
      </w:pPr>
      <w:r>
        <w:rPr>
          <w:rFonts w:hint="eastAsia" w:ascii="宋体" w:hAnsi="宋体" w:eastAsia="宋体"/>
          <w:sz w:val="18"/>
          <w:szCs w:val="10"/>
          <w:highlight w:val="none"/>
        </w:rPr>
        <w:t>致：</w:t>
      </w:r>
      <w:r>
        <w:rPr>
          <w:rFonts w:hint="eastAsia" w:ascii="宋体" w:hAnsi="宋体" w:eastAsia="宋体"/>
          <w:sz w:val="18"/>
          <w:szCs w:val="10"/>
          <w:highlight w:val="none"/>
          <w:lang w:val="en-US" w:eastAsia="zh-CN"/>
        </w:rPr>
        <w:t>合肥市包河区乡村振兴投资有限公司</w:t>
      </w:r>
    </w:p>
    <w:p w14:paraId="1950D8C2">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我方参与本次抖音服务商招标，郑重承诺如下：</w:t>
      </w:r>
    </w:p>
    <w:p w14:paraId="32460934">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1.  合规经营：我方近一年无抖音平台重大违规、无刷单处罚、无重大失信记录。</w:t>
      </w:r>
    </w:p>
    <w:p w14:paraId="3C133E3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2.  价格管控：严格执行甲方价格体系，不恶意低价串货，不违规导流。</w:t>
      </w:r>
    </w:p>
    <w:p w14:paraId="5506A9DF">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3.  服务响应：严格按照招标文件要求，提供本地化上门/驻场服务，保证响应时效。</w:t>
      </w:r>
    </w:p>
    <w:p w14:paraId="42447357">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4.  真实报价：报价为最终一口价，无后续隐性收费。</w:t>
      </w:r>
    </w:p>
    <w:p w14:paraId="4FDF76EA">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5.  资料真实：所提供案例、数据、资质均真实有效，如有造假愿承担废标责任。</w:t>
      </w:r>
    </w:p>
    <w:p w14:paraId="6203D0A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p>
    <w:p w14:paraId="19CD01EB">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法定代表人签字：__________</w:t>
      </w:r>
    </w:p>
    <w:p w14:paraId="1D0AD106">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sz w:val="18"/>
          <w:szCs w:val="10"/>
          <w:highlight w:val="none"/>
        </w:rPr>
      </w:pPr>
      <w:r>
        <w:rPr>
          <w:rFonts w:hint="eastAsia" w:ascii="宋体" w:hAnsi="宋体" w:eastAsia="宋体"/>
          <w:sz w:val="18"/>
          <w:szCs w:val="10"/>
          <w:highlight w:val="none"/>
        </w:rPr>
        <w:t>（盖章）</w:t>
      </w:r>
    </w:p>
    <w:p w14:paraId="4B4BAC0B">
      <w:pPr>
        <w:pStyle w:val="3"/>
        <w:keepNext/>
        <w:keepLines/>
        <w:pageBreakBefore w:val="0"/>
        <w:widowControl w:val="0"/>
        <w:kinsoku/>
        <w:wordWrap/>
        <w:overflowPunct/>
        <w:topLinePunct w:val="0"/>
        <w:autoSpaceDE/>
        <w:autoSpaceDN/>
        <w:bidi w:val="0"/>
        <w:adjustRightInd/>
        <w:snapToGrid/>
        <w:spacing w:before="0" w:after="0" w:line="360" w:lineRule="auto"/>
        <w:ind w:firstLine="0"/>
        <w:jc w:val="left"/>
        <w:textAlignment w:val="auto"/>
        <w:rPr>
          <w:rFonts w:hint="eastAsia" w:ascii="黑体"/>
          <w:highlight w:val="none"/>
        </w:rPr>
      </w:pPr>
      <w:r>
        <w:rPr>
          <w:rFonts w:hint="eastAsia" w:ascii="宋体" w:hAnsi="宋体" w:eastAsia="宋体"/>
          <w:sz w:val="18"/>
          <w:szCs w:val="10"/>
          <w:highlight w:val="none"/>
        </w:rPr>
        <w:t>日期：2026年</w:t>
      </w:r>
      <w:r>
        <w:rPr>
          <w:rFonts w:hint="eastAsia" w:ascii="宋体" w:hAnsi="宋体" w:eastAsia="宋体"/>
          <w:sz w:val="18"/>
          <w:szCs w:val="10"/>
          <w:highlight w:val="none"/>
          <w:lang w:val="en-US" w:eastAsia="zh-CN"/>
        </w:rPr>
        <w:t xml:space="preserve">  </w:t>
      </w:r>
      <w:r>
        <w:rPr>
          <w:rFonts w:hint="eastAsia" w:ascii="宋体" w:hAnsi="宋体" w:eastAsia="宋体"/>
          <w:sz w:val="18"/>
          <w:szCs w:val="10"/>
          <w:highlight w:val="none"/>
        </w:rPr>
        <w:t>月</w:t>
      </w:r>
      <w:r>
        <w:rPr>
          <w:rFonts w:hint="eastAsia" w:ascii="宋体" w:hAnsi="宋体" w:eastAsia="宋体"/>
          <w:sz w:val="18"/>
          <w:szCs w:val="10"/>
          <w:highlight w:val="none"/>
          <w:lang w:val="en-US" w:eastAsia="zh-CN"/>
        </w:rPr>
        <w:t xml:space="preserve">  </w:t>
      </w:r>
      <w:r>
        <w:rPr>
          <w:rFonts w:hint="eastAsia" w:ascii="宋体" w:hAnsi="宋体" w:eastAsia="宋体"/>
          <w:sz w:val="18"/>
          <w:szCs w:val="10"/>
          <w:highlight w:val="none"/>
        </w:rPr>
        <w:t>日</w:t>
      </w:r>
      <w:r>
        <w:rPr>
          <w:rFonts w:ascii="宋体" w:hAnsi="宋体" w:eastAsia="宋体"/>
          <w:highlight w:val="none"/>
        </w:rPr>
        <w:br w:type="page"/>
      </w:r>
      <w:bookmarkStart w:id="21" w:name="_Toc22397"/>
      <w:bookmarkStart w:id="22" w:name="_Toc39733479"/>
      <w:r>
        <w:rPr>
          <w:rFonts w:hint="eastAsia" w:ascii="宋体" w:hAnsi="宋体" w:eastAsia="宋体"/>
          <w:highlight w:val="none"/>
        </w:rPr>
        <w:t>第</w:t>
      </w:r>
      <w:bookmarkStart w:id="23" w:name="_Hlt240110027"/>
      <w:bookmarkEnd w:id="23"/>
      <w:r>
        <w:rPr>
          <w:rFonts w:hint="eastAsia" w:ascii="宋体" w:hAnsi="宋体" w:eastAsia="宋体"/>
          <w:highlight w:val="none"/>
        </w:rPr>
        <w:t>三章 评标办法</w:t>
      </w:r>
      <w:bookmarkEnd w:id="18"/>
      <w:bookmarkEnd w:id="19"/>
      <w:bookmarkEnd w:id="21"/>
      <w:bookmarkEnd w:id="22"/>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w:t>
      </w:r>
      <w:r>
        <w:rPr>
          <w:rFonts w:hint="eastAsia" w:ascii="宋体" w:hAnsi="宋体"/>
          <w:sz w:val="24"/>
          <w:highlight w:val="none"/>
          <w:lang w:eastAsia="zh-CN"/>
        </w:rPr>
        <w:t>、</w:t>
      </w:r>
      <w:r>
        <w:rPr>
          <w:rFonts w:hint="eastAsia" w:ascii="宋体" w:hAnsi="宋体"/>
          <w:sz w:val="24"/>
          <w:highlight w:val="none"/>
        </w:rPr>
        <w:t>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w:t>
      </w:r>
      <w:r>
        <w:rPr>
          <w:rFonts w:hint="eastAsia" w:ascii="宋体" w:hAnsi="宋体"/>
          <w:color w:val="000000"/>
          <w:sz w:val="24"/>
          <w:highlight w:val="none"/>
          <w:lang w:val="en-US" w:eastAsia="zh-CN"/>
        </w:rPr>
        <w:t>3</w:t>
      </w:r>
      <w:r>
        <w:rPr>
          <w:rFonts w:hint="eastAsia" w:ascii="宋体" w:hAnsi="宋体"/>
          <w:color w:val="000000"/>
          <w:sz w:val="24"/>
          <w:highlight w:val="none"/>
        </w:rPr>
        <w:t>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4" w:name="_Toc273602352"/>
      <w:bookmarkStart w:id="25" w:name="_Toc2829"/>
      <w:bookmarkStart w:id="26" w:name="_Toc245714170"/>
      <w:bookmarkStart w:id="27" w:name="_Toc245028818"/>
      <w:bookmarkStart w:id="28" w:name="_Toc39733482"/>
      <w:r>
        <w:rPr>
          <w:rFonts w:hint="eastAsia" w:ascii="宋体" w:hAnsi="宋体" w:eastAsia="宋体"/>
          <w:highlight w:val="none"/>
        </w:rPr>
        <w:t>第四章 投标文件格式</w:t>
      </w:r>
      <w:bookmarkEnd w:id="24"/>
      <w:bookmarkEnd w:id="25"/>
      <w:bookmarkEnd w:id="26"/>
      <w:bookmarkEnd w:id="27"/>
      <w:bookmarkEnd w:id="28"/>
    </w:p>
    <w:p w14:paraId="3D01BE2C">
      <w:pPr>
        <w:rPr>
          <w:rFonts w:hint="eastAsia"/>
          <w:highlight w:val="none"/>
        </w:rPr>
      </w:pPr>
      <w:bookmarkStart w:id="29" w:name="_Toc220232394"/>
      <w:bookmarkStart w:id="30" w:name="_Toc232592019"/>
    </w:p>
    <w:p w14:paraId="1162B2B2">
      <w:pPr>
        <w:spacing w:line="900" w:lineRule="exact"/>
        <w:jc w:val="center"/>
        <w:rPr>
          <w:rFonts w:hint="eastAsia" w:ascii="宋体" w:hAnsi="宋体"/>
          <w:b/>
          <w:sz w:val="44"/>
          <w:szCs w:val="44"/>
          <w:highlight w:val="none"/>
        </w:rPr>
      </w:pPr>
    </w:p>
    <w:p w14:paraId="45CD247C">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2026年磨滩旅游度假区抖音服务商合作</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4"/>
        <w:rPr>
          <w:rFonts w:hAnsi="宋体"/>
          <w:sz w:val="28"/>
          <w:highlight w:val="none"/>
        </w:rPr>
      </w:pPr>
      <w:r>
        <w:rPr>
          <w:highlight w:val="none"/>
        </w:rPr>
        <w:br w:type="page"/>
      </w:r>
      <w:bookmarkStart w:id="31" w:name="_Toc20758"/>
      <w:bookmarkStart w:id="32" w:name="_Toc245714173"/>
      <w:bookmarkStart w:id="33" w:name="_Toc39733483"/>
      <w:bookmarkStart w:id="34" w:name="_Toc273602355"/>
      <w:r>
        <w:rPr>
          <w:rFonts w:hint="eastAsia" w:hAnsi="宋体"/>
          <w:sz w:val="28"/>
          <w:highlight w:val="none"/>
        </w:rPr>
        <w:t>一、投标函</w:t>
      </w:r>
      <w:bookmarkEnd w:id="31"/>
      <w:bookmarkEnd w:id="32"/>
      <w:bookmarkEnd w:id="33"/>
      <w:bookmarkEnd w:id="34"/>
    </w:p>
    <w:p w14:paraId="458D0656">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 xml:space="preserve">电   </w:t>
      </w:r>
      <w:r>
        <w:rPr>
          <w:rFonts w:hint="eastAsia" w:ascii="宋体" w:hAnsi="宋体"/>
          <w:sz w:val="24"/>
          <w:highlight w:val="none"/>
          <w:lang w:val="en-US" w:eastAsia="zh-CN"/>
        </w:rPr>
        <w:t xml:space="preserve">      </w:t>
      </w:r>
      <w:r>
        <w:rPr>
          <w:rFonts w:hint="eastAsia" w:ascii="宋体" w:hAnsi="宋体"/>
          <w:sz w:val="24"/>
          <w:highlight w:val="none"/>
        </w:rPr>
        <w:t xml:space="preserve">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 xml:space="preserve">日    </w:t>
      </w:r>
      <w:r>
        <w:rPr>
          <w:rFonts w:hint="eastAsia" w:ascii="宋体" w:hAnsi="宋体"/>
          <w:sz w:val="24"/>
          <w:highlight w:val="none"/>
          <w:lang w:val="en-US" w:eastAsia="zh-CN"/>
        </w:rPr>
        <w:t xml:space="preserve">      </w:t>
      </w:r>
      <w:r>
        <w:rPr>
          <w:rFonts w:hint="eastAsia" w:ascii="宋体" w:hAnsi="宋体"/>
          <w:sz w:val="24"/>
          <w:highlight w:val="none"/>
        </w:rPr>
        <w:t>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4"/>
        <w:numPr>
          <w:ilvl w:val="0"/>
          <w:numId w:val="1"/>
        </w:numPr>
        <w:rPr>
          <w:rFonts w:hint="eastAsia" w:hAnsi="宋体"/>
          <w:sz w:val="28"/>
          <w:highlight w:val="none"/>
        </w:rPr>
      </w:pPr>
      <w:r>
        <w:rPr>
          <w:rFonts w:hAnsi="宋体"/>
          <w:sz w:val="24"/>
          <w:highlight w:val="none"/>
        </w:rPr>
        <w:br w:type="page"/>
      </w:r>
      <w:bookmarkStart w:id="35" w:name="_Toc39733484"/>
      <w:bookmarkStart w:id="36" w:name="_Toc245714174"/>
      <w:bookmarkStart w:id="37" w:name="_Toc10239"/>
      <w:bookmarkStart w:id="38" w:name="_Toc273602356"/>
      <w:r>
        <w:rPr>
          <w:rFonts w:hint="eastAsia" w:hAnsi="宋体"/>
          <w:sz w:val="28"/>
          <w:highlight w:val="none"/>
        </w:rPr>
        <w:t>投标授权书</w:t>
      </w:r>
      <w:bookmarkEnd w:id="35"/>
      <w:bookmarkEnd w:id="36"/>
      <w:bookmarkEnd w:id="37"/>
      <w:bookmarkEnd w:id="38"/>
    </w:p>
    <w:p w14:paraId="6F339B8C">
      <w:pPr>
        <w:rPr>
          <w:rFonts w:hint="eastAsia"/>
          <w:highlight w:val="none"/>
        </w:rPr>
      </w:pPr>
    </w:p>
    <w:p w14:paraId="691AF32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2026年磨滩旅游度假区抖音服务商合作</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B24D73">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0AB24D73">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657DED">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0657DED">
                      <w:pPr>
                        <w:jc w:val="center"/>
                      </w:pPr>
                      <w:r>
                        <w:rPr>
                          <w:rFonts w:hint="eastAsia"/>
                        </w:rPr>
                        <w:t>授权代表身份证复印件反面</w:t>
                      </w:r>
                    </w:p>
                  </w:txbxContent>
                </v:textbox>
                <w10:wrap type="none"/>
                <w10:anchorlock/>
              </v:roundrect>
            </w:pict>
          </mc:Fallback>
        </mc:AlternateConten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9"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9"/>
    </w:p>
    <w:p w14:paraId="2A7D7E9B">
      <w:pPr>
        <w:pStyle w:val="25"/>
        <w:snapToGrid w:val="0"/>
        <w:spacing w:line="480" w:lineRule="auto"/>
        <w:ind w:firstLine="480" w:firstLineChars="200"/>
        <w:jc w:val="left"/>
        <w:rPr>
          <w:rFonts w:hint="eastAsia" w:hAnsi="宋体"/>
          <w:sz w:val="24"/>
          <w:szCs w:val="28"/>
          <w:highlight w:val="none"/>
        </w:rPr>
      </w:pPr>
    </w:p>
    <w:p w14:paraId="167CFC5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804DD4D">
      <w:pPr>
        <w:pStyle w:val="25"/>
        <w:snapToGrid w:val="0"/>
        <w:spacing w:line="480" w:lineRule="auto"/>
        <w:ind w:firstLine="480" w:firstLineChars="200"/>
        <w:jc w:val="left"/>
        <w:rPr>
          <w:rFonts w:hint="default" w:hAnsi="宋体" w:eastAsia="宋体"/>
          <w:sz w:val="24"/>
          <w:szCs w:val="28"/>
          <w:highlight w:val="none"/>
          <w:lang w:val="en-US" w:eastAsia="zh-CN"/>
        </w:rPr>
      </w:pPr>
      <w:r>
        <w:rPr>
          <w:rFonts w:hint="eastAsia" w:hAnsi="宋体"/>
          <w:sz w:val="24"/>
          <w:szCs w:val="28"/>
          <w:highlight w:val="none"/>
          <w:lang w:val="en-US" w:eastAsia="zh-CN"/>
        </w:rPr>
        <w:t>7.我公司提供的材料数据均真实有效，无造假情况。</w:t>
      </w:r>
    </w:p>
    <w:p w14:paraId="3E7A914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25"/>
        <w:snapToGrid w:val="0"/>
        <w:spacing w:line="480" w:lineRule="auto"/>
        <w:ind w:firstLine="480" w:firstLineChars="200"/>
        <w:jc w:val="left"/>
        <w:rPr>
          <w:rFonts w:hint="eastAsia" w:hAnsi="宋体"/>
          <w:sz w:val="24"/>
          <w:szCs w:val="28"/>
          <w:highlight w:val="none"/>
        </w:rPr>
      </w:pPr>
    </w:p>
    <w:p w14:paraId="7D489D3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25"/>
        <w:snapToGrid w:val="0"/>
        <w:spacing w:line="480" w:lineRule="auto"/>
        <w:ind w:firstLine="480" w:firstLineChars="200"/>
        <w:jc w:val="left"/>
        <w:rPr>
          <w:rFonts w:hint="eastAsia" w:hAnsi="宋体"/>
          <w:sz w:val="24"/>
          <w:szCs w:val="28"/>
          <w:highlight w:val="none"/>
        </w:rPr>
      </w:pPr>
    </w:p>
    <w:p w14:paraId="51063F3F">
      <w:pPr>
        <w:pStyle w:val="25"/>
        <w:snapToGrid w:val="0"/>
        <w:spacing w:line="480" w:lineRule="auto"/>
        <w:ind w:firstLine="480" w:firstLineChars="200"/>
        <w:jc w:val="left"/>
        <w:rPr>
          <w:rFonts w:hint="eastAsia" w:hAnsi="宋体"/>
          <w:sz w:val="24"/>
          <w:szCs w:val="28"/>
          <w:highlight w:val="none"/>
        </w:rPr>
      </w:pPr>
    </w:p>
    <w:p w14:paraId="25C02B9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50"/>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4"/>
        <w:rPr>
          <w:rFonts w:hint="eastAsia" w:hAnsi="宋体"/>
          <w:sz w:val="28"/>
          <w:highlight w:val="none"/>
        </w:rPr>
      </w:pPr>
      <w:r>
        <w:rPr>
          <w:rFonts w:hAnsi="宋体"/>
          <w:sz w:val="28"/>
          <w:highlight w:val="none"/>
        </w:rPr>
        <w:br w:type="page"/>
      </w:r>
      <w:bookmarkStart w:id="40" w:name="_Toc25916"/>
      <w:r>
        <w:rPr>
          <w:rFonts w:hint="eastAsia" w:hAnsi="宋体"/>
          <w:sz w:val="28"/>
          <w:highlight w:val="none"/>
        </w:rPr>
        <w:t>五、</w:t>
      </w:r>
      <w:bookmarkEnd w:id="40"/>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4"/>
        <w:jc w:val="center"/>
        <w:rPr>
          <w:rFonts w:hint="eastAsia" w:hAnsi="宋体"/>
          <w:sz w:val="28"/>
          <w:highlight w:val="none"/>
        </w:rPr>
      </w:pPr>
      <w:r>
        <w:rPr>
          <w:highlight w:val="none"/>
        </w:rPr>
        <w:br w:type="page"/>
      </w:r>
      <w:bookmarkEnd w:id="29"/>
      <w:bookmarkEnd w:id="30"/>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1" w:name="_Toc220232405"/>
      <w:bookmarkStart w:id="42" w:name="_Toc220232400"/>
      <w:bookmarkStart w:id="43" w:name="_Toc51696911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1"/>
    <w:bookmarkEnd w:id="42"/>
    <w:bookmarkEnd w:id="43"/>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50"/>
        <w:rPr>
          <w:rFonts w:hint="eastAsia" w:ascii="宋体" w:hAnsi="宋体"/>
          <w:bCs/>
          <w:sz w:val="24"/>
          <w:szCs w:val="24"/>
          <w:highlight w:val="none"/>
        </w:rPr>
      </w:pPr>
    </w:p>
    <w:p w14:paraId="45F49153">
      <w:pPr>
        <w:pStyle w:val="50"/>
        <w:rPr>
          <w:rFonts w:hint="eastAsia" w:ascii="宋体" w:hAnsi="宋体"/>
          <w:bCs/>
          <w:sz w:val="24"/>
          <w:szCs w:val="24"/>
          <w:highlight w:val="none"/>
        </w:rPr>
      </w:pPr>
    </w:p>
    <w:p w14:paraId="63E4FBEC">
      <w:pPr>
        <w:pStyle w:val="50"/>
        <w:rPr>
          <w:rFonts w:hint="eastAsia" w:ascii="宋体" w:hAnsi="宋体"/>
          <w:bCs/>
          <w:sz w:val="24"/>
          <w:szCs w:val="24"/>
          <w:highlight w:val="none"/>
        </w:rPr>
      </w:pPr>
    </w:p>
    <w:p w14:paraId="039257C9">
      <w:pPr>
        <w:pStyle w:val="50"/>
        <w:rPr>
          <w:rFonts w:hint="eastAsia" w:ascii="宋体" w:hAnsi="宋体"/>
          <w:bCs/>
          <w:sz w:val="24"/>
          <w:szCs w:val="24"/>
          <w:highlight w:val="none"/>
        </w:rPr>
      </w:pPr>
    </w:p>
    <w:p w14:paraId="029CFA82">
      <w:pPr>
        <w:pStyle w:val="50"/>
        <w:rPr>
          <w:rFonts w:hint="eastAsia" w:ascii="宋体" w:hAnsi="宋体"/>
          <w:bCs/>
          <w:sz w:val="24"/>
          <w:szCs w:val="24"/>
          <w:highlight w:val="none"/>
        </w:rPr>
      </w:pPr>
    </w:p>
    <w:p w14:paraId="5B615617">
      <w:pPr>
        <w:pStyle w:val="50"/>
        <w:rPr>
          <w:rFonts w:hint="eastAsia" w:ascii="宋体" w:hAnsi="宋体"/>
          <w:bCs/>
          <w:sz w:val="24"/>
          <w:szCs w:val="24"/>
          <w:highlight w:val="none"/>
        </w:rPr>
      </w:pPr>
    </w:p>
    <w:p w14:paraId="768DDC7A">
      <w:pPr>
        <w:pStyle w:val="50"/>
        <w:rPr>
          <w:rFonts w:hint="eastAsia" w:ascii="宋体" w:hAnsi="宋体"/>
          <w:bCs/>
          <w:sz w:val="24"/>
          <w:szCs w:val="24"/>
          <w:highlight w:val="none"/>
        </w:rPr>
      </w:pPr>
    </w:p>
    <w:p w14:paraId="30C4C0FF">
      <w:pPr>
        <w:pStyle w:val="50"/>
        <w:rPr>
          <w:rFonts w:hint="eastAsia" w:ascii="宋体" w:hAnsi="宋体"/>
          <w:bCs/>
          <w:sz w:val="24"/>
          <w:szCs w:val="24"/>
          <w:highlight w:val="none"/>
        </w:rPr>
      </w:pPr>
    </w:p>
    <w:p w14:paraId="3C494CB2">
      <w:pPr>
        <w:pStyle w:val="50"/>
        <w:rPr>
          <w:rFonts w:hint="eastAsia" w:ascii="宋体" w:hAnsi="宋体"/>
          <w:bCs/>
          <w:sz w:val="24"/>
          <w:szCs w:val="24"/>
          <w:highlight w:val="none"/>
        </w:rPr>
      </w:pPr>
    </w:p>
    <w:p w14:paraId="41A53858">
      <w:pPr>
        <w:pStyle w:val="50"/>
        <w:rPr>
          <w:rFonts w:hint="eastAsia" w:ascii="宋体" w:hAnsi="宋体"/>
          <w:bCs/>
          <w:sz w:val="24"/>
          <w:szCs w:val="24"/>
          <w:highlight w:val="none"/>
        </w:rPr>
      </w:pPr>
    </w:p>
    <w:p w14:paraId="6794F493">
      <w:pPr>
        <w:pStyle w:val="50"/>
        <w:rPr>
          <w:rFonts w:hint="eastAsia" w:ascii="宋体" w:hAnsi="宋体"/>
          <w:bCs/>
          <w:sz w:val="24"/>
          <w:szCs w:val="24"/>
          <w:highlight w:val="none"/>
        </w:rPr>
      </w:pPr>
    </w:p>
    <w:p w14:paraId="35946AA2">
      <w:pPr>
        <w:pStyle w:val="50"/>
        <w:rPr>
          <w:rFonts w:hint="eastAsia" w:ascii="宋体" w:hAnsi="宋体"/>
          <w:bCs/>
          <w:sz w:val="24"/>
          <w:szCs w:val="24"/>
          <w:highlight w:val="none"/>
        </w:rPr>
      </w:pPr>
    </w:p>
    <w:p w14:paraId="04C69350">
      <w:pPr>
        <w:pStyle w:val="50"/>
        <w:rPr>
          <w:rFonts w:hint="eastAsia" w:ascii="宋体" w:hAnsi="宋体"/>
          <w:bCs/>
          <w:sz w:val="24"/>
          <w:szCs w:val="24"/>
          <w:highlight w:val="none"/>
        </w:rPr>
      </w:pPr>
    </w:p>
    <w:p w14:paraId="235ACF34">
      <w:pPr>
        <w:pStyle w:val="50"/>
        <w:rPr>
          <w:rFonts w:hint="eastAsia" w:ascii="宋体" w:hAnsi="宋体"/>
          <w:bCs/>
          <w:sz w:val="24"/>
          <w:szCs w:val="24"/>
          <w:highlight w:val="none"/>
        </w:rPr>
      </w:pPr>
    </w:p>
    <w:p w14:paraId="78F4384A">
      <w:pPr>
        <w:pStyle w:val="50"/>
        <w:rPr>
          <w:rFonts w:hint="eastAsia" w:ascii="宋体" w:hAnsi="宋体"/>
          <w:bCs/>
          <w:sz w:val="24"/>
          <w:szCs w:val="24"/>
          <w:highlight w:val="none"/>
        </w:rPr>
      </w:pPr>
    </w:p>
    <w:p w14:paraId="57100E22">
      <w:pPr>
        <w:pStyle w:val="50"/>
        <w:rPr>
          <w:rFonts w:hint="eastAsia" w:ascii="宋体" w:hAnsi="宋体"/>
          <w:bCs/>
          <w:sz w:val="24"/>
          <w:szCs w:val="24"/>
          <w:highlight w:val="none"/>
        </w:rPr>
      </w:pPr>
    </w:p>
    <w:p w14:paraId="73F2EE03">
      <w:pPr>
        <w:pStyle w:val="50"/>
        <w:rPr>
          <w:rFonts w:hint="eastAsia" w:ascii="宋体" w:hAnsi="宋体"/>
          <w:bCs/>
          <w:sz w:val="24"/>
          <w:szCs w:val="24"/>
          <w:highlight w:val="none"/>
        </w:rPr>
      </w:pPr>
    </w:p>
    <w:p w14:paraId="4A17A4F5">
      <w:pPr>
        <w:pStyle w:val="50"/>
        <w:rPr>
          <w:rFonts w:hint="eastAsia" w:ascii="宋体" w:hAnsi="宋体"/>
          <w:bCs/>
          <w:sz w:val="24"/>
          <w:szCs w:val="24"/>
          <w:highlight w:val="none"/>
        </w:rPr>
      </w:pPr>
    </w:p>
    <w:p w14:paraId="383C5A64">
      <w:pPr>
        <w:pStyle w:val="50"/>
        <w:rPr>
          <w:rFonts w:hint="eastAsia" w:ascii="宋体" w:hAnsi="宋体"/>
          <w:bCs/>
          <w:sz w:val="24"/>
          <w:szCs w:val="24"/>
          <w:highlight w:val="none"/>
        </w:rPr>
      </w:pPr>
    </w:p>
    <w:p w14:paraId="0A5F0768">
      <w:pPr>
        <w:pStyle w:val="50"/>
        <w:rPr>
          <w:rFonts w:hint="eastAsia" w:ascii="宋体" w:hAnsi="宋体"/>
          <w:bCs/>
          <w:sz w:val="24"/>
          <w:szCs w:val="24"/>
          <w:highlight w:val="none"/>
        </w:rPr>
      </w:pPr>
    </w:p>
    <w:p w14:paraId="5B9C0178">
      <w:pPr>
        <w:pStyle w:val="50"/>
        <w:rPr>
          <w:rFonts w:hint="eastAsia" w:ascii="宋体" w:hAnsi="宋体"/>
          <w:bCs/>
          <w:sz w:val="24"/>
          <w:szCs w:val="24"/>
          <w:highlight w:val="none"/>
        </w:rPr>
      </w:pPr>
    </w:p>
    <w:p w14:paraId="44A03285">
      <w:pPr>
        <w:pStyle w:val="50"/>
        <w:rPr>
          <w:rFonts w:hint="eastAsia" w:ascii="宋体" w:hAnsi="宋体"/>
          <w:bCs/>
          <w:sz w:val="24"/>
          <w:szCs w:val="24"/>
          <w:highlight w:val="none"/>
        </w:rPr>
      </w:pPr>
    </w:p>
    <w:p w14:paraId="4E6DB904">
      <w:pPr>
        <w:pStyle w:val="50"/>
        <w:rPr>
          <w:rFonts w:hint="eastAsia" w:ascii="宋体" w:hAnsi="宋体"/>
          <w:bCs/>
          <w:sz w:val="24"/>
          <w:szCs w:val="24"/>
          <w:highlight w:val="none"/>
        </w:rPr>
      </w:pPr>
    </w:p>
    <w:p w14:paraId="292943FE">
      <w:pPr>
        <w:pStyle w:val="50"/>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2026年磨滩旅游度假区抖音服务商合作</w:t>
      </w:r>
    </w:p>
    <w:p w14:paraId="6BBC410D">
      <w:pPr>
        <w:pStyle w:val="3"/>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4" w:name="_Toc240898303"/>
      <w:bookmarkStart w:id="45" w:name="_Toc328559344"/>
      <w:bookmarkStart w:id="46" w:name="_Toc270410845"/>
      <w:bookmarkStart w:id="47" w:name="_Toc273602363"/>
      <w:r>
        <w:rPr>
          <w:rFonts w:hint="eastAsia" w:ascii="宋体" w:hAnsi="宋体" w:eastAsia="宋体" w:cs="Times New Roman"/>
          <w:b/>
          <w:kern w:val="2"/>
          <w:sz w:val="28"/>
          <w:szCs w:val="20"/>
          <w:highlight w:val="none"/>
          <w:lang w:val="en-US" w:eastAsia="zh-CN" w:bidi="ar-SA"/>
        </w:rPr>
        <w:t>一、</w:t>
      </w:r>
      <w:bookmarkEnd w:id="44"/>
      <w:bookmarkEnd w:id="45"/>
      <w:bookmarkEnd w:id="46"/>
      <w:bookmarkEnd w:id="47"/>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1D245366">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我方已仔细研究      </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 xml:space="preserve">   （项目名称）招标文件的全部内容，</w:t>
      </w:r>
      <w:r>
        <w:rPr>
          <w:rFonts w:hint="eastAsia" w:ascii="宋体" w:hAnsi="宋体" w:cs="Times New Roman"/>
          <w:kern w:val="2"/>
          <w:sz w:val="24"/>
          <w:szCs w:val="28"/>
          <w:highlight w:val="none"/>
          <w:lang w:val="en-US" w:eastAsia="zh-CN" w:bidi="ar-SA"/>
        </w:rPr>
        <w:t>愿意按照</w:t>
      </w:r>
      <w:r>
        <w:rPr>
          <w:rFonts w:hint="eastAsia" w:ascii="宋体" w:hAnsi="宋体" w:eastAsia="宋体" w:cs="Times New Roman"/>
          <w:kern w:val="2"/>
          <w:sz w:val="24"/>
          <w:szCs w:val="28"/>
          <w:highlight w:val="none"/>
          <w:lang w:val="en-US" w:eastAsia="zh-CN" w:bidi="ar-SA"/>
        </w:rPr>
        <w:t>服务商佣金比例：</w:t>
      </w:r>
    </w:p>
    <w:p w14:paraId="3273B58C">
      <w:pPr>
        <w:tabs>
          <w:tab w:val="left" w:pos="993"/>
        </w:tabs>
        <w:spacing w:line="440" w:lineRule="exact"/>
        <w:ind w:firstLine="480" w:firstLineChars="200"/>
        <w:rPr>
          <w:rFonts w:hint="default" w:ascii="宋体" w:hAnsi="宋体"/>
          <w:b/>
          <w:bCs/>
          <w:szCs w:val="21"/>
          <w:highlight w:val="none"/>
          <w:lang w:val="en-US" w:eastAsia="zh-CN"/>
        </w:rPr>
      </w:pPr>
      <w:r>
        <w:rPr>
          <w:rFonts w:hint="eastAsia" w:ascii="宋体" w:hAnsi="宋体" w:cs="Times New Roman"/>
          <w:kern w:val="2"/>
          <w:sz w:val="24"/>
          <w:szCs w:val="28"/>
          <w:highlight w:val="none"/>
          <w:lang w:val="en-US" w:eastAsia="zh-CN" w:bidi="ar-SA"/>
        </w:rPr>
        <w:t>1.</w:t>
      </w:r>
      <w:r>
        <w:rPr>
          <w:rFonts w:hint="eastAsia" w:ascii="宋体" w:hAnsi="宋体"/>
          <w:b/>
          <w:bCs/>
          <w:szCs w:val="21"/>
          <w:highlight w:val="none"/>
          <w:lang w:val="en-US" w:eastAsia="zh-CN"/>
        </w:rPr>
        <w:t>客房住宿类不得高于9%；景区游玩类不得超过8%；合作期内（以合同签订日期为准）保底500万，其中客房住宿保底70万、景区票券类【圩圩谷精灵部落保底380万，小火车保底15万，奇嗨文旅（游船和爱马乐园）保底35万】；若完成保底金额，则按阶梯式佣金比例提点。若合作期满未达全年保底金额，则返还全年佣金点1%，其中单个小项未完成则返还单项佣金点1%。（例如：一档报价中景区票券报价5%，客房住宿类7%，合同期结束景区票券完成保底，住宿未完成70万，则最终景区票券类计提点为5%，客房住宿类计提点为6%）</w:t>
      </w:r>
    </w:p>
    <w:p w14:paraId="0CCE975B">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阶梯式佣金比例（不含平台佣金、不含职人带货金额，职人带货金额不计提服务商佣金）：</w:t>
      </w:r>
    </w:p>
    <w:p w14:paraId="7C40CFC9">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一档：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年累计核销GMV达500万-650万）</w:t>
      </w:r>
    </w:p>
    <w:p w14:paraId="6E6DDD08">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cs="Times New Roman"/>
          <w:kern w:val="2"/>
          <w:sz w:val="24"/>
          <w:szCs w:val="28"/>
          <w:highlight w:val="none"/>
          <w:lang w:val="en-US" w:eastAsia="zh-CN" w:bidi="ar-SA"/>
        </w:rPr>
        <w:t>二档：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年累计核销GMV达650万-850万）</w:t>
      </w:r>
    </w:p>
    <w:p w14:paraId="3D9EE823">
      <w:pPr>
        <w:tabs>
          <w:tab w:val="left" w:pos="993"/>
        </w:tabs>
        <w:spacing w:line="440" w:lineRule="exact"/>
        <w:ind w:firstLine="480" w:firstLineChars="200"/>
        <w:rPr>
          <w:rFonts w:hint="eastAsia" w:ascii="宋体" w:hAnsi="宋体" w:eastAsia="宋体" w:cs="Times New Roman"/>
          <w:b/>
          <w:bCs/>
          <w:kern w:val="2"/>
          <w:sz w:val="24"/>
          <w:szCs w:val="28"/>
          <w:highlight w:val="yellow"/>
          <w:lang w:val="en-US" w:eastAsia="zh-CN" w:bidi="ar-SA"/>
        </w:rPr>
      </w:pPr>
      <w:r>
        <w:rPr>
          <w:rFonts w:hint="eastAsia" w:ascii="宋体" w:hAnsi="宋体" w:cs="Times New Roman"/>
          <w:kern w:val="2"/>
          <w:sz w:val="24"/>
          <w:szCs w:val="28"/>
          <w:highlight w:val="none"/>
          <w:lang w:val="en-US" w:eastAsia="zh-CN" w:bidi="ar-SA"/>
        </w:rPr>
        <w:t>三档：</w:t>
      </w:r>
      <w:r>
        <w:rPr>
          <w:rFonts w:hint="eastAsia" w:ascii="宋体" w:hAnsi="宋体" w:eastAsia="宋体" w:cs="Times New Roman"/>
          <w:kern w:val="2"/>
          <w:sz w:val="24"/>
          <w:szCs w:val="28"/>
          <w:highlight w:val="none"/>
          <w:lang w:val="en-US" w:eastAsia="zh-CN" w:bidi="ar-SA"/>
        </w:rPr>
        <w:t>景区票券类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%；客房住宿类</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 年累计核销GMV达850万以上）</w:t>
      </w:r>
    </w:p>
    <w:p w14:paraId="0EFDBE92">
      <w:pPr>
        <w:tabs>
          <w:tab w:val="left" w:pos="993"/>
        </w:tabs>
        <w:spacing w:line="440" w:lineRule="exact"/>
        <w:ind w:firstLine="480" w:firstLineChars="20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37"/>
        <w:rPr>
          <w:rFonts w:hint="eastAsia" w:ascii="宋体" w:hAnsi="宋体"/>
          <w:sz w:val="32"/>
          <w:szCs w:val="32"/>
        </w:rPr>
      </w:pPr>
    </w:p>
    <w:p w14:paraId="079AD55C">
      <w:pPr>
        <w:pStyle w:val="37"/>
        <w:rPr>
          <w:rFonts w:hint="eastAsia" w:ascii="宋体" w:hAnsi="宋体"/>
          <w:sz w:val="32"/>
          <w:szCs w:val="32"/>
        </w:rPr>
      </w:pPr>
    </w:p>
    <w:p w14:paraId="2381EC05">
      <w:pPr>
        <w:pStyle w:val="50"/>
        <w:ind w:left="0" w:leftChars="0" w:firstLine="0" w:firstLineChars="0"/>
        <w:rPr>
          <w:rFonts w:hint="eastAsia" w:ascii="宋体" w:hAnsi="宋体" w:eastAsia="楷体_GB2312"/>
          <w:bCs/>
          <w:sz w:val="24"/>
          <w:szCs w:val="24"/>
          <w:highlight w:val="none"/>
          <w:lang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宋体-18030">
    <w:altName w:val="微软雅黑"/>
    <w:panose1 w:val="02010609060101010101"/>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D91BD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66A3">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2RjZDQ4MzQ3YWUyMjFmOWJjYjMwYzU5MDRhNz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2B07943"/>
    <w:rsid w:val="046B4FC8"/>
    <w:rsid w:val="04B922CF"/>
    <w:rsid w:val="05A30D0A"/>
    <w:rsid w:val="05BD2604"/>
    <w:rsid w:val="05D910E5"/>
    <w:rsid w:val="0636723D"/>
    <w:rsid w:val="06D56BC9"/>
    <w:rsid w:val="07571141"/>
    <w:rsid w:val="07D0357D"/>
    <w:rsid w:val="0821128F"/>
    <w:rsid w:val="09CE646B"/>
    <w:rsid w:val="0A155057"/>
    <w:rsid w:val="0B754EF6"/>
    <w:rsid w:val="0C2812BF"/>
    <w:rsid w:val="0CDA707A"/>
    <w:rsid w:val="0E813436"/>
    <w:rsid w:val="0E8C06A6"/>
    <w:rsid w:val="10B03034"/>
    <w:rsid w:val="113803F9"/>
    <w:rsid w:val="122B4D74"/>
    <w:rsid w:val="133C549C"/>
    <w:rsid w:val="13F40A61"/>
    <w:rsid w:val="146752C6"/>
    <w:rsid w:val="14A81E8C"/>
    <w:rsid w:val="15702C7C"/>
    <w:rsid w:val="17E01B36"/>
    <w:rsid w:val="191650CC"/>
    <w:rsid w:val="19730E4F"/>
    <w:rsid w:val="19FF42A5"/>
    <w:rsid w:val="1A2514A4"/>
    <w:rsid w:val="1BEA4967"/>
    <w:rsid w:val="1CCD0439"/>
    <w:rsid w:val="204C141D"/>
    <w:rsid w:val="20B96BBD"/>
    <w:rsid w:val="21585442"/>
    <w:rsid w:val="21E7018E"/>
    <w:rsid w:val="226C7B45"/>
    <w:rsid w:val="240F3379"/>
    <w:rsid w:val="2414469F"/>
    <w:rsid w:val="266C26D2"/>
    <w:rsid w:val="29C9157A"/>
    <w:rsid w:val="2B64726E"/>
    <w:rsid w:val="2B971227"/>
    <w:rsid w:val="2BEC1B6F"/>
    <w:rsid w:val="2CF653D4"/>
    <w:rsid w:val="2D5A7534"/>
    <w:rsid w:val="2DB42060"/>
    <w:rsid w:val="31B04D12"/>
    <w:rsid w:val="31B73543"/>
    <w:rsid w:val="330A3F6B"/>
    <w:rsid w:val="34B30D84"/>
    <w:rsid w:val="37AD17E4"/>
    <w:rsid w:val="38D03547"/>
    <w:rsid w:val="391546CE"/>
    <w:rsid w:val="3A6B5E65"/>
    <w:rsid w:val="3B5E4245"/>
    <w:rsid w:val="3C4F52C5"/>
    <w:rsid w:val="3C845F36"/>
    <w:rsid w:val="3CFC6F44"/>
    <w:rsid w:val="3D39143D"/>
    <w:rsid w:val="3D6D780B"/>
    <w:rsid w:val="3DA678B1"/>
    <w:rsid w:val="3ED44193"/>
    <w:rsid w:val="3F225AA3"/>
    <w:rsid w:val="401A66FC"/>
    <w:rsid w:val="40E837CF"/>
    <w:rsid w:val="422C131F"/>
    <w:rsid w:val="446C2DD2"/>
    <w:rsid w:val="44870B68"/>
    <w:rsid w:val="46DF69E1"/>
    <w:rsid w:val="472F5DC6"/>
    <w:rsid w:val="47DD645F"/>
    <w:rsid w:val="480D3F42"/>
    <w:rsid w:val="49661CFC"/>
    <w:rsid w:val="49E360C7"/>
    <w:rsid w:val="4A4F0FFA"/>
    <w:rsid w:val="4A8C4750"/>
    <w:rsid w:val="4AA40703"/>
    <w:rsid w:val="4B4B003B"/>
    <w:rsid w:val="4C1A42D0"/>
    <w:rsid w:val="4CE40936"/>
    <w:rsid w:val="4D920BCF"/>
    <w:rsid w:val="4F6D6363"/>
    <w:rsid w:val="4FEE1EAF"/>
    <w:rsid w:val="50441287"/>
    <w:rsid w:val="505C62DA"/>
    <w:rsid w:val="51532A7B"/>
    <w:rsid w:val="51C548F3"/>
    <w:rsid w:val="51E91049"/>
    <w:rsid w:val="525E4232"/>
    <w:rsid w:val="531967B7"/>
    <w:rsid w:val="53297640"/>
    <w:rsid w:val="539D5ADC"/>
    <w:rsid w:val="54930296"/>
    <w:rsid w:val="560E0898"/>
    <w:rsid w:val="566A1F66"/>
    <w:rsid w:val="56B518CE"/>
    <w:rsid w:val="575C02FA"/>
    <w:rsid w:val="577C37AC"/>
    <w:rsid w:val="57C70491"/>
    <w:rsid w:val="57F6197C"/>
    <w:rsid w:val="591B3341"/>
    <w:rsid w:val="59A40FED"/>
    <w:rsid w:val="59B83A63"/>
    <w:rsid w:val="5A01369D"/>
    <w:rsid w:val="5A0572B4"/>
    <w:rsid w:val="5A424C3C"/>
    <w:rsid w:val="5A5E041A"/>
    <w:rsid w:val="5C1843D5"/>
    <w:rsid w:val="5C7929A2"/>
    <w:rsid w:val="5E824AD5"/>
    <w:rsid w:val="60080E3D"/>
    <w:rsid w:val="60253011"/>
    <w:rsid w:val="61CC570B"/>
    <w:rsid w:val="61EE503F"/>
    <w:rsid w:val="6227175E"/>
    <w:rsid w:val="6320544E"/>
    <w:rsid w:val="64634696"/>
    <w:rsid w:val="64FD6C64"/>
    <w:rsid w:val="66C60A29"/>
    <w:rsid w:val="674578E4"/>
    <w:rsid w:val="674742E4"/>
    <w:rsid w:val="68127D7F"/>
    <w:rsid w:val="69264D86"/>
    <w:rsid w:val="697F0C22"/>
    <w:rsid w:val="6B62753A"/>
    <w:rsid w:val="6CC46801"/>
    <w:rsid w:val="6EE53351"/>
    <w:rsid w:val="6F1A7490"/>
    <w:rsid w:val="7030652D"/>
    <w:rsid w:val="707B05FB"/>
    <w:rsid w:val="712B2D8E"/>
    <w:rsid w:val="718448F2"/>
    <w:rsid w:val="71A74265"/>
    <w:rsid w:val="72142320"/>
    <w:rsid w:val="728B348E"/>
    <w:rsid w:val="72DA63FB"/>
    <w:rsid w:val="7353026B"/>
    <w:rsid w:val="73B00B38"/>
    <w:rsid w:val="73D55B1D"/>
    <w:rsid w:val="74A02488"/>
    <w:rsid w:val="75A274FB"/>
    <w:rsid w:val="76587988"/>
    <w:rsid w:val="76EC2FDC"/>
    <w:rsid w:val="77141D73"/>
    <w:rsid w:val="771F1A1E"/>
    <w:rsid w:val="779B0CBA"/>
    <w:rsid w:val="7844695B"/>
    <w:rsid w:val="791E5585"/>
    <w:rsid w:val="7C7750F6"/>
    <w:rsid w:val="7C9653F4"/>
    <w:rsid w:val="7D670355"/>
    <w:rsid w:val="7D6924B7"/>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autoRedefine/>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 w:type="character" w:customStyle="1" w:styleId="104">
    <w:name w:val="font51"/>
    <w:basedOn w:val="53"/>
    <w:qFormat/>
    <w:uiPriority w:val="0"/>
    <w:rPr>
      <w:rFonts w:ascii="宋体" w:hAnsi="宋体" w:eastAsia="宋体" w:cs="宋体"/>
      <w:b/>
      <w:bCs/>
      <w:color w:val="000000"/>
      <w:sz w:val="22"/>
      <w:szCs w:val="22"/>
      <w:u w:val="none"/>
    </w:rPr>
  </w:style>
  <w:style w:type="character" w:customStyle="1" w:styleId="105">
    <w:name w:val="font61"/>
    <w:basedOn w:val="53"/>
    <w:qFormat/>
    <w:uiPriority w:val="0"/>
    <w:rPr>
      <w:rFonts w:hint="default" w:ascii="Calibri" w:hAnsi="Calibri" w:cs="Calibri"/>
      <w:b/>
      <w:bCs/>
      <w:color w:val="000000"/>
      <w:sz w:val="22"/>
      <w:szCs w:val="22"/>
      <w:u w:val="none"/>
    </w:rPr>
  </w:style>
  <w:style w:type="character" w:customStyle="1" w:styleId="106">
    <w:name w:val="font71"/>
    <w:basedOn w:val="53"/>
    <w:qFormat/>
    <w:uiPriority w:val="0"/>
    <w:rPr>
      <w:rFonts w:ascii="宋体" w:hAnsi="宋体" w:eastAsia="宋体" w:cs="宋体"/>
      <w:color w:val="000000"/>
      <w:sz w:val="22"/>
      <w:szCs w:val="22"/>
      <w:u w:val="none"/>
    </w:rPr>
  </w:style>
  <w:style w:type="character" w:customStyle="1" w:styleId="107">
    <w:name w:val="font31"/>
    <w:basedOn w:val="53"/>
    <w:qFormat/>
    <w:uiPriority w:val="0"/>
    <w:rPr>
      <w:rFonts w:hint="eastAsia" w:ascii="微软雅黑" w:hAnsi="微软雅黑" w:eastAsia="微软雅黑" w:cs="微软雅黑"/>
      <w:color w:val="FF0000"/>
      <w:sz w:val="28"/>
      <w:szCs w:val="28"/>
      <w:u w:val="none"/>
    </w:rPr>
  </w:style>
  <w:style w:type="character" w:customStyle="1" w:styleId="108">
    <w:name w:val="font41"/>
    <w:basedOn w:val="53"/>
    <w:qFormat/>
    <w:uiPriority w:val="0"/>
    <w:rPr>
      <w:rFonts w:hint="eastAsia" w:ascii="微软雅黑" w:hAnsi="微软雅黑" w:eastAsia="微软雅黑" w:cs="微软雅黑"/>
      <w:b/>
      <w:bCs/>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48609cce-91c8-41ac-8feb-d6d98d586111</errorID>
      <errorWord>万</errorWord>
      <group>L1_Word</group>
      <groupName>字词问题</groupName>
      <ability>L2_Typo</ability>
      <abilityName>字词错误</abilityName>
      <candidateList>
        <item>万元</item>
      </candidateList>
      <explain/>
      <paraID>541B133D</paraID>
      <start>228</start>
      <end>229</end>
      <status>unmodified</status>
      <modifiedWord/>
      <trackRevisions>false</trackRevisions>
    </reviewItem>
    <reviewItem>
      <errorID>e6b252ad-a101-401b-8954-85c50994ed9c</errorID>
      <errorWord>500万-650万</errorWord>
      <group>L1_Knowledge</group>
      <groupName>知识性问题</groupName>
      <ability>L2_Knowledge</ability>
      <abilityName>其他知识</abilityName>
      <candidateList>
        <item>500万—650万</item>
      </candidateList>
      <explain>1. “500万-650万”中的单位“万”仅出现在后一个数字上，容易引起歧义；根据《现代汉语标点符号数字用法规范手册》，数字表示范围两边需要使用统一的格式。2.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6C2F667D</paraID>
      <start>33</start>
      <end>42</end>
      <status>unmodified</status>
      <modifiedWord/>
      <trackRevisions>false</trackRevisions>
    </reviewItem>
    <reviewItem>
      <errorID>8e62a941-ad3b-457a-96dc-bdf3b6739e7b</errorID>
      <errorWord>650万-850万</errorWord>
      <group>L1_Knowledge</group>
      <groupName>知识性问题</groupName>
      <ability>L2_Knowledge</ability>
      <abilityName>其他知识</abilityName>
      <candidateList>
        <item>650万—850万</item>
      </candidateList>
      <explain>1. “650万-850万”中的单位“万”仅出现在后一个数字上，容易引起歧义；根据《现代汉语标点符号数字用法规范手册》，数字表示范围两边需要使用统一的格式。2.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180FCAC9</paraID>
      <start>33</start>
      <end>42</end>
      <status>unmodified</status>
      <modifiedWord/>
      <trackRevisions>false</trackRevisions>
    </reviewItem>
    <reviewItem>
      <errorID>d03e8d49-684b-46be-972e-a21ee14db192</errorID>
      <errorWord>销</errorWord>
      <group>L1_Word</group>
      <groupName>字词问题</groupName>
      <ability>L2_Typo</ability>
      <abilityName>字词错误</abilityName>
      <candidateList>
        <item>销等</item>
      </candidateList>
      <explain/>
      <paraID>4CF0E996</paraID>
      <start>38</start>
      <end>39</end>
      <status>unmodified</status>
      <modifiedWord/>
      <trackRevisions>false</trackRevisions>
    </reviewItem>
    <reviewItem>
      <errorID>02d67601-dba7-433f-ad0e-56a65675e352</errorID>
      <errorWord>权</errorWord>
      <group>L1_Word</group>
      <groupName>字词问题</groupName>
      <ability>L2_Typo</ability>
      <abilityName>字词错误</abilityName>
      <candidateList>
        <item>权等</item>
      </candidateList>
      <explain/>
      <paraID>55494C02</paraID>
      <start>29</start>
      <end>30</end>
      <status>unmodified</status>
      <modifiedWord/>
      <trackRevisions>false</trackRevisions>
    </reviewItem>
    <reviewItem>
      <errorID>d32789ed-2b21-4825-a03e-1fea8b0705ff</errorID>
      <errorWord>签署签署</errorWord>
      <group>L1_Word</group>
      <groupName>字词问题</groupName>
      <ability>L2_Typo</ability>
      <abilityName>字词错误</abilityName>
      <candidateList>
        <item>签署</item>
      </candidateList>
      <explain/>
      <paraID>3E8D14B6</paraID>
      <start>3</start>
      <end>5</end>
      <status>modified</status>
      <modifiedWord>签署</modifiedWord>
      <trackRevisions>false</trackRevisions>
    </reviewItem>
    <reviewItem>
      <errorID>8962e256-3d5a-4d31-b3f9-8704497d8d26</errorID>
      <errorWord>低价串货</errorWord>
      <group>L1_Word</group>
      <groupName>字词问题</groupName>
      <ability>L2_Typo</ability>
      <abilityName>字词错误</abilityName>
      <candidateList>
        <item>低价窜货</item>
      </candidateList>
      <explain/>
      <paraID>3C133E36</paraID>
      <start>23</start>
      <end>27</end>
      <status>unmodified</status>
      <modifiedWord/>
      <trackRevisions>false</trackRevisions>
    </reviewItem>
    <reviewItem>
      <errorID>1f338ea3-4e00-4c0f-8f5b-7aba9b18982c</errorID>
      <errorWord>,</errorWord>
      <group>L1_Format</group>
      <groupName>格式问题</groupName>
      <ability>L2_HalfPunc</ability>
      <abilityName>全半角检查</abilityName>
      <candidateList>
        <item>，</item>
      </candidateList>
      <explain>文本全半角错误。</explain>
      <paraID>3D4368FF</paraID>
      <start>27</start>
      <end>28</end>
      <status>unmodified</status>
      <modifiedWord/>
      <trackRevisions>false</trackRevisions>
    </reviewItem>
    <reviewItem>
      <errorID>3b4d972c-600a-4274-8a12-478064f56c56</errorID>
      <errorWord>程</errorWord>
      <group>L1_Word</group>
      <groupName>字词问题</groupName>
      <ability>L2_Typo</ability>
      <abilityName>字词错误</abilityName>
      <candidateList>
        <item>程中</item>
      </candidateList>
      <explain/>
      <paraID>691AF327</paraID>
      <start>114</start>
      <end>115</end>
      <status>unmodified</status>
      <modifiedWord/>
      <trackRevisions>false</trackRevisions>
    </reviewItem>
    <reviewItem>
      <errorID>7a74813e-a93f-4d82-83c2-e27d21a7b0ed</errorID>
      <errorWord>500万-650万</errorWord>
      <group>L1_Knowledge</group>
      <groupName>知识性问题</groupName>
      <ability>L2_Knowledge</ability>
      <abilityName>其他知识</abilityName>
      <candidateList>
        <item>500万—650万</item>
      </candidateList>
      <explain>1. “500万-650万”中的单位“万”仅出现在后一个数字上，容易引起歧义；根据《现代汉语标点符号数字用法规范手册》，数字表示范围两边需要使用统一的格式。2.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7C40CFC9</paraID>
      <start>33</start>
      <end>42</end>
      <status>unmodified</status>
      <modifiedWord/>
      <trackRevisions>false</trackRevisions>
    </reviewItem>
    <reviewItem>
      <errorID>792d54ef-8ce7-49cf-8c07-7a389851ad95</errorID>
      <errorWord>650万-850万</errorWord>
      <group>L1_Knowledge</group>
      <groupName>知识性问题</groupName>
      <ability>L2_Knowledge</ability>
      <abilityName>其他知识</abilityName>
      <candidateList>
        <item>650万—850万</item>
      </candidateList>
      <explain>1. “650万-850万”中的单位“万”仅出现在后一个数字上，容易引起歧义；根据《现代汉语标点符号数字用法规范手册》，数字表示范围两边需要使用统一的格式。2.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6E6DDD08</paraID>
      <start>33</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cf8b3-1bf3-4cee-9f0e-ab29ec6253a5}">
  <ds:schemaRefs/>
</ds:datastoreItem>
</file>

<file path=docProps/app.xml><?xml version="1.0" encoding="utf-8"?>
<Properties xmlns="http://schemas.openxmlformats.org/officeDocument/2006/extended-properties" xmlns:vt="http://schemas.openxmlformats.org/officeDocument/2006/docPropsVTypes">
  <Template>Normal</Template>
  <Pages>18</Pages>
  <Words>2683</Words>
  <Characters>2818</Characters>
  <Lines>39</Lines>
  <Paragraphs>11</Paragraphs>
  <TotalTime>68</TotalTime>
  <ScaleCrop>false</ScaleCrop>
  <LinksUpToDate>false</LinksUpToDate>
  <CharactersWithSpaces>2868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 Doppelganger.</cp:lastModifiedBy>
  <cp:lastPrinted>2023-03-22T00:57:00Z</cp:lastPrinted>
  <dcterms:modified xsi:type="dcterms:W3CDTF">2026-04-28T08:04:20Z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91AE19AAA6504EEAB83F60659FD09C41_13</vt:lpwstr>
  </property>
  <property fmtid="{D5CDD505-2E9C-101B-9397-08002B2CF9AE}" pid="4" name="KSOTemplateDocerSaveRecord">
    <vt:lpwstr>eyJoZGlkIjoiMDhmMjJiMjRjNzU1MmIxY2NhNTE2Zjc5MTAwNDJiMGQiLCJ1c2VySWQiOiIzNzgzMDkzNjUifQ==</vt:lpwstr>
  </property>
</Properties>
</file>