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城市更新项目定向直投广告投放报价单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7E4BD7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1A1C1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7786AC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08E91A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总费用不超过18万元（含税），其中嘉玺项目不超过9万元（抖音信息流广告不超过5万元，朋友圈信息流广告不超过4万元），珺玺项目不超过9万元（抖音信息流广告不超过5万元，朋友圈信息流广告不超过4万元）</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19FF53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15166C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43CED8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14642A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以18万总价（含税），预估可收集的留电，不可少于900条；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1CF170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w:t>
            </w:r>
            <w:bookmarkStart w:id="0" w:name="_GoBack"/>
            <w:bookmarkEnd w:id="0"/>
            <w:r>
              <w:rPr>
                <w:rFonts w:hint="eastAsia" w:ascii="宋体" w:hAnsi="宋体" w:eastAsia="宋体" w:cs="宋体"/>
                <w:i w:val="0"/>
                <w:iCs w:val="0"/>
                <w:color w:val="auto"/>
                <w:kern w:val="0"/>
                <w:sz w:val="22"/>
                <w:szCs w:val="22"/>
                <w:u w:val="none"/>
                <w:lang w:val="en-US" w:eastAsia="zh-CN" w:bidi="ar"/>
              </w:rPr>
              <w:t>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FE28C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48B5C7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4、朋友圈需使用合肥市包河区城市更新建设有限公司主体账户进行投放，确保投放的广告不被封户下线；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03CE38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221D1"/>
    <w:rsid w:val="056C5E90"/>
    <w:rsid w:val="403221D1"/>
    <w:rsid w:val="62E03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618</Words>
  <Characters>631</Characters>
  <Lines>0</Lines>
  <Paragraphs>0</Paragraphs>
  <TotalTime>52</TotalTime>
  <ScaleCrop>false</ScaleCrop>
  <LinksUpToDate>false</LinksUpToDate>
  <CharactersWithSpaces>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2026-04-24T03:04:00Z</dcterms:created>
  <dc:creator>景初</dc:creator>
  <cp:lastModifiedBy>景初</cp:lastModifiedBy>
  <dcterms:modified xsi:type="dcterms:W3CDTF">2026-04-28T07:52:45Z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EBF64C3772A24D2097D7E9A233EE2264_11</vt:lpwstr>
  </property>
  <property fmtid="{D5CDD505-2E9C-101B-9397-08002B2CF9AE}" pid="4" name="KSOTemplateDocerSaveRecord">
    <vt:lpwstr>eyJoZGlkIjoiNzZmYTZjMzJlYjIwZDcyZDZlNTQ5OGRkMjUwYzlkNDEiLCJ1c2VySWQiOiI0MzczMjUwOTUifQ==</vt:lpwstr>
  </property>
</Properties>
</file>