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4EBC7C85">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eastAsia" w:ascii="宋体" w:hAnsi="宋体" w:eastAsia="宋体" w:cs="宋体"/>
          <w:b/>
          <w:color w:val="auto"/>
          <w:spacing w:val="-20"/>
          <w:sz w:val="48"/>
          <w:szCs w:val="48"/>
          <w:highlight w:val="none"/>
          <w:u w:val="single"/>
          <w:lang w:val="en-US" w:eastAsia="zh-CN"/>
        </w:rPr>
        <w:t>肥西桃溪里项目运营常规物料采购</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4949A5E6">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val="en-US" w:eastAsia="zh-CN"/>
        </w:rPr>
        <w:t>合肥滨投文化创意发展有限公司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73602338"/>
      <w:bookmarkStart w:id="1" w:name="_Toc24509275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5</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4"/>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26418134"/>
      <w:bookmarkEnd w:id="2"/>
      <w:bookmarkStart w:id="3" w:name="_Hlt519045295"/>
      <w:bookmarkEnd w:id="3"/>
      <w:bookmarkStart w:id="4" w:name="_Hlt533241375"/>
      <w:bookmarkEnd w:id="4"/>
      <w:bookmarkStart w:id="5" w:name="_Toc273602339"/>
      <w:bookmarkStart w:id="6" w:name="_Toc328559326"/>
      <w:bookmarkStart w:id="7" w:name="_Toc24509275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val="en-US" w:eastAsia="zh-CN"/>
        </w:rPr>
        <w:t>合肥滨投文化创意发展有限公司</w:t>
      </w:r>
      <w:r>
        <w:rPr>
          <w:rFonts w:hint="eastAsia" w:ascii="宋体" w:hAnsi="宋体"/>
          <w:color w:val="auto"/>
          <w:sz w:val="24"/>
          <w:szCs w:val="18"/>
          <w:highlight w:val="none"/>
        </w:rPr>
        <w:t>拟对“</w:t>
      </w:r>
      <w:r>
        <w:rPr>
          <w:rFonts w:hint="eastAsia" w:ascii="宋体" w:hAnsi="宋体" w:cs="Times New Roman"/>
          <w:color w:val="auto"/>
          <w:kern w:val="0"/>
          <w:sz w:val="24"/>
          <w:highlight w:val="none"/>
          <w:u w:val="single"/>
          <w:lang w:val="en-US" w:eastAsia="zh-CN"/>
        </w:rPr>
        <w:t>肥西桃溪里项目运营常规物料采购</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4776FD21">
      <w:pPr>
        <w:autoSpaceDE w:val="0"/>
        <w:autoSpaceDN w:val="0"/>
        <w:adjustRightInd w:val="0"/>
        <w:spacing w:line="360" w:lineRule="auto"/>
        <w:ind w:firstLine="20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zh-CN"/>
        </w:rPr>
        <w:t>2、项目名称：</w:t>
      </w:r>
      <w:r>
        <w:rPr>
          <w:rFonts w:hint="eastAsia" w:ascii="宋体" w:hAnsi="宋体" w:cs="Times New Roman"/>
          <w:color w:val="auto"/>
          <w:kern w:val="0"/>
          <w:sz w:val="24"/>
          <w:highlight w:val="none"/>
          <w:u w:val="none"/>
          <w:lang w:val="en-US" w:eastAsia="zh-CN"/>
        </w:rPr>
        <w:t>肥西桃溪里项目运营常规物料采购</w:t>
      </w:r>
      <w:r>
        <w:rPr>
          <w:rFonts w:hint="eastAsia" w:ascii="宋体" w:hAnsi="宋体"/>
          <w:color w:val="auto"/>
          <w:kern w:val="0"/>
          <w:sz w:val="24"/>
          <w:highlight w:val="none"/>
          <w:lang w:val="en-US" w:eastAsia="zh-CN"/>
        </w:rPr>
        <w:t xml:space="preserve"> </w:t>
      </w:r>
    </w:p>
    <w:p w14:paraId="1F8604EF">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w:t>
      </w:r>
      <w:r>
        <w:rPr>
          <w:rFonts w:ascii="宋体" w:hAnsi="宋体" w:eastAsia="宋体" w:cs="宋体"/>
          <w:sz w:val="24"/>
          <w:szCs w:val="24"/>
        </w:rPr>
        <w:t>安徽省合肥市肥西县桃溪路与独秀园路交叉口安医大商业街区(桃溪里商业街)</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lang w:val="en-US" w:eastAsia="zh-CN"/>
        </w:rPr>
        <w:t>合肥滨投文化创意发展有限公司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en-US" w:eastAsia="zh-CN"/>
        </w:rPr>
        <w:t>合肥滨投文化创意发展有限公司</w:t>
      </w:r>
    </w:p>
    <w:p w14:paraId="56518730">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b w:val="0"/>
          <w:bCs/>
          <w:color w:val="auto"/>
          <w:sz w:val="24"/>
          <w:szCs w:val="18"/>
          <w:highlight w:val="none"/>
          <w:lang w:val="en-US" w:eastAsia="zh-CN"/>
        </w:rPr>
        <w:t>6</w:t>
      </w:r>
      <w:r>
        <w:rPr>
          <w:rFonts w:hint="eastAsia" w:ascii="宋体" w:hAnsi="宋体"/>
          <w:b w:val="0"/>
          <w:bCs/>
          <w:color w:val="auto"/>
          <w:sz w:val="24"/>
          <w:szCs w:val="18"/>
          <w:highlight w:val="none"/>
          <w:lang w:val="zh-CN" w:eastAsia="zh-CN"/>
        </w:rPr>
        <w:t>、</w:t>
      </w:r>
      <w:r>
        <w:rPr>
          <w:rFonts w:hint="eastAsia" w:ascii="宋体" w:hAnsi="宋体"/>
          <w:b w:val="0"/>
          <w:bCs/>
          <w:color w:val="auto"/>
          <w:sz w:val="24"/>
          <w:szCs w:val="18"/>
          <w:highlight w:val="none"/>
          <w:lang w:val="en-US" w:eastAsia="zh-CN"/>
        </w:rPr>
        <w:t>项目概况：肥西桃溪里项目运营常规物料采购项目，具体详见招标文件。</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7、项目概算：90000元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8、项目类别：广告服务类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72024163">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cs="宋体"/>
          <w:i w:val="0"/>
          <w:iCs w:val="0"/>
          <w:caps w:val="0"/>
          <w:color w:val="111111"/>
          <w:spacing w:val="0"/>
          <w:sz w:val="24"/>
          <w:szCs w:val="24"/>
          <w:lang w:val="en-US" w:eastAsia="zh-CN"/>
        </w:rPr>
      </w:pPr>
      <w:r>
        <w:rPr>
          <w:rFonts w:hint="eastAsia" w:cs="宋体"/>
          <w:i w:val="0"/>
          <w:iCs w:val="0"/>
          <w:caps w:val="0"/>
          <w:color w:val="111111"/>
          <w:spacing w:val="0"/>
          <w:sz w:val="24"/>
          <w:szCs w:val="24"/>
          <w:lang w:val="en-US" w:eastAsia="zh-CN"/>
        </w:rPr>
        <w:t>1.投标人须同时满足以下条件：</w:t>
      </w:r>
    </w:p>
    <w:p w14:paraId="50C0E2FB">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1）具有独立承担民事责任的能力；</w:t>
      </w:r>
    </w:p>
    <w:p w14:paraId="601EF539">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2）营业执照具有国内广告设计、制作、发布，工程管理服务相关资质；</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cs="宋体"/>
          <w:i w:val="0"/>
          <w:iCs w:val="0"/>
          <w:caps w:val="0"/>
          <w:color w:val="111111"/>
          <w:spacing w:val="0"/>
          <w:sz w:val="24"/>
          <w:szCs w:val="24"/>
          <w:lang w:val="en-US" w:eastAsia="zh-CN"/>
        </w:rPr>
        <w:t>3</w:t>
      </w:r>
      <w:r>
        <w:rPr>
          <w:rFonts w:hint="eastAsia" w:ascii="宋体" w:hAnsi="宋体" w:eastAsia="宋体" w:cs="宋体"/>
          <w:i w:val="0"/>
          <w:iCs w:val="0"/>
          <w:caps w:val="0"/>
          <w:color w:val="111111"/>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18"/>
          <w:highlight w:val="none"/>
        </w:rPr>
        <w:t>5）投标人被</w:t>
      </w:r>
      <w:r>
        <w:rPr>
          <w:rFonts w:hint="eastAsia" w:ascii="宋体" w:hAnsi="宋体"/>
          <w:sz w:val="24"/>
          <w:szCs w:val="18"/>
          <w:highlight w:val="none"/>
          <w:lang w:eastAsia="zh-CN"/>
        </w:rPr>
        <w:t>合肥</w:t>
      </w:r>
      <w:r>
        <w:rPr>
          <w:rFonts w:hint="eastAsia" w:ascii="宋体" w:hAnsi="宋体"/>
          <w:sz w:val="24"/>
          <w:szCs w:val="18"/>
          <w:highlight w:val="none"/>
        </w:rPr>
        <w:t>市人社部门列入拖欠农民工工资黑名单的</w:t>
      </w:r>
      <w:r>
        <w:rPr>
          <w:rFonts w:hint="eastAsia" w:ascii="宋体" w:hAnsi="宋体"/>
          <w:sz w:val="24"/>
          <w:szCs w:val="18"/>
          <w:highlight w:val="none"/>
          <w:lang w:eastAsia="zh-CN"/>
        </w:rPr>
        <w:t>。</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合肥</w:t>
      </w:r>
      <w:r>
        <w:rPr>
          <w:rFonts w:hint="eastAsia" w:ascii="宋体" w:hAnsi="宋体"/>
          <w:bCs/>
          <w:sz w:val="24"/>
          <w:szCs w:val="24"/>
          <w:highlight w:val="none"/>
          <w:lang w:eastAsia="zh-CN"/>
        </w:rPr>
        <w:t>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48C772C4">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5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15 </w:t>
      </w:r>
      <w:r>
        <w:rPr>
          <w:rFonts w:hint="eastAsia" w:ascii="宋体" w:hAnsi="宋体"/>
          <w:bCs/>
          <w:sz w:val="24"/>
          <w:highlight w:val="none"/>
        </w:rPr>
        <w:t>日</w:t>
      </w:r>
      <w:r>
        <w:rPr>
          <w:rFonts w:hint="eastAsia" w:ascii="宋体" w:hAnsi="宋体"/>
          <w:bCs/>
          <w:sz w:val="24"/>
          <w:highlight w:val="none"/>
          <w:u w:val="single"/>
          <w:lang w:val="en-US" w:eastAsia="zh-CN"/>
        </w:rPr>
        <w:t xml:space="preserve"> 10 </w:t>
      </w:r>
      <w:r>
        <w:rPr>
          <w:rFonts w:hint="eastAsia" w:ascii="宋体" w:hAnsi="宋体"/>
          <w:bCs/>
          <w:sz w:val="24"/>
          <w:highlight w:val="none"/>
        </w:rPr>
        <w:t>:</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cs="宋体"/>
          <w:i w:val="0"/>
          <w:iCs w:val="0"/>
          <w:caps w:val="0"/>
          <w:color w:val="111111"/>
          <w:spacing w:val="0"/>
          <w:sz w:val="24"/>
          <w:szCs w:val="24"/>
          <w:lang w:val="en-US" w:eastAsia="zh-CN"/>
        </w:rPr>
        <w:t>合肥市包河区</w:t>
      </w:r>
      <w:r>
        <w:rPr>
          <w:rFonts w:hint="eastAsia" w:ascii="宋体" w:hAnsi="宋体"/>
          <w:sz w:val="24"/>
          <w:szCs w:val="24"/>
          <w:lang w:val="en-US" w:eastAsia="zh-CN"/>
        </w:rPr>
        <w:t>合柴1972滨投文创办公楼三楼会议室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0D06E75E">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5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14 </w:t>
      </w:r>
      <w:r>
        <w:rPr>
          <w:rFonts w:hint="eastAsia" w:ascii="宋体" w:hAnsi="宋体"/>
          <w:bCs/>
          <w:sz w:val="24"/>
          <w:highlight w:val="none"/>
        </w:rPr>
        <w:t>日</w:t>
      </w:r>
      <w:r>
        <w:rPr>
          <w:rFonts w:hint="eastAsia" w:ascii="宋体" w:hAnsi="宋体"/>
          <w:bCs/>
          <w:sz w:val="24"/>
          <w:highlight w:val="none"/>
          <w:u w:val="single"/>
          <w:lang w:val="en-US" w:eastAsia="zh-CN"/>
        </w:rPr>
        <w:t xml:space="preserve"> 18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000000"/>
          <w:spacing w:val="0"/>
          <w:sz w:val="24"/>
          <w:szCs w:val="24"/>
          <w:lang w:val="en-US" w:eastAsia="zh-CN"/>
        </w:rPr>
        <w:t>合肥滨投文化创意发展有限公司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ascii="宋体" w:hAnsi="宋体" w:cs="宋体"/>
          <w:i w:val="0"/>
          <w:iCs w:val="0"/>
          <w:caps w:val="0"/>
          <w:color w:val="111111"/>
          <w:spacing w:val="0"/>
          <w:sz w:val="24"/>
          <w:szCs w:val="24"/>
          <w:lang w:val="en-US" w:eastAsia="zh-CN"/>
        </w:rPr>
        <w:t>合肥市包河区</w:t>
      </w:r>
      <w:r>
        <w:rPr>
          <w:rFonts w:hint="eastAsia" w:ascii="宋体" w:hAnsi="宋体"/>
          <w:sz w:val="24"/>
          <w:szCs w:val="24"/>
          <w:lang w:val="en-US" w:eastAsia="zh-CN"/>
        </w:rPr>
        <w:t>合柴1972滨投文创办公楼三楼305</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杨子轩</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ascii="宋体" w:hAnsi="宋体"/>
          <w:sz w:val="24"/>
          <w:szCs w:val="24"/>
          <w:lang w:val="en-US" w:eastAsia="zh-CN"/>
        </w:rPr>
        <w:t>1</w:t>
      </w:r>
      <w:r>
        <w:rPr>
          <w:rFonts w:hint="eastAsia"/>
          <w:sz w:val="24"/>
          <w:szCs w:val="24"/>
          <w:lang w:val="en-US" w:eastAsia="zh-CN"/>
        </w:rPr>
        <w:t>5055903281</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4"/>
        <w:spacing w:line="500" w:lineRule="exact"/>
        <w:rPr>
          <w:rFonts w:hint="eastAsia" w:ascii="宋体" w:hAnsi="宋体" w:eastAsia="宋体"/>
          <w:color w:val="000000"/>
          <w:highlight w:val="none"/>
        </w:rPr>
      </w:pPr>
      <w:bookmarkStart w:id="8" w:name="_Hlt510343011"/>
      <w:bookmarkStart w:id="9" w:name="_Hlt510342998"/>
      <w:bookmarkStart w:id="10" w:name="_Toc328559327"/>
      <w:bookmarkStart w:id="11" w:name="_Toc245092760"/>
      <w:bookmarkStart w:id="12" w:name="_Toc27360234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4"/>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val="en-US" w:eastAsia="zh-CN"/>
              </w:rPr>
              <w:t>合肥滨投文化创意发展有限公司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val="en-US" w:eastAsia="zh-CN"/>
              </w:rPr>
              <w:t>合肥滨投文化创意发展有限公司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s="Times New Roman"/>
                <w:color w:val="auto"/>
                <w:kern w:val="0"/>
                <w:sz w:val="24"/>
                <w:highlight w:val="none"/>
                <w:u w:val="single"/>
                <w:lang w:val="en-US" w:eastAsia="zh-CN"/>
              </w:rPr>
              <w:t>肥西桃溪里项目运营常规物料采购</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90000</w:t>
            </w:r>
            <w:r>
              <w:rPr>
                <w:rFonts w:hint="eastAsia" w:ascii="宋体" w:hAnsi="宋体" w:eastAsia="宋体" w:cs="宋体"/>
                <w:b/>
                <w:color w:val="auto"/>
                <w:sz w:val="24"/>
                <w:szCs w:val="24"/>
                <w:highlight w:val="none"/>
                <w:lang w:val="en-US" w:eastAsia="zh-CN"/>
              </w:rPr>
              <w:t>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color w:val="auto"/>
                <w:sz w:val="24"/>
                <w:szCs w:val="18"/>
                <w:highlight w:val="none"/>
                <w:lang w:val="en-US" w:eastAsia="zh-CN"/>
              </w:rPr>
              <w:t>广告服务类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076ABED6">
            <w:pPr>
              <w:widowControl/>
              <w:autoSpaceDE/>
              <w:autoSpaceDN/>
              <w:snapToGrid/>
              <w:spacing w:before="0" w:after="0" w:line="240" w:lineRule="auto"/>
              <w:ind w:left="0" w:firstLine="0"/>
              <w:jc w:val="both"/>
              <w:rPr>
                <w:rFonts w:ascii="宋体" w:hAnsi="宋体" w:eastAsia="宋体"/>
                <w:b/>
                <w:w w:val="100"/>
                <w:sz w:val="24"/>
              </w:rPr>
            </w:pPr>
            <w:r>
              <w:rPr>
                <w:rFonts w:hint="eastAsia" w:ascii="宋体" w:hAnsi="宋体"/>
                <w:b/>
                <w:w w:val="100"/>
                <w:sz w:val="24"/>
                <w:lang w:val="en-US" w:eastAsia="zh-CN"/>
              </w:rPr>
              <w:t>服务</w:t>
            </w:r>
            <w:r>
              <w:rPr>
                <w:rFonts w:ascii="宋体" w:hAnsi="宋体" w:eastAsia="宋体"/>
                <w:b/>
                <w:w w:val="100"/>
                <w:sz w:val="24"/>
              </w:rPr>
              <w:t>完工、竣工验收合格后</w:t>
            </w:r>
            <w:r>
              <w:rPr>
                <w:rFonts w:hint="eastAsia" w:ascii="宋体" w:hAnsi="宋体" w:eastAsia="宋体"/>
                <w:b/>
                <w:w w:val="100"/>
                <w:sz w:val="24"/>
              </w:rPr>
              <w:t>一次性付款</w:t>
            </w:r>
            <w:r>
              <w:rPr>
                <w:rFonts w:ascii="宋体" w:hAnsi="宋体" w:eastAsia="宋体"/>
                <w:b/>
                <w:w w:val="100"/>
                <w:sz w:val="24"/>
              </w:rPr>
              <w:t>。</w:t>
            </w:r>
          </w:p>
          <w:p w14:paraId="52DDD5DD">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开票要求：在付款前承包人须按照一般计税方法提供增值税专用发票（税率</w:t>
            </w:r>
            <w:r>
              <w:rPr>
                <w:rFonts w:hint="eastAsia" w:ascii="宋体" w:hAnsi="宋体"/>
                <w:b/>
                <w:w w:val="100"/>
                <w:sz w:val="24"/>
                <w:lang w:val="en-US" w:eastAsia="zh-CN"/>
              </w:rPr>
              <w:t>6</w:t>
            </w:r>
            <w:r>
              <w:rPr>
                <w:rFonts w:ascii="宋体" w:hAnsi="宋体" w:eastAsia="宋体"/>
                <w:b/>
                <w:w w:val="100"/>
                <w:sz w:val="24"/>
              </w:rPr>
              <w:t>%），如未按约定开具增值税专用发票或实际开具的增值税专用发票税率低于合同中约定税率的，承包人应向发包人支付无法抵扣部分的税款金额。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ascii="宋体" w:hAnsi="宋体" w:eastAsia="宋体"/>
                <w:b/>
                <w:w w:val="100"/>
                <w:sz w:val="24"/>
              </w:rPr>
              <w:t>投标人提交的投标文件中如有关于付款条件的表述与招标文件规定不符，将被视为实质性不响应，将导致投标无效。</w:t>
            </w:r>
            <w:r>
              <w:rPr>
                <w:rFonts w:hint="eastAsia" w:ascii="宋体" w:hAnsi="宋体" w:eastAsia="宋体" w:cs="宋体"/>
                <w:b w:val="0"/>
                <w:bCs/>
                <w:color w:val="auto"/>
                <w:sz w:val="24"/>
                <w:szCs w:val="24"/>
                <w:highlight w:val="none"/>
              </w:rPr>
              <w:t>。</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服务周</w:t>
            </w:r>
            <w:r>
              <w:rPr>
                <w:rFonts w:hint="eastAsia" w:ascii="宋体" w:hAnsi="宋体" w:eastAsia="宋体" w:cs="宋体"/>
                <w:color w:val="auto"/>
                <w:sz w:val="24"/>
                <w:szCs w:val="24"/>
                <w:highlight w:val="none"/>
                <w:lang w:val="zh-CN"/>
              </w:rPr>
              <w:t>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sz w:val="24"/>
                <w:szCs w:val="22"/>
                <w:highlight w:val="none"/>
              </w:rPr>
            </w:pPr>
            <w:r>
              <w:rPr>
                <w:rFonts w:hint="eastAsia"/>
                <w:color w:val="auto"/>
                <w:sz w:val="24"/>
                <w:szCs w:val="22"/>
                <w:highlight w:val="none"/>
              </w:rPr>
              <w:t>是否要求投标人递交投标保证金：</w:t>
            </w:r>
          </w:p>
          <w:p w14:paraId="068F785F">
            <w:pPr>
              <w:snapToGrid w:val="0"/>
              <w:rPr>
                <w:rFonts w:hint="eastAsia"/>
                <w:color w:val="auto"/>
                <w:sz w:val="24"/>
                <w:szCs w:val="22"/>
                <w:highlight w:val="none"/>
              </w:rPr>
            </w:pPr>
            <w:r>
              <w:rPr>
                <w:rFonts w:hint="eastAsia"/>
                <w:color w:val="auto"/>
                <w:sz w:val="24"/>
                <w:szCs w:val="22"/>
                <w:highlight w:val="none"/>
              </w:rPr>
              <w:sym w:font="Wingdings 2" w:char="0052"/>
            </w:r>
            <w:r>
              <w:rPr>
                <w:rFonts w:hint="eastAsia"/>
                <w:color w:val="auto"/>
                <w:sz w:val="24"/>
                <w:szCs w:val="22"/>
                <w:highlight w:val="none"/>
                <w:lang w:val="en-US" w:eastAsia="zh-CN"/>
              </w:rPr>
              <w:t>不</w:t>
            </w:r>
            <w:r>
              <w:rPr>
                <w:rFonts w:hint="eastAsia"/>
                <w:color w:val="auto"/>
                <w:sz w:val="24"/>
                <w:szCs w:val="22"/>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5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15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01A9F25">
            <w:pPr>
              <w:pStyle w:val="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5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12</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5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14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18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5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15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cs="宋体"/>
                <w:i w:val="0"/>
                <w:iCs w:val="0"/>
                <w:caps w:val="0"/>
                <w:color w:val="111111"/>
                <w:spacing w:val="0"/>
                <w:sz w:val="24"/>
                <w:szCs w:val="24"/>
                <w:lang w:val="en-US" w:eastAsia="zh-CN"/>
              </w:rPr>
              <w:t>合肥市包河区</w:t>
            </w:r>
            <w:r>
              <w:rPr>
                <w:rFonts w:hint="eastAsia" w:ascii="宋体" w:hAnsi="宋体"/>
                <w:sz w:val="24"/>
                <w:szCs w:val="24"/>
                <w:lang w:val="en-US" w:eastAsia="zh-CN"/>
              </w:rPr>
              <w:t>合柴1972滨投文创办公楼三楼会议室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b w:val="0"/>
                <w:w w:val="100"/>
                <w:sz w:val="24"/>
                <w:highlight w:val="none"/>
                <w:lang w:eastAsia="zh-CN"/>
              </w:rPr>
              <w:t>有效最低价法</w:t>
            </w:r>
            <w:r>
              <w:rPr>
                <w:rFonts w:ascii="宋体" w:hAnsi="宋体" w:eastAsia="宋体"/>
                <w:b w:val="0"/>
                <w:w w:val="100"/>
                <w:sz w:val="24"/>
              </w:rPr>
              <w:t>，详见招标文件第一部分第四章评标办法。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FF0000"/>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bl>
    <w:p w14:paraId="39CB6D1A">
      <w:pPr>
        <w:adjustRightInd w:val="0"/>
        <w:snapToGrid w:val="0"/>
        <w:rPr>
          <w:rFonts w:ascii="宋体" w:hAnsi="宋体"/>
          <w:bCs/>
          <w:sz w:val="24"/>
          <w:szCs w:val="24"/>
          <w:highlight w:val="none"/>
        </w:rPr>
      </w:pPr>
      <w:bookmarkStart w:id="14" w:name="_Hlt509650027"/>
      <w:bookmarkEnd w:id="14"/>
      <w:bookmarkStart w:id="15" w:name="_Hlt519045778"/>
      <w:bookmarkEnd w:id="15"/>
      <w:r>
        <w:rPr>
          <w:rFonts w:hint="eastAsia" w:ascii="宋体" w:hAnsi="宋体" w:eastAsia="宋体"/>
          <w:color w:val="000000"/>
          <w:sz w:val="28"/>
          <w:highlight w:val="none"/>
          <w:lang w:eastAsia="zh-CN"/>
        </w:rPr>
        <w:br w:type="page"/>
      </w:r>
    </w:p>
    <w:bookmarkEnd w:id="13"/>
    <w:p w14:paraId="04986CEA">
      <w:pPr>
        <w:pStyle w:val="4"/>
        <w:spacing w:line="500" w:lineRule="exact"/>
        <w:jc w:val="center"/>
        <w:rPr>
          <w:rFonts w:ascii="宋体" w:hAnsi="宋体" w:eastAsia="Calibri" w:cs="Times New Roman"/>
          <w:b w:val="0"/>
          <w:color w:val="000000"/>
          <w:w w:val="100"/>
          <w:sz w:val="24"/>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评分标准表</w:t>
      </w:r>
      <w:bookmarkStart w:id="17" w:name="_Toc460227122"/>
      <w:bookmarkStart w:id="18" w:name="_Toc460660237"/>
      <w:bookmarkStart w:id="19" w:name="_Toc328559332"/>
      <w:bookmarkStart w:id="20" w:name="_Toc236562395"/>
      <w:bookmarkStart w:id="21" w:name="_Toc421917014"/>
      <w:bookmarkStart w:id="22" w:name="_Toc220232392"/>
    </w:p>
    <w:p w14:paraId="70B875E5">
      <w:pPr>
        <w:widowControl/>
        <w:autoSpaceDE/>
        <w:autoSpaceDN/>
        <w:snapToGrid/>
        <w:spacing w:before="0" w:after="0" w:line="440" w:lineRule="exact"/>
        <w:ind w:left="0" w:firstLine="550"/>
        <w:jc w:val="left"/>
        <w:rPr>
          <w:rFonts w:hint="eastAsia" w:ascii="宋体" w:hAnsi="宋体" w:eastAsia="Calibri" w:cs="Times New Roman"/>
          <w:b/>
          <w:bCs/>
          <w:color w:val="000000"/>
          <w:w w:val="100"/>
          <w:sz w:val="24"/>
        </w:rPr>
      </w:pPr>
      <w:r>
        <w:rPr>
          <w:rFonts w:hint="eastAsia" w:ascii="宋体" w:hAnsi="宋体" w:eastAsia="Calibri" w:cs="Times New Roman"/>
          <w:b/>
          <w:bCs/>
          <w:color w:val="000000"/>
          <w:w w:val="100"/>
          <w:sz w:val="24"/>
        </w:rPr>
        <w:t>一、评标方法（有效最低价评标法）</w:t>
      </w:r>
    </w:p>
    <w:p w14:paraId="3BDE9EA4">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1、投标人投标报价不得高于招标控制价，否则其报价无效。</w:t>
      </w:r>
    </w:p>
    <w:p w14:paraId="00371BCE">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2、经评标小组评审符合招标文件规定条件的有效投标人如低于三家，则本次招标流标（另行重新组织招标）。</w:t>
      </w:r>
    </w:p>
    <w:p w14:paraId="52211F0A">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3、评标委员会对通过初审的投标文件进行审核，经审核后按照投标报价由低到高依次排序，排名第一的为中标候选人。</w:t>
      </w:r>
    </w:p>
    <w:p w14:paraId="1B8D542A">
      <w:pPr>
        <w:pStyle w:val="4"/>
        <w:spacing w:line="500" w:lineRule="exact"/>
        <w:ind w:firstLine="0"/>
        <w:jc w:val="center"/>
        <w:rPr>
          <w:rFonts w:hint="eastAsia" w:ascii="宋体" w:hAnsi="宋体" w:eastAsia="宋体" w:cs="Times New Roman"/>
          <w:highlight w:val="none"/>
        </w:rPr>
      </w:pPr>
      <w:r>
        <w:rPr>
          <w:rFonts w:hint="eastAsia" w:ascii="宋体" w:hAnsi="宋体" w:eastAsia="宋体" w:cs="Times New Roman"/>
          <w:highlight w:val="none"/>
        </w:rPr>
        <w:t>第</w:t>
      </w:r>
      <w:r>
        <w:rPr>
          <w:rFonts w:hint="eastAsia" w:ascii="宋体" w:hAnsi="宋体" w:eastAsia="宋体" w:cs="Times New Roman"/>
          <w:highlight w:val="none"/>
          <w:lang w:val="en-US" w:eastAsia="zh-CN"/>
        </w:rPr>
        <w:t>四</w:t>
      </w:r>
      <w:r>
        <w:rPr>
          <w:rFonts w:hint="eastAsia" w:ascii="宋体" w:hAnsi="宋体" w:eastAsia="宋体" w:cs="Times New Roman"/>
          <w:highlight w:val="none"/>
        </w:rPr>
        <w:t>章 评标办法</w:t>
      </w:r>
    </w:p>
    <w:p w14:paraId="2F18DA7E">
      <w:pPr>
        <w:widowControl/>
        <w:autoSpaceDE/>
        <w:autoSpaceDN/>
        <w:snapToGrid/>
        <w:spacing w:before="0" w:after="0" w:line="440" w:lineRule="exact"/>
        <w:ind w:left="0" w:firstLine="550"/>
        <w:jc w:val="center"/>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第一节 总 则</w:t>
      </w:r>
    </w:p>
    <w:p w14:paraId="0BD6D063">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第一条</w:t>
      </w:r>
      <w:r>
        <w:rPr>
          <w:rFonts w:hint="eastAsia" w:ascii="宋体" w:hAnsi="宋体" w:eastAsia="Calibri" w:cs="Times New Roman"/>
          <w:b w:val="0"/>
          <w:color w:val="000000"/>
          <w:w w:val="100"/>
          <w:sz w:val="24"/>
        </w:rPr>
        <w:t xml:space="preserve"> 为了做好“</w:t>
      </w:r>
      <w:r>
        <w:rPr>
          <w:rFonts w:hint="eastAsia" w:ascii="宋体" w:hAnsi="宋体" w:eastAsia="Calibri" w:cs="Times New Roman"/>
          <w:b w:val="0"/>
          <w:color w:val="000000"/>
          <w:w w:val="100"/>
          <w:sz w:val="24"/>
          <w:lang w:val="en-US" w:eastAsia="zh-CN"/>
        </w:rPr>
        <w:t>肥西桃溪里项目运营常规物料采购</w:t>
      </w:r>
      <w:r>
        <w:rPr>
          <w:rFonts w:hint="eastAsia" w:ascii="宋体" w:hAnsi="宋体" w:eastAsia="Calibri" w:cs="Times New Roman"/>
          <w:b w:val="0"/>
          <w:color w:val="000000"/>
          <w:w w:val="100"/>
          <w:sz w:val="24"/>
        </w:rPr>
        <w:t>”项目的招标评标工作，保证项目评审工作的正常有序进行，依据《中华人民共和国政府采购法》、《中华人民共和国招标投标法》及其它相关法律法规，本着公开、公平、公正的原则，制定评标办法。</w:t>
      </w:r>
    </w:p>
    <w:p w14:paraId="340BEEC4">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第二条</w:t>
      </w:r>
      <w:r>
        <w:rPr>
          <w:rFonts w:hint="eastAsia" w:ascii="宋体" w:hAnsi="宋体" w:eastAsia="Calibri" w:cs="Times New Roman"/>
          <w:b w:val="0"/>
          <w:color w:val="000000"/>
          <w:w w:val="100"/>
          <w:sz w:val="24"/>
        </w:rPr>
        <w:t xml:space="preserve"> 本次项目评标在项目、数量、材质、工艺、产品统一的原则下，</w:t>
      </w:r>
      <w:r>
        <w:rPr>
          <w:rFonts w:hint="eastAsia" w:ascii="宋体" w:hAnsi="宋体" w:eastAsia="Calibri" w:cs="Times New Roman"/>
          <w:b/>
          <w:bCs/>
          <w:color w:val="000000"/>
          <w:w w:val="100"/>
          <w:sz w:val="24"/>
          <w:u w:val="single"/>
        </w:rPr>
        <w:t>最低价中标确定合作单位。</w:t>
      </w:r>
    </w:p>
    <w:p w14:paraId="1A3F70FA">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第三条</w:t>
      </w:r>
      <w:r>
        <w:rPr>
          <w:rFonts w:hint="eastAsia" w:ascii="宋体" w:hAnsi="宋体" w:eastAsia="Calibri" w:cs="Times New Roman"/>
          <w:b w:val="0"/>
          <w:color w:val="000000"/>
          <w:w w:val="100"/>
          <w:sz w:val="24"/>
        </w:rPr>
        <w:t xml:space="preserve"> 采购人将组织不少于3人组成的评标委员会（以下简称评委会），负责本项目的评标工作。采购人内部监督小组，负责评标过程中的记录、联络及评委会交办的其他工作。</w:t>
      </w:r>
    </w:p>
    <w:p w14:paraId="20D31B6E">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第四条</w:t>
      </w:r>
      <w:r>
        <w:rPr>
          <w:rFonts w:hint="eastAsia" w:ascii="宋体" w:hAnsi="宋体" w:eastAsia="Calibri" w:cs="Times New Roman"/>
          <w:b w:val="0"/>
          <w:color w:val="000000"/>
          <w:w w:val="100"/>
          <w:sz w:val="24"/>
        </w:rPr>
        <w:t xml:space="preserve"> 评委会按照“客观公正，实事求是”的原则，评价参加本次招标的投标人所提供的服务对招标文件的符合性及响应性。</w:t>
      </w:r>
    </w:p>
    <w:p w14:paraId="37F7F828">
      <w:pPr>
        <w:pStyle w:val="48"/>
        <w:keepNext w:val="0"/>
        <w:keepLines w:val="0"/>
        <w:widowControl/>
        <w:suppressLineNumbers w:val="0"/>
        <w:spacing w:before="0" w:beforeLines="-2147483648" w:beforeAutospacing="1" w:after="0" w:afterLines="-2147483648" w:afterAutospacing="1"/>
        <w:ind w:left="0" w:firstLine="0"/>
        <w:jc w:val="center"/>
        <w:rPr>
          <w:rFonts w:hint="eastAsia" w:ascii="宋体" w:hAnsi="宋体" w:eastAsia="Calibri" w:cs="Times New Roman"/>
          <w:b/>
          <w:bCs/>
          <w:color w:val="000000"/>
          <w:w w:val="100"/>
          <w:sz w:val="24"/>
        </w:rPr>
      </w:pPr>
      <w:r>
        <w:rPr>
          <w:rFonts w:hint="eastAsia" w:ascii="Noto Sans SC" w:hAnsi="Noto Sans SC" w:eastAsia="Noto Sans SC" w:cs="Noto Sans SC"/>
          <w:b/>
          <w:bCs/>
          <w:i w:val="0"/>
          <w:iCs w:val="0"/>
          <w:caps w:val="0"/>
          <w:color w:val="000000"/>
          <w:spacing w:val="0"/>
          <w:sz w:val="27"/>
          <w:szCs w:val="27"/>
        </w:rPr>
        <w:t>第二节 评标程序及评审细则</w:t>
      </w:r>
    </w:p>
    <w:p w14:paraId="6CD83E43">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第五条</w:t>
      </w:r>
      <w:r>
        <w:rPr>
          <w:rFonts w:hint="eastAsia" w:ascii="宋体" w:hAnsi="宋体" w:eastAsia="Calibri" w:cs="Times New Roman"/>
          <w:b w:val="0"/>
          <w:color w:val="000000"/>
          <w:w w:val="100"/>
          <w:sz w:val="24"/>
        </w:rPr>
        <w:t xml:space="preserve"> 评标工作于开标后进行。评委会应认真研究招标文件，至少应了解和熟悉以下内容：</w:t>
      </w:r>
    </w:p>
    <w:p w14:paraId="254FF44F">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（一）招标的目标；</w:t>
      </w:r>
    </w:p>
    <w:p w14:paraId="121ADE43">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（二）招标项目的范围和性质；</w:t>
      </w:r>
    </w:p>
    <w:p w14:paraId="12F954EB">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（三）招标文件中规定的主要服务要求、标准和商务条款；</w:t>
      </w:r>
    </w:p>
    <w:p w14:paraId="371317F2">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（四）招标文件规定的评标标准、评标方法和在评标过程中考虑的相关因素。</w:t>
      </w:r>
    </w:p>
    <w:p w14:paraId="6ED44DCD">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第六条</w:t>
      </w:r>
      <w:r>
        <w:rPr>
          <w:rFonts w:hint="eastAsia" w:ascii="宋体" w:hAnsi="宋体" w:eastAsia="Calibri" w:cs="Times New Roman"/>
          <w:b w:val="0"/>
          <w:color w:val="000000"/>
          <w:w w:val="100"/>
          <w:sz w:val="24"/>
        </w:rPr>
        <w:t xml:space="preserve"> 有效投标应符合以下原则：</w:t>
      </w:r>
    </w:p>
    <w:p w14:paraId="32237DE6">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（一）完全响应招标文件要求；</w:t>
      </w:r>
    </w:p>
    <w:p w14:paraId="7AC1E993">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（二）无重大偏离、保留或招标人不能接受的附加条件；</w:t>
      </w:r>
    </w:p>
    <w:p w14:paraId="7C3D4CF9">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（三）通过投标初审；</w:t>
      </w:r>
    </w:p>
    <w:p w14:paraId="6FE58260">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（四）报价不低于投标成本，高于限价；</w:t>
      </w:r>
    </w:p>
    <w:p w14:paraId="6D829203">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（五）评委会依据招标文件认定的其他原则。</w:t>
      </w:r>
    </w:p>
    <w:p w14:paraId="5BB0F205">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第七条</w:t>
      </w:r>
      <w:r>
        <w:rPr>
          <w:rFonts w:hint="eastAsia" w:ascii="宋体" w:hAnsi="宋体" w:eastAsia="Calibri" w:cs="Times New Roman"/>
          <w:b w:val="0"/>
          <w:color w:val="000000"/>
          <w:w w:val="100"/>
          <w:sz w:val="24"/>
        </w:rPr>
        <w:t xml:space="preserve"> 评委会遵循公开、公平、公正和科学诚信的原则，对所有投标文件均采用相同程序和标准，进行评定。</w:t>
      </w:r>
    </w:p>
    <w:p w14:paraId="6AE9CA02">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bCs/>
          <w:color w:val="000000"/>
          <w:w w:val="100"/>
          <w:sz w:val="24"/>
        </w:rPr>
        <w:t>第八条</w:t>
      </w:r>
      <w:r>
        <w:rPr>
          <w:rFonts w:hint="eastAsia" w:ascii="宋体" w:hAnsi="宋体" w:eastAsia="Calibri" w:cs="Times New Roman"/>
          <w:b w:val="0"/>
          <w:color w:val="000000"/>
          <w:w w:val="100"/>
          <w:sz w:val="24"/>
        </w:rPr>
        <w:t xml:space="preserve"> 评审程序</w:t>
      </w:r>
    </w:p>
    <w:p w14:paraId="751CDDBA">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1.本项目采用有效最低价评标法进行评审，在最大限度地满足招标文件实质性要求前提下，按照招标文件中规定的各项因素进行评审。</w:t>
      </w:r>
    </w:p>
    <w:p w14:paraId="5CAA86F7">
      <w:pPr>
        <w:widowControl/>
        <w:autoSpaceDE/>
        <w:autoSpaceDN/>
        <w:snapToGrid/>
        <w:spacing w:before="0" w:after="0" w:line="440" w:lineRule="exact"/>
        <w:ind w:left="0" w:firstLine="550"/>
        <w:jc w:val="left"/>
        <w:rPr>
          <w:rFonts w:hint="default" w:ascii="宋体" w:hAnsi="宋体" w:eastAsia="Calibri" w:cs="Times New Roman"/>
          <w:b w:val="0"/>
          <w:color w:val="000000"/>
          <w:w w:val="100"/>
          <w:sz w:val="24"/>
          <w:lang w:val="en-US" w:eastAsia="zh-CN"/>
        </w:rPr>
      </w:pPr>
      <w:r>
        <w:rPr>
          <w:rFonts w:hint="eastAsia" w:ascii="宋体" w:hAnsi="宋体" w:eastAsia="Calibri" w:cs="Times New Roman"/>
          <w:b w:val="0"/>
          <w:color w:val="000000"/>
          <w:w w:val="100"/>
          <w:sz w:val="24"/>
        </w:rPr>
        <w:t>2.评委会首先对投标文件进行初审，投标文件应实质上响应招标文件的要求，应与招标文件所有条款、条件和规定相符，无显著差异或保留。</w:t>
      </w:r>
    </w:p>
    <w:p w14:paraId="72FAB50F">
      <w:pPr>
        <w:widowControl/>
        <w:autoSpaceDE/>
        <w:autoSpaceDN/>
        <w:snapToGrid/>
        <w:spacing w:before="0" w:after="0" w:line="440" w:lineRule="exact"/>
        <w:ind w:left="0" w:firstLine="550"/>
        <w:jc w:val="left"/>
        <w:rPr>
          <w:rFonts w:hint="eastAsia" w:ascii="宋体" w:hAnsi="宋体" w:eastAsia="Calibri" w:cs="Times New Roman"/>
          <w:b w:val="0"/>
          <w:color w:val="000000"/>
          <w:w w:val="100"/>
          <w:sz w:val="24"/>
        </w:rPr>
      </w:pPr>
      <w:r>
        <w:rPr>
          <w:rFonts w:hint="eastAsia" w:ascii="宋体" w:hAnsi="宋体" w:eastAsia="Calibri" w:cs="Times New Roman"/>
          <w:b w:val="0"/>
          <w:color w:val="000000"/>
          <w:w w:val="100"/>
          <w:sz w:val="24"/>
        </w:rPr>
        <w:t>对内容不全，影响正常评标的投标文件由评标委员会初审后按无效标书处理。</w:t>
      </w:r>
    </w:p>
    <w:p w14:paraId="10E71A5F">
      <w:pPr>
        <w:widowControl/>
        <w:autoSpaceDE/>
        <w:autoSpaceDN/>
        <w:snapToGrid/>
        <w:spacing w:before="0" w:after="0" w:line="240" w:lineRule="auto"/>
        <w:ind w:left="0" w:firstLine="0"/>
        <w:jc w:val="left"/>
        <w:rPr>
          <w:rFonts w:ascii="宋体" w:hAnsi="宋体" w:eastAsia="Calibri"/>
          <w:b w:val="0"/>
          <w:w w:val="100"/>
          <w:sz w:val="20"/>
        </w:rPr>
      </w:pPr>
    </w:p>
    <w:p w14:paraId="3E96577C">
      <w:pPr>
        <w:widowControl/>
        <w:autoSpaceDE/>
        <w:autoSpaceDN/>
        <w:snapToGrid/>
        <w:spacing w:before="0" w:after="0" w:line="240" w:lineRule="auto"/>
        <w:ind w:left="0" w:firstLine="0"/>
        <w:jc w:val="left"/>
        <w:rPr>
          <w:rFonts w:ascii="宋体" w:hAnsi="宋体" w:eastAsia="Calibri"/>
          <w:b w:val="0"/>
          <w:w w:val="100"/>
          <w:sz w:val="20"/>
        </w:rPr>
      </w:pPr>
    </w:p>
    <w:bookmarkEnd w:id="17"/>
    <w:bookmarkEnd w:id="18"/>
    <w:bookmarkEnd w:id="19"/>
    <w:bookmarkEnd w:id="20"/>
    <w:bookmarkEnd w:id="21"/>
    <w:bookmarkEnd w:id="22"/>
    <w:p w14:paraId="06A299B2">
      <w:pPr>
        <w:pStyle w:val="4"/>
        <w:spacing w:line="500" w:lineRule="exact"/>
        <w:ind w:firstLine="0"/>
        <w:rPr>
          <w:rFonts w:hint="eastAsia" w:ascii="宋体" w:hAnsi="宋体" w:eastAsia="宋体"/>
          <w:highlight w:val="none"/>
        </w:rPr>
      </w:pPr>
      <w:bookmarkStart w:id="23" w:name="_Toc245028818"/>
      <w:bookmarkStart w:id="24" w:name="_Toc2829"/>
      <w:bookmarkStart w:id="25" w:name="_Toc245714170"/>
      <w:bookmarkStart w:id="26" w:name="_Toc273602352"/>
      <w:bookmarkStart w:id="27" w:name="_Toc39733482"/>
    </w:p>
    <w:p w14:paraId="7030DBAD">
      <w:pPr>
        <w:pStyle w:val="4"/>
        <w:spacing w:line="500" w:lineRule="exact"/>
        <w:ind w:firstLine="0"/>
        <w:rPr>
          <w:rFonts w:hint="eastAsia" w:ascii="宋体" w:hAnsi="宋体" w:eastAsia="宋体"/>
          <w:highlight w:val="none"/>
        </w:rPr>
      </w:pPr>
    </w:p>
    <w:p w14:paraId="464EF526">
      <w:pPr>
        <w:pStyle w:val="4"/>
        <w:spacing w:line="500" w:lineRule="exact"/>
        <w:ind w:firstLine="0"/>
        <w:rPr>
          <w:rFonts w:hint="eastAsia" w:ascii="宋体" w:hAnsi="宋体" w:eastAsia="宋体"/>
          <w:highlight w:val="none"/>
        </w:rPr>
      </w:pPr>
    </w:p>
    <w:p w14:paraId="0571250B">
      <w:pPr>
        <w:pStyle w:val="4"/>
        <w:spacing w:line="500" w:lineRule="exact"/>
        <w:ind w:firstLine="0"/>
        <w:rPr>
          <w:rFonts w:hint="eastAsia" w:ascii="宋体" w:hAnsi="宋体" w:eastAsia="宋体"/>
          <w:highlight w:val="none"/>
        </w:rPr>
      </w:pPr>
    </w:p>
    <w:p w14:paraId="7C2758FA">
      <w:pPr>
        <w:rPr>
          <w:rFonts w:hint="eastAsia"/>
        </w:rPr>
      </w:pPr>
    </w:p>
    <w:p w14:paraId="726C1C28">
      <w:pPr>
        <w:pStyle w:val="4"/>
        <w:spacing w:line="500" w:lineRule="exact"/>
        <w:ind w:firstLine="0"/>
        <w:jc w:val="both"/>
        <w:rPr>
          <w:rFonts w:hint="eastAsia" w:ascii="宋体" w:hAnsi="宋体" w:eastAsia="宋体"/>
          <w:highlight w:val="none"/>
        </w:rPr>
      </w:pPr>
    </w:p>
    <w:p w14:paraId="309C0F04">
      <w:pPr>
        <w:pStyle w:val="4"/>
        <w:spacing w:line="500" w:lineRule="exact"/>
        <w:ind w:firstLine="0"/>
        <w:rPr>
          <w:rFonts w:hint="eastAsia" w:ascii="宋体" w:hAnsi="宋体" w:eastAsia="宋体"/>
          <w:highlight w:val="none"/>
        </w:rPr>
      </w:pPr>
    </w:p>
    <w:p w14:paraId="3332DD4B">
      <w:pPr>
        <w:rPr>
          <w:rFonts w:hint="eastAsia" w:ascii="宋体" w:hAnsi="宋体" w:eastAsia="宋体"/>
          <w:highlight w:val="none"/>
        </w:rPr>
      </w:pPr>
    </w:p>
    <w:p w14:paraId="53CC3A9F">
      <w:pPr>
        <w:pStyle w:val="2"/>
        <w:rPr>
          <w:rFonts w:hint="eastAsia" w:ascii="宋体" w:hAnsi="宋体" w:eastAsia="宋体"/>
          <w:highlight w:val="none"/>
        </w:rPr>
      </w:pPr>
    </w:p>
    <w:p w14:paraId="5C86F423">
      <w:pPr>
        <w:rPr>
          <w:rFonts w:hint="eastAsia" w:ascii="宋体" w:hAnsi="宋体" w:eastAsia="宋体"/>
          <w:highlight w:val="none"/>
        </w:rPr>
      </w:pPr>
    </w:p>
    <w:p w14:paraId="4F584E54">
      <w:pPr>
        <w:pStyle w:val="2"/>
        <w:rPr>
          <w:rFonts w:hint="eastAsia"/>
        </w:rPr>
      </w:pPr>
    </w:p>
    <w:p w14:paraId="6951B18A">
      <w:pPr>
        <w:pStyle w:val="4"/>
        <w:spacing w:line="500" w:lineRule="exact"/>
        <w:ind w:firstLine="0"/>
        <w:rPr>
          <w:rFonts w:hint="eastAsia" w:ascii="黑体" w:hAnsi="宋体"/>
          <w:highlight w:val="none"/>
        </w:rPr>
      </w:pPr>
      <w:r>
        <w:rPr>
          <w:rFonts w:hint="eastAsia" w:ascii="宋体" w:hAnsi="宋体" w:eastAsia="宋体"/>
          <w:highlight w:val="none"/>
        </w:rPr>
        <w:t>第</w:t>
      </w:r>
      <w:r>
        <w:rPr>
          <w:rFonts w:hint="eastAsia" w:ascii="宋体" w:hAnsi="宋体" w:eastAsia="宋体"/>
          <w:highlight w:val="none"/>
          <w:lang w:val="en-US" w:eastAsia="zh-CN"/>
        </w:rPr>
        <w:t>五</w:t>
      </w:r>
      <w:r>
        <w:rPr>
          <w:rFonts w:hint="eastAsia" w:ascii="宋体" w:hAnsi="宋体" w:eastAsia="宋体"/>
          <w:highlight w:val="none"/>
        </w:rPr>
        <w:t>章 投标文件格式</w:t>
      </w:r>
      <w:bookmarkEnd w:id="23"/>
      <w:bookmarkEnd w:id="24"/>
      <w:bookmarkEnd w:id="25"/>
      <w:bookmarkEnd w:id="26"/>
      <w:bookmarkEnd w:id="27"/>
    </w:p>
    <w:p w14:paraId="5AC5728D">
      <w:pPr>
        <w:rPr>
          <w:rFonts w:hint="eastAsia"/>
          <w:highlight w:val="none"/>
        </w:rPr>
      </w:pPr>
      <w:bookmarkStart w:id="28" w:name="_Toc220232394"/>
      <w:bookmarkStart w:id="29" w:name="_Toc232592019"/>
    </w:p>
    <w:p w14:paraId="6DF8D593">
      <w:pPr>
        <w:spacing w:line="900" w:lineRule="exact"/>
        <w:jc w:val="center"/>
        <w:rPr>
          <w:rFonts w:hint="eastAsia" w:ascii="宋体" w:hAnsi="宋体"/>
          <w:b/>
          <w:sz w:val="44"/>
          <w:szCs w:val="44"/>
          <w:highlight w:val="none"/>
        </w:rPr>
      </w:pPr>
    </w:p>
    <w:p w14:paraId="7F81DDE9">
      <w:pPr>
        <w:spacing w:line="900" w:lineRule="exact"/>
        <w:jc w:val="center"/>
        <w:rPr>
          <w:rFonts w:hint="eastAsia"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肥西桃溪里项目运营常规物料采购</w:t>
      </w:r>
    </w:p>
    <w:p w14:paraId="0A5EADB9">
      <w:pPr>
        <w:spacing w:line="900" w:lineRule="exact"/>
        <w:jc w:val="center"/>
        <w:rPr>
          <w:rFonts w:hint="eastAsia" w:ascii="Times New Roman" w:hAnsi="Times New Roman" w:eastAsia="黑体" w:cs="Times New Roman"/>
          <w:sz w:val="48"/>
          <w:szCs w:val="18"/>
          <w:highlight w:val="none"/>
          <w:lang w:val="en-US" w:eastAsia="zh-CN"/>
        </w:rPr>
      </w:pPr>
    </w:p>
    <w:p w14:paraId="4FCF7B9A">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41A38ABA">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5E7B5C57">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2313BB7D">
      <w:pPr>
        <w:jc w:val="center"/>
        <w:rPr>
          <w:rFonts w:hint="eastAsia" w:ascii="宋体" w:hAnsi="宋体"/>
          <w:b/>
          <w:sz w:val="56"/>
          <w:szCs w:val="18"/>
          <w:highlight w:val="none"/>
        </w:rPr>
      </w:pPr>
      <w:r>
        <w:rPr>
          <w:rFonts w:hint="eastAsia" w:ascii="宋体" w:hAnsi="宋体"/>
          <w:b/>
          <w:sz w:val="56"/>
          <w:szCs w:val="18"/>
          <w:highlight w:val="none"/>
        </w:rPr>
        <w:t>件</w:t>
      </w:r>
    </w:p>
    <w:p w14:paraId="17DB8748">
      <w:pPr>
        <w:jc w:val="center"/>
        <w:rPr>
          <w:rFonts w:hint="eastAsia" w:ascii="宋体" w:hAnsi="宋体"/>
          <w:b/>
          <w:sz w:val="56"/>
          <w:szCs w:val="18"/>
          <w:highlight w:val="none"/>
        </w:rPr>
      </w:pPr>
    </w:p>
    <w:p w14:paraId="4D7F4FFA">
      <w:pPr>
        <w:spacing w:after="120" w:afterLines="50" w:line="500" w:lineRule="exact"/>
        <w:jc w:val="center"/>
        <w:rPr>
          <w:rFonts w:hint="eastAsia" w:ascii="宋体" w:hAnsi="宋体"/>
          <w:b/>
          <w:sz w:val="72"/>
          <w:highlight w:val="none"/>
        </w:rPr>
      </w:pPr>
    </w:p>
    <w:p w14:paraId="7EC0F2B8">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3CD2DDE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6F5378F7">
      <w:pPr>
        <w:rPr>
          <w:highlight w:val="none"/>
        </w:rPr>
      </w:pPr>
    </w:p>
    <w:p w14:paraId="7E872EBF">
      <w:pPr>
        <w:rPr>
          <w:highlight w:val="none"/>
        </w:rPr>
      </w:pPr>
    </w:p>
    <w:p w14:paraId="2E0D94FC">
      <w:pPr>
        <w:rPr>
          <w:rFonts w:hint="eastAsia"/>
          <w:highlight w:val="none"/>
        </w:rPr>
      </w:pPr>
    </w:p>
    <w:p w14:paraId="57037581">
      <w:pPr>
        <w:pStyle w:val="2"/>
        <w:rPr>
          <w:rFonts w:hAnsi="宋体"/>
          <w:sz w:val="28"/>
          <w:highlight w:val="none"/>
        </w:rPr>
      </w:pPr>
      <w:r>
        <w:rPr>
          <w:highlight w:val="none"/>
        </w:rPr>
        <w:br w:type="page"/>
      </w:r>
      <w:bookmarkStart w:id="30" w:name="_Toc39733483"/>
      <w:bookmarkStart w:id="31" w:name="_Toc20758"/>
      <w:bookmarkStart w:id="32" w:name="_Toc273602355"/>
      <w:bookmarkStart w:id="33" w:name="_Toc245714173"/>
      <w:r>
        <w:rPr>
          <w:rFonts w:hint="eastAsia" w:hAnsi="宋体"/>
          <w:sz w:val="28"/>
          <w:highlight w:val="none"/>
        </w:rPr>
        <w:t>一、投标函</w:t>
      </w:r>
      <w:bookmarkEnd w:id="30"/>
      <w:bookmarkEnd w:id="31"/>
      <w:bookmarkEnd w:id="32"/>
      <w:bookmarkEnd w:id="33"/>
    </w:p>
    <w:p w14:paraId="17F6A37A">
      <w:pPr>
        <w:pStyle w:val="30"/>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合肥滨投文化创意发展有限公司</w:t>
      </w:r>
    </w:p>
    <w:p w14:paraId="1E72E84C">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eastAsia="zh-CN"/>
        </w:rPr>
        <w:t>肥西桃溪里项目运营常规物料采购</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67AE3D68">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21E3174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2F18A5FA">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18290A00">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49B54206">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A769D50">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06B79D6F">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42553899">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11F1EF9D">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1CB264CB">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55682827">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46C3A1F4">
      <w:pPr>
        <w:pStyle w:val="2"/>
        <w:numPr>
          <w:ilvl w:val="0"/>
          <w:numId w:val="5"/>
        </w:numPr>
        <w:rPr>
          <w:rFonts w:hint="eastAsia" w:hAnsi="宋体"/>
          <w:sz w:val="28"/>
          <w:highlight w:val="none"/>
        </w:rPr>
      </w:pPr>
      <w:r>
        <w:rPr>
          <w:rFonts w:hAnsi="宋体"/>
          <w:sz w:val="24"/>
          <w:highlight w:val="none"/>
        </w:rPr>
        <w:br w:type="page"/>
      </w:r>
      <w:bookmarkStart w:id="34" w:name="_Toc39733484"/>
      <w:bookmarkStart w:id="35" w:name="_Toc10239"/>
      <w:bookmarkStart w:id="36" w:name="_Toc273602356"/>
      <w:bookmarkStart w:id="37" w:name="_Toc245714174"/>
      <w:r>
        <w:rPr>
          <w:rFonts w:hint="eastAsia" w:hAnsi="宋体"/>
          <w:sz w:val="28"/>
          <w:highlight w:val="none"/>
        </w:rPr>
        <w:t>投标授权书</w:t>
      </w:r>
      <w:bookmarkEnd w:id="34"/>
      <w:bookmarkEnd w:id="35"/>
      <w:bookmarkEnd w:id="36"/>
      <w:bookmarkEnd w:id="37"/>
    </w:p>
    <w:p w14:paraId="5D84D04F">
      <w:pPr>
        <w:rPr>
          <w:rFonts w:hint="eastAsia"/>
          <w:highlight w:val="none"/>
        </w:rPr>
      </w:pPr>
    </w:p>
    <w:p w14:paraId="075BA2F9">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合肥滨投文化创意发展有限公司</w:t>
      </w:r>
      <w:r>
        <w:rPr>
          <w:rFonts w:hint="eastAsia" w:ascii="宋体" w:hAnsi="宋体"/>
          <w:b/>
          <w:sz w:val="24"/>
          <w:szCs w:val="18"/>
          <w:highlight w:val="none"/>
          <w:u w:val="single"/>
          <w:lang w:eastAsia="zh-CN"/>
        </w:rPr>
        <w:t>肥西桃溪里项目运营常规物料采购</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3D94F88">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085111E0">
      <w:pPr>
        <w:spacing w:line="360" w:lineRule="auto"/>
        <w:rPr>
          <w:rFonts w:ascii="宋体" w:hAnsi="宋体"/>
          <w:sz w:val="24"/>
          <w:szCs w:val="28"/>
          <w:highlight w:val="none"/>
        </w:rPr>
      </w:pPr>
    </w:p>
    <w:p w14:paraId="5FFB6D5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485D04FA">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4136262">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74136262">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BBAC5D1">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1BBAC5D1">
                      <w:pPr>
                        <w:jc w:val="center"/>
                      </w:pPr>
                      <w:r>
                        <w:rPr>
                          <w:rFonts w:hint="eastAsia"/>
                        </w:rPr>
                        <w:t>授权代表身份证复印件反面</w:t>
                      </w:r>
                    </w:p>
                  </w:txbxContent>
                </v:textbox>
                <w10:wrap type="none"/>
                <w10:anchorlock/>
              </v:roundrect>
            </w:pict>
          </mc:Fallback>
        </mc:AlternateContent>
      </w:r>
    </w:p>
    <w:p w14:paraId="18644954">
      <w:pPr>
        <w:spacing w:line="360" w:lineRule="auto"/>
        <w:ind w:firstLine="645"/>
        <w:rPr>
          <w:rFonts w:hint="eastAsia" w:ascii="宋体" w:hAnsi="宋体"/>
          <w:sz w:val="24"/>
          <w:szCs w:val="28"/>
          <w:highlight w:val="none"/>
        </w:rPr>
      </w:pPr>
    </w:p>
    <w:p w14:paraId="6BEAD4A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0E00233">
      <w:pPr>
        <w:adjustRightInd w:val="0"/>
        <w:snapToGrid w:val="0"/>
        <w:spacing w:line="360" w:lineRule="auto"/>
        <w:ind w:firstLine="480" w:firstLineChars="200"/>
        <w:rPr>
          <w:rFonts w:hint="eastAsia" w:ascii="宋体" w:hAnsi="宋体"/>
          <w:sz w:val="24"/>
          <w:szCs w:val="28"/>
          <w:highlight w:val="none"/>
        </w:rPr>
      </w:pPr>
    </w:p>
    <w:p w14:paraId="2C742FA2">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04774B9B">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23CB36B7">
      <w:pPr>
        <w:pStyle w:val="27"/>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7B53A4AD">
      <w:pPr>
        <w:pStyle w:val="27"/>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5AD1E171">
      <w:pPr>
        <w:pStyle w:val="27"/>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210591AA">
      <w:pPr>
        <w:pStyle w:val="27"/>
        <w:snapToGrid w:val="0"/>
        <w:spacing w:line="480" w:lineRule="auto"/>
        <w:ind w:firstLine="480" w:firstLineChars="200"/>
        <w:jc w:val="left"/>
        <w:rPr>
          <w:rFonts w:hint="eastAsia" w:hAnsi="宋体"/>
          <w:sz w:val="24"/>
          <w:szCs w:val="28"/>
          <w:highlight w:val="none"/>
        </w:rPr>
      </w:pPr>
    </w:p>
    <w:p w14:paraId="55AD9B7F">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693DA8C2">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58BF6555">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126874F7">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7E6D11C1">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78140ACB">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5C31D466">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49FED65A">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124F6540">
      <w:pPr>
        <w:pStyle w:val="27"/>
        <w:snapToGrid w:val="0"/>
        <w:spacing w:line="480" w:lineRule="auto"/>
        <w:ind w:firstLine="480" w:firstLineChars="200"/>
        <w:jc w:val="left"/>
        <w:rPr>
          <w:rFonts w:hint="eastAsia" w:hAnsi="宋体"/>
          <w:sz w:val="24"/>
          <w:szCs w:val="28"/>
          <w:highlight w:val="none"/>
        </w:rPr>
      </w:pPr>
    </w:p>
    <w:p w14:paraId="4ACD8233">
      <w:pPr>
        <w:pStyle w:val="27"/>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0BDBC5C2">
      <w:pPr>
        <w:pStyle w:val="27"/>
        <w:snapToGrid w:val="0"/>
        <w:spacing w:line="480" w:lineRule="auto"/>
        <w:ind w:firstLine="480" w:firstLineChars="200"/>
        <w:jc w:val="left"/>
        <w:rPr>
          <w:rFonts w:hint="eastAsia" w:hAnsi="宋体"/>
          <w:sz w:val="24"/>
          <w:szCs w:val="28"/>
          <w:highlight w:val="none"/>
        </w:rPr>
      </w:pPr>
    </w:p>
    <w:p w14:paraId="3D97A0F9">
      <w:pPr>
        <w:pStyle w:val="27"/>
        <w:snapToGrid w:val="0"/>
        <w:spacing w:line="480" w:lineRule="auto"/>
        <w:ind w:firstLine="480" w:firstLineChars="200"/>
        <w:jc w:val="left"/>
        <w:rPr>
          <w:rFonts w:hint="eastAsia" w:hAnsi="宋体"/>
          <w:sz w:val="24"/>
          <w:szCs w:val="28"/>
          <w:highlight w:val="none"/>
        </w:rPr>
      </w:pPr>
    </w:p>
    <w:p w14:paraId="229B1C3D">
      <w:pPr>
        <w:pStyle w:val="27"/>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7EFA54E3">
      <w:pPr>
        <w:pStyle w:val="27"/>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351FFBD5">
      <w:pPr>
        <w:adjustRightInd w:val="0"/>
        <w:snapToGrid w:val="0"/>
        <w:spacing w:line="360" w:lineRule="auto"/>
        <w:rPr>
          <w:rFonts w:ascii="宋体" w:hAnsi="宋体"/>
          <w:b/>
          <w:bCs/>
          <w:sz w:val="24"/>
          <w:szCs w:val="28"/>
          <w:highlight w:val="none"/>
        </w:rPr>
      </w:pPr>
    </w:p>
    <w:p w14:paraId="7A61CA3E">
      <w:pPr>
        <w:spacing w:line="500" w:lineRule="exact"/>
        <w:jc w:val="center"/>
        <w:rPr>
          <w:rFonts w:ascii="宋体" w:hAnsi="宋体"/>
          <w:b/>
          <w:bCs/>
          <w:sz w:val="24"/>
          <w:szCs w:val="24"/>
          <w:highlight w:val="none"/>
        </w:rPr>
      </w:pPr>
    </w:p>
    <w:p w14:paraId="0ED4B399">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5F3CB9E6">
      <w:pPr>
        <w:pStyle w:val="52"/>
        <w:ind w:left="0"/>
        <w:rPr>
          <w:rFonts w:hint="eastAsia"/>
          <w:highlight w:val="none"/>
        </w:rPr>
      </w:pPr>
    </w:p>
    <w:p w14:paraId="673C4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7171B14">
      <w:pPr>
        <w:pStyle w:val="52"/>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0F33B1FF">
      <w:pPr>
        <w:spacing w:line="500" w:lineRule="exact"/>
        <w:jc w:val="center"/>
        <w:rPr>
          <w:rFonts w:ascii="宋体" w:hAnsi="宋体"/>
          <w:b/>
          <w:bCs/>
          <w:sz w:val="24"/>
          <w:szCs w:val="24"/>
          <w:highlight w:val="none"/>
        </w:rPr>
      </w:pPr>
    </w:p>
    <w:p w14:paraId="345A66D5">
      <w:pPr>
        <w:tabs>
          <w:tab w:val="left" w:pos="4620"/>
        </w:tabs>
        <w:spacing w:line="360" w:lineRule="auto"/>
        <w:ind w:firstLine="560" w:firstLineChars="200"/>
        <w:rPr>
          <w:rFonts w:hint="eastAsia" w:ascii="Times New Roman" w:hAnsi="Times New Roman" w:eastAsia="黑体" w:cs="Times New Roman"/>
          <w:sz w:val="44"/>
          <w:szCs w:val="16"/>
          <w:highlight w:val="none"/>
          <w:lang w:val="en-US" w:eastAsia="zh-CN"/>
        </w:rPr>
      </w:pPr>
      <w:r>
        <w:rPr>
          <w:rFonts w:hAnsi="宋体"/>
          <w:sz w:val="28"/>
          <w:highlight w:val="none"/>
        </w:rPr>
        <w:br w:type="page"/>
      </w:r>
      <w:bookmarkEnd w:id="28"/>
      <w:bookmarkEnd w:id="29"/>
    </w:p>
    <w:p w14:paraId="0DFB5686">
      <w:pPr>
        <w:pStyle w:val="4"/>
        <w:rPr>
          <w:rFonts w:hint="eastAsia"/>
          <w:sz w:val="28"/>
          <w:szCs w:val="18"/>
          <w:highlight w:val="none"/>
        </w:rPr>
      </w:pPr>
      <w:r>
        <w:rPr>
          <w:rFonts w:hint="eastAsia" w:ascii="Times New Roman" w:hAnsi="Times New Roman" w:cs="Times New Roman"/>
          <w:sz w:val="44"/>
          <w:szCs w:val="16"/>
          <w:highlight w:val="none"/>
          <w:lang w:val="en-US" w:eastAsia="zh-CN"/>
        </w:rPr>
        <w:t>肥西桃溪里项目运营常规物料采购</w:t>
      </w:r>
    </w:p>
    <w:p w14:paraId="6B069727">
      <w:pPr>
        <w:spacing w:line="900" w:lineRule="exact"/>
        <w:jc w:val="center"/>
        <w:rPr>
          <w:rFonts w:hint="eastAsia" w:ascii="宋体" w:hAnsi="宋体"/>
          <w:b/>
          <w:sz w:val="56"/>
          <w:szCs w:val="18"/>
          <w:highlight w:val="none"/>
        </w:rPr>
      </w:pPr>
    </w:p>
    <w:p w14:paraId="0DB668C7">
      <w:pPr>
        <w:spacing w:line="900" w:lineRule="exact"/>
        <w:jc w:val="center"/>
        <w:rPr>
          <w:rFonts w:hint="eastAsia" w:ascii="宋体" w:hAnsi="宋体"/>
          <w:b/>
          <w:sz w:val="56"/>
          <w:szCs w:val="18"/>
          <w:highlight w:val="none"/>
        </w:rPr>
      </w:pPr>
    </w:p>
    <w:p w14:paraId="069C5E18">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4BF23A80">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625D9981">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3417C6B8">
      <w:pPr>
        <w:jc w:val="center"/>
        <w:rPr>
          <w:rFonts w:hint="eastAsia" w:ascii="宋体" w:hAnsi="宋体"/>
          <w:b/>
          <w:sz w:val="56"/>
          <w:szCs w:val="18"/>
          <w:highlight w:val="none"/>
        </w:rPr>
      </w:pPr>
      <w:r>
        <w:rPr>
          <w:rFonts w:hint="eastAsia" w:ascii="宋体" w:hAnsi="宋体"/>
          <w:b/>
          <w:sz w:val="56"/>
          <w:szCs w:val="18"/>
          <w:highlight w:val="none"/>
        </w:rPr>
        <w:t>件</w:t>
      </w:r>
    </w:p>
    <w:p w14:paraId="608BAB9A">
      <w:pPr>
        <w:jc w:val="center"/>
        <w:rPr>
          <w:rFonts w:hint="eastAsia" w:ascii="宋体" w:hAnsi="宋体"/>
          <w:b/>
          <w:sz w:val="56"/>
          <w:szCs w:val="18"/>
          <w:highlight w:val="none"/>
        </w:rPr>
      </w:pPr>
    </w:p>
    <w:p w14:paraId="35123DAD">
      <w:pPr>
        <w:jc w:val="center"/>
        <w:rPr>
          <w:rFonts w:hint="eastAsia" w:ascii="宋体" w:hAnsi="宋体"/>
          <w:b/>
          <w:sz w:val="56"/>
          <w:szCs w:val="18"/>
          <w:highlight w:val="none"/>
        </w:rPr>
      </w:pPr>
    </w:p>
    <w:p w14:paraId="64259009">
      <w:pPr>
        <w:jc w:val="center"/>
        <w:rPr>
          <w:rFonts w:hint="eastAsia" w:ascii="宋体" w:hAnsi="宋体"/>
          <w:b/>
          <w:sz w:val="56"/>
          <w:szCs w:val="18"/>
          <w:highlight w:val="none"/>
        </w:rPr>
      </w:pPr>
    </w:p>
    <w:p w14:paraId="5413C89D">
      <w:pPr>
        <w:jc w:val="center"/>
        <w:rPr>
          <w:rFonts w:hint="eastAsia" w:ascii="宋体" w:hAnsi="宋体"/>
          <w:b/>
          <w:sz w:val="56"/>
          <w:szCs w:val="18"/>
          <w:highlight w:val="none"/>
        </w:rPr>
      </w:pPr>
    </w:p>
    <w:p w14:paraId="1FA95210">
      <w:pPr>
        <w:jc w:val="center"/>
        <w:rPr>
          <w:rFonts w:hint="eastAsia" w:ascii="宋体" w:hAnsi="宋体"/>
          <w:b/>
          <w:sz w:val="56"/>
          <w:szCs w:val="18"/>
          <w:highlight w:val="none"/>
        </w:rPr>
      </w:pPr>
    </w:p>
    <w:p w14:paraId="14BE9BE5">
      <w:pPr>
        <w:spacing w:after="120" w:afterLines="50" w:line="500" w:lineRule="exact"/>
        <w:jc w:val="center"/>
        <w:rPr>
          <w:rFonts w:hint="eastAsia" w:ascii="宋体" w:hAnsi="宋体"/>
          <w:b/>
          <w:sz w:val="72"/>
          <w:highlight w:val="none"/>
        </w:rPr>
      </w:pPr>
    </w:p>
    <w:p w14:paraId="7C948B46">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8AED109">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C590AF">
      <w:pPr>
        <w:rPr>
          <w:highlight w:val="none"/>
        </w:rPr>
      </w:pPr>
    </w:p>
    <w:p w14:paraId="487A97AF">
      <w:pPr>
        <w:rPr>
          <w:highlight w:val="none"/>
        </w:rPr>
      </w:pPr>
    </w:p>
    <w:p w14:paraId="0A272823">
      <w:pPr>
        <w:rPr>
          <w:rFonts w:hint="eastAsia"/>
          <w:highlight w:val="none"/>
        </w:rPr>
      </w:pPr>
    </w:p>
    <w:p w14:paraId="3BF72736">
      <w:pPr>
        <w:pStyle w:val="52"/>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39" w:name="_Toc273602363"/>
      <w:bookmarkStart w:id="40" w:name="_Toc328559344"/>
      <w:bookmarkStart w:id="41" w:name="_Toc240898303"/>
      <w:bookmarkStart w:id="42" w:name="_Toc270410845"/>
      <w:r>
        <w:rPr>
          <w:rFonts w:hint="eastAsia" w:ascii="宋体" w:hAnsi="宋体" w:eastAsia="宋体" w:cs="Times New Roman"/>
          <w:b/>
          <w:kern w:val="2"/>
          <w:sz w:val="28"/>
          <w:szCs w:val="20"/>
          <w:highlight w:val="none"/>
          <w:lang w:val="en-US" w:eastAsia="zh-CN" w:bidi="ar-SA"/>
        </w:rPr>
        <w:t>一、</w:t>
      </w:r>
      <w:bookmarkEnd w:id="39"/>
      <w:bookmarkEnd w:id="40"/>
      <w:bookmarkEnd w:id="41"/>
      <w:bookmarkEnd w:id="42"/>
      <w:r>
        <w:rPr>
          <w:rFonts w:hint="eastAsia" w:ascii="宋体" w:hAnsi="宋体" w:eastAsia="宋体" w:cs="Times New Roman"/>
          <w:b/>
          <w:kern w:val="2"/>
          <w:sz w:val="28"/>
          <w:szCs w:val="20"/>
          <w:highlight w:val="none"/>
          <w:lang w:val="en-US" w:eastAsia="zh-CN" w:bidi="ar-SA"/>
        </w:rPr>
        <w:t>投标报价</w:t>
      </w:r>
    </w:p>
    <w:p w14:paraId="21017650">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5B93B7D1">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1FDFD51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1. 我方已仔细研究         （项目名称）   招标文件的全部内容，愿意以人民币</w:t>
      </w:r>
    </w:p>
    <w:p w14:paraId="71FB5A1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1B8100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61EAA4E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3545A3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24A1AC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5651C4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A5D4E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118F10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法定代表人：                          </w:t>
      </w:r>
      <w:bookmarkStart w:id="43" w:name="_GoBack"/>
      <w:bookmarkEnd w:id="43"/>
      <w:r>
        <w:rPr>
          <w:rFonts w:hint="eastAsia" w:ascii="宋体" w:hAnsi="宋体" w:eastAsia="宋体" w:cs="Times New Roman"/>
          <w:kern w:val="2"/>
          <w:sz w:val="24"/>
          <w:szCs w:val="28"/>
          <w:highlight w:val="none"/>
          <w:lang w:val="en-US" w:eastAsia="zh-CN" w:bidi="ar-SA"/>
        </w:rPr>
        <w:t>（签字或盖章）</w:t>
      </w:r>
    </w:p>
    <w:p w14:paraId="53DD62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2754B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0F8B9B8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05289A50">
      <w:pPr>
        <w:pStyle w:val="39"/>
        <w:rPr>
          <w:rFonts w:hint="eastAsia" w:ascii="宋体" w:hAnsi="宋体"/>
          <w:sz w:val="32"/>
          <w:szCs w:val="32"/>
        </w:rPr>
      </w:pPr>
    </w:p>
    <w:p w14:paraId="6F450E45">
      <w:pPr>
        <w:pStyle w:val="39"/>
        <w:rPr>
          <w:rFonts w:hint="eastAsia" w:ascii="宋体" w:hAnsi="宋体"/>
          <w:sz w:val="32"/>
          <w:szCs w:val="32"/>
        </w:rPr>
      </w:pPr>
    </w:p>
    <w:p w14:paraId="6827F857">
      <w:pPr>
        <w:pStyle w:val="39"/>
        <w:rPr>
          <w:rFonts w:hint="eastAsia" w:ascii="宋体" w:hAnsi="宋体"/>
          <w:sz w:val="32"/>
          <w:szCs w:val="32"/>
        </w:rPr>
      </w:pPr>
    </w:p>
    <w:p w14:paraId="6F6F8C38">
      <w:pPr>
        <w:pStyle w:val="39"/>
        <w:rPr>
          <w:rFonts w:hint="eastAsia" w:ascii="宋体" w:hAnsi="宋体"/>
          <w:sz w:val="32"/>
          <w:szCs w:val="32"/>
        </w:rPr>
      </w:pPr>
    </w:p>
    <w:p w14:paraId="49C9AFE6">
      <w:pPr>
        <w:pStyle w:val="39"/>
        <w:rPr>
          <w:rFonts w:hint="eastAsia" w:ascii="宋体" w:hAnsi="宋体"/>
          <w:sz w:val="32"/>
          <w:szCs w:val="32"/>
        </w:rPr>
      </w:pPr>
    </w:p>
    <w:p w14:paraId="4196D37A">
      <w:pPr>
        <w:pStyle w:val="39"/>
        <w:rPr>
          <w:rFonts w:hint="eastAsia" w:ascii="宋体" w:hAnsi="宋体"/>
          <w:sz w:val="32"/>
          <w:szCs w:val="32"/>
        </w:rPr>
      </w:pPr>
    </w:p>
    <w:p w14:paraId="2B3BE0A3">
      <w:pPr>
        <w:pStyle w:val="39"/>
        <w:rPr>
          <w:rFonts w:hint="eastAsia" w:ascii="宋体" w:hAnsi="宋体"/>
          <w:sz w:val="32"/>
          <w:szCs w:val="32"/>
        </w:rPr>
      </w:pPr>
    </w:p>
    <w:p w14:paraId="12AB4EB8">
      <w:pPr>
        <w:pStyle w:val="39"/>
        <w:rPr>
          <w:rFonts w:hint="eastAsia" w:ascii="宋体" w:hAnsi="宋体"/>
          <w:sz w:val="32"/>
          <w:szCs w:val="32"/>
        </w:rPr>
      </w:pPr>
    </w:p>
    <w:p w14:paraId="5E654FCE">
      <w:pPr>
        <w:pStyle w:val="39"/>
        <w:rPr>
          <w:rFonts w:hint="eastAsia" w:ascii="宋体" w:hAnsi="宋体"/>
          <w:sz w:val="32"/>
          <w:szCs w:val="32"/>
        </w:rPr>
      </w:pPr>
    </w:p>
    <w:p w14:paraId="1DC06A0A">
      <w:pPr>
        <w:pStyle w:val="52"/>
        <w:ind w:left="0" w:leftChars="0" w:firstLine="0" w:firstLineChars="0"/>
        <w:rPr>
          <w:rFonts w:hint="eastAsia" w:ascii="宋体" w:hAnsi="宋体"/>
          <w:b/>
          <w:color w:val="000000"/>
          <w:sz w:val="24"/>
          <w:highlight w:val="none"/>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sectPr>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Noto Sans SC">
    <w:altName w:val="宋体"/>
    <w:panose1 w:val="020B0200000000000000"/>
    <w:charset w:val="86"/>
    <w:family w:val="auto"/>
    <w:pitch w:val="default"/>
    <w:sig w:usb0="00000000" w:usb1="0000000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2">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5E17A6"/>
    <w:rsid w:val="05DC0389"/>
    <w:rsid w:val="068E0F51"/>
    <w:rsid w:val="06EA7031"/>
    <w:rsid w:val="077918E2"/>
    <w:rsid w:val="080F68DC"/>
    <w:rsid w:val="088C1F29"/>
    <w:rsid w:val="09B35E22"/>
    <w:rsid w:val="0A2B2280"/>
    <w:rsid w:val="0AEA2669"/>
    <w:rsid w:val="0B5A78B0"/>
    <w:rsid w:val="0BA960CE"/>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DAE5AEC"/>
    <w:rsid w:val="1E905351"/>
    <w:rsid w:val="1F9E3BCA"/>
    <w:rsid w:val="22731A2D"/>
    <w:rsid w:val="23203542"/>
    <w:rsid w:val="23285A18"/>
    <w:rsid w:val="276F595A"/>
    <w:rsid w:val="299553EC"/>
    <w:rsid w:val="29BD3F19"/>
    <w:rsid w:val="29D42705"/>
    <w:rsid w:val="2ADC147B"/>
    <w:rsid w:val="2C056941"/>
    <w:rsid w:val="2C1C4834"/>
    <w:rsid w:val="2D8E6D7A"/>
    <w:rsid w:val="2D9B0395"/>
    <w:rsid w:val="2FF95846"/>
    <w:rsid w:val="31072F62"/>
    <w:rsid w:val="31566A52"/>
    <w:rsid w:val="31AB0CDA"/>
    <w:rsid w:val="31D73965"/>
    <w:rsid w:val="32E965DF"/>
    <w:rsid w:val="33366222"/>
    <w:rsid w:val="367120E1"/>
    <w:rsid w:val="36D6243D"/>
    <w:rsid w:val="37303C2F"/>
    <w:rsid w:val="373F5ED2"/>
    <w:rsid w:val="389F5A24"/>
    <w:rsid w:val="39087C01"/>
    <w:rsid w:val="39E220D3"/>
    <w:rsid w:val="3A5D5440"/>
    <w:rsid w:val="3C923FD8"/>
    <w:rsid w:val="3CC4744B"/>
    <w:rsid w:val="3D9424D5"/>
    <w:rsid w:val="3DAF6D45"/>
    <w:rsid w:val="3DC5397A"/>
    <w:rsid w:val="3E6C1A67"/>
    <w:rsid w:val="3FB95217"/>
    <w:rsid w:val="405065A5"/>
    <w:rsid w:val="411F09CA"/>
    <w:rsid w:val="414B7535"/>
    <w:rsid w:val="415E35C6"/>
    <w:rsid w:val="41A00C1F"/>
    <w:rsid w:val="41AB521D"/>
    <w:rsid w:val="41BA02BB"/>
    <w:rsid w:val="428B7B0F"/>
    <w:rsid w:val="429C7054"/>
    <w:rsid w:val="42C40BE2"/>
    <w:rsid w:val="431C43F3"/>
    <w:rsid w:val="437D45C8"/>
    <w:rsid w:val="43EC454D"/>
    <w:rsid w:val="459D445A"/>
    <w:rsid w:val="47136D96"/>
    <w:rsid w:val="47140AC9"/>
    <w:rsid w:val="481A5BAC"/>
    <w:rsid w:val="49001F18"/>
    <w:rsid w:val="49016B40"/>
    <w:rsid w:val="4B493F7E"/>
    <w:rsid w:val="4BEB5C3D"/>
    <w:rsid w:val="4C9F3B15"/>
    <w:rsid w:val="4CC82BA6"/>
    <w:rsid w:val="4DFC16FF"/>
    <w:rsid w:val="4EDD6607"/>
    <w:rsid w:val="4F252466"/>
    <w:rsid w:val="4F5A71E7"/>
    <w:rsid w:val="500E40D0"/>
    <w:rsid w:val="512F03DB"/>
    <w:rsid w:val="5307177D"/>
    <w:rsid w:val="539267AF"/>
    <w:rsid w:val="543264A9"/>
    <w:rsid w:val="554A03C4"/>
    <w:rsid w:val="570E3BC9"/>
    <w:rsid w:val="58457CD0"/>
    <w:rsid w:val="589D3FEA"/>
    <w:rsid w:val="59813B96"/>
    <w:rsid w:val="5A431F22"/>
    <w:rsid w:val="5A647782"/>
    <w:rsid w:val="5ABF12B7"/>
    <w:rsid w:val="5AD92B11"/>
    <w:rsid w:val="5B302BB8"/>
    <w:rsid w:val="5C917115"/>
    <w:rsid w:val="5C9A1041"/>
    <w:rsid w:val="5CB511A8"/>
    <w:rsid w:val="5DE85D9D"/>
    <w:rsid w:val="5E6162CC"/>
    <w:rsid w:val="5F8913FD"/>
    <w:rsid w:val="5FF33954"/>
    <w:rsid w:val="60C06604"/>
    <w:rsid w:val="615862B8"/>
    <w:rsid w:val="61D05A5A"/>
    <w:rsid w:val="6216372D"/>
    <w:rsid w:val="633640E0"/>
    <w:rsid w:val="64332182"/>
    <w:rsid w:val="645E7AB0"/>
    <w:rsid w:val="65402FF4"/>
    <w:rsid w:val="65A7466B"/>
    <w:rsid w:val="671D7A0A"/>
    <w:rsid w:val="67896CE6"/>
    <w:rsid w:val="6976794A"/>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A252BCA"/>
    <w:rsid w:val="7B620BCC"/>
    <w:rsid w:val="7BCD067B"/>
    <w:rsid w:val="7BDA46B9"/>
    <w:rsid w:val="7C020BE6"/>
    <w:rsid w:val="7C0D02B4"/>
    <w:rsid w:val="7C175A42"/>
    <w:rsid w:val="7CF66286"/>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4">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2"/>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3"/>
    <w:qFormat/>
    <w:uiPriority w:val="0"/>
    <w:pPr>
      <w:tabs>
        <w:tab w:val="center" w:pos="4153"/>
        <w:tab w:val="right" w:pos="8306"/>
      </w:tabs>
      <w:snapToGrid w:val="0"/>
      <w:jc w:val="left"/>
    </w:pPr>
    <w:rPr>
      <w:sz w:val="18"/>
    </w:rPr>
  </w:style>
  <w:style w:type="paragraph" w:styleId="3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标题 1 Char"/>
    <w:qFormat/>
    <w:uiPriority w:val="0"/>
    <w:rPr>
      <w:rFonts w:eastAsia="宋体"/>
      <w:b/>
      <w:kern w:val="44"/>
      <w:sz w:val="30"/>
      <w:lang w:val="en-US" w:eastAsia="zh-CN"/>
    </w:rPr>
  </w:style>
  <w:style w:type="character" w:customStyle="1" w:styleId="62">
    <w:name w:val=" Char Char1"/>
    <w:link w:val="30"/>
    <w:qFormat/>
    <w:uiPriority w:val="0"/>
    <w:rPr>
      <w:b/>
      <w:kern w:val="2"/>
      <w:sz w:val="28"/>
    </w:rPr>
  </w:style>
  <w:style w:type="character" w:customStyle="1" w:styleId="63">
    <w:name w:val=" Char Char"/>
    <w:link w:val="33"/>
    <w:qFormat/>
    <w:uiPriority w:val="0"/>
    <w:rPr>
      <w:kern w:val="2"/>
      <w:sz w:val="18"/>
    </w:rPr>
  </w:style>
  <w:style w:type="character" w:customStyle="1" w:styleId="64">
    <w:name w:val=" Char Char2"/>
    <w:link w:val="34"/>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 w:type="paragraph" w:styleId="10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4330</Words>
  <Characters>4440</Characters>
  <Lines>133</Lines>
  <Paragraphs>37</Paragraphs>
  <TotalTime>1</TotalTime>
  <ScaleCrop>false</ScaleCrop>
  <LinksUpToDate>false</LinksUpToDate>
  <CharactersWithSpaces>7669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OREO</cp:lastModifiedBy>
  <cp:lastPrinted>2020-11-20T02:35:00Z</cp:lastPrinted>
  <dcterms:modified xsi:type="dcterms:W3CDTF">2026-05-11T07:40:05Z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148151BEF1B14D8ABC82D371C5558A9B_13</vt:lpwstr>
  </property>
  <property fmtid="{D5CDD505-2E9C-101B-9397-08002B2CF9AE}" pid="4" name="KSOTemplateDocerSaveRecord">
    <vt:lpwstr>eyJoZGlkIjoiMGI2NDIxNzdiZDg4Zjg1Mjk3MjdjMjc0ZmFmNmQzNmQiLCJ1c2VySWQiOiIyNDMyODYwMzQifQ==</vt:lpwstr>
  </property>
</Properties>
</file>