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微软雅黑" w:hAnsi="微软雅黑" w:eastAsia="微软雅黑" w:cs="微软雅黑"/>
              <w:b/>
              <w:bCs/>
              <w:sz w:val="56"/>
              <w:szCs w:val="56"/>
              <w:highlight w:val="none"/>
              <w:lang w:val="en-US" w:eastAsia="zh-CN"/>
            </w:rPr>
          </w:pPr>
          <w:bookmarkStart w:id="0" w:name="_Toc273602339"/>
          <w:bookmarkStart w:id="1" w:name="_Toc328559326"/>
          <w:bookmarkStart w:id="2" w:name="_Toc245092759"/>
          <w:r>
            <w:rPr>
              <w:rFonts w:hint="eastAsia" w:ascii="微软雅黑" w:hAnsi="微软雅黑" w:eastAsia="微软雅黑" w:cs="微软雅黑"/>
              <w:b/>
              <w:bCs/>
              <w:sz w:val="56"/>
              <w:szCs w:val="56"/>
              <w:highlight w:val="none"/>
              <w:lang w:val="en-US" w:eastAsia="zh-CN"/>
            </w:rPr>
            <w:t>城市更新嘉玺展厅提升</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城市更新嘉玺项目</w:t>
      </w:r>
      <w:r>
        <w:rPr>
          <w:rFonts w:hint="eastAsia" w:ascii="微软雅黑" w:hAnsi="微软雅黑" w:eastAsia="微软雅黑" w:cs="微软雅黑"/>
          <w:b w:val="0"/>
          <w:bCs w:val="0"/>
          <w:color w:val="000000"/>
          <w:sz w:val="24"/>
          <w:szCs w:val="24"/>
          <w:highlight w:val="none"/>
          <w:u w:val="single"/>
          <w:lang w:val="en-US" w:eastAsia="zh-CN"/>
        </w:rPr>
        <w:t>展厅提升</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项目名称：城市更新嘉玺项目</w:t>
      </w:r>
      <w:r>
        <w:rPr>
          <w:rFonts w:hint="eastAsia" w:ascii="微软雅黑" w:hAnsi="微软雅黑" w:eastAsia="微软雅黑" w:cs="微软雅黑"/>
          <w:color w:val="000000"/>
          <w:sz w:val="24"/>
          <w:szCs w:val="24"/>
          <w:highlight w:val="none"/>
          <w:lang w:val="en-US" w:eastAsia="zh-CN"/>
        </w:rPr>
        <w:t>展厅提升</w:t>
      </w:r>
      <w:r>
        <w:rPr>
          <w:rFonts w:hint="eastAsia" w:ascii="微软雅黑" w:hAnsi="微软雅黑" w:eastAsia="微软雅黑" w:cs="微软雅黑"/>
          <w:color w:val="000000"/>
          <w:sz w:val="24"/>
          <w:szCs w:val="24"/>
          <w:highlight w:val="none"/>
          <w:lang w:val="zh-CN"/>
        </w:rPr>
        <w:t>；</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4.5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（自2023年1月1日起，与至少3家不同开发商分别签订的活动执行等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业务合同，且每份合同金额不低于5万元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业绩证明（自2023年1月1日起，与至少3家不同开发商分别签订的活动执行、美陈布置等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业务合同，且每份合同金额不低于5万元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18</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14</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4.5</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73602342"/>
      <w:bookmarkStart w:id="7" w:name="_Toc245092762"/>
      <w:bookmarkStart w:id="8" w:name="_Toc39733479"/>
      <w:bookmarkStart w:id="9" w:name="_Toc22397"/>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城市更新嘉玺项目</w:t>
      </w:r>
      <w:r>
        <w:rPr>
          <w:rFonts w:hint="eastAsia" w:ascii="微软雅黑" w:hAnsi="微软雅黑" w:eastAsia="微软雅黑" w:cs="微软雅黑"/>
          <w:color w:val="000000"/>
          <w:sz w:val="24"/>
          <w:szCs w:val="24"/>
          <w:highlight w:val="none"/>
          <w:u w:val="single"/>
          <w:lang w:val="en-US" w:eastAsia="zh-CN"/>
        </w:rPr>
        <w:t>展厅提升</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39733482"/>
      <w:bookmarkStart w:id="13" w:name="_Toc245028818"/>
      <w:bookmarkStart w:id="14" w:name="_Toc2829"/>
      <w:bookmarkStart w:id="15" w:name="_Toc273602352"/>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273602355"/>
      <w:bookmarkStart w:id="18" w:name="_Toc245714173"/>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城市更新嘉玺项目</w:t>
      </w:r>
      <w:r>
        <w:rPr>
          <w:rFonts w:hint="eastAsia" w:ascii="微软雅黑" w:hAnsi="微软雅黑" w:eastAsia="微软雅黑" w:cs="微软雅黑"/>
          <w:sz w:val="21"/>
          <w:szCs w:val="21"/>
          <w:highlight w:val="none"/>
          <w:u w:val="single"/>
          <w:lang w:val="en-US" w:eastAsia="zh-CN"/>
        </w:rPr>
        <w:t>展厅提升</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39733484"/>
      <w:bookmarkStart w:id="22" w:name="_Toc24571417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城市更新嘉玺项目</w:t>
      </w:r>
      <w:r>
        <w:rPr>
          <w:rFonts w:hint="eastAsia" w:ascii="微软雅黑" w:hAnsi="微软雅黑" w:eastAsia="微软雅黑" w:cs="微软雅黑"/>
          <w:highlight w:val="none"/>
          <w:u w:val="single"/>
          <w:lang w:val="en-US" w:eastAsia="zh-CN"/>
        </w:rPr>
        <w:t>展厅提升</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城市更新嘉玺项目</w:t>
      </w:r>
      <w:r>
        <w:rPr>
          <w:rFonts w:hint="eastAsia" w:ascii="微软雅黑" w:hAnsi="微软雅黑" w:eastAsia="微软雅黑" w:cs="微软雅黑"/>
          <w:highlight w:val="none"/>
          <w:u w:val="single"/>
          <w:lang w:val="en-US" w:eastAsia="zh-CN"/>
        </w:rPr>
        <w:t>展厅提升</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三份同类业绩证明（自2023年1月1日起，与至少3家不同开发商分别签订的活动执行</w:t>
      </w:r>
      <w:r>
        <w:rPr>
          <w:rFonts w:hint="eastAsia" w:ascii="微软雅黑" w:hAnsi="微软雅黑" w:eastAsia="微软雅黑" w:cs="微软雅黑"/>
          <w:kern w:val="2"/>
          <w:szCs w:val="21"/>
          <w:highlight w:val="none"/>
          <w:lang w:eastAsia="zh-CN"/>
        </w:rPr>
        <w:t>、</w:t>
      </w:r>
      <w:r>
        <w:rPr>
          <w:rFonts w:hint="eastAsia" w:ascii="微软雅黑" w:hAnsi="微软雅黑" w:eastAsia="微软雅黑" w:cs="微软雅黑"/>
          <w:kern w:val="2"/>
          <w:szCs w:val="21"/>
          <w:highlight w:val="none"/>
          <w:lang w:val="en-US" w:eastAsia="zh-CN"/>
        </w:rPr>
        <w:t>美陈布置</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5</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城市更新嘉玺项目</w:t>
      </w:r>
      <w:r>
        <w:rPr>
          <w:rFonts w:hint="eastAsia" w:ascii="微软雅黑" w:hAnsi="微软雅黑" w:eastAsia="微软雅黑" w:cs="微软雅黑"/>
          <w:b/>
          <w:bCs/>
          <w:color w:val="000000"/>
          <w:sz w:val="24"/>
          <w:u w:val="single"/>
          <w:lang w:val="en-US" w:eastAsia="zh-CN"/>
        </w:rPr>
        <w:t>展厅提升</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default"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嘉玺项目展厅提升项目</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328559344"/>
          <w:bookmarkStart w:id="28" w:name="_Toc273602363"/>
          <w:bookmarkStart w:id="29" w:name="_Toc240898303"/>
          <w:bookmarkStart w:id="30"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5F8AE931">
      <w:pPr>
        <w:widowControl w:val="0"/>
        <w:spacing w:after="0" w:line="240" w:lineRule="auto"/>
        <w:ind w:firstLine="640" w:firstLineChars="200"/>
        <w:jc w:val="center"/>
        <w:rPr>
          <w:rFonts w:hint="eastAsia" w:ascii="微软雅黑" w:hAnsi="微软雅黑" w:eastAsia="微软雅黑" w:cs="微软雅黑"/>
          <w:b/>
          <w:bCs/>
          <w:kern w:val="2"/>
          <w:sz w:val="32"/>
          <w:szCs w:val="32"/>
          <w:lang w:eastAsia="zh-CN"/>
          <w14:ligatures w14:val="none"/>
        </w:rPr>
      </w:pPr>
      <w:r>
        <w:rPr>
          <w:rFonts w:hint="eastAsia" w:ascii="微软雅黑" w:hAnsi="微软雅黑" w:eastAsia="微软雅黑" w:cs="微软雅黑"/>
          <w:b/>
          <w:bCs/>
          <w:kern w:val="2"/>
          <w:sz w:val="32"/>
          <w:szCs w:val="32"/>
          <w:lang w:eastAsia="zh-CN"/>
          <w14:ligatures w14:val="none"/>
        </w:rPr>
        <w:t>城市更新嘉玺项目</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展厅提升服务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城市更新嘉玺项目</w:t>
      </w:r>
      <w:r>
        <w:rPr>
          <w:rFonts w:hint="eastAsia" w:ascii="微软雅黑" w:hAnsi="微软雅黑" w:eastAsia="微软雅黑" w:cs="微软雅黑"/>
          <w:kern w:val="2"/>
          <w:sz w:val="24"/>
          <w:szCs w:val="24"/>
          <w:u w:val="single"/>
          <w:lang w:val="en-US" w:eastAsia="zh-CN"/>
          <w14:ligatures w14:val="none"/>
        </w:rPr>
        <w:t>展厅提升</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城市更新嘉玺项目</w:t>
      </w:r>
      <w:r>
        <w:rPr>
          <w:rFonts w:hint="eastAsia" w:ascii="微软雅黑" w:hAnsi="微软雅黑" w:eastAsia="微软雅黑" w:cs="微软雅黑"/>
          <w:kern w:val="2"/>
          <w:sz w:val="24"/>
          <w:szCs w:val="24"/>
          <w:u w:val="single"/>
          <w:lang w:val="en-US" w:eastAsia="zh-CN"/>
          <w14:ligatures w14:val="none"/>
        </w:rPr>
        <w:t>展厅提升</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lang w:val="en-US" w:eastAsia="zh-CN"/>
          <w14:ligatures w14:val="none"/>
        </w:rPr>
        <w:t>嘉玺城市展厅</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3、</w:t>
      </w: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 xml:space="preserve">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5</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30</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之前完成（具体节点以甲方要求为准）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城市更新嘉玺项目</w:t>
      </w:r>
      <w:r>
        <w:rPr>
          <w:rFonts w:hint="eastAsia" w:ascii="微软雅黑" w:hAnsi="微软雅黑" w:eastAsia="微软雅黑" w:cs="微软雅黑"/>
          <w:kern w:val="2"/>
          <w:sz w:val="24"/>
          <w:szCs w:val="24"/>
          <w:u w:val="none"/>
          <w:lang w:val="en-US" w:eastAsia="zh-CN"/>
          <w14:ligatures w14:val="none"/>
        </w:rPr>
        <w:t>展厅提升</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bookmarkStart w:id="32" w:name="_GoBack"/>
      <w:bookmarkEnd w:id="32"/>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21</Pages>
  <Words>7939</Words>
  <Characters>8104</Characters>
  <Lines>203</Lines>
  <Paragraphs>224</Paragraphs>
  <TotalTime>311</TotalTime>
  <ScaleCrop>false</ScaleCrop>
  <LinksUpToDate>false</LinksUpToDate>
  <CharactersWithSpaces>9115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2026-05-13T08:07:57Z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