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color w:val="auto"/>
          <w:sz w:val="72"/>
          <w:szCs w:val="72"/>
          <w:highlight w:val="none"/>
        </w:rPr>
      </w:pPr>
    </w:p>
    <w:p w14:paraId="4EBC7C85">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2026年磨滩景区多巴胺沙滩环线乔木移植工程</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color w:val="auto"/>
          <w:sz w:val="28"/>
          <w:highlight w:val="none"/>
        </w:rPr>
      </w:pPr>
      <w:r>
        <w:rPr>
          <w:rFonts w:hint="eastAsia" w:ascii="宋体" w:hAnsi="宋体" w:eastAsia="宋体" w:cs="宋体"/>
          <w:bCs/>
          <w:color w:val="auto"/>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color w:val="auto"/>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color w:val="auto"/>
          <w:spacing w:val="-20"/>
          <w:sz w:val="36"/>
          <w:szCs w:val="36"/>
          <w:highlight w:val="none"/>
          <w:lang w:val="en-US" w:eastAsia="zh-CN"/>
        </w:rPr>
      </w:pPr>
      <w:r>
        <w:rPr>
          <w:rFonts w:hint="eastAsia" w:ascii="宋体" w:hAnsi="宋体" w:eastAsia="宋体" w:cs="宋体"/>
          <w:b/>
          <w:bCs/>
          <w:color w:val="auto"/>
          <w:spacing w:val="-20"/>
          <w:sz w:val="36"/>
          <w:szCs w:val="36"/>
          <w:highlight w:val="none"/>
        </w:rPr>
        <w:t>招</w:t>
      </w:r>
      <w:r>
        <w:rPr>
          <w:rFonts w:hint="eastAsia" w:ascii="宋体" w:hAnsi="宋体" w:eastAsia="宋体" w:cs="宋体"/>
          <w:b/>
          <w:bCs/>
          <w:color w:val="auto"/>
          <w:spacing w:val="-20"/>
          <w:sz w:val="36"/>
          <w:szCs w:val="36"/>
          <w:highlight w:val="none"/>
          <w:lang w:val="en-US" w:eastAsia="zh-CN"/>
        </w:rPr>
        <w:t xml:space="preserve">  </w:t>
      </w:r>
      <w:r>
        <w:rPr>
          <w:rFonts w:hint="eastAsia" w:ascii="宋体" w:hAnsi="宋体" w:eastAsia="宋体" w:cs="宋体"/>
          <w:b/>
          <w:bCs/>
          <w:color w:val="auto"/>
          <w:spacing w:val="-20"/>
          <w:sz w:val="36"/>
          <w:szCs w:val="36"/>
          <w:highlight w:val="none"/>
        </w:rPr>
        <w:t>标</w:t>
      </w:r>
      <w:r>
        <w:rPr>
          <w:rFonts w:hint="eastAsia" w:ascii="宋体" w:hAnsi="宋体" w:eastAsia="宋体" w:cs="宋体"/>
          <w:b/>
          <w:bCs/>
          <w:color w:val="auto"/>
          <w:spacing w:val="-20"/>
          <w:sz w:val="36"/>
          <w:szCs w:val="36"/>
          <w:highlight w:val="none"/>
          <w:lang w:val="en-US" w:eastAsia="zh-CN"/>
        </w:rPr>
        <w:t xml:space="preserve">  </w:t>
      </w:r>
      <w:r>
        <w:rPr>
          <w:rFonts w:hint="eastAsia" w:ascii="宋体" w:hAnsi="宋体" w:eastAsia="宋体" w:cs="宋体"/>
          <w:b/>
          <w:bCs/>
          <w:color w:val="auto"/>
          <w:spacing w:val="-20"/>
          <w:sz w:val="36"/>
          <w:szCs w:val="36"/>
          <w:highlight w:val="none"/>
          <w:lang w:eastAsia="zh-CN"/>
        </w:rPr>
        <w:t>人</w:t>
      </w:r>
      <w:r>
        <w:rPr>
          <w:rFonts w:hint="eastAsia" w:ascii="宋体" w:hAnsi="宋体" w:eastAsia="宋体" w:cs="宋体"/>
          <w:b/>
          <w:bCs/>
          <w:color w:val="auto"/>
          <w:spacing w:val="-20"/>
          <w:sz w:val="36"/>
          <w:szCs w:val="36"/>
          <w:highlight w:val="none"/>
        </w:rPr>
        <w:t>：</w:t>
      </w:r>
      <w:r>
        <w:rPr>
          <w:rFonts w:hint="eastAsia" w:ascii="宋体" w:hAnsi="宋体" w:eastAsia="宋体" w:cs="宋体"/>
          <w:b/>
          <w:bCs/>
          <w:color w:val="auto"/>
          <w:spacing w:val="-20"/>
          <w:sz w:val="36"/>
          <w:szCs w:val="36"/>
          <w:highlight w:val="none"/>
          <w:lang w:val="en-US" w:eastAsia="zh-CN"/>
        </w:rPr>
        <w:t>合肥市包河区乡村振兴投资有限公司</w:t>
      </w:r>
    </w:p>
    <w:p w14:paraId="19A668F5">
      <w:pPr>
        <w:tabs>
          <w:tab w:val="left" w:pos="4620"/>
        </w:tabs>
        <w:spacing w:line="440" w:lineRule="exact"/>
        <w:jc w:val="center"/>
        <w:rPr>
          <w:rFonts w:hint="eastAsia" w:ascii="宋体" w:hAnsi="宋体" w:eastAsia="宋体" w:cs="宋体"/>
          <w:bCs/>
          <w:color w:val="auto"/>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color w:val="auto"/>
          <w:sz w:val="36"/>
          <w:highlight w:val="none"/>
          <w:lang w:val="en-US" w:eastAsia="zh-CN"/>
        </w:rPr>
      </w:pPr>
      <w:r>
        <w:rPr>
          <w:rFonts w:hint="eastAsia" w:ascii="宋体" w:hAnsi="宋体" w:eastAsia="宋体" w:cs="宋体"/>
          <w:b/>
          <w:bCs/>
          <w:color w:val="auto"/>
          <w:spacing w:val="-20"/>
          <w:sz w:val="36"/>
          <w:szCs w:val="36"/>
          <w:highlight w:val="none"/>
          <w:lang w:val="en-US" w:eastAsia="zh-CN"/>
        </w:rPr>
        <w:t>日      期：</w:t>
      </w:r>
      <w:r>
        <w:rPr>
          <w:rFonts w:hint="eastAsia" w:ascii="宋体" w:hAnsi="宋体" w:eastAsia="宋体" w:cs="宋体"/>
          <w:b/>
          <w:bCs w:val="0"/>
          <w:color w:val="auto"/>
          <w:sz w:val="36"/>
          <w:highlight w:val="none"/>
          <w:lang w:val="en-US" w:eastAsia="zh-CN"/>
        </w:rPr>
        <w:t>202</w:t>
      </w:r>
      <w:r>
        <w:rPr>
          <w:rFonts w:hint="eastAsia" w:ascii="宋体" w:hAnsi="宋体" w:cs="宋体"/>
          <w:b/>
          <w:bCs w:val="0"/>
          <w:color w:val="auto"/>
          <w:sz w:val="36"/>
          <w:highlight w:val="none"/>
          <w:lang w:val="en-US" w:eastAsia="zh-CN"/>
        </w:rPr>
        <w:t>6</w:t>
      </w:r>
      <w:r>
        <w:rPr>
          <w:rFonts w:hint="eastAsia" w:ascii="宋体" w:hAnsi="宋体" w:eastAsia="宋体" w:cs="宋体"/>
          <w:b/>
          <w:bCs w:val="0"/>
          <w:color w:val="auto"/>
          <w:sz w:val="36"/>
          <w:highlight w:val="none"/>
          <w:lang w:val="en-US" w:eastAsia="zh-CN"/>
        </w:rPr>
        <w:t>年</w:t>
      </w:r>
      <w:r>
        <w:rPr>
          <w:rFonts w:hint="eastAsia" w:ascii="宋体" w:hAnsi="宋体" w:eastAsia="宋体" w:cs="宋体"/>
          <w:b/>
          <w:bCs w:val="0"/>
          <w:color w:val="auto"/>
          <w:sz w:val="36"/>
          <w:highlight w:val="none"/>
          <w:u w:val="single"/>
          <w:lang w:val="en-US" w:eastAsia="zh-CN"/>
        </w:rPr>
        <w:t xml:space="preserve"> </w:t>
      </w:r>
      <w:r>
        <w:rPr>
          <w:rFonts w:hint="eastAsia" w:ascii="宋体" w:hAnsi="宋体" w:cs="宋体"/>
          <w:b/>
          <w:bCs w:val="0"/>
          <w:color w:val="auto"/>
          <w:sz w:val="36"/>
          <w:highlight w:val="none"/>
          <w:u w:val="single"/>
          <w:lang w:val="en-US" w:eastAsia="zh-CN"/>
        </w:rPr>
        <w:t>5</w:t>
      </w:r>
      <w:r>
        <w:rPr>
          <w:rFonts w:hint="eastAsia" w:ascii="宋体" w:hAnsi="宋体" w:eastAsia="宋体" w:cs="宋体"/>
          <w:b/>
          <w:bCs w:val="0"/>
          <w:color w:val="auto"/>
          <w:sz w:val="36"/>
          <w:highlight w:val="none"/>
          <w:u w:val="single"/>
          <w:lang w:val="en-US" w:eastAsia="zh-CN"/>
        </w:rPr>
        <w:t xml:space="preserve"> </w:t>
      </w:r>
      <w:r>
        <w:rPr>
          <w:rFonts w:hint="eastAsia" w:ascii="宋体" w:hAnsi="宋体" w:eastAsia="宋体" w:cs="宋体"/>
          <w:b/>
          <w:bCs w:val="0"/>
          <w:color w:val="auto"/>
          <w:sz w:val="36"/>
          <w:highlight w:val="none"/>
          <w:lang w:val="en-US" w:eastAsia="zh-CN"/>
        </w:rPr>
        <w:t>月</w:t>
      </w:r>
    </w:p>
    <w:p w14:paraId="3E52D93D">
      <w:pPr>
        <w:tabs>
          <w:tab w:val="left" w:pos="4620"/>
        </w:tabs>
        <w:spacing w:line="440" w:lineRule="exact"/>
        <w:jc w:val="center"/>
        <w:rPr>
          <w:rFonts w:hint="eastAsia" w:eastAsia="幼圆"/>
          <w:bCs/>
          <w:color w:val="auto"/>
          <w:sz w:val="36"/>
          <w:highlight w:val="none"/>
          <w:lang w:val="en-US" w:eastAsia="zh-CN"/>
        </w:rPr>
      </w:pPr>
    </w:p>
    <w:p w14:paraId="3744797D">
      <w:pPr>
        <w:tabs>
          <w:tab w:val="left" w:pos="4620"/>
        </w:tabs>
        <w:spacing w:line="440" w:lineRule="exact"/>
        <w:jc w:val="center"/>
        <w:rPr>
          <w:rFonts w:hint="eastAsia" w:eastAsia="幼圆"/>
          <w:bCs/>
          <w:color w:val="auto"/>
          <w:sz w:val="36"/>
          <w:highlight w:val="none"/>
          <w:lang w:val="en-US" w:eastAsia="zh-CN"/>
        </w:rPr>
      </w:pPr>
    </w:p>
    <w:p w14:paraId="3FA67E0D">
      <w:pPr>
        <w:tabs>
          <w:tab w:val="left" w:pos="4620"/>
        </w:tabs>
        <w:spacing w:line="440" w:lineRule="exact"/>
        <w:jc w:val="center"/>
        <w:rPr>
          <w:rFonts w:hint="eastAsia" w:eastAsia="幼圆"/>
          <w:bCs/>
          <w:color w:val="auto"/>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auto"/>
          <w:highlight w:val="none"/>
        </w:rPr>
      </w:pPr>
      <w:bookmarkStart w:id="2" w:name="_Hlt526418134"/>
      <w:bookmarkEnd w:id="2"/>
      <w:bookmarkStart w:id="3" w:name="_Hlt533241375"/>
      <w:bookmarkEnd w:id="3"/>
      <w:bookmarkStart w:id="4" w:name="_Hlt519045295"/>
      <w:bookmarkEnd w:id="4"/>
      <w:bookmarkStart w:id="5" w:name="_Toc328559326"/>
      <w:bookmarkStart w:id="6" w:name="_Toc245092759"/>
      <w:bookmarkStart w:id="7" w:name="_Toc273602339"/>
      <w:r>
        <w:rPr>
          <w:rFonts w:hint="eastAsia" w:ascii="宋体" w:hAnsi="宋体" w:eastAsia="宋体"/>
          <w:color w:val="auto"/>
          <w:highlight w:val="none"/>
        </w:rPr>
        <w:t xml:space="preserve">第一章 </w:t>
      </w:r>
      <w:bookmarkEnd w:id="5"/>
      <w:bookmarkEnd w:id="6"/>
      <w:bookmarkEnd w:id="7"/>
      <w:r>
        <w:rPr>
          <w:rFonts w:hint="eastAsia" w:ascii="宋体" w:hAnsi="宋体" w:eastAsia="宋体"/>
          <w:color w:val="auto"/>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auto"/>
          <w:sz w:val="24"/>
          <w:szCs w:val="18"/>
          <w:highlight w:val="none"/>
        </w:rPr>
        <w:t xml:space="preserve">  </w:t>
      </w:r>
      <w:r>
        <w:rPr>
          <w:rFonts w:hint="eastAsia" w:ascii="宋体" w:hAnsi="宋体"/>
          <w:color w:val="auto"/>
          <w:sz w:val="24"/>
          <w:szCs w:val="18"/>
          <w:highlight w:val="none"/>
          <w:lang w:eastAsia="zh-CN"/>
        </w:rPr>
        <w:t>合肥市包河区乡村振兴投资有限公司</w:t>
      </w:r>
      <w:r>
        <w:rPr>
          <w:rFonts w:hint="eastAsia" w:ascii="宋体" w:hAnsi="宋体"/>
          <w:color w:val="auto"/>
          <w:sz w:val="24"/>
          <w:szCs w:val="18"/>
          <w:highlight w:val="none"/>
        </w:rPr>
        <w:t>拟对</w:t>
      </w:r>
      <w:r>
        <w:rPr>
          <w:rFonts w:hint="eastAsia" w:ascii="宋体" w:hAnsi="宋体"/>
          <w:color w:val="auto"/>
          <w:sz w:val="24"/>
          <w:szCs w:val="18"/>
          <w:highlight w:val="none"/>
          <w:lang w:eastAsia="zh-CN"/>
        </w:rPr>
        <w:t>“</w:t>
      </w:r>
      <w:r>
        <w:rPr>
          <w:rFonts w:hint="eastAsia" w:ascii="宋体" w:hAnsi="宋体"/>
          <w:color w:val="auto"/>
          <w:sz w:val="24"/>
          <w:szCs w:val="18"/>
          <w:highlight w:val="none"/>
          <w:u w:val="single"/>
          <w:lang w:val="en-US" w:eastAsia="zh-CN"/>
        </w:rPr>
        <w:t>2026年磨滩景区多巴胺沙滩环线乔木移植工程</w:t>
      </w:r>
      <w:r>
        <w:rPr>
          <w:rFonts w:hint="eastAsia" w:ascii="宋体" w:hAnsi="宋体"/>
          <w:color w:val="auto"/>
          <w:sz w:val="24"/>
          <w:szCs w:val="18"/>
          <w:highlight w:val="none"/>
          <w:lang w:val="en-US" w:eastAsia="zh-CN"/>
        </w:rPr>
        <w:t xml:space="preserve"> </w:t>
      </w:r>
      <w:r>
        <w:rPr>
          <w:rFonts w:hint="eastAsia" w:ascii="宋体" w:hAnsi="宋体"/>
          <w:color w:val="auto"/>
          <w:sz w:val="24"/>
          <w:szCs w:val="18"/>
          <w:highlight w:val="none"/>
          <w:lang w:eastAsia="zh-CN"/>
        </w:rPr>
        <w:t>”</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20A13A2D">
      <w:pPr>
        <w:autoSpaceDE w:val="0"/>
        <w:autoSpaceDN w:val="0"/>
        <w:adjustRightInd w:val="0"/>
        <w:spacing w:line="360" w:lineRule="auto"/>
        <w:ind w:firstLine="200"/>
        <w:jc w:val="left"/>
        <w:rPr>
          <w:rFonts w:hint="eastAsia" w:ascii="宋体" w:hAnsi="宋体"/>
          <w:color w:val="auto"/>
          <w:kern w:val="0"/>
          <w:sz w:val="24"/>
          <w:highlight w:val="none"/>
          <w:u w:val="single"/>
          <w:lang w:val="en-US" w:eastAsia="zh-CN"/>
        </w:rPr>
      </w:pPr>
      <w:r>
        <w:rPr>
          <w:rFonts w:hint="eastAsia" w:ascii="宋体" w:hAnsi="宋体"/>
          <w:color w:val="auto"/>
          <w:kern w:val="0"/>
          <w:sz w:val="24"/>
          <w:highlight w:val="none"/>
          <w:lang w:val="zh-CN"/>
        </w:rPr>
        <w:t>2、项目名称：</w:t>
      </w:r>
      <w:r>
        <w:rPr>
          <w:rFonts w:hint="eastAsia" w:ascii="宋体" w:hAnsi="宋体"/>
          <w:color w:val="auto"/>
          <w:sz w:val="24"/>
          <w:szCs w:val="18"/>
          <w:highlight w:val="none"/>
          <w:u w:val="single"/>
          <w:lang w:val="en-US" w:eastAsia="zh-CN"/>
        </w:rPr>
        <w:t>2026年磨滩景区多巴胺沙滩环线乔木移植工程</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3、项目地点：合肥市包河区磨滩旅游度假区</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：合肥市包河区乡村振兴投资有限公司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auto"/>
          <w:sz w:val="24"/>
          <w:szCs w:val="18"/>
          <w:highlight w:val="none"/>
        </w:rPr>
        <w:t>合肥市包河区乡村振兴投资有限公司</w:t>
      </w:r>
    </w:p>
    <w:p w14:paraId="39D62EBD">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eastAsia="宋体" w:cs="Times New Roman"/>
          <w:color w:val="auto"/>
          <w:sz w:val="24"/>
          <w:szCs w:val="18"/>
          <w:highlight w:val="none"/>
          <w:lang w:eastAsia="zh-CN"/>
        </w:rPr>
        <w:t>概况：</w:t>
      </w:r>
      <w:r>
        <w:rPr>
          <w:rFonts w:hint="eastAsia" w:ascii="宋体" w:hAnsi="宋体"/>
          <w:color w:val="auto"/>
          <w:sz w:val="24"/>
          <w:szCs w:val="18"/>
          <w:highlight w:val="none"/>
          <w:u w:val="single"/>
          <w:lang w:val="en-US" w:eastAsia="zh-CN"/>
        </w:rPr>
        <w:t>2026年磨滩景区多巴胺沙滩环线乔木移植工程</w:t>
      </w:r>
      <w:r>
        <w:rPr>
          <w:rFonts w:hint="eastAsia" w:ascii="宋体" w:hAnsi="宋体" w:eastAsia="宋体" w:cs="Times New Roman"/>
          <w:color w:val="auto"/>
          <w:sz w:val="24"/>
          <w:szCs w:val="18"/>
          <w:highlight w:val="none"/>
          <w:lang w:val="en-US" w:eastAsia="zh-CN"/>
        </w:rPr>
        <w:t>位于磨滩</w:t>
      </w:r>
      <w:r>
        <w:rPr>
          <w:rFonts w:hint="eastAsia" w:ascii="宋体" w:hAnsi="宋体" w:cs="Times New Roman"/>
          <w:color w:val="auto"/>
          <w:sz w:val="24"/>
          <w:szCs w:val="18"/>
          <w:highlight w:val="none"/>
          <w:lang w:val="en-US" w:eastAsia="zh-CN"/>
        </w:rPr>
        <w:t>旅游度假区</w:t>
      </w:r>
      <w:r>
        <w:rPr>
          <w:rFonts w:hint="eastAsia" w:ascii="宋体" w:hAnsi="宋体" w:eastAsia="宋体" w:cs="Times New Roman"/>
          <w:color w:val="auto"/>
          <w:sz w:val="24"/>
          <w:szCs w:val="18"/>
          <w:highlight w:val="none"/>
          <w:lang w:val="en-US" w:eastAsia="zh-CN"/>
        </w:rPr>
        <w:t>，主要包括</w:t>
      </w:r>
      <w:r>
        <w:rPr>
          <w:rFonts w:hint="eastAsia" w:ascii="宋体" w:hAnsi="宋体" w:eastAsia="宋体" w:cs="宋体"/>
          <w:b w:val="0"/>
          <w:bCs w:val="0"/>
          <w:kern w:val="2"/>
          <w:sz w:val="24"/>
          <w:szCs w:val="24"/>
          <w:lang w:val="en-US" w:eastAsia="zh-CN" w:bidi="ar-SA"/>
        </w:rPr>
        <w:t>250株乔木（含香樟、桂花、法国梧桐、无患子、红叶李、广玉兰、棕榈等）移植、养护</w:t>
      </w:r>
      <w:r>
        <w:rPr>
          <w:rFonts w:hint="eastAsia" w:ascii="宋体" w:hAnsi="宋体" w:cs="Times New Roman"/>
          <w:color w:val="auto"/>
          <w:sz w:val="24"/>
          <w:szCs w:val="18"/>
          <w:highlight w:val="none"/>
          <w:lang w:val="en-US" w:eastAsia="zh-CN"/>
        </w:rPr>
        <w:t>等内容，</w:t>
      </w:r>
      <w:r>
        <w:rPr>
          <w:rFonts w:hint="eastAsia" w:ascii="宋体" w:hAnsi="宋体" w:eastAsia="宋体" w:cs="宋体"/>
          <w:b w:val="0"/>
          <w:bCs w:val="0"/>
          <w:kern w:val="2"/>
          <w:sz w:val="24"/>
          <w:szCs w:val="24"/>
          <w:lang w:val="en-US" w:eastAsia="zh-CN" w:bidi="ar-SA"/>
        </w:rPr>
        <w:t>起树点为大圩镇环圩西路东侧飞麒园林苗圃，栽植点为磨滩旅游度假区</w:t>
      </w:r>
      <w:r>
        <w:rPr>
          <w:rFonts w:hint="eastAsia" w:ascii="宋体" w:hAnsi="宋体" w:cs="宋体"/>
          <w:b w:val="0"/>
          <w:bCs w:val="0"/>
          <w:kern w:val="2"/>
          <w:sz w:val="24"/>
          <w:szCs w:val="24"/>
          <w:lang w:val="en-US" w:eastAsia="zh-CN" w:bidi="ar-SA"/>
        </w:rPr>
        <w:t>范围</w:t>
      </w:r>
      <w:r>
        <w:rPr>
          <w:rFonts w:hint="eastAsia" w:ascii="宋体" w:hAnsi="宋体" w:eastAsia="宋体" w:cs="宋体"/>
          <w:b w:val="0"/>
          <w:bCs w:val="0"/>
          <w:kern w:val="2"/>
          <w:sz w:val="24"/>
          <w:szCs w:val="24"/>
          <w:lang w:val="en-US" w:eastAsia="zh-CN" w:bidi="ar-SA"/>
        </w:rPr>
        <w:t>内</w:t>
      </w:r>
      <w:r>
        <w:rPr>
          <w:rFonts w:hint="eastAsia" w:ascii="宋体" w:hAnsi="宋体" w:eastAsia="宋体" w:cs="Times New Roman"/>
          <w:color w:val="auto"/>
          <w:sz w:val="24"/>
          <w:szCs w:val="18"/>
          <w:highlight w:val="none"/>
          <w:lang w:eastAsia="zh-CN"/>
        </w:rPr>
        <w:t>。</w:t>
      </w:r>
      <w:r>
        <w:rPr>
          <w:rFonts w:hint="eastAsia" w:ascii="宋体" w:hAnsi="宋体"/>
          <w:color w:val="auto"/>
          <w:sz w:val="24"/>
          <w:szCs w:val="18"/>
          <w:highlight w:val="none"/>
          <w:lang w:eastAsia="zh-CN"/>
        </w:rPr>
        <w:t>具体招标范围详见招标文件、施工图、招标补疑等文件。</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7、项目概算：28万元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8、项目类别：工程施工类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022FBB58">
      <w:pPr>
        <w:autoSpaceDE w:val="0"/>
        <w:autoSpaceDN w:val="0"/>
        <w:adjustRightInd w:val="0"/>
        <w:spacing w:line="360" w:lineRule="auto"/>
        <w:ind w:left="210" w:left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1.投标人须同时满足以下条件：</w:t>
      </w:r>
    </w:p>
    <w:p w14:paraId="7FC69C36">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（1）具有独立承担民事责任的能力，具有有效的营业执照；</w:t>
      </w:r>
    </w:p>
    <w:p w14:paraId="2F8D4053">
      <w:pPr>
        <w:autoSpaceDE w:val="0"/>
        <w:autoSpaceDN w:val="0"/>
        <w:adjustRightInd w:val="0"/>
        <w:spacing w:line="360" w:lineRule="auto"/>
        <w:ind w:left="210" w:leftChars="100"/>
        <w:jc w:val="left"/>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2.投标人业绩：自2021年1月1日以来（以竣工验收时间为准），投标人在中华人民共和国境内（不含港澳台）须具备单个合同金额不低于2</w:t>
      </w:r>
      <w:r>
        <w:rPr>
          <w:rFonts w:hint="eastAsia" w:ascii="宋体" w:hAnsi="宋体"/>
          <w:color w:val="auto"/>
          <w:sz w:val="24"/>
          <w:szCs w:val="18"/>
          <w:highlight w:val="none"/>
          <w:lang w:val="en-US" w:eastAsia="zh-CN"/>
        </w:rPr>
        <w:t>0</w:t>
      </w:r>
      <w:r>
        <w:rPr>
          <w:rFonts w:hint="eastAsia" w:ascii="宋体" w:hAnsi="宋体" w:eastAsia="宋体"/>
          <w:color w:val="auto"/>
          <w:sz w:val="24"/>
          <w:szCs w:val="18"/>
          <w:highlight w:val="none"/>
          <w:lang w:val="en-US" w:eastAsia="zh-CN"/>
        </w:rPr>
        <w:t>万元的苗木种植业绩。</w:t>
      </w:r>
    </w:p>
    <w:p w14:paraId="0D90C15F">
      <w:pPr>
        <w:autoSpaceDE w:val="0"/>
        <w:autoSpaceDN w:val="0"/>
        <w:adjustRightInd w:val="0"/>
        <w:spacing w:line="360" w:lineRule="auto"/>
        <w:ind w:left="210" w:leftChars="100"/>
        <w:jc w:val="left"/>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3.项目负责人资格要求：具有园林绿化工程相关专业中级及以上职称。</w:t>
      </w:r>
    </w:p>
    <w:p w14:paraId="487ECE03">
      <w:pPr>
        <w:autoSpaceDE w:val="0"/>
        <w:autoSpaceDN w:val="0"/>
        <w:adjustRightInd w:val="0"/>
        <w:spacing w:line="360" w:lineRule="auto"/>
        <w:ind w:left="210" w:left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4.本项目不接受联合体投标；</w:t>
      </w:r>
    </w:p>
    <w:p w14:paraId="56D0360E">
      <w:pPr>
        <w:autoSpaceDE w:val="0"/>
        <w:autoSpaceDN w:val="0"/>
        <w:adjustRightInd w:val="0"/>
        <w:spacing w:line="360" w:lineRule="auto"/>
        <w:ind w:left="210" w:left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5.投标人存在以下不良信用记录情形之一的，不得推荐为中标候选人，不得确定为中标人：</w:t>
      </w:r>
    </w:p>
    <w:p w14:paraId="56DC058F">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（1）投标人被人民法院列入失信被执行人的；</w:t>
      </w:r>
    </w:p>
    <w:p w14:paraId="234C9A80">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 xml:space="preserve">（2）投标人或其法定代表人被人民检察院列入行贿犯罪档案的； </w:t>
      </w:r>
    </w:p>
    <w:p w14:paraId="07A576DE">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（3）投标人被工商行政管理部门列入企业经营异常名录的；</w:t>
      </w:r>
    </w:p>
    <w:p w14:paraId="1341EDF5">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（4）投标人被税务部门列入重大税收违法案件当事人名单的；</w:t>
      </w:r>
    </w:p>
    <w:p w14:paraId="25634FB6">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（5）投标人被合肥市人社部门列入拖欠农民工工资黑名单的；</w:t>
      </w:r>
    </w:p>
    <w:p w14:paraId="7F78CC99">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lang w:val="en-US" w:eastAsia="zh-CN"/>
        </w:rPr>
        <w:t>（6）投标人被合肥市城乡建设局因安全生产责任事故限制在合肥行政区域内承接新的工程</w:t>
      </w:r>
      <w:r>
        <w:rPr>
          <w:rFonts w:hint="eastAsia" w:ascii="宋体" w:hAnsi="宋体" w:eastAsia="宋体"/>
          <w:color w:val="auto"/>
          <w:sz w:val="24"/>
          <w:szCs w:val="18"/>
          <w:highlight w:val="none"/>
          <w:lang w:eastAsia="zh-CN"/>
        </w:rPr>
        <w:t>项目且在限制期内的。</w:t>
      </w:r>
    </w:p>
    <w:p w14:paraId="1DE9E5AF">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color w:val="auto"/>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.获取方式：潜在投标人须登录</w:t>
      </w:r>
      <w:r>
        <w:rPr>
          <w:rFonts w:hint="eastAsia" w:ascii="宋体" w:hAnsi="宋体"/>
          <w:bCs/>
          <w:color w:val="auto"/>
          <w:sz w:val="24"/>
          <w:szCs w:val="24"/>
          <w:highlight w:val="none"/>
          <w:lang w:eastAsia="zh-CN"/>
        </w:rPr>
        <w:t>合肥滨湖投资控股集团有限公司官网自行下载</w:t>
      </w:r>
      <w:r>
        <w:rPr>
          <w:rFonts w:hint="eastAsia" w:ascii="宋体" w:hAnsi="宋体"/>
          <w:bCs/>
          <w:color w:val="auto"/>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四</w:t>
      </w:r>
      <w:r>
        <w:rPr>
          <w:rFonts w:hint="eastAsia" w:ascii="宋体" w:hAnsi="宋体"/>
          <w:b/>
          <w:bCs/>
          <w:color w:val="auto"/>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color w:val="auto"/>
          <w:sz w:val="24"/>
          <w:highlight w:val="none"/>
          <w:u w:val="single"/>
          <w:lang w:val="en-US"/>
        </w:rPr>
      </w:pPr>
      <w:r>
        <w:rPr>
          <w:rFonts w:hint="eastAsia" w:ascii="宋体" w:hAnsi="宋体"/>
          <w:bCs/>
          <w:color w:val="auto"/>
          <w:sz w:val="24"/>
          <w:szCs w:val="18"/>
          <w:highlight w:val="none"/>
        </w:rPr>
        <w:t>1.开标时间：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22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74ED86B6">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宋体" w:hAnsi="宋体" w:cs="宋体"/>
          <w:i w:val="0"/>
          <w:iCs w:val="0"/>
          <w:caps w:val="0"/>
          <w:color w:val="auto"/>
          <w:spacing w:val="0"/>
          <w:sz w:val="24"/>
          <w:szCs w:val="24"/>
          <w:highlight w:val="none"/>
          <w:lang w:val="en-US" w:eastAsia="zh-CN"/>
        </w:rPr>
      </w:pPr>
      <w:r>
        <w:rPr>
          <w:rFonts w:hint="eastAsia" w:ascii="宋体" w:hAnsi="宋体"/>
          <w:bCs/>
          <w:color w:val="auto"/>
          <w:sz w:val="24"/>
          <w:szCs w:val="18"/>
          <w:highlight w:val="none"/>
        </w:rPr>
        <w:t>2.开标地点：</w:t>
      </w:r>
      <w:r>
        <w:rPr>
          <w:rFonts w:hint="eastAsia" w:ascii="宋体" w:hAnsi="宋体" w:eastAsia="宋体" w:cs="宋体"/>
          <w:i w:val="0"/>
          <w:iCs w:val="0"/>
          <w:caps w:val="0"/>
          <w:color w:val="auto"/>
          <w:spacing w:val="0"/>
          <w:sz w:val="24"/>
          <w:szCs w:val="24"/>
          <w:highlight w:val="none"/>
        </w:rPr>
        <w:t>合肥市包河区大圩镇磨滩</w:t>
      </w:r>
      <w:r>
        <w:rPr>
          <w:rFonts w:hint="eastAsia" w:cs="宋体"/>
          <w:i w:val="0"/>
          <w:iCs w:val="0"/>
          <w:caps w:val="0"/>
          <w:color w:val="auto"/>
          <w:spacing w:val="0"/>
          <w:sz w:val="24"/>
          <w:szCs w:val="24"/>
          <w:highlight w:val="none"/>
          <w:lang w:val="en-US" w:eastAsia="zh-CN"/>
        </w:rPr>
        <w:t>旅游度假区办公楼三楼会议室</w:t>
      </w:r>
    </w:p>
    <w:p w14:paraId="273066C1">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五</w:t>
      </w:r>
      <w:r>
        <w:rPr>
          <w:rFonts w:hint="eastAsia" w:ascii="宋体" w:hAnsi="宋体"/>
          <w:b/>
          <w:bCs/>
          <w:color w:val="auto"/>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color w:val="auto"/>
          <w:sz w:val="24"/>
          <w:highlight w:val="none"/>
          <w:u w:val="single"/>
          <w:lang w:val="en-US" w:eastAsia="zh-CN"/>
        </w:rPr>
      </w:pP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22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1F9F8E86">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六</w:t>
      </w:r>
      <w:r>
        <w:rPr>
          <w:rFonts w:hint="eastAsia" w:ascii="宋体" w:hAnsi="宋体"/>
          <w:b/>
          <w:bCs/>
          <w:color w:val="auto"/>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auto"/>
          <w:spacing w:val="0"/>
          <w:sz w:val="27"/>
          <w:szCs w:val="27"/>
        </w:rPr>
      </w:pPr>
      <w:r>
        <w:rPr>
          <w:rFonts w:hint="eastAsia" w:ascii="宋体" w:hAnsi="宋体" w:eastAsia="宋体" w:cs="宋体"/>
          <w:i w:val="0"/>
          <w:iCs w:val="0"/>
          <w:caps w:val="0"/>
          <w:color w:val="auto"/>
          <w:spacing w:val="0"/>
          <w:sz w:val="24"/>
          <w:szCs w:val="24"/>
        </w:rPr>
        <w:t>招标单位：合肥市包河区</w:t>
      </w:r>
      <w:r>
        <w:rPr>
          <w:rFonts w:hint="eastAsia" w:ascii="宋体" w:hAnsi="宋体" w:cs="宋体"/>
          <w:i w:val="0"/>
          <w:iCs w:val="0"/>
          <w:caps w:val="0"/>
          <w:color w:val="auto"/>
          <w:spacing w:val="0"/>
          <w:sz w:val="24"/>
          <w:szCs w:val="24"/>
          <w:lang w:val="en-US" w:eastAsia="zh-CN"/>
        </w:rPr>
        <w:t>乡村振兴投资有限公司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auto"/>
          <w:spacing w:val="0"/>
          <w:sz w:val="27"/>
          <w:szCs w:val="27"/>
          <w:lang w:val="en-US" w:eastAsia="zh-CN"/>
        </w:rPr>
      </w:pPr>
      <w:r>
        <w:rPr>
          <w:rFonts w:hint="eastAsia" w:ascii="宋体" w:hAnsi="宋体" w:eastAsia="宋体" w:cs="宋体"/>
          <w:i w:val="0"/>
          <w:iCs w:val="0"/>
          <w:caps w:val="0"/>
          <w:color w:val="auto"/>
          <w:spacing w:val="0"/>
          <w:sz w:val="24"/>
          <w:szCs w:val="24"/>
        </w:rPr>
        <w:t>地址：合肥市包河区大圩镇磨滩</w:t>
      </w:r>
      <w:r>
        <w:rPr>
          <w:rFonts w:hint="eastAsia" w:cs="宋体"/>
          <w:i w:val="0"/>
          <w:iCs w:val="0"/>
          <w:caps w:val="0"/>
          <w:color w:val="auto"/>
          <w:spacing w:val="0"/>
          <w:sz w:val="24"/>
          <w:szCs w:val="24"/>
          <w:lang w:val="en-US" w:eastAsia="zh-CN"/>
        </w:rPr>
        <w:t>旅游度假区</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auto"/>
          <w:spacing w:val="0"/>
          <w:sz w:val="27"/>
          <w:szCs w:val="27"/>
        </w:rPr>
      </w:pPr>
      <w:r>
        <w:rPr>
          <w:rFonts w:hint="eastAsia" w:ascii="宋体" w:hAnsi="宋体" w:eastAsia="宋体" w:cs="宋体"/>
          <w:i w:val="0"/>
          <w:iCs w:val="0"/>
          <w:caps w:val="0"/>
          <w:color w:val="auto"/>
          <w:spacing w:val="0"/>
          <w:sz w:val="24"/>
          <w:szCs w:val="24"/>
        </w:rPr>
        <w:t>联系人：</w:t>
      </w:r>
      <w:r>
        <w:rPr>
          <w:rFonts w:hint="eastAsia" w:cs="宋体"/>
          <w:i w:val="0"/>
          <w:iCs w:val="0"/>
          <w:caps w:val="0"/>
          <w:color w:val="auto"/>
          <w:spacing w:val="0"/>
          <w:sz w:val="24"/>
          <w:szCs w:val="24"/>
          <w:lang w:val="en-US" w:eastAsia="zh-CN"/>
        </w:rPr>
        <w:t>朱工</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auto"/>
          <w:spacing w:val="0"/>
          <w:sz w:val="27"/>
          <w:szCs w:val="27"/>
          <w:lang w:val="en-US" w:eastAsia="zh-CN"/>
        </w:rPr>
      </w:pPr>
      <w:r>
        <w:rPr>
          <w:rFonts w:hint="eastAsia" w:ascii="宋体" w:hAnsi="宋体" w:eastAsia="宋体" w:cs="宋体"/>
          <w:i w:val="0"/>
          <w:iCs w:val="0"/>
          <w:caps w:val="0"/>
          <w:color w:val="auto"/>
          <w:spacing w:val="0"/>
          <w:sz w:val="24"/>
          <w:szCs w:val="24"/>
        </w:rPr>
        <w:t>电话：</w:t>
      </w:r>
      <w:r>
        <w:rPr>
          <w:rFonts w:hint="eastAsia" w:cs="宋体"/>
          <w:i w:val="0"/>
          <w:iCs w:val="0"/>
          <w:caps w:val="0"/>
          <w:color w:val="auto"/>
          <w:spacing w:val="0"/>
          <w:sz w:val="24"/>
          <w:szCs w:val="24"/>
          <w:lang w:val="en-US" w:eastAsia="zh-CN"/>
        </w:rPr>
        <w:t>19143680733</w:t>
      </w:r>
    </w:p>
    <w:p w14:paraId="72695006">
      <w:pPr>
        <w:autoSpaceDE w:val="0"/>
        <w:autoSpaceDN w:val="0"/>
        <w:adjustRightInd w:val="0"/>
        <w:spacing w:line="360" w:lineRule="auto"/>
        <w:jc w:val="left"/>
        <w:rPr>
          <w:rFonts w:hint="eastAsia" w:ascii="宋体" w:hAnsi="宋体"/>
          <w:color w:val="auto"/>
          <w:kern w:val="0"/>
          <w:sz w:val="24"/>
          <w:highlight w:val="none"/>
          <w:lang w:val="zh-CN"/>
        </w:rPr>
      </w:pPr>
    </w:p>
    <w:p w14:paraId="7CE89A70">
      <w:pPr>
        <w:autoSpaceDE w:val="0"/>
        <w:autoSpaceDN w:val="0"/>
        <w:adjustRightInd w:val="0"/>
        <w:spacing w:line="360" w:lineRule="auto"/>
        <w:jc w:val="left"/>
        <w:rPr>
          <w:rFonts w:hint="eastAsia" w:ascii="宋体" w:hAnsi="宋体"/>
          <w:color w:val="auto"/>
          <w:kern w:val="0"/>
          <w:sz w:val="24"/>
          <w:highlight w:val="none"/>
          <w:lang w:val="zh-CN"/>
        </w:rPr>
      </w:pPr>
    </w:p>
    <w:p w14:paraId="66BE3F45">
      <w:pPr>
        <w:autoSpaceDE w:val="0"/>
        <w:autoSpaceDN w:val="0"/>
        <w:adjustRightInd w:val="0"/>
        <w:spacing w:line="360" w:lineRule="auto"/>
        <w:jc w:val="left"/>
        <w:rPr>
          <w:rFonts w:hint="eastAsia" w:ascii="宋体" w:hAnsi="宋体"/>
          <w:bCs/>
          <w:color w:val="auto"/>
          <w:sz w:val="24"/>
          <w:highlight w:val="none"/>
        </w:rPr>
      </w:pPr>
    </w:p>
    <w:p w14:paraId="7D758BE2">
      <w:pPr>
        <w:pStyle w:val="3"/>
        <w:spacing w:line="500" w:lineRule="exact"/>
        <w:rPr>
          <w:rFonts w:hint="eastAsia" w:ascii="宋体" w:hAnsi="宋体" w:eastAsia="宋体"/>
          <w:color w:val="auto"/>
          <w:highlight w:val="none"/>
        </w:rPr>
      </w:pPr>
      <w:bookmarkStart w:id="8" w:name="_Hlt510343011"/>
      <w:bookmarkStart w:id="9" w:name="_Hlt510342998"/>
      <w:bookmarkStart w:id="10" w:name="_Toc328559327"/>
      <w:bookmarkStart w:id="11" w:name="_Toc273602340"/>
      <w:bookmarkStart w:id="12" w:name="_Toc245092760"/>
      <w:bookmarkStart w:id="13" w:name="_Toc229413619"/>
    </w:p>
    <w:p w14:paraId="2DD30002">
      <w:pPr>
        <w:rPr>
          <w:rFonts w:hint="eastAsia" w:ascii="宋体" w:hAnsi="宋体" w:eastAsia="宋体"/>
          <w:color w:val="auto"/>
          <w:highlight w:val="none"/>
        </w:rPr>
      </w:pPr>
    </w:p>
    <w:p w14:paraId="73E40F8F">
      <w:pPr>
        <w:pStyle w:val="53"/>
        <w:rPr>
          <w:rFonts w:hint="eastAsia" w:ascii="宋体" w:hAnsi="宋体" w:eastAsia="宋体"/>
          <w:color w:val="auto"/>
          <w:highlight w:val="none"/>
        </w:rPr>
      </w:pPr>
    </w:p>
    <w:p w14:paraId="4125A3A0">
      <w:pPr>
        <w:pStyle w:val="39"/>
        <w:rPr>
          <w:rFonts w:hint="eastAsia" w:ascii="宋体" w:hAnsi="宋体" w:eastAsia="宋体"/>
          <w:color w:val="auto"/>
          <w:highlight w:val="none"/>
        </w:rPr>
      </w:pPr>
    </w:p>
    <w:p w14:paraId="7601D5F5">
      <w:pPr>
        <w:pStyle w:val="39"/>
        <w:rPr>
          <w:rFonts w:hint="eastAsia" w:ascii="宋体" w:hAnsi="宋体" w:eastAsia="宋体"/>
          <w:color w:val="auto"/>
          <w:highlight w:val="none"/>
        </w:rPr>
      </w:pPr>
    </w:p>
    <w:p w14:paraId="10CF44E5">
      <w:pPr>
        <w:rPr>
          <w:rFonts w:hint="eastAsia" w:ascii="宋体" w:hAnsi="宋体" w:eastAsia="宋体"/>
          <w:color w:val="auto"/>
          <w:highlight w:val="none"/>
        </w:rPr>
      </w:pPr>
    </w:p>
    <w:p w14:paraId="51F96FFE">
      <w:pPr>
        <w:pStyle w:val="3"/>
        <w:spacing w:before="0" w:after="0" w:line="240" w:lineRule="auto"/>
        <w:ind w:firstLine="0"/>
        <w:rPr>
          <w:rFonts w:hint="eastAsia" w:ascii="宋体" w:hAnsi="宋体" w:eastAsia="宋体"/>
          <w:b w:val="0"/>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rPr>
        <w:t>第二章 投标人须</w:t>
      </w:r>
      <w:bookmarkEnd w:id="8"/>
      <w:r>
        <w:rPr>
          <w:rFonts w:hint="eastAsia" w:ascii="宋体" w:hAnsi="宋体" w:eastAsia="宋体"/>
          <w:color w:val="auto"/>
          <w:highlight w:val="none"/>
        </w:rPr>
        <w:t>知前</w:t>
      </w:r>
      <w:bookmarkEnd w:id="9"/>
      <w:r>
        <w:rPr>
          <w:rFonts w:hint="eastAsia" w:ascii="宋体" w:hAnsi="宋体" w:eastAsia="宋体"/>
          <w:color w:val="auto"/>
          <w:highlight w:val="none"/>
        </w:rPr>
        <w:t>附表</w:t>
      </w:r>
      <w:bookmarkEnd w:id="10"/>
      <w:bookmarkEnd w:id="11"/>
      <w:bookmarkEnd w:id="1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3"/>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3"/>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ascii="宋体" w:hAnsi="宋体"/>
                <w:color w:val="auto"/>
                <w:sz w:val="24"/>
                <w:szCs w:val="18"/>
                <w:highlight w:val="none"/>
              </w:rPr>
              <w:t>合肥市包河区乡村振兴投资有限公司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3"/>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ascii="宋体" w:hAnsi="宋体"/>
                <w:color w:val="auto"/>
                <w:sz w:val="24"/>
                <w:szCs w:val="18"/>
                <w:highlight w:val="none"/>
              </w:rPr>
              <w:t>合肥市包河区乡村振兴投资有限公司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u w:val="none"/>
                <w:lang w:eastAsia="zh-CN"/>
              </w:rPr>
            </w:pPr>
            <w:r>
              <w:rPr>
                <w:rFonts w:hint="eastAsia" w:ascii="宋体" w:hAnsi="宋体"/>
                <w:color w:val="auto"/>
                <w:sz w:val="24"/>
                <w:szCs w:val="18"/>
                <w:highlight w:val="none"/>
                <w:u w:val="none"/>
                <w:lang w:val="en-US" w:eastAsia="zh-CN"/>
              </w:rPr>
              <w:t>2026年磨滩景区多巴胺沙滩环线乔木移植工程</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28</w:t>
            </w:r>
            <w:r>
              <w:rPr>
                <w:rFonts w:hint="eastAsia" w:ascii="宋体" w:hAnsi="宋体" w:eastAsia="宋体" w:cs="宋体"/>
                <w:b/>
                <w:color w:val="auto"/>
                <w:sz w:val="24"/>
                <w:szCs w:val="24"/>
                <w:highlight w:val="none"/>
                <w:lang w:val="en-US" w:eastAsia="zh-CN"/>
              </w:rPr>
              <w:t>万元（含税）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工程施工</w:t>
            </w:r>
            <w:r>
              <w:rPr>
                <w:rFonts w:hint="eastAsia" w:ascii="宋体" w:hAnsi="宋体" w:eastAsia="宋体" w:cs="宋体"/>
                <w:color w:val="auto"/>
                <w:sz w:val="24"/>
                <w:szCs w:val="24"/>
                <w:highlight w:val="none"/>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3"/>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648EC6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val="0"/>
                <w:caps w:val="0"/>
                <w:color w:val="auto"/>
                <w:kern w:val="2"/>
                <w:sz w:val="24"/>
                <w:szCs w:val="24"/>
                <w:highlight w:val="none"/>
                <w:lang w:val="en-US" w:eastAsia="zh-CN" w:bidi="ar-SA"/>
              </w:rPr>
              <w:t>完成全部工程量、通过竣工验收并移交招标人后支付至已完工程量的8</w:t>
            </w:r>
            <w:r>
              <w:rPr>
                <w:rFonts w:hint="eastAsia" w:cs="宋体"/>
                <w:b w:val="0"/>
                <w:bCs w:val="0"/>
                <w:caps w:val="0"/>
                <w:color w:val="auto"/>
                <w:kern w:val="2"/>
                <w:sz w:val="24"/>
                <w:szCs w:val="24"/>
                <w:highlight w:val="none"/>
                <w:lang w:val="en-US" w:eastAsia="zh-CN" w:bidi="ar-SA"/>
              </w:rPr>
              <w:t>5</w:t>
            </w:r>
            <w:r>
              <w:rPr>
                <w:rFonts w:hint="eastAsia" w:ascii="宋体" w:hAnsi="宋体" w:eastAsia="宋体" w:cs="宋体"/>
                <w:b w:val="0"/>
                <w:bCs w:val="0"/>
                <w:caps w:val="0"/>
                <w:color w:val="auto"/>
                <w:kern w:val="2"/>
                <w:sz w:val="24"/>
                <w:szCs w:val="24"/>
                <w:highlight w:val="none"/>
                <w:lang w:val="en-US" w:eastAsia="zh-CN" w:bidi="ar-SA"/>
              </w:rPr>
              <w:t>%</w:t>
            </w:r>
            <w:r>
              <w:rPr>
                <w:rFonts w:hint="eastAsia" w:cs="宋体"/>
                <w:b w:val="0"/>
                <w:bCs w:val="0"/>
                <w:caps w:val="0"/>
                <w:color w:val="auto"/>
                <w:kern w:val="2"/>
                <w:sz w:val="24"/>
                <w:szCs w:val="24"/>
                <w:highlight w:val="none"/>
                <w:lang w:val="en-US" w:eastAsia="zh-CN" w:bidi="ar-SA"/>
              </w:rPr>
              <w:t>（不含养护费）</w:t>
            </w:r>
            <w:r>
              <w:rPr>
                <w:rFonts w:hint="eastAsia" w:ascii="宋体" w:hAnsi="宋体" w:eastAsia="宋体" w:cs="宋体"/>
                <w:b w:val="0"/>
                <w:bCs w:val="0"/>
                <w:caps w:val="0"/>
                <w:color w:val="auto"/>
                <w:kern w:val="2"/>
                <w:sz w:val="24"/>
                <w:szCs w:val="24"/>
                <w:highlight w:val="none"/>
                <w:lang w:val="en-US" w:eastAsia="zh-CN" w:bidi="ar-SA"/>
              </w:rPr>
              <w:t>；结算审计完成后付至审定价款的97%</w:t>
            </w:r>
            <w:r>
              <w:rPr>
                <w:rFonts w:hint="eastAsia" w:cs="宋体"/>
                <w:b w:val="0"/>
                <w:bCs w:val="0"/>
                <w:caps w:val="0"/>
                <w:color w:val="auto"/>
                <w:kern w:val="2"/>
                <w:sz w:val="24"/>
                <w:szCs w:val="24"/>
                <w:highlight w:val="none"/>
                <w:lang w:val="en-US" w:eastAsia="zh-CN" w:bidi="ar-SA"/>
              </w:rPr>
              <w:t>（不含养护费）</w:t>
            </w:r>
            <w:r>
              <w:rPr>
                <w:rFonts w:hint="eastAsia" w:ascii="宋体" w:hAnsi="宋体" w:eastAsia="宋体" w:cs="宋体"/>
                <w:b w:val="0"/>
                <w:bCs w:val="0"/>
                <w:caps w:val="0"/>
                <w:color w:val="auto"/>
                <w:kern w:val="2"/>
                <w:sz w:val="24"/>
                <w:szCs w:val="24"/>
                <w:highlight w:val="none"/>
                <w:lang w:val="en-US" w:eastAsia="zh-CN" w:bidi="ar-SA"/>
              </w:rPr>
              <w:t>；其余3%为工程质保金，质保期按合同约定，缺陷责任期满后无质量问题后，一次性付清（无息）。</w:t>
            </w:r>
            <w:r>
              <w:rPr>
                <w:rFonts w:hint="eastAsia" w:ascii="宋体" w:hAnsi="宋体" w:eastAsia="宋体" w:cs="宋体"/>
                <w:b w:val="0"/>
                <w:bCs w:val="0"/>
                <w:kern w:val="2"/>
                <w:sz w:val="24"/>
                <w:szCs w:val="24"/>
                <w:lang w:val="en-US" w:eastAsia="zh-CN" w:bidi="ar-SA"/>
              </w:rPr>
              <w:t>养护费用支付：</w:t>
            </w:r>
            <w:r>
              <w:rPr>
                <w:rFonts w:hint="eastAsia" w:ascii="宋体" w:hAnsi="宋体" w:cs="宋体"/>
                <w:b w:val="0"/>
                <w:bCs w:val="0"/>
                <w:kern w:val="2"/>
                <w:sz w:val="24"/>
                <w:szCs w:val="24"/>
                <w:lang w:val="en-US" w:eastAsia="zh-CN" w:bidi="ar-SA"/>
              </w:rPr>
              <w:t>养护期到期</w:t>
            </w:r>
            <w:r>
              <w:rPr>
                <w:rFonts w:hint="eastAsia" w:ascii="宋体" w:hAnsi="宋体" w:eastAsia="宋体" w:cs="宋体"/>
                <w:b w:val="0"/>
                <w:bCs w:val="0"/>
                <w:kern w:val="2"/>
                <w:sz w:val="24"/>
                <w:szCs w:val="24"/>
                <w:lang w:val="en-US" w:eastAsia="zh-CN" w:bidi="ar-SA"/>
              </w:rPr>
              <w:t>经甲方及物业养护验收合格后付养护费用的100%（无息）。</w:t>
            </w:r>
          </w:p>
          <w:p w14:paraId="252394FA">
            <w:pPr>
              <w:pStyle w:val="103"/>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3"/>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投标人提交的投标文件中如有关于付款条件的表述与招标文件规定不符，将被视为实质性不响应，将导致投标无效。</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eastAsia="宋体" w:cs="宋体"/>
                <w:bCs/>
                <w:color w:val="auto"/>
                <w:sz w:val="24"/>
                <w:szCs w:val="24"/>
                <w:highlight w:val="none"/>
                <w:u w:val="single"/>
              </w:rPr>
              <w:t>30</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5"/>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highlight w:val="none"/>
              </w:rPr>
            </w:pPr>
            <w:r>
              <w:rPr>
                <w:rFonts w:hint="eastAsia"/>
                <w:color w:val="auto"/>
                <w:highlight w:val="none"/>
              </w:rPr>
              <w:t>是否要求投标人递交投标保证金：</w:t>
            </w:r>
          </w:p>
          <w:p w14:paraId="068F785F">
            <w:pPr>
              <w:snapToGrid w:val="0"/>
              <w:rPr>
                <w:rFonts w:hint="eastAsia"/>
                <w:color w:val="auto"/>
                <w:highlight w:val="none"/>
              </w:rPr>
            </w:pPr>
            <w:r>
              <w:rPr>
                <w:rFonts w:hint="eastAsia"/>
                <w:color w:val="auto"/>
                <w:highlight w:val="none"/>
              </w:rPr>
              <w:sym w:font="Wingdings 2" w:char="0052"/>
            </w:r>
            <w:r>
              <w:rPr>
                <w:rFonts w:hint="eastAsia"/>
                <w:color w:val="auto"/>
                <w:highlight w:val="none"/>
                <w:lang w:val="en-US" w:eastAsia="zh-CN"/>
              </w:rPr>
              <w:t>不</w:t>
            </w:r>
            <w:r>
              <w:rPr>
                <w:rFonts w:hint="eastAsia"/>
                <w:color w:val="auto"/>
                <w:highlight w:val="none"/>
              </w:rPr>
              <w:t>要求</w:t>
            </w:r>
          </w:p>
          <w:p w14:paraId="061B0798">
            <w:pPr>
              <w:pStyle w:val="53"/>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22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8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139FB0D">
            <w:pPr>
              <w:pStyle w:val="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p w14:paraId="601A9F25">
            <w:pPr>
              <w:pStyle w:val="21"/>
              <w:rPr>
                <w:rFonts w:hint="eastAsia" w:ascii="宋体" w:hAnsi="宋体" w:eastAsia="宋体" w:cs="宋体"/>
                <w:b/>
                <w:bCs/>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、技术标、商务标必须分别封装,密封提交。</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15</w:t>
            </w:r>
            <w:r>
              <w:rPr>
                <w:rFonts w:hint="eastAsia" w:ascii="宋体" w:hAnsi="宋体"/>
                <w:bCs/>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 xml:space="preserve"> 至北京时间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22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22</w:t>
            </w:r>
            <w:bookmarkStart w:id="543" w:name="_GoBack"/>
            <w:bookmarkEnd w:id="543"/>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w:t>
            </w:r>
            <w:r>
              <w:rPr>
                <w:rFonts w:hint="default" w:ascii="宋体" w:hAnsi="宋体"/>
                <w:bCs/>
                <w:color w:val="auto"/>
                <w:sz w:val="24"/>
                <w:highlight w:val="none"/>
                <w:u w:val="single"/>
                <w:lang w:val="en-US" w:eastAsia="zh-CN"/>
              </w:rPr>
              <w:t>10</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eastAsia="宋体" w:cs="宋体"/>
                <w:i w:val="0"/>
                <w:iCs w:val="0"/>
                <w:caps w:val="0"/>
                <w:color w:val="auto"/>
                <w:spacing w:val="0"/>
                <w:sz w:val="24"/>
                <w:szCs w:val="24"/>
                <w:highlight w:val="none"/>
              </w:rPr>
              <w:t>合肥市包河区大圩镇磨滩</w:t>
            </w:r>
            <w:r>
              <w:rPr>
                <w:rFonts w:hint="eastAsia" w:cs="宋体"/>
                <w:i w:val="0"/>
                <w:iCs w:val="0"/>
                <w:caps w:val="0"/>
                <w:color w:val="auto"/>
                <w:spacing w:val="0"/>
                <w:sz w:val="24"/>
                <w:szCs w:val="24"/>
                <w:highlight w:val="none"/>
                <w:lang w:val="en-US" w:eastAsia="zh-CN"/>
              </w:rPr>
              <w:t>旅游度假区办公楼三楼会议室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简易中位值法</w:t>
            </w:r>
            <w:r>
              <w:rPr>
                <w:rFonts w:hint="eastAsia" w:ascii="宋体" w:hAnsi="宋体" w:eastAsia="宋体" w:cs="宋体"/>
                <w:color w:val="auto"/>
                <w:sz w:val="24"/>
                <w:szCs w:val="24"/>
                <w:highlight w:val="none"/>
              </w:rPr>
              <w:t>，详见招标文件第一部分第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0E3076EA">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（1）金额：中标合同价的2% </w:t>
            </w:r>
          </w:p>
          <w:p w14:paraId="1EFB612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（2）缴纳形式：</w:t>
            </w:r>
            <w:r>
              <w:rPr>
                <w:rFonts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银行转账 </w:t>
            </w:r>
            <w:r>
              <w:rPr>
                <w:rFonts w:hint="default"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银行电汇 </w:t>
            </w:r>
            <w:r>
              <w:rPr>
                <w:rFonts w:hint="default"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银行保函 </w:t>
            </w:r>
          </w:p>
          <w:p w14:paraId="60935C0D">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（3）具体要求：采用银行保函的，应为不可撤销、不可转让的见索即付独立保函。 </w:t>
            </w:r>
          </w:p>
          <w:p w14:paraId="38ACA3D5">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（4）收受人：合肥市包河区乡村振兴投资有限公司 </w:t>
            </w:r>
          </w:p>
          <w:p w14:paraId="1E34865D">
            <w:pPr>
              <w:keepNext w:val="0"/>
              <w:keepLines w:val="0"/>
              <w:widowControl/>
              <w:suppressLineNumbers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lang w:val="en-US" w:eastAsia="zh-CN" w:bidi="ar"/>
              </w:rPr>
              <w:t>（5）其他要求：本项目工程验收合格后 30 日内退还</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投标文件中须提供投标人信用承诺（格式见第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章“投标人信用承诺”）【“投标人信用承诺”须盖投标人公章（或投标人电子签章）】。</w:t>
            </w:r>
            <w:r>
              <w:rPr>
                <w:rFonts w:hint="eastAsia" w:ascii="宋体" w:hAnsi="宋体" w:eastAsia="宋体" w:cs="宋体"/>
                <w:b/>
                <w:color w:val="auto"/>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审。</w:t>
            </w:r>
          </w:p>
        </w:tc>
      </w:tr>
      <w:tr w14:paraId="5256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66" w:type="dxa"/>
            <w:noWrap w:val="0"/>
            <w:vAlign w:val="center"/>
          </w:tcPr>
          <w:p w14:paraId="73EB8BF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910" w:type="dxa"/>
            <w:noWrap w:val="0"/>
            <w:vAlign w:val="center"/>
          </w:tcPr>
          <w:p w14:paraId="27F800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本项目提供除电子版招标文件以外的其他资料</w:t>
            </w:r>
          </w:p>
        </w:tc>
        <w:tc>
          <w:tcPr>
            <w:tcW w:w="6569" w:type="dxa"/>
            <w:noWrap w:val="0"/>
            <w:vAlign w:val="center"/>
          </w:tcPr>
          <w:p w14:paraId="38A5A9C2">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电子版图纸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光盘</w:t>
            </w:r>
          </w:p>
        </w:tc>
      </w:tr>
      <w:tr w14:paraId="7F4D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6" w:type="dxa"/>
            <w:noWrap w:val="0"/>
            <w:vAlign w:val="center"/>
          </w:tcPr>
          <w:p w14:paraId="41F2782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910" w:type="dxa"/>
            <w:noWrap w:val="0"/>
            <w:vAlign w:val="center"/>
          </w:tcPr>
          <w:p w14:paraId="3385137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工程重难点</w:t>
            </w:r>
          </w:p>
        </w:tc>
        <w:tc>
          <w:tcPr>
            <w:tcW w:w="6569" w:type="dxa"/>
            <w:noWrap w:val="0"/>
            <w:vAlign w:val="center"/>
          </w:tcPr>
          <w:p w14:paraId="45BE55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中标人在工程施工中必须严格执行本项目招标文件中要求的技术标准和要求，遵守发包人制定的项目管理相关制度规定，满足发包人的各项管理规定要求。本项目工程管理严格按照招标人《滨湖集团安全生产管理办法》《滨湖集团工程管理检查制度》《滨湖集团建设工程合约单位违约行为违约金支付标准管理办法》《滨湖集团工程变更及签证管理办法》《滨湖集团工程款支付申请管理办法》《滨湖集团工程结算管理办法》《园林绿化工程施工及验收规范》(CJJ82-2012)等相关制度</w:t>
            </w:r>
            <w:r>
              <w:rPr>
                <w:rFonts w:hint="eastAsia" w:ascii="宋体" w:hAnsi="宋体" w:cs="宋体"/>
                <w:bCs/>
                <w:color w:val="auto"/>
                <w:sz w:val="24"/>
                <w:szCs w:val="24"/>
                <w:lang w:val="en-US" w:eastAsia="zh-CN"/>
              </w:rPr>
              <w:t>规范</w:t>
            </w:r>
            <w:r>
              <w:rPr>
                <w:rFonts w:hint="eastAsia" w:ascii="宋体" w:hAnsi="宋体" w:eastAsia="宋体" w:cs="宋体"/>
                <w:bCs/>
                <w:color w:val="auto"/>
                <w:sz w:val="24"/>
                <w:szCs w:val="24"/>
              </w:rPr>
              <w:t>执行；</w:t>
            </w:r>
          </w:p>
          <w:p w14:paraId="5415A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该项目任务重、工期紧，中标人需合理布置施工进度计划，提前做好材料采购计划。承包人在收到发包人发出的开工令后，须严格按照合同工期要求，保质保量按期完成工程全部内容，并通过竣工验收。每延期竣工一天，承包人支付发包人</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000元/天的违约金；延期竣工15日以上的，发包人有权解除合同，并追究连带损失（因非承包人原因引起的逾期除外）</w:t>
            </w:r>
            <w:r>
              <w:rPr>
                <w:rFonts w:hint="eastAsia" w:ascii="宋体" w:hAnsi="宋体" w:cs="宋体"/>
                <w:bCs/>
                <w:color w:val="auto"/>
                <w:sz w:val="24"/>
                <w:szCs w:val="24"/>
                <w:lang w:eastAsia="zh-CN"/>
              </w:rPr>
              <w:t>；</w:t>
            </w:r>
          </w:p>
          <w:p w14:paraId="678FC2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3、施工过程注意成品保护，因成品保护措施不到位造成的相应损失，由投标人自行承担</w:t>
            </w:r>
            <w:r>
              <w:rPr>
                <w:rFonts w:hint="eastAsia" w:ascii="宋体" w:hAnsi="宋体" w:cs="宋体"/>
                <w:bCs/>
                <w:color w:val="auto"/>
                <w:sz w:val="24"/>
                <w:szCs w:val="24"/>
                <w:lang w:val="en-US" w:eastAsia="zh-CN"/>
              </w:rPr>
              <w:t>；</w:t>
            </w:r>
          </w:p>
          <w:p w14:paraId="27F66AFA">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项目位于景区范围内，需配合运营做好安全文明施工。</w:t>
            </w:r>
          </w:p>
        </w:tc>
      </w:tr>
      <w:bookmarkEnd w:id="13"/>
    </w:tbl>
    <w:p w14:paraId="23DFBB71">
      <w:pPr>
        <w:pStyle w:val="3"/>
        <w:keepNext/>
        <w:keepLines/>
        <w:pageBreakBefore/>
        <w:widowControl w:val="0"/>
        <w:kinsoku/>
        <w:wordWrap/>
        <w:overflowPunct/>
        <w:topLinePunct w:val="0"/>
        <w:autoSpaceDE/>
        <w:autoSpaceDN/>
        <w:bidi w:val="0"/>
        <w:adjustRightInd/>
        <w:snapToGrid/>
        <w:spacing w:line="500" w:lineRule="exact"/>
        <w:ind w:firstLine="629"/>
        <w:textAlignment w:val="auto"/>
        <w:rPr>
          <w:rFonts w:hint="eastAsia" w:ascii="黑体"/>
          <w:color w:val="auto"/>
          <w:highlight w:val="none"/>
        </w:rPr>
      </w:pPr>
      <w:bookmarkStart w:id="14" w:name="_Hlt519045778"/>
      <w:bookmarkEnd w:id="14"/>
      <w:bookmarkStart w:id="15" w:name="_Hlt509650027"/>
      <w:bookmarkEnd w:id="15"/>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lang w:val="en-US" w:eastAsia="zh-CN"/>
        </w:rPr>
        <w:t>三</w:t>
      </w:r>
      <w:r>
        <w:rPr>
          <w:rFonts w:hint="eastAsia" w:ascii="宋体" w:hAnsi="宋体" w:eastAsia="宋体"/>
          <w:color w:val="auto"/>
          <w:highlight w:val="none"/>
        </w:rPr>
        <w:t>章 评标办法</w:t>
      </w:r>
    </w:p>
    <w:p w14:paraId="211D6698">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第一章    总  则</w:t>
      </w:r>
    </w:p>
    <w:p w14:paraId="1957BC07">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 xml:space="preserve">第二条 </w:t>
      </w:r>
      <w:r>
        <w:rPr>
          <w:rFonts w:hint="eastAsia" w:ascii="宋体" w:hAnsi="宋体"/>
          <w:color w:val="auto"/>
          <w:sz w:val="24"/>
          <w:highlight w:val="none"/>
        </w:rPr>
        <w:t>本次项目评标采用</w:t>
      </w:r>
      <w:r>
        <w:rPr>
          <w:rFonts w:hint="eastAsia" w:ascii="宋体" w:hAnsi="宋体"/>
          <w:b/>
          <w:color w:val="auto"/>
          <w:sz w:val="24"/>
          <w:highlight w:val="none"/>
          <w:lang w:eastAsia="zh-CN"/>
        </w:rPr>
        <w:t>简易中位值</w:t>
      </w:r>
      <w:r>
        <w:rPr>
          <w:rFonts w:hint="eastAsia" w:ascii="宋体" w:hAnsi="宋体"/>
          <w:b/>
          <w:color w:val="auto"/>
          <w:sz w:val="24"/>
          <w:highlight w:val="none"/>
        </w:rPr>
        <w:t>法</w:t>
      </w:r>
      <w:r>
        <w:rPr>
          <w:rFonts w:hint="eastAsia" w:ascii="宋体" w:hAnsi="宋体"/>
          <w:color w:val="auto"/>
          <w:sz w:val="24"/>
          <w:highlight w:val="none"/>
        </w:rPr>
        <w:t>作为对投标人标书的比较方法</w:t>
      </w:r>
      <w:r>
        <w:rPr>
          <w:rFonts w:hint="eastAsia" w:ascii="宋体" w:hAnsi="宋体" w:cs="宋体-18030"/>
          <w:color w:val="auto"/>
          <w:sz w:val="24"/>
          <w:highlight w:val="none"/>
        </w:rPr>
        <w:t>。</w:t>
      </w:r>
    </w:p>
    <w:p w14:paraId="48C752EA">
      <w:pPr>
        <w:adjustRightInd w:val="0"/>
        <w:snapToGrid w:val="0"/>
        <w:spacing w:line="360" w:lineRule="auto"/>
        <w:ind w:left="-61" w:leftChars="-29" w:right="-10" w:firstLine="602" w:firstLineChars="250"/>
        <w:rPr>
          <w:rFonts w:hint="eastAsia" w:ascii="宋体" w:hAnsi="宋体"/>
          <w:color w:val="auto"/>
          <w:sz w:val="24"/>
          <w:highlight w:val="none"/>
        </w:rPr>
      </w:pPr>
      <w:r>
        <w:rPr>
          <w:rFonts w:hint="eastAsia" w:ascii="宋体" w:hAnsi="宋体"/>
          <w:b/>
          <w:color w:val="auto"/>
          <w:sz w:val="24"/>
          <w:highlight w:val="none"/>
        </w:rPr>
        <w:t xml:space="preserve">第三条 </w:t>
      </w:r>
      <w:r>
        <w:rPr>
          <w:rFonts w:hint="eastAsia" w:ascii="宋体" w:hAnsi="宋体"/>
          <w:color w:val="auto"/>
          <w:sz w:val="24"/>
          <w:highlight w:val="none"/>
        </w:rPr>
        <w:t>招标人将</w:t>
      </w:r>
      <w:r>
        <w:rPr>
          <w:rFonts w:hint="eastAsia" w:ascii="宋体" w:hAnsi="宋体"/>
          <w:bCs/>
          <w:color w:val="auto"/>
          <w:sz w:val="24"/>
          <w:highlight w:val="none"/>
        </w:rPr>
        <w:t>组织</w:t>
      </w:r>
      <w:r>
        <w:rPr>
          <w:rFonts w:hint="eastAsia" w:ascii="宋体" w:hAnsi="宋体"/>
          <w:color w:val="auto"/>
          <w:sz w:val="24"/>
          <w:highlight w:val="none"/>
        </w:rPr>
        <w:t>不少于</w:t>
      </w:r>
      <w:r>
        <w:rPr>
          <w:rFonts w:hint="eastAsia" w:ascii="宋体" w:hAnsi="宋体"/>
          <w:b/>
          <w:color w:val="auto"/>
          <w:sz w:val="24"/>
          <w:highlight w:val="none"/>
          <w:u w:val="single"/>
        </w:rPr>
        <w:t>3</w:t>
      </w:r>
      <w:r>
        <w:rPr>
          <w:rFonts w:hint="eastAsia" w:ascii="宋体" w:hAnsi="宋体"/>
          <w:color w:val="auto"/>
          <w:sz w:val="24"/>
          <w:highlight w:val="none"/>
        </w:rPr>
        <w:t>人组成的评标委员会（以下简称评委会），负责本项目的评标工作。招标人内部监督小组，负责评标过程中的记录、联络及评委会交办的其他工作。</w:t>
      </w:r>
    </w:p>
    <w:p w14:paraId="615C2551">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第四条 </w:t>
      </w:r>
      <w:r>
        <w:rPr>
          <w:rFonts w:hint="eastAsia" w:ascii="宋体" w:hAnsi="宋体"/>
          <w:color w:val="auto"/>
          <w:sz w:val="24"/>
          <w:highlight w:val="none"/>
        </w:rPr>
        <w:t>评委会按照“客观公正，实事求是”的原则，评价参加本次招标的投标人所提供的服务对招标文件的符合性及响应性。</w:t>
      </w:r>
    </w:p>
    <w:p w14:paraId="174D167D">
      <w:pPr>
        <w:adjustRightInd w:val="0"/>
        <w:snapToGrid w:val="0"/>
        <w:spacing w:line="360" w:lineRule="auto"/>
        <w:ind w:right="-10"/>
        <w:jc w:val="center"/>
        <w:rPr>
          <w:rFonts w:hint="eastAsia" w:ascii="宋体" w:hAnsi="宋体"/>
          <w:color w:val="auto"/>
          <w:sz w:val="24"/>
          <w:highlight w:val="none"/>
        </w:rPr>
      </w:pPr>
      <w:r>
        <w:rPr>
          <w:rFonts w:hint="eastAsia" w:ascii="宋体" w:hAnsi="宋体"/>
          <w:b/>
          <w:color w:val="auto"/>
          <w:sz w:val="24"/>
          <w:highlight w:val="none"/>
        </w:rPr>
        <w:t>二、  评标程序及评审细则</w:t>
      </w:r>
    </w:p>
    <w:p w14:paraId="528B87FF">
      <w:pPr>
        <w:adjustRightInd w:val="0"/>
        <w:snapToGrid w:val="0"/>
        <w:spacing w:line="360" w:lineRule="auto"/>
        <w:ind w:right="-10" w:firstLine="480"/>
        <w:rPr>
          <w:rFonts w:hint="eastAsia" w:ascii="宋体" w:hAnsi="宋体"/>
          <w:color w:val="auto"/>
          <w:sz w:val="24"/>
          <w:highlight w:val="none"/>
        </w:rPr>
      </w:pPr>
      <w:r>
        <w:rPr>
          <w:rFonts w:hint="eastAsia" w:ascii="宋体" w:hAnsi="宋体"/>
          <w:b/>
          <w:color w:val="auto"/>
          <w:sz w:val="24"/>
          <w:highlight w:val="none"/>
        </w:rPr>
        <w:t>第五条</w:t>
      </w:r>
      <w:r>
        <w:rPr>
          <w:rFonts w:hint="eastAsia" w:ascii="宋体" w:hAnsi="宋体"/>
          <w:color w:val="auto"/>
          <w:sz w:val="24"/>
          <w:highlight w:val="none"/>
        </w:rPr>
        <w:t xml:space="preserve"> 评标工作于开标后进行。评委会应认真研究招标文件，至少应了解和熟悉以下内容：</w:t>
      </w:r>
    </w:p>
    <w:p w14:paraId="20FB7C3F">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（一）招标的目标；</w:t>
      </w:r>
    </w:p>
    <w:p w14:paraId="077F8C7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（二）招标项目的范围和性质；</w:t>
      </w:r>
    </w:p>
    <w:p w14:paraId="6C0A647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（三）招标文件中规定的主要服务要求、标准和商务条款；</w:t>
      </w:r>
    </w:p>
    <w:p w14:paraId="644CBB3A">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（四）招标文件规定的评标标准、评标方法和在评标过程中考虑的相关因素。</w:t>
      </w:r>
    </w:p>
    <w:p w14:paraId="339D0F5E">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第六条</w:t>
      </w:r>
      <w:r>
        <w:rPr>
          <w:rFonts w:hint="eastAsia" w:ascii="宋体" w:hAnsi="宋体"/>
          <w:color w:val="auto"/>
          <w:sz w:val="24"/>
          <w:highlight w:val="none"/>
        </w:rPr>
        <w:t xml:space="preserve"> 有效投标应符合以下原则：</w:t>
      </w:r>
    </w:p>
    <w:p w14:paraId="53EB59BC">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（一）满足招标文件的实质性要求；</w:t>
      </w:r>
    </w:p>
    <w:p w14:paraId="52D680FF">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（二）无重大偏离、保留或招标人不能接受的附加条件；</w:t>
      </w:r>
    </w:p>
    <w:p w14:paraId="43AA2BFB">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（三）通过投标初审；</w:t>
      </w:r>
    </w:p>
    <w:p w14:paraId="0B331061">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（四）报价不低于投标成本；</w:t>
      </w:r>
    </w:p>
    <w:p w14:paraId="5B909241">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（五）评委会依据招标文件认定的其他原则。</w:t>
      </w:r>
    </w:p>
    <w:p w14:paraId="6EB6210B">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第七条 </w:t>
      </w:r>
      <w:r>
        <w:rPr>
          <w:rFonts w:hint="eastAsia" w:ascii="宋体" w:hAnsi="宋体" w:cs="宋体-18030"/>
          <w:color w:val="auto"/>
          <w:sz w:val="24"/>
          <w:highlight w:val="none"/>
        </w:rPr>
        <w:t>评委会遵循公开、公平、公正和科学诚信的原则，对所有投标文件均采用相同程序和标准，进行评定。</w:t>
      </w:r>
    </w:p>
    <w:p w14:paraId="0717010A">
      <w:pPr>
        <w:adjustRightInd w:val="0"/>
        <w:snapToGrid w:val="0"/>
        <w:spacing w:line="360" w:lineRule="auto"/>
        <w:ind w:right="-10" w:firstLine="482" w:firstLineChars="200"/>
        <w:rPr>
          <w:rFonts w:hint="eastAsia" w:ascii="宋体" w:hAnsi="宋体" w:cs="宋体-18030"/>
          <w:color w:val="auto"/>
          <w:sz w:val="24"/>
          <w:szCs w:val="22"/>
          <w:highlight w:val="none"/>
        </w:rPr>
      </w:pPr>
      <w:r>
        <w:rPr>
          <w:rFonts w:hint="eastAsia" w:ascii="宋体" w:hAnsi="宋体"/>
          <w:b/>
          <w:color w:val="auto"/>
          <w:sz w:val="24"/>
          <w:highlight w:val="none"/>
        </w:rPr>
        <w:t>第八条</w:t>
      </w:r>
      <w:r>
        <w:rPr>
          <w:rFonts w:hint="eastAsia" w:ascii="宋体" w:hAnsi="宋体" w:cs="宋体-18030"/>
          <w:color w:val="auto"/>
          <w:sz w:val="24"/>
          <w:highlight w:val="none"/>
        </w:rPr>
        <w:t xml:space="preserve"> 评审</w:t>
      </w:r>
      <w:r>
        <w:rPr>
          <w:rFonts w:hint="eastAsia" w:ascii="宋体" w:hAnsi="宋体" w:cs="宋体-18030"/>
          <w:color w:val="auto"/>
          <w:sz w:val="24"/>
          <w:szCs w:val="22"/>
          <w:highlight w:val="none"/>
        </w:rPr>
        <w:t>程序</w:t>
      </w:r>
    </w:p>
    <w:p w14:paraId="37D0079C">
      <w:pPr>
        <w:spacing w:line="360" w:lineRule="auto"/>
        <w:ind w:firstLine="480" w:firstLineChars="200"/>
        <w:rPr>
          <w:rFonts w:hint="eastAsia" w:ascii="宋体" w:hAnsi="宋体"/>
          <w:color w:val="auto"/>
          <w:sz w:val="24"/>
          <w:szCs w:val="24"/>
          <w:highlight w:val="none"/>
        </w:rPr>
      </w:pPr>
      <w:r>
        <w:rPr>
          <w:rFonts w:hint="eastAsia" w:ascii="宋体" w:hAnsi="宋体" w:cs="宋体-18030"/>
          <w:color w:val="auto"/>
          <w:sz w:val="24"/>
          <w:szCs w:val="22"/>
          <w:highlight w:val="none"/>
        </w:rPr>
        <w:t>1、本次评标采用</w:t>
      </w:r>
      <w:r>
        <w:rPr>
          <w:rFonts w:hint="eastAsia" w:ascii="宋体" w:hAnsi="宋体" w:cs="宋体-18030"/>
          <w:color w:val="auto"/>
          <w:sz w:val="24"/>
          <w:szCs w:val="22"/>
          <w:highlight w:val="none"/>
          <w:lang w:eastAsia="zh-CN"/>
        </w:rPr>
        <w:t>简易中位值</w:t>
      </w:r>
      <w:r>
        <w:rPr>
          <w:rFonts w:hint="eastAsia" w:ascii="宋体" w:hAnsi="宋体"/>
          <w:color w:val="auto"/>
          <w:sz w:val="24"/>
          <w:szCs w:val="22"/>
          <w:highlight w:val="none"/>
        </w:rPr>
        <w:t>评审法，</w:t>
      </w:r>
      <w:r>
        <w:rPr>
          <w:rFonts w:hint="eastAsia" w:ascii="宋体" w:hAnsi="宋体"/>
          <w:color w:val="auto"/>
          <w:sz w:val="24"/>
          <w:szCs w:val="24"/>
          <w:highlight w:val="none"/>
        </w:rPr>
        <w:t>即评标委员会遵循规定评标原则，对通过初步筛查的投标人的投标报价，按规定计算办法计算出有效值后，对高于或等于有效值的投标报价从低到高（不高于控制价）依次进行资格后审申请评审、商务标评审和技术标评审，评审均通过的即为第一中标候选人。如投标人资格后审申请评审、商务标和技术标评审中任一项被判定为未通过评审，再按报价由低到高依次进行递补，按顺序依次评出第一中标候选人、第二中标候选人（如有）。</w:t>
      </w:r>
    </w:p>
    <w:p w14:paraId="6687A6B1">
      <w:pPr>
        <w:pStyle w:val="10"/>
        <w:rPr>
          <w:rFonts w:hint="eastAsia"/>
          <w:color w:val="auto"/>
          <w:sz w:val="24"/>
          <w:szCs w:val="24"/>
          <w:highlight w:val="none"/>
        </w:rPr>
      </w:pPr>
      <w:bookmarkStart w:id="17" w:name="_Toc460660143"/>
      <w:bookmarkStart w:id="18" w:name="_Toc471819760"/>
      <w:bookmarkStart w:id="19" w:name="_Toc471820133"/>
      <w:r>
        <w:rPr>
          <w:rFonts w:hint="eastAsia"/>
          <w:color w:val="auto"/>
          <w:sz w:val="24"/>
          <w:szCs w:val="24"/>
          <w:highlight w:val="none"/>
        </w:rPr>
        <w:t>一、初步筛查评审表</w:t>
      </w:r>
      <w:bookmarkEnd w:id="17"/>
      <w:bookmarkEnd w:id="18"/>
      <w:bookmarkEnd w:id="19"/>
    </w:p>
    <w:tbl>
      <w:tblPr>
        <w:tblStyle w:val="54"/>
        <w:tblW w:w="470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438"/>
        <w:gridCol w:w="7643"/>
      </w:tblGrid>
      <w:tr w14:paraId="25B621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791" w:type="pct"/>
            <w:tcBorders>
              <w:top w:val="outset" w:color="auto" w:sz="6" w:space="0"/>
              <w:left w:val="outset" w:color="auto" w:sz="6" w:space="0"/>
              <w:bottom w:val="outset" w:color="auto" w:sz="6" w:space="0"/>
              <w:right w:val="outset" w:color="auto" w:sz="6" w:space="0"/>
            </w:tcBorders>
            <w:noWrap w:val="0"/>
            <w:vAlign w:val="center"/>
          </w:tcPr>
          <w:p w14:paraId="58A4AF06">
            <w:pPr>
              <w:pStyle w:val="105"/>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评审因素</w:t>
            </w:r>
          </w:p>
        </w:tc>
        <w:tc>
          <w:tcPr>
            <w:tcW w:w="4208" w:type="pct"/>
            <w:tcBorders>
              <w:top w:val="outset" w:color="auto" w:sz="6" w:space="0"/>
              <w:left w:val="outset" w:color="auto" w:sz="6" w:space="0"/>
              <w:bottom w:val="outset" w:color="auto" w:sz="6" w:space="0"/>
              <w:right w:val="outset" w:color="auto" w:sz="6" w:space="0"/>
            </w:tcBorders>
            <w:noWrap w:val="0"/>
            <w:vAlign w:val="center"/>
          </w:tcPr>
          <w:p w14:paraId="5C7FE5B4">
            <w:pPr>
              <w:pStyle w:val="105"/>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评审标准</w:t>
            </w:r>
          </w:p>
        </w:tc>
      </w:tr>
      <w:tr w14:paraId="3DE880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restart"/>
            <w:tcBorders>
              <w:top w:val="outset" w:color="auto" w:sz="6" w:space="0"/>
              <w:left w:val="outset" w:color="auto" w:sz="6" w:space="0"/>
              <w:right w:val="outset" w:color="auto" w:sz="6" w:space="0"/>
            </w:tcBorders>
            <w:noWrap w:val="0"/>
            <w:vAlign w:val="center"/>
          </w:tcPr>
          <w:p w14:paraId="49E744A3">
            <w:pPr>
              <w:pStyle w:val="105"/>
              <w:adjustRightInd w:val="0"/>
              <w:snapToGrid w:val="0"/>
              <w:spacing w:line="360" w:lineRule="auto"/>
              <w:jc w:val="center"/>
              <w:rPr>
                <w:rFonts w:hint="eastAsia" w:ascii="宋体" w:hAnsi="宋体" w:eastAsia="宋体"/>
                <w:bCs/>
                <w:color w:val="auto"/>
                <w:highlight w:val="none"/>
                <w:lang w:eastAsia="zh-CN"/>
              </w:rPr>
            </w:pPr>
            <w:r>
              <w:rPr>
                <w:rFonts w:hint="eastAsia" w:ascii="宋体" w:hAnsi="宋体" w:eastAsia="宋体"/>
                <w:bCs/>
                <w:color w:val="auto"/>
                <w:highlight w:val="none"/>
                <w:lang w:eastAsia="zh-CN"/>
              </w:rPr>
              <w:t>初步筛查</w:t>
            </w:r>
          </w:p>
          <w:p w14:paraId="4631CB2A">
            <w:pPr>
              <w:pStyle w:val="105"/>
              <w:adjustRightInd w:val="0"/>
              <w:snapToGrid w:val="0"/>
              <w:spacing w:line="360" w:lineRule="auto"/>
              <w:jc w:val="center"/>
              <w:rPr>
                <w:rFonts w:hint="eastAsia" w:ascii="宋体" w:hAnsi="宋体" w:eastAsia="宋体"/>
                <w:color w:val="auto"/>
                <w:highlight w:val="none"/>
                <w:lang w:eastAsia="zh-CN"/>
              </w:rPr>
            </w:pPr>
            <w:r>
              <w:rPr>
                <w:rFonts w:ascii="宋体" w:hAnsi="宋体" w:eastAsia="宋体"/>
                <w:bCs/>
                <w:color w:val="auto"/>
                <w:highlight w:val="none"/>
              </w:rPr>
              <w:t>评审标准</w:t>
            </w: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4847EAB">
            <w:pPr>
              <w:pStyle w:val="105"/>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投标报价高于或等于控制价的</w:t>
            </w:r>
          </w:p>
        </w:tc>
      </w:tr>
      <w:tr w14:paraId="1CAFB7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32A544D4">
            <w:pPr>
              <w:pStyle w:val="105"/>
              <w:adjustRightInd w:val="0"/>
              <w:snapToGrid w:val="0"/>
              <w:spacing w:line="360" w:lineRule="auto"/>
              <w:jc w:val="center"/>
              <w:rPr>
                <w:rFonts w:hint="eastAsia"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1E04798">
            <w:pPr>
              <w:pStyle w:val="105"/>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报名不通过的投标单位</w:t>
            </w:r>
          </w:p>
        </w:tc>
      </w:tr>
      <w:tr w14:paraId="7AA733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646FE20B">
            <w:pPr>
              <w:pStyle w:val="105"/>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4AC99ED">
            <w:pPr>
              <w:pStyle w:val="105"/>
              <w:adjustRightInd w:val="0"/>
              <w:snapToGrid w:val="0"/>
              <w:spacing w:line="360" w:lineRule="auto"/>
              <w:rPr>
                <w:rFonts w:ascii="宋体" w:hAnsi="宋体" w:eastAsia="宋体"/>
                <w:color w:val="auto"/>
                <w:highlight w:val="none"/>
              </w:rPr>
            </w:pPr>
            <w:r>
              <w:rPr>
                <w:rFonts w:hint="eastAsia" w:ascii="宋体" w:hAnsi="宋体"/>
                <w:color w:val="auto"/>
                <w:highlight w:val="none"/>
              </w:rPr>
              <w:t>投标保证金不通过的投标单位</w:t>
            </w:r>
          </w:p>
        </w:tc>
      </w:tr>
      <w:tr w14:paraId="740DB2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3C58D3C5">
            <w:pPr>
              <w:pStyle w:val="105"/>
              <w:adjustRightInd w:val="0"/>
              <w:snapToGrid w:val="0"/>
              <w:spacing w:line="360" w:lineRule="auto"/>
              <w:jc w:val="center"/>
              <w:rPr>
                <w:rFonts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E2F6E97">
            <w:pPr>
              <w:pStyle w:val="105"/>
              <w:adjustRightInd w:val="0"/>
              <w:snapToGrid w:val="0"/>
              <w:spacing w:line="360" w:lineRule="auto"/>
              <w:rPr>
                <w:rFonts w:hint="eastAsia" w:ascii="宋体" w:hAnsi="宋体" w:eastAsia="宋体"/>
                <w:color w:val="auto"/>
                <w:highlight w:val="none"/>
                <w:lang w:eastAsia="zh-CN"/>
              </w:rPr>
            </w:pPr>
            <w:r>
              <w:rPr>
                <w:rFonts w:hint="eastAsia" w:ascii="宋体" w:hAnsi="宋体" w:eastAsia="宋体" w:cs="宋体"/>
                <w:color w:val="auto"/>
                <w:sz w:val="24"/>
                <w:szCs w:val="24"/>
                <w:highlight w:val="none"/>
              </w:rPr>
              <w:t>标书份数及封装</w:t>
            </w:r>
            <w:r>
              <w:rPr>
                <w:rFonts w:hint="eastAsia" w:ascii="宋体" w:hAnsi="宋体" w:eastAsia="宋体" w:cs="宋体"/>
                <w:color w:val="auto"/>
                <w:sz w:val="24"/>
                <w:szCs w:val="24"/>
                <w:highlight w:val="none"/>
                <w:lang w:eastAsia="zh-CN"/>
              </w:rPr>
              <w:t>不符合招标文件要求的</w:t>
            </w:r>
          </w:p>
        </w:tc>
      </w:tr>
      <w:tr w14:paraId="318D4E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4797D1CA">
            <w:pPr>
              <w:pStyle w:val="105"/>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719F07C">
            <w:pPr>
              <w:pStyle w:val="105"/>
              <w:adjustRightInd w:val="0"/>
              <w:snapToGrid w:val="0"/>
              <w:spacing w:line="360" w:lineRule="auto"/>
              <w:rPr>
                <w:rFonts w:ascii="宋体" w:hAnsi="宋体" w:eastAsia="宋体"/>
                <w:color w:val="auto"/>
                <w:highlight w:val="none"/>
                <w:lang w:val="en-US" w:eastAsia="zh-CN"/>
              </w:rPr>
            </w:pPr>
            <w:r>
              <w:rPr>
                <w:rFonts w:hint="eastAsia" w:ascii="宋体" w:hAnsi="宋体"/>
                <w:color w:val="auto"/>
                <w:highlight w:val="none"/>
              </w:rPr>
              <w:t>总价明显失误经评委会重点评审不通过的，如数量级错误、报价金额单位错误等；</w:t>
            </w:r>
          </w:p>
        </w:tc>
      </w:tr>
    </w:tbl>
    <w:p w14:paraId="72D1D3D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有以上情况的作无效标判定，不再参与后续评审。</w:t>
      </w:r>
    </w:p>
    <w:p w14:paraId="1A1541D9">
      <w:pPr>
        <w:keepNext/>
        <w:keepLines/>
        <w:spacing w:before="260" w:after="260" w:line="416" w:lineRule="auto"/>
        <w:jc w:val="center"/>
        <w:outlineLvl w:val="1"/>
        <w:rPr>
          <w:rFonts w:hint="eastAsia" w:ascii="宋体" w:hAnsi="宋体"/>
          <w:bCs/>
          <w:color w:val="auto"/>
          <w:sz w:val="32"/>
          <w:szCs w:val="21"/>
          <w:highlight w:val="none"/>
        </w:rPr>
      </w:pPr>
      <w:r>
        <w:rPr>
          <w:rFonts w:hint="eastAsia" w:ascii="黑体" w:hAnsi="黑体" w:eastAsia="黑体"/>
          <w:bCs/>
          <w:color w:val="auto"/>
          <w:sz w:val="32"/>
          <w:szCs w:val="32"/>
          <w:highlight w:val="none"/>
          <w:lang w:eastAsia="zh-CN"/>
        </w:rPr>
        <w:t>二、</w:t>
      </w:r>
      <w:r>
        <w:rPr>
          <w:rFonts w:hint="eastAsia" w:ascii="黑体" w:hAnsi="黑体" w:eastAsia="黑体"/>
          <w:bCs/>
          <w:color w:val="auto"/>
          <w:sz w:val="32"/>
          <w:szCs w:val="32"/>
          <w:highlight w:val="none"/>
        </w:rPr>
        <w:t>有效值计算方法</w:t>
      </w:r>
    </w:p>
    <w:p w14:paraId="095A1FED">
      <w:pPr>
        <w:keepNext/>
        <w:keepLines/>
        <w:spacing w:before="100" w:line="400" w:lineRule="exact"/>
        <w:outlineLvl w:val="1"/>
        <w:rPr>
          <w:rFonts w:hint="eastAsia" w:eastAsia="黑体" w:cs="宋体"/>
          <w:color w:val="auto"/>
          <w:sz w:val="28"/>
          <w:szCs w:val="20"/>
          <w:highlight w:val="none"/>
        </w:rPr>
      </w:pPr>
      <w:bookmarkStart w:id="20" w:name="_Toc43725783"/>
      <w:bookmarkStart w:id="21" w:name="_Toc11078185"/>
      <w:r>
        <w:rPr>
          <w:rFonts w:hint="eastAsia" w:eastAsia="黑体" w:cs="宋体"/>
          <w:color w:val="auto"/>
          <w:sz w:val="28"/>
          <w:szCs w:val="20"/>
          <w:highlight w:val="none"/>
        </w:rPr>
        <w:t>1. 评审系数一览表</w:t>
      </w:r>
      <w:bookmarkEnd w:id="20"/>
      <w:bookmarkEnd w:id="2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07"/>
        <w:gridCol w:w="2907"/>
      </w:tblGrid>
      <w:tr w14:paraId="20D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0FB887A5">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序号</w:t>
            </w:r>
          </w:p>
        </w:tc>
        <w:tc>
          <w:tcPr>
            <w:tcW w:w="2907" w:type="dxa"/>
            <w:noWrap w:val="0"/>
            <w:vAlign w:val="center"/>
          </w:tcPr>
          <w:p w14:paraId="06BE45E2">
            <w:pPr>
              <w:jc w:val="center"/>
              <w:rPr>
                <w:rFonts w:hint="eastAsia" w:ascii="宋体" w:hAnsi="宋体"/>
                <w:color w:val="auto"/>
                <w:sz w:val="24"/>
                <w:szCs w:val="24"/>
                <w:highlight w:val="none"/>
              </w:rPr>
            </w:pPr>
            <w:r>
              <w:rPr>
                <w:rFonts w:hint="eastAsia" w:ascii="宋体" w:hAnsi="宋体"/>
                <w:color w:val="auto"/>
                <w:sz w:val="24"/>
                <w:szCs w:val="24"/>
                <w:highlight w:val="none"/>
              </w:rPr>
              <w:t>系数名称</w:t>
            </w:r>
          </w:p>
        </w:tc>
        <w:tc>
          <w:tcPr>
            <w:tcW w:w="2907" w:type="dxa"/>
            <w:noWrap w:val="0"/>
            <w:vAlign w:val="center"/>
          </w:tcPr>
          <w:p w14:paraId="35DA4E21">
            <w:pPr>
              <w:jc w:val="center"/>
              <w:rPr>
                <w:rFonts w:hint="eastAsia" w:ascii="宋体" w:hAnsi="宋体"/>
                <w:color w:val="auto"/>
                <w:sz w:val="24"/>
                <w:szCs w:val="24"/>
                <w:highlight w:val="none"/>
              </w:rPr>
            </w:pPr>
            <w:r>
              <w:rPr>
                <w:rFonts w:hint="eastAsia" w:ascii="宋体" w:hAnsi="宋体"/>
                <w:color w:val="auto"/>
                <w:sz w:val="24"/>
                <w:szCs w:val="24"/>
                <w:highlight w:val="none"/>
              </w:rPr>
              <w:t>系数取值</w:t>
            </w:r>
          </w:p>
        </w:tc>
      </w:tr>
      <w:tr w14:paraId="6A0E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63A5D032">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2907" w:type="dxa"/>
            <w:noWrap w:val="0"/>
            <w:vAlign w:val="center"/>
          </w:tcPr>
          <w:p w14:paraId="3DFA7A80">
            <w:pPr>
              <w:jc w:val="center"/>
              <w:rPr>
                <w:rFonts w:ascii="宋体" w:hAnsi="宋体"/>
                <w:color w:val="auto"/>
                <w:sz w:val="24"/>
                <w:szCs w:val="24"/>
                <w:highlight w:val="none"/>
              </w:rPr>
            </w:pPr>
            <w:r>
              <w:rPr>
                <w:rFonts w:hint="eastAsia" w:ascii="宋体" w:hAnsi="宋体"/>
                <w:color w:val="auto"/>
                <w:sz w:val="24"/>
                <w:szCs w:val="24"/>
                <w:highlight w:val="none"/>
              </w:rPr>
              <w:t>K</w:t>
            </w:r>
          </w:p>
        </w:tc>
        <w:tc>
          <w:tcPr>
            <w:tcW w:w="2907" w:type="dxa"/>
            <w:noWrap w:val="0"/>
            <w:vAlign w:val="center"/>
          </w:tcPr>
          <w:p w14:paraId="1725A3FC">
            <w:pPr>
              <w:jc w:val="center"/>
              <w:rPr>
                <w:rFonts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w:t>
            </w:r>
            <w:r>
              <w:rPr>
                <w:rFonts w:hint="eastAsia" w:ascii="宋体" w:hAnsi="宋体"/>
                <w:b/>
                <w:color w:val="auto"/>
                <w:sz w:val="24"/>
                <w:szCs w:val="24"/>
                <w:highlight w:val="none"/>
              </w:rPr>
              <w:t>%</w:t>
            </w:r>
          </w:p>
        </w:tc>
      </w:tr>
      <w:tr w14:paraId="235B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43849ECF">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907" w:type="dxa"/>
            <w:noWrap w:val="0"/>
            <w:vAlign w:val="center"/>
          </w:tcPr>
          <w:p w14:paraId="5193FEA9">
            <w:pPr>
              <w:jc w:val="center"/>
              <w:rPr>
                <w:rFonts w:hint="eastAsia" w:ascii="宋体" w:hAnsi="宋体"/>
                <w:color w:val="auto"/>
                <w:sz w:val="24"/>
                <w:szCs w:val="24"/>
                <w:highlight w:val="none"/>
              </w:rPr>
            </w:pPr>
            <w:r>
              <w:rPr>
                <w:rFonts w:hint="eastAsia" w:ascii="宋体" w:hAnsi="宋体"/>
                <w:color w:val="auto"/>
                <w:sz w:val="24"/>
                <w:szCs w:val="24"/>
                <w:highlight w:val="none"/>
              </w:rPr>
              <w:t>M</w:t>
            </w:r>
          </w:p>
        </w:tc>
        <w:tc>
          <w:tcPr>
            <w:tcW w:w="2907" w:type="dxa"/>
            <w:noWrap w:val="0"/>
            <w:vAlign w:val="center"/>
          </w:tcPr>
          <w:p w14:paraId="405147D3">
            <w:pPr>
              <w:jc w:val="center"/>
              <w:rPr>
                <w:rFonts w:hint="eastAsia"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w:t>
            </w:r>
            <w:r>
              <w:rPr>
                <w:rFonts w:hint="eastAsia" w:ascii="宋体" w:hAnsi="宋体"/>
                <w:b/>
                <w:color w:val="auto"/>
                <w:sz w:val="24"/>
                <w:szCs w:val="24"/>
                <w:highlight w:val="none"/>
              </w:rPr>
              <w:t>%</w:t>
            </w:r>
          </w:p>
        </w:tc>
      </w:tr>
    </w:tbl>
    <w:p w14:paraId="49E1DACA">
      <w:pPr>
        <w:keepNext/>
        <w:keepLines/>
        <w:spacing w:before="100" w:line="400" w:lineRule="exact"/>
        <w:outlineLvl w:val="1"/>
        <w:rPr>
          <w:rFonts w:hint="default" w:eastAsia="黑体" w:cs="宋体"/>
          <w:color w:val="auto"/>
          <w:sz w:val="28"/>
          <w:szCs w:val="20"/>
          <w:highlight w:val="none"/>
          <w:lang w:val="en-US" w:eastAsia="zh-CN"/>
        </w:rPr>
      </w:pPr>
      <w:bookmarkStart w:id="22" w:name="_Toc11078186"/>
      <w:bookmarkStart w:id="23" w:name="_Toc43725784"/>
    </w:p>
    <w:p w14:paraId="39AB84A5">
      <w:pPr>
        <w:keepNext/>
        <w:keepLines/>
        <w:spacing w:before="100" w:line="400" w:lineRule="exact"/>
        <w:outlineLvl w:val="1"/>
        <w:rPr>
          <w:rFonts w:hint="eastAsia" w:eastAsia="黑体" w:cs="宋体"/>
          <w:color w:val="auto"/>
          <w:sz w:val="28"/>
          <w:szCs w:val="20"/>
          <w:highlight w:val="none"/>
          <w:lang w:val="en-US" w:eastAsia="zh-CN"/>
        </w:rPr>
      </w:pPr>
      <w:r>
        <w:rPr>
          <w:rFonts w:hint="eastAsia" w:eastAsia="黑体" w:cs="宋体"/>
          <w:color w:val="auto"/>
          <w:sz w:val="28"/>
          <w:szCs w:val="20"/>
          <w:highlight w:val="none"/>
        </w:rPr>
        <w:t xml:space="preserve">2. </w:t>
      </w:r>
      <w:bookmarkEnd w:id="22"/>
      <w:bookmarkEnd w:id="23"/>
      <w:r>
        <w:rPr>
          <w:rFonts w:hint="eastAsia" w:eastAsia="黑体" w:cs="宋体"/>
          <w:color w:val="auto"/>
          <w:sz w:val="28"/>
          <w:szCs w:val="20"/>
          <w:highlight w:val="none"/>
          <w:lang w:eastAsia="zh-CN"/>
        </w:rPr>
        <w:t>计算平均值</w:t>
      </w:r>
    </w:p>
    <w:p w14:paraId="596325D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对通过初步筛查的投标报价，</w:t>
      </w:r>
      <w:r>
        <w:rPr>
          <w:rFonts w:hint="eastAsia" w:ascii="宋体" w:hAnsi="宋体"/>
          <w:color w:val="auto"/>
          <w:sz w:val="24"/>
          <w:szCs w:val="24"/>
          <w:highlight w:val="none"/>
          <w:lang w:eastAsia="zh-CN"/>
        </w:rPr>
        <w:t>即作为有效评标价，</w:t>
      </w:r>
      <w:r>
        <w:rPr>
          <w:rFonts w:hint="eastAsia" w:ascii="宋体" w:hAnsi="宋体"/>
          <w:color w:val="auto"/>
          <w:sz w:val="24"/>
          <w:szCs w:val="24"/>
          <w:highlight w:val="none"/>
        </w:rPr>
        <w:t>按以下规定确定纳入计算</w:t>
      </w:r>
      <w:r>
        <w:rPr>
          <w:rFonts w:hint="eastAsia" w:ascii="宋体" w:hAnsi="宋体"/>
          <w:color w:val="auto"/>
          <w:sz w:val="24"/>
          <w:szCs w:val="24"/>
          <w:highlight w:val="none"/>
          <w:lang w:eastAsia="zh-CN"/>
        </w:rPr>
        <w:t>平均值</w:t>
      </w:r>
      <w:r>
        <w:rPr>
          <w:rFonts w:hint="eastAsia" w:ascii="宋体" w:hAnsi="宋体"/>
          <w:color w:val="auto"/>
          <w:sz w:val="24"/>
          <w:szCs w:val="24"/>
          <w:highlight w:val="none"/>
        </w:rPr>
        <w:t>计算范围：</w:t>
      </w:r>
    </w:p>
    <w:p w14:paraId="7990CDD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计算</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较最高投标限价的降幅。降幅小于K</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作为A系列，降幅不小于K值的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作为B系列。A系列数据不参与平均数计算。</w:t>
      </w:r>
    </w:p>
    <w:p w14:paraId="0AB063C3">
      <w:pPr>
        <w:spacing w:line="4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对于B系列的各</w:t>
      </w:r>
      <w:r>
        <w:rPr>
          <w:rFonts w:hint="eastAsia" w:ascii="宋体" w:hAnsi="宋体"/>
          <w:color w:val="auto"/>
          <w:sz w:val="24"/>
          <w:szCs w:val="24"/>
          <w:highlight w:val="none"/>
          <w:lang w:eastAsia="zh-CN"/>
        </w:rPr>
        <w:t>有效评标价，按照下列要求计算平均值：</w:t>
      </w:r>
    </w:p>
    <w:p w14:paraId="735F36B0">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a)当</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（有效评标价对应的投标人数量，下同）≤5、n=0，有效评标价全部进行算术平均；5＜</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≤10、n=1，现场去掉1个最高和1个最低有效评标价，其他有效评标价进行算术平均；</w:t>
      </w:r>
    </w:p>
    <w:p w14:paraId="1B0039A3">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b)当10＜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≤20、n=2，现场去掉2个最高和2个最低有效评标价，其他有效评标价进行算术平均；20＜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≤30、n=3，现场去掉3个最高和3个最低有效评标价，其他有效评标价进行算术平均；以此类推。</w:t>
      </w:r>
    </w:p>
    <w:p w14:paraId="1CFDE4C1">
      <w:pPr>
        <w:spacing w:line="400" w:lineRule="exact"/>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注：</w:t>
      </w:r>
      <w:r>
        <w:rPr>
          <w:rFonts w:hint="eastAsia" w:ascii="宋体" w:hAnsi="宋体"/>
          <w:b/>
          <w:bCs/>
          <w:color w:val="auto"/>
          <w:sz w:val="24"/>
          <w:szCs w:val="24"/>
          <w:highlight w:val="none"/>
        </w:rPr>
        <w:t>若</w:t>
      </w:r>
      <w:r>
        <w:rPr>
          <w:rFonts w:hint="eastAsia" w:ascii="宋体" w:hAnsi="宋体"/>
          <w:b/>
          <w:bCs/>
          <w:color w:val="auto"/>
          <w:sz w:val="24"/>
          <w:szCs w:val="24"/>
          <w:highlight w:val="none"/>
          <w:lang w:val="en-US" w:eastAsia="zh-CN"/>
        </w:rPr>
        <w:t>B系列投标人数量少于3家，则不再进行后续平均值、有效值等计算，直接采用有效最低价进行评审。有效最低价评审规则：按照</w:t>
      </w:r>
      <w:r>
        <w:rPr>
          <w:rFonts w:hint="eastAsia"/>
          <w:b/>
          <w:bCs/>
          <w:color w:val="auto"/>
          <w:sz w:val="24"/>
          <w:szCs w:val="24"/>
          <w:highlight w:val="none"/>
          <w:lang w:eastAsia="zh-CN"/>
        </w:rPr>
        <w:t>有效</w:t>
      </w:r>
      <w:r>
        <w:rPr>
          <w:rFonts w:hint="eastAsia"/>
          <w:b/>
          <w:bCs/>
          <w:color w:val="auto"/>
          <w:sz w:val="24"/>
          <w:szCs w:val="24"/>
          <w:highlight w:val="none"/>
        </w:rPr>
        <w:t>投标报价由低到高依次进行</w:t>
      </w:r>
      <w:r>
        <w:rPr>
          <w:rFonts w:hint="eastAsia"/>
          <w:b/>
          <w:bCs/>
          <w:color w:val="auto"/>
          <w:sz w:val="24"/>
          <w:szCs w:val="24"/>
          <w:highlight w:val="none"/>
          <w:lang w:eastAsia="zh-CN"/>
        </w:rPr>
        <w:t>资格审查评审、商务标详评、技术标评审</w:t>
      </w:r>
      <w:r>
        <w:rPr>
          <w:rFonts w:hint="eastAsia"/>
          <w:b/>
          <w:bCs/>
          <w:color w:val="auto"/>
          <w:sz w:val="24"/>
          <w:szCs w:val="24"/>
          <w:highlight w:val="none"/>
        </w:rPr>
        <w:t>，对评审通过的投标人，按照投标报价由低到高依次推荐中标候选人。如投标人未通过评审，则按照投标报价由低到高依次进行递补，直至评出中标候选人。</w:t>
      </w:r>
    </w:p>
    <w:p w14:paraId="3C6E692E">
      <w:pPr>
        <w:keepNext/>
        <w:keepLines/>
        <w:spacing w:before="100" w:line="400" w:lineRule="exact"/>
        <w:outlineLvl w:val="1"/>
        <w:rPr>
          <w:rFonts w:hint="eastAsia" w:eastAsia="黑体" w:cs="宋体"/>
          <w:color w:val="auto"/>
          <w:sz w:val="28"/>
          <w:szCs w:val="20"/>
          <w:highlight w:val="none"/>
        </w:rPr>
      </w:pPr>
      <w:r>
        <w:rPr>
          <w:rFonts w:hint="eastAsia" w:eastAsia="黑体" w:cs="宋体"/>
          <w:color w:val="auto"/>
          <w:sz w:val="28"/>
          <w:szCs w:val="20"/>
          <w:highlight w:val="none"/>
          <w:lang w:val="en-US" w:eastAsia="zh-CN"/>
        </w:rPr>
        <w:t>3</w:t>
      </w:r>
      <w:r>
        <w:rPr>
          <w:rFonts w:hint="eastAsia" w:eastAsia="黑体" w:cs="宋体"/>
          <w:color w:val="auto"/>
          <w:sz w:val="28"/>
          <w:szCs w:val="20"/>
          <w:highlight w:val="none"/>
        </w:rPr>
        <w:t>. 计算有效值</w:t>
      </w:r>
    </w:p>
    <w:p w14:paraId="1BFBAB42">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.1以最高投标限价乘以(1-下浮系数M)为参考价，即参考价=最高投标限价*（1-M）。</w:t>
      </w:r>
    </w:p>
    <w:p w14:paraId="6BDA4AD1">
      <w:pPr>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取</w:t>
      </w:r>
      <w:r>
        <w:rPr>
          <w:rFonts w:hint="eastAsia" w:ascii="宋体" w:hAnsi="宋体"/>
          <w:color w:val="auto"/>
          <w:sz w:val="24"/>
          <w:szCs w:val="24"/>
          <w:highlight w:val="none"/>
          <w:lang w:eastAsia="zh-CN"/>
        </w:rPr>
        <w:t>平均</w:t>
      </w:r>
      <w:r>
        <w:rPr>
          <w:rFonts w:hint="eastAsia" w:ascii="宋体" w:hAnsi="宋体"/>
          <w:color w:val="auto"/>
          <w:sz w:val="24"/>
          <w:szCs w:val="24"/>
          <w:highlight w:val="none"/>
        </w:rPr>
        <w:t>值与参考价中的低值为基准价D</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基准价即为有效值。</w:t>
      </w:r>
    </w:p>
    <w:p w14:paraId="373D1B3B">
      <w:pPr>
        <w:keepNext/>
        <w:keepLines/>
        <w:spacing w:before="100" w:line="400" w:lineRule="exact"/>
        <w:outlineLvl w:val="1"/>
        <w:rPr>
          <w:rFonts w:hint="default" w:eastAsia="黑体" w:cs="宋体"/>
          <w:color w:val="auto"/>
          <w:sz w:val="28"/>
          <w:szCs w:val="20"/>
          <w:highlight w:val="none"/>
          <w:lang w:val="en-US" w:eastAsia="zh-CN"/>
        </w:rPr>
      </w:pPr>
      <w:r>
        <w:rPr>
          <w:rFonts w:hint="eastAsia" w:eastAsia="黑体" w:cs="宋体"/>
          <w:color w:val="auto"/>
          <w:sz w:val="28"/>
          <w:szCs w:val="20"/>
          <w:highlight w:val="none"/>
          <w:lang w:val="en-US" w:eastAsia="zh-CN"/>
        </w:rPr>
        <w:t>4.确定中标候选人</w:t>
      </w:r>
    </w:p>
    <w:p w14:paraId="1D26C177">
      <w:pPr>
        <w:spacing w:line="400" w:lineRule="exact"/>
        <w:ind w:firstLine="480" w:firstLineChars="200"/>
        <w:rPr>
          <w:rFonts w:hint="eastAsia"/>
          <w:color w:val="auto"/>
          <w:sz w:val="24"/>
          <w:szCs w:val="24"/>
          <w:highlight w:val="none"/>
        </w:rPr>
      </w:pPr>
      <w:r>
        <w:rPr>
          <w:rFonts w:hint="eastAsia"/>
          <w:color w:val="auto"/>
          <w:sz w:val="24"/>
          <w:szCs w:val="24"/>
          <w:highlight w:val="none"/>
        </w:rPr>
        <w:t>评标委员会对不低于有效值的</w:t>
      </w:r>
      <w:r>
        <w:rPr>
          <w:rFonts w:hint="eastAsia"/>
          <w:color w:val="auto"/>
          <w:sz w:val="24"/>
          <w:szCs w:val="24"/>
          <w:highlight w:val="none"/>
          <w:lang w:eastAsia="zh-CN"/>
        </w:rPr>
        <w:t>有效</w:t>
      </w:r>
      <w:r>
        <w:rPr>
          <w:rFonts w:hint="eastAsia"/>
          <w:color w:val="auto"/>
          <w:sz w:val="24"/>
          <w:szCs w:val="24"/>
          <w:highlight w:val="none"/>
        </w:rPr>
        <w:t>投标报价由低到高依次进行</w:t>
      </w:r>
      <w:r>
        <w:rPr>
          <w:rFonts w:hint="eastAsia" w:ascii="宋体" w:hAnsi="宋体"/>
          <w:color w:val="auto"/>
          <w:sz w:val="24"/>
          <w:szCs w:val="24"/>
          <w:highlight w:val="none"/>
        </w:rPr>
        <w:t>资格后审申请评审、商务标评审和技术标评审</w:t>
      </w:r>
      <w:r>
        <w:rPr>
          <w:rFonts w:hint="eastAsia"/>
          <w:color w:val="auto"/>
          <w:sz w:val="24"/>
          <w:szCs w:val="24"/>
          <w:highlight w:val="none"/>
        </w:rPr>
        <w:t>，</w:t>
      </w:r>
      <w:r>
        <w:rPr>
          <w:rFonts w:hint="eastAsia" w:ascii="宋体" w:hAnsi="宋体"/>
          <w:color w:val="auto"/>
          <w:sz w:val="24"/>
          <w:szCs w:val="24"/>
          <w:highlight w:val="none"/>
        </w:rPr>
        <w:t>评审均通过的即为第一中标候选人</w:t>
      </w:r>
      <w:r>
        <w:rPr>
          <w:rFonts w:hint="eastAsia"/>
          <w:color w:val="auto"/>
          <w:sz w:val="24"/>
          <w:szCs w:val="24"/>
          <w:highlight w:val="none"/>
        </w:rPr>
        <w:t>。</w:t>
      </w:r>
      <w:r>
        <w:rPr>
          <w:rFonts w:hint="eastAsia" w:ascii="宋体" w:hAnsi="宋体"/>
          <w:color w:val="auto"/>
          <w:sz w:val="24"/>
          <w:szCs w:val="24"/>
          <w:highlight w:val="none"/>
        </w:rPr>
        <w:t>如投标人资格后审申请评审、商务标和技术标评审中任一项被判定为未通过评审，再按报价由低到高依次进行递补，按顺序依次评出第一中标候选人、第二中标候选人（如有）。</w:t>
      </w:r>
    </w:p>
    <w:p w14:paraId="25AD36CC">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r>
        <w:rPr>
          <w:rFonts w:hint="eastAsia" w:ascii="黑体" w:hAnsi="黑体" w:eastAsia="黑体" w:cs="Times New Roman"/>
          <w:bCs/>
          <w:color w:val="auto"/>
          <w:sz w:val="32"/>
          <w:szCs w:val="32"/>
          <w:highlight w:val="none"/>
          <w:lang w:eastAsia="zh-CN"/>
        </w:rPr>
        <w:t>三、资格审查评审表</w:t>
      </w:r>
    </w:p>
    <w:tbl>
      <w:tblPr>
        <w:tblStyle w:val="54"/>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3080"/>
      </w:tblGrid>
      <w:tr w14:paraId="3155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524" w:type="dxa"/>
            <w:gridSpan w:val="5"/>
            <w:noWrap w:val="0"/>
            <w:vAlign w:val="center"/>
          </w:tcPr>
          <w:p w14:paraId="3E1B41D9">
            <w:pPr>
              <w:pStyle w:val="85"/>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rPr>
            </w:pPr>
            <w:r>
              <w:rPr>
                <w:rFonts w:hint="eastAsia" w:ascii="宋体" w:hAnsi="宋体"/>
                <w:b/>
                <w:color w:val="auto"/>
                <w:highlight w:val="none"/>
                <w:lang w:eastAsia="zh-CN"/>
              </w:rPr>
              <w:t>资格审查评审</w:t>
            </w:r>
            <w:r>
              <w:rPr>
                <w:rFonts w:hint="eastAsia" w:ascii="宋体" w:hAnsi="宋体"/>
                <w:b/>
                <w:color w:val="auto"/>
                <w:highlight w:val="none"/>
              </w:rPr>
              <w:t>表（废标指标一览表）</w:t>
            </w:r>
          </w:p>
        </w:tc>
      </w:tr>
      <w:tr w14:paraId="364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0B05B55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noWrap w:val="0"/>
            <w:vAlign w:val="center"/>
          </w:tcPr>
          <w:p w14:paraId="02789899">
            <w:pPr>
              <w:pStyle w:val="85"/>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rPr>
            </w:pPr>
            <w:r>
              <w:rPr>
                <w:rFonts w:hint="eastAsia" w:ascii="宋体" w:hAnsi="宋体"/>
                <w:color w:val="auto"/>
                <w:kern w:val="2"/>
                <w:szCs w:val="24"/>
                <w:highlight w:val="none"/>
              </w:rPr>
              <w:t>指标名称</w:t>
            </w:r>
          </w:p>
        </w:tc>
        <w:tc>
          <w:tcPr>
            <w:tcW w:w="3008" w:type="dxa"/>
            <w:tcBorders>
              <w:bottom w:val="single" w:color="auto" w:sz="4" w:space="0"/>
            </w:tcBorders>
            <w:noWrap w:val="0"/>
            <w:vAlign w:val="center"/>
          </w:tcPr>
          <w:p w14:paraId="3460FB3B">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指标要求</w:t>
            </w:r>
          </w:p>
        </w:tc>
        <w:tc>
          <w:tcPr>
            <w:tcW w:w="819" w:type="dxa"/>
            <w:tcBorders>
              <w:bottom w:val="single" w:color="auto" w:sz="4" w:space="0"/>
            </w:tcBorders>
            <w:noWrap w:val="0"/>
            <w:vAlign w:val="center"/>
          </w:tcPr>
          <w:p w14:paraId="0BB09A41">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是否通过</w:t>
            </w:r>
          </w:p>
        </w:tc>
        <w:tc>
          <w:tcPr>
            <w:tcW w:w="3080" w:type="dxa"/>
            <w:tcBorders>
              <w:bottom w:val="single" w:color="auto" w:sz="4" w:space="0"/>
            </w:tcBorders>
            <w:noWrap w:val="0"/>
            <w:vAlign w:val="center"/>
          </w:tcPr>
          <w:p w14:paraId="07670145">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投标文件格式及提交资料要求</w:t>
            </w:r>
          </w:p>
        </w:tc>
      </w:tr>
      <w:tr w14:paraId="477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2FF49FCD">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97" w:type="dxa"/>
            <w:tcBorders>
              <w:bottom w:val="single" w:color="auto" w:sz="4" w:space="0"/>
            </w:tcBorders>
            <w:noWrap w:val="0"/>
            <w:vAlign w:val="center"/>
          </w:tcPr>
          <w:p w14:paraId="3FE54277">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3008" w:type="dxa"/>
            <w:tcBorders>
              <w:bottom w:val="single" w:color="auto" w:sz="4" w:space="0"/>
            </w:tcBorders>
            <w:noWrap w:val="0"/>
            <w:vAlign w:val="center"/>
          </w:tcPr>
          <w:p w14:paraId="629CFB61">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19" w:type="dxa"/>
            <w:tcBorders>
              <w:bottom w:val="single" w:color="auto" w:sz="4" w:space="0"/>
            </w:tcBorders>
            <w:noWrap w:val="0"/>
            <w:vAlign w:val="center"/>
          </w:tcPr>
          <w:p w14:paraId="266C6B62">
            <w:pPr>
              <w:adjustRightInd w:val="0"/>
              <w:snapToGrid w:val="0"/>
              <w:spacing w:line="420" w:lineRule="exact"/>
              <w:ind w:right="-11"/>
              <w:jc w:val="center"/>
              <w:rPr>
                <w:rFonts w:hint="eastAsia" w:ascii="宋体" w:hAnsi="宋体"/>
                <w:color w:val="auto"/>
                <w:sz w:val="24"/>
                <w:szCs w:val="24"/>
                <w:highlight w:val="none"/>
              </w:rPr>
            </w:pPr>
          </w:p>
        </w:tc>
        <w:tc>
          <w:tcPr>
            <w:tcW w:w="3080" w:type="dxa"/>
            <w:tcBorders>
              <w:bottom w:val="single" w:color="auto" w:sz="4" w:space="0"/>
            </w:tcBorders>
            <w:noWrap w:val="0"/>
            <w:vAlign w:val="center"/>
          </w:tcPr>
          <w:p w14:paraId="319BA07A">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r>
              <w:rPr>
                <w:rFonts w:hint="eastAsia" w:ascii="宋体" w:hAnsi="宋体"/>
                <w:bCs/>
                <w:color w:val="auto"/>
                <w:sz w:val="24"/>
                <w:szCs w:val="24"/>
                <w:highlight w:val="none"/>
              </w:rPr>
              <w:t>联合体投标的，联合体各方均须提供。</w:t>
            </w:r>
          </w:p>
        </w:tc>
      </w:tr>
      <w:tr w14:paraId="2833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071CDC63">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897" w:type="dxa"/>
            <w:tcBorders>
              <w:bottom w:val="single" w:color="auto" w:sz="4" w:space="0"/>
            </w:tcBorders>
            <w:noWrap w:val="0"/>
            <w:vAlign w:val="center"/>
          </w:tcPr>
          <w:p w14:paraId="63E72A99">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安全生产许可证</w:t>
            </w:r>
          </w:p>
        </w:tc>
        <w:tc>
          <w:tcPr>
            <w:tcW w:w="3008" w:type="dxa"/>
            <w:tcBorders>
              <w:bottom w:val="single" w:color="auto" w:sz="4" w:space="0"/>
            </w:tcBorders>
            <w:noWrap w:val="0"/>
            <w:vAlign w:val="center"/>
          </w:tcPr>
          <w:p w14:paraId="3956849B">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合法有效</w:t>
            </w:r>
          </w:p>
        </w:tc>
        <w:tc>
          <w:tcPr>
            <w:tcW w:w="819" w:type="dxa"/>
            <w:tcBorders>
              <w:bottom w:val="single" w:color="auto" w:sz="4" w:space="0"/>
            </w:tcBorders>
            <w:noWrap w:val="0"/>
            <w:vAlign w:val="center"/>
          </w:tcPr>
          <w:p w14:paraId="1A1025A6">
            <w:pPr>
              <w:adjustRightInd w:val="0"/>
              <w:snapToGrid w:val="0"/>
              <w:spacing w:line="420" w:lineRule="exact"/>
              <w:ind w:right="-11"/>
              <w:jc w:val="center"/>
              <w:rPr>
                <w:rFonts w:hint="eastAsia" w:ascii="宋体" w:hAnsi="宋体"/>
                <w:color w:val="auto"/>
                <w:sz w:val="24"/>
                <w:szCs w:val="24"/>
                <w:highlight w:val="none"/>
              </w:rPr>
            </w:pPr>
          </w:p>
        </w:tc>
        <w:tc>
          <w:tcPr>
            <w:tcW w:w="3080" w:type="dxa"/>
            <w:tcBorders>
              <w:bottom w:val="single" w:color="auto" w:sz="4" w:space="0"/>
            </w:tcBorders>
            <w:noWrap w:val="0"/>
            <w:vAlign w:val="center"/>
          </w:tcPr>
          <w:p w14:paraId="3A7EA015">
            <w:pPr>
              <w:adjustRightInd w:val="0"/>
              <w:snapToGrid w:val="0"/>
              <w:spacing w:line="420" w:lineRule="exact"/>
              <w:ind w:right="-11"/>
              <w:jc w:val="center"/>
              <w:rPr>
                <w:rFonts w:hint="eastAsia" w:ascii="宋体" w:hAnsi="宋体"/>
                <w:color w:val="auto"/>
                <w:sz w:val="24"/>
                <w:szCs w:val="24"/>
                <w:highlight w:val="none"/>
              </w:rPr>
            </w:pPr>
          </w:p>
        </w:tc>
      </w:tr>
      <w:tr w14:paraId="712F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20" w:type="dxa"/>
            <w:noWrap w:val="0"/>
            <w:vAlign w:val="center"/>
          </w:tcPr>
          <w:p w14:paraId="5740148C">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3</w:t>
            </w:r>
          </w:p>
        </w:tc>
        <w:tc>
          <w:tcPr>
            <w:tcW w:w="1897" w:type="dxa"/>
            <w:noWrap w:val="0"/>
            <w:vAlign w:val="center"/>
          </w:tcPr>
          <w:p w14:paraId="3C35A67B">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投标函</w:t>
            </w:r>
          </w:p>
        </w:tc>
        <w:tc>
          <w:tcPr>
            <w:tcW w:w="3008" w:type="dxa"/>
            <w:noWrap w:val="0"/>
            <w:vAlign w:val="center"/>
          </w:tcPr>
          <w:p w14:paraId="2AEE3114">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0C951894">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7B113164">
            <w:pPr>
              <w:adjustRightInd w:val="0"/>
              <w:snapToGrid w:val="0"/>
              <w:spacing w:line="420" w:lineRule="exact"/>
              <w:ind w:right="-11"/>
              <w:jc w:val="center"/>
              <w:rPr>
                <w:rFonts w:hint="eastAsia" w:ascii="宋体" w:hAnsi="宋体"/>
                <w:color w:val="auto"/>
                <w:sz w:val="24"/>
                <w:highlight w:val="none"/>
              </w:rPr>
            </w:pPr>
          </w:p>
        </w:tc>
      </w:tr>
      <w:tr w14:paraId="2172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176BA0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4</w:t>
            </w:r>
          </w:p>
        </w:tc>
        <w:tc>
          <w:tcPr>
            <w:tcW w:w="1897" w:type="dxa"/>
            <w:noWrap w:val="0"/>
            <w:vAlign w:val="center"/>
          </w:tcPr>
          <w:p w14:paraId="1DE65077">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投标授权书</w:t>
            </w:r>
          </w:p>
        </w:tc>
        <w:tc>
          <w:tcPr>
            <w:tcW w:w="3008" w:type="dxa"/>
            <w:noWrap w:val="0"/>
            <w:vAlign w:val="center"/>
          </w:tcPr>
          <w:p w14:paraId="677D143C">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6E74ED66">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0BEDDE76">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详见第七章投标文件格式“投标授权书”</w:t>
            </w:r>
          </w:p>
        </w:tc>
      </w:tr>
      <w:tr w14:paraId="53BA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E7A02A8">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5</w:t>
            </w:r>
          </w:p>
        </w:tc>
        <w:tc>
          <w:tcPr>
            <w:tcW w:w="1897" w:type="dxa"/>
            <w:noWrap w:val="0"/>
            <w:vAlign w:val="center"/>
          </w:tcPr>
          <w:p w14:paraId="46FE932F">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投标保证金</w:t>
            </w:r>
          </w:p>
        </w:tc>
        <w:tc>
          <w:tcPr>
            <w:tcW w:w="3008" w:type="dxa"/>
            <w:noWrap w:val="0"/>
            <w:vAlign w:val="center"/>
          </w:tcPr>
          <w:p w14:paraId="5054CAE5">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1AA2FFC2">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5662D7BB">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第二章投标人须知21条</w:t>
            </w:r>
          </w:p>
        </w:tc>
      </w:tr>
      <w:tr w14:paraId="1CD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720" w:type="dxa"/>
            <w:noWrap w:val="0"/>
            <w:vAlign w:val="center"/>
          </w:tcPr>
          <w:p w14:paraId="1C47C3F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6</w:t>
            </w:r>
          </w:p>
        </w:tc>
        <w:tc>
          <w:tcPr>
            <w:tcW w:w="1897" w:type="dxa"/>
            <w:noWrap w:val="0"/>
            <w:vAlign w:val="center"/>
          </w:tcPr>
          <w:p w14:paraId="16E747DB">
            <w:pPr>
              <w:spacing w:after="50" w:line="360" w:lineRule="auto"/>
              <w:ind w:right="-10"/>
              <w:jc w:val="center"/>
              <w:rPr>
                <w:rFonts w:ascii="宋体" w:hAnsi="宋体"/>
                <w:color w:val="auto"/>
                <w:sz w:val="24"/>
                <w:szCs w:val="28"/>
                <w:highlight w:val="none"/>
              </w:rPr>
            </w:pPr>
            <w:r>
              <w:rPr>
                <w:rFonts w:hint="eastAsia" w:ascii="宋体" w:hAnsi="宋体"/>
                <w:color w:val="auto"/>
                <w:sz w:val="24"/>
                <w:szCs w:val="24"/>
                <w:highlight w:val="none"/>
              </w:rPr>
              <w:t>投标人信用承诺</w:t>
            </w:r>
          </w:p>
        </w:tc>
        <w:tc>
          <w:tcPr>
            <w:tcW w:w="3008" w:type="dxa"/>
            <w:noWrap w:val="0"/>
            <w:vAlign w:val="center"/>
          </w:tcPr>
          <w:p w14:paraId="0B1BFD53">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12A7EDFF">
            <w:pPr>
              <w:adjustRightInd w:val="0"/>
              <w:snapToGrid w:val="0"/>
              <w:spacing w:line="360" w:lineRule="auto"/>
              <w:ind w:right="-10"/>
              <w:jc w:val="center"/>
              <w:rPr>
                <w:rFonts w:ascii="宋体" w:hAnsi="宋体"/>
                <w:color w:val="auto"/>
                <w:sz w:val="24"/>
                <w:highlight w:val="none"/>
              </w:rPr>
            </w:pPr>
          </w:p>
        </w:tc>
        <w:tc>
          <w:tcPr>
            <w:tcW w:w="3080" w:type="dxa"/>
            <w:noWrap w:val="0"/>
            <w:vAlign w:val="center"/>
          </w:tcPr>
          <w:p w14:paraId="1CCF2A56">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szCs w:val="24"/>
                <w:highlight w:val="none"/>
              </w:rPr>
              <w:t>详见第七章投标文件格式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联合体投标的，联合体各方均须承诺。</w:t>
            </w:r>
          </w:p>
        </w:tc>
      </w:tr>
      <w:tr w14:paraId="17D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353C681">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7</w:t>
            </w:r>
          </w:p>
        </w:tc>
        <w:tc>
          <w:tcPr>
            <w:tcW w:w="1897" w:type="dxa"/>
            <w:noWrap w:val="0"/>
            <w:vAlign w:val="center"/>
          </w:tcPr>
          <w:p w14:paraId="7E765564">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投标人资质</w:t>
            </w:r>
          </w:p>
        </w:tc>
        <w:tc>
          <w:tcPr>
            <w:tcW w:w="3008" w:type="dxa"/>
            <w:noWrap w:val="0"/>
            <w:vAlign w:val="center"/>
          </w:tcPr>
          <w:p w14:paraId="0322B77A">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符合招标公告要求</w:t>
            </w:r>
          </w:p>
        </w:tc>
        <w:tc>
          <w:tcPr>
            <w:tcW w:w="819" w:type="dxa"/>
            <w:noWrap w:val="0"/>
            <w:vAlign w:val="center"/>
          </w:tcPr>
          <w:p w14:paraId="63FC5C35">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1C7366D0">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提供资质证书扫描件</w:t>
            </w:r>
          </w:p>
        </w:tc>
      </w:tr>
      <w:tr w14:paraId="31E9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5EE49CA">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8</w:t>
            </w:r>
          </w:p>
        </w:tc>
        <w:tc>
          <w:tcPr>
            <w:tcW w:w="1897" w:type="dxa"/>
            <w:noWrap w:val="0"/>
            <w:vAlign w:val="center"/>
          </w:tcPr>
          <w:p w14:paraId="65E877C4">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业绩</w:t>
            </w:r>
          </w:p>
        </w:tc>
        <w:tc>
          <w:tcPr>
            <w:tcW w:w="3008" w:type="dxa"/>
            <w:noWrap w:val="0"/>
            <w:vAlign w:val="center"/>
          </w:tcPr>
          <w:p w14:paraId="43AC3798">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符合招标公告要求</w:t>
            </w:r>
          </w:p>
        </w:tc>
        <w:tc>
          <w:tcPr>
            <w:tcW w:w="819" w:type="dxa"/>
            <w:noWrap w:val="0"/>
            <w:vAlign w:val="center"/>
          </w:tcPr>
          <w:p w14:paraId="4F9A1A5C">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02078719">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详见投标人须知前附表</w:t>
            </w:r>
          </w:p>
        </w:tc>
      </w:tr>
      <w:tr w14:paraId="6185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B41822C">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9</w:t>
            </w:r>
          </w:p>
        </w:tc>
        <w:tc>
          <w:tcPr>
            <w:tcW w:w="1897" w:type="dxa"/>
            <w:noWrap w:val="0"/>
            <w:vAlign w:val="center"/>
          </w:tcPr>
          <w:p w14:paraId="146755DA">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拟任项目经理资格</w:t>
            </w:r>
          </w:p>
        </w:tc>
        <w:tc>
          <w:tcPr>
            <w:tcW w:w="3008" w:type="dxa"/>
            <w:noWrap w:val="0"/>
            <w:vAlign w:val="center"/>
          </w:tcPr>
          <w:p w14:paraId="33D036D9">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19" w:type="dxa"/>
            <w:noWrap w:val="0"/>
            <w:vAlign w:val="center"/>
          </w:tcPr>
          <w:p w14:paraId="3BE68CE7">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1F9BE38F">
            <w:pPr>
              <w:pStyle w:val="68"/>
              <w:widowControl/>
              <w:jc w:val="left"/>
              <w:rPr>
                <w:rFonts w:hint="eastAsia" w:ascii="宋体" w:hAnsi="宋体"/>
                <w:color w:val="auto"/>
                <w:sz w:val="24"/>
                <w:szCs w:val="24"/>
                <w:highlight w:val="none"/>
              </w:rPr>
            </w:pPr>
            <w:r>
              <w:rPr>
                <w:rFonts w:hint="eastAsia" w:ascii="宋体" w:hAnsi="宋体"/>
                <w:color w:val="auto"/>
                <w:sz w:val="24"/>
                <w:szCs w:val="24"/>
                <w:highlight w:val="none"/>
              </w:rPr>
              <w:t>（1）项目经理资格条件见招标公告要求，且必须是本单位人员（招标公告中要求的注册证书注册单位应当与投标人名称一致，提供投标人所属社保机构出具的拟委任的项目经理开标之日前半年内连续三个月（社保时间要求）社保缴费证明或其他能够证明拟委任的项目经理参加社保的有效证明材料，项目经理的社会保险的缴纳单位应当是投标人或者投标人不具备独立法人资格的分支机构）。</w:t>
            </w:r>
          </w:p>
          <w:p w14:paraId="5C148581">
            <w:pPr>
              <w:widowControl/>
              <w:jc w:val="left"/>
              <w:rPr>
                <w:rFonts w:hint="eastAsia" w:ascii="宋体" w:hAnsi="宋体"/>
                <w:color w:val="auto"/>
                <w:sz w:val="24"/>
                <w:szCs w:val="24"/>
                <w:highlight w:val="none"/>
              </w:rPr>
            </w:pPr>
            <w:r>
              <w:rPr>
                <w:rFonts w:hint="eastAsia" w:ascii="宋体" w:hAnsi="宋体"/>
                <w:color w:val="auto"/>
                <w:sz w:val="24"/>
                <w:szCs w:val="24"/>
                <w:highlight w:val="none"/>
              </w:rPr>
              <w:t>（2）项目经理业绩具体要求见招标公告。</w:t>
            </w:r>
          </w:p>
          <w:p w14:paraId="14FF9899">
            <w:pPr>
              <w:widowControl/>
              <w:jc w:val="left"/>
              <w:rPr>
                <w:rFonts w:hint="eastAsia" w:ascii="宋体" w:hAnsi="宋体"/>
                <w:color w:val="auto"/>
                <w:sz w:val="24"/>
                <w:szCs w:val="24"/>
                <w:highlight w:val="none"/>
              </w:rPr>
            </w:pPr>
            <w:r>
              <w:rPr>
                <w:rFonts w:hint="eastAsia" w:ascii="宋体" w:hAnsi="宋体"/>
                <w:color w:val="auto"/>
                <w:sz w:val="24"/>
                <w:szCs w:val="24"/>
                <w:highlight w:val="none"/>
              </w:rPr>
              <w:t>（3）项目经理不得同时担任两个及以上建设工程施工项目负责人，以下情形除外：</w:t>
            </w:r>
          </w:p>
          <w:p w14:paraId="5FC8F42E">
            <w:pPr>
              <w:widowControl/>
              <w:jc w:val="left"/>
              <w:rPr>
                <w:rFonts w:hint="eastAsia" w:ascii="宋体" w:hAnsi="宋体"/>
                <w:color w:val="auto"/>
                <w:sz w:val="24"/>
                <w:szCs w:val="24"/>
                <w:highlight w:val="none"/>
              </w:rPr>
            </w:pPr>
            <w:r>
              <w:rPr>
                <w:rFonts w:hint="eastAsia" w:ascii="宋体" w:hAnsi="宋体"/>
                <w:color w:val="auto"/>
                <w:sz w:val="24"/>
                <w:szCs w:val="24"/>
                <w:highlight w:val="none"/>
              </w:rPr>
              <w:t>①法定情形；</w:t>
            </w:r>
          </w:p>
          <w:p w14:paraId="26863C74">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②虽在其他项目上担任项目经理岗位，但承诺在本项目中标后合同签订前能够从其他项目变更至本项目并全面履约。</w:t>
            </w:r>
          </w:p>
        </w:tc>
      </w:tr>
      <w:tr w14:paraId="2204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1C0B79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10</w:t>
            </w:r>
          </w:p>
        </w:tc>
        <w:tc>
          <w:tcPr>
            <w:tcW w:w="1897" w:type="dxa"/>
            <w:noWrap w:val="0"/>
            <w:vAlign w:val="center"/>
          </w:tcPr>
          <w:p w14:paraId="7DC2A526">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联合体协议</w:t>
            </w:r>
          </w:p>
        </w:tc>
        <w:tc>
          <w:tcPr>
            <w:tcW w:w="3008" w:type="dxa"/>
            <w:noWrap w:val="0"/>
            <w:vAlign w:val="center"/>
          </w:tcPr>
          <w:p w14:paraId="7DE7DED2">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19" w:type="dxa"/>
            <w:noWrap w:val="0"/>
            <w:vAlign w:val="center"/>
          </w:tcPr>
          <w:p w14:paraId="5FFEAB6F">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4A15A571">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联合体投标的须提供；未组成联合体投标的无需提供</w:t>
            </w:r>
          </w:p>
        </w:tc>
      </w:tr>
      <w:tr w14:paraId="0BB7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74F0BE4">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11</w:t>
            </w:r>
          </w:p>
        </w:tc>
        <w:tc>
          <w:tcPr>
            <w:tcW w:w="1897" w:type="dxa"/>
            <w:noWrap w:val="0"/>
            <w:vAlign w:val="center"/>
          </w:tcPr>
          <w:p w14:paraId="547DE3B3">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标书响应情况</w:t>
            </w:r>
          </w:p>
        </w:tc>
        <w:tc>
          <w:tcPr>
            <w:tcW w:w="3008" w:type="dxa"/>
            <w:noWrap w:val="0"/>
            <w:vAlign w:val="center"/>
          </w:tcPr>
          <w:p w14:paraId="10206AC8">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付款响应、服务期限响应</w:t>
            </w:r>
          </w:p>
        </w:tc>
        <w:tc>
          <w:tcPr>
            <w:tcW w:w="819" w:type="dxa"/>
            <w:noWrap w:val="0"/>
            <w:vAlign w:val="center"/>
          </w:tcPr>
          <w:p w14:paraId="48060F45">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6196DD84">
            <w:pPr>
              <w:adjustRightInd w:val="0"/>
              <w:snapToGrid w:val="0"/>
              <w:spacing w:line="420" w:lineRule="exact"/>
              <w:ind w:right="-11"/>
              <w:jc w:val="center"/>
              <w:rPr>
                <w:rFonts w:hint="eastAsia" w:ascii="宋体" w:hAnsi="宋体"/>
                <w:color w:val="auto"/>
                <w:sz w:val="24"/>
                <w:highlight w:val="none"/>
              </w:rPr>
            </w:pPr>
          </w:p>
        </w:tc>
      </w:tr>
      <w:tr w14:paraId="0877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C0B09EF">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12</w:t>
            </w:r>
          </w:p>
        </w:tc>
        <w:tc>
          <w:tcPr>
            <w:tcW w:w="1897" w:type="dxa"/>
            <w:noWrap w:val="0"/>
            <w:vAlign w:val="center"/>
          </w:tcPr>
          <w:p w14:paraId="55F0975F">
            <w:pPr>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标书规范性</w:t>
            </w:r>
          </w:p>
        </w:tc>
        <w:tc>
          <w:tcPr>
            <w:tcW w:w="3008" w:type="dxa"/>
            <w:noWrap w:val="0"/>
            <w:vAlign w:val="center"/>
          </w:tcPr>
          <w:p w14:paraId="52C632FF">
            <w:pPr>
              <w:pStyle w:val="85"/>
              <w:pBdr>
                <w:bottom w:val="none" w:color="auto" w:sz="0" w:space="0"/>
              </w:pBdr>
              <w:tabs>
                <w:tab w:val="clear" w:pos="4153"/>
                <w:tab w:val="clear" w:pos="8306"/>
              </w:tabs>
              <w:adjustRightInd/>
              <w:spacing w:line="420" w:lineRule="exact"/>
              <w:ind w:right="-11"/>
              <w:jc w:val="both"/>
              <w:textAlignment w:val="auto"/>
              <w:rPr>
                <w:rFonts w:hint="eastAsia"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19" w:type="dxa"/>
            <w:noWrap w:val="0"/>
            <w:vAlign w:val="center"/>
          </w:tcPr>
          <w:p w14:paraId="7ED29BCE">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3C10ACB1">
            <w:pPr>
              <w:adjustRightInd w:val="0"/>
              <w:snapToGrid w:val="0"/>
              <w:spacing w:line="420" w:lineRule="exact"/>
              <w:ind w:right="-11"/>
              <w:jc w:val="center"/>
              <w:rPr>
                <w:rFonts w:hint="eastAsia" w:ascii="宋体" w:hAnsi="宋体"/>
                <w:color w:val="auto"/>
                <w:sz w:val="24"/>
                <w:highlight w:val="none"/>
              </w:rPr>
            </w:pPr>
          </w:p>
        </w:tc>
      </w:tr>
      <w:tr w14:paraId="28BB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71A9BE7">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13</w:t>
            </w:r>
          </w:p>
        </w:tc>
        <w:tc>
          <w:tcPr>
            <w:tcW w:w="1897" w:type="dxa"/>
            <w:noWrap w:val="0"/>
            <w:vAlign w:val="center"/>
          </w:tcPr>
          <w:p w14:paraId="2F915FEF">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其他要求</w:t>
            </w:r>
          </w:p>
        </w:tc>
        <w:tc>
          <w:tcPr>
            <w:tcW w:w="3008" w:type="dxa"/>
            <w:noWrap w:val="0"/>
            <w:vAlign w:val="center"/>
          </w:tcPr>
          <w:p w14:paraId="3C5A952E">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上述指标中未列出，但国家相关法律法规或招标文件有明确规定的</w:t>
            </w:r>
          </w:p>
        </w:tc>
        <w:tc>
          <w:tcPr>
            <w:tcW w:w="819" w:type="dxa"/>
            <w:noWrap w:val="0"/>
            <w:vAlign w:val="center"/>
          </w:tcPr>
          <w:p w14:paraId="60506F78">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3F71E7AE">
            <w:pPr>
              <w:adjustRightInd w:val="0"/>
              <w:snapToGrid w:val="0"/>
              <w:spacing w:line="420" w:lineRule="exact"/>
              <w:ind w:right="-11"/>
              <w:jc w:val="center"/>
              <w:rPr>
                <w:rFonts w:hint="eastAsia" w:ascii="宋体" w:hAnsi="宋体"/>
                <w:color w:val="auto"/>
                <w:sz w:val="24"/>
                <w:highlight w:val="none"/>
              </w:rPr>
            </w:pPr>
          </w:p>
        </w:tc>
      </w:tr>
      <w:tr w14:paraId="7EB4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4" w:type="dxa"/>
            <w:gridSpan w:val="5"/>
            <w:noWrap w:val="0"/>
            <w:vAlign w:val="center"/>
          </w:tcPr>
          <w:p w14:paraId="6D8F1B3E">
            <w:pPr>
              <w:adjustRightInd w:val="0"/>
              <w:snapToGrid w:val="0"/>
              <w:spacing w:line="360" w:lineRule="auto"/>
              <w:ind w:right="-10"/>
              <w:jc w:val="left"/>
              <w:rPr>
                <w:rFonts w:hint="eastAsia" w:ascii="宋体" w:hAnsi="宋体"/>
                <w:color w:val="auto"/>
                <w:sz w:val="24"/>
                <w:highlight w:val="none"/>
              </w:rPr>
            </w:pPr>
            <w:r>
              <w:rPr>
                <w:rFonts w:hint="eastAsia" w:ascii="宋体" w:hAnsi="宋体"/>
                <w:color w:val="auto"/>
                <w:sz w:val="24"/>
                <w:highlight w:val="none"/>
                <w:lang w:eastAsia="zh-CN"/>
              </w:rPr>
              <w:t>资格审核</w:t>
            </w:r>
            <w:r>
              <w:rPr>
                <w:rFonts w:hint="eastAsia" w:ascii="宋体" w:hAnsi="宋体"/>
                <w:color w:val="auto"/>
                <w:sz w:val="24"/>
                <w:highlight w:val="none"/>
              </w:rPr>
              <w:t>指标通过标准：投标人必须通过上述全部指标。</w:t>
            </w:r>
          </w:p>
          <w:p w14:paraId="15C0DE39">
            <w:pPr>
              <w:adjustRightInd w:val="0"/>
              <w:snapToGrid w:val="0"/>
              <w:spacing w:line="420" w:lineRule="exact"/>
              <w:ind w:right="-11"/>
              <w:jc w:val="left"/>
              <w:rPr>
                <w:rFonts w:hint="eastAsia" w:ascii="宋体" w:hAnsi="宋体"/>
                <w:color w:val="auto"/>
                <w:sz w:val="24"/>
                <w:highlight w:val="none"/>
              </w:rPr>
            </w:pPr>
            <w:r>
              <w:rPr>
                <w:rFonts w:hint="eastAsia" w:ascii="宋体" w:hAnsi="宋体"/>
                <w:color w:val="auto"/>
                <w:sz w:val="24"/>
                <w:highlight w:val="none"/>
              </w:rPr>
              <w:t>评标委员会根据表中所列各项指标对投标人是否为有效标进行评审，未列入上表中的指标不得作为废标依据。</w:t>
            </w:r>
          </w:p>
        </w:tc>
      </w:tr>
    </w:tbl>
    <w:p w14:paraId="3E1A92F0">
      <w:pPr>
        <w:widowControl w:val="0"/>
        <w:numPr>
          <w:ilvl w:val="0"/>
          <w:numId w:val="0"/>
        </w:numPr>
        <w:adjustRightInd w:val="0"/>
        <w:snapToGrid w:val="0"/>
        <w:spacing w:line="360" w:lineRule="auto"/>
        <w:ind w:right="-10" w:rightChars="0"/>
        <w:jc w:val="center"/>
        <w:rPr>
          <w:rFonts w:hint="eastAsia" w:ascii="宋体" w:hAnsi="宋体"/>
          <w:color w:val="auto"/>
          <w:sz w:val="24"/>
          <w:szCs w:val="22"/>
          <w:highlight w:val="none"/>
          <w:lang w:eastAsia="zh-CN"/>
        </w:rPr>
      </w:pPr>
    </w:p>
    <w:p w14:paraId="7229F177">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r>
        <w:rPr>
          <w:rFonts w:hint="eastAsia" w:ascii="黑体" w:hAnsi="黑体" w:eastAsia="黑体" w:cs="Times New Roman"/>
          <w:bCs/>
          <w:color w:val="auto"/>
          <w:sz w:val="32"/>
          <w:szCs w:val="32"/>
          <w:highlight w:val="none"/>
          <w:lang w:eastAsia="zh-CN"/>
        </w:rPr>
        <w:t>四、商务标评审</w:t>
      </w:r>
    </w:p>
    <w:tbl>
      <w:tblPr>
        <w:tblStyle w:val="54"/>
        <w:tblW w:w="966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2329"/>
        <w:gridCol w:w="7334"/>
      </w:tblGrid>
      <w:tr w14:paraId="27DAFDC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trPr>
        <w:tc>
          <w:tcPr>
            <w:tcW w:w="2329" w:type="dxa"/>
            <w:tcBorders>
              <w:top w:val="outset" w:color="auto" w:sz="6" w:space="0"/>
              <w:left w:val="single" w:color="auto" w:sz="4" w:space="0"/>
              <w:bottom w:val="outset" w:color="auto" w:sz="6" w:space="0"/>
              <w:right w:val="single" w:color="auto" w:sz="4" w:space="0"/>
            </w:tcBorders>
            <w:noWrap w:val="0"/>
            <w:vAlign w:val="center"/>
          </w:tcPr>
          <w:p w14:paraId="1E666CA6">
            <w:pPr>
              <w:widowControl/>
              <w:ind w:firstLine="105" w:firstLineChars="50"/>
              <w:jc w:val="center"/>
              <w:rPr>
                <w:color w:val="auto"/>
                <w:kern w:val="0"/>
                <w:szCs w:val="21"/>
                <w:highlight w:val="none"/>
              </w:rPr>
            </w:pPr>
            <w:r>
              <w:rPr>
                <w:b/>
                <w:bCs/>
                <w:color w:val="auto"/>
                <w:kern w:val="0"/>
                <w:szCs w:val="21"/>
                <w:highlight w:val="none"/>
              </w:rPr>
              <w:t>评审因素</w:t>
            </w:r>
          </w:p>
        </w:tc>
        <w:tc>
          <w:tcPr>
            <w:tcW w:w="7334" w:type="dxa"/>
            <w:tcBorders>
              <w:top w:val="outset" w:color="auto" w:sz="6" w:space="0"/>
              <w:left w:val="single" w:color="auto" w:sz="4" w:space="0"/>
              <w:bottom w:val="outset" w:color="auto" w:sz="6" w:space="0"/>
              <w:right w:val="outset" w:color="auto" w:sz="6" w:space="0"/>
            </w:tcBorders>
            <w:noWrap w:val="0"/>
            <w:vAlign w:val="center"/>
          </w:tcPr>
          <w:p w14:paraId="17B83FC1">
            <w:pPr>
              <w:widowControl/>
              <w:ind w:firstLine="105" w:firstLineChars="50"/>
              <w:jc w:val="center"/>
              <w:rPr>
                <w:rFonts w:hint="eastAsia"/>
                <w:color w:val="auto"/>
                <w:kern w:val="0"/>
                <w:szCs w:val="21"/>
                <w:highlight w:val="none"/>
              </w:rPr>
            </w:pPr>
            <w:r>
              <w:rPr>
                <w:rFonts w:hint="eastAsia"/>
                <w:b/>
                <w:bCs/>
                <w:color w:val="auto"/>
                <w:kern w:val="0"/>
                <w:szCs w:val="21"/>
                <w:highlight w:val="none"/>
              </w:rPr>
              <w:t>评审标准</w:t>
            </w:r>
          </w:p>
        </w:tc>
      </w:tr>
      <w:tr w14:paraId="1E261E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D5B5A33">
            <w:pPr>
              <w:widowControl/>
              <w:jc w:val="center"/>
              <w:rPr>
                <w:color w:val="auto"/>
                <w:kern w:val="0"/>
                <w:sz w:val="24"/>
                <w:szCs w:val="24"/>
                <w:highlight w:val="none"/>
              </w:rPr>
            </w:pPr>
            <w:r>
              <w:rPr>
                <w:color w:val="auto"/>
                <w:kern w:val="0"/>
                <w:sz w:val="24"/>
                <w:szCs w:val="24"/>
                <w:highlight w:val="none"/>
              </w:rPr>
              <w:t>报价规范性评审</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66A28F7">
            <w:pPr>
              <w:widowControl/>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，“措施项目清单与计价表”中的措施费及“不可竞争项目清单与计价表”的不可竞争费</w:t>
            </w:r>
            <w:r>
              <w:rPr>
                <w:color w:val="auto"/>
                <w:kern w:val="0"/>
                <w:sz w:val="24"/>
                <w:szCs w:val="24"/>
                <w:highlight w:val="none"/>
              </w:rPr>
              <w:t>等进行规范性评审，对明显相互冲突、自相矛盾或不合理的，</w:t>
            </w:r>
            <w:r>
              <w:rPr>
                <w:rFonts w:hint="eastAsia"/>
                <w:color w:val="auto"/>
                <w:kern w:val="0"/>
                <w:sz w:val="24"/>
                <w:szCs w:val="24"/>
                <w:highlight w:val="none"/>
              </w:rPr>
              <w:t>或</w:t>
            </w:r>
            <w:r>
              <w:rPr>
                <w:color w:val="auto"/>
                <w:kern w:val="0"/>
                <w:sz w:val="24"/>
                <w:szCs w:val="24"/>
                <w:highlight w:val="none"/>
              </w:rPr>
              <w:t>未按照工程量清单计价规范要求计价的，可</w:t>
            </w:r>
            <w:r>
              <w:rPr>
                <w:rFonts w:hint="eastAsia"/>
                <w:color w:val="auto"/>
                <w:kern w:val="0"/>
                <w:sz w:val="24"/>
                <w:szCs w:val="24"/>
                <w:highlight w:val="none"/>
              </w:rPr>
              <w:t>否决其投标</w:t>
            </w:r>
            <w:r>
              <w:rPr>
                <w:color w:val="auto"/>
                <w:kern w:val="0"/>
                <w:sz w:val="24"/>
                <w:szCs w:val="24"/>
                <w:highlight w:val="none"/>
              </w:rPr>
              <w:t>（如：</w:t>
            </w:r>
            <w:r>
              <w:rPr>
                <w:rFonts w:hint="eastAsia"/>
                <w:color w:val="auto"/>
                <w:kern w:val="0"/>
                <w:sz w:val="24"/>
                <w:szCs w:val="24"/>
                <w:highlight w:val="none"/>
              </w:rPr>
              <w:t>“分部分项工程量清单综合单价分析表”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综合单价低于主材价格等情况）。</w:t>
            </w:r>
          </w:p>
        </w:tc>
      </w:tr>
      <w:tr w14:paraId="29F8DF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BEC5C19">
            <w:pPr>
              <w:widowControl/>
              <w:ind w:left="105" w:hanging="120" w:hangingChars="50"/>
              <w:jc w:val="center"/>
              <w:rPr>
                <w:color w:val="auto"/>
                <w:kern w:val="0"/>
                <w:sz w:val="24"/>
                <w:szCs w:val="24"/>
                <w:highlight w:val="none"/>
              </w:rPr>
            </w:pPr>
            <w:r>
              <w:rPr>
                <w:color w:val="auto"/>
                <w:kern w:val="0"/>
                <w:sz w:val="24"/>
                <w:szCs w:val="24"/>
                <w:highlight w:val="none"/>
              </w:rPr>
              <w:t>不平衡报价评审</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39C1C6D">
            <w:pPr>
              <w:widowControl/>
              <w:jc w:val="left"/>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明显高出最高投标限价（招标控制价）对应部分，或与最高投标限价（招标控制价）对应部分相比明显降幅过大的情况，评标委员会可认定为恶意不平衡报价，否决其投标。</w:t>
            </w:r>
          </w:p>
        </w:tc>
      </w:tr>
      <w:tr w14:paraId="1D31E5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1396F12">
            <w:pPr>
              <w:pStyle w:val="79"/>
              <w:spacing w:line="360" w:lineRule="auto"/>
              <w:jc w:val="center"/>
              <w:rPr>
                <w:color w:val="auto"/>
                <w:kern w:val="0"/>
                <w:sz w:val="24"/>
                <w:szCs w:val="24"/>
                <w:highlight w:val="none"/>
              </w:rPr>
            </w:pPr>
            <w:r>
              <w:rPr>
                <w:rFonts w:ascii="宋体" w:hAnsi="宋体" w:eastAsia="宋体"/>
                <w:b w:val="0"/>
                <w:bCs/>
                <w:color w:val="auto"/>
                <w:sz w:val="24"/>
                <w:szCs w:val="24"/>
                <w:highlight w:val="none"/>
              </w:rPr>
              <w:t>不可竞争费</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3F4588A">
            <w:pPr>
              <w:pStyle w:val="79"/>
              <w:spacing w:line="360" w:lineRule="auto"/>
              <w:rPr>
                <w:rFonts w:hint="eastAsia" w:ascii="宋体" w:hAnsi="宋体" w:eastAsia="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单位工程</w:t>
            </w:r>
            <w:r>
              <w:rPr>
                <w:rFonts w:ascii="宋体" w:hAnsi="宋体" w:eastAsia="宋体"/>
                <w:b w:val="0"/>
                <w:bCs/>
                <w:color w:val="auto"/>
                <w:sz w:val="24"/>
                <w:szCs w:val="24"/>
                <w:highlight w:val="none"/>
              </w:rPr>
              <w:t>环境保护、文明施工、安全施工、临时设施费</w:t>
            </w:r>
            <w:r>
              <w:rPr>
                <w:rFonts w:hint="eastAsia" w:ascii="宋体" w:hAnsi="宋体" w:eastAsia="宋体"/>
                <w:b w:val="0"/>
                <w:bCs/>
                <w:color w:val="auto"/>
                <w:sz w:val="24"/>
                <w:szCs w:val="24"/>
                <w:highlight w:val="none"/>
                <w:lang w:eastAsia="zh-CN"/>
              </w:rPr>
              <w:t>、扬尘防治增加费</w:t>
            </w:r>
            <w:r>
              <w:rPr>
                <w:rFonts w:ascii="宋体" w:hAnsi="宋体" w:eastAsia="宋体"/>
                <w:b w:val="0"/>
                <w:bCs/>
                <w:color w:val="auto"/>
                <w:sz w:val="24"/>
                <w:szCs w:val="24"/>
                <w:highlight w:val="none"/>
              </w:rPr>
              <w:t>报价</w:t>
            </w:r>
            <w:r>
              <w:rPr>
                <w:rFonts w:hint="eastAsia" w:ascii="宋体" w:hAnsi="宋体" w:eastAsia="宋体"/>
                <w:b w:val="0"/>
                <w:bCs/>
                <w:color w:val="auto"/>
                <w:sz w:val="24"/>
                <w:szCs w:val="24"/>
                <w:highlight w:val="none"/>
                <w:lang w:eastAsia="zh-CN"/>
              </w:rPr>
              <w:t>费</w:t>
            </w:r>
            <w:r>
              <w:rPr>
                <w:rFonts w:hint="eastAsia" w:ascii="宋体" w:hAnsi="宋体" w:eastAsia="宋体" w:cs="宋体"/>
                <w:b w:val="0"/>
                <w:bCs/>
                <w:color w:val="auto"/>
                <w:sz w:val="24"/>
                <w:szCs w:val="24"/>
                <w:highlight w:val="none"/>
              </w:rPr>
              <w:t>率低于招标文件规定的；</w:t>
            </w:r>
          </w:p>
          <w:p w14:paraId="17A9B802">
            <w:pPr>
              <w:pStyle w:val="79"/>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 xml:space="preserve">投标人工费工日单价低于招标文件规定的； </w:t>
            </w:r>
          </w:p>
          <w:p w14:paraId="4C6840C9">
            <w:pPr>
              <w:widowControl/>
              <w:jc w:val="left"/>
              <w:rPr>
                <w:color w:val="auto"/>
                <w:kern w:val="0"/>
                <w:sz w:val="24"/>
                <w:szCs w:val="24"/>
                <w:highlight w:val="none"/>
              </w:rPr>
            </w:pP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投标报价中变更暂列金额</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预留金</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招标人提供的暂估价的。</w:t>
            </w:r>
          </w:p>
        </w:tc>
      </w:tr>
      <w:tr w14:paraId="3D93E1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C041952">
            <w:pPr>
              <w:widowControl/>
              <w:ind w:left="105" w:hanging="120" w:hangingChars="50"/>
              <w:jc w:val="center"/>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val="en-US" w:eastAsia="zh-CN"/>
              </w:rPr>
              <w:t>投标函</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365A90C">
            <w:pPr>
              <w:widowControl/>
              <w:jc w:val="left"/>
              <w:rPr>
                <w:rFonts w:hint="eastAsia" w:ascii="宋体" w:hAnsi="宋体"/>
                <w:color w:val="auto"/>
                <w:sz w:val="24"/>
                <w:szCs w:val="24"/>
                <w:highlight w:val="none"/>
                <w:lang w:val="en-US" w:eastAsia="zh-CN"/>
              </w:rPr>
            </w:pPr>
          </w:p>
        </w:tc>
      </w:tr>
    </w:tbl>
    <w:p w14:paraId="3BA2B2D7">
      <w:pPr>
        <w:pStyle w:val="96"/>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说明：</w:t>
      </w:r>
    </w:p>
    <w:p w14:paraId="00BC0CC4">
      <w:pPr>
        <w:pStyle w:val="96"/>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1.商务标评审采用定性方法。</w:t>
      </w:r>
    </w:p>
    <w:p w14:paraId="0618C9CD">
      <w:pPr>
        <w:pStyle w:val="96"/>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2.评标专家根据评审要求判断每项评审内容是否合格，并在投标人评审用“</w:t>
      </w:r>
      <w:r>
        <w:rPr>
          <w:rFonts w:hint="eastAsia"/>
          <w:bCs/>
          <w:color w:val="auto"/>
          <w:szCs w:val="24"/>
          <w:highlight w:val="none"/>
          <w:lang w:val="en-US" w:eastAsia="zh-CN"/>
        </w:rPr>
        <w:t>通过</w:t>
      </w:r>
      <w:r>
        <w:rPr>
          <w:rFonts w:hint="eastAsia"/>
          <w:bCs/>
          <w:color w:val="auto"/>
          <w:szCs w:val="24"/>
          <w:highlight w:val="none"/>
        </w:rPr>
        <w:t>”、“</w:t>
      </w:r>
      <w:r>
        <w:rPr>
          <w:rFonts w:hint="eastAsia"/>
          <w:bCs/>
          <w:color w:val="auto"/>
          <w:szCs w:val="24"/>
          <w:highlight w:val="none"/>
          <w:lang w:val="en-US" w:eastAsia="zh-CN"/>
        </w:rPr>
        <w:t>不通过</w:t>
      </w:r>
      <w:r>
        <w:rPr>
          <w:rFonts w:hint="eastAsia"/>
          <w:bCs/>
          <w:color w:val="auto"/>
          <w:szCs w:val="24"/>
          <w:highlight w:val="none"/>
        </w:rPr>
        <w:t>”表示。</w:t>
      </w:r>
    </w:p>
    <w:p w14:paraId="0ECB1DD0">
      <w:pPr>
        <w:pStyle w:val="96"/>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3.</w:t>
      </w:r>
      <w:r>
        <w:rPr>
          <w:rFonts w:hint="eastAsia"/>
          <w:color w:val="auto"/>
          <w:szCs w:val="24"/>
          <w:highlight w:val="none"/>
        </w:rPr>
        <w:t xml:space="preserve"> </w:t>
      </w:r>
      <w:r>
        <w:rPr>
          <w:rFonts w:hint="eastAsia"/>
          <w:bCs/>
          <w:color w:val="auto"/>
          <w:szCs w:val="24"/>
          <w:highlight w:val="none"/>
        </w:rPr>
        <w:t>所有商务标详细评审选项必须全部通过方为合格。</w:t>
      </w:r>
    </w:p>
    <w:p w14:paraId="0DFD203E">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bookmarkStart w:id="24" w:name="_Toc390411611"/>
      <w:bookmarkStart w:id="25" w:name="_Toc421916991"/>
      <w:bookmarkStart w:id="26" w:name="_Toc460226788"/>
      <w:bookmarkStart w:id="27" w:name="_Toc460660146"/>
      <w:bookmarkStart w:id="28" w:name="_Toc460227057"/>
      <w:r>
        <w:rPr>
          <w:rFonts w:hint="eastAsia" w:ascii="黑体" w:hAnsi="黑体" w:eastAsia="黑体" w:cs="Times New Roman"/>
          <w:bCs/>
          <w:color w:val="auto"/>
          <w:sz w:val="32"/>
          <w:szCs w:val="32"/>
          <w:highlight w:val="none"/>
          <w:lang w:eastAsia="zh-CN"/>
        </w:rPr>
        <w:t>五、技术标评审</w:t>
      </w:r>
      <w:bookmarkEnd w:id="24"/>
      <w:bookmarkEnd w:id="25"/>
      <w:bookmarkEnd w:id="26"/>
      <w:bookmarkEnd w:id="27"/>
      <w:bookmarkEnd w:id="28"/>
      <w:bookmarkStart w:id="29" w:name="EB681719b034a741018f7c8d35e4b33163"/>
    </w:p>
    <w:tbl>
      <w:tblPr>
        <w:tblStyle w:val="54"/>
        <w:tblW w:w="5126" w:type="pct"/>
        <w:tblInd w:w="-14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708"/>
        <w:gridCol w:w="616"/>
        <w:gridCol w:w="1441"/>
        <w:gridCol w:w="123"/>
        <w:gridCol w:w="6409"/>
        <w:gridCol w:w="600"/>
      </w:tblGrid>
      <w:tr w14:paraId="6CB0849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358" w:type="pct"/>
            <w:tcBorders>
              <w:top w:val="outset" w:color="auto" w:sz="6" w:space="0"/>
              <w:left w:val="outset" w:color="auto" w:sz="6" w:space="0"/>
              <w:bottom w:val="outset" w:color="auto" w:sz="6" w:space="0"/>
              <w:right w:val="outset" w:color="auto" w:sz="6" w:space="0"/>
            </w:tcBorders>
            <w:noWrap w:val="0"/>
            <w:vAlign w:val="center"/>
          </w:tcPr>
          <w:p w14:paraId="15A1D079">
            <w:pPr>
              <w:pStyle w:val="106"/>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条款号</w:t>
            </w:r>
          </w:p>
        </w:tc>
        <w:tc>
          <w:tcPr>
            <w:tcW w:w="1039" w:type="pct"/>
            <w:gridSpan w:val="2"/>
            <w:tcBorders>
              <w:top w:val="outset" w:color="auto" w:sz="6" w:space="0"/>
              <w:left w:val="outset" w:color="auto" w:sz="6" w:space="0"/>
              <w:bottom w:val="outset" w:color="auto" w:sz="6" w:space="0"/>
              <w:right w:val="outset" w:color="auto" w:sz="6" w:space="0"/>
            </w:tcBorders>
            <w:noWrap w:val="0"/>
            <w:vAlign w:val="center"/>
          </w:tcPr>
          <w:p w14:paraId="4DF066ED">
            <w:pPr>
              <w:pStyle w:val="106"/>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评审因素</w:t>
            </w:r>
          </w:p>
        </w:tc>
        <w:tc>
          <w:tcPr>
            <w:tcW w:w="3300" w:type="pct"/>
            <w:gridSpan w:val="2"/>
            <w:tcBorders>
              <w:top w:val="outset" w:color="auto" w:sz="6" w:space="0"/>
              <w:left w:val="outset" w:color="auto" w:sz="6" w:space="0"/>
              <w:bottom w:val="outset" w:color="auto" w:sz="6" w:space="0"/>
              <w:right w:val="outset" w:color="auto" w:sz="6" w:space="0"/>
            </w:tcBorders>
            <w:noWrap w:val="0"/>
            <w:vAlign w:val="center"/>
          </w:tcPr>
          <w:p w14:paraId="7E4B1215">
            <w:pPr>
              <w:pStyle w:val="106"/>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评审标准</w:t>
            </w:r>
          </w:p>
        </w:tc>
        <w:tc>
          <w:tcPr>
            <w:tcW w:w="303" w:type="pct"/>
            <w:tcBorders>
              <w:top w:val="outset" w:color="auto" w:sz="6" w:space="0"/>
              <w:left w:val="outset" w:color="auto" w:sz="6" w:space="0"/>
              <w:bottom w:val="outset" w:color="auto" w:sz="6" w:space="0"/>
              <w:right w:val="outset" w:color="auto" w:sz="6" w:space="0"/>
            </w:tcBorders>
            <w:noWrap w:val="0"/>
            <w:vAlign w:val="center"/>
          </w:tcPr>
          <w:p w14:paraId="17F21CC4">
            <w:pPr>
              <w:pStyle w:val="106"/>
              <w:spacing w:line="360" w:lineRule="auto"/>
              <w:jc w:val="center"/>
              <w:rPr>
                <w:rFonts w:ascii="宋体" w:hAnsi="宋体" w:eastAsia="宋体"/>
                <w:color w:val="auto"/>
                <w:highlight w:val="none"/>
              </w:rPr>
            </w:pPr>
          </w:p>
        </w:tc>
      </w:tr>
      <w:tr w14:paraId="68DE9D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restart"/>
            <w:tcBorders>
              <w:top w:val="outset" w:color="auto" w:sz="6" w:space="0"/>
              <w:left w:val="outset" w:color="auto" w:sz="6" w:space="0"/>
              <w:bottom w:val="outset" w:color="auto" w:sz="6" w:space="0"/>
              <w:right w:val="outset" w:color="auto" w:sz="6" w:space="0"/>
            </w:tcBorders>
            <w:noWrap w:val="0"/>
            <w:vAlign w:val="top"/>
          </w:tcPr>
          <w:p w14:paraId="22DA20A9">
            <w:pPr>
              <w:pStyle w:val="106"/>
              <w:spacing w:line="240" w:lineRule="auto"/>
              <w:jc w:val="both"/>
              <w:rPr>
                <w:rFonts w:hint="eastAsia" w:ascii="宋体" w:hAnsi="宋体" w:eastAsia="宋体"/>
                <w:b/>
                <w:bCs/>
                <w:color w:val="auto"/>
                <w:highlight w:val="none"/>
                <w:lang w:eastAsia="zh-CN"/>
              </w:rPr>
            </w:pPr>
          </w:p>
          <w:p w14:paraId="6EFFB790">
            <w:pPr>
              <w:pStyle w:val="106"/>
              <w:spacing w:line="240" w:lineRule="auto"/>
              <w:jc w:val="both"/>
              <w:rPr>
                <w:rFonts w:hint="eastAsia" w:ascii="宋体" w:hAnsi="宋体" w:eastAsia="宋体"/>
                <w:b/>
                <w:bCs/>
                <w:color w:val="auto"/>
                <w:highlight w:val="none"/>
                <w:lang w:eastAsia="zh-CN"/>
              </w:rPr>
            </w:pPr>
          </w:p>
          <w:p w14:paraId="57D8CEA7">
            <w:pPr>
              <w:pStyle w:val="106"/>
              <w:spacing w:line="240" w:lineRule="auto"/>
              <w:jc w:val="both"/>
              <w:rPr>
                <w:rFonts w:hint="eastAsia" w:ascii="宋体" w:hAnsi="宋体" w:eastAsia="宋体"/>
                <w:b/>
                <w:bCs/>
                <w:color w:val="auto"/>
                <w:highlight w:val="none"/>
                <w:lang w:eastAsia="zh-CN"/>
              </w:rPr>
            </w:pPr>
          </w:p>
          <w:p w14:paraId="54428A7D">
            <w:pPr>
              <w:pStyle w:val="106"/>
              <w:spacing w:line="240" w:lineRule="auto"/>
              <w:jc w:val="both"/>
              <w:rPr>
                <w:rFonts w:hint="eastAsia" w:ascii="宋体" w:hAnsi="宋体" w:eastAsia="宋体"/>
                <w:b/>
                <w:bCs/>
                <w:color w:val="auto"/>
                <w:highlight w:val="none"/>
                <w:lang w:eastAsia="zh-CN"/>
              </w:rPr>
            </w:pPr>
          </w:p>
          <w:p w14:paraId="4BDF3B6B">
            <w:pPr>
              <w:pStyle w:val="106"/>
              <w:spacing w:line="240" w:lineRule="auto"/>
              <w:jc w:val="both"/>
              <w:rPr>
                <w:rFonts w:hint="eastAsia" w:ascii="宋体" w:hAnsi="宋体" w:eastAsia="宋体"/>
                <w:b/>
                <w:bCs/>
                <w:color w:val="auto"/>
                <w:highlight w:val="none"/>
                <w:lang w:eastAsia="zh-CN"/>
              </w:rPr>
            </w:pPr>
          </w:p>
          <w:p w14:paraId="2E6442EB">
            <w:pPr>
              <w:pStyle w:val="106"/>
              <w:spacing w:line="240" w:lineRule="auto"/>
              <w:jc w:val="both"/>
              <w:rPr>
                <w:rFonts w:hint="eastAsia" w:ascii="宋体" w:hAnsi="宋体" w:eastAsia="宋体"/>
                <w:b/>
                <w:bCs/>
                <w:color w:val="auto"/>
                <w:highlight w:val="none"/>
                <w:lang w:eastAsia="zh-CN"/>
              </w:rPr>
            </w:pPr>
          </w:p>
          <w:p w14:paraId="7D3E3C07">
            <w:pPr>
              <w:pStyle w:val="106"/>
              <w:spacing w:line="240" w:lineRule="auto"/>
              <w:jc w:val="both"/>
              <w:rPr>
                <w:rFonts w:hint="eastAsia" w:ascii="宋体" w:hAnsi="宋体" w:eastAsia="宋体"/>
                <w:b/>
                <w:bCs/>
                <w:color w:val="auto"/>
                <w:highlight w:val="none"/>
                <w:lang w:eastAsia="zh-CN"/>
              </w:rPr>
            </w:pPr>
          </w:p>
          <w:p w14:paraId="5BE0800F">
            <w:pPr>
              <w:pStyle w:val="106"/>
              <w:spacing w:line="240" w:lineRule="auto"/>
              <w:jc w:val="both"/>
              <w:rPr>
                <w:rFonts w:hint="eastAsia" w:ascii="宋体" w:hAnsi="宋体" w:eastAsia="宋体"/>
                <w:b/>
                <w:bCs/>
                <w:color w:val="auto"/>
                <w:highlight w:val="none"/>
                <w:lang w:eastAsia="zh-CN"/>
              </w:rPr>
            </w:pPr>
          </w:p>
          <w:p w14:paraId="5839D074">
            <w:pPr>
              <w:pStyle w:val="106"/>
              <w:spacing w:line="240" w:lineRule="auto"/>
              <w:ind w:firstLine="120" w:firstLineChars="50"/>
              <w:jc w:val="both"/>
              <w:rPr>
                <w:rFonts w:ascii="宋体" w:hAnsi="宋体" w:eastAsia="宋体"/>
                <w:color w:val="auto"/>
                <w:highlight w:val="none"/>
              </w:rPr>
            </w:pPr>
            <w:r>
              <w:rPr>
                <w:rFonts w:ascii="宋体" w:hAnsi="宋体" w:eastAsia="宋体"/>
                <w:b/>
                <w:bCs/>
                <w:color w:val="auto"/>
                <w:highlight w:val="none"/>
              </w:rPr>
              <w:t>5.</w:t>
            </w:r>
            <w:r>
              <w:rPr>
                <w:rFonts w:hint="eastAsia" w:ascii="宋体" w:hAnsi="宋体" w:eastAsia="宋体"/>
                <w:b/>
                <w:bCs/>
                <w:color w:val="auto"/>
                <w:highlight w:val="none"/>
                <w:lang w:eastAsia="zh-CN"/>
              </w:rPr>
              <w:t>4</w:t>
            </w:r>
          </w:p>
        </w:tc>
        <w:tc>
          <w:tcPr>
            <w:tcW w:w="311" w:type="pct"/>
            <w:vMerge w:val="restart"/>
            <w:tcBorders>
              <w:top w:val="outset" w:color="auto" w:sz="6" w:space="0"/>
              <w:left w:val="outset" w:color="auto" w:sz="6" w:space="0"/>
              <w:bottom w:val="outset" w:color="auto" w:sz="6" w:space="0"/>
              <w:right w:val="outset" w:color="auto" w:sz="6" w:space="0"/>
            </w:tcBorders>
            <w:noWrap w:val="0"/>
            <w:vAlign w:val="top"/>
          </w:tcPr>
          <w:p w14:paraId="428B9E6E">
            <w:pPr>
              <w:pStyle w:val="106"/>
              <w:spacing w:line="240" w:lineRule="auto"/>
              <w:jc w:val="center"/>
              <w:rPr>
                <w:rFonts w:hint="eastAsia" w:ascii="宋体" w:hAnsi="宋体" w:eastAsia="宋体"/>
                <w:b/>
                <w:bCs/>
                <w:color w:val="auto"/>
                <w:highlight w:val="none"/>
                <w:lang w:eastAsia="zh-CN"/>
              </w:rPr>
            </w:pPr>
          </w:p>
          <w:p w14:paraId="18AC18E6">
            <w:pPr>
              <w:pStyle w:val="106"/>
              <w:spacing w:line="240" w:lineRule="auto"/>
              <w:jc w:val="center"/>
              <w:rPr>
                <w:rFonts w:hint="eastAsia" w:ascii="宋体" w:hAnsi="宋体" w:eastAsia="宋体"/>
                <w:b/>
                <w:bCs/>
                <w:color w:val="auto"/>
                <w:highlight w:val="none"/>
                <w:lang w:eastAsia="zh-CN"/>
              </w:rPr>
            </w:pPr>
          </w:p>
          <w:p w14:paraId="5EA86F37">
            <w:pPr>
              <w:pStyle w:val="106"/>
              <w:spacing w:line="240" w:lineRule="auto"/>
              <w:jc w:val="center"/>
              <w:rPr>
                <w:rFonts w:hint="eastAsia" w:ascii="宋体" w:hAnsi="宋体" w:eastAsia="宋体"/>
                <w:b/>
                <w:bCs/>
                <w:color w:val="auto"/>
                <w:highlight w:val="none"/>
                <w:lang w:eastAsia="zh-CN"/>
              </w:rPr>
            </w:pPr>
          </w:p>
          <w:p w14:paraId="1AA9AEED">
            <w:pPr>
              <w:pStyle w:val="106"/>
              <w:spacing w:line="240" w:lineRule="auto"/>
              <w:jc w:val="center"/>
              <w:rPr>
                <w:rFonts w:hint="eastAsia" w:ascii="宋体" w:hAnsi="宋体" w:eastAsia="宋体"/>
                <w:b/>
                <w:bCs/>
                <w:color w:val="auto"/>
                <w:highlight w:val="none"/>
                <w:lang w:eastAsia="zh-CN"/>
              </w:rPr>
            </w:pPr>
          </w:p>
          <w:p w14:paraId="563AE083">
            <w:pPr>
              <w:pStyle w:val="106"/>
              <w:spacing w:line="240" w:lineRule="auto"/>
              <w:jc w:val="center"/>
              <w:rPr>
                <w:rFonts w:hint="eastAsia" w:ascii="宋体" w:hAnsi="宋体" w:eastAsia="宋体"/>
                <w:b/>
                <w:bCs/>
                <w:color w:val="auto"/>
                <w:highlight w:val="none"/>
                <w:lang w:eastAsia="zh-CN"/>
              </w:rPr>
            </w:pPr>
          </w:p>
          <w:p w14:paraId="7918DD49">
            <w:pPr>
              <w:pStyle w:val="106"/>
              <w:spacing w:line="240" w:lineRule="auto"/>
              <w:jc w:val="center"/>
              <w:rPr>
                <w:rFonts w:hint="eastAsia" w:ascii="宋体" w:hAnsi="宋体" w:eastAsia="宋体"/>
                <w:b/>
                <w:bCs/>
                <w:color w:val="auto"/>
                <w:highlight w:val="none"/>
                <w:lang w:eastAsia="zh-CN"/>
              </w:rPr>
            </w:pPr>
          </w:p>
          <w:p w14:paraId="17728AF3">
            <w:pPr>
              <w:pStyle w:val="106"/>
              <w:spacing w:line="240" w:lineRule="auto"/>
              <w:jc w:val="center"/>
              <w:rPr>
                <w:rFonts w:hint="eastAsia" w:ascii="宋体" w:hAnsi="宋体" w:eastAsia="宋体"/>
                <w:b/>
                <w:bCs/>
                <w:color w:val="auto"/>
                <w:highlight w:val="none"/>
                <w:lang w:eastAsia="zh-CN"/>
              </w:rPr>
            </w:pPr>
          </w:p>
          <w:p w14:paraId="1CE82A1C">
            <w:pPr>
              <w:pStyle w:val="106"/>
              <w:spacing w:line="240" w:lineRule="auto"/>
              <w:jc w:val="center"/>
              <w:rPr>
                <w:rFonts w:hint="eastAsia" w:ascii="宋体" w:hAnsi="宋体" w:eastAsia="宋体"/>
                <w:b/>
                <w:bCs/>
                <w:color w:val="auto"/>
                <w:highlight w:val="none"/>
                <w:lang w:eastAsia="zh-CN"/>
              </w:rPr>
            </w:pPr>
          </w:p>
          <w:p w14:paraId="7674D8FC">
            <w:pPr>
              <w:pStyle w:val="106"/>
              <w:spacing w:line="240" w:lineRule="auto"/>
              <w:jc w:val="center"/>
              <w:rPr>
                <w:rFonts w:hint="eastAsia" w:ascii="宋体" w:hAnsi="宋体" w:eastAsia="宋体"/>
                <w:b/>
                <w:bCs/>
                <w:color w:val="auto"/>
                <w:highlight w:val="none"/>
                <w:lang w:eastAsia="zh-CN"/>
              </w:rPr>
            </w:pPr>
          </w:p>
          <w:p w14:paraId="25A32EB1">
            <w:pPr>
              <w:pStyle w:val="106"/>
              <w:spacing w:line="240" w:lineRule="auto"/>
              <w:jc w:val="center"/>
              <w:rPr>
                <w:rFonts w:hint="eastAsia" w:ascii="宋体" w:hAnsi="宋体" w:eastAsia="宋体"/>
                <w:b/>
                <w:bCs/>
                <w:color w:val="auto"/>
                <w:highlight w:val="none"/>
                <w:lang w:eastAsia="zh-CN"/>
              </w:rPr>
            </w:pPr>
          </w:p>
          <w:p w14:paraId="3BA943DB">
            <w:pPr>
              <w:pStyle w:val="106"/>
              <w:spacing w:line="240" w:lineRule="auto"/>
              <w:jc w:val="center"/>
              <w:rPr>
                <w:rFonts w:ascii="宋体" w:hAnsi="宋体" w:eastAsia="宋体"/>
                <w:color w:val="auto"/>
                <w:highlight w:val="none"/>
              </w:rPr>
            </w:pPr>
            <w:r>
              <w:rPr>
                <w:rFonts w:ascii="宋体" w:hAnsi="宋体" w:eastAsia="宋体"/>
                <w:b/>
                <w:bCs/>
                <w:color w:val="auto"/>
                <w:highlight w:val="none"/>
              </w:rPr>
              <w:t>技术详评标准</w:t>
            </w:r>
          </w:p>
        </w:tc>
        <w:tc>
          <w:tcPr>
            <w:tcW w:w="4331" w:type="pct"/>
            <w:gridSpan w:val="4"/>
            <w:tcBorders>
              <w:top w:val="outset" w:color="auto" w:sz="6" w:space="0"/>
              <w:left w:val="outset" w:color="auto" w:sz="6" w:space="0"/>
              <w:bottom w:val="outset" w:color="auto" w:sz="6" w:space="0"/>
              <w:right w:val="outset" w:color="auto" w:sz="6" w:space="0"/>
            </w:tcBorders>
            <w:noWrap w:val="0"/>
            <w:tcMar>
              <w:left w:w="75" w:type="dxa"/>
            </w:tcMar>
            <w:vAlign w:val="top"/>
          </w:tcPr>
          <w:p w14:paraId="1BC2F309">
            <w:pPr>
              <w:pStyle w:val="106"/>
              <w:spacing w:line="240" w:lineRule="auto"/>
              <w:jc w:val="center"/>
              <w:rPr>
                <w:rFonts w:ascii="宋体" w:hAnsi="宋体" w:eastAsia="宋体"/>
                <w:color w:val="auto"/>
                <w:highlight w:val="none"/>
              </w:rPr>
            </w:pPr>
            <w:r>
              <w:rPr>
                <w:rFonts w:hint="eastAsia" w:ascii="宋体" w:hAnsi="宋体"/>
                <w:color w:val="auto"/>
                <w:highlight w:val="none"/>
              </w:rPr>
              <w:t>施工组织设计</w:t>
            </w:r>
          </w:p>
        </w:tc>
      </w:tr>
      <w:tr w14:paraId="62734CC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35FAE75C">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B44C455">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1EB4C243">
            <w:pPr>
              <w:pStyle w:val="106"/>
              <w:spacing w:line="240" w:lineRule="auto"/>
              <w:jc w:val="center"/>
              <w:rPr>
                <w:rFonts w:ascii="宋体" w:hAnsi="宋体" w:eastAsia="宋体"/>
                <w:color w:val="auto"/>
                <w:highlight w:val="none"/>
              </w:rPr>
            </w:pPr>
            <w:r>
              <w:rPr>
                <w:rFonts w:ascii="宋体" w:hAnsi="宋体" w:eastAsia="宋体"/>
                <w:color w:val="auto"/>
                <w:highlight w:val="none"/>
              </w:rPr>
              <w:t>工程概况</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27932D2F">
            <w:pPr>
              <w:pStyle w:val="106"/>
              <w:spacing w:line="240" w:lineRule="auto"/>
              <w:jc w:val="both"/>
              <w:rPr>
                <w:rFonts w:ascii="宋体" w:hAnsi="宋体" w:eastAsia="宋体"/>
                <w:color w:val="auto"/>
                <w:highlight w:val="none"/>
              </w:rPr>
            </w:pPr>
            <w:r>
              <w:rPr>
                <w:rFonts w:ascii="宋体" w:hAnsi="宋体" w:eastAsia="宋体"/>
                <w:color w:val="auto"/>
                <w:highlight w:val="none"/>
              </w:rPr>
              <w:t>描述是否准确</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D72A31D">
            <w:pPr>
              <w:pStyle w:val="106"/>
              <w:spacing w:line="360" w:lineRule="auto"/>
              <w:jc w:val="center"/>
              <w:rPr>
                <w:rFonts w:ascii="宋体" w:hAnsi="宋体" w:eastAsia="宋体"/>
                <w:color w:val="auto"/>
                <w:highlight w:val="none"/>
              </w:rPr>
            </w:pPr>
          </w:p>
        </w:tc>
      </w:tr>
      <w:tr w14:paraId="607156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97533D7">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66A493EF">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3A5D2CDF">
            <w:pPr>
              <w:pStyle w:val="106"/>
              <w:spacing w:line="240" w:lineRule="auto"/>
              <w:jc w:val="center"/>
              <w:rPr>
                <w:rFonts w:ascii="宋体" w:hAnsi="宋体" w:eastAsia="宋体"/>
                <w:color w:val="auto"/>
                <w:highlight w:val="none"/>
              </w:rPr>
            </w:pPr>
            <w:r>
              <w:rPr>
                <w:rFonts w:ascii="宋体" w:hAnsi="宋体" w:eastAsia="宋体"/>
                <w:color w:val="auto"/>
                <w:highlight w:val="none"/>
              </w:rPr>
              <w:t>主要施工方法</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589B304D">
            <w:pPr>
              <w:pStyle w:val="106"/>
              <w:spacing w:line="240" w:lineRule="auto"/>
              <w:jc w:val="both"/>
              <w:rPr>
                <w:rFonts w:ascii="宋体" w:hAnsi="宋体" w:eastAsia="宋体"/>
                <w:color w:val="auto"/>
                <w:highlight w:val="none"/>
              </w:rPr>
            </w:pPr>
            <w:r>
              <w:rPr>
                <w:rFonts w:ascii="宋体" w:hAnsi="宋体" w:eastAsia="宋体"/>
                <w:color w:val="auto"/>
                <w:highlight w:val="none"/>
              </w:rPr>
              <w:t>各主要分部施工方法符合项目实际，须有详尽的施工技术方案，工艺先进、方法科学合理、可行，能指导具体施工并确保安全。</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7841C09">
            <w:pPr>
              <w:pStyle w:val="106"/>
              <w:spacing w:line="360" w:lineRule="auto"/>
              <w:jc w:val="center"/>
              <w:rPr>
                <w:rFonts w:ascii="宋体" w:hAnsi="宋体" w:eastAsia="宋体"/>
                <w:color w:val="auto"/>
                <w:highlight w:val="none"/>
              </w:rPr>
            </w:pPr>
          </w:p>
        </w:tc>
      </w:tr>
      <w:tr w14:paraId="023CC8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79495377">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53870D3">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7F7A318B">
            <w:pPr>
              <w:pStyle w:val="106"/>
              <w:spacing w:line="240" w:lineRule="auto"/>
              <w:jc w:val="center"/>
              <w:rPr>
                <w:rFonts w:ascii="宋体" w:hAnsi="宋体" w:eastAsia="宋体"/>
                <w:color w:val="auto"/>
                <w:highlight w:val="none"/>
              </w:rPr>
            </w:pPr>
            <w:r>
              <w:rPr>
                <w:rFonts w:ascii="宋体" w:hAnsi="宋体" w:eastAsia="宋体"/>
                <w:color w:val="auto"/>
                <w:highlight w:val="none"/>
              </w:rPr>
              <w:t>拟投入的主要物资计划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65E4EB8">
            <w:pPr>
              <w:pStyle w:val="106"/>
              <w:spacing w:line="240" w:lineRule="auto"/>
              <w:jc w:val="both"/>
              <w:rPr>
                <w:rFonts w:ascii="宋体" w:hAnsi="宋体" w:eastAsia="宋体"/>
                <w:color w:val="auto"/>
                <w:highlight w:val="none"/>
              </w:rPr>
            </w:pPr>
            <w:r>
              <w:rPr>
                <w:rFonts w:ascii="宋体" w:hAnsi="宋体" w:eastAsia="宋体"/>
                <w:color w:val="auto"/>
                <w:highlight w:val="none"/>
              </w:rPr>
              <w:t>投入的施工材料有详细计划且计划周密，数量、选型配置、进场数量、时间安排合理，满足施工需要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D01701C">
            <w:pPr>
              <w:pStyle w:val="106"/>
              <w:spacing w:line="360" w:lineRule="auto"/>
              <w:jc w:val="center"/>
              <w:rPr>
                <w:rFonts w:ascii="宋体" w:hAnsi="宋体" w:eastAsia="宋体"/>
                <w:color w:val="auto"/>
                <w:highlight w:val="none"/>
              </w:rPr>
            </w:pPr>
          </w:p>
        </w:tc>
      </w:tr>
      <w:tr w14:paraId="10433A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0C1FAB17">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FF7965A">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15F6BF7">
            <w:pPr>
              <w:pStyle w:val="106"/>
              <w:spacing w:line="240" w:lineRule="auto"/>
              <w:jc w:val="center"/>
              <w:rPr>
                <w:rFonts w:ascii="宋体" w:hAnsi="宋体" w:eastAsia="宋体"/>
                <w:color w:val="auto"/>
                <w:highlight w:val="none"/>
              </w:rPr>
            </w:pPr>
            <w:r>
              <w:rPr>
                <w:rFonts w:ascii="宋体" w:hAnsi="宋体" w:eastAsia="宋体"/>
                <w:color w:val="auto"/>
                <w:highlight w:val="none"/>
              </w:rPr>
              <w:t>拟投入的主要施工机械、设备计划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3CAC92E5">
            <w:pPr>
              <w:pStyle w:val="106"/>
              <w:spacing w:line="240" w:lineRule="auto"/>
              <w:jc w:val="both"/>
              <w:rPr>
                <w:rFonts w:ascii="宋体" w:hAnsi="宋体" w:eastAsia="宋体"/>
                <w:color w:val="auto"/>
                <w:highlight w:val="none"/>
              </w:rPr>
            </w:pPr>
            <w:r>
              <w:rPr>
                <w:rFonts w:ascii="宋体" w:hAnsi="宋体" w:eastAsia="宋体"/>
                <w:color w:val="auto"/>
                <w:highlight w:val="none"/>
              </w:rPr>
              <w:t>投入的施工机械、设备、机具有详细计划且计划周密，设备数量、选型配置、进场数量、时间安排合理，满足施工需要。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9EA258C">
            <w:pPr>
              <w:pStyle w:val="106"/>
              <w:spacing w:line="360" w:lineRule="auto"/>
              <w:jc w:val="center"/>
              <w:rPr>
                <w:rFonts w:ascii="宋体" w:hAnsi="宋体" w:eastAsia="宋体"/>
                <w:color w:val="auto"/>
                <w:highlight w:val="none"/>
              </w:rPr>
            </w:pPr>
          </w:p>
        </w:tc>
      </w:tr>
      <w:tr w14:paraId="018126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3B101D0">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BEA5FB8">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35F53A09">
            <w:pPr>
              <w:pStyle w:val="106"/>
              <w:spacing w:line="240" w:lineRule="auto"/>
              <w:jc w:val="center"/>
              <w:rPr>
                <w:rFonts w:hint="eastAsia" w:ascii="宋体" w:hAnsi="宋体" w:eastAsia="宋体"/>
                <w:color w:val="auto"/>
                <w:highlight w:val="none"/>
                <w:lang w:eastAsia="zh-CN"/>
              </w:rPr>
            </w:pPr>
            <w:r>
              <w:rPr>
                <w:rFonts w:ascii="宋体" w:hAnsi="宋体" w:eastAsia="宋体"/>
                <w:color w:val="auto"/>
                <w:highlight w:val="none"/>
              </w:rPr>
              <w:t>劳动力安排</w:t>
            </w:r>
          </w:p>
          <w:p w14:paraId="3C02F28D">
            <w:pPr>
              <w:pStyle w:val="106"/>
              <w:spacing w:line="240" w:lineRule="auto"/>
              <w:jc w:val="center"/>
              <w:rPr>
                <w:rFonts w:ascii="宋体" w:hAnsi="宋体" w:eastAsia="宋体"/>
                <w:color w:val="auto"/>
                <w:highlight w:val="none"/>
              </w:rPr>
            </w:pPr>
            <w:r>
              <w:rPr>
                <w:rFonts w:ascii="宋体" w:hAnsi="宋体" w:eastAsia="宋体"/>
                <w:color w:val="auto"/>
                <w:highlight w:val="none"/>
              </w:rPr>
              <w:t>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D50D2D1">
            <w:pPr>
              <w:pStyle w:val="106"/>
              <w:spacing w:line="240" w:lineRule="auto"/>
              <w:jc w:val="both"/>
              <w:rPr>
                <w:rFonts w:ascii="宋体" w:hAnsi="宋体" w:eastAsia="宋体"/>
                <w:color w:val="auto"/>
                <w:highlight w:val="none"/>
              </w:rPr>
            </w:pPr>
            <w:r>
              <w:rPr>
                <w:rFonts w:ascii="宋体" w:hAnsi="宋体" w:eastAsia="宋体"/>
                <w:color w:val="auto"/>
                <w:highlight w:val="none"/>
              </w:rPr>
              <w:t>各主要施工工序应有详细周密的劳动力安排计划明细，有各工种劳动力安排计划，劳动力投入经济合理，满足施工需要。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53935E2">
            <w:pPr>
              <w:pStyle w:val="106"/>
              <w:spacing w:line="360" w:lineRule="auto"/>
              <w:jc w:val="center"/>
              <w:rPr>
                <w:rFonts w:ascii="宋体" w:hAnsi="宋体" w:eastAsia="宋体"/>
                <w:color w:val="auto"/>
                <w:highlight w:val="none"/>
              </w:rPr>
            </w:pPr>
          </w:p>
        </w:tc>
      </w:tr>
      <w:tr w14:paraId="21ECDE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3723D52">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0B3FDE8">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2ECBA869">
            <w:pPr>
              <w:pStyle w:val="106"/>
              <w:spacing w:line="240" w:lineRule="auto"/>
              <w:jc w:val="center"/>
              <w:rPr>
                <w:rFonts w:ascii="宋体" w:hAnsi="宋体" w:eastAsia="宋体"/>
                <w:color w:val="auto"/>
                <w:highlight w:val="none"/>
              </w:rPr>
            </w:pPr>
            <w:r>
              <w:rPr>
                <w:rFonts w:ascii="宋体" w:hAnsi="宋体" w:eastAsia="宋体"/>
                <w:color w:val="auto"/>
                <w:highlight w:val="none"/>
              </w:rPr>
              <w:t>确保工程质量的技术组织措施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5F514DA">
            <w:pPr>
              <w:pStyle w:val="106"/>
              <w:spacing w:line="240" w:lineRule="auto"/>
              <w:jc w:val="both"/>
              <w:rPr>
                <w:rFonts w:ascii="宋体" w:hAnsi="宋体" w:eastAsia="宋体"/>
                <w:color w:val="auto"/>
                <w:highlight w:val="none"/>
              </w:rPr>
            </w:pPr>
            <w:r>
              <w:rPr>
                <w:rFonts w:ascii="宋体" w:hAnsi="宋体" w:eastAsia="宋体"/>
                <w:color w:val="auto"/>
                <w:highlight w:val="none"/>
              </w:rPr>
              <w:t>施工项目应有专门的质量技术管理班子和制度，且人员配备合理，制度健全。主要工序应有质量技术保证措施和手段，自控体系完整，能有效保证技术质量，达到承诺的质量标准。</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7185A0C">
            <w:pPr>
              <w:pStyle w:val="106"/>
              <w:spacing w:line="360" w:lineRule="auto"/>
              <w:jc w:val="center"/>
              <w:rPr>
                <w:rFonts w:ascii="宋体" w:hAnsi="宋体" w:eastAsia="宋体"/>
                <w:color w:val="auto"/>
                <w:highlight w:val="none"/>
              </w:rPr>
            </w:pPr>
          </w:p>
        </w:tc>
      </w:tr>
      <w:tr w14:paraId="46288C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3035BBF">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2EFA1D7C">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A150E68">
            <w:pPr>
              <w:pStyle w:val="106"/>
              <w:spacing w:line="240" w:lineRule="auto"/>
              <w:jc w:val="center"/>
              <w:rPr>
                <w:rFonts w:ascii="宋体" w:hAnsi="宋体" w:eastAsia="宋体"/>
                <w:color w:val="auto"/>
                <w:highlight w:val="none"/>
              </w:rPr>
            </w:pPr>
            <w:r>
              <w:rPr>
                <w:rFonts w:ascii="宋体" w:hAnsi="宋体" w:eastAsia="宋体"/>
                <w:color w:val="auto"/>
                <w:highlight w:val="none"/>
              </w:rPr>
              <w:t>确保安全生产的技术组织措施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B2B1C60">
            <w:pPr>
              <w:pStyle w:val="106"/>
              <w:spacing w:line="240" w:lineRule="auto"/>
              <w:jc w:val="both"/>
              <w:rPr>
                <w:rFonts w:ascii="宋体" w:hAnsi="宋体" w:eastAsia="宋体"/>
                <w:color w:val="auto"/>
                <w:highlight w:val="none"/>
              </w:rPr>
            </w:pPr>
            <w:r>
              <w:rPr>
                <w:rFonts w:ascii="宋体" w:hAnsi="宋体" w:eastAsia="宋体"/>
                <w:color w:val="auto"/>
                <w:highlight w:val="none"/>
              </w:rPr>
              <w:t>施工项目应有专门的安全管理人员和制度，且人员配备合理，制度健全，各道工序安全技术措施针对性强，符合实际且满足有关安全技术标准要求。现场防火、社会治安安全措施得力。</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65278E6">
            <w:pPr>
              <w:pStyle w:val="106"/>
              <w:spacing w:line="360" w:lineRule="auto"/>
              <w:jc w:val="center"/>
              <w:rPr>
                <w:rFonts w:ascii="宋体" w:hAnsi="宋体" w:eastAsia="宋体"/>
                <w:color w:val="auto"/>
                <w:highlight w:val="none"/>
              </w:rPr>
            </w:pPr>
          </w:p>
        </w:tc>
      </w:tr>
      <w:tr w14:paraId="327FE0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1DB7BE01">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3C6F053">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442B9709">
            <w:pPr>
              <w:pStyle w:val="106"/>
              <w:spacing w:line="240" w:lineRule="auto"/>
              <w:jc w:val="center"/>
              <w:rPr>
                <w:rFonts w:ascii="宋体" w:hAnsi="宋体" w:eastAsia="宋体"/>
                <w:color w:val="auto"/>
                <w:highlight w:val="none"/>
              </w:rPr>
            </w:pPr>
            <w:r>
              <w:rPr>
                <w:rFonts w:ascii="宋体" w:hAnsi="宋体" w:eastAsia="宋体"/>
                <w:color w:val="auto"/>
                <w:highlight w:val="none"/>
              </w:rPr>
              <w:t>确保工期的技术组织措施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597048B4">
            <w:pPr>
              <w:pStyle w:val="106"/>
              <w:spacing w:line="240" w:lineRule="auto"/>
              <w:jc w:val="both"/>
              <w:rPr>
                <w:rFonts w:ascii="宋体" w:hAnsi="宋体" w:eastAsia="宋体"/>
                <w:color w:val="auto"/>
                <w:highlight w:val="none"/>
              </w:rPr>
            </w:pPr>
            <w:r>
              <w:rPr>
                <w:rFonts w:ascii="宋体" w:hAnsi="宋体" w:eastAsia="宋体"/>
                <w:color w:val="auto"/>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1D29FBC">
            <w:pPr>
              <w:pStyle w:val="106"/>
              <w:spacing w:line="360" w:lineRule="auto"/>
              <w:jc w:val="center"/>
              <w:rPr>
                <w:rFonts w:ascii="宋体" w:hAnsi="宋体" w:eastAsia="宋体"/>
                <w:color w:val="auto"/>
                <w:highlight w:val="none"/>
              </w:rPr>
            </w:pPr>
          </w:p>
        </w:tc>
      </w:tr>
      <w:tr w14:paraId="435C47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782671E5">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0B5F2B1F">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DA2593D">
            <w:pPr>
              <w:pStyle w:val="106"/>
              <w:spacing w:line="240" w:lineRule="auto"/>
              <w:jc w:val="center"/>
              <w:rPr>
                <w:rFonts w:ascii="宋体" w:hAnsi="宋体" w:eastAsia="宋体"/>
                <w:color w:val="auto"/>
                <w:highlight w:val="none"/>
              </w:rPr>
            </w:pPr>
            <w:r>
              <w:rPr>
                <w:rFonts w:ascii="宋体" w:hAnsi="宋体" w:eastAsia="宋体"/>
                <w:color w:val="auto"/>
                <w:highlight w:val="none"/>
              </w:rPr>
              <w:t>确保文明施工的技术组织措施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67EE4B01">
            <w:pPr>
              <w:pStyle w:val="106"/>
              <w:spacing w:line="240" w:lineRule="auto"/>
              <w:jc w:val="both"/>
              <w:rPr>
                <w:rFonts w:ascii="宋体" w:hAnsi="宋体" w:eastAsia="宋体"/>
                <w:color w:val="auto"/>
                <w:highlight w:val="none"/>
              </w:rPr>
            </w:pPr>
            <w:r>
              <w:rPr>
                <w:rFonts w:ascii="宋体" w:hAnsi="宋体" w:eastAsia="宋体"/>
                <w:color w:val="auto"/>
                <w:highlight w:val="none"/>
              </w:rPr>
              <w:t>针对本工程项目特点，应有现场文明施工计划，环境保护措施，且计划措施内容应达到“安全文明示范工地”标准。各项措施周全、具体、有效。有具体实现现场文明施工目标的承诺。</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7B6A330">
            <w:pPr>
              <w:pStyle w:val="106"/>
              <w:spacing w:line="360" w:lineRule="auto"/>
              <w:jc w:val="center"/>
              <w:rPr>
                <w:rFonts w:ascii="宋体" w:hAnsi="宋体" w:eastAsia="宋体"/>
                <w:color w:val="auto"/>
                <w:highlight w:val="none"/>
              </w:rPr>
            </w:pPr>
          </w:p>
        </w:tc>
      </w:tr>
      <w:tr w14:paraId="38C46A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E2899CE">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100BC6D">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1E2AE3DB">
            <w:pPr>
              <w:pStyle w:val="106"/>
              <w:spacing w:line="240" w:lineRule="auto"/>
              <w:jc w:val="center"/>
              <w:rPr>
                <w:rFonts w:ascii="宋体" w:hAnsi="宋体" w:eastAsia="宋体"/>
                <w:color w:val="auto"/>
                <w:highlight w:val="none"/>
              </w:rPr>
            </w:pPr>
            <w:r>
              <w:rPr>
                <w:rFonts w:ascii="宋体" w:hAnsi="宋体" w:eastAsia="宋体"/>
                <w:color w:val="auto"/>
                <w:highlight w:val="none"/>
              </w:rPr>
              <w:t>施工总平面布置图</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25D65052">
            <w:pPr>
              <w:pStyle w:val="106"/>
              <w:spacing w:line="240" w:lineRule="auto"/>
              <w:jc w:val="both"/>
              <w:rPr>
                <w:rFonts w:ascii="宋体" w:hAnsi="宋体" w:eastAsia="宋体"/>
                <w:color w:val="auto"/>
                <w:highlight w:val="none"/>
              </w:rPr>
            </w:pPr>
            <w:r>
              <w:rPr>
                <w:rFonts w:ascii="宋体" w:hAnsi="宋体" w:eastAsia="宋体"/>
                <w:color w:val="auto"/>
                <w:highlight w:val="none"/>
              </w:rPr>
              <w:t>应有施工总平面布置图，安排科学合理，符合本项目施工实际要求。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C2815E9">
            <w:pPr>
              <w:pStyle w:val="106"/>
              <w:spacing w:line="360" w:lineRule="auto"/>
              <w:jc w:val="center"/>
              <w:rPr>
                <w:rFonts w:ascii="宋体" w:hAnsi="宋体" w:eastAsia="宋体"/>
                <w:color w:val="auto"/>
                <w:highlight w:val="none"/>
              </w:rPr>
            </w:pPr>
          </w:p>
        </w:tc>
      </w:tr>
      <w:tr w14:paraId="71FD22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7325F35">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AF35EAA">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74861EC7">
            <w:pPr>
              <w:pStyle w:val="106"/>
              <w:spacing w:line="240" w:lineRule="auto"/>
              <w:jc w:val="center"/>
              <w:rPr>
                <w:rFonts w:ascii="宋体" w:hAnsi="宋体" w:eastAsia="宋体"/>
                <w:color w:val="auto"/>
                <w:highlight w:val="none"/>
              </w:rPr>
            </w:pPr>
            <w:r>
              <w:rPr>
                <w:rFonts w:ascii="宋体" w:hAnsi="宋体" w:eastAsia="宋体"/>
                <w:color w:val="auto"/>
                <w:highlight w:val="none"/>
              </w:rPr>
              <w:t>重点、难点</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163FF234">
            <w:pPr>
              <w:pStyle w:val="106"/>
              <w:spacing w:line="240" w:lineRule="auto"/>
              <w:jc w:val="both"/>
              <w:rPr>
                <w:rFonts w:ascii="宋体" w:hAnsi="宋体" w:eastAsia="宋体"/>
                <w:color w:val="auto"/>
                <w:highlight w:val="none"/>
              </w:rPr>
            </w:pPr>
            <w:r>
              <w:rPr>
                <w:rFonts w:ascii="宋体" w:hAnsi="宋体" w:eastAsia="宋体"/>
                <w:color w:val="auto"/>
                <w:highlight w:val="none"/>
              </w:rPr>
              <w:t>满足招标文件前附表重难点要求，应单独成章，可以根据投标人理解另行增加内容。</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332B0BD">
            <w:pPr>
              <w:pStyle w:val="106"/>
              <w:spacing w:line="360" w:lineRule="auto"/>
              <w:jc w:val="center"/>
              <w:rPr>
                <w:rFonts w:ascii="宋体" w:hAnsi="宋体" w:eastAsia="宋体"/>
                <w:color w:val="auto"/>
                <w:highlight w:val="none"/>
              </w:rPr>
            </w:pPr>
          </w:p>
        </w:tc>
      </w:tr>
      <w:tr w14:paraId="6DFF68F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8D725AF">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F3F054E">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center"/>
          </w:tcPr>
          <w:p w14:paraId="05CDB52C">
            <w:pPr>
              <w:pStyle w:val="106"/>
              <w:adjustRightInd w:val="0"/>
              <w:snapToGrid w:val="0"/>
              <w:spacing w:line="240" w:lineRule="auto"/>
              <w:jc w:val="center"/>
              <w:rPr>
                <w:rFonts w:ascii="宋体" w:hAnsi="宋体" w:eastAsia="宋体"/>
                <w:color w:val="auto"/>
                <w:highlight w:val="none"/>
              </w:rPr>
            </w:pPr>
            <w:r>
              <w:rPr>
                <w:rFonts w:ascii="宋体" w:hAnsi="宋体" w:eastAsia="宋体"/>
                <w:color w:val="auto"/>
                <w:highlight w:val="none"/>
              </w:rPr>
              <w:t>施工组织设计整体</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5F4BE95">
            <w:pPr>
              <w:pStyle w:val="106"/>
              <w:adjustRightInd w:val="0"/>
              <w:snapToGrid w:val="0"/>
              <w:spacing w:line="240" w:lineRule="auto"/>
              <w:jc w:val="both"/>
              <w:rPr>
                <w:rFonts w:hint="eastAsia" w:ascii="宋体" w:hAnsi="宋体" w:eastAsia="宋体"/>
                <w:color w:val="auto"/>
                <w:highlight w:val="none"/>
                <w:lang w:eastAsia="zh-CN"/>
              </w:rPr>
            </w:pPr>
            <w:r>
              <w:rPr>
                <w:rFonts w:ascii="宋体" w:hAnsi="宋体" w:eastAsia="宋体"/>
                <w:color w:val="auto"/>
                <w:highlight w:val="none"/>
              </w:rPr>
              <w:t>针对性、完整性符合要求。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68989DDA">
            <w:pPr>
              <w:pStyle w:val="106"/>
              <w:spacing w:line="360" w:lineRule="auto"/>
              <w:jc w:val="center"/>
              <w:rPr>
                <w:rFonts w:ascii="宋体" w:hAnsi="宋体" w:eastAsia="宋体"/>
                <w:color w:val="auto"/>
                <w:highlight w:val="none"/>
              </w:rPr>
            </w:pPr>
          </w:p>
        </w:tc>
      </w:tr>
      <w:tr w14:paraId="7F5641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D007C65">
            <w:pPr>
              <w:pStyle w:val="106"/>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470BC6E3">
            <w:pPr>
              <w:pStyle w:val="106"/>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FBD24A5">
            <w:pPr>
              <w:pStyle w:val="106"/>
              <w:spacing w:line="240" w:lineRule="auto"/>
              <w:jc w:val="center"/>
              <w:rPr>
                <w:rFonts w:ascii="宋体" w:hAnsi="宋体" w:eastAsia="宋体"/>
                <w:color w:val="auto"/>
                <w:highlight w:val="none"/>
              </w:rPr>
            </w:pPr>
            <w:r>
              <w:rPr>
                <w:rFonts w:ascii="宋体" w:hAnsi="宋体" w:eastAsia="宋体"/>
                <w:color w:val="auto"/>
                <w:highlight w:val="none"/>
              </w:rPr>
              <w:t>其它</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AB50F5B">
            <w:pPr>
              <w:pStyle w:val="106"/>
              <w:spacing w:line="240" w:lineRule="auto"/>
              <w:jc w:val="both"/>
              <w:rPr>
                <w:rFonts w:ascii="宋体" w:hAnsi="宋体" w:eastAsia="宋体"/>
                <w:color w:val="auto"/>
                <w:highlight w:val="none"/>
              </w:rPr>
            </w:pP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B51E6C6">
            <w:pPr>
              <w:pStyle w:val="106"/>
              <w:spacing w:line="360" w:lineRule="auto"/>
              <w:jc w:val="center"/>
              <w:rPr>
                <w:rFonts w:ascii="宋体" w:hAnsi="宋体" w:eastAsia="宋体"/>
                <w:color w:val="auto"/>
                <w:highlight w:val="none"/>
              </w:rPr>
            </w:pPr>
          </w:p>
        </w:tc>
      </w:tr>
    </w:tbl>
    <w:p w14:paraId="3CFB9C34">
      <w:pPr>
        <w:rPr>
          <w:rFonts w:ascii="宋体" w:hAnsi="宋体"/>
          <w:color w:val="auto"/>
          <w:highlight w:val="none"/>
        </w:rPr>
      </w:pPr>
      <w:r>
        <w:rPr>
          <w:rFonts w:ascii="宋体" w:hAnsi="宋体"/>
          <w:color w:val="auto"/>
          <w:highlight w:val="none"/>
        </w:rPr>
        <w:t xml:space="preserve"> </w:t>
      </w:r>
      <w:bookmarkEnd w:id="29"/>
    </w:p>
    <w:p w14:paraId="46F77F1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说明：</w:t>
      </w:r>
    </w:p>
    <w:p w14:paraId="086CECC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1.技术标评审采用定性方法。</w:t>
      </w:r>
    </w:p>
    <w:p w14:paraId="01E8CA9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2.评标专家根据评审要求判断每项评审内容是否合格，并在投标人评审空格内用</w:t>
      </w:r>
      <w:r>
        <w:rPr>
          <w:rFonts w:hint="eastAsia"/>
          <w:bCs/>
          <w:color w:val="auto"/>
          <w:szCs w:val="24"/>
          <w:highlight w:val="none"/>
        </w:rPr>
        <w:t>“</w:t>
      </w:r>
      <w:r>
        <w:rPr>
          <w:rFonts w:hint="eastAsia"/>
          <w:bCs/>
          <w:color w:val="auto"/>
          <w:szCs w:val="24"/>
          <w:highlight w:val="none"/>
          <w:lang w:val="en-US" w:eastAsia="zh-CN"/>
        </w:rPr>
        <w:t>通过</w:t>
      </w:r>
      <w:r>
        <w:rPr>
          <w:rFonts w:hint="eastAsia"/>
          <w:bCs/>
          <w:color w:val="auto"/>
          <w:szCs w:val="24"/>
          <w:highlight w:val="none"/>
        </w:rPr>
        <w:t>”、“</w:t>
      </w:r>
      <w:r>
        <w:rPr>
          <w:rFonts w:hint="eastAsia"/>
          <w:bCs/>
          <w:color w:val="auto"/>
          <w:szCs w:val="24"/>
          <w:highlight w:val="none"/>
          <w:lang w:val="en-US" w:eastAsia="zh-CN"/>
        </w:rPr>
        <w:t>不通过</w:t>
      </w:r>
      <w:r>
        <w:rPr>
          <w:rFonts w:hint="eastAsia"/>
          <w:bCs/>
          <w:color w:val="auto"/>
          <w:szCs w:val="24"/>
          <w:highlight w:val="none"/>
        </w:rPr>
        <w:t>”</w:t>
      </w:r>
      <w:r>
        <w:rPr>
          <w:rFonts w:hint="eastAsia" w:ascii="宋体" w:hAnsi="宋体"/>
          <w:color w:val="auto"/>
          <w:sz w:val="24"/>
          <w:szCs w:val="24"/>
          <w:highlight w:val="none"/>
        </w:rPr>
        <w:t>表示。</w:t>
      </w:r>
    </w:p>
    <w:p w14:paraId="4D99258F">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3.所有选项必须通过</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%以上，技术标方为通过。</w:t>
      </w:r>
    </w:p>
    <w:p w14:paraId="667E480F">
      <w:pPr>
        <w:pStyle w:val="96"/>
        <w:widowControl w:val="0"/>
        <w:spacing w:before="0" w:beforeAutospacing="0" w:after="0" w:afterAutospacing="0"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4、对否定的技术标，评委要提出充足的否定理由，并填写在技术标评标记录上。</w:t>
      </w:r>
    </w:p>
    <w:p w14:paraId="6ED86A3B">
      <w:pPr>
        <w:spacing w:line="360" w:lineRule="auto"/>
        <w:rPr>
          <w:rFonts w:hint="eastAsia" w:ascii="宋体" w:hAnsi="宋体"/>
          <w:color w:val="auto"/>
          <w:sz w:val="24"/>
          <w:szCs w:val="24"/>
          <w:highlight w:val="none"/>
        </w:rPr>
      </w:pPr>
    </w:p>
    <w:p w14:paraId="14126318">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第九条</w:t>
      </w:r>
      <w:r>
        <w:rPr>
          <w:rFonts w:hint="eastAsia" w:ascii="宋体" w:hAnsi="宋体"/>
          <w:bCs/>
          <w:color w:val="auto"/>
          <w:sz w:val="24"/>
          <w:highlight w:val="none"/>
        </w:rPr>
        <w:t xml:space="preserve"> 评标委员会在评标过程中发现的问题，应当及时作出处理或者向招标人提出处理建议，并作书面记录。</w:t>
      </w:r>
    </w:p>
    <w:p w14:paraId="30FF3C6A">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第十条</w:t>
      </w:r>
      <w:r>
        <w:rPr>
          <w:rFonts w:hint="eastAsia" w:ascii="宋体" w:hAnsi="宋体"/>
          <w:bCs/>
          <w:color w:val="auto"/>
          <w:sz w:val="24"/>
          <w:highlight w:val="none"/>
        </w:rPr>
        <w:t xml:space="preserve"> 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36181EED">
      <w:pPr>
        <w:adjustRightInd w:val="0"/>
        <w:snapToGrid w:val="0"/>
        <w:spacing w:line="360" w:lineRule="auto"/>
        <w:ind w:right="-10" w:firstLine="422" w:firstLineChars="175"/>
        <w:rPr>
          <w:rFonts w:ascii="宋体" w:hAnsi="宋体"/>
          <w:bCs/>
          <w:color w:val="auto"/>
          <w:sz w:val="24"/>
          <w:highlight w:val="none"/>
        </w:rPr>
      </w:pPr>
      <w:r>
        <w:rPr>
          <w:rFonts w:hint="eastAsia" w:ascii="宋体" w:hAnsi="宋体"/>
          <w:b/>
          <w:color w:val="auto"/>
          <w:sz w:val="24"/>
          <w:highlight w:val="none"/>
        </w:rPr>
        <w:t>第十一条</w:t>
      </w:r>
      <w:r>
        <w:rPr>
          <w:rFonts w:hint="eastAsia" w:ascii="宋体" w:hAnsi="宋体"/>
          <w:bCs/>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14:paraId="17A62F63">
      <w:pPr>
        <w:pStyle w:val="22"/>
        <w:spacing w:line="360" w:lineRule="auto"/>
        <w:ind w:right="-10" w:firstLine="482"/>
        <w:rPr>
          <w:rFonts w:hint="eastAsia" w:ascii="宋体" w:hAnsi="宋体" w:eastAsia="宋体"/>
          <w:bCs/>
          <w:color w:val="auto"/>
          <w:sz w:val="24"/>
          <w:highlight w:val="none"/>
        </w:rPr>
      </w:pPr>
      <w:r>
        <w:rPr>
          <w:rFonts w:hint="eastAsia" w:ascii="宋体" w:hAnsi="宋体" w:eastAsia="宋体"/>
          <w:b/>
          <w:color w:val="auto"/>
          <w:sz w:val="24"/>
          <w:highlight w:val="none"/>
        </w:rPr>
        <w:t>第十二条</w:t>
      </w:r>
      <w:r>
        <w:rPr>
          <w:rFonts w:hint="eastAsia" w:ascii="宋体" w:hAnsi="宋体" w:eastAsia="宋体"/>
          <w:bCs/>
          <w:color w:val="auto"/>
          <w:sz w:val="24"/>
          <w:highlight w:val="none"/>
        </w:rPr>
        <w:t xml:space="preserve"> 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7E382C32">
      <w:pPr>
        <w:snapToGrid w:val="0"/>
        <w:spacing w:line="560" w:lineRule="exact"/>
        <w:rPr>
          <w:rFonts w:hint="eastAsia"/>
          <w:b/>
          <w:color w:val="auto"/>
          <w:sz w:val="28"/>
          <w:szCs w:val="28"/>
          <w:highlight w:val="none"/>
        </w:rPr>
      </w:pPr>
    </w:p>
    <w:p w14:paraId="7FFFF179">
      <w:pPr>
        <w:pStyle w:val="35"/>
        <w:rPr>
          <w:color w:val="auto"/>
          <w:highlight w:val="none"/>
        </w:rPr>
      </w:pPr>
    </w:p>
    <w:p w14:paraId="6B439766">
      <w:pPr>
        <w:pStyle w:val="35"/>
        <w:rPr>
          <w:rFonts w:hint="eastAsia"/>
          <w:color w:val="auto"/>
          <w:highlight w:val="none"/>
        </w:rPr>
      </w:pPr>
    </w:p>
    <w:p w14:paraId="4831AFF7">
      <w:pPr>
        <w:rPr>
          <w:rFonts w:hint="eastAsia" w:hAnsi="宋体"/>
          <w:color w:val="auto"/>
          <w:sz w:val="24"/>
          <w:szCs w:val="24"/>
          <w:highlight w:val="none"/>
        </w:rPr>
      </w:pPr>
      <w:bookmarkStart w:id="30" w:name="_Toc273602349"/>
      <w:bookmarkStart w:id="31" w:name="_Toc297563647"/>
      <w:bookmarkStart w:id="32" w:name="_Toc328559330"/>
      <w:bookmarkStart w:id="33" w:name="_Toc245714167"/>
      <w:bookmarkStart w:id="34" w:name="_Toc232819544"/>
      <w:r>
        <w:rPr>
          <w:rFonts w:hint="eastAsia" w:hAnsi="宋体"/>
          <w:color w:val="auto"/>
          <w:sz w:val="24"/>
          <w:szCs w:val="24"/>
          <w:highlight w:val="none"/>
        </w:rPr>
        <w:br w:type="page"/>
      </w:r>
    </w:p>
    <w:p w14:paraId="7BE72A3E">
      <w:pPr>
        <w:pStyle w:val="4"/>
        <w:spacing w:before="0" w:after="0" w:line="360" w:lineRule="auto"/>
        <w:ind w:firstLine="482" w:firstLineChars="200"/>
        <w:rPr>
          <w:rFonts w:hint="eastAsia" w:hAnsi="宋体"/>
          <w:color w:val="auto"/>
          <w:sz w:val="24"/>
          <w:szCs w:val="24"/>
          <w:highlight w:val="none"/>
        </w:rPr>
      </w:pPr>
      <w:r>
        <w:rPr>
          <w:rFonts w:hint="eastAsia" w:hAnsi="宋体"/>
          <w:color w:val="auto"/>
          <w:sz w:val="24"/>
          <w:szCs w:val="24"/>
          <w:highlight w:val="none"/>
        </w:rPr>
        <w:t>第</w:t>
      </w:r>
      <w:r>
        <w:rPr>
          <w:rFonts w:hint="eastAsia" w:hAnsi="宋体"/>
          <w:color w:val="auto"/>
          <w:sz w:val="24"/>
          <w:szCs w:val="24"/>
          <w:highlight w:val="none"/>
          <w:lang w:eastAsia="zh-CN"/>
        </w:rPr>
        <w:t>四</w:t>
      </w:r>
      <w:r>
        <w:rPr>
          <w:rFonts w:hint="eastAsia" w:hAnsi="宋体"/>
          <w:color w:val="auto"/>
          <w:sz w:val="24"/>
          <w:szCs w:val="24"/>
          <w:highlight w:val="none"/>
        </w:rPr>
        <w:t>章 开标与评标</w:t>
      </w:r>
      <w:bookmarkEnd w:id="30"/>
      <w:bookmarkEnd w:id="31"/>
      <w:bookmarkEnd w:id="32"/>
      <w:bookmarkEnd w:id="33"/>
      <w:bookmarkEnd w:id="34"/>
    </w:p>
    <w:p w14:paraId="0B45EE5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一、开标</w:t>
      </w:r>
    </w:p>
    <w:p w14:paraId="166F945D">
      <w:pPr>
        <w:spacing w:line="440" w:lineRule="exact"/>
        <w:ind w:firstLine="55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招标人</w:t>
      </w:r>
      <w:r>
        <w:rPr>
          <w:rFonts w:hint="eastAsia" w:ascii="宋体" w:hAnsi="宋体"/>
          <w:color w:val="auto"/>
          <w:sz w:val="24"/>
          <w:highlight w:val="none"/>
        </w:rPr>
        <w:t>将在投标</w:t>
      </w:r>
      <w:bookmarkStart w:id="35" w:name="_Hlt509649432"/>
      <w:bookmarkEnd w:id="35"/>
      <w:r>
        <w:rPr>
          <w:rFonts w:hint="eastAsia" w:ascii="宋体" w:hAnsi="宋体"/>
          <w:color w:val="auto"/>
          <w:sz w:val="24"/>
          <w:highlight w:val="none"/>
        </w:rPr>
        <w:t>人须知前附表规定的时间和地点组织公开开标。投标人授权代表应携带身份证明参加并签到。</w:t>
      </w:r>
    </w:p>
    <w:p w14:paraId="04C194DA">
      <w:pPr>
        <w:spacing w:line="440" w:lineRule="exact"/>
        <w:ind w:firstLine="550"/>
        <w:rPr>
          <w:rFonts w:hint="eastAsia" w:ascii="宋体" w:hAnsi="宋体"/>
          <w:bCs/>
          <w:color w:val="auto"/>
          <w:sz w:val="24"/>
          <w:highlight w:val="none"/>
        </w:rPr>
      </w:pPr>
      <w:r>
        <w:rPr>
          <w:rFonts w:hint="eastAsia" w:ascii="宋体" w:hAnsi="宋体"/>
          <w:bCs/>
          <w:color w:val="auto"/>
          <w:sz w:val="24"/>
          <w:highlight w:val="none"/>
        </w:rPr>
        <w:t>2、开标前，</w:t>
      </w:r>
      <w:r>
        <w:rPr>
          <w:rFonts w:hint="eastAsia" w:ascii="宋体" w:hAnsi="宋体"/>
          <w:bCs/>
          <w:color w:val="auto"/>
          <w:sz w:val="24"/>
          <w:highlight w:val="none"/>
          <w:lang w:eastAsia="zh-CN"/>
        </w:rPr>
        <w:t>招标人</w:t>
      </w:r>
      <w:r>
        <w:rPr>
          <w:rFonts w:hint="eastAsia" w:ascii="宋体" w:hAnsi="宋体"/>
          <w:bCs/>
          <w:color w:val="auto"/>
          <w:sz w:val="24"/>
          <w:highlight w:val="none"/>
        </w:rPr>
        <w:t>将会同监督人员或公证人员进行验标（检查投标文件密封情况），并宣布检查结果。确认无误后开标。</w:t>
      </w:r>
    </w:p>
    <w:p w14:paraId="4EA6FB1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、商务标开标时，</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将当众宣读投标人名称、投标价格、书面修改和撤回投标的通知，以及</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认为合适的其它详细内容。只有在开标时唱出的优惠，评标时才予以考虑。</w:t>
      </w:r>
    </w:p>
    <w:p w14:paraId="399A6915">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、在评审结束前，未得到</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允许，投标人授权代表不得离开开标现场。</w:t>
      </w:r>
    </w:p>
    <w:p w14:paraId="62CE2B16">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二、投标文件的澄清、说明或补正</w:t>
      </w:r>
    </w:p>
    <w:p w14:paraId="2217E3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0AF1179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14:paraId="4A2A50F0">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4"/>
          <w:highlight w:val="none"/>
        </w:rPr>
        <w:t>3、</w:t>
      </w:r>
      <w:r>
        <w:rPr>
          <w:rFonts w:hint="eastAsia" w:ascii="宋体" w:hAnsi="宋体"/>
          <w:bCs/>
          <w:color w:val="auto"/>
          <w:sz w:val="24"/>
          <w:szCs w:val="24"/>
          <w:highlight w:val="none"/>
        </w:rPr>
        <w:t>开标一览表内容与投标文件中明细表内容不一致的，以开标一览表为准。</w:t>
      </w:r>
    </w:p>
    <w:p w14:paraId="24E362E0">
      <w:pPr>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三、评标</w:t>
      </w:r>
    </w:p>
    <w:p w14:paraId="7588267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1、评委会将按照招标文件规定的评标办法对投标人进行评审。</w:t>
      </w:r>
    </w:p>
    <w:p w14:paraId="1948AA5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eastAsia="zh-CN"/>
        </w:rPr>
        <w:t>资格审核</w:t>
      </w:r>
      <w:r>
        <w:rPr>
          <w:rFonts w:hint="eastAsia" w:ascii="宋体" w:hAnsi="宋体"/>
          <w:color w:val="auto"/>
          <w:sz w:val="24"/>
          <w:highlight w:val="none"/>
        </w:rPr>
        <w:t>时，评委会将首先审查投标文件是否实质上响应招标文件的</w:t>
      </w:r>
      <w:r>
        <w:rPr>
          <w:rFonts w:hint="eastAsia" w:ascii="宋体" w:hAnsi="宋体"/>
          <w:color w:val="auto"/>
          <w:sz w:val="24"/>
          <w:highlight w:val="none"/>
          <w:lang w:eastAsia="zh-CN"/>
        </w:rPr>
        <w:t>资格审核</w:t>
      </w:r>
      <w:r>
        <w:rPr>
          <w:rFonts w:hint="eastAsia" w:ascii="宋体" w:hAnsi="宋体"/>
          <w:color w:val="auto"/>
          <w:sz w:val="24"/>
          <w:highlight w:val="none"/>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482100F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3、如果投标文件未通过</w:t>
      </w:r>
      <w:r>
        <w:rPr>
          <w:rFonts w:hint="eastAsia" w:ascii="宋体" w:hAnsi="宋体"/>
          <w:color w:val="auto"/>
          <w:sz w:val="24"/>
          <w:highlight w:val="none"/>
          <w:lang w:eastAsia="zh-CN"/>
        </w:rPr>
        <w:t>资格审核</w:t>
      </w:r>
      <w:r>
        <w:rPr>
          <w:rFonts w:hint="eastAsia" w:ascii="宋体" w:hAnsi="宋体"/>
          <w:color w:val="auto"/>
          <w:sz w:val="24"/>
          <w:highlight w:val="none"/>
        </w:rPr>
        <w:t>，投标无效。</w:t>
      </w:r>
    </w:p>
    <w:p w14:paraId="3B933BC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4、评委会决定投标文件的响应性及符合性只根据投标文件本身的内容，而不寻求其他外部证据。</w:t>
      </w:r>
    </w:p>
    <w:p w14:paraId="3205C89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四、有下列情况之一者，投标文件无效</w:t>
      </w:r>
    </w:p>
    <w:p w14:paraId="782ACFC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延期送达标书的；</w:t>
      </w:r>
    </w:p>
    <w:p w14:paraId="6E6A572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商务报价文件有2个或以上报价的；</w:t>
      </w:r>
    </w:p>
    <w:p w14:paraId="7C0A08D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投标报价高于控制价的；</w:t>
      </w:r>
    </w:p>
    <w:p w14:paraId="643692C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企业资质条件或建造师（或相关专业项目经理）资质条件不符合招标文件要求的；</w:t>
      </w:r>
    </w:p>
    <w:p w14:paraId="070C149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明显低价又未能给出合理说明的；</w:t>
      </w:r>
    </w:p>
    <w:p w14:paraId="1B5A26C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未实质性响应招标文件要求的（包括工期、质量和质保期等重要条件）；</w:t>
      </w:r>
    </w:p>
    <w:p w14:paraId="349F179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未提供规范合理的施工组织设计；</w:t>
      </w:r>
    </w:p>
    <w:p w14:paraId="118F518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发现提供虚假资料、虚假承诺的一切弄虚作假行为的。</w:t>
      </w:r>
    </w:p>
    <w:p w14:paraId="2E5AB7D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其他未能实质性响应招标文件的。</w:t>
      </w:r>
    </w:p>
    <w:p w14:paraId="474D3395">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五、废标处理</w:t>
      </w:r>
    </w:p>
    <w:p w14:paraId="7F38747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在招标采购中，出现下列情形之一的，</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有权宣布废标：</w:t>
      </w:r>
    </w:p>
    <w:p w14:paraId="56A3AE5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1、符合专业条件的投标人或对招标文件作实质响应的投标人不足三家的；</w:t>
      </w:r>
    </w:p>
    <w:p w14:paraId="56EB555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2、投标人的报价均超过</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预算，招标人不能支付的；</w:t>
      </w:r>
    </w:p>
    <w:p w14:paraId="73B7CD3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3、出现影响采购公正的违法、违规行为的；</w:t>
      </w:r>
    </w:p>
    <w:p w14:paraId="0D25B37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4、因重大变故，</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任务取消的。</w:t>
      </w:r>
    </w:p>
    <w:p w14:paraId="5C811EAA">
      <w:pPr>
        <w:spacing w:line="360" w:lineRule="auto"/>
        <w:ind w:firstLine="480" w:firstLineChars="200"/>
        <w:rPr>
          <w:rFonts w:hint="eastAsia" w:ascii="宋体" w:hAnsi="宋体"/>
          <w:color w:val="auto"/>
          <w:sz w:val="24"/>
          <w:szCs w:val="24"/>
          <w:highlight w:val="none"/>
        </w:rPr>
      </w:pPr>
    </w:p>
    <w:p w14:paraId="52885047">
      <w:pPr>
        <w:rPr>
          <w:rFonts w:hint="eastAsia" w:hAnsi="宋体"/>
          <w:color w:val="auto"/>
          <w:sz w:val="24"/>
          <w:szCs w:val="24"/>
          <w:highlight w:val="none"/>
        </w:rPr>
      </w:pPr>
      <w:bookmarkStart w:id="36" w:name="_Toc297563648"/>
      <w:bookmarkStart w:id="37" w:name="_Toc328559331"/>
      <w:bookmarkStart w:id="38" w:name="_Toc245714168"/>
      <w:bookmarkStart w:id="39" w:name="_Toc232819545"/>
      <w:bookmarkStart w:id="40" w:name="_Toc516969091"/>
      <w:bookmarkStart w:id="41" w:name="_Toc273602350"/>
      <w:r>
        <w:rPr>
          <w:rFonts w:hint="eastAsia" w:hAnsi="宋体"/>
          <w:color w:val="auto"/>
          <w:sz w:val="24"/>
          <w:szCs w:val="24"/>
          <w:highlight w:val="none"/>
        </w:rPr>
        <w:br w:type="page"/>
      </w:r>
    </w:p>
    <w:p w14:paraId="5C0BCA7D">
      <w:pPr>
        <w:pStyle w:val="4"/>
        <w:spacing w:before="0" w:after="0" w:line="360" w:lineRule="auto"/>
        <w:ind w:firstLine="482" w:firstLineChars="200"/>
        <w:rPr>
          <w:rFonts w:hint="eastAsia" w:hAnsi="宋体"/>
          <w:color w:val="auto"/>
          <w:sz w:val="24"/>
          <w:szCs w:val="24"/>
          <w:highlight w:val="none"/>
        </w:rPr>
      </w:pPr>
      <w:r>
        <w:rPr>
          <w:rFonts w:hint="eastAsia" w:hAnsi="宋体"/>
          <w:color w:val="auto"/>
          <w:sz w:val="24"/>
          <w:szCs w:val="24"/>
          <w:highlight w:val="none"/>
        </w:rPr>
        <w:t>第</w:t>
      </w:r>
      <w:r>
        <w:rPr>
          <w:rFonts w:hint="eastAsia" w:hAnsi="宋体"/>
          <w:color w:val="auto"/>
          <w:sz w:val="24"/>
          <w:szCs w:val="24"/>
          <w:highlight w:val="none"/>
          <w:lang w:eastAsia="zh-CN"/>
        </w:rPr>
        <w:t>五</w:t>
      </w:r>
      <w:r>
        <w:rPr>
          <w:rFonts w:hint="eastAsia" w:hAnsi="宋体"/>
          <w:color w:val="auto"/>
          <w:sz w:val="24"/>
          <w:szCs w:val="24"/>
          <w:highlight w:val="none"/>
        </w:rPr>
        <w:t>章 定标与签订合同</w:t>
      </w:r>
      <w:bookmarkEnd w:id="36"/>
      <w:bookmarkEnd w:id="37"/>
      <w:bookmarkEnd w:id="38"/>
      <w:bookmarkEnd w:id="39"/>
      <w:bookmarkEnd w:id="40"/>
      <w:bookmarkEnd w:id="41"/>
    </w:p>
    <w:p w14:paraId="10A2947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一、定标</w:t>
      </w:r>
    </w:p>
    <w:p w14:paraId="0A3B68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1、评委会按招标文件规定的评标办法排出中标候选人。</w:t>
      </w:r>
    </w:p>
    <w:p w14:paraId="43209F8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476EC38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3、原则上把合同授予实质上响应招标文件要求的排名最前的中标候选人或通过上条资格审查的中标候选人。</w:t>
      </w:r>
    </w:p>
    <w:p w14:paraId="48C256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 最低报价并不是被授予合同的保证。</w:t>
      </w:r>
    </w:p>
    <w:p w14:paraId="4F55156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二、中标通知书</w:t>
      </w:r>
    </w:p>
    <w:p w14:paraId="5A7C298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将以中标通知书形式通知中标人，其投标已被接受。</w:t>
      </w:r>
    </w:p>
    <w:p w14:paraId="178F2BF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对未中标的投标人不做未中标原因的解释。</w:t>
      </w:r>
    </w:p>
    <w:p w14:paraId="204C149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三、签订合同</w:t>
      </w:r>
    </w:p>
    <w:p w14:paraId="07AB2A7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1、中标人应在中标通知书发出之日起三</w:t>
      </w:r>
      <w:r>
        <w:rPr>
          <w:rFonts w:hint="eastAsia" w:ascii="宋体" w:hAnsi="宋体"/>
          <w:color w:val="auto"/>
          <w:sz w:val="24"/>
          <w:szCs w:val="24"/>
          <w:highlight w:val="none"/>
          <w:lang w:eastAsia="zh-CN"/>
        </w:rPr>
        <w:t>十</w:t>
      </w:r>
      <w:r>
        <w:rPr>
          <w:rFonts w:hint="eastAsia" w:ascii="宋体" w:hAnsi="宋体"/>
          <w:color w:val="auto"/>
          <w:sz w:val="24"/>
          <w:szCs w:val="24"/>
          <w:highlight w:val="none"/>
        </w:rPr>
        <w:t>日内（具体时间、地点见中标通知书）与委托人签订合同。招标文件、中标人的投标文件及澄清文件等，均作为合同的附件。</w:t>
      </w:r>
    </w:p>
    <w:p w14:paraId="61F4C61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2、招标人保留以书面形式要求合同的卖方对其所投服务的地点及服务细则等作适当调整的权利。</w:t>
      </w:r>
    </w:p>
    <w:p w14:paraId="1E26B86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四、未尽事宜</w:t>
      </w:r>
    </w:p>
    <w:p w14:paraId="36E3C3AC">
      <w:pPr>
        <w:spacing w:line="360" w:lineRule="auto"/>
        <w:ind w:firstLine="480" w:firstLineChars="200"/>
        <w:rPr>
          <w:rFonts w:hint="eastAsia" w:ascii="宋体" w:hAnsi="宋体"/>
          <w:b/>
          <w:color w:val="auto"/>
          <w:sz w:val="24"/>
          <w:szCs w:val="24"/>
          <w:highlight w:val="none"/>
        </w:rPr>
      </w:pPr>
      <w:r>
        <w:rPr>
          <w:rFonts w:hint="eastAsia" w:ascii="宋体" w:hAnsi="宋体"/>
          <w:color w:val="auto"/>
          <w:sz w:val="24"/>
          <w:szCs w:val="24"/>
          <w:highlight w:val="none"/>
        </w:rPr>
        <w:t>按</w:t>
      </w:r>
      <w:r>
        <w:rPr>
          <w:rFonts w:hint="eastAsia" w:ascii="宋体" w:hAnsi="宋体" w:eastAsia="宋体"/>
          <w:bCs/>
          <w:color w:val="auto"/>
          <w:sz w:val="24"/>
          <w:highlight w:val="none"/>
        </w:rPr>
        <w:t>《中华人民共和国招标投标法》</w:t>
      </w:r>
      <w:r>
        <w:rPr>
          <w:rFonts w:hint="eastAsia" w:ascii="宋体" w:hAnsi="宋体" w:eastAsia="宋体"/>
          <w:bCs/>
          <w:color w:val="auto"/>
          <w:sz w:val="24"/>
          <w:highlight w:val="none"/>
          <w:lang w:eastAsia="zh-CN"/>
        </w:rPr>
        <w:t>、</w:t>
      </w:r>
      <w:r>
        <w:rPr>
          <w:rFonts w:hint="eastAsia" w:ascii="宋体" w:hAnsi="宋体"/>
          <w:color w:val="auto"/>
          <w:sz w:val="24"/>
          <w:szCs w:val="24"/>
          <w:highlight w:val="none"/>
        </w:rPr>
        <w:t>《中华人民共和国政府采购法》及其他有关法律法规的规定执行。</w:t>
      </w:r>
    </w:p>
    <w:p w14:paraId="7BCD78B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五、解释权</w:t>
      </w:r>
    </w:p>
    <w:p w14:paraId="45708DF6">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本招标文件的解释权属于</w:t>
      </w:r>
      <w:r>
        <w:rPr>
          <w:rFonts w:hint="eastAsia" w:ascii="宋体" w:hAnsi="宋体"/>
          <w:bCs/>
          <w:color w:val="auto"/>
          <w:sz w:val="24"/>
          <w:szCs w:val="24"/>
          <w:highlight w:val="none"/>
          <w:lang w:val="en-US" w:eastAsia="zh-CN"/>
        </w:rPr>
        <w:t>合肥市包河区乡村振兴投资有限公司。</w:t>
      </w:r>
    </w:p>
    <w:p w14:paraId="09AC05E5">
      <w:pPr>
        <w:rPr>
          <w:rFonts w:hint="eastAsia" w:ascii="宋体" w:hAnsi="宋体" w:eastAsia="宋体"/>
          <w:color w:val="auto"/>
          <w:szCs w:val="36"/>
          <w:highlight w:val="none"/>
        </w:rPr>
      </w:pPr>
      <w:bookmarkStart w:id="42" w:name="_Toc328559332"/>
      <w:bookmarkStart w:id="43" w:name="_Toc236562395"/>
      <w:bookmarkStart w:id="44" w:name="_Toc220232392"/>
      <w:r>
        <w:rPr>
          <w:rFonts w:hint="eastAsia" w:ascii="宋体" w:hAnsi="宋体" w:eastAsia="宋体"/>
          <w:color w:val="auto"/>
          <w:szCs w:val="36"/>
          <w:highlight w:val="none"/>
        </w:rPr>
        <w:br w:type="page"/>
      </w:r>
    </w:p>
    <w:p w14:paraId="30111E23">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outlineLvl w:val="0"/>
        <w:rPr>
          <w:rFonts w:hint="eastAsia" w:ascii="宋体" w:hAnsi="宋体" w:eastAsia="宋体"/>
          <w:color w:val="auto"/>
          <w:szCs w:val="36"/>
        </w:rPr>
      </w:pPr>
      <w:r>
        <w:rPr>
          <w:rFonts w:hint="eastAsia" w:ascii="宋体" w:hAnsi="宋体" w:eastAsia="宋体"/>
          <w:color w:val="auto"/>
          <w:szCs w:val="36"/>
        </w:rPr>
        <w:t>第</w:t>
      </w:r>
      <w:r>
        <w:rPr>
          <w:rFonts w:hint="eastAsia" w:ascii="宋体" w:hAnsi="宋体" w:eastAsia="宋体"/>
          <w:color w:val="auto"/>
          <w:szCs w:val="36"/>
          <w:lang w:eastAsia="zh-CN"/>
        </w:rPr>
        <w:t>六</w:t>
      </w:r>
      <w:r>
        <w:rPr>
          <w:rFonts w:hint="eastAsia" w:ascii="宋体" w:hAnsi="宋体" w:eastAsia="宋体"/>
          <w:color w:val="auto"/>
          <w:szCs w:val="36"/>
        </w:rPr>
        <w:t xml:space="preserve">章 </w:t>
      </w:r>
      <w:r>
        <w:rPr>
          <w:rFonts w:ascii="宋体" w:hAnsi="宋体" w:eastAsia="宋体"/>
          <w:color w:val="auto"/>
          <w:szCs w:val="36"/>
        </w:rPr>
        <w:t>合同</w:t>
      </w:r>
      <w:r>
        <w:rPr>
          <w:rFonts w:hint="eastAsia" w:ascii="宋体" w:hAnsi="宋体" w:eastAsia="宋体"/>
          <w:color w:val="auto"/>
          <w:szCs w:val="36"/>
        </w:rPr>
        <w:t>文本及主要条款</w:t>
      </w:r>
    </w:p>
    <w:p w14:paraId="2D0ECDA3">
      <w:pPr>
        <w:pStyle w:val="97"/>
        <w:numPr>
          <w:ilvl w:val="0"/>
          <w:numId w:val="0"/>
        </w:numPr>
        <w:ind w:firstLine="3120" w:firstLineChars="1300"/>
        <w:jc w:val="both"/>
        <w:outlineLvl w:val="1"/>
        <w:rPr>
          <w:rFonts w:hint="eastAsia" w:ascii="宋体" w:hAnsi="宋体"/>
          <w:b w:val="0"/>
          <w:color w:val="auto"/>
          <w:sz w:val="24"/>
          <w:szCs w:val="24"/>
        </w:rPr>
      </w:pPr>
      <w:bookmarkStart w:id="45" w:name="_Toc460660194"/>
      <w:bookmarkStart w:id="46" w:name="_Toc460227079"/>
      <w:bookmarkStart w:id="47" w:name="_Toc245028818"/>
      <w:bookmarkStart w:id="48" w:name="_Toc245714170"/>
      <w:bookmarkStart w:id="49" w:name="_Toc273602352"/>
      <w:r>
        <w:rPr>
          <w:rFonts w:hint="eastAsia" w:ascii="宋体" w:hAnsi="宋体"/>
          <w:b w:val="0"/>
          <w:color w:val="auto"/>
          <w:sz w:val="24"/>
          <w:szCs w:val="24"/>
        </w:rPr>
        <w:t>第一部分  合同协议书</w:t>
      </w:r>
      <w:bookmarkEnd w:id="45"/>
      <w:bookmarkEnd w:id="46"/>
    </w:p>
    <w:p w14:paraId="21D78B1F">
      <w:pPr>
        <w:pStyle w:val="74"/>
        <w:spacing w:line="360" w:lineRule="auto"/>
        <w:ind w:firstLine="482" w:firstLineChars="200"/>
        <w:rPr>
          <w:rFonts w:hint="eastAsia" w:ascii="宋体" w:hAnsi="宋体"/>
          <w:b/>
          <w:color w:val="auto"/>
          <w:sz w:val="24"/>
          <w:u w:val="single"/>
        </w:rPr>
      </w:pPr>
      <w:r>
        <w:rPr>
          <w:rFonts w:hint="eastAsia" w:ascii="宋体" w:hAnsi="宋体"/>
          <w:b/>
          <w:color w:val="auto"/>
          <w:sz w:val="24"/>
        </w:rPr>
        <w:t>发包人（全称）：</w:t>
      </w:r>
      <w:r>
        <w:rPr>
          <w:rFonts w:hint="eastAsia" w:ascii="宋体" w:hAnsi="宋体"/>
          <w:b/>
          <w:color w:val="auto"/>
          <w:sz w:val="24"/>
          <w:u w:val="single"/>
          <w:lang w:val="en-US" w:eastAsia="zh-CN"/>
        </w:rPr>
        <w:t xml:space="preserve">                                   </w:t>
      </w:r>
      <w:r>
        <w:rPr>
          <w:rFonts w:ascii="宋体" w:hAnsi="宋体" w:cs="宋体"/>
          <w:b/>
          <w:color w:val="auto"/>
          <w:sz w:val="24"/>
          <w:u w:val="single"/>
        </w:rPr>
        <w:t></w:t>
      </w:r>
    </w:p>
    <w:p w14:paraId="232CED4F">
      <w:pPr>
        <w:pStyle w:val="74"/>
        <w:spacing w:line="360" w:lineRule="auto"/>
        <w:ind w:firstLine="482" w:firstLineChars="200"/>
        <w:rPr>
          <w:rFonts w:hint="eastAsia" w:ascii="宋体" w:hAnsi="宋体"/>
          <w:b/>
          <w:color w:val="auto"/>
          <w:sz w:val="24"/>
          <w:u w:val="single"/>
        </w:rPr>
      </w:pPr>
      <w:r>
        <w:rPr>
          <w:rFonts w:hint="eastAsia" w:ascii="宋体" w:hAnsi="宋体"/>
          <w:b/>
          <w:color w:val="auto"/>
          <w:sz w:val="24"/>
        </w:rPr>
        <w:t>承包人（全称）：</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p>
    <w:p w14:paraId="1BC1CE96">
      <w:pPr>
        <w:pStyle w:val="74"/>
        <w:spacing w:line="360" w:lineRule="auto"/>
        <w:ind w:firstLine="480" w:firstLineChars="200"/>
        <w:rPr>
          <w:rFonts w:hint="eastAsia" w:ascii="宋体" w:hAnsi="宋体"/>
          <w:color w:val="auto"/>
          <w:sz w:val="24"/>
        </w:rPr>
      </w:pPr>
      <w:r>
        <w:rPr>
          <w:rFonts w:hint="eastAsia" w:ascii="宋体" w:hAnsi="宋体"/>
          <w:color w:val="auto"/>
          <w:sz w:val="24"/>
        </w:rPr>
        <w:t>根据《中华人民共和国合同法》、《中华人民共和国建筑法》及有关法律规定，遵循平等、自愿、公平和诚实信用的原则，双方就</w:t>
      </w:r>
      <w:r>
        <w:rPr>
          <w:rFonts w:hint="eastAsia" w:ascii="宋体" w:hAnsi="宋体"/>
          <w:color w:val="auto"/>
          <w:sz w:val="24"/>
          <w:u w:val="single"/>
          <w:lang w:val="en-US" w:eastAsia="zh-CN"/>
        </w:rPr>
        <w:t xml:space="preserve">                       </w:t>
      </w:r>
      <w:r>
        <w:rPr>
          <w:rFonts w:hint="eastAsia" w:ascii="宋体" w:hAnsi="宋体"/>
          <w:color w:val="auto"/>
          <w:sz w:val="24"/>
        </w:rPr>
        <w:t>工程施工及有关事项协商一致，共同达成如下协议：</w:t>
      </w:r>
    </w:p>
    <w:p w14:paraId="11D2AB14">
      <w:pPr>
        <w:pStyle w:val="74"/>
        <w:spacing w:line="360" w:lineRule="auto"/>
        <w:ind w:firstLine="480" w:firstLineChars="200"/>
        <w:outlineLvl w:val="2"/>
        <w:rPr>
          <w:rFonts w:hint="eastAsia" w:ascii="宋体" w:hAnsi="宋体"/>
          <w:b/>
          <w:color w:val="auto"/>
          <w:sz w:val="24"/>
        </w:rPr>
      </w:pPr>
      <w:bookmarkStart w:id="50" w:name="_Toc351203481"/>
      <w:r>
        <w:rPr>
          <w:rFonts w:hint="eastAsia" w:ascii="宋体" w:hAnsi="宋体"/>
          <w:bCs/>
          <w:color w:val="auto"/>
          <w:sz w:val="24"/>
        </w:rPr>
        <w:t>一、工程概况</w:t>
      </w:r>
      <w:bookmarkEnd w:id="50"/>
    </w:p>
    <w:p w14:paraId="006D346D">
      <w:pPr>
        <w:pStyle w:val="74"/>
        <w:spacing w:line="360" w:lineRule="auto"/>
        <w:ind w:firstLine="480" w:firstLineChars="200"/>
        <w:rPr>
          <w:rFonts w:hint="eastAsia" w:ascii="宋体" w:hAnsi="宋体"/>
          <w:color w:val="auto"/>
          <w:sz w:val="24"/>
          <w:u w:val="single"/>
        </w:rPr>
      </w:pPr>
      <w:r>
        <w:rPr>
          <w:rFonts w:hint="eastAsia" w:ascii="宋体" w:hAnsi="宋体"/>
          <w:bCs/>
          <w:color w:val="auto"/>
          <w:sz w:val="24"/>
        </w:rPr>
        <w:t>1.工程名称</w:t>
      </w:r>
      <w:r>
        <w:rPr>
          <w:rFonts w:hint="eastAsia" w:ascii="宋体" w:hAnsi="宋体"/>
          <w:color w:val="auto"/>
          <w:sz w:val="24"/>
        </w:rPr>
        <w:t>：</w:t>
      </w:r>
      <w:r>
        <w:rPr>
          <w:rFonts w:hint="eastAsia" w:ascii="宋体" w:hAnsi="宋体" w:cs="宋体"/>
          <w:color w:val="auto"/>
          <w:sz w:val="24"/>
          <w:u w:val="single"/>
          <w:lang w:val="en-US" w:eastAsia="zh-CN"/>
        </w:rPr>
        <w:t xml:space="preserve">                        </w:t>
      </w:r>
      <w:r>
        <w:rPr>
          <w:rFonts w:hint="eastAsia" w:ascii="宋体" w:hAnsi="宋体"/>
          <w:color w:val="auto"/>
          <w:sz w:val="24"/>
        </w:rPr>
        <w:t>。</w:t>
      </w:r>
    </w:p>
    <w:p w14:paraId="25E75154">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2.工程地点：</w:t>
      </w:r>
      <w:r>
        <w:rPr>
          <w:rFonts w:hint="eastAsia" w:ascii="宋体" w:hAnsi="宋体"/>
          <w:bCs/>
          <w:color w:val="auto"/>
          <w:sz w:val="24"/>
          <w:u w:val="single"/>
          <w:lang w:val="en-US" w:eastAsia="zh-CN"/>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w:t>
      </w:r>
    </w:p>
    <w:p w14:paraId="4A7B58D8">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3.工程立项批准文号：</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5FB061B8">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4.资金来源：</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2ED3EA22">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5.工程内容：</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2F6EFA4A">
      <w:pPr>
        <w:pStyle w:val="74"/>
        <w:spacing w:line="360" w:lineRule="auto"/>
        <w:ind w:firstLine="480" w:firstLineChars="200"/>
        <w:rPr>
          <w:rFonts w:hint="eastAsia" w:ascii="宋体" w:hAnsi="宋体"/>
          <w:bCs/>
          <w:color w:val="auto"/>
          <w:sz w:val="24"/>
        </w:rPr>
      </w:pPr>
      <w:r>
        <w:rPr>
          <w:rFonts w:hint="eastAsia" w:ascii="宋体" w:hAnsi="宋体"/>
          <w:color w:val="auto"/>
          <w:sz w:val="24"/>
        </w:rPr>
        <w:t>群体工程应附《承包人承揽工程项目一览表》（附件1）。</w:t>
      </w:r>
    </w:p>
    <w:p w14:paraId="16D02D14">
      <w:pPr>
        <w:pStyle w:val="74"/>
        <w:spacing w:line="360" w:lineRule="auto"/>
        <w:ind w:firstLine="480" w:firstLineChars="200"/>
        <w:outlineLvl w:val="3"/>
        <w:rPr>
          <w:rFonts w:hint="eastAsia" w:ascii="宋体" w:hAnsi="宋体"/>
          <w:color w:val="auto"/>
          <w:sz w:val="24"/>
        </w:rPr>
      </w:pPr>
      <w:r>
        <w:rPr>
          <w:rFonts w:hint="eastAsia" w:ascii="宋体" w:hAnsi="宋体"/>
          <w:bCs/>
          <w:color w:val="auto"/>
          <w:sz w:val="24"/>
        </w:rPr>
        <w:t>6.工程承包范围：</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p>
    <w:p w14:paraId="4ABB9DAE">
      <w:pPr>
        <w:pStyle w:val="74"/>
        <w:spacing w:line="360" w:lineRule="auto"/>
        <w:ind w:firstLine="480" w:firstLineChars="200"/>
        <w:outlineLvl w:val="2"/>
        <w:rPr>
          <w:rFonts w:hint="eastAsia" w:ascii="宋体" w:hAnsi="宋体"/>
          <w:bCs/>
          <w:color w:val="auto"/>
          <w:sz w:val="24"/>
        </w:rPr>
      </w:pPr>
      <w:bookmarkStart w:id="51" w:name="_Toc351203482"/>
      <w:r>
        <w:rPr>
          <w:rFonts w:hint="eastAsia" w:ascii="宋体" w:hAnsi="宋体"/>
          <w:bCs/>
          <w:color w:val="auto"/>
          <w:sz w:val="24"/>
        </w:rPr>
        <w:t>二、合同工期</w:t>
      </w:r>
      <w:bookmarkEnd w:id="51"/>
    </w:p>
    <w:p w14:paraId="0A8044BD">
      <w:pPr>
        <w:pStyle w:val="74"/>
        <w:spacing w:line="360" w:lineRule="auto"/>
        <w:ind w:firstLine="480" w:firstLineChars="200"/>
        <w:rPr>
          <w:rFonts w:hint="eastAsia" w:ascii="宋体" w:hAnsi="宋体"/>
          <w:color w:val="auto"/>
          <w:sz w:val="24"/>
        </w:rPr>
      </w:pPr>
      <w:r>
        <w:rPr>
          <w:rFonts w:hint="eastAsia" w:ascii="宋体" w:hAnsi="宋体"/>
          <w:color w:val="auto"/>
          <w:sz w:val="24"/>
        </w:rPr>
        <w:t>计划开工日期：</w:t>
      </w:r>
      <w:r>
        <w:rPr>
          <w:rFonts w:ascii="宋体" w:hAnsi="宋体" w:cs="宋体"/>
          <w:color w:val="auto"/>
          <w:sz w:val="24"/>
          <w:u w:val="single"/>
        </w:rPr>
        <w:t></w:t>
      </w:r>
      <w:r>
        <w:rPr>
          <w:rFonts w:hint="eastAsia" w:ascii="宋体" w:hAnsi="宋体"/>
          <w:color w:val="auto"/>
          <w:sz w:val="24"/>
        </w:rPr>
        <w:t>年</w:t>
      </w:r>
      <w:r>
        <w:rPr>
          <w:rFonts w:ascii="宋体" w:hAnsi="宋体" w:cs="宋体"/>
          <w:color w:val="auto"/>
          <w:sz w:val="24"/>
          <w:u w:val="single"/>
        </w:rPr>
        <w:t></w:t>
      </w:r>
      <w:r>
        <w:rPr>
          <w:rFonts w:hint="eastAsia" w:ascii="宋体" w:hAnsi="宋体"/>
          <w:color w:val="auto"/>
          <w:sz w:val="24"/>
        </w:rPr>
        <w:t>月</w:t>
      </w:r>
      <w:r>
        <w:rPr>
          <w:rFonts w:ascii="宋体" w:hAnsi="宋体" w:cs="宋体"/>
          <w:color w:val="auto"/>
          <w:sz w:val="24"/>
          <w:u w:val="single"/>
        </w:rPr>
        <w:t></w:t>
      </w:r>
      <w:r>
        <w:rPr>
          <w:rFonts w:hint="eastAsia" w:ascii="宋体" w:hAnsi="宋体"/>
          <w:color w:val="auto"/>
          <w:sz w:val="24"/>
        </w:rPr>
        <w:t>日。</w:t>
      </w:r>
    </w:p>
    <w:p w14:paraId="59C6BC2B">
      <w:pPr>
        <w:pStyle w:val="74"/>
        <w:spacing w:line="360" w:lineRule="auto"/>
        <w:ind w:firstLine="480" w:firstLineChars="200"/>
        <w:rPr>
          <w:rFonts w:hint="eastAsia" w:ascii="宋体" w:hAnsi="宋体"/>
          <w:color w:val="auto"/>
          <w:sz w:val="24"/>
        </w:rPr>
      </w:pPr>
      <w:r>
        <w:rPr>
          <w:rFonts w:hint="eastAsia" w:ascii="宋体" w:hAnsi="宋体"/>
          <w:color w:val="auto"/>
          <w:sz w:val="24"/>
        </w:rPr>
        <w:t>计划竣工日期：</w:t>
      </w:r>
      <w:r>
        <w:rPr>
          <w:rFonts w:ascii="宋体" w:hAnsi="宋体" w:cs="宋体"/>
          <w:color w:val="auto"/>
          <w:sz w:val="24"/>
          <w:u w:val="single"/>
        </w:rPr>
        <w:t></w:t>
      </w:r>
      <w:r>
        <w:rPr>
          <w:rFonts w:hint="eastAsia" w:ascii="宋体" w:hAnsi="宋体"/>
          <w:color w:val="auto"/>
          <w:sz w:val="24"/>
        </w:rPr>
        <w:t>年</w:t>
      </w:r>
      <w:r>
        <w:rPr>
          <w:rFonts w:ascii="宋体" w:hAnsi="宋体" w:cs="宋体"/>
          <w:color w:val="auto"/>
          <w:sz w:val="24"/>
          <w:u w:val="single"/>
        </w:rPr>
        <w:t></w:t>
      </w:r>
      <w:r>
        <w:rPr>
          <w:rFonts w:hint="eastAsia" w:ascii="宋体" w:hAnsi="宋体"/>
          <w:color w:val="auto"/>
          <w:sz w:val="24"/>
        </w:rPr>
        <w:t>月</w:t>
      </w:r>
      <w:r>
        <w:rPr>
          <w:rFonts w:ascii="宋体" w:hAnsi="宋体" w:cs="宋体"/>
          <w:color w:val="auto"/>
          <w:sz w:val="24"/>
          <w:u w:val="single"/>
        </w:rPr>
        <w:t></w:t>
      </w:r>
      <w:r>
        <w:rPr>
          <w:rFonts w:hint="eastAsia" w:ascii="宋体" w:hAnsi="宋体"/>
          <w:color w:val="auto"/>
          <w:sz w:val="24"/>
        </w:rPr>
        <w:t>日。</w:t>
      </w:r>
    </w:p>
    <w:p w14:paraId="30EA3D1D">
      <w:pPr>
        <w:pStyle w:val="74"/>
        <w:spacing w:line="360" w:lineRule="auto"/>
        <w:ind w:firstLine="480" w:firstLineChars="200"/>
        <w:rPr>
          <w:rFonts w:hint="eastAsia" w:ascii="宋体" w:hAnsi="宋体"/>
          <w:color w:val="auto"/>
          <w:sz w:val="24"/>
        </w:rPr>
      </w:pPr>
      <w:r>
        <w:rPr>
          <w:rFonts w:hint="eastAsia" w:ascii="宋体" w:hAnsi="宋体"/>
          <w:color w:val="auto"/>
          <w:sz w:val="24"/>
        </w:rPr>
        <w:t>工期总日历天数：</w:t>
      </w:r>
      <w:r>
        <w:rPr>
          <w:rFonts w:ascii="宋体" w:hAnsi="宋体" w:cs="宋体"/>
          <w:color w:val="auto"/>
          <w:sz w:val="24"/>
          <w:u w:val="single"/>
        </w:rPr>
        <w:t></w:t>
      </w:r>
      <w:r>
        <w:rPr>
          <w:rFonts w:hint="eastAsia" w:ascii="宋体" w:hAnsi="宋体"/>
          <w:color w:val="auto"/>
          <w:sz w:val="24"/>
        </w:rPr>
        <w:t>天。</w:t>
      </w:r>
    </w:p>
    <w:p w14:paraId="0D9459A3">
      <w:pPr>
        <w:pStyle w:val="74"/>
        <w:spacing w:line="360" w:lineRule="auto"/>
        <w:ind w:firstLine="480" w:firstLineChars="200"/>
        <w:rPr>
          <w:rFonts w:hint="eastAsia" w:ascii="宋体" w:hAnsi="宋体"/>
          <w:color w:val="auto"/>
          <w:sz w:val="24"/>
        </w:rPr>
      </w:pPr>
      <w:r>
        <w:rPr>
          <w:rFonts w:hint="eastAsia" w:ascii="宋体" w:hAnsi="宋体"/>
          <w:color w:val="auto"/>
          <w:sz w:val="24"/>
        </w:rPr>
        <w:t>工期总日历天数与根据前述计划开竣工日期计算的工期天数不一致的，以工期总日历天数为准。</w:t>
      </w:r>
    </w:p>
    <w:p w14:paraId="459CE7FC">
      <w:pPr>
        <w:pStyle w:val="74"/>
        <w:spacing w:line="360" w:lineRule="auto"/>
        <w:ind w:firstLine="480" w:firstLineChars="200"/>
        <w:outlineLvl w:val="2"/>
        <w:rPr>
          <w:rFonts w:hint="eastAsia" w:ascii="宋体" w:hAnsi="宋体"/>
          <w:b/>
          <w:color w:val="auto"/>
          <w:sz w:val="24"/>
        </w:rPr>
      </w:pPr>
      <w:bookmarkStart w:id="52" w:name="_Toc351203483"/>
      <w:r>
        <w:rPr>
          <w:rFonts w:hint="eastAsia" w:ascii="宋体" w:hAnsi="宋体"/>
          <w:bCs/>
          <w:color w:val="auto"/>
          <w:sz w:val="24"/>
        </w:rPr>
        <w:t>三、质量标准</w:t>
      </w:r>
      <w:bookmarkEnd w:id="52"/>
    </w:p>
    <w:p w14:paraId="6B80CD32">
      <w:pPr>
        <w:pStyle w:val="74"/>
        <w:spacing w:line="360" w:lineRule="auto"/>
        <w:ind w:firstLine="480" w:firstLineChars="200"/>
        <w:rPr>
          <w:rFonts w:hint="eastAsia" w:ascii="宋体" w:hAnsi="宋体"/>
          <w:color w:val="auto"/>
          <w:sz w:val="24"/>
        </w:rPr>
      </w:pPr>
      <w:r>
        <w:rPr>
          <w:rFonts w:hint="eastAsia" w:ascii="宋体" w:hAnsi="宋体"/>
          <w:color w:val="auto"/>
          <w:sz w:val="24"/>
        </w:rPr>
        <w:t>工程质量符合</w:t>
      </w:r>
      <w:r>
        <w:rPr>
          <w:rFonts w:ascii="宋体" w:hAnsi="宋体" w:cs="宋体"/>
          <w:color w:val="auto"/>
          <w:sz w:val="24"/>
          <w:u w:val="single"/>
        </w:rPr>
        <w:t></w:t>
      </w:r>
      <w:r>
        <w:rPr>
          <w:rFonts w:hint="eastAsia" w:ascii="宋体" w:hAnsi="宋体"/>
          <w:color w:val="auto"/>
          <w:sz w:val="24"/>
        </w:rPr>
        <w:t>标准。</w:t>
      </w:r>
    </w:p>
    <w:p w14:paraId="6E96D062">
      <w:pPr>
        <w:pStyle w:val="74"/>
        <w:spacing w:line="360" w:lineRule="auto"/>
        <w:ind w:firstLine="480" w:firstLineChars="200"/>
        <w:outlineLvl w:val="2"/>
        <w:rPr>
          <w:rFonts w:hint="eastAsia" w:ascii="宋体" w:hAnsi="宋体"/>
          <w:b/>
          <w:color w:val="auto"/>
          <w:sz w:val="24"/>
        </w:rPr>
      </w:pPr>
      <w:bookmarkStart w:id="53" w:name="_Toc351203484"/>
      <w:r>
        <w:rPr>
          <w:rFonts w:hint="eastAsia" w:ascii="宋体" w:hAnsi="宋体"/>
          <w:bCs/>
          <w:color w:val="auto"/>
          <w:sz w:val="24"/>
        </w:rPr>
        <w:t>四、签约合同价与合同价格形式</w:t>
      </w:r>
      <w:bookmarkEnd w:id="53"/>
    </w:p>
    <w:p w14:paraId="5033B0B5">
      <w:pPr>
        <w:pStyle w:val="74"/>
        <w:spacing w:line="360" w:lineRule="auto"/>
        <w:ind w:firstLine="480" w:firstLineChars="200"/>
        <w:outlineLvl w:val="3"/>
        <w:rPr>
          <w:rFonts w:hint="eastAsia" w:ascii="宋体" w:hAnsi="宋体"/>
          <w:color w:val="auto"/>
          <w:sz w:val="24"/>
        </w:rPr>
      </w:pPr>
      <w:r>
        <w:rPr>
          <w:rFonts w:hint="eastAsia" w:ascii="宋体" w:hAnsi="宋体"/>
          <w:color w:val="auto"/>
          <w:sz w:val="24"/>
        </w:rPr>
        <w:t>1.签约合同价为：</w:t>
      </w:r>
    </w:p>
    <w:p w14:paraId="1447A2DC">
      <w:pPr>
        <w:pStyle w:val="74"/>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元)；</w:t>
      </w:r>
    </w:p>
    <w:p w14:paraId="46C42F0F">
      <w:pPr>
        <w:pStyle w:val="74"/>
        <w:spacing w:line="360" w:lineRule="auto"/>
        <w:ind w:firstLine="480" w:firstLineChars="200"/>
        <w:rPr>
          <w:rFonts w:hint="eastAsia" w:ascii="宋体" w:hAnsi="宋体"/>
          <w:color w:val="auto"/>
          <w:sz w:val="24"/>
        </w:rPr>
      </w:pPr>
      <w:r>
        <w:rPr>
          <w:rFonts w:hint="eastAsia" w:ascii="宋体" w:hAnsi="宋体"/>
          <w:color w:val="auto"/>
          <w:sz w:val="24"/>
        </w:rPr>
        <w:t>其中：</w:t>
      </w:r>
    </w:p>
    <w:p w14:paraId="2102EF4A">
      <w:pPr>
        <w:pStyle w:val="74"/>
        <w:spacing w:line="360" w:lineRule="auto"/>
        <w:ind w:firstLine="480" w:firstLineChars="200"/>
        <w:outlineLvl w:val="4"/>
        <w:rPr>
          <w:rFonts w:hint="eastAsia" w:ascii="宋体" w:hAnsi="宋体"/>
          <w:color w:val="auto"/>
          <w:sz w:val="24"/>
        </w:rPr>
      </w:pPr>
      <w:r>
        <w:rPr>
          <w:rFonts w:hint="eastAsia" w:ascii="宋体" w:hAnsi="宋体"/>
          <w:color w:val="auto"/>
          <w:sz w:val="24"/>
        </w:rPr>
        <w:t>（1）安全文明施工费：</w:t>
      </w:r>
    </w:p>
    <w:p w14:paraId="6AD31D1D">
      <w:pPr>
        <w:pStyle w:val="74"/>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5FF969D8">
      <w:pPr>
        <w:pStyle w:val="74"/>
        <w:spacing w:line="360" w:lineRule="auto"/>
        <w:ind w:firstLine="480" w:firstLineChars="200"/>
        <w:outlineLvl w:val="4"/>
        <w:rPr>
          <w:rFonts w:hint="eastAsia" w:ascii="宋体" w:hAnsi="宋体"/>
          <w:color w:val="auto"/>
          <w:sz w:val="24"/>
        </w:rPr>
      </w:pPr>
      <w:r>
        <w:rPr>
          <w:rFonts w:hint="eastAsia" w:ascii="宋体" w:hAnsi="宋体"/>
          <w:color w:val="auto"/>
          <w:sz w:val="24"/>
        </w:rPr>
        <w:t>（2）材料和工程设备暂估价金额：</w:t>
      </w:r>
    </w:p>
    <w:p w14:paraId="48DE00F8">
      <w:pPr>
        <w:pStyle w:val="74"/>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0D204931">
      <w:pPr>
        <w:pStyle w:val="74"/>
        <w:spacing w:line="360" w:lineRule="auto"/>
        <w:ind w:firstLine="480" w:firstLineChars="200"/>
        <w:outlineLvl w:val="4"/>
        <w:rPr>
          <w:rFonts w:hint="eastAsia" w:ascii="宋体" w:hAnsi="宋体"/>
          <w:color w:val="auto"/>
          <w:sz w:val="24"/>
        </w:rPr>
      </w:pPr>
      <w:r>
        <w:rPr>
          <w:rFonts w:hint="eastAsia" w:ascii="宋体" w:hAnsi="宋体"/>
          <w:color w:val="auto"/>
          <w:sz w:val="24"/>
        </w:rPr>
        <w:t>（3）专业工程暂估价金额：</w:t>
      </w:r>
    </w:p>
    <w:p w14:paraId="72D5FAC0">
      <w:pPr>
        <w:pStyle w:val="74"/>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0A1974D9">
      <w:pPr>
        <w:pStyle w:val="74"/>
        <w:spacing w:line="360" w:lineRule="auto"/>
        <w:ind w:firstLine="480" w:firstLineChars="200"/>
        <w:outlineLvl w:val="4"/>
        <w:rPr>
          <w:rFonts w:hint="eastAsia" w:ascii="宋体" w:hAnsi="宋体"/>
          <w:color w:val="auto"/>
          <w:sz w:val="24"/>
        </w:rPr>
      </w:pPr>
      <w:r>
        <w:rPr>
          <w:rFonts w:hint="eastAsia" w:ascii="宋体" w:hAnsi="宋体"/>
          <w:color w:val="auto"/>
          <w:sz w:val="24"/>
        </w:rPr>
        <w:t>（4）暂列金额：</w:t>
      </w:r>
    </w:p>
    <w:p w14:paraId="3C6440CD">
      <w:pPr>
        <w:pStyle w:val="74"/>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7B3ED3EE">
      <w:pPr>
        <w:pStyle w:val="74"/>
        <w:spacing w:line="360" w:lineRule="auto"/>
        <w:ind w:firstLine="480" w:firstLineChars="200"/>
        <w:outlineLvl w:val="3"/>
        <w:rPr>
          <w:rFonts w:hint="eastAsia" w:ascii="宋体" w:hAnsi="宋体"/>
          <w:color w:val="auto"/>
          <w:sz w:val="24"/>
        </w:rPr>
      </w:pPr>
      <w:r>
        <w:rPr>
          <w:rFonts w:hint="eastAsia" w:ascii="宋体" w:hAnsi="宋体"/>
          <w:color w:val="auto"/>
          <w:sz w:val="24"/>
        </w:rPr>
        <w:t>2.合同价格形式：</w:t>
      </w:r>
      <w:r>
        <w:rPr>
          <w:rFonts w:ascii="宋体" w:hAnsi="宋体" w:cs="宋体"/>
          <w:b/>
          <w:color w:val="auto"/>
          <w:sz w:val="24"/>
          <w:u w:val="single"/>
        </w:rPr>
        <w:t></w:t>
      </w:r>
      <w:r>
        <w:rPr>
          <w:rFonts w:hint="eastAsia" w:ascii="宋体" w:hAnsi="宋体"/>
          <w:b/>
          <w:color w:val="auto"/>
          <w:sz w:val="24"/>
          <w:u w:val="single"/>
        </w:rPr>
        <w:t xml:space="preserve">总价合同       </w:t>
      </w:r>
      <w:r>
        <w:rPr>
          <w:rFonts w:ascii="宋体" w:hAnsi="宋体" w:cs="宋体"/>
          <w:b/>
          <w:color w:val="auto"/>
          <w:sz w:val="24"/>
          <w:u w:val="single"/>
        </w:rPr>
        <w:t></w:t>
      </w:r>
      <w:r>
        <w:rPr>
          <w:rFonts w:hint="eastAsia" w:ascii="宋体" w:hAnsi="宋体"/>
          <w:color w:val="auto"/>
          <w:sz w:val="24"/>
        </w:rPr>
        <w:t>。</w:t>
      </w:r>
    </w:p>
    <w:p w14:paraId="199C6586">
      <w:pPr>
        <w:pStyle w:val="74"/>
        <w:spacing w:line="360" w:lineRule="auto"/>
        <w:ind w:firstLine="480" w:firstLineChars="200"/>
        <w:outlineLvl w:val="2"/>
        <w:rPr>
          <w:rFonts w:hint="eastAsia" w:ascii="宋体" w:hAnsi="宋体"/>
          <w:bCs/>
          <w:color w:val="auto"/>
          <w:sz w:val="24"/>
        </w:rPr>
      </w:pPr>
      <w:bookmarkStart w:id="54" w:name="_Toc351203485"/>
      <w:r>
        <w:rPr>
          <w:rFonts w:hint="eastAsia" w:ascii="宋体" w:hAnsi="宋体"/>
          <w:bCs/>
          <w:color w:val="auto"/>
          <w:sz w:val="24"/>
        </w:rPr>
        <w:t>五、</w:t>
      </w:r>
      <w:bookmarkEnd w:id="54"/>
      <w:r>
        <w:rPr>
          <w:rFonts w:hint="eastAsia" w:ascii="宋体" w:hAnsi="宋体"/>
          <w:bCs/>
          <w:color w:val="auto"/>
          <w:sz w:val="24"/>
        </w:rPr>
        <w:t>项目经理</w:t>
      </w:r>
    </w:p>
    <w:p w14:paraId="4DA9D49E">
      <w:pPr>
        <w:pStyle w:val="74"/>
        <w:spacing w:line="360" w:lineRule="auto"/>
        <w:ind w:firstLine="480" w:firstLineChars="200"/>
        <w:rPr>
          <w:rFonts w:hint="eastAsia" w:ascii="宋体" w:hAnsi="宋体"/>
          <w:color w:val="auto"/>
          <w:sz w:val="24"/>
        </w:rPr>
      </w:pPr>
      <w:r>
        <w:rPr>
          <w:rFonts w:hint="eastAsia" w:ascii="宋体" w:hAnsi="宋体"/>
          <w:color w:val="auto"/>
          <w:sz w:val="24"/>
        </w:rPr>
        <w:t>承包人项目经理：</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rPr>
        <w:t>。</w:t>
      </w:r>
    </w:p>
    <w:p w14:paraId="19A4EF26">
      <w:pPr>
        <w:pStyle w:val="74"/>
        <w:spacing w:line="360" w:lineRule="auto"/>
        <w:ind w:firstLine="480" w:firstLineChars="200"/>
        <w:outlineLvl w:val="2"/>
        <w:rPr>
          <w:rFonts w:hint="eastAsia" w:ascii="宋体" w:hAnsi="宋体"/>
          <w:b/>
          <w:color w:val="auto"/>
          <w:sz w:val="24"/>
        </w:rPr>
      </w:pPr>
      <w:bookmarkStart w:id="55" w:name="_Toc351203486"/>
      <w:r>
        <w:rPr>
          <w:rFonts w:hint="eastAsia" w:ascii="宋体" w:hAnsi="宋体"/>
          <w:bCs/>
          <w:color w:val="auto"/>
          <w:sz w:val="24"/>
        </w:rPr>
        <w:t>六、合同文件构成</w:t>
      </w:r>
      <w:bookmarkEnd w:id="55"/>
    </w:p>
    <w:p w14:paraId="6385AA53">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本协议书与下列文件一起构成合同文件：</w:t>
      </w:r>
    </w:p>
    <w:p w14:paraId="127A7169">
      <w:pPr>
        <w:pStyle w:val="74"/>
        <w:spacing w:line="360" w:lineRule="auto"/>
        <w:ind w:firstLine="480" w:firstLineChars="200"/>
        <w:rPr>
          <w:rFonts w:hint="eastAsia" w:ascii="宋体" w:hAnsi="宋体"/>
          <w:color w:val="auto"/>
          <w:sz w:val="24"/>
        </w:rPr>
      </w:pPr>
      <w:r>
        <w:rPr>
          <w:rFonts w:hint="eastAsia" w:ascii="宋体" w:hAnsi="宋体"/>
          <w:color w:val="auto"/>
          <w:sz w:val="24"/>
        </w:rPr>
        <w:t>（1）中标通知书（如果有）；</w:t>
      </w:r>
    </w:p>
    <w:p w14:paraId="4D963A48">
      <w:pPr>
        <w:pStyle w:val="74"/>
        <w:spacing w:line="360" w:lineRule="auto"/>
        <w:ind w:firstLine="480" w:firstLineChars="200"/>
        <w:rPr>
          <w:rFonts w:hint="eastAsia" w:ascii="宋体" w:hAnsi="宋体"/>
          <w:color w:val="auto"/>
          <w:sz w:val="24"/>
        </w:rPr>
      </w:pPr>
      <w:r>
        <w:rPr>
          <w:rFonts w:hint="eastAsia" w:ascii="宋体" w:hAnsi="宋体"/>
          <w:color w:val="auto"/>
          <w:sz w:val="24"/>
        </w:rPr>
        <w:t xml:space="preserve">（2）投标函及其附录（如果有）； </w:t>
      </w:r>
    </w:p>
    <w:p w14:paraId="4A06089A">
      <w:pPr>
        <w:pStyle w:val="74"/>
        <w:spacing w:line="360" w:lineRule="auto"/>
        <w:ind w:firstLine="480" w:firstLineChars="200"/>
        <w:rPr>
          <w:rFonts w:hint="eastAsia" w:ascii="宋体" w:hAnsi="宋体"/>
          <w:color w:val="auto"/>
          <w:sz w:val="24"/>
        </w:rPr>
      </w:pPr>
      <w:r>
        <w:rPr>
          <w:rFonts w:hint="eastAsia" w:ascii="宋体" w:hAnsi="宋体"/>
          <w:color w:val="auto"/>
          <w:sz w:val="24"/>
        </w:rPr>
        <w:t>（3）专用合同条款及其附件；</w:t>
      </w:r>
    </w:p>
    <w:p w14:paraId="01791789">
      <w:pPr>
        <w:pStyle w:val="74"/>
        <w:spacing w:line="360" w:lineRule="auto"/>
        <w:ind w:firstLine="480" w:firstLineChars="200"/>
        <w:rPr>
          <w:rFonts w:hint="eastAsia" w:ascii="宋体" w:hAnsi="宋体"/>
          <w:color w:val="auto"/>
          <w:sz w:val="24"/>
        </w:rPr>
      </w:pPr>
      <w:r>
        <w:rPr>
          <w:rFonts w:hint="eastAsia" w:ascii="宋体" w:hAnsi="宋体"/>
          <w:color w:val="auto"/>
          <w:sz w:val="24"/>
        </w:rPr>
        <w:t>（4）通用合同条款；</w:t>
      </w:r>
    </w:p>
    <w:p w14:paraId="17DFE927">
      <w:pPr>
        <w:pStyle w:val="74"/>
        <w:spacing w:line="360" w:lineRule="auto"/>
        <w:ind w:firstLine="480" w:firstLineChars="200"/>
        <w:rPr>
          <w:rFonts w:hint="eastAsia" w:ascii="宋体" w:hAnsi="宋体"/>
          <w:color w:val="auto"/>
          <w:sz w:val="24"/>
        </w:rPr>
      </w:pPr>
      <w:r>
        <w:rPr>
          <w:rFonts w:hint="eastAsia" w:ascii="宋体" w:hAnsi="宋体"/>
          <w:color w:val="auto"/>
          <w:sz w:val="24"/>
        </w:rPr>
        <w:t>（5）技术标准和要求；</w:t>
      </w:r>
    </w:p>
    <w:p w14:paraId="75C3E3DA">
      <w:pPr>
        <w:pStyle w:val="74"/>
        <w:spacing w:line="360" w:lineRule="auto"/>
        <w:ind w:firstLine="480" w:firstLineChars="200"/>
        <w:rPr>
          <w:rFonts w:hint="eastAsia" w:ascii="宋体" w:hAnsi="宋体"/>
          <w:color w:val="auto"/>
          <w:sz w:val="24"/>
        </w:rPr>
      </w:pPr>
      <w:r>
        <w:rPr>
          <w:rFonts w:hint="eastAsia" w:ascii="宋体" w:hAnsi="宋体"/>
          <w:color w:val="auto"/>
          <w:sz w:val="24"/>
        </w:rPr>
        <w:t>（6）图纸；</w:t>
      </w:r>
    </w:p>
    <w:p w14:paraId="117B8E0F">
      <w:pPr>
        <w:pStyle w:val="74"/>
        <w:spacing w:line="360" w:lineRule="auto"/>
        <w:ind w:firstLine="480" w:firstLineChars="200"/>
        <w:rPr>
          <w:rFonts w:hint="eastAsia" w:ascii="宋体" w:hAnsi="宋体"/>
          <w:color w:val="auto"/>
          <w:sz w:val="24"/>
        </w:rPr>
      </w:pPr>
      <w:r>
        <w:rPr>
          <w:rFonts w:hint="eastAsia" w:ascii="宋体" w:hAnsi="宋体"/>
          <w:color w:val="auto"/>
          <w:sz w:val="24"/>
        </w:rPr>
        <w:t>（7）已标价工程量清单或预算书；</w:t>
      </w:r>
    </w:p>
    <w:p w14:paraId="04606EBD">
      <w:pPr>
        <w:pStyle w:val="74"/>
        <w:spacing w:line="360" w:lineRule="auto"/>
        <w:ind w:firstLine="480" w:firstLineChars="200"/>
        <w:rPr>
          <w:rFonts w:hint="eastAsia" w:ascii="宋体" w:hAnsi="宋体"/>
          <w:color w:val="auto"/>
          <w:sz w:val="24"/>
        </w:rPr>
      </w:pPr>
      <w:r>
        <w:rPr>
          <w:rFonts w:hint="eastAsia" w:ascii="宋体" w:hAnsi="宋体"/>
          <w:color w:val="auto"/>
          <w:sz w:val="24"/>
        </w:rPr>
        <w:t>（8）其他合同文件。</w:t>
      </w:r>
    </w:p>
    <w:p w14:paraId="398A04C2">
      <w:pPr>
        <w:pStyle w:val="74"/>
        <w:spacing w:line="360" w:lineRule="auto"/>
        <w:ind w:firstLine="480" w:firstLineChars="200"/>
        <w:rPr>
          <w:rFonts w:hint="eastAsia" w:ascii="宋体" w:hAnsi="宋体"/>
          <w:color w:val="auto"/>
          <w:sz w:val="24"/>
        </w:rPr>
      </w:pPr>
      <w:r>
        <w:rPr>
          <w:rFonts w:hint="eastAsia" w:ascii="宋体" w:hAnsi="宋体"/>
          <w:color w:val="auto"/>
          <w:sz w:val="24"/>
        </w:rPr>
        <w:t>在合同订立及履行过程中形成的与合同有关的文件均构成合同文件组成部分。</w:t>
      </w:r>
    </w:p>
    <w:p w14:paraId="280842DD">
      <w:pPr>
        <w:pStyle w:val="74"/>
        <w:spacing w:line="360" w:lineRule="auto"/>
        <w:ind w:firstLine="480" w:firstLineChars="200"/>
        <w:rPr>
          <w:rFonts w:hint="eastAsia" w:ascii="宋体" w:hAnsi="宋体"/>
          <w:color w:val="auto"/>
          <w:sz w:val="24"/>
        </w:rPr>
      </w:pPr>
      <w:r>
        <w:rPr>
          <w:rFonts w:hint="eastAsia" w:ascii="宋体" w:hAnsi="宋体"/>
          <w:color w:val="auto"/>
          <w:sz w:val="24"/>
        </w:rPr>
        <w:t>上述各项合同文件包括合同当事人就该项合同文件所作出的补充和修改，属于同一类内容的文件，应以最新签署的为准。专用合同条款及其附件须经合同当事人签字或盖章。</w:t>
      </w:r>
    </w:p>
    <w:p w14:paraId="3C10A254">
      <w:pPr>
        <w:pStyle w:val="74"/>
        <w:spacing w:line="360" w:lineRule="auto"/>
        <w:ind w:firstLine="480" w:firstLineChars="200"/>
        <w:outlineLvl w:val="2"/>
        <w:rPr>
          <w:rFonts w:hint="eastAsia" w:ascii="宋体" w:hAnsi="宋体"/>
          <w:color w:val="auto"/>
          <w:sz w:val="24"/>
        </w:rPr>
      </w:pPr>
      <w:bookmarkStart w:id="56" w:name="_Toc351203487"/>
      <w:r>
        <w:rPr>
          <w:rFonts w:hint="eastAsia" w:ascii="宋体" w:hAnsi="宋体"/>
          <w:bCs/>
          <w:color w:val="auto"/>
          <w:sz w:val="24"/>
        </w:rPr>
        <w:t>七、承诺</w:t>
      </w:r>
      <w:bookmarkEnd w:id="56"/>
    </w:p>
    <w:p w14:paraId="19108EA5">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1.发包人承诺按照法律规定履行项目审批手续、筹集工程建设资金并按照合同约定的期限和方式支付合同价款。</w:t>
      </w:r>
    </w:p>
    <w:p w14:paraId="48B0A915">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2.承包人承诺按照法律规定及合同约定组织完成工程施工，确保工程质量和安全，不进行转包及违法分包，并在缺陷责任期及保修期内承担相应的工程维修责任。</w:t>
      </w:r>
    </w:p>
    <w:p w14:paraId="7567EB43">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3.发包人和承包人通过招投标形式签订合同的，双方理解并承诺不再就同一工程另行签订与合同实质性内容相背离的协议。</w:t>
      </w:r>
    </w:p>
    <w:p w14:paraId="1F01585D">
      <w:pPr>
        <w:pStyle w:val="74"/>
        <w:spacing w:line="360" w:lineRule="auto"/>
        <w:ind w:firstLine="482" w:firstLineChars="200"/>
        <w:outlineLvl w:val="2"/>
        <w:rPr>
          <w:rFonts w:hint="eastAsia" w:ascii="宋体" w:hAnsi="宋体"/>
          <w:bCs/>
          <w:color w:val="auto"/>
          <w:sz w:val="24"/>
        </w:rPr>
      </w:pPr>
      <w:bookmarkStart w:id="57" w:name="_Toc351203488"/>
      <w:r>
        <w:rPr>
          <w:rFonts w:hint="eastAsia" w:ascii="宋体" w:hAnsi="宋体"/>
          <w:b/>
          <w:color w:val="auto"/>
          <w:sz w:val="24"/>
        </w:rPr>
        <w:t>八、词语含义</w:t>
      </w:r>
      <w:bookmarkEnd w:id="57"/>
    </w:p>
    <w:p w14:paraId="42C27179">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本协议书中词语含义与第二部分通用合同条款中赋予的含义相同。</w:t>
      </w:r>
    </w:p>
    <w:p w14:paraId="030B1E54">
      <w:pPr>
        <w:pStyle w:val="74"/>
        <w:spacing w:line="360" w:lineRule="auto"/>
        <w:ind w:firstLine="480" w:firstLineChars="200"/>
        <w:outlineLvl w:val="2"/>
        <w:rPr>
          <w:rFonts w:hint="eastAsia" w:ascii="宋体" w:hAnsi="宋体"/>
          <w:b/>
          <w:color w:val="auto"/>
          <w:sz w:val="24"/>
        </w:rPr>
      </w:pPr>
      <w:bookmarkStart w:id="58" w:name="_Toc351203489"/>
      <w:r>
        <w:rPr>
          <w:rFonts w:hint="eastAsia" w:ascii="宋体" w:hAnsi="宋体"/>
          <w:bCs/>
          <w:color w:val="auto"/>
          <w:sz w:val="24"/>
        </w:rPr>
        <w:t>九、签订时间</w:t>
      </w:r>
      <w:bookmarkEnd w:id="58"/>
    </w:p>
    <w:p w14:paraId="05072E42">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本合同于</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日签订。</w:t>
      </w:r>
    </w:p>
    <w:p w14:paraId="19E1BA80">
      <w:pPr>
        <w:pStyle w:val="74"/>
        <w:spacing w:line="360" w:lineRule="auto"/>
        <w:ind w:firstLine="480" w:firstLineChars="200"/>
        <w:outlineLvl w:val="2"/>
        <w:rPr>
          <w:rFonts w:hint="eastAsia" w:ascii="宋体" w:hAnsi="宋体"/>
          <w:b/>
          <w:color w:val="auto"/>
          <w:sz w:val="24"/>
        </w:rPr>
      </w:pPr>
      <w:bookmarkStart w:id="59" w:name="_Toc351203490"/>
      <w:r>
        <w:rPr>
          <w:rFonts w:hint="eastAsia" w:ascii="宋体" w:hAnsi="宋体"/>
          <w:bCs/>
          <w:color w:val="auto"/>
          <w:sz w:val="24"/>
        </w:rPr>
        <w:t>十、签订地点</w:t>
      </w:r>
      <w:bookmarkEnd w:id="59"/>
    </w:p>
    <w:p w14:paraId="7B1EEEF4">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本合同在</w:t>
      </w:r>
      <w:r>
        <w:rPr>
          <w:rFonts w:hint="eastAsia" w:ascii="宋体" w:hAnsi="宋体"/>
          <w:bCs/>
          <w:color w:val="auto"/>
          <w:sz w:val="24"/>
          <w:u w:val="single"/>
        </w:rPr>
        <w:t xml:space="preserve">                                    </w:t>
      </w:r>
      <w:r>
        <w:rPr>
          <w:rFonts w:hint="eastAsia" w:ascii="宋体" w:hAnsi="宋体"/>
          <w:bCs/>
          <w:color w:val="auto"/>
          <w:sz w:val="24"/>
        </w:rPr>
        <w:t>签订。</w:t>
      </w:r>
    </w:p>
    <w:p w14:paraId="2BE10328">
      <w:pPr>
        <w:pStyle w:val="74"/>
        <w:spacing w:line="360" w:lineRule="auto"/>
        <w:ind w:firstLine="480" w:firstLineChars="200"/>
        <w:outlineLvl w:val="2"/>
        <w:rPr>
          <w:rFonts w:hint="eastAsia" w:ascii="宋体" w:hAnsi="宋体"/>
          <w:b/>
          <w:color w:val="auto"/>
          <w:sz w:val="24"/>
        </w:rPr>
      </w:pPr>
      <w:bookmarkStart w:id="60" w:name="_Toc351203491"/>
      <w:r>
        <w:rPr>
          <w:rFonts w:hint="eastAsia" w:ascii="宋体" w:hAnsi="宋体"/>
          <w:bCs/>
          <w:color w:val="auto"/>
          <w:sz w:val="24"/>
        </w:rPr>
        <w:t>十一、补充协议</w:t>
      </w:r>
      <w:bookmarkEnd w:id="60"/>
    </w:p>
    <w:p w14:paraId="33479EF1">
      <w:pPr>
        <w:pStyle w:val="74"/>
        <w:spacing w:line="360" w:lineRule="auto"/>
        <w:ind w:firstLine="480" w:firstLineChars="200"/>
        <w:rPr>
          <w:rFonts w:hint="eastAsia" w:ascii="宋体" w:hAnsi="宋体"/>
          <w:b/>
          <w:bCs/>
          <w:color w:val="auto"/>
          <w:sz w:val="24"/>
        </w:rPr>
      </w:pPr>
      <w:r>
        <w:rPr>
          <w:rFonts w:hint="eastAsia" w:ascii="宋体" w:hAnsi="宋体"/>
          <w:bCs/>
          <w:color w:val="auto"/>
          <w:sz w:val="24"/>
        </w:rPr>
        <w:t>合同未尽事宜，合同当事人另行签订补充协议，补充协议是合同的组成部分。</w:t>
      </w:r>
    </w:p>
    <w:p w14:paraId="6659CEAF">
      <w:pPr>
        <w:pStyle w:val="74"/>
        <w:spacing w:line="360" w:lineRule="auto"/>
        <w:ind w:firstLine="480" w:firstLineChars="200"/>
        <w:outlineLvl w:val="2"/>
        <w:rPr>
          <w:rFonts w:hint="eastAsia" w:ascii="宋体" w:hAnsi="宋体"/>
          <w:b/>
          <w:color w:val="auto"/>
          <w:sz w:val="24"/>
        </w:rPr>
      </w:pPr>
      <w:bookmarkStart w:id="61" w:name="_Toc351203492"/>
      <w:r>
        <w:rPr>
          <w:rFonts w:hint="eastAsia" w:ascii="宋体" w:hAnsi="宋体"/>
          <w:bCs/>
          <w:color w:val="auto"/>
          <w:sz w:val="24"/>
        </w:rPr>
        <w:t>十二、合同生效</w:t>
      </w:r>
      <w:bookmarkEnd w:id="61"/>
    </w:p>
    <w:p w14:paraId="34E8875C">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本合同自</w:t>
      </w:r>
      <w:r>
        <w:rPr>
          <w:rFonts w:hint="eastAsia" w:ascii="宋体" w:hAnsi="宋体"/>
          <w:bCs/>
          <w:color w:val="auto"/>
          <w:sz w:val="24"/>
          <w:u w:val="single"/>
        </w:rPr>
        <w:t xml:space="preserve">                                   </w:t>
      </w:r>
      <w:r>
        <w:rPr>
          <w:rFonts w:hint="eastAsia" w:ascii="宋体" w:hAnsi="宋体"/>
          <w:bCs/>
          <w:color w:val="auto"/>
          <w:sz w:val="24"/>
        </w:rPr>
        <w:t>生效。</w:t>
      </w:r>
    </w:p>
    <w:p w14:paraId="375B6BBF">
      <w:pPr>
        <w:pStyle w:val="74"/>
        <w:spacing w:line="360" w:lineRule="auto"/>
        <w:ind w:firstLine="480" w:firstLineChars="200"/>
        <w:outlineLvl w:val="2"/>
        <w:rPr>
          <w:rFonts w:hint="eastAsia" w:ascii="宋体" w:hAnsi="宋体"/>
          <w:b/>
          <w:color w:val="auto"/>
          <w:sz w:val="24"/>
        </w:rPr>
      </w:pPr>
      <w:bookmarkStart w:id="62" w:name="_Toc351203493"/>
      <w:r>
        <w:rPr>
          <w:rFonts w:hint="eastAsia" w:ascii="宋体" w:hAnsi="宋体"/>
          <w:bCs/>
          <w:color w:val="auto"/>
          <w:sz w:val="24"/>
        </w:rPr>
        <w:t>十三、合同份数</w:t>
      </w:r>
      <w:bookmarkEnd w:id="62"/>
    </w:p>
    <w:p w14:paraId="49E1C591">
      <w:pPr>
        <w:pStyle w:val="74"/>
        <w:spacing w:line="360" w:lineRule="auto"/>
        <w:ind w:firstLine="480" w:firstLineChars="200"/>
        <w:rPr>
          <w:rFonts w:hint="eastAsia" w:ascii="宋体" w:hAnsi="宋体"/>
          <w:bCs/>
          <w:color w:val="auto"/>
          <w:sz w:val="24"/>
        </w:rPr>
      </w:pPr>
      <w:r>
        <w:rPr>
          <w:rFonts w:hint="eastAsia" w:ascii="宋体" w:hAnsi="宋体"/>
          <w:bCs/>
          <w:color w:val="auto"/>
          <w:sz w:val="24"/>
        </w:rPr>
        <w:t>本合同一式</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份，均具有同等法律效力，发包人执</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份，承包人执</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w:t>
      </w:r>
    </w:p>
    <w:p w14:paraId="4F0328E5">
      <w:pPr>
        <w:pStyle w:val="74"/>
        <w:spacing w:line="360" w:lineRule="auto"/>
        <w:rPr>
          <w:rFonts w:hint="eastAsia" w:ascii="宋体" w:hAnsi="宋体"/>
          <w:color w:val="auto"/>
          <w:sz w:val="24"/>
        </w:rPr>
      </w:pPr>
      <w:r>
        <w:rPr>
          <w:rFonts w:hint="eastAsia" w:ascii="宋体" w:hAnsi="宋体"/>
          <w:color w:val="auto"/>
          <w:sz w:val="24"/>
        </w:rPr>
        <w:t>发包人：  (公章)                           承包人：  (公章)</w:t>
      </w:r>
    </w:p>
    <w:p w14:paraId="7B0C9360">
      <w:pPr>
        <w:pStyle w:val="74"/>
        <w:spacing w:line="360" w:lineRule="auto"/>
        <w:rPr>
          <w:rFonts w:hint="eastAsia" w:ascii="宋体" w:hAnsi="宋体"/>
          <w:color w:val="auto"/>
          <w:sz w:val="24"/>
        </w:rPr>
      </w:pPr>
      <w:r>
        <w:rPr>
          <w:rFonts w:hint="eastAsia" w:ascii="宋体" w:hAnsi="宋体"/>
          <w:color w:val="auto"/>
          <w:sz w:val="24"/>
        </w:rPr>
        <w:t>法定代表人或其委托代理人：                 法定代表人或其委托代理人：</w:t>
      </w:r>
    </w:p>
    <w:p w14:paraId="46370D28">
      <w:pPr>
        <w:pStyle w:val="74"/>
        <w:spacing w:line="360" w:lineRule="auto"/>
        <w:rPr>
          <w:rFonts w:hint="eastAsia" w:ascii="宋体" w:hAnsi="宋体"/>
          <w:color w:val="auto"/>
          <w:sz w:val="24"/>
        </w:rPr>
      </w:pPr>
      <w:r>
        <w:rPr>
          <w:rFonts w:hint="eastAsia" w:ascii="宋体" w:hAnsi="宋体"/>
          <w:color w:val="auto"/>
          <w:sz w:val="24"/>
        </w:rPr>
        <w:t>（签字）                                  （签字）</w:t>
      </w:r>
    </w:p>
    <w:p w14:paraId="717A4E18">
      <w:pPr>
        <w:pStyle w:val="74"/>
        <w:spacing w:line="360" w:lineRule="auto"/>
        <w:rPr>
          <w:rFonts w:hint="eastAsia" w:ascii="宋体" w:hAnsi="宋体"/>
          <w:color w:val="auto"/>
          <w:sz w:val="24"/>
        </w:rPr>
      </w:pPr>
      <w:r>
        <w:rPr>
          <w:rFonts w:hint="eastAsia" w:ascii="宋体" w:hAnsi="宋体"/>
          <w:color w:val="auto"/>
          <w:sz w:val="24"/>
        </w:rPr>
        <w:t>组织机构代码：</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组织机构代码：</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w:t>
      </w:r>
    </w:p>
    <w:p w14:paraId="17DAFCDC">
      <w:pPr>
        <w:pStyle w:val="74"/>
        <w:spacing w:line="360" w:lineRule="auto"/>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地  址：</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211CDCF4">
      <w:pPr>
        <w:pStyle w:val="74"/>
        <w:spacing w:line="360" w:lineRule="auto"/>
        <w:rPr>
          <w:rFonts w:hint="eastAsia"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邮政编码：</w:t>
      </w:r>
      <w:r>
        <w:rPr>
          <w:rFonts w:ascii="宋体" w:hAnsi="宋体" w:cs="宋体"/>
          <w:color w:val="auto"/>
          <w:sz w:val="24"/>
          <w:u w:val="single"/>
        </w:rPr>
        <w:t></w:t>
      </w:r>
      <w:r>
        <w:rPr>
          <w:rFonts w:hint="eastAsia" w:ascii="宋体" w:hAnsi="宋体"/>
          <w:color w:val="auto"/>
          <w:sz w:val="24"/>
          <w:u w:val="single"/>
        </w:rPr>
        <w:t xml:space="preserve">   </w:t>
      </w:r>
    </w:p>
    <w:p w14:paraId="24899C10">
      <w:pPr>
        <w:pStyle w:val="74"/>
        <w:spacing w:line="360" w:lineRule="auto"/>
        <w:rPr>
          <w:rFonts w:hint="eastAsia" w:ascii="宋体" w:hAnsi="宋体"/>
          <w:color w:val="auto"/>
          <w:sz w:val="24"/>
        </w:rPr>
      </w:pPr>
      <w:r>
        <w:rPr>
          <w:rFonts w:hint="eastAsia" w:ascii="宋体" w:hAnsi="宋体"/>
          <w:color w:val="auto"/>
          <w:sz w:val="24"/>
        </w:rPr>
        <w:t>法定代表人：</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法定代表人：</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0566BE7A">
      <w:pPr>
        <w:pStyle w:val="74"/>
        <w:spacing w:line="360" w:lineRule="auto"/>
        <w:rPr>
          <w:rFonts w:hint="eastAsia" w:ascii="宋体" w:hAnsi="宋体"/>
          <w:color w:val="auto"/>
          <w:sz w:val="24"/>
        </w:rPr>
      </w:pPr>
      <w:r>
        <w:rPr>
          <w:rFonts w:hint="eastAsia" w:ascii="宋体" w:hAnsi="宋体"/>
          <w:color w:val="auto"/>
          <w:sz w:val="24"/>
        </w:rPr>
        <w:t>委托代理人：</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委托代理人：</w:t>
      </w:r>
      <w:r>
        <w:rPr>
          <w:rFonts w:ascii="宋体" w:hAnsi="宋体" w:cs="宋体"/>
          <w:color w:val="auto"/>
          <w:sz w:val="24"/>
          <w:u w:val="single"/>
        </w:rPr>
        <w:t></w:t>
      </w:r>
      <w:r>
        <w:rPr>
          <w:rFonts w:hint="eastAsia" w:ascii="宋体" w:hAnsi="宋体"/>
          <w:color w:val="auto"/>
          <w:sz w:val="24"/>
          <w:u w:val="single"/>
        </w:rPr>
        <w:t xml:space="preserve">             </w:t>
      </w:r>
    </w:p>
    <w:p w14:paraId="2F0E8F06">
      <w:pPr>
        <w:pStyle w:val="74"/>
        <w:spacing w:line="360" w:lineRule="auto"/>
        <w:rPr>
          <w:rFonts w:hint="eastAsia" w:ascii="宋体" w:hAnsi="宋体"/>
          <w:color w:val="auto"/>
          <w:sz w:val="24"/>
        </w:rPr>
      </w:pPr>
      <w:r>
        <w:rPr>
          <w:rFonts w:hint="eastAsia" w:ascii="宋体" w:hAnsi="宋体"/>
          <w:color w:val="auto"/>
          <w:sz w:val="24"/>
        </w:rPr>
        <w:t>电  话：</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电  话：</w:t>
      </w:r>
      <w:r>
        <w:rPr>
          <w:rFonts w:ascii="宋体" w:hAnsi="宋体" w:cs="宋体"/>
          <w:color w:val="auto"/>
          <w:sz w:val="24"/>
          <w:u w:val="single"/>
        </w:rPr>
        <w:t></w:t>
      </w:r>
      <w:r>
        <w:rPr>
          <w:rFonts w:hint="eastAsia" w:ascii="宋体" w:hAnsi="宋体"/>
          <w:color w:val="auto"/>
          <w:sz w:val="24"/>
          <w:u w:val="single"/>
        </w:rPr>
        <w:t xml:space="preserve">     </w:t>
      </w:r>
    </w:p>
    <w:p w14:paraId="603FE592">
      <w:pPr>
        <w:pStyle w:val="74"/>
        <w:spacing w:line="360" w:lineRule="auto"/>
        <w:rPr>
          <w:rFonts w:hint="eastAsia" w:ascii="宋体" w:hAnsi="宋体"/>
          <w:color w:val="auto"/>
          <w:sz w:val="24"/>
        </w:rPr>
      </w:pPr>
      <w:r>
        <w:rPr>
          <w:rFonts w:hint="eastAsia" w:ascii="宋体" w:hAnsi="宋体"/>
          <w:color w:val="auto"/>
          <w:sz w:val="24"/>
        </w:rPr>
        <w:t>传  真：</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传  真：</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2F824BE4">
      <w:pPr>
        <w:pStyle w:val="74"/>
        <w:spacing w:line="360" w:lineRule="auto"/>
        <w:rPr>
          <w:rFonts w:hint="eastAsia" w:ascii="宋体" w:hAnsi="宋体"/>
          <w:color w:val="auto"/>
          <w:sz w:val="24"/>
        </w:rPr>
      </w:pPr>
      <w:r>
        <w:rPr>
          <w:rFonts w:hint="eastAsia" w:ascii="宋体" w:hAnsi="宋体"/>
          <w:color w:val="auto"/>
          <w:sz w:val="24"/>
        </w:rPr>
        <w:t>电子信箱：</w:t>
      </w:r>
      <w:r>
        <w:rPr>
          <w:rFonts w:hint="eastAsia" w:ascii="宋体" w:hAnsi="宋体"/>
          <w:color w:val="auto"/>
          <w:sz w:val="24"/>
          <w:u w:val="single"/>
        </w:rPr>
        <w:t xml:space="preserve">                 </w:t>
      </w:r>
      <w:r>
        <w:rPr>
          <w:rFonts w:hint="eastAsia" w:ascii="宋体" w:hAnsi="宋体"/>
          <w:color w:val="auto"/>
          <w:sz w:val="24"/>
        </w:rPr>
        <w:t xml:space="preserve">                电子信箱：</w:t>
      </w:r>
      <w:r>
        <w:rPr>
          <w:rFonts w:ascii="宋体" w:hAnsi="宋体" w:cs="宋体"/>
          <w:color w:val="auto"/>
          <w:sz w:val="24"/>
          <w:u w:val="single"/>
        </w:rPr>
        <w:t></w:t>
      </w:r>
      <w:r>
        <w:rPr>
          <w:rFonts w:hint="eastAsia" w:ascii="宋体" w:hAnsi="宋体"/>
          <w:color w:val="auto"/>
          <w:sz w:val="24"/>
          <w:u w:val="single"/>
        </w:rPr>
        <w:t xml:space="preserve">   </w:t>
      </w:r>
    </w:p>
    <w:p w14:paraId="101EE213">
      <w:pPr>
        <w:pStyle w:val="74"/>
        <w:spacing w:line="360" w:lineRule="auto"/>
        <w:rPr>
          <w:rFonts w:hint="eastAsia" w:ascii="宋体" w:hAnsi="宋体"/>
          <w:color w:val="auto"/>
          <w:sz w:val="24"/>
        </w:rPr>
      </w:pPr>
      <w:r>
        <w:rPr>
          <w:rFonts w:hint="eastAsia" w:ascii="宋体" w:hAnsi="宋体"/>
          <w:color w:val="auto"/>
          <w:sz w:val="24"/>
        </w:rPr>
        <w:t>开户银行：</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开户银行：</w:t>
      </w:r>
      <w:r>
        <w:rPr>
          <w:rFonts w:ascii="宋体" w:hAnsi="宋体" w:cs="宋体"/>
          <w:color w:val="auto"/>
          <w:sz w:val="24"/>
          <w:u w:val="single"/>
        </w:rPr>
        <w:t></w:t>
      </w:r>
      <w:r>
        <w:rPr>
          <w:rFonts w:hint="eastAsia" w:ascii="宋体" w:hAnsi="宋体"/>
          <w:color w:val="auto"/>
          <w:sz w:val="24"/>
          <w:u w:val="single"/>
        </w:rPr>
        <w:t xml:space="preserve">   </w:t>
      </w:r>
    </w:p>
    <w:p w14:paraId="03AEDFBC">
      <w:pPr>
        <w:pStyle w:val="74"/>
        <w:spacing w:line="360" w:lineRule="auto"/>
        <w:rPr>
          <w:rFonts w:hint="eastAsia" w:ascii="宋体" w:hAnsi="宋体"/>
          <w:color w:val="auto"/>
          <w:sz w:val="24"/>
        </w:rPr>
      </w:pPr>
      <w:r>
        <w:rPr>
          <w:rFonts w:hint="eastAsia" w:ascii="宋体" w:hAnsi="宋体"/>
          <w:color w:val="auto"/>
          <w:sz w:val="24"/>
        </w:rPr>
        <w:t>账  号：</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账  号：</w:t>
      </w:r>
      <w:r>
        <w:rPr>
          <w:rFonts w:ascii="宋体" w:hAnsi="宋体" w:cs="宋体"/>
          <w:color w:val="auto"/>
          <w:sz w:val="24"/>
          <w:u w:val="single"/>
        </w:rPr>
        <w:t></w:t>
      </w:r>
      <w:r>
        <w:rPr>
          <w:rFonts w:hint="eastAsia" w:ascii="宋体" w:hAnsi="宋体"/>
          <w:color w:val="auto"/>
          <w:sz w:val="24"/>
          <w:u w:val="single"/>
        </w:rPr>
        <w:t xml:space="preserve">     </w:t>
      </w:r>
    </w:p>
    <w:p w14:paraId="52FF4DED">
      <w:pPr>
        <w:pStyle w:val="73"/>
        <w:spacing w:line="360" w:lineRule="auto"/>
        <w:ind w:left="250" w:right="0"/>
        <w:rPr>
          <w:rFonts w:hint="eastAsia" w:ascii="宋体" w:hAnsi="宋体"/>
          <w:color w:val="auto"/>
          <w:szCs w:val="24"/>
        </w:rPr>
      </w:pPr>
    </w:p>
    <w:p w14:paraId="7ADAB7FB">
      <w:pPr>
        <w:pStyle w:val="73"/>
        <w:spacing w:line="360" w:lineRule="auto"/>
        <w:ind w:left="0" w:right="0"/>
        <w:rPr>
          <w:rFonts w:hint="eastAsia" w:ascii="宋体" w:hAnsi="宋体"/>
          <w:color w:val="auto"/>
          <w:szCs w:val="24"/>
          <w:lang w:eastAsia="zh-CN"/>
        </w:rPr>
      </w:pPr>
    </w:p>
    <w:p w14:paraId="4A6262F0">
      <w:pPr>
        <w:pStyle w:val="73"/>
        <w:spacing w:line="360" w:lineRule="auto"/>
        <w:ind w:left="0" w:right="0"/>
        <w:rPr>
          <w:rFonts w:hint="eastAsia" w:ascii="宋体" w:hAnsi="宋体"/>
          <w:color w:val="auto"/>
          <w:szCs w:val="24"/>
          <w:lang w:eastAsia="zh-CN"/>
        </w:rPr>
      </w:pPr>
    </w:p>
    <w:p w14:paraId="6CF5C4CD">
      <w:pPr>
        <w:pStyle w:val="73"/>
        <w:spacing w:line="360" w:lineRule="auto"/>
        <w:ind w:left="0" w:right="0"/>
        <w:rPr>
          <w:rFonts w:hint="eastAsia" w:ascii="宋体" w:hAnsi="宋体"/>
          <w:color w:val="auto"/>
          <w:szCs w:val="24"/>
          <w:lang w:eastAsia="zh-CN"/>
        </w:rPr>
      </w:pPr>
    </w:p>
    <w:p w14:paraId="2C12FCF5">
      <w:pPr>
        <w:pStyle w:val="97"/>
        <w:numPr>
          <w:ilvl w:val="0"/>
          <w:numId w:val="0"/>
        </w:numPr>
        <w:outlineLvl w:val="1"/>
        <w:rPr>
          <w:rFonts w:hint="eastAsia" w:ascii="宋体" w:hAnsi="宋体"/>
          <w:b w:val="0"/>
          <w:color w:val="auto"/>
          <w:sz w:val="24"/>
          <w:szCs w:val="24"/>
        </w:rPr>
      </w:pPr>
      <w:bookmarkStart w:id="63" w:name="_Toc460660195"/>
      <w:bookmarkStart w:id="64" w:name="_Toc351203494"/>
      <w:bookmarkStart w:id="65" w:name="_Toc460227080"/>
      <w:bookmarkStart w:id="66" w:name="_Toc416787470"/>
      <w:bookmarkStart w:id="67" w:name="_Toc460226810"/>
      <w:r>
        <w:rPr>
          <w:rFonts w:hint="eastAsia" w:ascii="宋体" w:hAnsi="宋体"/>
          <w:b w:val="0"/>
          <w:color w:val="auto"/>
          <w:sz w:val="24"/>
          <w:szCs w:val="24"/>
        </w:rPr>
        <w:t>第二部分  通用合同条款</w:t>
      </w:r>
      <w:bookmarkEnd w:id="63"/>
      <w:bookmarkEnd w:id="64"/>
      <w:bookmarkEnd w:id="65"/>
      <w:bookmarkEnd w:id="66"/>
      <w:bookmarkEnd w:id="67"/>
      <w:bookmarkStart w:id="68" w:name="_Toc337558727"/>
    </w:p>
    <w:p w14:paraId="3375B1E9">
      <w:pPr>
        <w:pStyle w:val="81"/>
        <w:spacing w:line="360" w:lineRule="auto"/>
        <w:ind w:firstLine="1320" w:firstLineChars="550"/>
        <w:rPr>
          <w:rFonts w:hint="eastAsia" w:ascii="宋体" w:hAnsi="宋体"/>
          <w:color w:val="auto"/>
          <w:sz w:val="24"/>
          <w:szCs w:val="24"/>
        </w:rPr>
      </w:pPr>
      <w:r>
        <w:rPr>
          <w:rFonts w:hint="eastAsia" w:ascii="宋体" w:hAnsi="宋体"/>
          <w:color w:val="auto"/>
          <w:sz w:val="24"/>
          <w:szCs w:val="24"/>
        </w:rPr>
        <w:t>详见《建设工程施工合同(示范文本) 》(GF-2013-0201)中通用合同条款</w:t>
      </w:r>
      <w:bookmarkEnd w:id="68"/>
    </w:p>
    <w:p w14:paraId="5A979760">
      <w:pPr>
        <w:pStyle w:val="97"/>
        <w:numPr>
          <w:ilvl w:val="0"/>
          <w:numId w:val="0"/>
        </w:numPr>
        <w:outlineLvl w:val="1"/>
        <w:rPr>
          <w:rFonts w:hint="eastAsia" w:ascii="宋体" w:hAnsi="宋体"/>
          <w:b w:val="0"/>
          <w:color w:val="auto"/>
          <w:sz w:val="24"/>
          <w:szCs w:val="24"/>
          <w:lang w:eastAsia="zh-CN"/>
        </w:rPr>
      </w:pPr>
      <w:bookmarkStart w:id="69" w:name="_Toc460660196"/>
      <w:bookmarkStart w:id="70" w:name="_Toc460227081"/>
      <w:bookmarkStart w:id="71" w:name="_Toc460226811"/>
      <w:bookmarkStart w:id="72" w:name="_Toc416787471"/>
      <w:r>
        <w:rPr>
          <w:rFonts w:hint="eastAsia" w:ascii="宋体" w:hAnsi="宋体"/>
          <w:b w:val="0"/>
          <w:color w:val="auto"/>
          <w:sz w:val="24"/>
          <w:szCs w:val="24"/>
        </w:rPr>
        <w:t>第三部分　专用合同条款</w:t>
      </w:r>
      <w:bookmarkEnd w:id="69"/>
      <w:bookmarkEnd w:id="70"/>
      <w:bookmarkEnd w:id="71"/>
      <w:bookmarkEnd w:id="72"/>
    </w:p>
    <w:p w14:paraId="28931ADC">
      <w:pPr>
        <w:pStyle w:val="5"/>
        <w:adjustRightInd w:val="0"/>
        <w:snapToGrid w:val="0"/>
        <w:spacing w:before="0" w:after="0" w:line="360" w:lineRule="auto"/>
        <w:outlineLvl w:val="2"/>
        <w:rPr>
          <w:rFonts w:ascii="宋体" w:hAnsi="宋体" w:eastAsia="宋体"/>
          <w:b w:val="0"/>
          <w:color w:val="auto"/>
          <w:sz w:val="24"/>
          <w:szCs w:val="24"/>
        </w:rPr>
      </w:pPr>
      <w:bookmarkStart w:id="73" w:name="_Toc460227082"/>
      <w:bookmarkStart w:id="74" w:name="_Toc460226812"/>
      <w:bookmarkStart w:id="75" w:name="_Toc460660197"/>
      <w:r>
        <w:rPr>
          <w:rFonts w:ascii="宋体" w:hAnsi="宋体" w:eastAsia="宋体"/>
          <w:b w:val="0"/>
          <w:color w:val="auto"/>
          <w:sz w:val="24"/>
          <w:szCs w:val="24"/>
        </w:rPr>
        <w:t>1. 一般约定</w:t>
      </w:r>
      <w:bookmarkEnd w:id="73"/>
      <w:bookmarkEnd w:id="74"/>
      <w:bookmarkEnd w:id="75"/>
    </w:p>
    <w:p w14:paraId="5AADB212">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76" w:name="_Toc351203633"/>
      <w:bookmarkStart w:id="77" w:name="_Toc351203652"/>
      <w:r>
        <w:rPr>
          <w:rFonts w:hint="eastAsia" w:ascii="宋体" w:hAnsi="宋体"/>
          <w:color w:val="auto"/>
          <w:sz w:val="24"/>
        </w:rPr>
        <w:t>1.1 词语定义</w:t>
      </w:r>
    </w:p>
    <w:p w14:paraId="35880AD4">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1.1.1合同</w:t>
      </w:r>
    </w:p>
    <w:p w14:paraId="08624774">
      <w:pPr>
        <w:pStyle w:val="92"/>
        <w:tabs>
          <w:tab w:val="left" w:pos="360"/>
        </w:tabs>
        <w:snapToGrid w:val="0"/>
        <w:spacing w:before="0" w:after="0" w:line="360" w:lineRule="auto"/>
        <w:ind w:left="250" w:leftChars="119" w:right="178" w:rightChars="85" w:firstLine="480" w:firstLineChars="200"/>
        <w:rPr>
          <w:rFonts w:hint="eastAsia" w:ascii="宋体" w:hAnsi="宋体"/>
          <w:color w:val="auto"/>
          <w:szCs w:val="24"/>
        </w:rPr>
      </w:pPr>
      <w:r>
        <w:rPr>
          <w:rFonts w:hint="eastAsia" w:ascii="宋体" w:hAnsi="宋体"/>
          <w:color w:val="auto"/>
          <w:szCs w:val="24"/>
        </w:rPr>
        <w:t>1.1.1.10其他合同文件包括：</w:t>
      </w:r>
      <w:r>
        <w:rPr>
          <w:rFonts w:hint="eastAsia" w:ascii="宋体" w:hAnsi="宋体"/>
          <w:color w:val="auto"/>
          <w:szCs w:val="24"/>
          <w:u w:val="single"/>
        </w:rPr>
        <w:t>合同履行过程中双方就有关工程的洽商、变更等书面协议或文件视为本合同的组成部分。</w:t>
      </w:r>
    </w:p>
    <w:p w14:paraId="55AF8D84">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1.1.2 合同当事人及其他相关方</w:t>
      </w:r>
    </w:p>
    <w:p w14:paraId="136DC18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1.1.2.4监理人：</w:t>
      </w:r>
    </w:p>
    <w:p w14:paraId="4ABDCE9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名称：</w:t>
      </w:r>
      <w:r>
        <w:rPr>
          <w:rFonts w:hint="eastAsia" w:ascii="宋体" w:hAnsi="宋体"/>
          <w:color w:val="auto"/>
          <w:sz w:val="24"/>
          <w:u w:val="single"/>
        </w:rPr>
        <w:t xml:space="preserve">            </w:t>
      </w:r>
      <w:r>
        <w:rPr>
          <w:rFonts w:hint="eastAsia" w:ascii="宋体" w:hAnsi="宋体"/>
          <w:color w:val="auto"/>
          <w:sz w:val="24"/>
        </w:rPr>
        <w:t>；</w:t>
      </w:r>
    </w:p>
    <w:p w14:paraId="24387FC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资质类别和等级：</w:t>
      </w:r>
      <w:r>
        <w:rPr>
          <w:rFonts w:hint="eastAsia" w:ascii="宋体" w:hAnsi="宋体"/>
          <w:color w:val="auto"/>
          <w:sz w:val="24"/>
          <w:u w:val="single"/>
        </w:rPr>
        <w:t>            </w:t>
      </w:r>
      <w:r>
        <w:rPr>
          <w:rFonts w:hint="eastAsia" w:ascii="宋体" w:hAnsi="宋体"/>
          <w:color w:val="auto"/>
          <w:sz w:val="24"/>
        </w:rPr>
        <w:t>；</w:t>
      </w:r>
    </w:p>
    <w:p w14:paraId="65B0DB5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；电子信箱：</w:t>
      </w:r>
      <w:r>
        <w:rPr>
          <w:rFonts w:hint="eastAsia" w:ascii="宋体" w:hAnsi="宋体"/>
          <w:color w:val="auto"/>
          <w:sz w:val="24"/>
          <w:u w:val="single"/>
        </w:rPr>
        <w:t> /</w:t>
      </w:r>
      <w:r>
        <w:rPr>
          <w:rFonts w:hint="eastAsia" w:ascii="宋体" w:hAnsi="宋体"/>
          <w:color w:val="auto"/>
          <w:sz w:val="24"/>
        </w:rPr>
        <w:t>；通信地址：</w:t>
      </w:r>
      <w:r>
        <w:rPr>
          <w:rFonts w:hint="eastAsia" w:ascii="宋体" w:hAnsi="宋体"/>
          <w:color w:val="auto"/>
          <w:sz w:val="24"/>
          <w:u w:val="single"/>
        </w:rPr>
        <w:t> /</w:t>
      </w:r>
      <w:r>
        <w:rPr>
          <w:rFonts w:hint="eastAsia" w:ascii="宋体" w:hAnsi="宋体"/>
          <w:color w:val="auto"/>
          <w:sz w:val="24"/>
        </w:rPr>
        <w:t>；</w:t>
      </w:r>
    </w:p>
    <w:p w14:paraId="3DCCE61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1.1.2.5 设计人：</w:t>
      </w:r>
    </w:p>
    <w:p w14:paraId="5E64DF7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名称：</w:t>
      </w:r>
      <w:r>
        <w:rPr>
          <w:rFonts w:hint="eastAsia" w:ascii="宋体" w:hAnsi="宋体"/>
          <w:color w:val="auto"/>
          <w:sz w:val="24"/>
          <w:u w:val="single"/>
        </w:rPr>
        <w:t xml:space="preserve">                </w:t>
      </w:r>
      <w:r>
        <w:rPr>
          <w:rFonts w:hint="eastAsia" w:ascii="宋体" w:hAnsi="宋体"/>
          <w:color w:val="auto"/>
          <w:sz w:val="24"/>
        </w:rPr>
        <w:t>；</w:t>
      </w:r>
    </w:p>
    <w:p w14:paraId="262069C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资质类别和等级：</w:t>
      </w:r>
      <w:r>
        <w:rPr>
          <w:rFonts w:hint="eastAsia" w:ascii="宋体" w:hAnsi="宋体"/>
          <w:color w:val="auto"/>
          <w:sz w:val="24"/>
          <w:u w:val="single"/>
        </w:rPr>
        <w:t>        </w:t>
      </w:r>
      <w:r>
        <w:rPr>
          <w:rFonts w:hint="eastAsia" w:ascii="宋体" w:hAnsi="宋体"/>
          <w:color w:val="auto"/>
          <w:sz w:val="24"/>
        </w:rPr>
        <w:t>；</w:t>
      </w:r>
    </w:p>
    <w:p w14:paraId="698F28C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；电子信箱：</w:t>
      </w:r>
      <w:r>
        <w:rPr>
          <w:rFonts w:hint="eastAsia" w:ascii="宋体" w:hAnsi="宋体"/>
          <w:color w:val="auto"/>
          <w:sz w:val="24"/>
          <w:u w:val="single"/>
        </w:rPr>
        <w:t> /</w:t>
      </w:r>
      <w:r>
        <w:rPr>
          <w:rFonts w:hint="eastAsia" w:ascii="宋体" w:hAnsi="宋体"/>
          <w:color w:val="auto"/>
          <w:sz w:val="24"/>
        </w:rPr>
        <w:t>；通信地址：</w:t>
      </w:r>
      <w:r>
        <w:rPr>
          <w:rFonts w:hint="eastAsia" w:ascii="宋体" w:hAnsi="宋体"/>
          <w:color w:val="auto"/>
          <w:sz w:val="24"/>
          <w:u w:val="single"/>
        </w:rPr>
        <w:t> /</w:t>
      </w:r>
      <w:r>
        <w:rPr>
          <w:rFonts w:hint="eastAsia" w:ascii="宋体" w:hAnsi="宋体"/>
          <w:color w:val="auto"/>
          <w:sz w:val="24"/>
        </w:rPr>
        <w:t>；</w:t>
      </w:r>
    </w:p>
    <w:p w14:paraId="1C6723FE">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1.1.3 工程和设备</w:t>
      </w:r>
    </w:p>
    <w:p w14:paraId="15B35267">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1.1.3.7 作为施工现场组成部分的其他场所包括：</w:t>
      </w:r>
      <w:r>
        <w:rPr>
          <w:rFonts w:hint="eastAsia" w:ascii="宋体" w:hAnsi="宋体"/>
          <w:color w:val="auto"/>
          <w:sz w:val="24"/>
          <w:u w:val="single"/>
        </w:rPr>
        <w:t> /</w:t>
      </w:r>
    </w:p>
    <w:p w14:paraId="6483FA8E">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1.1.3.9 永久占地包括：</w:t>
      </w:r>
      <w:r>
        <w:rPr>
          <w:rFonts w:hint="eastAsia" w:ascii="宋体" w:hAnsi="宋体"/>
          <w:color w:val="auto"/>
          <w:sz w:val="24"/>
          <w:u w:val="single"/>
        </w:rPr>
        <w:t xml:space="preserve"> / </w:t>
      </w:r>
    </w:p>
    <w:p w14:paraId="199F459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1.1.3.10 临时占地包括：</w:t>
      </w:r>
      <w:r>
        <w:rPr>
          <w:rFonts w:hint="eastAsia" w:ascii="宋体" w:hAnsi="宋体"/>
          <w:color w:val="auto"/>
          <w:sz w:val="24"/>
          <w:u w:val="single"/>
        </w:rPr>
        <w:t> /</w:t>
      </w:r>
    </w:p>
    <w:p w14:paraId="5DD23DF5">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 xml:space="preserve">1.3法律 </w:t>
      </w:r>
    </w:p>
    <w:p w14:paraId="03124E5F">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适用于合同的其他规范性文件：</w:t>
      </w:r>
      <w:r>
        <w:rPr>
          <w:rFonts w:hint="eastAsia" w:ascii="宋体" w:hAnsi="宋体"/>
          <w:color w:val="auto"/>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C5D801">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 标准和规范</w:t>
      </w:r>
    </w:p>
    <w:p w14:paraId="615DFBF8">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1.4.1适用于工程的标准规范包括：</w:t>
      </w:r>
      <w:r>
        <w:rPr>
          <w:rFonts w:hint="eastAsia" w:ascii="宋体" w:hAnsi="宋体"/>
          <w:color w:val="auto"/>
          <w:sz w:val="24"/>
          <w:u w:val="single"/>
        </w:rPr>
        <w:t>执行通用条款。</w:t>
      </w:r>
    </w:p>
    <w:p w14:paraId="62B6B7A2">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1.4.2 发包人提供国外标准、规范的名称：</w:t>
      </w:r>
      <w:r>
        <w:rPr>
          <w:rFonts w:hint="eastAsia" w:ascii="宋体" w:hAnsi="宋体"/>
          <w:color w:val="auto"/>
          <w:kern w:val="0"/>
          <w:sz w:val="24"/>
          <w:u w:val="single"/>
        </w:rPr>
        <w:t xml:space="preserve">  不采用。   </w:t>
      </w:r>
      <w:r>
        <w:rPr>
          <w:rFonts w:hint="eastAsia" w:ascii="宋体" w:hAnsi="宋体"/>
          <w:color w:val="auto"/>
          <w:kern w:val="0"/>
          <w:sz w:val="24"/>
        </w:rPr>
        <w:t xml:space="preserve"> </w:t>
      </w:r>
    </w:p>
    <w:p w14:paraId="05C50FD5">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发包人提供国外标准、规范的份数：</w:t>
      </w:r>
      <w:r>
        <w:rPr>
          <w:rFonts w:hint="eastAsia" w:ascii="宋体" w:hAnsi="宋体"/>
          <w:color w:val="auto"/>
          <w:kern w:val="0"/>
          <w:sz w:val="24"/>
          <w:u w:val="single"/>
        </w:rPr>
        <w:t xml:space="preserve">  不采用。  </w:t>
      </w:r>
    </w:p>
    <w:p w14:paraId="546F82A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发包人提供国外标准、规范的名称：</w:t>
      </w:r>
      <w:r>
        <w:rPr>
          <w:rFonts w:hint="eastAsia" w:ascii="宋体" w:hAnsi="宋体"/>
          <w:color w:val="auto"/>
          <w:kern w:val="0"/>
          <w:sz w:val="24"/>
          <w:u w:val="single"/>
        </w:rPr>
        <w:t xml:space="preserve"> 不采用。  </w:t>
      </w:r>
    </w:p>
    <w:p w14:paraId="4F1ABFFE">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1.4.3发包人对工程的技术标准和功能要求的特殊要求：</w:t>
      </w:r>
      <w:r>
        <w:rPr>
          <w:rFonts w:hint="eastAsia" w:ascii="宋体" w:hAnsi="宋体"/>
          <w:color w:val="auto"/>
          <w:sz w:val="24"/>
          <w:u w:val="single"/>
        </w:rPr>
        <w:t> /</w:t>
      </w:r>
    </w:p>
    <w:p w14:paraId="0179EEAF">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 合同文件的优先顺序</w:t>
      </w:r>
    </w:p>
    <w:p w14:paraId="23268067">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合同文件组成及优先顺序为：</w:t>
      </w:r>
      <w:r>
        <w:rPr>
          <w:rFonts w:hint="eastAsia" w:ascii="宋体" w:hAnsi="宋体"/>
          <w:color w:val="auto"/>
          <w:sz w:val="24"/>
          <w:u w:val="single"/>
        </w:rPr>
        <w:t xml:space="preserve">本合同协议书→中标通知书→投标书及其附件→本合同专用条款→本合同通用条款→技术标准和要求→图纸→已标价工程量清单→其他合同文件。 </w:t>
      </w:r>
    </w:p>
    <w:p w14:paraId="7DB8E96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 图纸和承包人文件</w:t>
      </w:r>
    </w:p>
    <w:p w14:paraId="43DB3AA4">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 图纸的提供</w:t>
      </w:r>
    </w:p>
    <w:p w14:paraId="6D696E1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发包人向承包人提供图纸的期限：</w:t>
      </w:r>
      <w:r>
        <w:rPr>
          <w:rFonts w:hint="eastAsia" w:ascii="宋体" w:hAnsi="宋体"/>
          <w:color w:val="auto"/>
          <w:sz w:val="24"/>
          <w:u w:val="single"/>
        </w:rPr>
        <w:t>执行通用条款。</w:t>
      </w:r>
    </w:p>
    <w:p w14:paraId="48CF196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发包人向承包人提供图纸的数量：</w:t>
      </w:r>
      <w:r>
        <w:rPr>
          <w:rFonts w:hint="eastAsia" w:ascii="宋体" w:hAnsi="宋体"/>
          <w:color w:val="auto"/>
          <w:sz w:val="24"/>
          <w:u w:val="single"/>
        </w:rPr>
        <w:t>提供 五套施工图蓝图（含竣工图两套），不足的由承包人自行复制，费用自理。</w:t>
      </w:r>
    </w:p>
    <w:p w14:paraId="119D4F1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发包人向承包人提供图纸的内容：</w:t>
      </w:r>
      <w:r>
        <w:rPr>
          <w:rFonts w:hint="eastAsia" w:ascii="宋体" w:hAnsi="宋体"/>
          <w:color w:val="auto"/>
          <w:sz w:val="24"/>
          <w:u w:val="single"/>
        </w:rPr>
        <w:t> 设计施工图、施工图审查资料、施工图消防专项审查资料、人防施工图审查资料、在本项目投标截止日期之前的所有施工图设计变更资料、岩土工程勘察报告等。</w:t>
      </w:r>
    </w:p>
    <w:p w14:paraId="2C04CB29">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1.6.4 承包人文件</w:t>
      </w:r>
    </w:p>
    <w:p w14:paraId="6A4C44D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需要由承包人提供的文件，包括：</w:t>
      </w:r>
      <w:r>
        <w:rPr>
          <w:rFonts w:hint="eastAsia" w:ascii="宋体" w:hAnsi="宋体"/>
          <w:color w:val="auto"/>
          <w:sz w:val="24"/>
          <w:u w:val="single"/>
        </w:rPr>
        <w:t>执行通用条款。</w:t>
      </w:r>
    </w:p>
    <w:p w14:paraId="647EAF2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承包人提供的文件的期限为：</w:t>
      </w:r>
      <w:r>
        <w:rPr>
          <w:rFonts w:hint="eastAsia" w:ascii="宋体" w:hAnsi="宋体"/>
          <w:color w:val="auto"/>
          <w:sz w:val="24"/>
          <w:u w:val="single"/>
        </w:rPr>
        <w:t>执行通用条款。</w:t>
      </w:r>
    </w:p>
    <w:p w14:paraId="45C33A4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承包人提供的文件的数量为：</w:t>
      </w:r>
      <w:r>
        <w:rPr>
          <w:rFonts w:hint="eastAsia" w:ascii="宋体" w:hAnsi="宋体"/>
          <w:color w:val="auto"/>
          <w:sz w:val="24"/>
          <w:u w:val="single"/>
        </w:rPr>
        <w:t>执行通用条款。</w:t>
      </w:r>
    </w:p>
    <w:p w14:paraId="785C935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承包人提供的文件的形式为：</w:t>
      </w:r>
      <w:r>
        <w:rPr>
          <w:rFonts w:hint="eastAsia" w:ascii="宋体" w:hAnsi="宋体"/>
          <w:color w:val="auto"/>
          <w:sz w:val="24"/>
          <w:u w:val="single"/>
        </w:rPr>
        <w:t>执行通用条款。</w:t>
      </w:r>
    </w:p>
    <w:p w14:paraId="093B2A1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发包人审批承包人文件的期限：</w:t>
      </w:r>
      <w:r>
        <w:rPr>
          <w:rFonts w:hint="eastAsia" w:ascii="宋体" w:hAnsi="宋体"/>
          <w:color w:val="auto"/>
          <w:sz w:val="24"/>
          <w:u w:val="single"/>
        </w:rPr>
        <w:t>执行通用条款。</w:t>
      </w:r>
    </w:p>
    <w:p w14:paraId="414CB185">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1.6.5 现场图纸准备</w:t>
      </w:r>
    </w:p>
    <w:p w14:paraId="1B2BE4D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关于现场图纸准备的约定：</w:t>
      </w:r>
      <w:r>
        <w:rPr>
          <w:rFonts w:hint="eastAsia" w:ascii="宋体" w:hAnsi="宋体"/>
          <w:color w:val="auto"/>
          <w:sz w:val="24"/>
          <w:u w:val="single"/>
        </w:rPr>
        <w:t>执行通用条款。</w:t>
      </w:r>
    </w:p>
    <w:p w14:paraId="7DD6C3C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 联络</w:t>
      </w:r>
    </w:p>
    <w:p w14:paraId="79C672A7">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1.7.1发包人和承包人应当在</w:t>
      </w:r>
      <w:r>
        <w:rPr>
          <w:rFonts w:hint="eastAsia" w:ascii="宋体" w:hAnsi="宋体"/>
          <w:color w:val="auto"/>
          <w:sz w:val="24"/>
          <w:u w:val="single"/>
        </w:rPr>
        <w:t xml:space="preserve"> 7  </w:t>
      </w:r>
      <w:r>
        <w:rPr>
          <w:rFonts w:hint="eastAsia" w:ascii="宋体" w:hAnsi="宋体"/>
          <w:color w:val="auto"/>
          <w:kern w:val="0"/>
          <w:sz w:val="24"/>
        </w:rPr>
        <w:t>天内将与合同有关的通知、批准、证明、证书、指示、指令、要求、请求、同意、意见、确定和决定等书面函件送达对方当事人。</w:t>
      </w:r>
    </w:p>
    <w:p w14:paraId="46939BA2">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1.7.2 发包人接收文件的地点、发包人指定的接收人为、承包人接收文件的地点、</w:t>
      </w:r>
    </w:p>
    <w:p w14:paraId="22672209">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承包人指定的接收人为、监理人接收文件的地点、监理人指定的接收人为：</w:t>
      </w:r>
      <w:r>
        <w:rPr>
          <w:rFonts w:hint="eastAsia" w:ascii="宋体" w:hAnsi="宋体"/>
          <w:color w:val="auto"/>
          <w:sz w:val="24"/>
          <w:u w:val="single"/>
        </w:rPr>
        <w:t>履行约定。</w:t>
      </w:r>
    </w:p>
    <w:p w14:paraId="4E2D687F">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1.10 交通运输</w:t>
      </w:r>
    </w:p>
    <w:p w14:paraId="585DE259">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Start w:id="78" w:name="_Toc303539100"/>
      <w:bookmarkStart w:id="79" w:name="_Toc300934943"/>
      <w:bookmarkStart w:id="80" w:name="_Toc304295521"/>
      <w:bookmarkStart w:id="81" w:name="_Toc312677986"/>
      <w:bookmarkStart w:id="82" w:name="_Toc318581155"/>
      <w:r>
        <w:rPr>
          <w:rFonts w:hint="eastAsia" w:ascii="宋体" w:hAnsi="宋体"/>
          <w:color w:val="auto"/>
          <w:sz w:val="24"/>
        </w:rPr>
        <w:t>.10.1 出入现场的权利</w:t>
      </w:r>
    </w:p>
    <w:p w14:paraId="1D4F730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关于出入现场的权利的约定：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w:t>
      </w:r>
      <w:r>
        <w:rPr>
          <w:rFonts w:hint="eastAsia" w:ascii="宋体" w:hAnsi="宋体"/>
          <w:color w:val="auto"/>
          <w:sz w:val="24"/>
        </w:rPr>
        <w:t>。</w:t>
      </w:r>
    </w:p>
    <w:bookmarkEnd w:id="78"/>
    <w:bookmarkEnd w:id="79"/>
    <w:bookmarkEnd w:id="80"/>
    <w:bookmarkEnd w:id="81"/>
    <w:bookmarkEnd w:id="82"/>
    <w:p w14:paraId="3C1F4DDA">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Start w:id="83" w:name="_Toc303539101"/>
      <w:bookmarkStart w:id="84" w:name="_Toc318581156"/>
      <w:bookmarkStart w:id="85" w:name="_Toc312677987"/>
      <w:bookmarkStart w:id="86" w:name="_Toc304295522"/>
      <w:bookmarkStart w:id="87" w:name="_Toc300934944"/>
      <w:r>
        <w:rPr>
          <w:rFonts w:hint="eastAsia" w:ascii="宋体" w:hAnsi="宋体"/>
          <w:color w:val="auto"/>
          <w:sz w:val="24"/>
        </w:rPr>
        <w:t>.10.3 场内交通</w:t>
      </w:r>
    </w:p>
    <w:p w14:paraId="41416145">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关于场外交通和场内交通的边界的约定：</w:t>
      </w:r>
      <w:r>
        <w:rPr>
          <w:rFonts w:hint="eastAsia" w:ascii="宋体" w:hAnsi="宋体"/>
          <w:color w:val="auto"/>
          <w:sz w:val="24"/>
          <w:u w:val="single"/>
        </w:rPr>
        <w:t xml:space="preserve"> </w:t>
      </w:r>
      <w:r>
        <w:rPr>
          <w:rFonts w:hint="eastAsia" w:ascii="宋体" w:hAnsi="宋体"/>
          <w:color w:val="auto"/>
          <w:kern w:val="0"/>
          <w:sz w:val="24"/>
          <w:u w:val="single"/>
        </w:rPr>
        <w:t xml:space="preserve">以本项目用地红线作为场内外交通边界线。   </w:t>
      </w:r>
    </w:p>
    <w:p w14:paraId="33D185E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关于发包人向承包人免费提供满足工程施工需要的场内道路和交通设施的约定：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bookmarkEnd w:id="83"/>
      <w:bookmarkEnd w:id="84"/>
      <w:bookmarkEnd w:id="85"/>
      <w:bookmarkEnd w:id="86"/>
      <w:bookmarkEnd w:id="87"/>
      <w:bookmarkStart w:id="88" w:name="_Toc318581157"/>
    </w:p>
    <w:p w14:paraId="57A687A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1.10.4超大件和超重件的运输运输超大件或超重件所需的道路和桥梁临时加固改造费用和其他有关费用由</w:t>
      </w:r>
      <w:r>
        <w:rPr>
          <w:rFonts w:hint="eastAsia" w:ascii="宋体" w:hAnsi="宋体"/>
          <w:color w:val="auto"/>
          <w:sz w:val="24"/>
          <w:u w:val="single"/>
        </w:rPr>
        <w:t xml:space="preserve">  /</w:t>
      </w:r>
      <w:r>
        <w:rPr>
          <w:rFonts w:hint="eastAsia" w:ascii="宋体" w:hAnsi="宋体"/>
          <w:color w:val="auto"/>
          <w:sz w:val="24"/>
        </w:rPr>
        <w:t>承担。</w:t>
      </w:r>
    </w:p>
    <w:bookmarkEnd w:id="88"/>
    <w:p w14:paraId="3634E8F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1.11 知识产权</w:t>
      </w:r>
    </w:p>
    <w:p w14:paraId="04DBFEC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u w:val="single"/>
        </w:rPr>
        <w:t xml:space="preserve">发包人。 </w:t>
      </w:r>
    </w:p>
    <w:p w14:paraId="516F602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关于发包人提供的上述文件的使用限制的要求：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D4FEDBF">
      <w:pPr>
        <w:pStyle w:val="78"/>
        <w:tabs>
          <w:tab w:val="left" w:pos="360"/>
        </w:tabs>
        <w:adjustRightInd w:val="0"/>
        <w:snapToGrid w:val="0"/>
        <w:spacing w:line="360" w:lineRule="auto"/>
        <w:ind w:right="178" w:rightChars="85"/>
        <w:rPr>
          <w:rFonts w:hint="eastAsia" w:ascii="宋体" w:hAnsi="宋体"/>
          <w:color w:val="auto"/>
          <w:sz w:val="24"/>
        </w:rPr>
      </w:pPr>
      <w:r>
        <w:rPr>
          <w:rFonts w:hint="eastAsia" w:ascii="宋体" w:hAnsi="宋体"/>
          <w:color w:val="auto"/>
          <w:sz w:val="24"/>
        </w:rPr>
        <w:t>1.11.2 关于承包人为实施工程所编制文件的著作权的归属：</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3C819C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关于承包人提供的上述文件的使用限制的要求：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6D05ACA5">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1.11.4 承包人在施工过程中所采用的专利、专有技术、技术秘密的使用费的承担方式：</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39C356C">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1.13工程量清单错误的修正</w:t>
      </w:r>
    </w:p>
    <w:p w14:paraId="53B1693A">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出现工程量清单错误时，是否调整合同价格：</w:t>
      </w:r>
      <w:r>
        <w:rPr>
          <w:rFonts w:hint="eastAsia" w:ascii="宋体" w:hAnsi="宋体"/>
          <w:color w:val="auto"/>
          <w:sz w:val="24"/>
          <w:u w:val="single"/>
        </w:rPr>
        <w:t xml:space="preserve">  不采用通用条款，按下列规定办理：</w:t>
      </w:r>
      <w:r>
        <w:rPr>
          <w:rFonts w:hint="eastAsia" w:ascii="宋体" w:hAnsi="宋体" w:cs="Courier New"/>
          <w:color w:val="auto"/>
          <w:sz w:val="24"/>
          <w:u w:val="single"/>
        </w:rPr>
        <w:t xml:space="preserve">除本补充条款另有规定外，工程总造价在招标范围内一次性包死。  </w:t>
      </w:r>
    </w:p>
    <w:p w14:paraId="1C638AA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允许调整合同价格的工程量偏差范围：</w:t>
      </w:r>
      <w:r>
        <w:rPr>
          <w:rFonts w:hint="eastAsia" w:ascii="宋体" w:hAnsi="宋体"/>
          <w:color w:val="auto"/>
          <w:sz w:val="24"/>
          <w:u w:val="single"/>
        </w:rPr>
        <w:t> /</w:t>
      </w:r>
    </w:p>
    <w:p w14:paraId="07713152">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2. 发包人</w:t>
      </w:r>
    </w:p>
    <w:p w14:paraId="61883457">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2.2 发包人代表</w:t>
      </w:r>
    </w:p>
    <w:p w14:paraId="4286D03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发包人代表：</w:t>
      </w:r>
    </w:p>
    <w:p w14:paraId="4C73F33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 xml:space="preserve">； </w:t>
      </w:r>
    </w:p>
    <w:p w14:paraId="07CAA96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发包人对发包人代表的授权范围如下：</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56C2C80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2.4 施工现场、施工条件和基础资料的提供</w:t>
      </w:r>
    </w:p>
    <w:p w14:paraId="6426F5D5">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2.4.1 提供施工现场</w:t>
      </w:r>
    </w:p>
    <w:p w14:paraId="685B29C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关于发包人移交施工现场的期限要求：</w:t>
      </w:r>
      <w:r>
        <w:rPr>
          <w:rFonts w:hint="eastAsia" w:ascii="宋体" w:hAnsi="宋体"/>
          <w:color w:val="auto"/>
          <w:sz w:val="24"/>
          <w:u w:val="single"/>
        </w:rPr>
        <w:t>开工日期7天前（</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1C6544B">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2.4.2 提供施工条件</w:t>
      </w:r>
    </w:p>
    <w:p w14:paraId="600A4160">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关于发包人应负责提供施工所需要的条件，包括：</w:t>
      </w:r>
      <w:r>
        <w:rPr>
          <w:rFonts w:hint="eastAsia" w:ascii="宋体" w:hAnsi="宋体"/>
          <w:color w:val="auto"/>
          <w:sz w:val="24"/>
          <w:u w:val="single"/>
        </w:rPr>
        <w:t xml:space="preserve">  执行通用条款。  </w:t>
      </w:r>
    </w:p>
    <w:p w14:paraId="70B9015F">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2.5 资金来源证明及支付担保</w:t>
      </w:r>
    </w:p>
    <w:p w14:paraId="29BCAA8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发包人提供资金来源证明的期限要求：</w:t>
      </w:r>
      <w:r>
        <w:rPr>
          <w:rFonts w:hint="eastAsia" w:ascii="宋体" w:hAnsi="宋体"/>
          <w:color w:val="auto"/>
          <w:sz w:val="24"/>
          <w:u w:val="single"/>
        </w:rPr>
        <w:t xml:space="preserve">不采用。   </w:t>
      </w:r>
    </w:p>
    <w:p w14:paraId="4FFCC0E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发包人是否提供支付担保：</w:t>
      </w:r>
      <w:r>
        <w:rPr>
          <w:rFonts w:hint="eastAsia" w:ascii="宋体" w:hAnsi="宋体"/>
          <w:color w:val="auto"/>
          <w:sz w:val="24"/>
          <w:u w:val="single"/>
        </w:rPr>
        <w:t xml:space="preserve">不采用。   </w:t>
      </w:r>
    </w:p>
    <w:p w14:paraId="1B8A2673">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发包人提供支付担保的形式：</w:t>
      </w:r>
      <w:r>
        <w:rPr>
          <w:rFonts w:hint="eastAsia" w:ascii="宋体" w:hAnsi="宋体"/>
          <w:color w:val="auto"/>
          <w:sz w:val="24"/>
          <w:u w:val="single"/>
        </w:rPr>
        <w:t xml:space="preserve">不采用。   </w:t>
      </w:r>
    </w:p>
    <w:p w14:paraId="7B07A63D">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89" w:name="_Toc351203635"/>
      <w:r>
        <w:rPr>
          <w:rFonts w:hint="eastAsia" w:ascii="宋体" w:hAnsi="宋体"/>
          <w:color w:val="auto"/>
          <w:kern w:val="0"/>
          <w:sz w:val="24"/>
        </w:rPr>
        <w:t>3</w:t>
      </w:r>
      <w:bookmarkStart w:id="90" w:name="_Toc296890986"/>
      <w:bookmarkStart w:id="91" w:name="_Toc296503158"/>
      <w:bookmarkStart w:id="92" w:name="_Toc296347157"/>
      <w:bookmarkStart w:id="93" w:name="_Toc296346659"/>
      <w:bookmarkStart w:id="94" w:name="_Toc292559868"/>
      <w:bookmarkStart w:id="95" w:name="_Toc297048344"/>
      <w:bookmarkStart w:id="96" w:name="_Toc292559363"/>
      <w:bookmarkStart w:id="97" w:name="_Toc297120458"/>
      <w:bookmarkStart w:id="98" w:name="_Toc296891198"/>
      <w:bookmarkStart w:id="99" w:name="_Toc296944497"/>
      <w:r>
        <w:rPr>
          <w:rFonts w:hint="eastAsia" w:ascii="宋体" w:hAnsi="宋体"/>
          <w:color w:val="auto"/>
          <w:kern w:val="0"/>
          <w:sz w:val="24"/>
        </w:rPr>
        <w:t>. 承包人</w:t>
      </w:r>
      <w:bookmarkEnd w:id="89"/>
    </w:p>
    <w:bookmarkEnd w:id="90"/>
    <w:bookmarkEnd w:id="91"/>
    <w:bookmarkEnd w:id="92"/>
    <w:bookmarkEnd w:id="93"/>
    <w:bookmarkEnd w:id="94"/>
    <w:bookmarkEnd w:id="95"/>
    <w:bookmarkEnd w:id="96"/>
    <w:bookmarkEnd w:id="97"/>
    <w:bookmarkEnd w:id="98"/>
    <w:bookmarkEnd w:id="99"/>
    <w:p w14:paraId="1C357CB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3.1 承包人的一般义务</w:t>
      </w:r>
    </w:p>
    <w:p w14:paraId="3F007D87">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（5）</w:t>
      </w:r>
      <w:r>
        <w:rPr>
          <w:rFonts w:hint="eastAsia" w:ascii="宋体" w:hAnsi="宋体"/>
          <w:color w:val="auto"/>
          <w:sz w:val="24"/>
        </w:rPr>
        <w:t>承包人提交的竣工资料的内容：</w:t>
      </w:r>
      <w:r>
        <w:rPr>
          <w:rFonts w:hint="eastAsia" w:ascii="宋体" w:hAnsi="宋体"/>
          <w:color w:val="auto"/>
          <w:sz w:val="24"/>
          <w:u w:val="single"/>
        </w:rPr>
        <w:t xml:space="preserve">   承包人提供全套竣工图，所有竣工图应为新晒蓝图。  </w:t>
      </w:r>
    </w:p>
    <w:p w14:paraId="0018595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承包人需要提交的竣工资料套数：</w:t>
      </w:r>
      <w:r>
        <w:rPr>
          <w:rFonts w:hint="eastAsia" w:ascii="宋体" w:hAnsi="宋体"/>
          <w:color w:val="auto"/>
          <w:sz w:val="24"/>
          <w:u w:val="single"/>
        </w:rPr>
        <w:t xml:space="preserve">    两套。  </w:t>
      </w:r>
    </w:p>
    <w:p w14:paraId="1EECA8A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承包人提交的竣工资料的费用承担：</w:t>
      </w:r>
      <w:r>
        <w:rPr>
          <w:rFonts w:hint="eastAsia" w:ascii="宋体" w:hAnsi="宋体"/>
          <w:color w:val="auto"/>
          <w:sz w:val="24"/>
          <w:u w:val="single"/>
        </w:rPr>
        <w:t xml:space="preserve">  此项费用由承包人承担。   </w:t>
      </w:r>
    </w:p>
    <w:p w14:paraId="60BDC51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承包人提交的竣工资料移交时间：</w:t>
      </w:r>
      <w:r>
        <w:rPr>
          <w:rFonts w:hint="eastAsia" w:ascii="宋体" w:hAnsi="宋体"/>
          <w:color w:val="auto"/>
          <w:sz w:val="24"/>
          <w:u w:val="single"/>
        </w:rPr>
        <w:t xml:space="preserve">  单位工程办理竣工初验之前两周内。   </w:t>
      </w:r>
    </w:p>
    <w:p w14:paraId="1360091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承包人提交的竣工资料形式要求：</w:t>
      </w:r>
      <w:r>
        <w:rPr>
          <w:rFonts w:hint="eastAsia" w:ascii="宋体" w:hAnsi="宋体"/>
          <w:color w:val="auto"/>
          <w:sz w:val="24"/>
          <w:u w:val="single"/>
        </w:rPr>
        <w:t xml:space="preserve">  纸介版及其电子版。   </w:t>
      </w:r>
    </w:p>
    <w:p w14:paraId="682A77A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（6）承包人应履行的其他义务：</w:t>
      </w:r>
      <w:r>
        <w:rPr>
          <w:rFonts w:hint="eastAsia" w:ascii="宋体" w:hAnsi="宋体"/>
          <w:color w:val="auto"/>
          <w:sz w:val="24"/>
          <w:u w:val="single"/>
        </w:rPr>
        <w:t xml:space="preserve"> 每月25日提交本月工程报表和下月工程计划表，（报表和计划表应包括质量、进度、安全、投资、材料计划等内容，反映存在的问题和应对措施；一式叁份提交发包人)。  </w:t>
      </w:r>
    </w:p>
    <w:p w14:paraId="43483A4C">
      <w:pPr>
        <w:pStyle w:val="78"/>
        <w:tabs>
          <w:tab w:val="left" w:pos="360"/>
        </w:tabs>
        <w:adjustRightInd w:val="0"/>
        <w:snapToGrid w:val="0"/>
        <w:spacing w:line="360" w:lineRule="auto"/>
        <w:ind w:right="178" w:rightChars="85" w:firstLine="480" w:firstLineChars="200"/>
        <w:rPr>
          <w:rFonts w:hint="eastAsia" w:ascii="宋体" w:hAnsi="宋体"/>
          <w:bCs/>
          <w:color w:val="auto"/>
          <w:sz w:val="24"/>
          <w:u w:val="single"/>
        </w:rPr>
      </w:pPr>
      <w:r>
        <w:rPr>
          <w:rFonts w:hint="eastAsia" w:ascii="宋体" w:hAnsi="宋体"/>
          <w:color w:val="auto"/>
          <w:sz w:val="24"/>
        </w:rPr>
        <w:t>承包人向发包人提供办公和生活房屋及设施的要求：</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bCs/>
          <w:color w:val="auto"/>
          <w:sz w:val="24"/>
          <w:u w:val="single"/>
        </w:rPr>
        <w:t xml:space="preserve">。 </w:t>
      </w:r>
    </w:p>
    <w:p w14:paraId="5B5E5C7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施工现场清洁卫生的要求：</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273F25E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3.2 项目经理</w:t>
      </w:r>
    </w:p>
    <w:p w14:paraId="29B18B69">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kern w:val="0"/>
          <w:sz w:val="24"/>
        </w:rPr>
        <w:t xml:space="preserve">3.2.1 </w:t>
      </w:r>
      <w:r>
        <w:rPr>
          <w:rFonts w:hint="eastAsia" w:ascii="宋体" w:hAnsi="宋体"/>
          <w:color w:val="auto"/>
          <w:sz w:val="24"/>
        </w:rPr>
        <w:t>项目经理：</w:t>
      </w:r>
    </w:p>
    <w:p w14:paraId="22A07CF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w:t>
      </w:r>
    </w:p>
    <w:p w14:paraId="7B30156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身份证号：</w:t>
      </w:r>
      <w:r>
        <w:rPr>
          <w:rFonts w:hint="eastAsia" w:ascii="宋体" w:hAnsi="宋体"/>
          <w:color w:val="auto"/>
          <w:sz w:val="24"/>
          <w:u w:val="single"/>
        </w:rPr>
        <w:t>    </w:t>
      </w:r>
      <w:r>
        <w:rPr>
          <w:rFonts w:hint="eastAsia" w:ascii="宋体" w:hAnsi="宋体"/>
          <w:color w:val="auto"/>
          <w:sz w:val="24"/>
        </w:rPr>
        <w:t>；</w:t>
      </w:r>
    </w:p>
    <w:p w14:paraId="2E05D9E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建造师执业资格等级：</w:t>
      </w:r>
      <w:r>
        <w:rPr>
          <w:rFonts w:hint="eastAsia" w:ascii="宋体" w:hAnsi="宋体"/>
          <w:color w:val="auto"/>
          <w:sz w:val="24"/>
          <w:u w:val="single"/>
        </w:rPr>
        <w:t> </w:t>
      </w:r>
      <w:r>
        <w:rPr>
          <w:rFonts w:hint="eastAsia" w:ascii="宋体" w:hAnsi="宋体"/>
          <w:color w:val="auto"/>
          <w:sz w:val="24"/>
        </w:rPr>
        <w:t>；</w:t>
      </w:r>
    </w:p>
    <w:p w14:paraId="29E98F2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建造师注册证书号：</w:t>
      </w:r>
      <w:r>
        <w:rPr>
          <w:rFonts w:hint="eastAsia" w:ascii="宋体" w:hAnsi="宋体"/>
          <w:color w:val="auto"/>
          <w:sz w:val="24"/>
          <w:u w:val="single"/>
        </w:rPr>
        <w:t>  </w:t>
      </w:r>
      <w:r>
        <w:rPr>
          <w:rFonts w:hint="eastAsia" w:ascii="宋体" w:hAnsi="宋体"/>
          <w:color w:val="auto"/>
          <w:sz w:val="24"/>
        </w:rPr>
        <w:t xml:space="preserve">； </w:t>
      </w:r>
    </w:p>
    <w:p w14:paraId="50E446F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承包人对项目经理的授权范围如下：</w:t>
      </w:r>
      <w:r>
        <w:rPr>
          <w:rFonts w:hint="eastAsia" w:ascii="宋体" w:hAnsi="宋体"/>
          <w:color w:val="auto"/>
          <w:sz w:val="24"/>
          <w:u w:val="single"/>
        </w:rPr>
        <w:t xml:space="preserve">   详见承包人对本工程项目经理授权委托书。   </w:t>
      </w:r>
    </w:p>
    <w:p w14:paraId="485DFC4E">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关于项目经理每月在施工现场的时间要求：</w:t>
      </w:r>
      <w:r>
        <w:rPr>
          <w:rFonts w:hint="eastAsia" w:ascii="宋体" w:hAnsi="宋体"/>
          <w:color w:val="auto"/>
          <w:sz w:val="24"/>
          <w:u w:val="single"/>
        </w:rPr>
        <w:t xml:space="preserve">   驻场时间每月不少于 25天，每天在岗工作时间不得少于8小时。 </w:t>
      </w:r>
    </w:p>
    <w:p w14:paraId="64DF755B">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承包人未提交劳动合同，以及没有为项目经理缴纳社会保险证明的违约责任：</w:t>
      </w:r>
      <w:r>
        <w:rPr>
          <w:rFonts w:hint="eastAsia" w:ascii="宋体" w:hAnsi="宋体"/>
          <w:color w:val="auto"/>
          <w:kern w:val="0"/>
          <w:sz w:val="24"/>
          <w:u w:val="single"/>
        </w:rPr>
        <w:t xml:space="preserve">   </w:t>
      </w:r>
      <w:r>
        <w:rPr>
          <w:rFonts w:hint="eastAsia" w:ascii="宋体" w:hAnsi="宋体"/>
          <w:color w:val="auto"/>
          <w:sz w:val="24"/>
          <w:u w:val="single"/>
        </w:rPr>
        <w:t xml:space="preserve">执行行业管理有关处罚规定。   </w:t>
      </w:r>
    </w:p>
    <w:p w14:paraId="555E1ACD">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项目经理未经批准，擅自离开施工现场的违约责任：</w:t>
      </w:r>
      <w:r>
        <w:rPr>
          <w:rFonts w:hint="eastAsia" w:ascii="宋体" w:hAnsi="宋体"/>
          <w:color w:val="auto"/>
          <w:sz w:val="24"/>
          <w:u w:val="single"/>
        </w:rPr>
        <w:t xml:space="preserve">   责令改正，并承包人须支付发包人每天￥0.</w:t>
      </w:r>
      <w:r>
        <w:rPr>
          <w:rFonts w:hint="eastAsia" w:ascii="宋体" w:hAnsi="宋体"/>
          <w:color w:val="auto"/>
          <w:sz w:val="24"/>
          <w:u w:val="single"/>
          <w:lang w:val="en-US" w:eastAsia="zh-CN"/>
        </w:rPr>
        <w:t>0</w:t>
      </w:r>
      <w:r>
        <w:rPr>
          <w:rFonts w:hint="eastAsia" w:ascii="宋体" w:hAnsi="宋体"/>
          <w:color w:val="auto"/>
          <w:sz w:val="24"/>
          <w:u w:val="single"/>
        </w:rPr>
        <w:t xml:space="preserve">5万元/人次违约金。    </w:t>
      </w:r>
    </w:p>
    <w:p w14:paraId="48FAD67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3.2.3 承包人擅自更换项目经理的违约责任：</w:t>
      </w:r>
      <w:r>
        <w:rPr>
          <w:rFonts w:hint="eastAsia" w:ascii="宋体" w:hAnsi="宋体"/>
          <w:color w:val="auto"/>
          <w:sz w:val="24"/>
          <w:u w:val="single"/>
        </w:rPr>
        <w:t xml:space="preserve">   承包人须支付发包人￥</w:t>
      </w:r>
      <w:r>
        <w:rPr>
          <w:rFonts w:hint="eastAsia" w:ascii="宋体" w:hAnsi="宋体"/>
          <w:color w:val="auto"/>
          <w:sz w:val="24"/>
          <w:u w:val="single"/>
          <w:lang w:val="en-US" w:eastAsia="zh-CN"/>
        </w:rPr>
        <w:t>1</w:t>
      </w:r>
      <w:r>
        <w:rPr>
          <w:rFonts w:hint="eastAsia" w:ascii="宋体" w:hAnsi="宋体"/>
          <w:color w:val="auto"/>
          <w:sz w:val="24"/>
          <w:u w:val="single"/>
        </w:rPr>
        <w:t xml:space="preserve">.00万元违约金，并且更换后的项目经理资历、业务水平不得降低。   </w:t>
      </w:r>
    </w:p>
    <w:p w14:paraId="2901426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3.2.4 承包人无正当理由拒绝更换项目经理的违约责任：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1</w:t>
      </w:r>
      <w:r>
        <w:rPr>
          <w:rFonts w:hint="eastAsia" w:ascii="宋体" w:hAnsi="宋体"/>
          <w:color w:val="auto"/>
          <w:sz w:val="24"/>
          <w:u w:val="single"/>
        </w:rPr>
        <w:t xml:space="preserve">.00万元违约金。   </w:t>
      </w:r>
    </w:p>
    <w:p w14:paraId="5FB356DD">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3.3 承包人人员</w:t>
      </w:r>
    </w:p>
    <w:p w14:paraId="664587B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3.3.1 承包人提交项目管理机构及施工现场管理人员名单的期限：</w:t>
      </w:r>
      <w:r>
        <w:rPr>
          <w:rFonts w:hint="eastAsia" w:ascii="宋体" w:hAnsi="宋体"/>
          <w:color w:val="auto"/>
          <w:sz w:val="24"/>
          <w:u w:val="single"/>
        </w:rPr>
        <w:t xml:space="preserve">  执行通用条款。 </w:t>
      </w:r>
    </w:p>
    <w:p w14:paraId="541AF1D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3.3.3 承包人无正当理由拒绝撤换主要施工管理人员的违约责任：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0</w:t>
      </w:r>
      <w:r>
        <w:rPr>
          <w:rFonts w:hint="eastAsia" w:ascii="宋体" w:hAnsi="宋体"/>
          <w:color w:val="auto"/>
          <w:sz w:val="24"/>
          <w:u w:val="single"/>
        </w:rPr>
        <w:t>.</w:t>
      </w:r>
      <w:r>
        <w:rPr>
          <w:rFonts w:hint="eastAsia" w:ascii="宋体" w:hAnsi="宋体"/>
          <w:color w:val="auto"/>
          <w:sz w:val="24"/>
          <w:u w:val="single"/>
          <w:lang w:val="en-US" w:eastAsia="zh-CN"/>
        </w:rPr>
        <w:t>5</w:t>
      </w:r>
      <w:r>
        <w:rPr>
          <w:rFonts w:hint="eastAsia" w:ascii="宋体" w:hAnsi="宋体"/>
          <w:color w:val="auto"/>
          <w:sz w:val="24"/>
          <w:u w:val="single"/>
        </w:rPr>
        <w:t xml:space="preserve">0万元/人次违约金。   </w:t>
      </w:r>
    </w:p>
    <w:p w14:paraId="64711B0D">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3.3.4 承包人主要施工管理人员离开施工现场的批准要求：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36BB15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3.3.5承包人擅自更换主要施工管理人员的违约责任：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0</w:t>
      </w:r>
      <w:r>
        <w:rPr>
          <w:rFonts w:hint="eastAsia" w:ascii="宋体" w:hAnsi="宋体"/>
          <w:color w:val="auto"/>
          <w:sz w:val="24"/>
          <w:u w:val="single"/>
        </w:rPr>
        <w:t>.</w:t>
      </w:r>
      <w:r>
        <w:rPr>
          <w:rFonts w:hint="eastAsia" w:ascii="宋体" w:hAnsi="宋体"/>
          <w:color w:val="auto"/>
          <w:sz w:val="24"/>
          <w:u w:val="single"/>
          <w:lang w:val="en-US" w:eastAsia="zh-CN"/>
        </w:rPr>
        <w:t>5</w:t>
      </w:r>
      <w:r>
        <w:rPr>
          <w:rFonts w:hint="eastAsia" w:ascii="宋体" w:hAnsi="宋体"/>
          <w:color w:val="auto"/>
          <w:sz w:val="24"/>
          <w:u w:val="single"/>
        </w:rPr>
        <w:t xml:space="preserve">0万元/人次违约金。   </w:t>
      </w:r>
    </w:p>
    <w:p w14:paraId="587AB32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承包人主要施工管理人员擅自离开施工现场的违约责任：</w:t>
      </w:r>
      <w:r>
        <w:rPr>
          <w:rFonts w:hint="eastAsia" w:ascii="宋体" w:hAnsi="宋体"/>
          <w:color w:val="auto"/>
          <w:sz w:val="24"/>
          <w:u w:val="single"/>
        </w:rPr>
        <w:t xml:space="preserve">   责令改正，并承包人须支付发包人每天￥0.20万元/人次违约金。  </w:t>
      </w:r>
    </w:p>
    <w:p w14:paraId="6FFD4E65">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w:t>
      </w:r>
      <w:bookmarkStart w:id="100" w:name="_Toc296944498"/>
      <w:bookmarkStart w:id="101" w:name="_Toc304295523"/>
      <w:bookmarkStart w:id="102" w:name="_Toc296503159"/>
      <w:bookmarkStart w:id="103" w:name="_Toc297120459"/>
      <w:bookmarkStart w:id="104" w:name="_Toc300934945"/>
      <w:bookmarkStart w:id="105" w:name="_Toc297123492"/>
      <w:bookmarkStart w:id="106" w:name="_Toc292559869"/>
      <w:bookmarkStart w:id="107" w:name="_Toc296891199"/>
      <w:bookmarkStart w:id="108" w:name="_Toc296890987"/>
      <w:bookmarkStart w:id="109" w:name="_Toc297048345"/>
      <w:bookmarkStart w:id="110" w:name="_Toc297216151"/>
      <w:bookmarkStart w:id="111" w:name="_Toc292559364"/>
      <w:bookmarkStart w:id="112" w:name="_Toc303539102"/>
      <w:bookmarkStart w:id="113" w:name="_Toc296347158"/>
      <w:bookmarkStart w:id="114" w:name="_Toc312677988"/>
      <w:bookmarkStart w:id="115" w:name="_Toc296346660"/>
      <w:r>
        <w:rPr>
          <w:rFonts w:hint="eastAsia" w:ascii="宋体" w:hAnsi="宋体"/>
          <w:color w:val="auto"/>
          <w:sz w:val="24"/>
        </w:rPr>
        <w:t>.5 分包</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0FCBA86D">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3.5.1 分包的一般约定</w:t>
      </w:r>
    </w:p>
    <w:p w14:paraId="6093DF53">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禁止分包的工程包括：</w:t>
      </w:r>
      <w:r>
        <w:rPr>
          <w:rFonts w:hint="eastAsia" w:ascii="宋体" w:hAnsi="宋体"/>
          <w:color w:val="auto"/>
          <w:sz w:val="24"/>
          <w:u w:val="single"/>
        </w:rPr>
        <w:t xml:space="preserve">执行通用条款。    </w:t>
      </w:r>
    </w:p>
    <w:p w14:paraId="3CC2060D">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主体结构、关键性工作的范围：</w:t>
      </w:r>
      <w:r>
        <w:rPr>
          <w:rFonts w:hint="eastAsia" w:ascii="宋体" w:hAnsi="宋体"/>
          <w:color w:val="auto"/>
          <w:sz w:val="24"/>
          <w:u w:val="single"/>
        </w:rPr>
        <w:t xml:space="preserve"> 执行通用条款。   </w:t>
      </w:r>
      <w:bookmarkStart w:id="116" w:name="_Toc303539104"/>
      <w:bookmarkStart w:id="117" w:name="_Toc296503161"/>
      <w:bookmarkStart w:id="118" w:name="_Toc297120461"/>
      <w:bookmarkStart w:id="119" w:name="_Toc297123494"/>
      <w:bookmarkStart w:id="120" w:name="_Toc300934947"/>
      <w:bookmarkStart w:id="121" w:name="_Toc296891201"/>
      <w:bookmarkStart w:id="122" w:name="_Toc296890989"/>
      <w:bookmarkStart w:id="123" w:name="_Toc304295525"/>
      <w:bookmarkStart w:id="124" w:name="_Toc297048347"/>
      <w:bookmarkStart w:id="125" w:name="_Toc297216153"/>
      <w:bookmarkStart w:id="126" w:name="_Toc296944500"/>
      <w:bookmarkStart w:id="127" w:name="_Toc296346662"/>
      <w:bookmarkStart w:id="128" w:name="_Toc296347160"/>
    </w:p>
    <w:bookmarkEnd w:id="116"/>
    <w:bookmarkEnd w:id="117"/>
    <w:bookmarkEnd w:id="118"/>
    <w:bookmarkEnd w:id="119"/>
    <w:bookmarkEnd w:id="120"/>
    <w:bookmarkEnd w:id="121"/>
    <w:bookmarkEnd w:id="122"/>
    <w:bookmarkEnd w:id="123"/>
    <w:bookmarkEnd w:id="124"/>
    <w:bookmarkEnd w:id="125"/>
    <w:bookmarkEnd w:id="126"/>
    <w:bookmarkEnd w:id="127"/>
    <w:bookmarkEnd w:id="128"/>
    <w:p w14:paraId="6506BACF">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 xml:space="preserve">    3</w:t>
      </w:r>
      <w:bookmarkStart w:id="129" w:name="_Toc318581159"/>
      <w:bookmarkStart w:id="130" w:name="_Toc312677990"/>
      <w:r>
        <w:rPr>
          <w:rFonts w:hint="eastAsia" w:ascii="宋体" w:hAnsi="宋体"/>
          <w:color w:val="auto"/>
          <w:sz w:val="24"/>
        </w:rPr>
        <w:t>.5.2分包的确定</w:t>
      </w:r>
    </w:p>
    <w:p w14:paraId="08149F23">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允许分包的专业工程包括：</w:t>
      </w:r>
      <w:r>
        <w:rPr>
          <w:rFonts w:hint="eastAsia" w:ascii="宋体" w:hAnsi="宋体"/>
          <w:color w:val="auto"/>
          <w:sz w:val="24"/>
          <w:u w:val="single"/>
        </w:rPr>
        <w:t xml:space="preserve">执行通用条款，并且按照投标文件有关承诺确定。   </w:t>
      </w:r>
    </w:p>
    <w:p w14:paraId="25625807">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其他关于分包的约定：</w:t>
      </w:r>
      <w:r>
        <w:rPr>
          <w:rFonts w:hint="eastAsia" w:ascii="宋体" w:hAnsi="宋体"/>
          <w:color w:val="auto"/>
          <w:sz w:val="24"/>
          <w:u w:val="single"/>
        </w:rPr>
        <w:t xml:space="preserve">  / </w:t>
      </w:r>
    </w:p>
    <w:p w14:paraId="58B96F1F">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3.5.4 分包合同价款</w:t>
      </w:r>
    </w:p>
    <w:p w14:paraId="1F856843">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关于分包合同价款支付的约定：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129"/>
    <w:bookmarkEnd w:id="130"/>
    <w:p w14:paraId="431FB223">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3.6 工程照管与成品、半成品保护</w:t>
      </w:r>
    </w:p>
    <w:p w14:paraId="644516F3">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承包人负责照管工程及工程相关的材料、工程设备的起始时间：</w:t>
      </w:r>
      <w:r>
        <w:rPr>
          <w:rFonts w:hint="eastAsia" w:ascii="宋体" w:hAnsi="宋体"/>
          <w:color w:val="auto"/>
          <w:kern w:val="0"/>
          <w:sz w:val="24"/>
          <w:u w:val="single"/>
        </w:rPr>
        <w:t xml:space="preserve">  自发包人向承包人移交施工现场之日起，承包人应负责照管工程及工程相关的材料、工程设备，直到颁发工程接收证书之日止。    </w:t>
      </w:r>
    </w:p>
    <w:p w14:paraId="5FBDDE71">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3.7 履约担保</w:t>
      </w:r>
    </w:p>
    <w:p w14:paraId="0426B417">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承包人是否提供履约担保：</w:t>
      </w:r>
      <w:r>
        <w:rPr>
          <w:rFonts w:hint="eastAsia" w:ascii="宋体" w:hAnsi="宋体"/>
          <w:color w:val="auto"/>
          <w:sz w:val="24"/>
          <w:u w:val="single"/>
        </w:rPr>
        <w:t xml:space="preserve">  见第二章投标人须知前附表  </w:t>
      </w:r>
    </w:p>
    <w:p w14:paraId="18546974">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31" w:name="_Toc351203636"/>
      <w:r>
        <w:rPr>
          <w:rFonts w:hint="eastAsia" w:ascii="宋体" w:hAnsi="宋体"/>
          <w:color w:val="auto"/>
          <w:kern w:val="0"/>
          <w:sz w:val="24"/>
        </w:rPr>
        <w:t>4</w:t>
      </w:r>
      <w:bookmarkStart w:id="132" w:name="_Toc297048348"/>
      <w:bookmarkStart w:id="133" w:name="_Toc296890990"/>
      <w:bookmarkStart w:id="134" w:name="_Toc297120462"/>
      <w:bookmarkStart w:id="135" w:name="_Toc292559871"/>
      <w:bookmarkStart w:id="136" w:name="_Toc267251413"/>
      <w:bookmarkStart w:id="137" w:name="_Toc296944501"/>
      <w:bookmarkStart w:id="138" w:name="_Toc296347161"/>
      <w:bookmarkStart w:id="139" w:name="_Toc292559366"/>
      <w:bookmarkStart w:id="140" w:name="_Toc296346663"/>
      <w:bookmarkStart w:id="141" w:name="_Toc296503162"/>
      <w:bookmarkStart w:id="142" w:name="_Toc296891202"/>
      <w:r>
        <w:rPr>
          <w:rFonts w:hint="eastAsia" w:ascii="宋体" w:hAnsi="宋体"/>
          <w:color w:val="auto"/>
          <w:kern w:val="0"/>
          <w:sz w:val="24"/>
        </w:rPr>
        <w:t>. 监</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color w:val="auto"/>
          <w:kern w:val="0"/>
          <w:sz w:val="24"/>
        </w:rPr>
        <w:t>理人</w:t>
      </w:r>
      <w:bookmarkEnd w:id="131"/>
    </w:p>
    <w:p w14:paraId="028C9507">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4.1监理人的一般规定</w:t>
      </w:r>
    </w:p>
    <w:p w14:paraId="57F54E5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关于监理人的监理内容：</w:t>
      </w:r>
      <w:r>
        <w:rPr>
          <w:rFonts w:hint="eastAsia" w:ascii="宋体" w:hAnsi="宋体"/>
          <w:color w:val="auto"/>
          <w:sz w:val="24"/>
          <w:u w:val="single"/>
        </w:rPr>
        <w:t xml:space="preserve">   </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5D88B77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关于监理人的监理权限：</w:t>
      </w:r>
      <w:r>
        <w:rPr>
          <w:rFonts w:hint="eastAsia" w:ascii="宋体" w:hAnsi="宋体"/>
          <w:color w:val="auto"/>
          <w:sz w:val="24"/>
          <w:u w:val="single"/>
        </w:rPr>
        <w:t xml:space="preserve">   </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6E35020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关于监理人在施工现场的办公场所、生活场所的提供和费用承担的约定：</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55B03275">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4.2 监理人员</w:t>
      </w:r>
    </w:p>
    <w:p w14:paraId="6F698BC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总监理工程师：</w:t>
      </w:r>
    </w:p>
    <w:p w14:paraId="1A92D9B7">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w:t>
      </w:r>
    </w:p>
    <w:p w14:paraId="7D28B4E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w:t>
      </w:r>
    </w:p>
    <w:p w14:paraId="5DD0314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监理工程师执业资格证书号：</w:t>
      </w:r>
      <w:r>
        <w:rPr>
          <w:rFonts w:hint="eastAsia" w:ascii="宋体" w:hAnsi="宋体"/>
          <w:color w:val="auto"/>
          <w:sz w:val="24"/>
          <w:u w:val="single"/>
        </w:rPr>
        <w:t>   </w:t>
      </w:r>
      <w:r>
        <w:rPr>
          <w:rFonts w:hint="eastAsia" w:ascii="宋体" w:hAnsi="宋体"/>
          <w:color w:val="auto"/>
          <w:sz w:val="24"/>
        </w:rPr>
        <w:t>；</w:t>
      </w:r>
    </w:p>
    <w:p w14:paraId="1835BF8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w:t>
      </w:r>
    </w:p>
    <w:p w14:paraId="2687BE6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电子信箱：</w:t>
      </w:r>
      <w:r>
        <w:rPr>
          <w:rFonts w:hint="eastAsia" w:ascii="宋体" w:hAnsi="宋体"/>
          <w:color w:val="auto"/>
          <w:sz w:val="24"/>
          <w:u w:val="single"/>
        </w:rPr>
        <w:t xml:space="preserve">        </w:t>
      </w:r>
      <w:r>
        <w:rPr>
          <w:rFonts w:hint="eastAsia" w:ascii="宋体" w:hAnsi="宋体"/>
          <w:color w:val="auto"/>
          <w:sz w:val="24"/>
        </w:rPr>
        <w:t>；</w:t>
      </w:r>
    </w:p>
    <w:p w14:paraId="1544EA5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通信地址：</w:t>
      </w:r>
      <w:r>
        <w:rPr>
          <w:rFonts w:hint="eastAsia" w:ascii="宋体" w:hAnsi="宋体"/>
          <w:color w:val="auto"/>
          <w:sz w:val="24"/>
          <w:u w:val="single"/>
        </w:rPr>
        <w:t xml:space="preserve">        </w:t>
      </w:r>
      <w:r>
        <w:rPr>
          <w:rFonts w:hint="eastAsia" w:ascii="宋体" w:hAnsi="宋体"/>
          <w:color w:val="auto"/>
          <w:sz w:val="24"/>
        </w:rPr>
        <w:t>；</w:t>
      </w:r>
    </w:p>
    <w:p w14:paraId="07A2B9E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关于监理人的其他约定：</w:t>
      </w:r>
      <w:r>
        <w:rPr>
          <w:rFonts w:hint="eastAsia" w:ascii="宋体" w:hAnsi="宋体"/>
          <w:color w:val="auto"/>
          <w:sz w:val="24"/>
          <w:u w:val="single"/>
        </w:rPr>
        <w:t xml:space="preserve">        </w:t>
      </w:r>
      <w:r>
        <w:rPr>
          <w:rFonts w:hint="eastAsia" w:ascii="宋体" w:hAnsi="宋体"/>
          <w:color w:val="auto"/>
          <w:sz w:val="24"/>
        </w:rPr>
        <w:t>。</w:t>
      </w:r>
    </w:p>
    <w:p w14:paraId="0738EEB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4.4 商定或确定</w:t>
      </w:r>
    </w:p>
    <w:p w14:paraId="26E2D64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bookmarkStart w:id="143" w:name="_Toc267251418"/>
      <w:r>
        <w:rPr>
          <w:rFonts w:hint="eastAsia" w:ascii="宋体" w:hAnsi="宋体"/>
          <w:color w:val="auto"/>
          <w:sz w:val="24"/>
        </w:rPr>
        <w:t>在发包人和承包人不能通过协商达成一致意见时，发包人授权监理人对以下事项进行确定：</w:t>
      </w:r>
      <w:r>
        <w:rPr>
          <w:rFonts w:hint="eastAsia" w:ascii="宋体" w:hAnsi="宋体"/>
          <w:color w:val="auto"/>
          <w:sz w:val="24"/>
          <w:u w:val="single"/>
        </w:rPr>
        <w:t xml:space="preserve">  若在本合同履行过程中发生此类情况时，双方就具体争议事项另行委托监理人协助解决，如仍不能达成一致意见，则按照本专用条款第20条（争议解决条款）执行。  </w:t>
      </w:r>
    </w:p>
    <w:p w14:paraId="4CAF5CB3">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5</w:t>
      </w:r>
      <w:bookmarkEnd w:id="143"/>
      <w:bookmarkStart w:id="144" w:name="_Toc296503163"/>
      <w:bookmarkStart w:id="145" w:name="_Toc296347162"/>
      <w:bookmarkStart w:id="146" w:name="_Toc296891203"/>
      <w:bookmarkStart w:id="147" w:name="_Toc296346664"/>
      <w:bookmarkStart w:id="148" w:name="_Toc297120463"/>
      <w:bookmarkStart w:id="149" w:name="_Toc292559872"/>
      <w:bookmarkStart w:id="150" w:name="_Toc296890991"/>
      <w:bookmarkStart w:id="151" w:name="_Toc296944502"/>
      <w:bookmarkStart w:id="152" w:name="_Toc297048349"/>
      <w:bookmarkStart w:id="153" w:name="_Toc292559367"/>
      <w:r>
        <w:rPr>
          <w:rFonts w:hint="eastAsia" w:ascii="宋体" w:hAnsi="宋体"/>
          <w:color w:val="auto"/>
          <w:kern w:val="0"/>
          <w:sz w:val="24"/>
        </w:rPr>
        <w:t>. 工程质量</w:t>
      </w:r>
    </w:p>
    <w:p w14:paraId="21FCB2C2">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5.1 质量要求</w:t>
      </w:r>
    </w:p>
    <w:p w14:paraId="5C3C1616">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5</w:t>
      </w:r>
      <w:bookmarkStart w:id="154" w:name="_Toc303539106"/>
      <w:bookmarkStart w:id="155" w:name="_Toc297123496"/>
      <w:bookmarkStart w:id="156" w:name="_Toc297216155"/>
      <w:bookmarkStart w:id="157" w:name="_Toc304295527"/>
      <w:bookmarkStart w:id="158" w:name="_Toc312677997"/>
      <w:bookmarkStart w:id="159" w:name="_Toc300934949"/>
      <w:bookmarkStart w:id="160" w:name="_Toc318581164"/>
      <w:r>
        <w:rPr>
          <w:rFonts w:hint="eastAsia" w:ascii="宋体" w:hAnsi="宋体"/>
          <w:color w:val="auto"/>
          <w:sz w:val="24"/>
        </w:rPr>
        <w:t>.1.1 特殊质量标准和要求：</w:t>
      </w:r>
      <w:r>
        <w:rPr>
          <w:rFonts w:hint="eastAsia" w:ascii="宋体" w:hAnsi="宋体"/>
          <w:color w:val="auto"/>
          <w:sz w:val="24"/>
          <w:u w:val="single"/>
        </w:rPr>
        <w:t xml:space="preserve">  不采用。  </w:t>
      </w:r>
    </w:p>
    <w:p w14:paraId="69CA88CD">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关于工程奖项的约定：</w:t>
      </w:r>
      <w:r>
        <w:rPr>
          <w:rFonts w:hint="eastAsia" w:ascii="宋体" w:hAnsi="宋体"/>
          <w:color w:val="auto"/>
          <w:sz w:val="24"/>
          <w:u w:val="single"/>
        </w:rPr>
        <w:t xml:space="preserve">  不采用。  </w:t>
      </w:r>
    </w:p>
    <w:p w14:paraId="13061612">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5.3 隐蔽工程检查</w:t>
      </w:r>
    </w:p>
    <w:p w14:paraId="431264A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5.3.2承包人提前通知监理人隐蔽工程检查的期限的约定：</w:t>
      </w:r>
      <w:r>
        <w:rPr>
          <w:rFonts w:hint="eastAsia" w:ascii="宋体" w:hAnsi="宋体"/>
          <w:color w:val="auto"/>
          <w:sz w:val="24"/>
          <w:u w:val="single"/>
        </w:rPr>
        <w:t xml:space="preserve">   共同检查前48小时（</w:t>
      </w:r>
      <w:r>
        <w:rPr>
          <w:rFonts w:hint="eastAsia" w:ascii="宋体" w:hAnsi="宋体"/>
          <w:color w:val="auto"/>
          <w:kern w:val="0"/>
          <w:sz w:val="24"/>
          <w:u w:val="single"/>
        </w:rPr>
        <w:t xml:space="preserve">执行通用条款）。   </w:t>
      </w:r>
    </w:p>
    <w:p w14:paraId="06421D8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监理人不能按时进行检查时，应提前</w:t>
      </w:r>
      <w:r>
        <w:rPr>
          <w:rFonts w:hint="eastAsia" w:ascii="宋体" w:hAnsi="宋体"/>
          <w:color w:val="auto"/>
          <w:sz w:val="24"/>
          <w:u w:val="single"/>
        </w:rPr>
        <w:t xml:space="preserve">   24小时（</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小时提交书面延期要求。</w:t>
      </w:r>
    </w:p>
    <w:p w14:paraId="2152AFC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关于延期最长不得超过：</w:t>
      </w:r>
      <w:r>
        <w:rPr>
          <w:rFonts w:hint="eastAsia" w:ascii="宋体" w:hAnsi="宋体"/>
          <w:color w:val="auto"/>
          <w:sz w:val="24"/>
          <w:u w:val="single"/>
        </w:rPr>
        <w:t xml:space="preserve">  48（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w:t>
      </w:r>
    </w:p>
    <w:p w14:paraId="02E2CAA0">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61" w:name="_Toc351203638"/>
      <w:r>
        <w:rPr>
          <w:rFonts w:hint="eastAsia" w:ascii="宋体" w:hAnsi="宋体"/>
          <w:color w:val="auto"/>
          <w:kern w:val="0"/>
          <w:sz w:val="24"/>
        </w:rPr>
        <w:t>6. 安全文明施工与环境保护</w:t>
      </w:r>
      <w:bookmarkEnd w:id="161"/>
    </w:p>
    <w:p w14:paraId="13D0E5C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6.1安全文明施工</w:t>
      </w:r>
    </w:p>
    <w:p w14:paraId="277A2061">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6.1.1 项目安全生产的达标目标及相应事项的约定：</w:t>
      </w:r>
      <w:r>
        <w:rPr>
          <w:rFonts w:hint="eastAsia" w:ascii="宋体" w:hAnsi="宋体"/>
          <w:color w:val="auto"/>
          <w:sz w:val="24"/>
          <w:u w:val="single"/>
        </w:rPr>
        <w:t xml:space="preserve"> 应通过合肥市建筑业协会依照《建筑施工安全检查标准》（JGJ59-2011）检查验评得分为85分及以上，综合验评为合格。  </w:t>
      </w:r>
    </w:p>
    <w:p w14:paraId="356BC2C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6.1.4 关于治安保卫的特别约定：</w:t>
      </w:r>
      <w:r>
        <w:rPr>
          <w:rFonts w:hint="eastAsia" w:ascii="宋体" w:hAnsi="宋体"/>
          <w:color w:val="auto"/>
          <w:sz w:val="24"/>
          <w:u w:val="single"/>
        </w:rPr>
        <w:t xml:space="preserve">  </w:t>
      </w:r>
      <w:r>
        <w:rPr>
          <w:rFonts w:hint="eastAsia" w:ascii="宋体" w:hAnsi="宋体"/>
          <w:color w:val="auto"/>
          <w:kern w:val="0"/>
          <w:sz w:val="24"/>
          <w:u w:val="single"/>
        </w:rPr>
        <w:t>执行通用条款及</w:t>
      </w:r>
      <w:r>
        <w:rPr>
          <w:rFonts w:hint="eastAsia" w:ascii="宋体" w:hAnsi="宋体"/>
          <w:color w:val="auto"/>
          <w:sz w:val="24"/>
          <w:u w:val="single"/>
        </w:rPr>
        <w:t>满足合肥市相关行业管理部门相关规定</w:t>
      </w:r>
      <w:r>
        <w:rPr>
          <w:rFonts w:hint="eastAsia" w:ascii="宋体" w:hAnsi="宋体"/>
          <w:color w:val="auto"/>
          <w:kern w:val="0"/>
          <w:sz w:val="24"/>
          <w:u w:val="single"/>
        </w:rPr>
        <w:t xml:space="preserve">。 </w:t>
      </w:r>
    </w:p>
    <w:p w14:paraId="77FFB66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关于编制施工场地治安管理计划的约定：</w:t>
      </w:r>
      <w:r>
        <w:rPr>
          <w:rFonts w:hint="eastAsia" w:ascii="宋体" w:hAnsi="宋体"/>
          <w:color w:val="auto"/>
          <w:sz w:val="24"/>
          <w:u w:val="single"/>
        </w:rPr>
        <w:t xml:space="preserve">  </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7300FFFA">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6.1.5 文明施工</w:t>
      </w:r>
    </w:p>
    <w:p w14:paraId="59D97F8D">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合同当事人对文明施工的要求：</w:t>
      </w:r>
      <w:r>
        <w:rPr>
          <w:rFonts w:hint="eastAsia" w:ascii="宋体" w:hAnsi="宋体"/>
          <w:color w:val="auto"/>
          <w:sz w:val="24"/>
          <w:u w:val="single"/>
        </w:rPr>
        <w:t xml:space="preserve">  </w:t>
      </w:r>
      <w:r>
        <w:rPr>
          <w:rFonts w:hint="eastAsia" w:ascii="宋体" w:hAnsi="宋体"/>
          <w:color w:val="auto"/>
          <w:kern w:val="0"/>
          <w:sz w:val="24"/>
          <w:u w:val="single"/>
        </w:rPr>
        <w:t>执行通用条款及</w:t>
      </w:r>
      <w:r>
        <w:rPr>
          <w:rFonts w:hint="eastAsia" w:ascii="宋体" w:hAnsi="宋体"/>
          <w:color w:val="auto"/>
          <w:sz w:val="24"/>
          <w:u w:val="single"/>
        </w:rPr>
        <w:t xml:space="preserve">满足合肥市相关行业管理部门相关规定。  </w:t>
      </w:r>
    </w:p>
    <w:p w14:paraId="4C3859E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6.1.6 关于安全文明施工费支付比例和支付期限的约定：</w:t>
      </w:r>
      <w:r>
        <w:rPr>
          <w:rFonts w:hint="eastAsia" w:ascii="宋体" w:hAnsi="宋体"/>
          <w:color w:val="auto"/>
          <w:sz w:val="24"/>
          <w:u w:val="single"/>
        </w:rPr>
        <w:t xml:space="preserve">  参照本专用条款第12条第4款（工程进度款支付）执行。   </w:t>
      </w:r>
    </w:p>
    <w:bookmarkEnd w:id="154"/>
    <w:bookmarkEnd w:id="155"/>
    <w:bookmarkEnd w:id="156"/>
    <w:bookmarkEnd w:id="157"/>
    <w:bookmarkEnd w:id="158"/>
    <w:bookmarkEnd w:id="159"/>
    <w:bookmarkEnd w:id="160"/>
    <w:p w14:paraId="18E99A9A">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62" w:name="_Toc351203639"/>
      <w:r>
        <w:rPr>
          <w:rFonts w:hint="eastAsia" w:ascii="宋体" w:hAnsi="宋体"/>
          <w:color w:val="auto"/>
          <w:kern w:val="0"/>
          <w:sz w:val="24"/>
        </w:rPr>
        <w:t>7. 工期和进度</w:t>
      </w:r>
      <w:bookmarkEnd w:id="162"/>
    </w:p>
    <w:p w14:paraId="4EA78EB5">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7.1 施工组织设计</w:t>
      </w:r>
    </w:p>
    <w:p w14:paraId="5E8D178C">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eastAsia="宋体"/>
          <w:color w:val="auto"/>
          <w:kern w:val="0"/>
          <w:sz w:val="24"/>
          <w:lang w:eastAsia="zh-CN"/>
        </w:rPr>
      </w:pPr>
      <w:r>
        <w:rPr>
          <w:rFonts w:hint="eastAsia" w:ascii="宋体" w:hAnsi="宋体"/>
          <w:color w:val="auto"/>
          <w:sz w:val="24"/>
        </w:rPr>
        <w:t>7.1.1 合</w:t>
      </w:r>
      <w:r>
        <w:rPr>
          <w:rFonts w:hint="eastAsia" w:ascii="宋体" w:hAnsi="宋体"/>
          <w:color w:val="auto"/>
          <w:kern w:val="0"/>
          <w:sz w:val="24"/>
        </w:rPr>
        <w:t>同当事人约定的施工组织设计应包括的其他内容：</w:t>
      </w:r>
      <w:r>
        <w:rPr>
          <w:rFonts w:hint="eastAsia" w:ascii="宋体" w:hAnsi="宋体"/>
          <w:color w:val="auto"/>
          <w:kern w:val="0"/>
          <w:sz w:val="24"/>
          <w:u w:val="single"/>
        </w:rPr>
        <w:t xml:space="preserve">  </w:t>
      </w:r>
      <w:r>
        <w:rPr>
          <w:rFonts w:hint="eastAsia" w:ascii="宋体" w:hAnsi="宋体"/>
          <w:color w:val="auto"/>
          <w:sz w:val="24"/>
          <w:u w:val="single"/>
        </w:rPr>
        <w:t xml:space="preserve">总进度计划需包含网络图、横道图。  </w:t>
      </w:r>
    </w:p>
    <w:p w14:paraId="52F9BABF">
      <w:pPr>
        <w:pStyle w:val="78"/>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sz w:val="24"/>
        </w:rPr>
        <w:t xml:space="preserve">7.1.2 </w:t>
      </w:r>
      <w:r>
        <w:rPr>
          <w:rFonts w:hint="eastAsia" w:ascii="宋体" w:hAnsi="宋体"/>
          <w:color w:val="auto"/>
          <w:kern w:val="0"/>
          <w:sz w:val="24"/>
        </w:rPr>
        <w:t>施工组织设计的提交和修改</w:t>
      </w:r>
    </w:p>
    <w:p w14:paraId="6E0E796D">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承包人提交详细施工组织设计的期限的约定：</w:t>
      </w:r>
      <w:r>
        <w:rPr>
          <w:rFonts w:hint="eastAsia" w:ascii="宋体" w:hAnsi="宋体"/>
          <w:color w:val="auto"/>
          <w:sz w:val="24"/>
          <w:u w:val="single"/>
        </w:rPr>
        <w:t xml:space="preserve">  合同签订后14天内，并不得迟于第7.3.2项〔开工通知〕载明的开工日期前7天</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0F7196D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发包人和监理人在收到详细的施工组织设计后确认或提出修改意见的期限：</w:t>
      </w:r>
      <w:r>
        <w:rPr>
          <w:rFonts w:hint="eastAsia" w:ascii="宋体" w:hAnsi="宋体"/>
          <w:color w:val="auto"/>
          <w:sz w:val="24"/>
          <w:u w:val="single"/>
        </w:rPr>
        <w:t xml:space="preserve">  收到施工组织设计后7天内（</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606D4D2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w:t>
      </w:r>
      <w:bookmarkStart w:id="163" w:name="_Toc300934966"/>
      <w:bookmarkStart w:id="164" w:name="_Toc297123514"/>
      <w:bookmarkStart w:id="165" w:name="_Toc312677479"/>
      <w:bookmarkStart w:id="166" w:name="_Toc303539123"/>
      <w:bookmarkStart w:id="167" w:name="_Toc312678005"/>
      <w:bookmarkStart w:id="168" w:name="_Toc304295541"/>
      <w:bookmarkStart w:id="169" w:name="_Toc297216173"/>
      <w:r>
        <w:rPr>
          <w:rFonts w:hint="eastAsia" w:ascii="宋体" w:hAnsi="宋体"/>
          <w:color w:val="auto"/>
          <w:sz w:val="24"/>
        </w:rPr>
        <w:t>.2 施工进度计划</w:t>
      </w:r>
    </w:p>
    <w:p w14:paraId="31A7A0D0">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7.2.2 施工进度计划的修订</w:t>
      </w:r>
    </w:p>
    <w:p w14:paraId="26A875E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发包人和监理人在收到修订的施工进度计划后确认或提出修改意见的期限：</w:t>
      </w:r>
      <w:r>
        <w:rPr>
          <w:rFonts w:hint="eastAsia" w:ascii="宋体" w:hAnsi="宋体"/>
          <w:color w:val="auto"/>
          <w:sz w:val="24"/>
          <w:u w:val="single"/>
        </w:rPr>
        <w:t xml:space="preserve">  收到修订的施工进度计划后7天内(</w:t>
      </w:r>
      <w:r>
        <w:rPr>
          <w:rFonts w:hint="eastAsia" w:ascii="宋体" w:hAnsi="宋体"/>
          <w:color w:val="auto"/>
          <w:kern w:val="0"/>
          <w:sz w:val="24"/>
          <w:u w:val="single"/>
        </w:rPr>
        <w:t>执行通用条款)</w:t>
      </w:r>
      <w:r>
        <w:rPr>
          <w:rFonts w:hint="eastAsia" w:ascii="宋体" w:hAnsi="宋体"/>
          <w:color w:val="auto"/>
          <w:kern w:val="0"/>
          <w:sz w:val="24"/>
        </w:rPr>
        <w:t xml:space="preserve">。 </w:t>
      </w:r>
      <w:r>
        <w:rPr>
          <w:rFonts w:hint="eastAsia" w:ascii="宋体" w:hAnsi="宋体"/>
          <w:color w:val="auto"/>
          <w:sz w:val="24"/>
        </w:rPr>
        <w:t xml:space="preserve">   </w:t>
      </w:r>
    </w:p>
    <w:p w14:paraId="1AA300A4">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7.3 开工</w:t>
      </w:r>
    </w:p>
    <w:p w14:paraId="0D510DD7">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7.3.1 开工准备</w:t>
      </w:r>
    </w:p>
    <w:p w14:paraId="4BED7814">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关于承包人提交</w:t>
      </w:r>
      <w:r>
        <w:rPr>
          <w:rFonts w:hint="eastAsia" w:ascii="宋体" w:hAnsi="宋体"/>
          <w:color w:val="auto"/>
          <w:kern w:val="0"/>
          <w:sz w:val="24"/>
        </w:rPr>
        <w:t>工程开工报审表的期限：</w:t>
      </w:r>
      <w:r>
        <w:rPr>
          <w:rFonts w:hint="eastAsia" w:ascii="宋体" w:hAnsi="宋体"/>
          <w:color w:val="auto"/>
          <w:sz w:val="24"/>
          <w:u w:val="single"/>
        </w:rPr>
        <w:t xml:space="preserve">  开工前7天内。   </w:t>
      </w:r>
    </w:p>
    <w:p w14:paraId="7968900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关于发包人应完成的其他开工准备工作及期限：</w:t>
      </w:r>
      <w:r>
        <w:rPr>
          <w:rFonts w:hint="eastAsia" w:ascii="宋体" w:hAnsi="宋体"/>
          <w:color w:val="auto"/>
          <w:sz w:val="24"/>
          <w:u w:val="single"/>
        </w:rPr>
        <w:t xml:space="preserve">  开工前7天内。    </w:t>
      </w:r>
    </w:p>
    <w:p w14:paraId="62263F4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关于承包人应完成的其他开工准备工作及期限：</w:t>
      </w:r>
      <w:r>
        <w:rPr>
          <w:rFonts w:hint="eastAsia" w:ascii="宋体" w:hAnsi="宋体"/>
          <w:color w:val="auto"/>
          <w:sz w:val="24"/>
          <w:u w:val="single"/>
        </w:rPr>
        <w:t xml:space="preserve">  开工前7天内。</w:t>
      </w:r>
      <w:r>
        <w:rPr>
          <w:rFonts w:hint="eastAsia" w:ascii="宋体" w:hAnsi="宋体"/>
          <w:color w:val="auto"/>
          <w:kern w:val="0"/>
          <w:sz w:val="24"/>
          <w:u w:val="single"/>
        </w:rPr>
        <w:t xml:space="preserve"> </w:t>
      </w:r>
      <w:r>
        <w:rPr>
          <w:rFonts w:hint="eastAsia" w:ascii="宋体" w:hAnsi="宋体"/>
          <w:color w:val="auto"/>
          <w:sz w:val="24"/>
          <w:u w:val="single"/>
        </w:rPr>
        <w:t xml:space="preserve">   </w:t>
      </w:r>
    </w:p>
    <w:p w14:paraId="56E579C7">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7.3.2开工通知</w:t>
      </w:r>
    </w:p>
    <w:p w14:paraId="0F2410E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因发包人原因造成监理人未能在计划开工日期之日起</w:t>
      </w:r>
      <w:r>
        <w:rPr>
          <w:rFonts w:hint="eastAsia" w:ascii="宋体" w:hAnsi="宋体"/>
          <w:color w:val="auto"/>
          <w:sz w:val="24"/>
          <w:u w:val="single"/>
        </w:rPr>
        <w:t xml:space="preserve">  90（</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r>
        <w:rPr>
          <w:rFonts w:hint="eastAsia" w:ascii="宋体" w:hAnsi="宋体"/>
          <w:color w:val="auto"/>
          <w:sz w:val="24"/>
        </w:rPr>
        <w:t>天内发出开工通知的，承包人有权提出价格调整要求，或者解除合同。</w:t>
      </w:r>
    </w:p>
    <w:bookmarkEnd w:id="163"/>
    <w:bookmarkEnd w:id="164"/>
    <w:bookmarkEnd w:id="165"/>
    <w:bookmarkEnd w:id="166"/>
    <w:bookmarkEnd w:id="167"/>
    <w:bookmarkEnd w:id="168"/>
    <w:bookmarkEnd w:id="169"/>
    <w:p w14:paraId="6F4F2F8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7.4 测量放线</w:t>
      </w:r>
    </w:p>
    <w:p w14:paraId="6943AA21">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7.4.1发包人通过监理人向承包人提供测量基准点、基准线和水准点及其书面资料的期限：</w:t>
      </w:r>
      <w:r>
        <w:rPr>
          <w:rFonts w:hint="eastAsia" w:ascii="宋体" w:hAnsi="宋体"/>
          <w:color w:val="auto"/>
          <w:sz w:val="24"/>
          <w:u w:val="single"/>
        </w:rPr>
        <w:t xml:space="preserve">  开工前21天内</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706ED69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w:t>
      </w:r>
      <w:bookmarkStart w:id="170" w:name="_Toc312677484"/>
      <w:bookmarkStart w:id="171" w:name="_Toc297123516"/>
      <w:bookmarkStart w:id="172" w:name="_Toc303539125"/>
      <w:bookmarkStart w:id="173" w:name="_Toc300934968"/>
      <w:bookmarkStart w:id="174" w:name="_Toc312678010"/>
      <w:bookmarkStart w:id="175" w:name="_Toc304295546"/>
      <w:bookmarkStart w:id="176" w:name="_Toc297216175"/>
      <w:r>
        <w:rPr>
          <w:rFonts w:hint="eastAsia" w:ascii="宋体" w:hAnsi="宋体"/>
          <w:color w:val="auto"/>
          <w:sz w:val="24"/>
        </w:rPr>
        <w:t>.5 工期延误</w:t>
      </w:r>
    </w:p>
    <w:bookmarkEnd w:id="170"/>
    <w:bookmarkEnd w:id="171"/>
    <w:bookmarkEnd w:id="172"/>
    <w:bookmarkEnd w:id="173"/>
    <w:bookmarkEnd w:id="174"/>
    <w:bookmarkEnd w:id="175"/>
    <w:bookmarkEnd w:id="176"/>
    <w:p w14:paraId="49911673">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7.5.1 因发包人原因导致工期延误</w:t>
      </w:r>
    </w:p>
    <w:p w14:paraId="747855D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（7）因发包人原因导致工期延误的其他情形：</w:t>
      </w:r>
      <w:r>
        <w:rPr>
          <w:rFonts w:hint="eastAsia" w:ascii="宋体" w:hAnsi="宋体"/>
          <w:color w:val="auto"/>
          <w:sz w:val="24"/>
          <w:u w:val="single"/>
        </w:rPr>
        <w:t xml:space="preserve">   /     </w:t>
      </w:r>
    </w:p>
    <w:p w14:paraId="238A86B9">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7.5.2 因承包人原因导致工期延误</w:t>
      </w:r>
    </w:p>
    <w:p w14:paraId="55F4591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因承包人原因造成工期延误，逾期竣工违约金的计算方法为：</w:t>
      </w:r>
      <w:r>
        <w:rPr>
          <w:rFonts w:hint="eastAsia" w:ascii="宋体" w:hAnsi="宋体"/>
          <w:color w:val="auto"/>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00D5E361">
      <w:pPr>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因承包人原因造成工期延误，逾期竣工违约金的上限：</w:t>
      </w:r>
      <w:r>
        <w:rPr>
          <w:rFonts w:hint="eastAsia" w:ascii="宋体" w:hAnsi="宋体"/>
          <w:color w:val="auto"/>
          <w:sz w:val="24"/>
          <w:szCs w:val="24"/>
          <w:u w:val="single"/>
        </w:rPr>
        <w:t xml:space="preserve">  违约金最高限额为合同价款的4% 。</w:t>
      </w:r>
    </w:p>
    <w:p w14:paraId="2A7892FC">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7.6 不利物质条件</w:t>
      </w:r>
    </w:p>
    <w:p w14:paraId="026EAAC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不利物质条件的其他情形和有关约定：</w:t>
      </w:r>
      <w:r>
        <w:rPr>
          <w:rFonts w:hint="eastAsia" w:ascii="宋体" w:hAnsi="宋体"/>
          <w:color w:val="auto"/>
          <w:sz w:val="24"/>
          <w:u w:val="single"/>
        </w:rPr>
        <w:t xml:space="preserve">  </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1059C49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7.7异常恶劣的气候条件</w:t>
      </w:r>
    </w:p>
    <w:p w14:paraId="0AFE1EA3">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发包人和承包人同意以下情形视为异常恶劣的气候条件：</w:t>
      </w:r>
      <w:r>
        <w:rPr>
          <w:rFonts w:hint="eastAsia" w:ascii="宋体" w:hAnsi="宋体"/>
          <w:color w:val="auto"/>
          <w:sz w:val="24"/>
          <w:u w:val="single"/>
        </w:rPr>
        <w:t xml:space="preserve">  执行通用条款。   </w:t>
      </w:r>
    </w:p>
    <w:p w14:paraId="511336D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7.9 提前竣工的奖励</w:t>
      </w:r>
    </w:p>
    <w:p w14:paraId="7CE14520">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7.9.2提前竣工的奖励：</w:t>
      </w:r>
      <w:r>
        <w:rPr>
          <w:rFonts w:hint="eastAsia" w:ascii="宋体" w:hAnsi="宋体"/>
          <w:color w:val="auto"/>
          <w:sz w:val="24"/>
          <w:u w:val="single"/>
        </w:rPr>
        <w:t xml:space="preserve">  不采用。    </w:t>
      </w:r>
    </w:p>
    <w:p w14:paraId="5C2F6E59">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77" w:name="_Toc351203640"/>
      <w:r>
        <w:rPr>
          <w:rFonts w:hint="eastAsia" w:ascii="宋体" w:hAnsi="宋体"/>
          <w:color w:val="auto"/>
          <w:kern w:val="0"/>
          <w:sz w:val="24"/>
        </w:rPr>
        <w:t>8. 材料与设备</w:t>
      </w:r>
      <w:bookmarkEnd w:id="177"/>
    </w:p>
    <w:bookmarkEnd w:id="144"/>
    <w:bookmarkEnd w:id="145"/>
    <w:bookmarkEnd w:id="146"/>
    <w:bookmarkEnd w:id="147"/>
    <w:bookmarkEnd w:id="148"/>
    <w:bookmarkEnd w:id="149"/>
    <w:bookmarkEnd w:id="150"/>
    <w:bookmarkEnd w:id="151"/>
    <w:bookmarkEnd w:id="152"/>
    <w:bookmarkEnd w:id="153"/>
    <w:p w14:paraId="52F19A46">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w:t>
      </w:r>
      <w:bookmarkStart w:id="178" w:name="_Toc280868656"/>
      <w:bookmarkStart w:id="179" w:name="_Toc267251424"/>
      <w:bookmarkStart w:id="180" w:name="_Toc280868655"/>
      <w:r>
        <w:rPr>
          <w:rFonts w:hint="eastAsia" w:ascii="宋体" w:hAnsi="宋体"/>
          <w:color w:val="auto"/>
          <w:sz w:val="24"/>
        </w:rPr>
        <w:t>.4材料与工程设备的保管与使用</w:t>
      </w:r>
    </w:p>
    <w:p w14:paraId="1958C919">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8</w:t>
      </w:r>
      <w:bookmarkStart w:id="181" w:name="_Toc303539137"/>
      <w:bookmarkStart w:id="182" w:name="_Toc296891208"/>
      <w:bookmarkStart w:id="183" w:name="_Toc312677494"/>
      <w:bookmarkStart w:id="184" w:name="_Toc296346669"/>
      <w:bookmarkStart w:id="185" w:name="_Toc296944507"/>
      <w:bookmarkStart w:id="186" w:name="_Toc297120468"/>
      <w:bookmarkStart w:id="187" w:name="_Toc296890996"/>
      <w:bookmarkStart w:id="188" w:name="_Toc296503168"/>
      <w:bookmarkStart w:id="189" w:name="_Toc297123528"/>
      <w:bookmarkStart w:id="190" w:name="_Toc300934980"/>
      <w:bookmarkStart w:id="191" w:name="_Toc296347167"/>
      <w:bookmarkStart w:id="192" w:name="_Toc318581173"/>
      <w:bookmarkStart w:id="193" w:name="_Toc297216187"/>
      <w:bookmarkStart w:id="194" w:name="_Toc304295557"/>
      <w:bookmarkStart w:id="195" w:name="_Toc297048354"/>
      <w:bookmarkStart w:id="196" w:name="_Toc312678020"/>
      <w:r>
        <w:rPr>
          <w:rFonts w:hint="eastAsia" w:ascii="宋体" w:hAnsi="宋体"/>
          <w:color w:val="auto"/>
          <w:sz w:val="24"/>
        </w:rPr>
        <w:t>.4.1发包人供应的材料设备的保管费用的承担：</w:t>
      </w:r>
    </w:p>
    <w:p w14:paraId="542C49B7">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材料按照总价</w:t>
      </w:r>
      <w:r>
        <w:rPr>
          <w:rFonts w:hint="eastAsia" w:ascii="宋体" w:hAnsi="宋体"/>
          <w:color w:val="auto"/>
          <w:sz w:val="24"/>
          <w:u w:val="single"/>
          <w:lang w:val="en-US" w:eastAsia="zh-CN"/>
        </w:rPr>
        <w:t xml:space="preserve">   </w:t>
      </w:r>
      <w:r>
        <w:rPr>
          <w:rFonts w:hint="eastAsia" w:ascii="宋体" w:hAnsi="宋体"/>
          <w:color w:val="auto"/>
          <w:sz w:val="24"/>
          <w:u w:val="single"/>
        </w:rPr>
        <w:t>%计取保管费（材料数量最多不超过设计文件的用量（可以计算定额损耗））；设备按照总价</w:t>
      </w:r>
      <w:r>
        <w:rPr>
          <w:rFonts w:hint="eastAsia" w:ascii="宋体" w:hAnsi="宋体"/>
          <w:color w:val="auto"/>
          <w:sz w:val="24"/>
          <w:u w:val="single"/>
          <w:lang w:val="en-US" w:eastAsia="zh-CN"/>
        </w:rPr>
        <w:t xml:space="preserve">   </w:t>
      </w:r>
      <w:r>
        <w:rPr>
          <w:rFonts w:hint="eastAsia" w:ascii="宋体" w:hAnsi="宋体"/>
          <w:color w:val="auto"/>
          <w:sz w:val="24"/>
          <w:u w:val="single"/>
        </w:rPr>
        <w:t>%计取保管费；此费用仅计取税金。</w:t>
      </w:r>
    </w:p>
    <w:p w14:paraId="723B0E28">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2）</w:t>
      </w:r>
      <w:r>
        <w:rPr>
          <w:rFonts w:hint="eastAsia" w:ascii="宋体" w:hAnsi="宋体"/>
          <w:color w:val="auto"/>
          <w:sz w:val="24"/>
          <w:u w:val="single"/>
        </w:rPr>
        <w:t xml:space="preserve">到货时间与《发包人供应材料设备一览表》不一致的，保管费用不予调整。  </w:t>
      </w:r>
    </w:p>
    <w:p w14:paraId="4B736EF3">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3）</w:t>
      </w:r>
      <w:r>
        <w:rPr>
          <w:rFonts w:hint="eastAsia" w:ascii="宋体" w:hAnsi="宋体"/>
          <w:color w:val="auto"/>
          <w:sz w:val="24"/>
          <w:u w:val="single"/>
        </w:rPr>
        <w:t>开工前承包人提交材料需求明细计划；每种材料进场批次不超过2批。</w:t>
      </w:r>
    </w:p>
    <w:p w14:paraId="4EB6AD33">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4）</w:t>
      </w:r>
      <w:r>
        <w:rPr>
          <w:rFonts w:hint="eastAsia" w:ascii="宋体" w:hAnsi="宋体"/>
          <w:color w:val="auto"/>
          <w:sz w:val="24"/>
          <w:u w:val="single"/>
        </w:rPr>
        <w:t xml:space="preserve">发包人按照承包人提交的计划供应材料；当材料出现短缺时，承包人必须至少提前一周以书面通知发包人； </w:t>
      </w:r>
    </w:p>
    <w:p w14:paraId="37226A39">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5）</w:t>
      </w:r>
      <w:r>
        <w:rPr>
          <w:rFonts w:hint="eastAsia" w:ascii="宋体" w:hAnsi="宋体"/>
          <w:color w:val="auto"/>
          <w:sz w:val="24"/>
          <w:u w:val="single"/>
        </w:rPr>
        <w:t>发包人供应的材料由承包人负责按相关规定检验，合格后方可用于工程；承包人未按规定检验造成的后果由承包人负责。</w:t>
      </w:r>
    </w:p>
    <w:p w14:paraId="608F9B26">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6）</w:t>
      </w:r>
      <w:r>
        <w:rPr>
          <w:rFonts w:hint="eastAsia" w:ascii="宋体" w:hAnsi="宋体"/>
          <w:color w:val="auto"/>
          <w:sz w:val="24"/>
          <w:u w:val="single"/>
        </w:rPr>
        <w:t xml:space="preserve">发包人供应材料的检验检测费用由承包人在合同价款的投标报价中考虑，不再另行计取。若发包人自行检验的，须提供检验报告，检验费用从合同价款中扣除。 </w:t>
      </w:r>
    </w:p>
    <w:p w14:paraId="07D25E7A">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7）</w:t>
      </w:r>
      <w:r>
        <w:rPr>
          <w:rFonts w:hint="eastAsia" w:ascii="宋体" w:hAnsi="宋体"/>
          <w:color w:val="auto"/>
          <w:sz w:val="24"/>
          <w:u w:val="single"/>
        </w:rPr>
        <w:t>因承包人计划不周造成增加费用由承包人承担，工期不予顺延。</w:t>
      </w:r>
    </w:p>
    <w:p w14:paraId="2BBFB48B">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8）</w:t>
      </w:r>
      <w:r>
        <w:rPr>
          <w:rFonts w:hint="eastAsia" w:ascii="宋体" w:hAnsi="宋体"/>
          <w:color w:val="auto"/>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631CEB72">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9）</w:t>
      </w:r>
      <w:r>
        <w:rPr>
          <w:rFonts w:hint="eastAsia" w:ascii="宋体" w:hAnsi="宋体"/>
          <w:color w:val="auto"/>
          <w:sz w:val="24"/>
          <w:u w:val="single"/>
        </w:rPr>
        <w:t>发包人供应的材料数量为图纸用量。</w:t>
      </w:r>
    </w:p>
    <w:p w14:paraId="1746F699">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10）</w:t>
      </w:r>
      <w:r>
        <w:rPr>
          <w:rFonts w:hint="eastAsia" w:ascii="宋体" w:hAnsi="宋体"/>
          <w:color w:val="auto"/>
          <w:sz w:val="24"/>
          <w:u w:val="single"/>
        </w:rPr>
        <w:t>发包人材料供应不及时影响关键线路工程施工的，工期顺延。</w:t>
      </w:r>
    </w:p>
    <w:p w14:paraId="70DD247A">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11）</w:t>
      </w:r>
      <w:r>
        <w:rPr>
          <w:rFonts w:hint="eastAsia" w:ascii="宋体" w:hAnsi="宋体"/>
          <w:color w:val="auto"/>
          <w:sz w:val="24"/>
          <w:u w:val="single"/>
        </w:rPr>
        <w:t>发包人供应的材料进入现场即视为供应到位，由承包人负责卸货入库等其他工作，费用由承包人在合同价款中考虑，不再另行计取。</w:t>
      </w:r>
    </w:p>
    <w:p w14:paraId="0D60CCC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8.6 样品</w:t>
      </w:r>
    </w:p>
    <w:p w14:paraId="7E86335B">
      <w:pPr>
        <w:pStyle w:val="78"/>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8.6.1样品的报送与封存</w:t>
      </w:r>
    </w:p>
    <w:p w14:paraId="343C71E6">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需要承包人报送样品的材料或工程设备，样品的种类、名称、规格、数量要求：</w:t>
      </w:r>
      <w:r>
        <w:rPr>
          <w:rFonts w:hint="eastAsia" w:ascii="宋体" w:hAnsi="宋体"/>
          <w:color w:val="auto"/>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w:t>
      </w:r>
      <w:r>
        <w:rPr>
          <w:rFonts w:hint="eastAsia" w:ascii="宋体" w:hAnsi="宋体"/>
          <w:color w:val="auto"/>
          <w:kern w:val="0"/>
          <w:sz w:val="24"/>
          <w:u w:val="single"/>
        </w:rPr>
        <w:t>承包人报送给发包人本工程所用主要材料或工程设备样品的具体种类、名称、规格、数量，在工程开工前</w:t>
      </w:r>
      <w:r>
        <w:rPr>
          <w:rFonts w:hint="eastAsia" w:ascii="宋体" w:hAnsi="宋体"/>
          <w:color w:val="auto"/>
          <w:sz w:val="24"/>
          <w:u w:val="single"/>
        </w:rPr>
        <w:t xml:space="preserve">由发包人、承包人与监理人另行商定确定。   </w:t>
      </w:r>
    </w:p>
    <w:p w14:paraId="4E1B9158">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8.8 施工设备和临时设施</w:t>
      </w:r>
    </w:p>
    <w:p w14:paraId="0406ED4B">
      <w:pPr>
        <w:pStyle w:val="78"/>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8.8.1 承包人提供的施工设备和临时设施</w:t>
      </w:r>
    </w:p>
    <w:p w14:paraId="7D223006">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关于修建临时设施费用承担的约定：</w:t>
      </w:r>
      <w:r>
        <w:rPr>
          <w:rFonts w:hint="eastAsia" w:ascii="宋体" w:hAnsi="宋体"/>
          <w:color w:val="auto"/>
          <w:sz w:val="24"/>
          <w:u w:val="single"/>
        </w:rPr>
        <w:t xml:space="preserve">  承包人承担此费用，该费用已包含在投标报价</w:t>
      </w:r>
      <w:r>
        <w:rPr>
          <w:rFonts w:hint="eastAsia" w:ascii="宋体" w:hAnsi="宋体"/>
          <w:color w:val="auto"/>
          <w:kern w:val="0"/>
          <w:sz w:val="24"/>
          <w:u w:val="single"/>
        </w:rPr>
        <w:t>。</w:t>
      </w:r>
      <w:r>
        <w:rPr>
          <w:rFonts w:hint="eastAsia" w:ascii="宋体" w:hAnsi="宋体"/>
          <w:color w:val="auto"/>
          <w:sz w:val="24"/>
          <w:u w:val="single"/>
        </w:rPr>
        <w:t xml:space="preserve">   </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14F149A8">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97" w:name="_Toc351203641"/>
      <w:r>
        <w:rPr>
          <w:rFonts w:hint="eastAsia" w:ascii="宋体" w:hAnsi="宋体"/>
          <w:color w:val="auto"/>
          <w:kern w:val="0"/>
          <w:sz w:val="24"/>
        </w:rPr>
        <w:t>9</w:t>
      </w:r>
      <w:bookmarkEnd w:id="178"/>
      <w:bookmarkEnd w:id="179"/>
      <w:bookmarkEnd w:id="180"/>
      <w:bookmarkStart w:id="198" w:name="_Toc297123533"/>
      <w:bookmarkStart w:id="199" w:name="_Toc312677495"/>
      <w:bookmarkStart w:id="200" w:name="_Toc300934982"/>
      <w:bookmarkStart w:id="201" w:name="_Toc297216192"/>
      <w:bookmarkStart w:id="202" w:name="_Toc304295559"/>
      <w:bookmarkStart w:id="203" w:name="_Toc303539139"/>
      <w:bookmarkStart w:id="204" w:name="_Toc312678021"/>
      <w:bookmarkStart w:id="205" w:name="_Toc296346674"/>
      <w:bookmarkStart w:id="206" w:name="_Toc297120473"/>
      <w:bookmarkStart w:id="207" w:name="_Toc292559378"/>
      <w:bookmarkStart w:id="208" w:name="_Toc267251428"/>
      <w:bookmarkStart w:id="209" w:name="_Toc297048359"/>
      <w:bookmarkStart w:id="210" w:name="_Toc296891213"/>
      <w:bookmarkStart w:id="211" w:name="_Toc267251427"/>
      <w:bookmarkStart w:id="212" w:name="_Toc292559883"/>
      <w:bookmarkStart w:id="213" w:name="_Toc296503173"/>
      <w:bookmarkStart w:id="214" w:name="_Toc296944512"/>
      <w:bookmarkStart w:id="215" w:name="_Toc296347172"/>
      <w:bookmarkStart w:id="216" w:name="_Toc296891001"/>
      <w:r>
        <w:rPr>
          <w:rFonts w:hint="eastAsia" w:ascii="宋体" w:hAnsi="宋体"/>
          <w:color w:val="auto"/>
          <w:kern w:val="0"/>
          <w:sz w:val="24"/>
        </w:rPr>
        <w:t>. 试验与检验</w:t>
      </w:r>
      <w:bookmarkEnd w:id="197"/>
    </w:p>
    <w:bookmarkEnd w:id="198"/>
    <w:bookmarkEnd w:id="199"/>
    <w:bookmarkEnd w:id="200"/>
    <w:bookmarkEnd w:id="201"/>
    <w:bookmarkEnd w:id="202"/>
    <w:bookmarkEnd w:id="203"/>
    <w:bookmarkEnd w:id="204"/>
    <w:p w14:paraId="260E9458">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9</w:t>
      </w:r>
      <w:bookmarkStart w:id="217" w:name="_Toc312678022"/>
      <w:bookmarkStart w:id="218" w:name="_Toc300934983"/>
      <w:bookmarkStart w:id="219" w:name="_Toc303539140"/>
      <w:bookmarkStart w:id="220" w:name="_Toc297123534"/>
      <w:bookmarkStart w:id="221" w:name="_Toc312677496"/>
      <w:bookmarkStart w:id="222" w:name="_Toc297216193"/>
      <w:bookmarkStart w:id="223" w:name="_Toc304295560"/>
      <w:r>
        <w:rPr>
          <w:rFonts w:hint="eastAsia" w:ascii="宋体" w:hAnsi="宋体"/>
          <w:color w:val="auto"/>
          <w:sz w:val="24"/>
        </w:rPr>
        <w:t>.1试验设备与试验人员</w:t>
      </w:r>
    </w:p>
    <w:bookmarkEnd w:id="217"/>
    <w:bookmarkEnd w:id="218"/>
    <w:bookmarkEnd w:id="219"/>
    <w:bookmarkEnd w:id="220"/>
    <w:bookmarkEnd w:id="221"/>
    <w:bookmarkEnd w:id="222"/>
    <w:bookmarkEnd w:id="223"/>
    <w:p w14:paraId="5D74B15B">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9</w:t>
      </w:r>
      <w:bookmarkStart w:id="224" w:name="_Toc318581174"/>
      <w:r>
        <w:rPr>
          <w:rFonts w:hint="eastAsia" w:ascii="宋体" w:hAnsi="宋体"/>
          <w:color w:val="auto"/>
          <w:sz w:val="24"/>
        </w:rPr>
        <w:t>.1.2 试验设备</w:t>
      </w:r>
    </w:p>
    <w:p w14:paraId="5383437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施工现场需要配置的试验场所：</w:t>
      </w:r>
      <w:bookmarkStart w:id="225" w:name="_Toc297216195"/>
      <w:bookmarkStart w:id="226" w:name="_Toc304295562"/>
      <w:bookmarkStart w:id="227" w:name="_Toc297123536"/>
      <w:bookmarkStart w:id="228" w:name="_Toc312677498"/>
      <w:bookmarkStart w:id="229" w:name="_Toc303539142"/>
      <w:bookmarkStart w:id="230" w:name="_Toc312678024"/>
      <w:bookmarkStart w:id="231" w:name="_Toc300934985"/>
      <w:r>
        <w:rPr>
          <w:rFonts w:hint="eastAsia" w:ascii="宋体" w:hAnsi="宋体"/>
          <w:color w:val="auto"/>
          <w:sz w:val="24"/>
          <w:u w:val="single"/>
        </w:rPr>
        <w:t xml:space="preserve">  满足现场施工质量检验要求。    </w:t>
      </w:r>
    </w:p>
    <w:p w14:paraId="15AE109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施工现场需要配备的试验设备：</w:t>
      </w:r>
      <w:r>
        <w:rPr>
          <w:rFonts w:hint="eastAsia" w:ascii="宋体" w:hAnsi="宋体"/>
          <w:color w:val="auto"/>
          <w:sz w:val="24"/>
          <w:u w:val="single"/>
        </w:rPr>
        <w:t xml:space="preserve">  满足现场施工质量检验要求。    </w:t>
      </w:r>
    </w:p>
    <w:p w14:paraId="6C2DAB53">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施工现场需要具备的其他试验条件：</w:t>
      </w:r>
      <w:r>
        <w:rPr>
          <w:rFonts w:hint="eastAsia" w:ascii="宋体" w:hAnsi="宋体"/>
          <w:color w:val="auto"/>
          <w:sz w:val="24"/>
          <w:u w:val="single"/>
        </w:rPr>
        <w:t xml:space="preserve">  满足现场施工质量检验要求。    </w:t>
      </w:r>
    </w:p>
    <w:p w14:paraId="6612FA73">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 xml:space="preserve">9.4 现场工艺试验 </w:t>
      </w:r>
    </w:p>
    <w:p w14:paraId="3ED53132">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现场工艺试验的有关约定：</w:t>
      </w:r>
    </w:p>
    <w:p w14:paraId="705F14A3">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u w:val="single"/>
        </w:rPr>
        <w:t xml:space="preserve"> </w:t>
      </w:r>
    </w:p>
    <w:bookmarkEnd w:id="224"/>
    <w:bookmarkEnd w:id="225"/>
    <w:bookmarkEnd w:id="226"/>
    <w:bookmarkEnd w:id="227"/>
    <w:bookmarkEnd w:id="228"/>
    <w:bookmarkEnd w:id="229"/>
    <w:bookmarkEnd w:id="230"/>
    <w:bookmarkEnd w:id="231"/>
    <w:p w14:paraId="1F3BA285">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232" w:name="_Toc351203642"/>
      <w:r>
        <w:rPr>
          <w:rFonts w:hint="eastAsia" w:ascii="宋体" w:hAnsi="宋体"/>
          <w:color w:val="auto"/>
          <w:kern w:val="0"/>
          <w:sz w:val="24"/>
        </w:rPr>
        <w:t>1</w:t>
      </w:r>
      <w:bookmarkEnd w:id="205"/>
      <w:bookmarkEnd w:id="206"/>
      <w:bookmarkEnd w:id="207"/>
      <w:bookmarkEnd w:id="208"/>
      <w:bookmarkEnd w:id="209"/>
      <w:bookmarkEnd w:id="210"/>
      <w:bookmarkEnd w:id="211"/>
      <w:bookmarkEnd w:id="212"/>
      <w:bookmarkEnd w:id="213"/>
      <w:bookmarkEnd w:id="214"/>
      <w:bookmarkEnd w:id="215"/>
      <w:bookmarkEnd w:id="216"/>
      <w:bookmarkStart w:id="233" w:name="_Toc292559398"/>
      <w:bookmarkStart w:id="234" w:name="_Toc297123540"/>
      <w:bookmarkStart w:id="235" w:name="_Toc297216199"/>
      <w:bookmarkStart w:id="236" w:name="_Toc296891021"/>
      <w:bookmarkStart w:id="237" w:name="_Toc297120493"/>
      <w:bookmarkStart w:id="238" w:name="_Toc304295566"/>
      <w:bookmarkStart w:id="239" w:name="_Toc292559903"/>
      <w:bookmarkStart w:id="240" w:name="_Toc296891233"/>
      <w:bookmarkStart w:id="241" w:name="_Toc300934989"/>
      <w:bookmarkStart w:id="242" w:name="_Toc296347192"/>
      <w:bookmarkStart w:id="243" w:name="_Toc297048379"/>
      <w:bookmarkStart w:id="244" w:name="_Toc296503193"/>
      <w:bookmarkStart w:id="245" w:name="_Toc296346694"/>
      <w:bookmarkStart w:id="246" w:name="_Toc296944532"/>
      <w:bookmarkStart w:id="247" w:name="_Toc303539146"/>
      <w:bookmarkStart w:id="248" w:name="_Toc312678025"/>
      <w:bookmarkStart w:id="249" w:name="_Toc312677499"/>
      <w:bookmarkStart w:id="250" w:name="_Toc267251437"/>
      <w:bookmarkStart w:id="251" w:name="_Toc267251439"/>
      <w:bookmarkStart w:id="252" w:name="_Toc267251441"/>
      <w:bookmarkStart w:id="253" w:name="_Toc267251435"/>
      <w:bookmarkStart w:id="254" w:name="_Toc267251433"/>
      <w:bookmarkStart w:id="255" w:name="_Toc267251440"/>
      <w:bookmarkStart w:id="256" w:name="_Toc267251442"/>
      <w:r>
        <w:rPr>
          <w:rFonts w:hint="eastAsia" w:ascii="宋体" w:hAnsi="宋体"/>
          <w:color w:val="auto"/>
          <w:kern w:val="0"/>
          <w:sz w:val="24"/>
        </w:rPr>
        <w:t>0. 变更</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bookmarkEnd w:id="248"/>
    <w:bookmarkEnd w:id="249"/>
    <w:p w14:paraId="73356CB9">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Start w:id="257" w:name="_Toc292559904"/>
      <w:bookmarkStart w:id="258" w:name="_Toc312678026"/>
      <w:bookmarkStart w:id="259" w:name="_Toc312677500"/>
      <w:bookmarkStart w:id="260" w:name="_Toc296503194"/>
      <w:bookmarkStart w:id="261" w:name="_Toc297048380"/>
      <w:bookmarkStart w:id="262" w:name="_Toc304295567"/>
      <w:bookmarkStart w:id="263" w:name="_Toc296944533"/>
      <w:bookmarkStart w:id="264" w:name="_Toc303539147"/>
      <w:bookmarkStart w:id="265" w:name="_Toc296347193"/>
      <w:bookmarkStart w:id="266" w:name="_Toc297123541"/>
      <w:bookmarkStart w:id="267" w:name="_Toc296346695"/>
      <w:bookmarkStart w:id="268" w:name="_Toc292559399"/>
      <w:bookmarkStart w:id="269" w:name="_Toc297120494"/>
      <w:bookmarkStart w:id="270" w:name="_Toc296891022"/>
      <w:bookmarkStart w:id="271" w:name="_Toc300934990"/>
      <w:bookmarkStart w:id="272" w:name="_Toc296891234"/>
      <w:bookmarkStart w:id="273" w:name="_Toc297216200"/>
      <w:r>
        <w:rPr>
          <w:rFonts w:hint="eastAsia" w:ascii="宋体" w:hAnsi="宋体"/>
          <w:color w:val="auto"/>
          <w:sz w:val="24"/>
        </w:rPr>
        <w:t>0.1变更的范围</w:t>
      </w:r>
    </w:p>
    <w:p w14:paraId="66DD6DB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关于变更的范围的约定：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931749F">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10.4 变更估价</w:t>
      </w:r>
    </w:p>
    <w:p w14:paraId="27158721">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10.4.1 变更估价原则</w:t>
      </w:r>
    </w:p>
    <w:p w14:paraId="4786167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关于变更估价的约定: </w:t>
      </w:r>
    </w:p>
    <w:p w14:paraId="7AF946FD">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10.4.1.1因工程变更引起已标价工程量清单项目或其工程数量发生变化时，按下列规定调整：</w:t>
      </w:r>
    </w:p>
    <w:p w14:paraId="08DCB5C5">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579E3FB5">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2）</w:t>
      </w:r>
      <w:r>
        <w:rPr>
          <w:rFonts w:hint="eastAsia" w:ascii="宋体" w:hAnsi="宋体"/>
          <w:color w:val="auto"/>
          <w:sz w:val="24"/>
          <w:u w:val="single"/>
        </w:rPr>
        <w:t>已标价工程量清单中没有适用但有类似于变更工程项目的，可在合理范围内参照类似项目的单价。</w:t>
      </w:r>
    </w:p>
    <w:p w14:paraId="7B975AC4">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3）</w:t>
      </w:r>
      <w:r>
        <w:rPr>
          <w:rFonts w:hint="eastAsia" w:ascii="宋体" w:hAnsi="宋体"/>
          <w:color w:val="auto"/>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25D7623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  4）</w:t>
      </w:r>
      <w:r>
        <w:rPr>
          <w:rFonts w:hint="eastAsia" w:ascii="宋体" w:hAnsi="宋体"/>
          <w:color w:val="auto"/>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3F3BDB47">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1E76C4C">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 xml:space="preserve">安全文明施工费应按照实际发生变化的措施项目依据原招标文件规定的费率计算；  </w:t>
      </w:r>
    </w:p>
    <w:p w14:paraId="5E84E159">
      <w:pPr>
        <w:pStyle w:val="78"/>
        <w:tabs>
          <w:tab w:val="left" w:pos="360"/>
        </w:tabs>
        <w:adjustRightInd w:val="0"/>
        <w:snapToGrid w:val="0"/>
        <w:spacing w:line="360" w:lineRule="auto"/>
        <w:ind w:right="178" w:rightChars="85" w:firstLine="480" w:firstLineChars="200"/>
        <w:jc w:val="left"/>
        <w:rPr>
          <w:rFonts w:hint="eastAsia" w:ascii="宋体" w:hAnsi="宋体"/>
          <w:color w:val="auto"/>
          <w:sz w:val="24"/>
          <w:u w:val="single"/>
        </w:rPr>
      </w:pPr>
      <w:r>
        <w:rPr>
          <w:rFonts w:hint="eastAsia" w:ascii="宋体" w:hAnsi="宋体"/>
          <w:color w:val="auto"/>
          <w:sz w:val="24"/>
        </w:rPr>
        <w:t xml:space="preserve"> 2）</w:t>
      </w:r>
      <w:r>
        <w:rPr>
          <w:rFonts w:hint="eastAsia" w:ascii="宋体" w:hAnsi="宋体"/>
          <w:color w:val="auto"/>
          <w:sz w:val="24"/>
          <w:u w:val="single"/>
        </w:rPr>
        <w:t>按照单价计算的措施项目费，应按照实际发生变化的措施项目，按本合同专业条款第</w:t>
      </w:r>
      <w:r>
        <w:rPr>
          <w:rFonts w:hint="eastAsia" w:ascii="宋体" w:hAnsi="宋体"/>
          <w:color w:val="auto"/>
          <w:kern w:val="0"/>
          <w:sz w:val="24"/>
          <w:u w:val="single"/>
        </w:rPr>
        <w:t xml:space="preserve">10.4.1.1条计算；   </w:t>
      </w:r>
    </w:p>
    <w:p w14:paraId="0F726F1E">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u w:val="single"/>
        </w:rPr>
        <w:t xml:space="preserve"> 3）按总价（或系数）计算的措施项目费，应按照实际发生变化的措施项目和承包人投标总价降幅同比下浮标准，提出新的措施项目费，作为结算的依据；  </w:t>
      </w:r>
    </w:p>
    <w:p w14:paraId="5D2B1BEF">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u w:val="single"/>
        </w:rPr>
        <w:t xml:space="preserve"> 4）如果承包人未事前将拟实施的方案提交给发包人确认，则应视为工程变更不引起措施项目费的调整或承包人放弃调整措施项目费的权利。  </w:t>
      </w:r>
    </w:p>
    <w:p w14:paraId="7CCC0534">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rFonts w:hint="eastAsia" w:ascii="宋体" w:hAnsi="宋体"/>
          <w:color w:val="auto"/>
          <w:sz w:val="24"/>
        </w:rPr>
        <w:t>0.5承包人的合理化建议</w:t>
      </w:r>
    </w:p>
    <w:p w14:paraId="1D22BD4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监理人审查承包人合理化建议的期限：</w:t>
      </w:r>
      <w:r>
        <w:rPr>
          <w:rFonts w:hint="eastAsia" w:ascii="宋体" w:hAnsi="宋体"/>
          <w:color w:val="auto"/>
          <w:sz w:val="24"/>
          <w:u w:val="single"/>
        </w:rPr>
        <w:t xml:space="preserve">   收到承包人提交的合理化建议后7天内审查完毕(</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95860A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发包人审批承包人合理化建议的期限：</w:t>
      </w:r>
      <w:r>
        <w:rPr>
          <w:rFonts w:hint="eastAsia" w:ascii="宋体" w:hAnsi="宋体"/>
          <w:color w:val="auto"/>
          <w:sz w:val="24"/>
          <w:u w:val="single"/>
        </w:rPr>
        <w:t xml:space="preserve">   收到监理人报送的合理化建议后7天内审批完毕(</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C506D9D">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承</w:t>
      </w:r>
      <w:bookmarkStart w:id="274" w:name="_Toc296891244"/>
      <w:bookmarkStart w:id="275" w:name="_Toc297123546"/>
      <w:bookmarkStart w:id="276" w:name="_Toc297048390"/>
      <w:bookmarkStart w:id="277" w:name="_Toc318581175"/>
      <w:bookmarkStart w:id="278" w:name="_Toc296891032"/>
      <w:bookmarkStart w:id="279" w:name="_Toc296347203"/>
      <w:bookmarkStart w:id="280" w:name="_Toc297120504"/>
      <w:bookmarkStart w:id="281" w:name="_Toc292559914"/>
      <w:bookmarkStart w:id="282" w:name="_Toc303539152"/>
      <w:bookmarkStart w:id="283" w:name="_Toc296346705"/>
      <w:bookmarkStart w:id="284" w:name="_Toc296944543"/>
      <w:bookmarkStart w:id="285" w:name="_Toc312678030"/>
      <w:bookmarkStart w:id="286" w:name="_Toc296503204"/>
      <w:bookmarkStart w:id="287" w:name="_Toc300934995"/>
      <w:bookmarkStart w:id="288" w:name="_Toc304295571"/>
      <w:bookmarkStart w:id="289" w:name="_Toc312677504"/>
      <w:bookmarkStart w:id="290" w:name="_Toc292559409"/>
      <w:bookmarkStart w:id="291" w:name="_Toc297216205"/>
      <w:r>
        <w:rPr>
          <w:rFonts w:hint="eastAsia" w:ascii="宋体" w:hAnsi="宋体"/>
          <w:color w:val="auto"/>
          <w:sz w:val="24"/>
        </w:rPr>
        <w:t>包人提出的合理化建议降低了合同价格或者提高了工程经济效益的奖励的方法和金额为：</w:t>
      </w:r>
      <w:r>
        <w:rPr>
          <w:rFonts w:hint="eastAsia" w:ascii="宋体" w:hAnsi="宋体"/>
          <w:color w:val="auto"/>
          <w:sz w:val="24"/>
          <w:u w:val="single"/>
        </w:rPr>
        <w:t xml:space="preserve">  /   </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14:paraId="32A8332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Start w:id="292" w:name="_Toc296347198"/>
      <w:bookmarkStart w:id="293" w:name="_Toc303539154"/>
      <w:bookmarkStart w:id="294" w:name="_Toc292559909"/>
      <w:bookmarkStart w:id="295" w:name="_Toc300934997"/>
      <w:bookmarkStart w:id="296" w:name="_Toc297216207"/>
      <w:bookmarkStart w:id="297" w:name="_Toc297123548"/>
      <w:bookmarkStart w:id="298" w:name="_Toc296346700"/>
      <w:bookmarkStart w:id="299" w:name="_Toc296944538"/>
      <w:bookmarkStart w:id="300" w:name="_Toc296891239"/>
      <w:bookmarkStart w:id="301" w:name="_Toc312678033"/>
      <w:bookmarkStart w:id="302" w:name="_Toc292559404"/>
      <w:bookmarkStart w:id="303" w:name="_Toc296891027"/>
      <w:bookmarkStart w:id="304" w:name="_Toc297120499"/>
      <w:bookmarkStart w:id="305" w:name="_Toc304295574"/>
      <w:bookmarkStart w:id="306" w:name="_Toc296503199"/>
      <w:bookmarkStart w:id="307" w:name="_Toc297048385"/>
      <w:bookmarkStart w:id="308" w:name="_Toc312677507"/>
      <w:r>
        <w:rPr>
          <w:rFonts w:hint="eastAsia" w:ascii="宋体" w:hAnsi="宋体"/>
          <w:color w:val="auto"/>
          <w:sz w:val="24"/>
        </w:rPr>
        <w:t>0.7 暂估价</w:t>
      </w:r>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7F249D6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暂</w:t>
      </w:r>
      <w:bookmarkStart w:id="309" w:name="_Toc312677508"/>
      <w:bookmarkStart w:id="310" w:name="_Toc318581176"/>
      <w:bookmarkStart w:id="311" w:name="_Toc312678034"/>
      <w:r>
        <w:rPr>
          <w:rFonts w:hint="eastAsia" w:ascii="宋体" w:hAnsi="宋体"/>
          <w:color w:val="auto"/>
          <w:kern w:val="0"/>
          <w:sz w:val="24"/>
        </w:rPr>
        <w:t>估价材料和工程设备的明细详见附件11：《</w:t>
      </w:r>
      <w:r>
        <w:rPr>
          <w:rFonts w:hint="eastAsia" w:ascii="宋体" w:hAnsi="宋体"/>
          <w:color w:val="auto"/>
          <w:sz w:val="24"/>
        </w:rPr>
        <w:t>暂估价一览表》</w:t>
      </w:r>
      <w:r>
        <w:rPr>
          <w:rFonts w:hint="eastAsia" w:ascii="宋体" w:hAnsi="宋体"/>
          <w:color w:val="auto"/>
          <w:kern w:val="0"/>
          <w:sz w:val="24"/>
        </w:rPr>
        <w:t>。</w:t>
      </w:r>
    </w:p>
    <w:bookmarkEnd w:id="309"/>
    <w:bookmarkEnd w:id="310"/>
    <w:bookmarkEnd w:id="311"/>
    <w:p w14:paraId="163F7EC3">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10.7.1 依法必须招标的暂估价项目</w:t>
      </w:r>
    </w:p>
    <w:p w14:paraId="23A5414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对于依法必须招标的暂估价项目的确认和批准采取第</w:t>
      </w:r>
      <w:r>
        <w:rPr>
          <w:rFonts w:hint="eastAsia" w:ascii="宋体" w:hAnsi="宋体"/>
          <w:color w:val="auto"/>
          <w:sz w:val="24"/>
          <w:u w:val="single"/>
        </w:rPr>
        <w:t xml:space="preserve">  2  </w:t>
      </w:r>
      <w:r>
        <w:rPr>
          <w:rFonts w:hint="eastAsia" w:ascii="宋体" w:hAnsi="宋体"/>
          <w:color w:val="auto"/>
          <w:sz w:val="24"/>
        </w:rPr>
        <w:t>种方式确定,</w:t>
      </w:r>
      <w:r>
        <w:rPr>
          <w:rFonts w:hint="eastAsia" w:ascii="宋体" w:hAnsi="宋体"/>
          <w:color w:val="auto"/>
          <w:sz w:val="24"/>
          <w:u w:val="single"/>
        </w:rPr>
        <w:t xml:space="preserve">并应按相关规定在安徽合肥公共资源交易中心进行二次招标。    </w:t>
      </w:r>
    </w:p>
    <w:p w14:paraId="164AC1B4">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10.7.2 不属于依法必须招标的暂估价项目</w:t>
      </w:r>
    </w:p>
    <w:p w14:paraId="4567B30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对于不属于依法必须招标的暂估价项目的确认和批准采取第</w:t>
      </w:r>
      <w:r>
        <w:rPr>
          <w:rFonts w:hint="eastAsia" w:ascii="宋体" w:hAnsi="宋体"/>
          <w:color w:val="auto"/>
          <w:sz w:val="24"/>
          <w:u w:val="single"/>
        </w:rPr>
        <w:t xml:space="preserve">  1 </w:t>
      </w:r>
      <w:r>
        <w:rPr>
          <w:rFonts w:hint="eastAsia" w:ascii="宋体" w:hAnsi="宋体"/>
          <w:color w:val="auto"/>
          <w:sz w:val="24"/>
        </w:rPr>
        <w:t xml:space="preserve"> 种方式确定。</w:t>
      </w:r>
    </w:p>
    <w:p w14:paraId="3DFC07E4">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第3种方式：</w:t>
      </w:r>
      <w:r>
        <w:rPr>
          <w:rFonts w:hint="eastAsia" w:ascii="宋体" w:hAnsi="宋体"/>
          <w:color w:val="auto"/>
          <w:kern w:val="0"/>
          <w:sz w:val="24"/>
        </w:rPr>
        <w:t>承包人直接实施的暂估价项目</w:t>
      </w:r>
    </w:p>
    <w:p w14:paraId="32E313C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承包人直接实施的暂估价项目的约定：</w:t>
      </w:r>
      <w:r>
        <w:rPr>
          <w:rFonts w:hint="eastAsia" w:ascii="宋体" w:hAnsi="宋体"/>
          <w:color w:val="auto"/>
          <w:sz w:val="24"/>
          <w:u w:val="single"/>
        </w:rPr>
        <w:t xml:space="preserve">    /    </w:t>
      </w:r>
    </w:p>
    <w:p w14:paraId="54E81CCD">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10.8 暂列金额</w:t>
      </w:r>
    </w:p>
    <w:p w14:paraId="54E21DF3">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合同当事人关于暂列金额使用的约定：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BD115C8">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12" w:name="_Toc351203643"/>
      <w:r>
        <w:rPr>
          <w:rFonts w:hint="eastAsia" w:ascii="宋体" w:hAnsi="宋体"/>
          <w:color w:val="auto"/>
          <w:kern w:val="0"/>
          <w:sz w:val="24"/>
        </w:rPr>
        <w:t>11. 价格调整</w:t>
      </w:r>
      <w:bookmarkEnd w:id="312"/>
    </w:p>
    <w:p w14:paraId="6D3815E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11.1 市场价格波动引起的调整</w:t>
      </w:r>
    </w:p>
    <w:p w14:paraId="04AD1356">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市场价格波动是否调整合同价格的约定：</w:t>
      </w:r>
      <w:r>
        <w:rPr>
          <w:rFonts w:hint="eastAsia" w:ascii="宋体" w:hAnsi="宋体"/>
          <w:color w:val="auto"/>
          <w:sz w:val="24"/>
          <w:u w:val="single"/>
        </w:rPr>
        <w:t xml:space="preserve">  在本合同履行期间，</w:t>
      </w:r>
      <w:r>
        <w:rPr>
          <w:rFonts w:hint="eastAsia" w:ascii="宋体" w:hAnsi="宋体"/>
          <w:color w:val="auto"/>
          <w:kern w:val="0"/>
          <w:sz w:val="24"/>
          <w:u w:val="single"/>
        </w:rPr>
        <w:t>市场价格波动时合同价格</w:t>
      </w:r>
      <w:r>
        <w:rPr>
          <w:rFonts w:hint="eastAsia" w:ascii="宋体" w:hAnsi="宋体"/>
          <w:color w:val="auto"/>
          <w:sz w:val="24"/>
          <w:u w:val="single"/>
        </w:rPr>
        <w:t xml:space="preserve">不予调整。  </w:t>
      </w:r>
    </w:p>
    <w:p w14:paraId="0CFA8D7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因市场价格波动调整合同价格，采用以下第</w:t>
      </w:r>
      <w:r>
        <w:rPr>
          <w:rFonts w:hint="eastAsia" w:ascii="宋体" w:hAnsi="宋体"/>
          <w:color w:val="auto"/>
          <w:sz w:val="24"/>
          <w:u w:val="single"/>
        </w:rPr>
        <w:t xml:space="preserve">  不采用  </w:t>
      </w:r>
      <w:r>
        <w:rPr>
          <w:rFonts w:hint="eastAsia" w:ascii="宋体" w:hAnsi="宋体"/>
          <w:color w:val="auto"/>
          <w:sz w:val="24"/>
        </w:rPr>
        <w:t>种方式对合同价格进行调整：</w:t>
      </w:r>
    </w:p>
    <w:p w14:paraId="6703E384">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第1种方式：采用价格指数进行价格调整。</w:t>
      </w:r>
    </w:p>
    <w:p w14:paraId="1A02EBCA">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关于各可调因子、定值和变值权重，以及基本价格指数及其来源的约定：</w:t>
      </w:r>
      <w:r>
        <w:rPr>
          <w:rFonts w:hint="eastAsia" w:ascii="宋体" w:hAnsi="宋体"/>
          <w:color w:val="auto"/>
          <w:sz w:val="24"/>
          <w:u w:val="single"/>
        </w:rPr>
        <w:t xml:space="preserve">  不采用。 </w:t>
      </w:r>
    </w:p>
    <w:p w14:paraId="43D6E68F">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第2种方式：采用造价信息进行价格调整。</w:t>
      </w:r>
    </w:p>
    <w:p w14:paraId="54FC8CC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（2）关于基准价格的约定：</w:t>
      </w:r>
      <w:r>
        <w:rPr>
          <w:rFonts w:hint="eastAsia" w:ascii="宋体" w:hAnsi="宋体"/>
          <w:color w:val="auto"/>
          <w:sz w:val="24"/>
          <w:u w:val="single"/>
        </w:rPr>
        <w:t xml:space="preserve">  不采用。   </w:t>
      </w:r>
    </w:p>
    <w:p w14:paraId="564EA42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专用合同条款</w:t>
      </w:r>
      <w:r>
        <w:rPr>
          <w:rFonts w:hint="eastAsia" w:ascii="宋体" w:hAnsi="宋体" w:cs="宋体"/>
          <w:color w:val="auto"/>
          <w:sz w:val="24"/>
        </w:rPr>
        <w:t>①</w:t>
      </w:r>
      <w:r>
        <w:rPr>
          <w:rFonts w:hint="eastAsia" w:ascii="宋体" w:hAnsi="宋体"/>
          <w:color w:val="auto"/>
          <w:sz w:val="24"/>
        </w:rPr>
        <w:t>承包人在已标价工程量清单或预算书中载明的材料单价低于基准价格的：专用合同条款合同履行期间材料单价涨幅以基准价格为基础超过</w:t>
      </w:r>
      <w:r>
        <w:rPr>
          <w:rFonts w:hint="eastAsia" w:ascii="宋体" w:hAnsi="宋体"/>
          <w:color w:val="auto"/>
          <w:sz w:val="24"/>
          <w:u w:val="single"/>
        </w:rPr>
        <w:t xml:space="preserve">   </w:t>
      </w:r>
      <w:r>
        <w:rPr>
          <w:rFonts w:hint="eastAsia" w:ascii="宋体" w:hAnsi="宋体"/>
          <w:color w:val="auto"/>
          <w:sz w:val="24"/>
        </w:rPr>
        <w:t>%时，或材料单价跌幅以已标价工程量清单或预算书中载明材料单价为基础超过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102752B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s="宋体"/>
          <w:color w:val="auto"/>
          <w:sz w:val="24"/>
        </w:rPr>
        <w:t>②</w:t>
      </w:r>
      <w:r>
        <w:rPr>
          <w:rFonts w:hint="eastAsia" w:ascii="宋体" w:hAnsi="宋体"/>
          <w:color w:val="auto"/>
          <w:sz w:val="24"/>
        </w:rPr>
        <w:t>承包人在已标价工程量清单或预算书中载明的材料单价高于基准价格的：专用合同条款合同履行期间材料单价跌幅以基准价格为基础超过</w:t>
      </w:r>
      <w:r>
        <w:rPr>
          <w:rFonts w:hint="eastAsia" w:ascii="宋体" w:hAnsi="宋体"/>
          <w:color w:val="auto"/>
          <w:sz w:val="24"/>
          <w:u w:val="single"/>
        </w:rPr>
        <w:t xml:space="preserve">   </w:t>
      </w:r>
      <w:r>
        <w:rPr>
          <w:rFonts w:hint="eastAsia" w:ascii="宋体" w:hAnsi="宋体"/>
          <w:color w:val="auto"/>
          <w:sz w:val="24"/>
        </w:rPr>
        <w:t>%时，材料单价涨幅以已标价工程量清单或预算书中载明材料单价为基础超过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03618A5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s="宋体"/>
          <w:color w:val="auto"/>
          <w:sz w:val="24"/>
        </w:rPr>
        <w:t>③</w:t>
      </w:r>
      <w:r>
        <w:rPr>
          <w:rFonts w:hint="eastAsia" w:ascii="宋体" w:hAnsi="宋体"/>
          <w:color w:val="auto"/>
          <w:sz w:val="24"/>
        </w:rPr>
        <w:t>承包人在已标价工程量清单或预算书中载明的材料单价等于基准单价的：专用合同条款合同履行期间材料单价涨跌幅以基准单价为基础超过±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364E70E9">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第3种方式：其他价格调整方式：</w:t>
      </w:r>
      <w:r>
        <w:rPr>
          <w:rFonts w:hint="eastAsia" w:ascii="宋体" w:hAnsi="宋体"/>
          <w:color w:val="auto"/>
          <w:sz w:val="24"/>
          <w:u w:val="single"/>
        </w:rPr>
        <w:t xml:space="preserve">  /     </w:t>
      </w:r>
    </w:p>
    <w:bookmarkEnd w:id="250"/>
    <w:bookmarkEnd w:id="251"/>
    <w:bookmarkEnd w:id="252"/>
    <w:bookmarkEnd w:id="253"/>
    <w:bookmarkEnd w:id="254"/>
    <w:bookmarkEnd w:id="255"/>
    <w:p w14:paraId="126E559F">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13" w:name="_Toc292559915"/>
      <w:bookmarkStart w:id="314" w:name="_Toc296347204"/>
      <w:bookmarkStart w:id="315" w:name="_Toc296891033"/>
      <w:bookmarkStart w:id="316" w:name="_Toc297048391"/>
      <w:bookmarkStart w:id="317" w:name="_Toc296503205"/>
      <w:bookmarkStart w:id="318" w:name="_Toc296891245"/>
      <w:bookmarkStart w:id="319" w:name="_Toc292559410"/>
      <w:bookmarkStart w:id="320" w:name="_Toc297120505"/>
      <w:bookmarkStart w:id="321" w:name="_Toc296346706"/>
      <w:bookmarkStart w:id="322" w:name="_Toc296944544"/>
      <w:bookmarkStart w:id="323" w:name="_Toc351203644"/>
      <w:bookmarkStart w:id="324" w:name="_Toc304295579"/>
      <w:bookmarkStart w:id="325" w:name="_Toc300935002"/>
      <w:bookmarkStart w:id="326" w:name="_Toc297123552"/>
      <w:bookmarkStart w:id="327" w:name="_Toc312678040"/>
      <w:bookmarkStart w:id="328" w:name="_Toc297216211"/>
      <w:bookmarkStart w:id="329" w:name="_Toc303539159"/>
      <w:r>
        <w:rPr>
          <w:rFonts w:hint="eastAsia" w:ascii="宋体" w:hAnsi="宋体"/>
          <w:color w:val="auto"/>
          <w:kern w:val="0"/>
          <w:sz w:val="24"/>
        </w:rPr>
        <w:t xml:space="preserve">12. </w:t>
      </w:r>
      <w:bookmarkEnd w:id="313"/>
      <w:bookmarkEnd w:id="314"/>
      <w:bookmarkEnd w:id="315"/>
      <w:bookmarkEnd w:id="316"/>
      <w:bookmarkEnd w:id="317"/>
      <w:bookmarkEnd w:id="318"/>
      <w:bookmarkEnd w:id="319"/>
      <w:bookmarkEnd w:id="320"/>
      <w:bookmarkEnd w:id="321"/>
      <w:bookmarkEnd w:id="322"/>
      <w:r>
        <w:rPr>
          <w:rFonts w:hint="eastAsia" w:ascii="宋体" w:hAnsi="宋体"/>
          <w:color w:val="auto"/>
          <w:kern w:val="0"/>
          <w:sz w:val="24"/>
        </w:rPr>
        <w:t>合同价格、计量与支付</w:t>
      </w:r>
      <w:bookmarkEnd w:id="323"/>
    </w:p>
    <w:bookmarkEnd w:id="324"/>
    <w:bookmarkEnd w:id="325"/>
    <w:bookmarkEnd w:id="326"/>
    <w:bookmarkEnd w:id="327"/>
    <w:bookmarkEnd w:id="328"/>
    <w:bookmarkEnd w:id="329"/>
    <w:p w14:paraId="5095CAC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12.1 合同价格形式：</w:t>
      </w:r>
      <w:r>
        <w:rPr>
          <w:rFonts w:hint="eastAsia" w:ascii="宋体" w:hAnsi="宋体"/>
          <w:b/>
          <w:color w:val="auto"/>
          <w:sz w:val="24"/>
          <w:u w:val="single"/>
        </w:rPr>
        <w:t xml:space="preserve">  总价合同。 </w:t>
      </w:r>
    </w:p>
    <w:p w14:paraId="45D52332">
      <w:pPr>
        <w:pStyle w:val="78"/>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1、单价合同。</w:t>
      </w:r>
    </w:p>
    <w:p w14:paraId="4337E39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综合单价包含的风险范围：</w:t>
      </w:r>
      <w:r>
        <w:rPr>
          <w:rFonts w:hint="eastAsia" w:ascii="宋体" w:hAnsi="宋体"/>
          <w:color w:val="auto"/>
          <w:sz w:val="24"/>
          <w:u w:val="single"/>
        </w:rPr>
        <w:t xml:space="preserve">  /     </w:t>
      </w:r>
    </w:p>
    <w:p w14:paraId="0863EA7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风险费用的计算方法：</w:t>
      </w:r>
      <w:r>
        <w:rPr>
          <w:rFonts w:hint="eastAsia" w:ascii="宋体" w:hAnsi="宋体"/>
          <w:color w:val="auto"/>
          <w:sz w:val="24"/>
          <w:u w:val="single"/>
        </w:rPr>
        <w:t xml:space="preserve">  /     </w:t>
      </w:r>
    </w:p>
    <w:p w14:paraId="4B2439D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风险范围以外合同价格的调整方法：</w:t>
      </w:r>
      <w:r>
        <w:rPr>
          <w:rFonts w:hint="eastAsia" w:ascii="宋体" w:hAnsi="宋体"/>
          <w:color w:val="auto"/>
          <w:sz w:val="24"/>
          <w:u w:val="single"/>
        </w:rPr>
        <w:t xml:space="preserve">  /     </w:t>
      </w:r>
    </w:p>
    <w:p w14:paraId="5738CB4D">
      <w:pPr>
        <w:pStyle w:val="78"/>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2、总价合同。</w:t>
      </w:r>
    </w:p>
    <w:p w14:paraId="0483C20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总价包含的风险范围：</w:t>
      </w:r>
      <w:r>
        <w:rPr>
          <w:rFonts w:hint="eastAsia" w:ascii="宋体" w:hAnsi="宋体"/>
          <w:color w:val="auto"/>
          <w:sz w:val="24"/>
          <w:u w:val="single"/>
        </w:rPr>
        <w:t xml:space="preserve">  人工、材料、机械费用的市场价格变化，以及除不可抗力以外的其它风险。  </w:t>
      </w:r>
    </w:p>
    <w:p w14:paraId="3C780957">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风险费用的计算方法：</w:t>
      </w:r>
      <w:r>
        <w:rPr>
          <w:rFonts w:hint="eastAsia" w:ascii="宋体" w:hAnsi="宋体"/>
          <w:color w:val="auto"/>
          <w:sz w:val="24"/>
          <w:u w:val="single"/>
        </w:rPr>
        <w:t xml:space="preserve">  承包人在投标报价时已经考虑风险费用，不再另行计取。 </w:t>
      </w:r>
    </w:p>
    <w:p w14:paraId="4E0D457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风险范围以外合同价格的调整方法：</w:t>
      </w:r>
      <w:r>
        <w:rPr>
          <w:rFonts w:hint="eastAsia" w:ascii="宋体" w:hAnsi="宋体"/>
          <w:color w:val="auto"/>
          <w:sz w:val="24"/>
          <w:u w:val="single"/>
        </w:rPr>
        <w:t xml:space="preserve">   见补充条款。   </w:t>
      </w:r>
    </w:p>
    <w:p w14:paraId="5598ACF6">
      <w:pPr>
        <w:pStyle w:val="78"/>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3、其他价格方式：</w:t>
      </w:r>
      <w:r>
        <w:rPr>
          <w:rFonts w:hint="eastAsia" w:ascii="宋体" w:hAnsi="宋体"/>
          <w:color w:val="auto"/>
          <w:sz w:val="24"/>
          <w:u w:val="single"/>
        </w:rPr>
        <w:t xml:space="preserve">  /     </w:t>
      </w:r>
    </w:p>
    <w:p w14:paraId="7B3EA6F1">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330" w:name="_Toc296891035"/>
      <w:bookmarkStart w:id="331" w:name="_Toc296891247"/>
      <w:bookmarkStart w:id="332" w:name="_Toc296503207"/>
      <w:bookmarkStart w:id="333" w:name="_Toc296347206"/>
      <w:bookmarkStart w:id="334" w:name="_Toc292559412"/>
      <w:bookmarkStart w:id="335" w:name="_Toc296346708"/>
      <w:bookmarkStart w:id="336" w:name="_Toc297048393"/>
      <w:bookmarkStart w:id="337" w:name="_Toc297120507"/>
      <w:bookmarkStart w:id="338" w:name="_Toc296944546"/>
      <w:bookmarkStart w:id="339" w:name="_Toc292559917"/>
      <w:r>
        <w:rPr>
          <w:rFonts w:hint="eastAsia" w:ascii="宋体" w:hAnsi="宋体"/>
          <w:color w:val="auto"/>
          <w:sz w:val="24"/>
        </w:rPr>
        <w:t>12.2 预付款</w:t>
      </w:r>
    </w:p>
    <w:p w14:paraId="2D38B843">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12.2.1 预付款的支付</w:t>
      </w:r>
    </w:p>
    <w:p w14:paraId="46A5B66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预付款支付比例或金额：</w:t>
      </w:r>
      <w:r>
        <w:rPr>
          <w:rFonts w:hint="eastAsia" w:ascii="宋体" w:hAnsi="宋体"/>
          <w:color w:val="auto"/>
          <w:sz w:val="24"/>
          <w:u w:val="single"/>
        </w:rPr>
        <w:t xml:space="preserve">  不采用。   </w:t>
      </w:r>
    </w:p>
    <w:p w14:paraId="6B69C3B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预付款支付期限：</w:t>
      </w:r>
      <w:r>
        <w:rPr>
          <w:rFonts w:hint="eastAsia" w:ascii="宋体" w:hAnsi="宋体"/>
          <w:color w:val="auto"/>
          <w:sz w:val="24"/>
          <w:u w:val="single"/>
        </w:rPr>
        <w:t xml:space="preserve">  不采用。   </w:t>
      </w:r>
    </w:p>
    <w:p w14:paraId="3D8616B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预付款扣回的方式：</w:t>
      </w:r>
      <w:r>
        <w:rPr>
          <w:rFonts w:hint="eastAsia" w:ascii="宋体" w:hAnsi="宋体"/>
          <w:color w:val="auto"/>
          <w:sz w:val="24"/>
          <w:u w:val="single"/>
        </w:rPr>
        <w:t xml:space="preserve">  不采用。   </w:t>
      </w:r>
    </w:p>
    <w:p w14:paraId="58A172A7">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12.2.2 预付款担保</w:t>
      </w:r>
    </w:p>
    <w:p w14:paraId="7A3A257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承包人提交预付款担保的期限：</w:t>
      </w:r>
      <w:r>
        <w:rPr>
          <w:rFonts w:hint="eastAsia" w:ascii="宋体" w:hAnsi="宋体"/>
          <w:color w:val="auto"/>
          <w:sz w:val="24"/>
          <w:u w:val="single"/>
        </w:rPr>
        <w:t xml:space="preserve">  不采用。   </w:t>
      </w:r>
    </w:p>
    <w:p w14:paraId="49BE033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预付款担保的形式为：</w:t>
      </w:r>
      <w:r>
        <w:rPr>
          <w:rFonts w:hint="eastAsia" w:ascii="宋体" w:hAnsi="宋体"/>
          <w:color w:val="auto"/>
          <w:sz w:val="24"/>
          <w:u w:val="single"/>
        </w:rPr>
        <w:t xml:space="preserve">  不采用。   </w:t>
      </w:r>
    </w:p>
    <w:bookmarkEnd w:id="330"/>
    <w:bookmarkEnd w:id="331"/>
    <w:bookmarkEnd w:id="332"/>
    <w:bookmarkEnd w:id="333"/>
    <w:bookmarkEnd w:id="334"/>
    <w:bookmarkEnd w:id="335"/>
    <w:bookmarkEnd w:id="336"/>
    <w:bookmarkEnd w:id="337"/>
    <w:bookmarkEnd w:id="338"/>
    <w:bookmarkEnd w:id="339"/>
    <w:p w14:paraId="30DDB9EE">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12.3 计量</w:t>
      </w:r>
    </w:p>
    <w:p w14:paraId="7E4AEC35">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12.3.1 计量原则</w:t>
      </w:r>
    </w:p>
    <w:p w14:paraId="06D6381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工程量计算规则：</w:t>
      </w:r>
      <w:r>
        <w:rPr>
          <w:rFonts w:hint="eastAsia" w:ascii="宋体" w:hAnsi="宋体"/>
          <w:color w:val="auto"/>
          <w:sz w:val="24"/>
          <w:u w:val="single"/>
        </w:rPr>
        <w:t xml:space="preserve">  按招标文件、招标工程量清单及控制价所采用的工程量清单计价规范及配套文件等执行。  </w:t>
      </w:r>
    </w:p>
    <w:p w14:paraId="0EF840AB">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12.3.2 计量周期</w:t>
      </w:r>
    </w:p>
    <w:p w14:paraId="2AE9036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关于计量周期的约定：</w:t>
      </w:r>
      <w:r>
        <w:rPr>
          <w:rFonts w:hint="eastAsia" w:ascii="宋体" w:hAnsi="宋体"/>
          <w:color w:val="auto"/>
          <w:sz w:val="24"/>
          <w:u w:val="single"/>
        </w:rPr>
        <w:t xml:space="preserve">  工程量的计量按月进行(</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59DCC2E">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12.3.3 单价合同的计量</w:t>
      </w:r>
    </w:p>
    <w:p w14:paraId="7A28CFD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关于单价合同计量的约定：</w:t>
      </w:r>
      <w:r>
        <w:rPr>
          <w:rFonts w:hint="eastAsia" w:ascii="宋体" w:hAnsi="宋体"/>
          <w:color w:val="auto"/>
          <w:sz w:val="24"/>
          <w:u w:val="single"/>
        </w:rPr>
        <w:t xml:space="preserve">  /     </w:t>
      </w:r>
    </w:p>
    <w:p w14:paraId="6CE2F93B">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12.3.4 总价合同的计量</w:t>
      </w:r>
    </w:p>
    <w:p w14:paraId="0429736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关于总价合同计量的约定：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14D6E1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12.3.5总价合同采用支付分解表计量支付的，是否适用第</w:t>
      </w:r>
      <w:r>
        <w:rPr>
          <w:rFonts w:hint="eastAsia" w:ascii="宋体" w:hAnsi="宋体"/>
          <w:color w:val="auto"/>
          <w:kern w:val="0"/>
          <w:sz w:val="24"/>
        </w:rPr>
        <w:t xml:space="preserve">12.3.4 </w:t>
      </w:r>
      <w:r>
        <w:rPr>
          <w:rFonts w:hint="eastAsia" w:ascii="宋体" w:hAnsi="宋体"/>
          <w:color w:val="auto"/>
          <w:sz w:val="24"/>
        </w:rPr>
        <w:t>项</w:t>
      </w:r>
      <w:r>
        <w:rPr>
          <w:rFonts w:hint="eastAsia" w:ascii="宋体" w:hAnsi="宋体"/>
          <w:color w:val="auto"/>
          <w:kern w:val="0"/>
          <w:sz w:val="24"/>
        </w:rPr>
        <w:t>〔总价合同的计量〕</w:t>
      </w:r>
      <w:r>
        <w:rPr>
          <w:rFonts w:hint="eastAsia" w:ascii="宋体" w:hAnsi="宋体"/>
          <w:color w:val="auto"/>
          <w:sz w:val="24"/>
        </w:rPr>
        <w:t>约定进行计量：</w:t>
      </w:r>
      <w:r>
        <w:rPr>
          <w:rFonts w:hint="eastAsia" w:ascii="宋体" w:hAnsi="宋体"/>
          <w:color w:val="auto"/>
          <w:sz w:val="24"/>
          <w:u w:val="single"/>
        </w:rPr>
        <w:t xml:space="preserve">  不采用。  </w:t>
      </w:r>
    </w:p>
    <w:p w14:paraId="35672385">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12.3.6 其他价格形式合同的计量</w:t>
      </w:r>
    </w:p>
    <w:p w14:paraId="512B56B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其他价格形式的计量方式和程序：</w:t>
      </w:r>
      <w:r>
        <w:rPr>
          <w:rFonts w:hint="eastAsia" w:ascii="宋体" w:hAnsi="宋体"/>
          <w:color w:val="auto"/>
          <w:sz w:val="24"/>
          <w:u w:val="single"/>
        </w:rPr>
        <w:t xml:space="preserve">  不采用。   </w:t>
      </w:r>
    </w:p>
    <w:p w14:paraId="3B3F9CFD">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12.4 工程进度款支付</w:t>
      </w:r>
    </w:p>
    <w:p w14:paraId="500AB7FE">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bookmarkStart w:id="340" w:name="_Toc300935006"/>
      <w:bookmarkStart w:id="341" w:name="_Toc303539163"/>
      <w:bookmarkStart w:id="342" w:name="_Toc296944550"/>
      <w:bookmarkStart w:id="343" w:name="_Toc296891251"/>
      <w:bookmarkStart w:id="344" w:name="_Toc292559921"/>
      <w:bookmarkStart w:id="345" w:name="_Toc296347210"/>
      <w:bookmarkStart w:id="346" w:name="_Toc292559416"/>
      <w:bookmarkStart w:id="347" w:name="_Toc296503211"/>
      <w:bookmarkStart w:id="348" w:name="_Toc297120511"/>
      <w:bookmarkStart w:id="349" w:name="_Toc297216215"/>
      <w:bookmarkStart w:id="350" w:name="_Toc296891039"/>
      <w:bookmarkStart w:id="351" w:name="_Toc296346712"/>
      <w:bookmarkStart w:id="352" w:name="_Toc297123556"/>
      <w:bookmarkStart w:id="353" w:name="_Toc297048397"/>
      <w:r>
        <w:rPr>
          <w:rFonts w:hint="eastAsia" w:ascii="宋体" w:hAnsi="宋体"/>
          <w:color w:val="auto"/>
          <w:sz w:val="24"/>
        </w:rPr>
        <w:t>12.4.1 付款周期</w:t>
      </w:r>
    </w:p>
    <w:p w14:paraId="3BEC6E03">
      <w:pPr>
        <w:pStyle w:val="78"/>
        <w:tabs>
          <w:tab w:val="left" w:pos="360"/>
        </w:tabs>
        <w:adjustRightInd w:val="0"/>
        <w:snapToGrid w:val="0"/>
        <w:spacing w:line="360" w:lineRule="auto"/>
        <w:ind w:right="178" w:rightChars="85" w:firstLine="480" w:firstLineChars="200"/>
        <w:rPr>
          <w:rFonts w:hint="eastAsia" w:ascii="宋体" w:hAnsi="宋体"/>
          <w:b/>
          <w:color w:val="auto"/>
          <w:sz w:val="24"/>
          <w:highlight w:val="yellow"/>
          <w:lang w:val="en-US" w:eastAsia="zh-CN"/>
        </w:rPr>
      </w:pPr>
      <w:r>
        <w:rPr>
          <w:rFonts w:hint="eastAsia" w:ascii="宋体" w:hAnsi="宋体"/>
          <w:color w:val="auto"/>
          <w:sz w:val="24"/>
        </w:rPr>
        <w:t>关于付款周期的约定：</w:t>
      </w:r>
    </w:p>
    <w:p w14:paraId="6A29A4F0">
      <w:pPr>
        <w:adjustRightInd w:val="0"/>
        <w:snapToGrid w:val="0"/>
        <w:ind w:firstLine="964" w:firstLineChars="400"/>
        <w:jc w:val="left"/>
        <w:rPr>
          <w:rFonts w:hint="eastAsia" w:ascii="宋体" w:hAnsi="宋体"/>
          <w:b/>
          <w:color w:val="auto"/>
          <w:sz w:val="24"/>
          <w:highlight w:val="yellow"/>
          <w:lang w:val="en-US" w:eastAsia="zh-CN"/>
        </w:rPr>
      </w:pPr>
      <w:r>
        <w:rPr>
          <w:rFonts w:hint="eastAsia" w:ascii="宋体" w:hAnsi="宋体" w:eastAsia="宋体" w:cs="宋体"/>
          <w:b/>
          <w:bCs w:val="0"/>
          <w:color w:val="auto"/>
          <w:sz w:val="24"/>
          <w:szCs w:val="24"/>
          <w:lang w:val="en-US" w:eastAsia="zh-CN"/>
        </w:rPr>
        <w:t>完成全部工程量、通过竣工验收并移交招标人后支付至已完工程量的85%（不含养护费）；结算审计完成后付至审定价款的97%（不含养护费）；其余3%为工程质保金，质保期按合同约定，缺陷责任期满后无质量问题后，一次性付清（无息）。养护费用支付：经甲方及物业养护验收合格后付养护费用的100%（无息）。</w:t>
      </w:r>
    </w:p>
    <w:p w14:paraId="11149779">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p>
    <w:p w14:paraId="602F4CE1">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12.4.2 进度付款申请单的编制</w:t>
      </w:r>
    </w:p>
    <w:p w14:paraId="593DFBA7">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关于进度付款申请单编制的约定：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E2EFF5E">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宋体" w:hAnsi="宋体"/>
          <w:color w:val="auto"/>
          <w:sz w:val="24"/>
        </w:rPr>
        <w:t>2.4.3 进度付款申请单的提交</w:t>
      </w:r>
    </w:p>
    <w:p w14:paraId="7AF0FDA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（1）单价合同进度付款申请单提交的约定：</w:t>
      </w:r>
      <w:r>
        <w:rPr>
          <w:rFonts w:hint="eastAsia" w:ascii="宋体" w:hAnsi="宋体"/>
          <w:color w:val="auto"/>
          <w:sz w:val="24"/>
          <w:u w:val="single"/>
        </w:rPr>
        <w:t xml:space="preserve">   /     </w:t>
      </w:r>
    </w:p>
    <w:p w14:paraId="3A86E87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（2）总价合同进度付款申请单提交的约定：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F2F2C7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（3）其他价格形式合同进度付款申请单提交的约定：</w:t>
      </w:r>
      <w:r>
        <w:rPr>
          <w:rFonts w:hint="eastAsia" w:ascii="宋体" w:hAnsi="宋体"/>
          <w:color w:val="auto"/>
          <w:sz w:val="24"/>
          <w:u w:val="single"/>
        </w:rPr>
        <w:t xml:space="preserve">   /     </w:t>
      </w:r>
    </w:p>
    <w:p w14:paraId="5EB09311">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12.4.4 进度款审核和支付</w:t>
      </w:r>
    </w:p>
    <w:p w14:paraId="33C598D0">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（1）监理人审查并报送发包人的期限：</w:t>
      </w:r>
      <w:r>
        <w:rPr>
          <w:rFonts w:hint="eastAsia" w:ascii="宋体" w:hAnsi="宋体"/>
          <w:color w:val="auto"/>
          <w:sz w:val="24"/>
          <w:u w:val="single"/>
        </w:rPr>
        <w:t xml:space="preserve">  收到承包人进度付款申请单以及相关资料后7天内完成审查并报送发包人(</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B55C20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发包人完成审批并签发进度款支付证书的期限：</w:t>
      </w:r>
      <w:r>
        <w:rPr>
          <w:rFonts w:hint="eastAsia" w:ascii="宋体" w:hAnsi="宋体"/>
          <w:color w:val="auto"/>
          <w:sz w:val="24"/>
          <w:u w:val="single"/>
        </w:rPr>
        <w:t xml:space="preserve">  应在收到监理人报送的进度付款申请单及相关资料后7天内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0254EE2">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（2）发包人支付进度款的期限：</w:t>
      </w:r>
      <w:r>
        <w:rPr>
          <w:rFonts w:hint="eastAsia" w:ascii="宋体" w:hAnsi="宋体"/>
          <w:color w:val="auto"/>
          <w:sz w:val="24"/>
          <w:u w:val="single"/>
        </w:rPr>
        <w:t xml:space="preserve">  发包人应在进度款支付证书或临时进度款支付证书签发后14天内完成支付(执行通用条款)。   </w:t>
      </w:r>
    </w:p>
    <w:p w14:paraId="6A92AB8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发包人逾期支付进度款的违约金的计算方式：</w:t>
      </w:r>
      <w:r>
        <w:rPr>
          <w:rFonts w:hint="eastAsia" w:ascii="宋体" w:hAnsi="宋体"/>
          <w:color w:val="auto"/>
          <w:sz w:val="24"/>
          <w:u w:val="single"/>
        </w:rPr>
        <w:t xml:space="preserve">  应按照中国人民银行发布的同期同类贷款基准利率支付违约金(执行通用条款)。   </w:t>
      </w:r>
    </w:p>
    <w:p w14:paraId="668D3C73">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12.4.6 支付分解表的编制</w:t>
      </w:r>
    </w:p>
    <w:p w14:paraId="4A6EED8F">
      <w:pPr>
        <w:pStyle w:val="78"/>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2、总价合同支付分解表的编制与审批：</w:t>
      </w:r>
      <w:r>
        <w:rPr>
          <w:rFonts w:hint="eastAsia" w:ascii="宋体" w:hAnsi="宋体"/>
          <w:color w:val="auto"/>
          <w:sz w:val="24"/>
          <w:u w:val="single"/>
        </w:rPr>
        <w:t xml:space="preserve">    /     </w:t>
      </w:r>
    </w:p>
    <w:p w14:paraId="4CAE89B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3、单价合同的总价项目支付分解表的编制与审批：</w:t>
      </w:r>
      <w:r>
        <w:rPr>
          <w:rFonts w:hint="eastAsia" w:ascii="宋体" w:hAnsi="宋体"/>
          <w:color w:val="auto"/>
          <w:sz w:val="24"/>
          <w:u w:val="single"/>
        </w:rPr>
        <w:t xml:space="preserve">    /     </w:t>
      </w:r>
    </w:p>
    <w:p w14:paraId="0644AFB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12.4.7农民工工资管理</w:t>
      </w:r>
    </w:p>
    <w:p w14:paraId="01A84C13">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1、本工程农民工工资实行专用账户管理，承包人设立的专用账户开户行为：</w:t>
      </w:r>
      <w:r>
        <w:rPr>
          <w:rFonts w:hint="eastAsia" w:ascii="宋体" w:hAnsi="宋体"/>
          <w:color w:val="auto"/>
          <w:sz w:val="24"/>
          <w:u w:val="single"/>
        </w:rPr>
        <w:t xml:space="preserve">         </w:t>
      </w: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w:t>
      </w:r>
    </w:p>
    <w:p w14:paraId="56F925A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2、本工程工资性工程款</w:t>
      </w:r>
      <w:r>
        <w:rPr>
          <w:rFonts w:hint="eastAsia" w:ascii="宋体" w:hAnsi="宋体"/>
          <w:color w:val="auto"/>
          <w:sz w:val="24"/>
          <w:u w:val="single"/>
        </w:rPr>
        <w:t xml:space="preserve">       </w:t>
      </w:r>
      <w:r>
        <w:rPr>
          <w:rFonts w:hint="eastAsia" w:ascii="宋体" w:hAnsi="宋体"/>
          <w:color w:val="auto"/>
          <w:sz w:val="24"/>
        </w:rPr>
        <w:t>元（相应的最低工资标准乘建筑面积）；其中工资性工程预付款</w:t>
      </w:r>
      <w:r>
        <w:rPr>
          <w:rFonts w:hint="eastAsia" w:ascii="宋体" w:hAnsi="宋体"/>
          <w:color w:val="auto"/>
          <w:sz w:val="24"/>
          <w:u w:val="single"/>
        </w:rPr>
        <w:t xml:space="preserve">       </w:t>
      </w:r>
      <w:r>
        <w:rPr>
          <w:rFonts w:hint="eastAsia" w:ascii="宋体" w:hAnsi="宋体"/>
          <w:color w:val="auto"/>
          <w:sz w:val="24"/>
        </w:rPr>
        <w:t>元。(工资性工程款除月工期)</w:t>
      </w:r>
    </w:p>
    <w:p w14:paraId="35B3B13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3、发包人在监理人签发开工报告前，将工资性工程预付款转入承包人开立的农民工工资专用账户。工程开工后第一个月支付工资性工程进度款起，分三个月扣回工资性工程预付款。</w:t>
      </w:r>
    </w:p>
    <w:p w14:paraId="129000CD">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4、发包人于每月25日前将工资性工程进度款转入农民工工资专用账户。 </w:t>
      </w:r>
    </w:p>
    <w:p w14:paraId="54BE31A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5、承包人每月25日前上报本工程农民工工资清单，每月10日前委托开设农民工工资专用账户的银行支付农民工工资。 </w:t>
      </w:r>
    </w:p>
    <w:p w14:paraId="09154D0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6、工程竣工后，经项目部农民工维权组确认无农民工工资拖欠后，发、承双方办理农民工工资专用账户撤销手续，农民工工资专用账户余额划至本合同约定的承包人账户。</w:t>
      </w:r>
    </w:p>
    <w:bookmarkEnd w:id="256"/>
    <w:p w14:paraId="04356733">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54" w:name="_Toc351203645"/>
      <w:bookmarkStart w:id="355" w:name="_Toc297216223"/>
      <w:bookmarkStart w:id="356" w:name="_Toc303539172"/>
      <w:bookmarkStart w:id="357" w:name="_Toc297123564"/>
      <w:bookmarkStart w:id="358" w:name="_Toc292559929"/>
      <w:bookmarkStart w:id="359" w:name="_Toc296944558"/>
      <w:bookmarkStart w:id="360" w:name="_Toc296347218"/>
      <w:bookmarkStart w:id="361" w:name="_Toc304295593"/>
      <w:bookmarkStart w:id="362" w:name="_Toc296503219"/>
      <w:bookmarkStart w:id="363" w:name="_Toc300935015"/>
      <w:bookmarkStart w:id="364" w:name="_Toc296346720"/>
      <w:bookmarkStart w:id="365" w:name="_Toc297048405"/>
      <w:bookmarkStart w:id="366" w:name="_Toc296891259"/>
      <w:bookmarkStart w:id="367" w:name="_Toc297120519"/>
      <w:bookmarkStart w:id="368" w:name="_Toc296891047"/>
      <w:bookmarkStart w:id="369" w:name="_Toc292559424"/>
      <w:bookmarkStart w:id="370" w:name="_Toc312678053"/>
      <w:r>
        <w:rPr>
          <w:rFonts w:hint="eastAsia" w:ascii="宋体" w:hAnsi="宋体"/>
          <w:color w:val="auto"/>
          <w:kern w:val="0"/>
          <w:sz w:val="24"/>
        </w:rPr>
        <w:t>13. 验收和工程试车</w:t>
      </w:r>
      <w:bookmarkEnd w:id="354"/>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65C42D28">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13.1 分部分项工程验收</w:t>
      </w:r>
    </w:p>
    <w:p w14:paraId="40D15FB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13.1.2监理人不能按时进行验收时，应提前</w:t>
      </w:r>
      <w:r>
        <w:rPr>
          <w:rFonts w:hint="eastAsia" w:ascii="宋体" w:hAnsi="宋体"/>
          <w:color w:val="auto"/>
          <w:sz w:val="24"/>
          <w:u w:val="single"/>
        </w:rPr>
        <w:t xml:space="preserve">  24(</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r>
        <w:rPr>
          <w:rFonts w:hint="eastAsia" w:ascii="宋体" w:hAnsi="宋体"/>
          <w:color w:val="auto"/>
          <w:sz w:val="24"/>
        </w:rPr>
        <w:t>小时提交书面延期要求。</w:t>
      </w:r>
    </w:p>
    <w:p w14:paraId="0A1CC588">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关于延期最长不得超过：</w:t>
      </w:r>
      <w:r>
        <w:rPr>
          <w:rFonts w:hint="eastAsia" w:ascii="宋体" w:hAnsi="宋体"/>
          <w:color w:val="auto"/>
          <w:sz w:val="24"/>
          <w:u w:val="single"/>
        </w:rPr>
        <w:t xml:space="preserve">  48(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w:t>
      </w:r>
    </w:p>
    <w:p w14:paraId="5B6D1727">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371" w:name="_Toc296891263"/>
      <w:bookmarkStart w:id="372" w:name="_Toc312678056"/>
      <w:bookmarkStart w:id="373" w:name="_Toc296891051"/>
      <w:bookmarkStart w:id="374" w:name="_Toc297216224"/>
      <w:bookmarkStart w:id="375" w:name="_Toc296503223"/>
      <w:bookmarkStart w:id="376" w:name="_Toc303539173"/>
      <w:bookmarkStart w:id="377" w:name="_Toc304295596"/>
      <w:bookmarkStart w:id="378" w:name="_Toc292559933"/>
      <w:bookmarkStart w:id="379" w:name="_Toc292559428"/>
      <w:bookmarkStart w:id="380" w:name="_Toc300935016"/>
      <w:bookmarkStart w:id="381" w:name="_Toc297123565"/>
      <w:bookmarkStart w:id="382" w:name="_Toc297048409"/>
      <w:bookmarkStart w:id="383" w:name="_Toc297120523"/>
      <w:bookmarkStart w:id="384" w:name="_Toc296944562"/>
      <w:bookmarkStart w:id="385" w:name="_Toc296347222"/>
      <w:bookmarkStart w:id="386" w:name="_Toc296346724"/>
      <w:bookmarkStart w:id="387" w:name="_Toc267251475"/>
      <w:bookmarkStart w:id="388" w:name="_Toc267251472"/>
      <w:bookmarkStart w:id="389" w:name="_Toc267251474"/>
      <w:bookmarkStart w:id="390" w:name="_Toc267251473"/>
      <w:bookmarkStart w:id="391" w:name="_Toc267251471"/>
      <w:bookmarkStart w:id="392" w:name="_Toc267251476"/>
      <w:bookmarkStart w:id="393" w:name="_Toc267251470"/>
      <w:r>
        <w:rPr>
          <w:rFonts w:hint="eastAsia" w:ascii="宋体" w:hAnsi="宋体"/>
          <w:color w:val="auto"/>
          <w:sz w:val="24"/>
        </w:rPr>
        <w:t>13.2 竣工验收</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37A5E700">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bookmarkStart w:id="394" w:name="_Toc280868705"/>
      <w:bookmarkStart w:id="395" w:name="_Toc280868706"/>
      <w:bookmarkStart w:id="396" w:name="_Toc280868707"/>
      <w:bookmarkStart w:id="397" w:name="_Toc280868708"/>
      <w:bookmarkStart w:id="398" w:name="_Toc280868709"/>
      <w:r>
        <w:rPr>
          <w:rFonts w:hint="eastAsia" w:ascii="宋体" w:hAnsi="宋体"/>
          <w:color w:val="auto"/>
          <w:sz w:val="24"/>
        </w:rPr>
        <w:t>13.2.2竣工验收程序</w:t>
      </w:r>
    </w:p>
    <w:p w14:paraId="3B00902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关于竣工验收程序的约定：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6C20C6B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发包人不按照本项约定组织竣工验收、颁发工程接收证书的违约金的计算方法：</w:t>
      </w:r>
      <w:r>
        <w:rPr>
          <w:rFonts w:hint="eastAsia" w:ascii="宋体" w:hAnsi="宋体"/>
          <w:color w:val="auto"/>
          <w:sz w:val="24"/>
          <w:u w:val="single"/>
        </w:rPr>
        <w:t xml:space="preserve"> 每逾期一天，应以签约合同价为基数，按照中国人民银行发布的同期同类贷款基准利率支付违约金（</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94"/>
    <w:p w14:paraId="42D8A0A5">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13.2.5移交、接收全部与部分工程</w:t>
      </w:r>
    </w:p>
    <w:bookmarkEnd w:id="395"/>
    <w:p w14:paraId="62BFD0F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承包人向发包人移交工程的期限：</w:t>
      </w:r>
      <w:r>
        <w:rPr>
          <w:rFonts w:hint="eastAsia" w:ascii="宋体" w:hAnsi="宋体"/>
          <w:color w:val="auto"/>
          <w:sz w:val="24"/>
          <w:u w:val="single"/>
        </w:rPr>
        <w:t xml:space="preserve">  颁发工程接收证书后7天内完成工程的移交</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B000E12">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发包人未按本合同约定接收全部或部分工程的，违约金的计算方法为：</w:t>
      </w:r>
      <w:r>
        <w:rPr>
          <w:rFonts w:hint="eastAsia" w:ascii="宋体" w:hAnsi="宋体"/>
          <w:color w:val="auto"/>
          <w:kern w:val="0"/>
          <w:sz w:val="24"/>
          <w:u w:val="single"/>
        </w:rPr>
        <w:t xml:space="preserve">  </w:t>
      </w:r>
      <w:r>
        <w:rPr>
          <w:rFonts w:hint="eastAsia" w:ascii="宋体" w:hAnsi="宋体"/>
          <w:color w:val="auto"/>
          <w:sz w:val="24"/>
          <w:u w:val="single"/>
        </w:rPr>
        <w:t>发包人自应当接收工程之日起，承担工程照管、成品保护、保管等与工程有关的各项费用</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96"/>
    <w:p w14:paraId="01BE7C7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承包人未按时移交工程的，违约金的计算方法为：</w:t>
      </w:r>
      <w:r>
        <w:rPr>
          <w:rFonts w:hint="eastAsia" w:ascii="宋体" w:hAnsi="宋体"/>
          <w:color w:val="auto"/>
          <w:sz w:val="24"/>
          <w:u w:val="single"/>
        </w:rPr>
        <w:t xml:space="preserve">  承包人应承担工程照管、成品保护、保管等与工程有关的各项费用</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255FF2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13.3 工程试车</w:t>
      </w:r>
    </w:p>
    <w:bookmarkEnd w:id="397"/>
    <w:p w14:paraId="6AD4F4AB">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13.3.1 试车程序</w:t>
      </w:r>
    </w:p>
    <w:p w14:paraId="6A979DB0">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工程试车内容：</w:t>
      </w:r>
      <w:r>
        <w:rPr>
          <w:rFonts w:hint="eastAsia" w:ascii="宋体" w:hAnsi="宋体"/>
          <w:color w:val="auto"/>
          <w:sz w:val="24"/>
          <w:u w:val="single"/>
        </w:rPr>
        <w:t xml:space="preserve">   /    </w:t>
      </w:r>
    </w:p>
    <w:p w14:paraId="00E67866">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（1）单机无负荷试车费用由</w:t>
      </w:r>
      <w:r>
        <w:rPr>
          <w:rFonts w:hint="eastAsia" w:ascii="宋体" w:hAnsi="宋体"/>
          <w:color w:val="auto"/>
          <w:sz w:val="24"/>
          <w:u w:val="single"/>
        </w:rPr>
        <w:t xml:space="preserve">   /  </w:t>
      </w:r>
      <w:r>
        <w:rPr>
          <w:rFonts w:hint="eastAsia" w:ascii="宋体" w:hAnsi="宋体"/>
          <w:color w:val="auto"/>
          <w:kern w:val="0"/>
          <w:sz w:val="24"/>
        </w:rPr>
        <w:t>承担；</w:t>
      </w:r>
    </w:p>
    <w:p w14:paraId="2738716F">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（2）无负荷联动试车费用由</w:t>
      </w:r>
      <w:r>
        <w:rPr>
          <w:rFonts w:hint="eastAsia" w:ascii="宋体" w:hAnsi="宋体"/>
          <w:color w:val="auto"/>
          <w:sz w:val="24"/>
          <w:u w:val="single"/>
        </w:rPr>
        <w:t xml:space="preserve">   /   </w:t>
      </w:r>
      <w:r>
        <w:rPr>
          <w:rFonts w:hint="eastAsia" w:ascii="宋体" w:hAnsi="宋体"/>
          <w:color w:val="auto"/>
          <w:kern w:val="0"/>
          <w:sz w:val="24"/>
        </w:rPr>
        <w:t>承担。</w:t>
      </w:r>
    </w:p>
    <w:p w14:paraId="1423B44E">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13.3.3 投料试车</w:t>
      </w:r>
    </w:p>
    <w:p w14:paraId="10721345">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关于投料试车相关事项的约定：</w:t>
      </w:r>
      <w:r>
        <w:rPr>
          <w:rFonts w:hint="eastAsia" w:ascii="宋体" w:hAnsi="宋体"/>
          <w:color w:val="auto"/>
          <w:sz w:val="24"/>
          <w:u w:val="single"/>
        </w:rPr>
        <w:t xml:space="preserve">   /   </w:t>
      </w:r>
    </w:p>
    <w:p w14:paraId="15CAE59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13.6 竣工退场</w:t>
      </w:r>
    </w:p>
    <w:p w14:paraId="2BF681AC">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13.6.1 竣工退场</w:t>
      </w:r>
    </w:p>
    <w:p w14:paraId="0DB89E52">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承包人完成竣工退场的期限：</w:t>
      </w:r>
      <w:r>
        <w:rPr>
          <w:rFonts w:hint="eastAsia" w:ascii="宋体" w:hAnsi="宋体"/>
          <w:color w:val="auto"/>
          <w:sz w:val="24"/>
          <w:u w:val="single"/>
        </w:rPr>
        <w:t xml:space="preserve">  工程竣工验收合格后一周内完成竣工退场。    </w:t>
      </w:r>
    </w:p>
    <w:p w14:paraId="12AA04DE">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99" w:name="_Toc351203646"/>
      <w:r>
        <w:rPr>
          <w:rFonts w:hint="eastAsia" w:ascii="宋体" w:hAnsi="宋体"/>
          <w:color w:val="auto"/>
          <w:kern w:val="0"/>
          <w:sz w:val="24"/>
        </w:rPr>
        <w:t>14. 竣工结算</w:t>
      </w:r>
      <w:bookmarkEnd w:id="399"/>
    </w:p>
    <w:p w14:paraId="3D1227DB">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14.1 竣工付款申请</w:t>
      </w:r>
    </w:p>
    <w:p w14:paraId="158839A4">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承包人提交竣工付款申请单的期限：</w:t>
      </w:r>
      <w:r>
        <w:rPr>
          <w:rFonts w:hint="eastAsia" w:ascii="宋体" w:hAnsi="宋体"/>
          <w:color w:val="auto"/>
          <w:sz w:val="24"/>
          <w:u w:val="single"/>
        </w:rPr>
        <w:t xml:space="preserve">  承包人应在工程竣工验收合格后28天内（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0DE6D83">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竣工付款申请单应包括的内容：</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F225FF4">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14.2 竣工结算审核</w:t>
      </w:r>
    </w:p>
    <w:p w14:paraId="60CF4AE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发包人审批竣工付款申请单的期限：</w:t>
      </w:r>
      <w:r>
        <w:rPr>
          <w:rFonts w:hint="eastAsia" w:ascii="宋体" w:hAnsi="宋体"/>
          <w:color w:val="auto"/>
          <w:sz w:val="24"/>
          <w:u w:val="single"/>
        </w:rPr>
        <w:t xml:space="preserve">  发包人应在收到监理人提交的经审核的竣工结算申请单后14天内完成审批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2938833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发包人完成竣工付款的期限：</w:t>
      </w:r>
      <w:r>
        <w:rPr>
          <w:rFonts w:hint="eastAsia" w:ascii="宋体" w:hAnsi="宋体"/>
          <w:color w:val="auto"/>
          <w:sz w:val="24"/>
          <w:u w:val="single"/>
        </w:rPr>
        <w:t xml:space="preserve">  发包人应在签发竣工付款证书后的14 天内，完成对承包人的竣工付款。</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8E1D84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关于竣工付款证书异议部分复核的方式和程序：</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BFB20F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14.4 最终结清</w:t>
      </w:r>
    </w:p>
    <w:p w14:paraId="298F00BF">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14.4.1 最终结清申请单</w:t>
      </w:r>
    </w:p>
    <w:p w14:paraId="5510456D">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承包人提交最终结清申请单的份数：</w:t>
      </w:r>
      <w:r>
        <w:rPr>
          <w:rFonts w:hint="eastAsia" w:ascii="宋体" w:hAnsi="宋体"/>
          <w:color w:val="auto"/>
          <w:sz w:val="24"/>
          <w:u w:val="single"/>
        </w:rPr>
        <w:t xml:space="preserve">  叁份。   </w:t>
      </w:r>
    </w:p>
    <w:p w14:paraId="3951328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承包人提交最终结算申请单的期限：</w:t>
      </w:r>
      <w:r>
        <w:rPr>
          <w:rFonts w:hint="eastAsia" w:ascii="宋体" w:hAnsi="宋体"/>
          <w:color w:val="auto"/>
          <w:sz w:val="24"/>
          <w:u w:val="single"/>
        </w:rPr>
        <w:t xml:space="preserve">  缺陷责任期终止证书颁发后7天内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59E66A27">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14.4.2 最终结清证书和支付</w:t>
      </w:r>
    </w:p>
    <w:p w14:paraId="62119B17">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（1）发包人完成最终结清申请单的审批并颁发最终结清证书的期限：</w:t>
      </w:r>
      <w:r>
        <w:rPr>
          <w:rFonts w:hint="eastAsia" w:ascii="宋体" w:hAnsi="宋体"/>
          <w:color w:val="auto"/>
          <w:sz w:val="24"/>
          <w:u w:val="single"/>
        </w:rPr>
        <w:t xml:space="preserve">  收到承包人提交的最终结清申请单后14天内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2C8D05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（2）发包人完成支付的期限：</w:t>
      </w:r>
      <w:r>
        <w:rPr>
          <w:rFonts w:hint="eastAsia" w:ascii="宋体" w:hAnsi="宋体"/>
          <w:color w:val="auto"/>
          <w:sz w:val="24"/>
          <w:u w:val="single"/>
        </w:rPr>
        <w:t xml:space="preserve">  颁发最终结清证书后7天内完成支付</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87"/>
    <w:bookmarkEnd w:id="388"/>
    <w:bookmarkEnd w:id="389"/>
    <w:bookmarkEnd w:id="390"/>
    <w:bookmarkEnd w:id="391"/>
    <w:bookmarkEnd w:id="392"/>
    <w:bookmarkEnd w:id="393"/>
    <w:bookmarkEnd w:id="398"/>
    <w:p w14:paraId="40D8B441">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00" w:name="_Toc351203647"/>
      <w:bookmarkStart w:id="401" w:name="_Toc267251483"/>
      <w:bookmarkStart w:id="402" w:name="_Toc267251484"/>
      <w:bookmarkStart w:id="403" w:name="_Toc267251482"/>
      <w:bookmarkStart w:id="404" w:name="_Toc267251485"/>
      <w:bookmarkStart w:id="405" w:name="_Toc267251486"/>
      <w:bookmarkStart w:id="406" w:name="_Toc267251489"/>
      <w:bookmarkStart w:id="407" w:name="_Toc267251490"/>
      <w:bookmarkStart w:id="408" w:name="_Toc267251488"/>
      <w:bookmarkStart w:id="409" w:name="_Toc267251501"/>
      <w:bookmarkStart w:id="410" w:name="_Toc267251496"/>
      <w:bookmarkStart w:id="411" w:name="_Toc267251492"/>
      <w:bookmarkStart w:id="412" w:name="_Toc267251503"/>
      <w:bookmarkStart w:id="413" w:name="_Toc267251498"/>
      <w:bookmarkStart w:id="414" w:name="_Toc267251502"/>
      <w:bookmarkStart w:id="415" w:name="_Toc267251494"/>
      <w:bookmarkStart w:id="416" w:name="_Toc267251497"/>
      <w:bookmarkStart w:id="417" w:name="_Toc267251491"/>
      <w:bookmarkStart w:id="418" w:name="_Toc267251495"/>
      <w:bookmarkStart w:id="419" w:name="_Toc267251499"/>
      <w:bookmarkStart w:id="420" w:name="_Toc267251493"/>
      <w:bookmarkStart w:id="421" w:name="_Toc267251506"/>
      <w:bookmarkStart w:id="422" w:name="_Toc267251504"/>
      <w:bookmarkStart w:id="423" w:name="_Toc267251507"/>
      <w:bookmarkStart w:id="424" w:name="_Toc267251508"/>
      <w:bookmarkStart w:id="425" w:name="_Toc267251515"/>
      <w:bookmarkStart w:id="426" w:name="_Toc267251514"/>
      <w:bookmarkStart w:id="427" w:name="_Toc267251510"/>
      <w:bookmarkStart w:id="428" w:name="_Toc267251509"/>
      <w:bookmarkStart w:id="429" w:name="_Toc267251511"/>
      <w:bookmarkStart w:id="430" w:name="_Toc267251513"/>
      <w:r>
        <w:rPr>
          <w:rFonts w:hint="eastAsia" w:ascii="宋体" w:hAnsi="宋体"/>
          <w:color w:val="auto"/>
          <w:kern w:val="0"/>
          <w:sz w:val="24"/>
        </w:rPr>
        <w:t>15. 缺陷责任期与保修</w:t>
      </w:r>
      <w:bookmarkEnd w:id="400"/>
    </w:p>
    <w:p w14:paraId="78B172CE">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15.2缺陷责任期</w:t>
      </w:r>
      <w:bookmarkEnd w:id="401"/>
    </w:p>
    <w:p w14:paraId="6D850B0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缺陷责任期的具体期限：</w:t>
      </w:r>
      <w:r>
        <w:rPr>
          <w:rFonts w:hint="eastAsia" w:ascii="宋体" w:hAnsi="宋体"/>
          <w:color w:val="auto"/>
          <w:sz w:val="24"/>
          <w:u w:val="single"/>
        </w:rPr>
        <w:t xml:space="preserve">  </w:t>
      </w:r>
      <w:r>
        <w:rPr>
          <w:rFonts w:hint="eastAsia" w:ascii="宋体" w:hAnsi="宋体"/>
          <w:color w:val="auto"/>
          <w:sz w:val="24"/>
          <w:u w:val="single"/>
          <w:lang w:val="en-US" w:eastAsia="zh-CN"/>
        </w:rPr>
        <w:t>12</w:t>
      </w:r>
      <w:r>
        <w:rPr>
          <w:rFonts w:hint="eastAsia" w:ascii="宋体" w:hAnsi="宋体"/>
          <w:color w:val="auto"/>
          <w:sz w:val="24"/>
          <w:u w:val="single"/>
        </w:rPr>
        <w:t xml:space="preserve">个月。   </w:t>
      </w:r>
    </w:p>
    <w:p w14:paraId="1FC1F7B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15.3 质量保证金</w:t>
      </w:r>
    </w:p>
    <w:p w14:paraId="513B9FEE">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关于是否扣留质量保证金的约定：</w:t>
      </w:r>
      <w:r>
        <w:rPr>
          <w:rFonts w:hint="eastAsia" w:ascii="宋体" w:hAnsi="宋体"/>
          <w:color w:val="auto"/>
          <w:sz w:val="24"/>
          <w:u w:val="single"/>
        </w:rPr>
        <w:t xml:space="preserve">  扣留质量保证金。   </w:t>
      </w:r>
    </w:p>
    <w:p w14:paraId="14E0E783">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15.3.1 承包人提供质量保证金的方式</w:t>
      </w:r>
    </w:p>
    <w:p w14:paraId="2BCAAE3D">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质量保证金采用以下第</w:t>
      </w:r>
      <w:r>
        <w:rPr>
          <w:rFonts w:hint="eastAsia" w:ascii="宋体" w:hAnsi="宋体"/>
          <w:color w:val="auto"/>
          <w:sz w:val="24"/>
          <w:u w:val="single"/>
        </w:rPr>
        <w:t xml:space="preserve">  ( 2 )  </w:t>
      </w:r>
      <w:r>
        <w:rPr>
          <w:rFonts w:hint="eastAsia" w:ascii="宋体" w:hAnsi="宋体"/>
          <w:color w:val="auto"/>
          <w:sz w:val="24"/>
        </w:rPr>
        <w:t>种方式：</w:t>
      </w:r>
    </w:p>
    <w:p w14:paraId="2D7FFA1B">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（1）质量保证金保函，保证金额为：</w:t>
      </w:r>
      <w:r>
        <w:rPr>
          <w:rFonts w:hint="eastAsia" w:ascii="宋体" w:hAnsi="宋体"/>
          <w:color w:val="auto"/>
          <w:sz w:val="24"/>
          <w:u w:val="single"/>
        </w:rPr>
        <w:t xml:space="preserve">   /     </w:t>
      </w:r>
    </w:p>
    <w:p w14:paraId="49E44C17">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3  </w:t>
      </w:r>
      <w:r>
        <w:rPr>
          <w:rFonts w:hint="eastAsia" w:ascii="宋体" w:hAnsi="宋体"/>
          <w:color w:val="auto"/>
          <w:kern w:val="0"/>
          <w:sz w:val="24"/>
        </w:rPr>
        <w:t>%的工程款；</w:t>
      </w:r>
    </w:p>
    <w:p w14:paraId="7BD517F8">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（3）其他方式:</w:t>
      </w:r>
      <w:r>
        <w:rPr>
          <w:rFonts w:hint="eastAsia" w:ascii="宋体" w:hAnsi="宋体"/>
          <w:color w:val="auto"/>
          <w:sz w:val="24"/>
          <w:u w:val="single"/>
        </w:rPr>
        <w:t xml:space="preserve">   /     </w:t>
      </w:r>
    </w:p>
    <w:p w14:paraId="2BD62A26">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 xml:space="preserve">15.3.2 质量保证金的扣留 </w:t>
      </w:r>
    </w:p>
    <w:p w14:paraId="24A162E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质量保证金的扣留采取以下第</w:t>
      </w:r>
      <w:r>
        <w:rPr>
          <w:rFonts w:hint="eastAsia" w:ascii="宋体" w:hAnsi="宋体"/>
          <w:color w:val="auto"/>
          <w:sz w:val="24"/>
          <w:u w:val="single"/>
        </w:rPr>
        <w:t xml:space="preserve"> ( 2 ) </w:t>
      </w:r>
      <w:r>
        <w:rPr>
          <w:rFonts w:hint="eastAsia" w:ascii="宋体" w:hAnsi="宋体"/>
          <w:color w:val="auto"/>
          <w:sz w:val="24"/>
        </w:rPr>
        <w:t>种方式：</w:t>
      </w:r>
    </w:p>
    <w:p w14:paraId="1DED493C">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（1）在支付工程进度款时逐次扣留，在此情形下，质量保证金的计算基数不包括预付款的支付、扣回以及价格调整的金额；</w:t>
      </w:r>
    </w:p>
    <w:p w14:paraId="1B8B2486">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（2）工程竣工结算时一次性扣留质量保证金；</w:t>
      </w:r>
    </w:p>
    <w:p w14:paraId="10380C06">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（3）其他扣留方式:</w:t>
      </w:r>
      <w:r>
        <w:rPr>
          <w:rFonts w:hint="eastAsia" w:ascii="宋体" w:hAnsi="宋体"/>
          <w:color w:val="auto"/>
          <w:sz w:val="24"/>
          <w:u w:val="single"/>
        </w:rPr>
        <w:t xml:space="preserve">   /     </w:t>
      </w:r>
    </w:p>
    <w:p w14:paraId="32DC5AC3">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关于质量保证金的补充约定：</w:t>
      </w:r>
      <w:r>
        <w:rPr>
          <w:rFonts w:hint="eastAsia" w:ascii="宋体" w:hAnsi="宋体"/>
          <w:color w:val="auto"/>
          <w:kern w:val="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bookmarkEnd w:id="402"/>
    <w:bookmarkEnd w:id="403"/>
    <w:p w14:paraId="7A779071">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15.4保修</w:t>
      </w:r>
    </w:p>
    <w:bookmarkEnd w:id="404"/>
    <w:p w14:paraId="752CBCCA">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15.4.1 保修责任</w:t>
      </w:r>
    </w:p>
    <w:p w14:paraId="3D468AEE">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工程保修期为：</w:t>
      </w:r>
      <w:r>
        <w:rPr>
          <w:rFonts w:hint="eastAsia" w:ascii="宋体" w:hAnsi="宋体"/>
          <w:color w:val="auto"/>
          <w:kern w:val="0"/>
          <w:sz w:val="24"/>
          <w:u w:val="single"/>
        </w:rPr>
        <w:t xml:space="preserve">  </w:t>
      </w:r>
      <w:r>
        <w:rPr>
          <w:rFonts w:hint="eastAsia" w:ascii="宋体" w:hAnsi="宋体"/>
          <w:color w:val="auto"/>
          <w:sz w:val="24"/>
          <w:u w:val="single"/>
        </w:rPr>
        <w:t xml:space="preserve">执行《工程质量保修书》规定。 </w:t>
      </w:r>
      <w:r>
        <w:rPr>
          <w:rFonts w:hint="eastAsia" w:ascii="宋体" w:hAnsi="宋体"/>
          <w:color w:val="auto"/>
          <w:kern w:val="0"/>
          <w:sz w:val="24"/>
          <w:u w:val="single"/>
        </w:rPr>
        <w:t xml:space="preserve">   </w:t>
      </w:r>
    </w:p>
    <w:p w14:paraId="37F79060">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15.4.3 修复通知</w:t>
      </w:r>
    </w:p>
    <w:p w14:paraId="4960C72F">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承包人收到保修通知并到达工程现场的合理时间：</w:t>
      </w:r>
      <w:r>
        <w:rPr>
          <w:rFonts w:hint="eastAsia" w:ascii="宋体" w:hAnsi="宋体"/>
          <w:color w:val="auto"/>
          <w:kern w:val="0"/>
          <w:sz w:val="24"/>
          <w:u w:val="single"/>
        </w:rPr>
        <w:t xml:space="preserve">  24小时内。  </w:t>
      </w:r>
    </w:p>
    <w:bookmarkEnd w:id="405"/>
    <w:bookmarkEnd w:id="406"/>
    <w:bookmarkEnd w:id="407"/>
    <w:bookmarkEnd w:id="408"/>
    <w:p w14:paraId="6E2F0D46">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1" w:name="_Toc351203648"/>
      <w:bookmarkStart w:id="432" w:name="_Toc280868717"/>
      <w:bookmarkStart w:id="433" w:name="_Toc280868718"/>
      <w:r>
        <w:rPr>
          <w:rFonts w:hint="eastAsia" w:ascii="宋体" w:hAnsi="宋体"/>
          <w:color w:val="auto"/>
          <w:kern w:val="0"/>
          <w:sz w:val="24"/>
        </w:rPr>
        <w:t>16. 违约</w:t>
      </w:r>
      <w:bookmarkEnd w:id="431"/>
    </w:p>
    <w:p w14:paraId="109D4CD9">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16.1 发包人违约</w:t>
      </w:r>
    </w:p>
    <w:p w14:paraId="0B309B57">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16.1.1发包人违约的情形</w:t>
      </w:r>
    </w:p>
    <w:p w14:paraId="565DF518">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发包人违约的其他情形：</w:t>
      </w:r>
      <w:r>
        <w:rPr>
          <w:rFonts w:hint="eastAsia" w:ascii="宋体" w:hAnsi="宋体"/>
          <w:color w:val="auto"/>
          <w:sz w:val="24"/>
          <w:u w:val="single"/>
        </w:rPr>
        <w:t xml:space="preserve">    /     </w:t>
      </w:r>
    </w:p>
    <w:p w14:paraId="1979EC3C">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16.1.2 发包人违约的责任</w:t>
      </w:r>
    </w:p>
    <w:p w14:paraId="35E9104B">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发包人违约责任的承担方式和计算方法：</w:t>
      </w:r>
    </w:p>
    <w:p w14:paraId="2DFB223B">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（1）因发包人原因未能在计划开工日期前7天内下达开工通知的违约责任：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7AF75837">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（2）因发包人原因未能按合同约定支付合同价款的违约责任：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73AFFACC">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（3）发包人违反第10.1款〔变更的范围〕第（2）项约定，自行实施被取消的工作或转由他人实施的违约责任：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39E7E6C0">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4CA71BFE">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（5）因发包人违反合同约定造成暂停施工的违约责任：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0B7E0CA3">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（6）发包人无正当理由没有在约定期限内发出复工指示，导致承包人无法复工的违约责任：</w:t>
      </w:r>
      <w:r>
        <w:rPr>
          <w:rFonts w:hint="eastAsia" w:ascii="宋体" w:hAnsi="宋体"/>
          <w:color w:val="auto"/>
          <w:kern w:val="0"/>
          <w:sz w:val="24"/>
          <w:u w:val="single"/>
        </w:rPr>
        <w:t xml:space="preserve">  </w:t>
      </w:r>
      <w:r>
        <w:rPr>
          <w:rFonts w:hint="eastAsia" w:ascii="宋体" w:hAnsi="宋体"/>
          <w:color w:val="auto"/>
          <w:sz w:val="24"/>
          <w:u w:val="single"/>
        </w:rPr>
        <w:t xml:space="preserve">双方协商解决。  </w:t>
      </w:r>
      <w:r>
        <w:rPr>
          <w:rFonts w:hint="eastAsia" w:ascii="宋体" w:hAnsi="宋体"/>
          <w:color w:val="auto"/>
          <w:kern w:val="0"/>
          <w:sz w:val="24"/>
          <w:u w:val="single"/>
        </w:rPr>
        <w:t xml:space="preserve"> </w:t>
      </w:r>
    </w:p>
    <w:p w14:paraId="6A84CBA6">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（7）其他：</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42B2BE7D">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16.1.3 因发包人违约解除合同</w:t>
      </w:r>
    </w:p>
    <w:p w14:paraId="0E876521">
      <w:pPr>
        <w:pStyle w:val="78"/>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承包人按16.1.1项〔发包人违约的情形〕约定暂停施工满</w:t>
      </w:r>
      <w:r>
        <w:rPr>
          <w:rFonts w:hint="eastAsia" w:ascii="宋体" w:hAnsi="宋体"/>
          <w:color w:val="auto"/>
          <w:kern w:val="0"/>
          <w:sz w:val="24"/>
          <w:u w:val="single"/>
        </w:rPr>
        <w:t xml:space="preserve">  28（执行通用条款） </w:t>
      </w:r>
      <w:r>
        <w:rPr>
          <w:rFonts w:hint="eastAsia" w:ascii="宋体" w:hAnsi="宋体"/>
          <w:color w:val="auto"/>
          <w:kern w:val="0"/>
          <w:sz w:val="24"/>
        </w:rPr>
        <w:t>天后发包人仍不纠正其违约行为并致使合同目的不能实现的，承包人有权解除合同。</w:t>
      </w:r>
    </w:p>
    <w:p w14:paraId="4F0BA526">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16.2 承包人违约</w:t>
      </w:r>
    </w:p>
    <w:p w14:paraId="1E361730">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16.2.1 承包人违约的情形</w:t>
      </w:r>
    </w:p>
    <w:p w14:paraId="1DBCE07D">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承包人违约的其他情形：</w:t>
      </w:r>
      <w:r>
        <w:rPr>
          <w:rFonts w:hint="eastAsia" w:ascii="宋体" w:hAnsi="宋体"/>
          <w:color w:val="auto"/>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22704C21">
      <w:pPr>
        <w:pStyle w:val="78"/>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16.2.2承包人违约的责任</w:t>
      </w:r>
    </w:p>
    <w:p w14:paraId="3BA0016C">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承包人违约责任的承担方式和计算方法：</w:t>
      </w:r>
      <w:r>
        <w:rPr>
          <w:rFonts w:hint="eastAsia" w:ascii="宋体" w:hAnsi="宋体"/>
          <w:color w:val="auto"/>
          <w:kern w:val="0"/>
          <w:sz w:val="24"/>
          <w:u w:val="single"/>
        </w:rPr>
        <w:t xml:space="preserve">  </w:t>
      </w:r>
      <w:r>
        <w:rPr>
          <w:rFonts w:hint="eastAsia" w:ascii="宋体" w:hAnsi="宋体"/>
          <w:color w:val="auto"/>
          <w:sz w:val="24"/>
          <w:u w:val="single"/>
        </w:rPr>
        <w:t xml:space="preserve">因承包人原因造成工程质量不合格的，承包人应无条件修复达到合同约定的质量标准；无法维修的，双方协商处理。发生该条违约时，发包人有权停止支付所有工程款项，不退还履约担保。  </w:t>
      </w:r>
      <w:r>
        <w:rPr>
          <w:rFonts w:hint="eastAsia" w:ascii="宋体" w:hAnsi="宋体"/>
          <w:color w:val="auto"/>
          <w:kern w:val="0"/>
          <w:sz w:val="24"/>
          <w:u w:val="single"/>
        </w:rPr>
        <w:t xml:space="preserve"> </w:t>
      </w:r>
    </w:p>
    <w:p w14:paraId="186C8954">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16.2.3 因承包人违约解除合同</w:t>
      </w:r>
    </w:p>
    <w:p w14:paraId="3C5DA6CD">
      <w:pPr>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关于承包人违约解除合同的特别约定：</w:t>
      </w:r>
      <w:r>
        <w:rPr>
          <w:rFonts w:hint="eastAsia" w:ascii="宋体" w:hAnsi="宋体"/>
          <w:color w:val="auto"/>
          <w:sz w:val="24"/>
          <w:szCs w:val="24"/>
          <w:u w:val="single"/>
        </w:rPr>
        <w:t xml:space="preserve">            </w:t>
      </w:r>
    </w:p>
    <w:p w14:paraId="3F00EBC2">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发包人继续使用承包人在施工现场的材料、设备、临时工程、承包人文件和由承包人或以其名义编制的其他文件的费用承担方式：</w:t>
      </w:r>
      <w:r>
        <w:rPr>
          <w:rFonts w:hint="eastAsia" w:ascii="宋体" w:hAnsi="宋体"/>
          <w:color w:val="auto"/>
          <w:sz w:val="24"/>
          <w:u w:val="single"/>
        </w:rPr>
        <w:t xml:space="preserve">  如实际发生时，双方另行协商确定。</w:t>
      </w:r>
    </w:p>
    <w:p w14:paraId="4FE1FD6C">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4" w:name="_Toc351203649"/>
      <w:r>
        <w:rPr>
          <w:rFonts w:hint="eastAsia" w:ascii="宋体" w:hAnsi="宋体"/>
          <w:color w:val="auto"/>
          <w:kern w:val="0"/>
          <w:sz w:val="24"/>
        </w:rPr>
        <w:t>17. 不可抗力</w:t>
      </w:r>
      <w:bookmarkEnd w:id="432"/>
      <w:bookmarkEnd w:id="434"/>
    </w:p>
    <w:p w14:paraId="4A55EC73">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17.1 不可抗力的确认</w:t>
      </w:r>
    </w:p>
    <w:p w14:paraId="4C6BF496">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sz w:val="24"/>
        </w:rPr>
        <w:t>除通用合同条款约定的不可抗力事件之外，视为不可抗力的其他情形：</w:t>
      </w:r>
      <w:r>
        <w:rPr>
          <w:rFonts w:hint="eastAsia" w:ascii="宋体" w:hAnsi="宋体"/>
          <w:color w:val="auto"/>
          <w:sz w:val="24"/>
          <w:u w:val="single"/>
        </w:rPr>
        <w:t xml:space="preserve">  执行通用条款；发生不可抗力影响时，承包人有义务采取措施减小损失，否则扩大的损失由承包人承担。  </w:t>
      </w:r>
    </w:p>
    <w:p w14:paraId="32E0A699">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17.4 因不可抗力解除合同</w:t>
      </w:r>
    </w:p>
    <w:p w14:paraId="108A9E2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合同解除后，发包人应在商定或确定发包人应支付款项后</w:t>
      </w:r>
      <w:r>
        <w:rPr>
          <w:rFonts w:hint="eastAsia" w:ascii="宋体" w:hAnsi="宋体"/>
          <w:color w:val="auto"/>
          <w:sz w:val="24"/>
          <w:u w:val="single"/>
        </w:rPr>
        <w:t xml:space="preserve">  28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天内完成款项的支付。</w:t>
      </w:r>
    </w:p>
    <w:p w14:paraId="2D424E63">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5" w:name="_Toc351203650"/>
      <w:r>
        <w:rPr>
          <w:rFonts w:hint="eastAsia" w:ascii="宋体" w:hAnsi="宋体"/>
          <w:color w:val="auto"/>
          <w:kern w:val="0"/>
          <w:sz w:val="24"/>
        </w:rPr>
        <w:t>18. 保险</w:t>
      </w:r>
      <w:bookmarkEnd w:id="435"/>
    </w:p>
    <w:bookmarkEnd w:id="433"/>
    <w:p w14:paraId="62EC672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18.1 工程保险</w:t>
      </w:r>
    </w:p>
    <w:p w14:paraId="135EABE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关于工程保险的特别约定：</w:t>
      </w:r>
      <w:r>
        <w:rPr>
          <w:rFonts w:hint="eastAsia" w:ascii="宋体" w:hAnsi="宋体"/>
          <w:color w:val="auto"/>
          <w:kern w:val="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7FD65497">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18.3 其他保险</w:t>
      </w:r>
    </w:p>
    <w:p w14:paraId="34AF9819">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sz w:val="24"/>
        </w:rPr>
        <w:t>关于其他保险的约定：</w:t>
      </w:r>
      <w:r>
        <w:rPr>
          <w:rFonts w:hint="eastAsia" w:ascii="宋体" w:hAnsi="宋体"/>
          <w:color w:val="auto"/>
          <w:kern w:val="0"/>
          <w:sz w:val="24"/>
          <w:u w:val="single"/>
        </w:rPr>
        <w:t xml:space="preserve">   /    </w:t>
      </w:r>
    </w:p>
    <w:p w14:paraId="3B0D12D8">
      <w:pPr>
        <w:pStyle w:val="78"/>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承包人是否应为其施工设备等办理财产保险：</w:t>
      </w:r>
      <w:r>
        <w:rPr>
          <w:rFonts w:hint="eastAsia" w:ascii="宋体" w:hAnsi="宋体"/>
          <w:color w:val="auto"/>
          <w:sz w:val="24"/>
          <w:u w:val="single"/>
        </w:rPr>
        <w:t xml:space="preserve">  由承包人自行决定。   </w:t>
      </w:r>
    </w:p>
    <w:p w14:paraId="1DF0A5B0">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18.7 通知义务</w:t>
      </w:r>
    </w:p>
    <w:p w14:paraId="79CFD50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关于变更保险合同时的通知义务的约定：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409"/>
    <w:bookmarkEnd w:id="410"/>
    <w:bookmarkEnd w:id="411"/>
    <w:bookmarkEnd w:id="412"/>
    <w:bookmarkEnd w:id="413"/>
    <w:bookmarkEnd w:id="414"/>
    <w:bookmarkEnd w:id="415"/>
    <w:bookmarkEnd w:id="416"/>
    <w:bookmarkEnd w:id="417"/>
    <w:bookmarkEnd w:id="418"/>
    <w:bookmarkEnd w:id="419"/>
    <w:bookmarkEnd w:id="420"/>
    <w:p w14:paraId="46CF4580">
      <w:pPr>
        <w:pStyle w:val="78"/>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6" w:name="_Toc351203651"/>
      <w:r>
        <w:rPr>
          <w:rFonts w:hint="eastAsia" w:ascii="宋体" w:hAnsi="宋体"/>
          <w:color w:val="auto"/>
          <w:kern w:val="0"/>
          <w:sz w:val="24"/>
        </w:rPr>
        <w:t>20. 争议解决</w:t>
      </w:r>
      <w:bookmarkEnd w:id="436"/>
    </w:p>
    <w:bookmarkEnd w:id="421"/>
    <w:bookmarkEnd w:id="422"/>
    <w:p w14:paraId="45FF34E1">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20.3 争</w:t>
      </w:r>
      <w:bookmarkEnd w:id="423"/>
      <w:r>
        <w:rPr>
          <w:rFonts w:hint="eastAsia" w:ascii="宋体" w:hAnsi="宋体"/>
          <w:color w:val="auto"/>
          <w:sz w:val="24"/>
        </w:rPr>
        <w:t>议评审</w:t>
      </w:r>
    </w:p>
    <w:p w14:paraId="0AC0D797">
      <w:pPr>
        <w:pStyle w:val="78"/>
        <w:tabs>
          <w:tab w:val="left" w:pos="360"/>
        </w:tabs>
        <w:adjustRightInd w:val="0"/>
        <w:snapToGrid w:val="0"/>
        <w:spacing w:line="360" w:lineRule="auto"/>
        <w:ind w:left="149" w:leftChars="71" w:right="178" w:rightChars="85" w:firstLine="480" w:firstLineChars="200"/>
        <w:rPr>
          <w:rFonts w:hint="eastAsia" w:ascii="宋体" w:hAnsi="宋体"/>
          <w:color w:val="auto"/>
          <w:sz w:val="24"/>
        </w:rPr>
      </w:pPr>
      <w:r>
        <w:rPr>
          <w:rFonts w:hint="eastAsia" w:ascii="宋体" w:hAnsi="宋体"/>
          <w:color w:val="auto"/>
          <w:sz w:val="24"/>
        </w:rPr>
        <w:t>合同当事人是否同意将工程争议提交争议评审小组决定：</w:t>
      </w:r>
      <w:r>
        <w:rPr>
          <w:rFonts w:hint="eastAsia" w:ascii="宋体" w:hAnsi="宋体"/>
          <w:color w:val="auto"/>
          <w:sz w:val="24"/>
          <w:u w:val="single"/>
        </w:rPr>
        <w:t xml:space="preserve">  不采用。   </w:t>
      </w:r>
    </w:p>
    <w:p w14:paraId="1FE84B32">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20.3.1 争议评审小组的确定</w:t>
      </w:r>
    </w:p>
    <w:p w14:paraId="0DFC8C75">
      <w:pPr>
        <w:pStyle w:val="78"/>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争议评审小组成员的确定：</w:t>
      </w:r>
      <w:r>
        <w:rPr>
          <w:rFonts w:hint="eastAsia" w:ascii="宋体" w:hAnsi="宋体"/>
          <w:color w:val="auto"/>
          <w:sz w:val="24"/>
          <w:u w:val="single"/>
        </w:rPr>
        <w:t xml:space="preserve">  不采用。   </w:t>
      </w:r>
    </w:p>
    <w:p w14:paraId="0A1B5865">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选定争议评审员的期限：</w:t>
      </w:r>
      <w:r>
        <w:rPr>
          <w:rFonts w:hint="eastAsia" w:ascii="宋体" w:hAnsi="宋体"/>
          <w:color w:val="auto"/>
          <w:sz w:val="24"/>
          <w:u w:val="single"/>
        </w:rPr>
        <w:t xml:space="preserve">  不采用。   </w:t>
      </w:r>
    </w:p>
    <w:p w14:paraId="65F50651">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争议评审小组成员的报酬承担方式：</w:t>
      </w:r>
      <w:r>
        <w:rPr>
          <w:rFonts w:hint="eastAsia" w:ascii="宋体" w:hAnsi="宋体"/>
          <w:color w:val="auto"/>
          <w:sz w:val="24"/>
          <w:u w:val="single"/>
        </w:rPr>
        <w:t xml:space="preserve">  不采用。   </w:t>
      </w:r>
    </w:p>
    <w:p w14:paraId="31A5654F">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其他事项的约定：</w:t>
      </w:r>
      <w:r>
        <w:rPr>
          <w:rFonts w:hint="eastAsia" w:ascii="宋体" w:hAnsi="宋体"/>
          <w:color w:val="auto"/>
          <w:sz w:val="24"/>
          <w:u w:val="single"/>
        </w:rPr>
        <w:t xml:space="preserve">  不采用。   </w:t>
      </w:r>
    </w:p>
    <w:p w14:paraId="7FAC103D">
      <w:pPr>
        <w:pStyle w:val="78"/>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20.3.2 争议评审小组的决定</w:t>
      </w:r>
    </w:p>
    <w:p w14:paraId="0BDD74B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合同当事人关于本项的约定：</w:t>
      </w:r>
      <w:r>
        <w:rPr>
          <w:rFonts w:hint="eastAsia" w:ascii="宋体" w:hAnsi="宋体"/>
          <w:color w:val="auto"/>
          <w:sz w:val="24"/>
          <w:u w:val="single"/>
        </w:rPr>
        <w:t xml:space="preserve">  不采用。   </w:t>
      </w:r>
    </w:p>
    <w:p w14:paraId="3BF0081A">
      <w:pPr>
        <w:pStyle w:val="78"/>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20.4仲裁或诉讼</w:t>
      </w:r>
      <w:bookmarkEnd w:id="424"/>
    </w:p>
    <w:p w14:paraId="6A603EB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因合同及合同有关事项发生的争议，按下列第</w:t>
      </w:r>
      <w:r>
        <w:rPr>
          <w:rFonts w:hint="eastAsia" w:ascii="宋体" w:hAnsi="宋体"/>
          <w:color w:val="auto"/>
          <w:sz w:val="24"/>
          <w:u w:val="single"/>
        </w:rPr>
        <w:t xml:space="preserve"> ( 2 ) </w:t>
      </w:r>
      <w:r>
        <w:rPr>
          <w:rFonts w:hint="eastAsia" w:ascii="宋体" w:hAnsi="宋体"/>
          <w:color w:val="auto"/>
          <w:sz w:val="24"/>
        </w:rPr>
        <w:t>种方式解决：</w:t>
      </w:r>
    </w:p>
    <w:p w14:paraId="37D68C1B">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（1）向</w:t>
      </w:r>
      <w:r>
        <w:rPr>
          <w:rFonts w:hint="eastAsia" w:ascii="宋体" w:hAnsi="宋体"/>
          <w:color w:val="auto"/>
          <w:sz w:val="24"/>
          <w:u w:val="single"/>
        </w:rPr>
        <w:t xml:space="preserve">  合肥   </w:t>
      </w:r>
      <w:r>
        <w:rPr>
          <w:rFonts w:hint="eastAsia" w:ascii="宋体" w:hAnsi="宋体"/>
          <w:color w:val="auto"/>
          <w:sz w:val="24"/>
        </w:rPr>
        <w:t>仲裁委员会申请仲裁；</w:t>
      </w:r>
    </w:p>
    <w:p w14:paraId="67CA5DE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（2）向</w:t>
      </w:r>
      <w:r>
        <w:rPr>
          <w:rFonts w:hint="eastAsia" w:ascii="宋体" w:hAnsi="宋体"/>
          <w:color w:val="auto"/>
          <w:sz w:val="24"/>
          <w:u w:val="single"/>
        </w:rPr>
        <w:t xml:space="preserve">  工程所在地   </w:t>
      </w:r>
      <w:r>
        <w:rPr>
          <w:rFonts w:hint="eastAsia" w:ascii="宋体" w:hAnsi="宋体"/>
          <w:color w:val="auto"/>
          <w:sz w:val="24"/>
        </w:rPr>
        <w:t>人民法院起诉。</w:t>
      </w:r>
      <w:bookmarkEnd w:id="425"/>
      <w:bookmarkEnd w:id="426"/>
      <w:bookmarkEnd w:id="427"/>
      <w:bookmarkEnd w:id="428"/>
      <w:bookmarkEnd w:id="429"/>
      <w:bookmarkEnd w:id="430"/>
    </w:p>
    <w:bookmarkEnd w:id="76"/>
    <w:p w14:paraId="4794586D">
      <w:pPr>
        <w:pStyle w:val="78"/>
        <w:tabs>
          <w:tab w:val="left" w:pos="360"/>
        </w:tabs>
        <w:autoSpaceDE w:val="0"/>
        <w:autoSpaceDN w:val="0"/>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21.补充条款</w:t>
      </w:r>
    </w:p>
    <w:p w14:paraId="0E2843A0">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本补充条款是专用条款的一部分，其解释顺序优先于专用条款内的其他条款。</w:t>
      </w:r>
    </w:p>
    <w:p w14:paraId="736A0E2F">
      <w:pPr>
        <w:pStyle w:val="78"/>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1.1人员及职责</w:t>
      </w:r>
    </w:p>
    <w:p w14:paraId="51620C7A">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1.1.1发包人委派的发包人代表或监理发包人代表（以下简称“发包人代表”）无权更改合同，也无权解除发包人和承包人的义务和责任。</w:t>
      </w:r>
    </w:p>
    <w:p w14:paraId="74F1CFA3">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1.1.2发包人代表的任何批准、检查、证书、同意、通知、建议、检验、指令和要求等不解除承包人在合同中的责任。</w:t>
      </w:r>
    </w:p>
    <w:p w14:paraId="0B5359CF">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1.1.3承包人只能从发包人代表或其授权代表处接受指令。</w:t>
      </w:r>
    </w:p>
    <w:p w14:paraId="1D618F54">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1.1.4发包人如需更换发包人代表须提前7天通知承包人。</w:t>
      </w:r>
    </w:p>
    <w:p w14:paraId="00561950">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1.1.5承包人的项目经理离开现场的，须经发包人代表同意，并书面指定临时代表，代为行使项目经理的权力；该临时代表的一切行为，甲方均认为是项目经理的行为。</w:t>
      </w:r>
    </w:p>
    <w:p w14:paraId="1991CDFB">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1.1.6承包人委派</w:t>
      </w:r>
      <w:r>
        <w:rPr>
          <w:rFonts w:hint="eastAsia" w:ascii="宋体" w:hAnsi="宋体"/>
          <w:color w:val="auto"/>
          <w:kern w:val="0"/>
          <w:sz w:val="24"/>
          <w:u w:val="single"/>
        </w:rPr>
        <w:t xml:space="preserve">      </w:t>
      </w:r>
      <w:r>
        <w:rPr>
          <w:rFonts w:hint="eastAsia" w:ascii="宋体" w:hAnsi="宋体"/>
          <w:color w:val="auto"/>
          <w:kern w:val="0"/>
          <w:sz w:val="24"/>
        </w:rPr>
        <w:t>经办人，负责工程施工过程中来往文件接收传递。</w:t>
      </w:r>
    </w:p>
    <w:p w14:paraId="166378C9">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1.1.7承包人提交发包人的任何文件，发包人都认为该文件已经承包人内部程序批准；承包人提交的文件发生修改的，应及时将最新版本提交发包人代表。</w:t>
      </w:r>
    </w:p>
    <w:p w14:paraId="25203CCC">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1.1.8承包人应始终采取一切合理防范措施来避免在项目人员内部发生违法、动乱或妨碍治安的行为，保持项目的安定；并保护好现场和周围的人员和财产安全。</w:t>
      </w:r>
    </w:p>
    <w:p w14:paraId="1F0AFFA0">
      <w:pPr>
        <w:pStyle w:val="78"/>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1.1.9承包人雇佣职员或工人应遵守相关法律法规的规定。</w:t>
      </w:r>
    </w:p>
    <w:p w14:paraId="4D440460">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6C3289F6">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1.1.11承包人更换项目经理的，须提前14天通知发包人，并征得发包人同意；该行为视为违约，承包人须支付发包人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万元违约金。更换后的项目经理资历、水平不得降低。</w:t>
      </w:r>
    </w:p>
    <w:p w14:paraId="0087933A">
      <w:pPr>
        <w:pStyle w:val="78"/>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1.1.12承包人提交发包人的任何文件，都被认为该文件已经承包人内部程序批准；承包人提交的文件发生修改的，应及时将最新版本提交发包人代表。</w:t>
      </w:r>
    </w:p>
    <w:p w14:paraId="44069495">
      <w:pPr>
        <w:pStyle w:val="78"/>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1.2变更与调整</w:t>
      </w:r>
    </w:p>
    <w:p w14:paraId="710122F4">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1.2.1在工程移交前，发包人代表有权签发变更指令，承包人应按照指令来实施变更，并进行工期和费用的估算，提交发包人代表。</w:t>
      </w:r>
    </w:p>
    <w:p w14:paraId="69796A7D">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1.2.2发包人代表收到承包人的估算后，可以决定撤销、修改或确认实施该项变更。</w:t>
      </w:r>
    </w:p>
    <w:p w14:paraId="3D7C7FA4">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1.2.3如果承包人认为自己的建议能缩短工期、降低工程实施或运营成本，或对业主产生其他利益，可以向发包人代表提交建议书；建议书的编制费用自理。</w:t>
      </w:r>
    </w:p>
    <w:p w14:paraId="1665E730">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1.2.4如果发包人采纳承包人的建议节省了工程费用，将给予承包人节约费用适当比例的奖励。</w:t>
      </w:r>
    </w:p>
    <w:p w14:paraId="2D9FD87C">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1.2.5上一款中节省费用的计算方法为：降低的合同额度减去因变更而引起在工程质量、寿命、以及运营效率等方面为发包人带来的潜在损失。</w:t>
      </w:r>
    </w:p>
    <w:p w14:paraId="5B793FF4">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1.2.6任何变更指令都应由发包人代表签发给承包人，承包人收到后应回函说明；涉及到费用调整的，按照相关条款执行。</w:t>
      </w:r>
    </w:p>
    <w:p w14:paraId="72BDF230">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3A120347">
      <w:pPr>
        <w:pStyle w:val="78"/>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1.2.8未经发包人代表批准，承包人不得对工程进行任何变更。</w:t>
      </w:r>
    </w:p>
    <w:p w14:paraId="19E24297">
      <w:pPr>
        <w:pStyle w:val="78"/>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1.3分包与配合</w:t>
      </w:r>
    </w:p>
    <w:p w14:paraId="239914C4">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1ED9287A">
      <w:pPr>
        <w:pStyle w:val="78"/>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1.4结算</w:t>
      </w:r>
    </w:p>
    <w:p w14:paraId="13854B0D">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1.4.1承包人的投标报价（合同价款）是承包人基于业主提供的资料和现场数据及承包人的解释和现场考察计算出来的，覆盖了完成合同义务所包括的一切工作，不得以漏项或考虑不周提出索赔。</w:t>
      </w:r>
    </w:p>
    <w:p w14:paraId="68EA6F76">
      <w:pPr>
        <w:pStyle w:val="78"/>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1.4.2水电费的结算：</w:t>
      </w:r>
    </w:p>
    <w:p w14:paraId="0534B94C">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（1）发包人在现场安装计量装置，承包人负责施工期间的保护，并在工程移交的同时完好地移交给发包人。</w:t>
      </w:r>
    </w:p>
    <w:p w14:paraId="73FA3BEB">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（2）承包人投标报价已经包含水电费用，工程结算时按照发包人实际缴纳的水电费在结算价（税前）中扣除。</w:t>
      </w:r>
    </w:p>
    <w:p w14:paraId="0D1622D9">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（3）因承包人保护不善造成计量装置损坏，承包人负责修复，并承担由此造成的增加费用（包括修复费用和水电损失费用以及可能发生的罚款或其他费用）。</w:t>
      </w:r>
    </w:p>
    <w:p w14:paraId="3369EDE0">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u w:val="single" w:color="FFFFFF"/>
        </w:rPr>
      </w:pPr>
      <w:r>
        <w:rPr>
          <w:rFonts w:hint="eastAsia" w:ascii="宋体" w:hAnsi="宋体"/>
          <w:color w:val="auto"/>
          <w:kern w:val="0"/>
          <w:sz w:val="24"/>
          <w:u w:val="single" w:color="FFFFFF"/>
        </w:rPr>
        <w:t>1.4.3发包人供应材料设备的结算：材料按照总价的</w:t>
      </w:r>
      <w:r>
        <w:rPr>
          <w:rFonts w:hint="eastAsia" w:ascii="宋体" w:hAnsi="宋体"/>
          <w:color w:val="auto"/>
          <w:kern w:val="0"/>
          <w:sz w:val="24"/>
          <w:u w:val="single"/>
        </w:rPr>
        <w:t xml:space="preserve">   /   </w:t>
      </w:r>
      <w:r>
        <w:rPr>
          <w:rFonts w:hint="eastAsia" w:ascii="宋体" w:hAnsi="宋体"/>
          <w:color w:val="auto"/>
          <w:kern w:val="0"/>
          <w:sz w:val="24"/>
          <w:u w:val="single" w:color="FFFFFF"/>
        </w:rPr>
        <w:t>计取保管费（材料数量最多不超过设计文件的用量（可以计算定额损耗））；设备按照总价的</w:t>
      </w:r>
      <w:r>
        <w:rPr>
          <w:rFonts w:hint="eastAsia" w:ascii="宋体" w:hAnsi="宋体"/>
          <w:color w:val="auto"/>
          <w:kern w:val="0"/>
          <w:sz w:val="24"/>
          <w:u w:val="single"/>
        </w:rPr>
        <w:t xml:space="preserve">   /   </w:t>
      </w:r>
      <w:r>
        <w:rPr>
          <w:rFonts w:hint="eastAsia" w:ascii="宋体" w:hAnsi="宋体"/>
          <w:color w:val="auto"/>
          <w:kern w:val="0"/>
          <w:sz w:val="24"/>
          <w:u w:val="single" w:color="FFFFFF"/>
        </w:rPr>
        <w:t>计取保管费；此费用仅计取税金。</w:t>
      </w:r>
    </w:p>
    <w:p w14:paraId="24682106">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3341B8B4">
      <w:pPr>
        <w:pStyle w:val="78"/>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1.4.5对于发包人提供的工程量</w:t>
      </w:r>
    </w:p>
    <w:p w14:paraId="71E1030A">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清单中工程量的错误，承包人未在招标文件规定的异议截止日期前提出异议并附计算书的，工程结算时不再调整。</w:t>
      </w:r>
    </w:p>
    <w:p w14:paraId="1C6D531C">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20920678">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1.4.7对于发包人提供的工程量清单中的单项子目，承包人没有报价的，发包人认为视同该项价格已经包括在其他项目中。</w:t>
      </w:r>
    </w:p>
    <w:p w14:paraId="04053CA0">
      <w:pPr>
        <w:pStyle w:val="78"/>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1.5其它补充条款：</w:t>
      </w:r>
    </w:p>
    <w:p w14:paraId="600676D6">
      <w:pPr>
        <w:pStyle w:val="78"/>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在工程施工</w:t>
      </w:r>
      <w:r>
        <w:rPr>
          <w:rFonts w:hint="eastAsia" w:ascii="宋体" w:hAnsi="宋体"/>
          <w:color w:val="auto"/>
          <w:kern w:val="0"/>
          <w:sz w:val="24"/>
          <w:lang w:val="en-US" w:eastAsia="zh-CN"/>
        </w:rPr>
        <w:t>过程</w:t>
      </w:r>
      <w:r>
        <w:rPr>
          <w:rFonts w:hint="eastAsia" w:ascii="宋体" w:hAnsi="宋体"/>
          <w:color w:val="auto"/>
          <w:kern w:val="0"/>
          <w:sz w:val="24"/>
        </w:rPr>
        <w:t>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27A2EF81">
      <w:pPr>
        <w:pStyle w:val="92"/>
        <w:spacing w:line="360" w:lineRule="auto"/>
        <w:ind w:left="250" w:leftChars="119" w:right="0" w:firstLine="118" w:firstLineChars="49"/>
        <w:outlineLvl w:val="3"/>
        <w:rPr>
          <w:rFonts w:hint="eastAsia" w:ascii="宋体" w:hAnsi="宋体"/>
          <w:b/>
          <w:color w:val="auto"/>
          <w:szCs w:val="24"/>
        </w:rPr>
      </w:pPr>
      <w:r>
        <w:rPr>
          <w:rFonts w:hint="eastAsia" w:ascii="宋体" w:hAnsi="宋体"/>
          <w:b/>
          <w:color w:val="auto"/>
          <w:szCs w:val="24"/>
        </w:rPr>
        <w:t>1.6其他：</w:t>
      </w:r>
    </w:p>
    <w:p w14:paraId="65EB4394">
      <w:pPr>
        <w:pStyle w:val="92"/>
        <w:spacing w:line="360" w:lineRule="auto"/>
        <w:ind w:left="250" w:leftChars="119" w:right="0" w:firstLine="118" w:firstLineChars="49"/>
        <w:rPr>
          <w:rFonts w:hint="eastAsia" w:ascii="宋体" w:hAnsi="宋体"/>
          <w:b/>
          <w:color w:val="auto"/>
          <w:szCs w:val="24"/>
        </w:rPr>
      </w:pPr>
      <w:r>
        <w:rPr>
          <w:rFonts w:hint="eastAsia" w:ascii="宋体" w:hAnsi="宋体"/>
          <w:b/>
          <w:color w:val="auto"/>
          <w:szCs w:val="24"/>
        </w:rPr>
        <w:t>1、中标人需在本项目建筑服务发生地主管国税机关办理《外出经营活动税收管理证明》报验备案，并依法预缴增值税、城市维护建设税及教育附加等相关税费（仅针对外地来肥建筑安装企业）。</w:t>
      </w:r>
    </w:p>
    <w:p w14:paraId="3C93DCA9">
      <w:pPr>
        <w:pStyle w:val="92"/>
        <w:spacing w:line="360" w:lineRule="auto"/>
        <w:ind w:left="250" w:right="0" w:firstLine="480"/>
        <w:rPr>
          <w:rFonts w:ascii="宋体" w:hAnsi="宋体"/>
          <w:b/>
          <w:color w:val="auto"/>
          <w:szCs w:val="24"/>
        </w:rPr>
      </w:pPr>
      <w:r>
        <w:rPr>
          <w:rFonts w:hint="eastAsia" w:ascii="宋体" w:hAnsi="宋体"/>
          <w:b/>
          <w:color w:val="auto"/>
          <w:szCs w:val="24"/>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531D598A">
      <w:pPr>
        <w:adjustRightInd w:val="0"/>
        <w:snapToGrid w:val="0"/>
        <w:spacing w:line="360" w:lineRule="auto"/>
        <w:ind w:right="420"/>
        <w:rPr>
          <w:rFonts w:hint="eastAsia" w:ascii="宋体" w:hAnsi="宋体"/>
          <w:b/>
          <w:color w:val="auto"/>
          <w:sz w:val="24"/>
          <w:szCs w:val="24"/>
        </w:rPr>
      </w:pPr>
    </w:p>
    <w:p w14:paraId="0968D34C">
      <w:pPr>
        <w:adjustRightInd w:val="0"/>
        <w:snapToGrid w:val="0"/>
        <w:spacing w:line="360" w:lineRule="auto"/>
        <w:rPr>
          <w:rFonts w:ascii="宋体" w:hAnsi="宋体"/>
          <w:color w:val="auto"/>
          <w:sz w:val="24"/>
          <w:szCs w:val="24"/>
        </w:rPr>
      </w:pPr>
      <w:r>
        <w:rPr>
          <w:rFonts w:hint="eastAsia" w:ascii="宋体" w:hAnsi="宋体"/>
          <w:color w:val="auto"/>
          <w:sz w:val="24"/>
          <w:szCs w:val="24"/>
        </w:rPr>
        <w:t>发包人：</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承包人：</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w:t>
      </w:r>
    </w:p>
    <w:p w14:paraId="5EE180A6">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rPr>
        <w:t xml:space="preserve">  </w:t>
      </w:r>
      <w:r>
        <w:rPr>
          <w:rFonts w:hint="eastAsia" w:ascii="宋体" w:hAnsi="宋体"/>
          <w:color w:val="auto"/>
          <w:sz w:val="24"/>
          <w:szCs w:val="24"/>
        </w:rPr>
        <w:t xml:space="preserve">               法定代表人或其委托代理人：</w:t>
      </w:r>
    </w:p>
    <w:p w14:paraId="5A76ED74">
      <w:pPr>
        <w:adjustRightInd w:val="0"/>
        <w:snapToGrid w:val="0"/>
        <w:spacing w:line="360" w:lineRule="auto"/>
        <w:rPr>
          <w:rFonts w:ascii="宋体" w:hAnsi="宋体"/>
          <w:color w:val="auto"/>
          <w:sz w:val="24"/>
          <w:szCs w:val="24"/>
        </w:rPr>
      </w:pPr>
      <w:r>
        <w:rPr>
          <w:rFonts w:hint="eastAsia" w:ascii="宋体" w:hAnsi="宋体"/>
          <w:color w:val="auto"/>
          <w:sz w:val="24"/>
          <w:szCs w:val="24"/>
        </w:rPr>
        <w:t>（签字）</w:t>
      </w:r>
      <w:r>
        <w:rPr>
          <w:rFonts w:ascii="宋体" w:hAnsi="宋体"/>
          <w:color w:val="auto"/>
          <w:sz w:val="24"/>
          <w:szCs w:val="24"/>
        </w:rPr>
        <w:t xml:space="preserve">                    </w:t>
      </w:r>
      <w:r>
        <w:rPr>
          <w:rFonts w:hint="eastAsia" w:ascii="宋体" w:hAnsi="宋体"/>
          <w:color w:val="auto"/>
          <w:sz w:val="24"/>
          <w:szCs w:val="24"/>
        </w:rPr>
        <w:t xml:space="preserve">              （签字）</w:t>
      </w:r>
    </w:p>
    <w:p w14:paraId="464B2CDF">
      <w:pPr>
        <w:adjustRightInd w:val="0"/>
        <w:snapToGrid w:val="0"/>
        <w:spacing w:line="360" w:lineRule="auto"/>
        <w:rPr>
          <w:rFonts w:ascii="宋体" w:hAnsi="宋体"/>
          <w:color w:val="auto"/>
          <w:sz w:val="24"/>
          <w:szCs w:val="24"/>
        </w:rPr>
      </w:pPr>
      <w:r>
        <w:rPr>
          <w:rFonts w:hint="eastAsia" w:ascii="宋体" w:hAnsi="宋体"/>
          <w:color w:val="auto"/>
          <w:sz w:val="24"/>
          <w:szCs w:val="24"/>
        </w:rPr>
        <w:t>组织机构代码：</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组织机构代码：</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p>
    <w:p w14:paraId="6387F39B">
      <w:pPr>
        <w:adjustRightInd w:val="0"/>
        <w:snapToGrid w:val="0"/>
        <w:spacing w:line="360" w:lineRule="auto"/>
        <w:rPr>
          <w:rFonts w:ascii="宋体" w:hAnsi="宋体"/>
          <w:color w:val="auto"/>
          <w:sz w:val="24"/>
          <w:szCs w:val="24"/>
        </w:rPr>
      </w:pPr>
      <w:r>
        <w:rPr>
          <w:rFonts w:hint="eastAsia" w:ascii="宋体" w:hAnsi="宋体"/>
          <w:color w:val="auto"/>
          <w:sz w:val="24"/>
          <w:szCs w:val="24"/>
        </w:rPr>
        <w:t>地</w:t>
      </w:r>
      <w:r>
        <w:rPr>
          <w:rFonts w:ascii="宋体" w:hAnsi="宋体"/>
          <w:color w:val="auto"/>
          <w:sz w:val="24"/>
          <w:szCs w:val="24"/>
        </w:rPr>
        <w:t xml:space="preserve">  </w:t>
      </w:r>
      <w:r>
        <w:rPr>
          <w:rFonts w:hint="eastAsia" w:ascii="宋体" w:hAnsi="宋体"/>
          <w:color w:val="auto"/>
          <w:sz w:val="24"/>
          <w:szCs w:val="24"/>
        </w:rPr>
        <w:t>址：</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地</w:t>
      </w:r>
      <w:r>
        <w:rPr>
          <w:rFonts w:ascii="宋体" w:hAnsi="宋体"/>
          <w:color w:val="auto"/>
          <w:sz w:val="24"/>
          <w:szCs w:val="24"/>
        </w:rPr>
        <w:t xml:space="preserve">  </w:t>
      </w:r>
      <w:r>
        <w:rPr>
          <w:rFonts w:hint="eastAsia" w:ascii="宋体" w:hAnsi="宋体"/>
          <w:color w:val="auto"/>
          <w:sz w:val="24"/>
          <w:szCs w:val="24"/>
        </w:rPr>
        <w:t>址：</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6C05F757">
      <w:pPr>
        <w:adjustRightInd w:val="0"/>
        <w:snapToGrid w:val="0"/>
        <w:spacing w:line="360" w:lineRule="auto"/>
        <w:rPr>
          <w:rFonts w:ascii="宋体" w:hAnsi="宋体"/>
          <w:color w:val="auto"/>
          <w:sz w:val="24"/>
          <w:szCs w:val="24"/>
        </w:rPr>
      </w:pPr>
      <w:r>
        <w:rPr>
          <w:rFonts w:hint="eastAsia" w:ascii="宋体" w:hAnsi="宋体"/>
          <w:color w:val="auto"/>
          <w:sz w:val="24"/>
          <w:szCs w:val="24"/>
        </w:rPr>
        <w:t>邮政编码：</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邮政编码：</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07CAE20B">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法定代表人：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9D5F842">
      <w:pPr>
        <w:adjustRightInd w:val="0"/>
        <w:snapToGrid w:val="0"/>
        <w:spacing w:line="360" w:lineRule="auto"/>
        <w:rPr>
          <w:rFonts w:ascii="宋体" w:hAnsi="宋体"/>
          <w:color w:val="auto"/>
          <w:sz w:val="24"/>
          <w:szCs w:val="24"/>
        </w:rPr>
      </w:pPr>
      <w:r>
        <w:rPr>
          <w:rFonts w:hint="eastAsia" w:ascii="宋体" w:hAnsi="宋体"/>
          <w:color w:val="auto"/>
          <w:sz w:val="24"/>
          <w:szCs w:val="24"/>
        </w:rPr>
        <w:t>委托代理人：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委托代理人：</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02608440">
      <w:pPr>
        <w:adjustRightInd w:val="0"/>
        <w:snapToGrid w:val="0"/>
        <w:spacing w:line="360" w:lineRule="auto"/>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CD20188">
      <w:pPr>
        <w:adjustRightInd w:val="0"/>
        <w:snapToGrid w:val="0"/>
        <w:spacing w:line="360" w:lineRule="auto"/>
        <w:rPr>
          <w:rFonts w:ascii="宋体" w:hAnsi="宋体"/>
          <w:color w:val="auto"/>
          <w:sz w:val="24"/>
          <w:szCs w:val="24"/>
        </w:rPr>
      </w:pPr>
      <w:r>
        <w:rPr>
          <w:rFonts w:hint="eastAsia" w:ascii="宋体" w:hAnsi="宋体"/>
          <w:color w:val="auto"/>
          <w:sz w:val="24"/>
          <w:szCs w:val="24"/>
        </w:rPr>
        <w:t>传</w:t>
      </w:r>
      <w:r>
        <w:rPr>
          <w:rFonts w:ascii="宋体" w:hAnsi="宋体"/>
          <w:color w:val="auto"/>
          <w:sz w:val="24"/>
          <w:szCs w:val="24"/>
        </w:rPr>
        <w:t xml:space="preserve">  </w:t>
      </w:r>
      <w:r>
        <w:rPr>
          <w:rFonts w:hint="eastAsia" w:ascii="宋体" w:hAnsi="宋体"/>
          <w:color w:val="auto"/>
          <w:sz w:val="24"/>
          <w:szCs w:val="24"/>
        </w:rPr>
        <w:t>真：</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传</w:t>
      </w:r>
      <w:r>
        <w:rPr>
          <w:rFonts w:ascii="宋体" w:hAnsi="宋体"/>
          <w:color w:val="auto"/>
          <w:sz w:val="24"/>
          <w:szCs w:val="24"/>
        </w:rPr>
        <w:t xml:space="preserve">  </w:t>
      </w:r>
      <w:r>
        <w:rPr>
          <w:rFonts w:hint="eastAsia" w:ascii="宋体" w:hAnsi="宋体"/>
          <w:color w:val="auto"/>
          <w:sz w:val="24"/>
          <w:szCs w:val="24"/>
        </w:rPr>
        <w:t>真：</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45398563">
      <w:pPr>
        <w:adjustRightInd w:val="0"/>
        <w:snapToGrid w:val="0"/>
        <w:spacing w:line="360" w:lineRule="auto"/>
        <w:rPr>
          <w:rFonts w:ascii="宋体" w:hAnsi="宋体"/>
          <w:color w:val="auto"/>
          <w:sz w:val="24"/>
          <w:szCs w:val="24"/>
        </w:rPr>
      </w:pPr>
      <w:r>
        <w:rPr>
          <w:rFonts w:hint="eastAsia" w:ascii="宋体" w:hAnsi="宋体"/>
          <w:color w:val="auto"/>
          <w:sz w:val="24"/>
          <w:szCs w:val="24"/>
        </w:rPr>
        <w:t>电子信箱：</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电子信箱：</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4BFC2373">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开户银行：</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927307D">
      <w:pPr>
        <w:adjustRightInd w:val="0"/>
        <w:snapToGrid w:val="0"/>
        <w:spacing w:line="360" w:lineRule="auto"/>
        <w:rPr>
          <w:rFonts w:ascii="宋体" w:hAnsi="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r>
        <w:rPr>
          <w:rFonts w:hint="eastAsia" w:ascii="宋体" w:hAnsi="宋体"/>
          <w:color w:val="auto"/>
          <w:sz w:val="24"/>
          <w:szCs w:val="24"/>
        </w:rPr>
        <w:t>账</w:t>
      </w:r>
      <w:r>
        <w:rPr>
          <w:rFonts w:ascii="宋体" w:hAnsi="宋体"/>
          <w:color w:val="auto"/>
          <w:sz w:val="24"/>
          <w:szCs w:val="24"/>
        </w:rPr>
        <w:t xml:space="preserve">  </w:t>
      </w:r>
      <w:r>
        <w:rPr>
          <w:rFonts w:hint="eastAsia" w:ascii="宋体" w:hAnsi="宋体"/>
          <w:color w:val="auto"/>
          <w:sz w:val="24"/>
          <w:szCs w:val="24"/>
        </w:rPr>
        <w:t>号：</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账</w:t>
      </w:r>
      <w:r>
        <w:rPr>
          <w:rFonts w:ascii="宋体" w:hAnsi="宋体"/>
          <w:color w:val="auto"/>
          <w:sz w:val="24"/>
          <w:szCs w:val="24"/>
        </w:rPr>
        <w:t xml:space="preserve">  </w:t>
      </w:r>
      <w:r>
        <w:rPr>
          <w:rFonts w:hint="eastAsia" w:ascii="宋体" w:hAnsi="宋体"/>
          <w:color w:val="auto"/>
          <w:sz w:val="24"/>
          <w:szCs w:val="24"/>
        </w:rPr>
        <w:t>号：</w:t>
      </w:r>
      <w:r>
        <w:rPr>
          <w:rFonts w:hint="eastAsia" w:ascii="宋体" w:hAnsi="宋体" w:cs="宋体"/>
          <w:color w:val="auto"/>
          <w:sz w:val="24"/>
          <w:szCs w:val="24"/>
          <w:u w:val="single"/>
        </w:rPr>
        <w:t></w:t>
      </w:r>
      <w:r>
        <w:rPr>
          <w:rFonts w:ascii="宋体" w:hAnsi="宋体"/>
          <w:color w:val="auto"/>
          <w:sz w:val="24"/>
          <w:szCs w:val="24"/>
          <w:u w:val="single"/>
        </w:rPr>
        <w:t xml:space="preserve">    </w:t>
      </w:r>
    </w:p>
    <w:bookmarkEnd w:id="77"/>
    <w:p w14:paraId="5DC12A0D">
      <w:pPr>
        <w:adjustRightInd w:val="0"/>
        <w:snapToGrid w:val="0"/>
        <w:spacing w:line="360" w:lineRule="auto"/>
        <w:rPr>
          <w:rFonts w:hint="eastAsia" w:ascii="宋体" w:hAnsi="宋体"/>
          <w:color w:val="auto"/>
          <w:sz w:val="24"/>
          <w:szCs w:val="24"/>
        </w:rPr>
      </w:pPr>
    </w:p>
    <w:p w14:paraId="0114B192">
      <w:pPr>
        <w:adjustRightInd w:val="0"/>
        <w:snapToGrid w:val="0"/>
        <w:spacing w:before="120" w:beforeLines="50" w:after="120" w:afterLines="50" w:line="360" w:lineRule="auto"/>
        <w:jc w:val="center"/>
        <w:outlineLvl w:val="4"/>
        <w:rPr>
          <w:rFonts w:hint="eastAsia" w:ascii="宋体" w:hAnsi="宋体"/>
          <w:b/>
          <w:color w:val="auto"/>
          <w:sz w:val="24"/>
          <w:szCs w:val="24"/>
        </w:rPr>
      </w:pPr>
      <w:r>
        <w:rPr>
          <w:rFonts w:hint="eastAsia" w:ascii="宋体" w:hAnsi="宋体"/>
          <w:b/>
          <w:color w:val="auto"/>
          <w:sz w:val="24"/>
          <w:szCs w:val="24"/>
        </w:rPr>
        <w:t>工程质量保修书</w:t>
      </w:r>
    </w:p>
    <w:p w14:paraId="40A80674">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发包人（全称）：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5670D1B6">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承包人（全称）：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2C401E0E">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发包人和承包人根据《中华人民共和国建筑法》和《建设工程质量管理条例》，经协商一致就</w:t>
      </w:r>
      <w:r>
        <w:rPr>
          <w:rFonts w:hint="eastAsia" w:ascii="宋体" w:hAnsi="宋体"/>
          <w:color w:val="auto"/>
          <w:sz w:val="24"/>
          <w:szCs w:val="24"/>
          <w:u w:val="single"/>
        </w:rPr>
        <w:t xml:space="preserve">                </w:t>
      </w:r>
      <w:r>
        <w:rPr>
          <w:rFonts w:hint="eastAsia" w:ascii="宋体" w:hAnsi="宋体"/>
          <w:color w:val="auto"/>
          <w:sz w:val="24"/>
          <w:szCs w:val="24"/>
        </w:rPr>
        <w:t>（工程全称）签订工程质量保修书。</w:t>
      </w:r>
    </w:p>
    <w:p w14:paraId="73B56351">
      <w:pPr>
        <w:adjustRightInd w:val="0"/>
        <w:snapToGrid w:val="0"/>
        <w:spacing w:line="360" w:lineRule="auto"/>
        <w:outlineLvl w:val="4"/>
        <w:rPr>
          <w:rFonts w:hint="eastAsia" w:ascii="宋体" w:hAnsi="宋体"/>
          <w:color w:val="auto"/>
          <w:sz w:val="24"/>
          <w:szCs w:val="24"/>
        </w:rPr>
      </w:pPr>
      <w:r>
        <w:rPr>
          <w:rFonts w:hint="eastAsia" w:ascii="宋体" w:hAnsi="宋体"/>
          <w:color w:val="auto"/>
          <w:sz w:val="24"/>
          <w:szCs w:val="24"/>
        </w:rPr>
        <w:t>　　一、工程质量保修范围和内容</w:t>
      </w:r>
    </w:p>
    <w:p w14:paraId="6A4A3F92">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承包人在质量保修期内，按照有关法律规定和合同约定，承担工程质量保修责任。</w:t>
      </w:r>
    </w:p>
    <w:p w14:paraId="3CAFE9CB">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05A61F6">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w:t>
      </w:r>
      <w:r>
        <w:rPr>
          <w:rFonts w:hint="eastAsia" w:ascii="宋体" w:hAnsi="宋体"/>
          <w:color w:val="auto"/>
          <w:sz w:val="24"/>
          <w:szCs w:val="24"/>
          <w:u w:val="single"/>
        </w:rPr>
        <w:t xml:space="preserve">                                                                            </w:t>
      </w:r>
    </w:p>
    <w:p w14:paraId="2FFE22EC">
      <w:pPr>
        <w:adjustRightInd w:val="0"/>
        <w:snapToGrid w:val="0"/>
        <w:spacing w:line="360" w:lineRule="auto"/>
        <w:outlineLvl w:val="4"/>
        <w:rPr>
          <w:rFonts w:hint="eastAsia" w:ascii="宋体" w:hAnsi="宋体"/>
          <w:color w:val="auto"/>
          <w:sz w:val="24"/>
          <w:szCs w:val="24"/>
        </w:rPr>
      </w:pPr>
      <w:r>
        <w:rPr>
          <w:rFonts w:hint="eastAsia" w:ascii="宋体" w:hAnsi="宋体"/>
          <w:b/>
          <w:color w:val="auto"/>
          <w:sz w:val="24"/>
          <w:szCs w:val="24"/>
        </w:rPr>
        <w:t>　　</w:t>
      </w:r>
      <w:r>
        <w:rPr>
          <w:rFonts w:hint="eastAsia" w:ascii="宋体" w:hAnsi="宋体"/>
          <w:color w:val="auto"/>
          <w:sz w:val="24"/>
          <w:szCs w:val="24"/>
        </w:rPr>
        <w:t>二、质量保修期</w:t>
      </w:r>
    </w:p>
    <w:p w14:paraId="5EDBF04D">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根据《建设工程质量管理条例》及有关规定，工程的质量保修期如下：</w:t>
      </w:r>
    </w:p>
    <w:p w14:paraId="2F979AE8">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1．地基基础工程和主体结构工程为设计文件规定的工程合理使用年限；</w:t>
      </w:r>
    </w:p>
    <w:p w14:paraId="715597A0">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2．屋面防水工程、有防水要求的卫生间、房间和外墙面的防渗为</w:t>
      </w:r>
      <w:r>
        <w:rPr>
          <w:rFonts w:hint="eastAsia" w:ascii="宋体" w:hAnsi="宋体"/>
          <w:color w:val="auto"/>
          <w:sz w:val="24"/>
          <w:szCs w:val="24"/>
          <w:u w:val="single"/>
        </w:rPr>
        <w:t xml:space="preserve">   5     </w:t>
      </w:r>
      <w:r>
        <w:rPr>
          <w:rFonts w:hint="eastAsia" w:ascii="宋体" w:hAnsi="宋体"/>
          <w:color w:val="auto"/>
          <w:sz w:val="24"/>
          <w:szCs w:val="24"/>
        </w:rPr>
        <w:t>年；</w:t>
      </w:r>
    </w:p>
    <w:p w14:paraId="6453E4AF">
      <w:pPr>
        <w:adjustRightInd w:val="0"/>
        <w:snapToGrid w:val="0"/>
        <w:spacing w:line="360" w:lineRule="auto"/>
        <w:ind w:firstLine="480" w:firstLineChars="200"/>
        <w:outlineLvl w:val="2"/>
        <w:rPr>
          <w:rFonts w:hint="eastAsia" w:ascii="宋体" w:hAnsi="宋体"/>
          <w:color w:val="auto"/>
          <w:sz w:val="24"/>
          <w:szCs w:val="24"/>
        </w:rPr>
      </w:pPr>
      <w:r>
        <w:rPr>
          <w:rFonts w:hint="eastAsia" w:ascii="宋体" w:hAnsi="宋体"/>
          <w:color w:val="auto"/>
          <w:sz w:val="24"/>
          <w:szCs w:val="24"/>
        </w:rPr>
        <w:t>3．装修工程为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41C8927B">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4．电气管线、给排水管道、设备安装工程为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5EE9BCAA">
      <w:pPr>
        <w:adjustRightInd w:val="0"/>
        <w:snapToGrid w:val="0"/>
        <w:spacing w:line="360" w:lineRule="auto"/>
        <w:ind w:firstLine="480" w:firstLineChars="200"/>
        <w:outlineLvl w:val="2"/>
        <w:rPr>
          <w:rFonts w:hint="eastAsia" w:ascii="宋体" w:hAnsi="宋体"/>
          <w:color w:val="auto"/>
          <w:sz w:val="24"/>
          <w:szCs w:val="24"/>
        </w:rPr>
      </w:pPr>
      <w:r>
        <w:rPr>
          <w:rFonts w:hint="eastAsia" w:ascii="宋体" w:hAnsi="宋体"/>
          <w:color w:val="auto"/>
          <w:sz w:val="24"/>
          <w:szCs w:val="24"/>
        </w:rPr>
        <w:t>5．供热与供冷系统为</w:t>
      </w:r>
      <w:r>
        <w:rPr>
          <w:rFonts w:hint="eastAsia" w:ascii="宋体" w:hAnsi="宋体"/>
          <w:color w:val="auto"/>
          <w:sz w:val="24"/>
          <w:szCs w:val="24"/>
          <w:u w:val="single"/>
        </w:rPr>
        <w:t xml:space="preserve">     2    </w:t>
      </w:r>
      <w:r>
        <w:rPr>
          <w:rFonts w:hint="eastAsia" w:ascii="宋体" w:hAnsi="宋体"/>
          <w:color w:val="auto"/>
          <w:sz w:val="24"/>
          <w:szCs w:val="24"/>
        </w:rPr>
        <w:t>个采暖期、供冷期；</w:t>
      </w:r>
    </w:p>
    <w:p w14:paraId="466CDD93">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6．住宅小区内的给排水设施、道路等配套工程为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70EB21B9">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7．其他项目保修期限约定如下：</w:t>
      </w:r>
      <w:r>
        <w:rPr>
          <w:rFonts w:hint="eastAsia" w:ascii="宋体" w:hAnsi="宋体"/>
          <w:color w:val="auto"/>
          <w:sz w:val="24"/>
          <w:szCs w:val="24"/>
          <w:u w:val="single"/>
        </w:rPr>
        <w:t xml:space="preserve">     保温工程5年        </w:t>
      </w:r>
      <w:r>
        <w:rPr>
          <w:rFonts w:hint="eastAsia" w:ascii="宋体" w:hAnsi="宋体"/>
          <w:color w:val="auto"/>
          <w:sz w:val="24"/>
          <w:szCs w:val="24"/>
        </w:rPr>
        <w:t>。</w:t>
      </w:r>
    </w:p>
    <w:p w14:paraId="0D38C44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质量保修期自工程竣工验收合格之日起计算。</w:t>
      </w:r>
    </w:p>
    <w:p w14:paraId="1D7CC082">
      <w:pPr>
        <w:adjustRightInd w:val="0"/>
        <w:snapToGrid w:val="0"/>
        <w:spacing w:line="360" w:lineRule="auto"/>
        <w:ind w:firstLine="480" w:firstLineChars="200"/>
        <w:outlineLvl w:val="3"/>
        <w:rPr>
          <w:rFonts w:hint="eastAsia" w:ascii="宋体" w:hAnsi="宋体"/>
          <w:color w:val="auto"/>
          <w:sz w:val="24"/>
          <w:szCs w:val="24"/>
        </w:rPr>
      </w:pPr>
      <w:r>
        <w:rPr>
          <w:rFonts w:hint="eastAsia" w:ascii="宋体" w:hAnsi="宋体"/>
          <w:color w:val="auto"/>
          <w:sz w:val="24"/>
          <w:szCs w:val="24"/>
        </w:rPr>
        <w:t>三、缺陷责任期</w:t>
      </w:r>
    </w:p>
    <w:p w14:paraId="6C05544C">
      <w:pPr>
        <w:adjustRightInd w:val="0"/>
        <w:snapToGrid w:val="0"/>
        <w:spacing w:line="360" w:lineRule="auto"/>
        <w:ind w:firstLine="482" w:firstLineChars="200"/>
        <w:rPr>
          <w:rFonts w:hint="eastAsia" w:ascii="宋体" w:hAnsi="宋体"/>
          <w:color w:val="auto"/>
          <w:sz w:val="24"/>
          <w:szCs w:val="24"/>
        </w:rPr>
      </w:pPr>
      <w:r>
        <w:rPr>
          <w:rFonts w:hint="eastAsia" w:ascii="宋体" w:hAnsi="宋体"/>
          <w:b/>
          <w:color w:val="auto"/>
          <w:sz w:val="24"/>
          <w:szCs w:val="24"/>
        </w:rPr>
        <w:t>工程缺陷责任期为</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12</w:t>
      </w:r>
      <w:r>
        <w:rPr>
          <w:rFonts w:hint="eastAsia" w:ascii="宋体" w:hAnsi="宋体"/>
          <w:b/>
          <w:color w:val="auto"/>
          <w:sz w:val="24"/>
          <w:szCs w:val="24"/>
          <w:u w:val="single"/>
        </w:rPr>
        <w:t xml:space="preserve">个月   </w:t>
      </w:r>
      <w:r>
        <w:rPr>
          <w:rFonts w:hint="eastAsia" w:ascii="宋体" w:hAnsi="宋体"/>
          <w:b/>
          <w:color w:val="auto"/>
          <w:sz w:val="24"/>
          <w:szCs w:val="24"/>
        </w:rPr>
        <w:t>，</w:t>
      </w:r>
      <w:r>
        <w:rPr>
          <w:rFonts w:hint="eastAsia" w:ascii="宋体" w:hAnsi="宋体"/>
          <w:color w:val="auto"/>
          <w:sz w:val="24"/>
          <w:szCs w:val="24"/>
        </w:rPr>
        <w:t>缺陷责任期自工程竣工验收合格之日起计算。单位工程先于全部工程进行验收，单位工程缺陷责任期自单位工程验收合格之日起算。</w:t>
      </w:r>
    </w:p>
    <w:p w14:paraId="314631B4">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缺陷责任期终止后，发包人应退还剩余的质量保证金。</w:t>
      </w:r>
    </w:p>
    <w:p w14:paraId="090B2CB0">
      <w:pPr>
        <w:adjustRightInd w:val="0"/>
        <w:snapToGrid w:val="0"/>
        <w:spacing w:line="360" w:lineRule="auto"/>
        <w:outlineLvl w:val="3"/>
        <w:rPr>
          <w:rFonts w:hint="eastAsia" w:ascii="宋体" w:hAnsi="宋体"/>
          <w:color w:val="auto"/>
          <w:sz w:val="24"/>
          <w:szCs w:val="24"/>
        </w:rPr>
      </w:pPr>
      <w:r>
        <w:rPr>
          <w:rFonts w:hint="eastAsia" w:ascii="宋体" w:hAnsi="宋体"/>
          <w:color w:val="auto"/>
          <w:sz w:val="24"/>
          <w:szCs w:val="24"/>
        </w:rPr>
        <w:t xml:space="preserve">    四、质量保修责任</w:t>
      </w:r>
    </w:p>
    <w:p w14:paraId="77711084">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1．属于保修范围、内容的项目，承包人应当在接到保修通知之日起7天内派人保修。承包人不在约定期限内派人保修的，发包人可以委托他人修理。</w:t>
      </w:r>
    </w:p>
    <w:p w14:paraId="612EAE3F">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2．发生紧急事故需抢修的，承包人在接到事故通知后，应当立即到达事故现场抢修。</w:t>
      </w:r>
    </w:p>
    <w:p w14:paraId="2964035F">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90B429">
      <w:pPr>
        <w:adjustRightInd w:val="0"/>
        <w:snapToGrid w:val="0"/>
        <w:spacing w:line="360" w:lineRule="auto"/>
        <w:ind w:firstLine="491" w:firstLineChars="205"/>
        <w:outlineLvl w:val="2"/>
        <w:rPr>
          <w:rFonts w:hint="eastAsia" w:ascii="宋体" w:hAnsi="宋体"/>
          <w:color w:val="auto"/>
          <w:sz w:val="24"/>
          <w:szCs w:val="24"/>
        </w:rPr>
      </w:pPr>
      <w:r>
        <w:rPr>
          <w:rFonts w:hint="eastAsia" w:ascii="宋体" w:hAnsi="宋体"/>
          <w:color w:val="auto"/>
          <w:sz w:val="24"/>
          <w:szCs w:val="24"/>
        </w:rPr>
        <w:t>4．质量保修完成后，由发包人组织验收。</w:t>
      </w:r>
    </w:p>
    <w:p w14:paraId="1CBCC5EB">
      <w:pPr>
        <w:adjustRightInd w:val="0"/>
        <w:snapToGrid w:val="0"/>
        <w:spacing w:line="360" w:lineRule="auto"/>
        <w:outlineLvl w:val="3"/>
        <w:rPr>
          <w:rFonts w:hint="eastAsia" w:ascii="宋体" w:hAnsi="宋体"/>
          <w:color w:val="auto"/>
          <w:sz w:val="24"/>
          <w:szCs w:val="24"/>
        </w:rPr>
      </w:pPr>
      <w:r>
        <w:rPr>
          <w:rFonts w:hint="eastAsia" w:ascii="宋体" w:hAnsi="宋体"/>
          <w:color w:val="auto"/>
          <w:sz w:val="24"/>
          <w:szCs w:val="24"/>
        </w:rPr>
        <w:t>　　五、保修费用</w:t>
      </w:r>
    </w:p>
    <w:p w14:paraId="6037327A">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保修费用由造成质量缺陷的责任方承担。</w:t>
      </w:r>
    </w:p>
    <w:p w14:paraId="3853FDB7">
      <w:pPr>
        <w:adjustRightInd w:val="0"/>
        <w:snapToGrid w:val="0"/>
        <w:spacing w:line="360" w:lineRule="auto"/>
        <w:ind w:firstLine="600"/>
        <w:rPr>
          <w:rFonts w:hint="eastAsia" w:ascii="宋体" w:hAnsi="宋体"/>
          <w:color w:val="auto"/>
          <w:sz w:val="24"/>
          <w:szCs w:val="24"/>
        </w:rPr>
      </w:pPr>
      <w:r>
        <w:rPr>
          <w:rFonts w:hint="eastAsia" w:ascii="宋体" w:hAnsi="宋体"/>
          <w:b/>
          <w:color w:val="auto"/>
          <w:sz w:val="24"/>
          <w:szCs w:val="24"/>
        </w:rPr>
        <w:t>六</w:t>
      </w:r>
      <w:r>
        <w:rPr>
          <w:rFonts w:hint="eastAsia" w:ascii="宋体" w:hAnsi="宋体"/>
          <w:color w:val="auto"/>
          <w:sz w:val="24"/>
          <w:szCs w:val="24"/>
        </w:rPr>
        <w:t>、双方约定的其他工程质量保修事项：</w:t>
      </w:r>
      <w:r>
        <w:rPr>
          <w:rFonts w:hint="eastAsia" w:ascii="宋体" w:hAnsi="宋体"/>
          <w:color w:val="auto"/>
          <w:sz w:val="24"/>
          <w:szCs w:val="24"/>
          <w:u w:val="single"/>
        </w:rPr>
        <w:t xml:space="preserve">             </w:t>
      </w:r>
      <w:r>
        <w:rPr>
          <w:rFonts w:hint="eastAsia" w:ascii="宋体" w:hAnsi="宋体"/>
          <w:color w:val="auto"/>
          <w:sz w:val="24"/>
          <w:szCs w:val="24"/>
        </w:rPr>
        <w:t>。</w:t>
      </w:r>
    </w:p>
    <w:p w14:paraId="3061352A">
      <w:pPr>
        <w:adjustRightInd w:val="0"/>
        <w:snapToGrid w:val="0"/>
        <w:spacing w:line="360" w:lineRule="auto"/>
        <w:ind w:firstLine="456" w:firstLineChars="190"/>
        <w:rPr>
          <w:rFonts w:hint="eastAsia" w:ascii="宋体" w:hAnsi="宋体"/>
          <w:color w:val="auto"/>
          <w:sz w:val="24"/>
          <w:szCs w:val="24"/>
        </w:rPr>
      </w:pPr>
      <w:r>
        <w:rPr>
          <w:rFonts w:hint="eastAsia" w:ascii="宋体" w:hAnsi="宋体"/>
          <w:color w:val="auto"/>
          <w:sz w:val="24"/>
          <w:szCs w:val="24"/>
        </w:rPr>
        <w:t>工程质量保修书由发包人、承包人在工程竣工验收前共同签署，作为施工合同附件，其有效期限至保修期满。</w:t>
      </w:r>
    </w:p>
    <w:p w14:paraId="147C55E3">
      <w:pPr>
        <w:adjustRightInd w:val="0"/>
        <w:snapToGrid w:val="0"/>
        <w:spacing w:line="360" w:lineRule="auto"/>
        <w:ind w:firstLine="420"/>
        <w:rPr>
          <w:rFonts w:hint="eastAsia" w:ascii="宋体" w:hAnsi="宋体"/>
          <w:color w:val="auto"/>
          <w:sz w:val="24"/>
          <w:szCs w:val="24"/>
        </w:rPr>
      </w:pPr>
    </w:p>
    <w:p w14:paraId="35240B8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发包人(公章)：</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承包人(公章)：</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6CB4DD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地  址：</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E46AED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5C589F0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4FA88F85">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011A4639">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F455D10">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124ADBED">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A3D08C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邮政编码：</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邮政编码：</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F10B6E4">
      <w:pPr>
        <w:spacing w:before="100" w:beforeLines="50" w:beforeAutospacing="1" w:after="100" w:afterLines="30" w:afterAutospacing="1" w:line="360" w:lineRule="auto"/>
        <w:rPr>
          <w:rFonts w:ascii="宋体" w:hAnsi="宋体"/>
          <w:color w:val="auto"/>
          <w:sz w:val="24"/>
          <w:szCs w:val="27"/>
        </w:rPr>
      </w:pPr>
    </w:p>
    <w:p w14:paraId="1CB2E234">
      <w:pPr>
        <w:spacing w:before="120" w:beforeLines="50" w:after="72" w:afterLines="30" w:line="360" w:lineRule="auto"/>
        <w:rPr>
          <w:rFonts w:ascii="宋体" w:hAnsi="宋体"/>
          <w:color w:val="auto"/>
          <w:sz w:val="24"/>
          <w:szCs w:val="27"/>
        </w:rPr>
      </w:pPr>
      <w:r>
        <w:rPr>
          <w:rFonts w:hint="eastAsia" w:ascii="宋体" w:hAnsi="宋体" w:cs="宋体"/>
          <w:b/>
          <w:color w:val="auto"/>
          <w:kern w:val="0"/>
          <w:sz w:val="24"/>
          <w:szCs w:val="24"/>
        </w:rPr>
        <w:t>备注：本合同的约定如与本项目招标文件的投标人须知前附表和招标需求的约定不一致的地方，以投标人须知前附表和招标需求的约定为准。</w:t>
      </w:r>
    </w:p>
    <w:p w14:paraId="1342D21F">
      <w:pPr>
        <w:spacing w:line="360" w:lineRule="auto"/>
        <w:rPr>
          <w:rFonts w:hint="eastAsia"/>
          <w:color w:val="auto"/>
        </w:rPr>
      </w:pPr>
    </w:p>
    <w:p w14:paraId="491FAE7D">
      <w:pPr>
        <w:spacing w:line="360" w:lineRule="auto"/>
        <w:rPr>
          <w:rFonts w:hint="eastAsia"/>
          <w:color w:val="auto"/>
        </w:rPr>
      </w:pPr>
    </w:p>
    <w:p w14:paraId="48C94EA7">
      <w:pPr>
        <w:spacing w:line="360" w:lineRule="auto"/>
        <w:rPr>
          <w:rFonts w:hint="eastAsia"/>
          <w:color w:val="auto"/>
        </w:rPr>
      </w:pPr>
    </w:p>
    <w:p w14:paraId="2A379C89">
      <w:pPr>
        <w:spacing w:line="360" w:lineRule="auto"/>
        <w:rPr>
          <w:rFonts w:hint="eastAsia"/>
          <w:color w:val="auto"/>
        </w:rPr>
      </w:pPr>
    </w:p>
    <w:p w14:paraId="6180DED8">
      <w:pPr>
        <w:spacing w:line="360" w:lineRule="auto"/>
        <w:rPr>
          <w:rFonts w:hint="eastAsia"/>
          <w:color w:val="auto"/>
        </w:rPr>
      </w:pPr>
    </w:p>
    <w:p w14:paraId="5475998C">
      <w:pPr>
        <w:spacing w:line="360" w:lineRule="auto"/>
        <w:rPr>
          <w:rFonts w:hint="eastAsia"/>
          <w:color w:val="auto"/>
        </w:rPr>
      </w:pPr>
    </w:p>
    <w:p w14:paraId="7E5C9B30">
      <w:pPr>
        <w:pStyle w:val="3"/>
        <w:keepNext/>
        <w:keepLines/>
        <w:pageBreakBefore/>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0"/>
        <w:rPr>
          <w:rFonts w:hint="eastAsia" w:ascii="黑体" w:hAnsi="宋体"/>
          <w:color w:val="auto"/>
        </w:rPr>
      </w:pPr>
      <w:bookmarkStart w:id="437" w:name="_Toc328559333"/>
      <w:r>
        <w:rPr>
          <w:rFonts w:hint="eastAsia" w:ascii="宋体" w:hAnsi="宋体" w:eastAsia="宋体"/>
          <w:color w:val="auto"/>
        </w:rPr>
        <w:t>第</w:t>
      </w:r>
      <w:r>
        <w:rPr>
          <w:rFonts w:hint="eastAsia" w:ascii="宋体" w:hAnsi="宋体" w:eastAsia="宋体"/>
          <w:color w:val="auto"/>
          <w:lang w:eastAsia="zh-CN"/>
        </w:rPr>
        <w:t>七</w:t>
      </w:r>
      <w:r>
        <w:rPr>
          <w:rFonts w:hint="eastAsia" w:ascii="宋体" w:hAnsi="宋体" w:eastAsia="宋体"/>
          <w:color w:val="auto"/>
        </w:rPr>
        <w:t>章 投标文件格式</w:t>
      </w:r>
      <w:bookmarkEnd w:id="47"/>
      <w:bookmarkEnd w:id="48"/>
      <w:bookmarkEnd w:id="49"/>
      <w:bookmarkEnd w:id="437"/>
    </w:p>
    <w:p w14:paraId="23EC65D1">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auto"/>
        </w:rPr>
      </w:pPr>
      <w:bookmarkStart w:id="438" w:name="_Toc328559335"/>
      <w:bookmarkStart w:id="439" w:name="_Toc245714172"/>
      <w:bookmarkStart w:id="440" w:name="_Toc273602354"/>
      <w:bookmarkStart w:id="441" w:name="_Toc232592019"/>
      <w:bookmarkStart w:id="442" w:name="_Toc220232394"/>
      <w:r>
        <w:rPr>
          <w:rFonts w:hint="eastAsia" w:ascii="黑体"/>
          <w:color w:val="auto"/>
        </w:rPr>
        <w:t>●</w:t>
      </w:r>
      <w:r>
        <w:rPr>
          <w:rFonts w:hint="eastAsia"/>
          <w:color w:val="auto"/>
        </w:rPr>
        <w:t>技术标</w:t>
      </w:r>
      <w:bookmarkEnd w:id="438"/>
      <w:bookmarkEnd w:id="439"/>
      <w:bookmarkEnd w:id="440"/>
    </w:p>
    <w:p w14:paraId="63BEA3A2">
      <w:pPr>
        <w:spacing w:line="900" w:lineRule="exact"/>
        <w:jc w:val="center"/>
        <w:rPr>
          <w:rFonts w:hint="eastAsia" w:ascii="宋体" w:hAnsi="宋体"/>
          <w:b/>
          <w:color w:val="auto"/>
          <w:sz w:val="44"/>
          <w:szCs w:val="44"/>
        </w:rPr>
      </w:pPr>
    </w:p>
    <w:p w14:paraId="1CDB8860">
      <w:pPr>
        <w:spacing w:line="900" w:lineRule="exact"/>
        <w:jc w:val="left"/>
        <w:rPr>
          <w:rFonts w:hint="default" w:ascii="宋体" w:hAnsi="宋体" w:eastAsia="宋体"/>
          <w:b/>
          <w:color w:val="auto"/>
          <w:sz w:val="44"/>
          <w:szCs w:val="44"/>
          <w:lang w:val="en-US" w:eastAsia="zh-CN"/>
        </w:rPr>
      </w:pPr>
      <w:r>
        <w:rPr>
          <w:rFonts w:hint="eastAsia" w:ascii="宋体" w:hAnsi="宋体"/>
          <w:b/>
          <w:color w:val="auto"/>
          <w:sz w:val="44"/>
          <w:szCs w:val="44"/>
          <w:u w:val="single"/>
          <w:lang w:val="en-US" w:eastAsia="zh-CN"/>
        </w:rPr>
        <w:t xml:space="preserve">                       </w:t>
      </w:r>
      <w:r>
        <w:rPr>
          <w:rFonts w:hint="eastAsia" w:ascii="宋体" w:hAnsi="宋体"/>
          <w:b/>
          <w:color w:val="auto"/>
          <w:sz w:val="44"/>
          <w:szCs w:val="44"/>
          <w:u w:val="none"/>
          <w:lang w:val="en-US" w:eastAsia="zh-CN"/>
        </w:rPr>
        <w:t>（项目名称）</w:t>
      </w:r>
    </w:p>
    <w:p w14:paraId="73A59AE0">
      <w:pPr>
        <w:spacing w:line="900" w:lineRule="exact"/>
        <w:jc w:val="center"/>
        <w:rPr>
          <w:rFonts w:hint="eastAsia" w:ascii="宋体" w:hAnsi="宋体"/>
          <w:b/>
          <w:color w:val="auto"/>
          <w:sz w:val="72"/>
        </w:rPr>
      </w:pPr>
      <w:r>
        <w:rPr>
          <w:rFonts w:hint="eastAsia" w:ascii="宋体" w:hAnsi="宋体"/>
          <w:b/>
          <w:color w:val="auto"/>
          <w:sz w:val="72"/>
        </w:rPr>
        <w:t>投</w:t>
      </w:r>
    </w:p>
    <w:p w14:paraId="5C23982D">
      <w:pPr>
        <w:spacing w:line="900" w:lineRule="exact"/>
        <w:jc w:val="center"/>
        <w:rPr>
          <w:rFonts w:hint="eastAsia" w:ascii="宋体" w:hAnsi="宋体"/>
          <w:b/>
          <w:color w:val="auto"/>
          <w:sz w:val="72"/>
        </w:rPr>
      </w:pPr>
      <w:r>
        <w:rPr>
          <w:rFonts w:hint="eastAsia" w:ascii="宋体" w:hAnsi="宋体"/>
          <w:b/>
          <w:color w:val="auto"/>
          <w:sz w:val="72"/>
        </w:rPr>
        <w:t>标</w:t>
      </w:r>
    </w:p>
    <w:p w14:paraId="3E9A2EF2">
      <w:pPr>
        <w:spacing w:line="900" w:lineRule="exact"/>
        <w:jc w:val="center"/>
        <w:rPr>
          <w:rFonts w:hint="eastAsia" w:ascii="宋体" w:hAnsi="宋体"/>
          <w:b/>
          <w:color w:val="auto"/>
          <w:sz w:val="72"/>
        </w:rPr>
      </w:pPr>
      <w:r>
        <w:rPr>
          <w:rFonts w:hint="eastAsia" w:ascii="宋体" w:hAnsi="宋体"/>
          <w:b/>
          <w:color w:val="auto"/>
          <w:sz w:val="72"/>
        </w:rPr>
        <w:t>文</w:t>
      </w:r>
    </w:p>
    <w:p w14:paraId="4E6B0D16">
      <w:pPr>
        <w:jc w:val="center"/>
        <w:rPr>
          <w:rFonts w:hint="eastAsia" w:ascii="宋体" w:hAnsi="宋体"/>
          <w:b/>
          <w:color w:val="auto"/>
          <w:sz w:val="72"/>
        </w:rPr>
      </w:pPr>
      <w:r>
        <w:rPr>
          <w:rFonts w:hint="eastAsia" w:ascii="宋体" w:hAnsi="宋体"/>
          <w:b/>
          <w:color w:val="auto"/>
          <w:sz w:val="72"/>
        </w:rPr>
        <w:t>件</w:t>
      </w:r>
    </w:p>
    <w:p w14:paraId="73CE656B">
      <w:pPr>
        <w:spacing w:after="120" w:afterLines="50" w:line="500" w:lineRule="exact"/>
        <w:jc w:val="center"/>
        <w:rPr>
          <w:rFonts w:hint="eastAsia" w:ascii="宋体" w:hAnsi="宋体"/>
          <w:b/>
          <w:color w:val="auto"/>
          <w:sz w:val="36"/>
          <w:szCs w:val="36"/>
        </w:rPr>
      </w:pPr>
      <w:r>
        <w:rPr>
          <w:rFonts w:hint="eastAsia" w:ascii="宋体" w:hAnsi="宋体"/>
          <w:b/>
          <w:color w:val="auto"/>
          <w:sz w:val="36"/>
          <w:szCs w:val="36"/>
        </w:rPr>
        <w:t>【技术标】</w:t>
      </w:r>
    </w:p>
    <w:p w14:paraId="1B6F4728">
      <w:pPr>
        <w:spacing w:after="120" w:afterLines="50" w:line="500" w:lineRule="exact"/>
        <w:jc w:val="center"/>
        <w:rPr>
          <w:rFonts w:hint="eastAsia" w:ascii="宋体" w:hAnsi="宋体"/>
          <w:b/>
          <w:color w:val="auto"/>
          <w:sz w:val="72"/>
        </w:rPr>
      </w:pPr>
    </w:p>
    <w:p w14:paraId="06AEAAD7">
      <w:pPr>
        <w:spacing w:after="120" w:afterLines="50" w:line="500" w:lineRule="exact"/>
        <w:rPr>
          <w:rFonts w:hint="eastAsia" w:ascii="宋体" w:hAnsi="宋体"/>
          <w:b/>
          <w:color w:val="auto"/>
          <w:sz w:val="32"/>
          <w:u w:val="single"/>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u w:val="single"/>
        </w:rPr>
        <w:t xml:space="preserve">   </w:t>
      </w:r>
    </w:p>
    <w:p w14:paraId="69D3FD1D">
      <w:pPr>
        <w:spacing w:after="120" w:afterLines="50" w:line="50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日</w:t>
      </w:r>
    </w:p>
    <w:p w14:paraId="17FF1D49">
      <w:pPr>
        <w:pStyle w:val="4"/>
        <w:outlineLvl w:val="9"/>
        <w:rPr>
          <w:rFonts w:hint="eastAsia" w:hAnsi="宋体"/>
          <w:color w:val="auto"/>
          <w:sz w:val="28"/>
        </w:rPr>
      </w:pPr>
    </w:p>
    <w:p w14:paraId="0079920D">
      <w:pPr>
        <w:rPr>
          <w:rFonts w:hint="eastAsia"/>
          <w:color w:val="auto"/>
        </w:rPr>
      </w:pPr>
    </w:p>
    <w:p w14:paraId="5D05C301">
      <w:pPr>
        <w:rPr>
          <w:rFonts w:hint="eastAsia"/>
          <w:color w:val="auto"/>
        </w:rPr>
      </w:pPr>
    </w:p>
    <w:p w14:paraId="494EF8BA">
      <w:pPr>
        <w:rPr>
          <w:rFonts w:hint="eastAsia"/>
          <w:color w:val="auto"/>
        </w:rPr>
      </w:pPr>
    </w:p>
    <w:p w14:paraId="65542D26">
      <w:pPr>
        <w:rPr>
          <w:rFonts w:hint="eastAsia"/>
          <w:color w:val="auto"/>
        </w:rPr>
      </w:pPr>
    </w:p>
    <w:p w14:paraId="2D2A87AE">
      <w:pPr>
        <w:rPr>
          <w:rFonts w:hint="eastAsia"/>
          <w:color w:val="auto"/>
        </w:rPr>
      </w:pPr>
    </w:p>
    <w:p w14:paraId="28D25707">
      <w:pPr>
        <w:rPr>
          <w:rFonts w:hint="eastAsia"/>
          <w:color w:val="auto"/>
        </w:rPr>
      </w:pPr>
    </w:p>
    <w:p w14:paraId="66344B5C">
      <w:pPr>
        <w:rPr>
          <w:rFonts w:hint="eastAsia"/>
          <w:color w:val="auto"/>
        </w:rPr>
      </w:pPr>
    </w:p>
    <w:p w14:paraId="5B72213A">
      <w:pPr>
        <w:rPr>
          <w:rFonts w:hint="eastAsia"/>
          <w:color w:val="auto"/>
        </w:rPr>
      </w:pPr>
    </w:p>
    <w:p w14:paraId="24D5D56D">
      <w:pPr>
        <w:rPr>
          <w:rFonts w:hint="eastAsia"/>
          <w:color w:val="auto"/>
        </w:rPr>
      </w:pPr>
    </w:p>
    <w:p w14:paraId="4AB38A0B">
      <w:pPr>
        <w:rPr>
          <w:rFonts w:hint="eastAsia"/>
          <w:color w:val="auto"/>
        </w:rPr>
      </w:pPr>
    </w:p>
    <w:p w14:paraId="2B277382">
      <w:pPr>
        <w:rPr>
          <w:rFonts w:hint="eastAsia"/>
          <w:color w:val="auto"/>
        </w:rPr>
      </w:pPr>
    </w:p>
    <w:p w14:paraId="7C8A7168">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Ansi="宋体"/>
          <w:color w:val="auto"/>
          <w:sz w:val="28"/>
        </w:rPr>
      </w:pPr>
      <w:bookmarkStart w:id="443" w:name="_Toc245714173"/>
      <w:bookmarkStart w:id="444" w:name="_Toc273602355"/>
      <w:bookmarkStart w:id="445" w:name="_Toc328559336"/>
      <w:r>
        <w:rPr>
          <w:rFonts w:hint="eastAsia" w:hAnsi="宋体"/>
          <w:color w:val="auto"/>
          <w:sz w:val="28"/>
        </w:rPr>
        <w:t>一．投标函</w:t>
      </w:r>
      <w:bookmarkEnd w:id="443"/>
      <w:bookmarkEnd w:id="444"/>
      <w:bookmarkEnd w:id="445"/>
    </w:p>
    <w:p w14:paraId="41736FCD">
      <w:pPr>
        <w:autoSpaceDE w:val="0"/>
        <w:autoSpaceDN w:val="0"/>
        <w:adjustRightInd w:val="0"/>
        <w:spacing w:line="360" w:lineRule="auto"/>
        <w:ind w:firstLine="200"/>
        <w:jc w:val="left"/>
        <w:rPr>
          <w:rFonts w:hint="default" w:ascii="宋体" w:hAnsi="宋体" w:eastAsia="宋体" w:cs="Times New Roman"/>
          <w:color w:val="auto"/>
          <w:sz w:val="24"/>
          <w:lang w:val="en-US"/>
        </w:rPr>
      </w:pPr>
      <w:r>
        <w:rPr>
          <w:rFonts w:hint="eastAsia" w:ascii="宋体" w:hAnsi="宋体"/>
          <w:color w:val="auto"/>
          <w:sz w:val="24"/>
        </w:rPr>
        <w:t>致：</w:t>
      </w:r>
      <w:r>
        <w:rPr>
          <w:rFonts w:hint="eastAsia" w:ascii="宋体" w:hAnsi="宋体" w:eastAsia="宋体" w:cs="Times New Roman"/>
          <w:color w:val="auto"/>
          <w:sz w:val="24"/>
          <w:lang w:val="en-US" w:eastAsia="zh-CN"/>
        </w:rPr>
        <w:t>合肥</w:t>
      </w:r>
      <w:r>
        <w:rPr>
          <w:rFonts w:hint="eastAsia" w:ascii="宋体" w:hAnsi="宋体" w:cs="Times New Roman"/>
          <w:color w:val="auto"/>
          <w:sz w:val="24"/>
          <w:lang w:val="en-US" w:eastAsia="zh-CN"/>
        </w:rPr>
        <w:t>市包河区乡村振兴投资</w:t>
      </w:r>
      <w:r>
        <w:rPr>
          <w:rFonts w:hint="eastAsia" w:ascii="宋体" w:hAnsi="宋体" w:eastAsia="宋体" w:cs="Times New Roman"/>
          <w:color w:val="auto"/>
          <w:sz w:val="24"/>
          <w:lang w:val="en-US" w:eastAsia="zh-CN"/>
        </w:rPr>
        <w:t>有限公司</w:t>
      </w:r>
    </w:p>
    <w:p w14:paraId="0E884FF7">
      <w:pPr>
        <w:adjustRightInd w:val="0"/>
        <w:snapToGrid w:val="0"/>
        <w:spacing w:before="48" w:beforeLines="20" w:after="48" w:afterLines="20" w:line="400" w:lineRule="exact"/>
        <w:rPr>
          <w:rFonts w:hint="eastAsia" w:ascii="宋体" w:hAnsi="宋体"/>
          <w:color w:val="auto"/>
          <w:szCs w:val="22"/>
          <w:u w:val="single"/>
        </w:rPr>
      </w:pPr>
      <w:r>
        <w:rPr>
          <w:rFonts w:hint="eastAsia" w:eastAsia="黑体"/>
          <w:snapToGrid w:val="0"/>
          <w:color w:val="auto"/>
          <w:kern w:val="0"/>
          <w:szCs w:val="21"/>
          <w:u w:val="single"/>
        </w:rPr>
        <w:t xml:space="preserve">       </w:t>
      </w:r>
      <w:r>
        <w:rPr>
          <w:snapToGrid w:val="0"/>
          <w:color w:val="auto"/>
          <w:kern w:val="0"/>
          <w:szCs w:val="21"/>
        </w:rPr>
        <w:t>（招标人名称）</w:t>
      </w:r>
      <w:r>
        <w:rPr>
          <w:rFonts w:hint="eastAsia"/>
          <w:snapToGrid w:val="0"/>
          <w:color w:val="auto"/>
          <w:kern w:val="0"/>
          <w:szCs w:val="21"/>
        </w:rPr>
        <w:t>：</w:t>
      </w:r>
    </w:p>
    <w:p w14:paraId="7791E7CA">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1. 我方已仔细研究</w:t>
      </w:r>
      <w:r>
        <w:rPr>
          <w:rFonts w:hint="eastAsia" w:ascii="宋体" w:hAnsi="宋体"/>
          <w:color w:val="auto"/>
          <w:szCs w:val="22"/>
          <w:u w:val="single"/>
        </w:rPr>
        <w:t xml:space="preserve">       </w:t>
      </w:r>
      <w:r>
        <w:rPr>
          <w:rFonts w:hint="eastAsia" w:ascii="宋体" w:hAnsi="宋体"/>
          <w:color w:val="auto"/>
          <w:szCs w:val="22"/>
        </w:rPr>
        <w:t>（项目名称）</w:t>
      </w:r>
      <w:r>
        <w:rPr>
          <w:rFonts w:hint="eastAsia" w:ascii="宋体" w:hAnsi="宋体"/>
          <w:color w:val="auto"/>
          <w:szCs w:val="22"/>
          <w:u w:val="single"/>
        </w:rPr>
        <w:t xml:space="preserve">   </w:t>
      </w:r>
      <w:r>
        <w:rPr>
          <w:rFonts w:hint="eastAsia" w:ascii="宋体" w:hAnsi="宋体"/>
          <w:color w:val="auto"/>
          <w:szCs w:val="22"/>
        </w:rPr>
        <w:t>标段招标文件的全部内容，在考察工程现场后，愿以</w:t>
      </w:r>
      <w:r>
        <w:rPr>
          <w:rFonts w:hint="eastAsia" w:ascii="宋体" w:hAnsi="宋体"/>
          <w:color w:val="auto"/>
          <w:szCs w:val="21"/>
          <w:u w:val="single"/>
        </w:rPr>
        <w:t>报价文件投标函中</w:t>
      </w:r>
      <w:r>
        <w:rPr>
          <w:rFonts w:hint="eastAsia" w:ascii="宋体" w:hAnsi="宋体"/>
          <w:color w:val="auto"/>
          <w:szCs w:val="22"/>
          <w:u w:val="single"/>
        </w:rPr>
        <w:t>的</w:t>
      </w:r>
      <w:r>
        <w:rPr>
          <w:rFonts w:hint="eastAsia" w:ascii="宋体" w:hAnsi="宋体"/>
          <w:color w:val="auto"/>
          <w:szCs w:val="22"/>
        </w:rPr>
        <w:t>投标总报价，按合同约定实施和完成承包工程，修补工程中的任何缺陷。</w:t>
      </w:r>
    </w:p>
    <w:p w14:paraId="45C05888">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2. 我方承诺在招标文件规定的投标有效期内不撤销投标文件。</w:t>
      </w:r>
    </w:p>
    <w:p w14:paraId="6371C654">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3. 工程质量：</w:t>
      </w:r>
      <w:r>
        <w:rPr>
          <w:rFonts w:hint="eastAsia" w:ascii="宋体" w:hAnsi="宋体"/>
          <w:color w:val="auto"/>
          <w:szCs w:val="22"/>
          <w:u w:val="single"/>
        </w:rPr>
        <w:t xml:space="preserve"> </w:t>
      </w:r>
      <w:r>
        <w:rPr>
          <w:rFonts w:hint="eastAsia" w:ascii="宋体" w:hAnsi="宋体"/>
          <w:color w:val="auto"/>
          <w:szCs w:val="22"/>
          <w:u w:val="single"/>
          <w:lang w:eastAsia="zh-CN"/>
        </w:rPr>
        <w:t>合格</w:t>
      </w:r>
      <w:r>
        <w:rPr>
          <w:rFonts w:hint="eastAsia" w:ascii="宋体" w:hAnsi="宋体"/>
          <w:color w:val="auto"/>
          <w:szCs w:val="22"/>
          <w:u w:val="single"/>
        </w:rPr>
        <w:t xml:space="preserve">  </w:t>
      </w:r>
      <w:r>
        <w:rPr>
          <w:rFonts w:hint="eastAsia" w:ascii="宋体" w:hAnsi="宋体"/>
          <w:color w:val="auto"/>
          <w:szCs w:val="22"/>
        </w:rPr>
        <w:t>；工期：</w:t>
      </w:r>
      <w:r>
        <w:rPr>
          <w:rFonts w:hint="eastAsia" w:ascii="宋体" w:hAnsi="宋体"/>
          <w:color w:val="auto"/>
          <w:szCs w:val="22"/>
          <w:u w:val="single"/>
        </w:rPr>
        <w:t xml:space="preserve">        </w:t>
      </w:r>
      <w:r>
        <w:rPr>
          <w:rFonts w:hint="eastAsia" w:ascii="宋体" w:hAnsi="宋体"/>
          <w:color w:val="auto"/>
          <w:szCs w:val="22"/>
        </w:rPr>
        <w:t>日历天。</w:t>
      </w:r>
    </w:p>
    <w:p w14:paraId="0FA39DA4">
      <w:pPr>
        <w:tabs>
          <w:tab w:val="left" w:pos="7560"/>
        </w:tabs>
        <w:adjustRightInd w:val="0"/>
        <w:snapToGrid w:val="0"/>
        <w:spacing w:before="48" w:beforeLines="20" w:after="48" w:afterLines="20" w:line="400" w:lineRule="exact"/>
        <w:ind w:firstLine="420" w:firstLineChars="200"/>
        <w:jc w:val="left"/>
        <w:rPr>
          <w:rFonts w:hint="eastAsia" w:ascii="宋体" w:hAnsi="宋体"/>
          <w:bCs/>
          <w:color w:val="auto"/>
          <w:szCs w:val="32"/>
        </w:rPr>
      </w:pPr>
      <w:r>
        <w:rPr>
          <w:rFonts w:hint="eastAsia" w:ascii="宋体" w:hAnsi="宋体"/>
          <w:bCs/>
          <w:color w:val="auto"/>
          <w:szCs w:val="32"/>
        </w:rPr>
        <w:t>4. 我方将与本投标函一起提交投标保证金，且承诺投标保证金转出账户真实有效。</w:t>
      </w:r>
    </w:p>
    <w:p w14:paraId="04726ED7">
      <w:pPr>
        <w:tabs>
          <w:tab w:val="left" w:pos="7560"/>
        </w:tabs>
        <w:adjustRightInd w:val="0"/>
        <w:snapToGrid w:val="0"/>
        <w:spacing w:before="48" w:beforeLines="20" w:after="48" w:afterLines="20" w:line="400" w:lineRule="exact"/>
        <w:ind w:firstLine="420" w:firstLineChars="200"/>
        <w:jc w:val="left"/>
        <w:outlineLvl w:val="2"/>
        <w:rPr>
          <w:rFonts w:hint="eastAsia" w:ascii="宋体" w:hAnsi="宋体"/>
          <w:bCs/>
          <w:color w:val="auto"/>
          <w:szCs w:val="32"/>
        </w:rPr>
      </w:pPr>
      <w:r>
        <w:rPr>
          <w:rFonts w:hint="eastAsia" w:ascii="宋体" w:hAnsi="宋体"/>
          <w:bCs/>
          <w:color w:val="auto"/>
          <w:szCs w:val="32"/>
        </w:rPr>
        <w:t>5. 如我方中标，我方承诺：</w:t>
      </w:r>
    </w:p>
    <w:p w14:paraId="06D59B58">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（1）在收到中标通知书后，在中标通知书规定的期限内与你方签订合同；</w:t>
      </w:r>
    </w:p>
    <w:p w14:paraId="21EA0892">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（2）在签订合同时不向你方提出附加条件；</w:t>
      </w:r>
    </w:p>
    <w:p w14:paraId="121A616B">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（3）按照招标文件要求提交履约保证金；</w:t>
      </w:r>
    </w:p>
    <w:p w14:paraId="38723DBF">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（4）在合同约定的期限内完成合同规定的全部义务；</w:t>
      </w:r>
    </w:p>
    <w:p w14:paraId="46DB5A50">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69C2EFD8">
      <w:pPr>
        <w:adjustRightInd w:val="0"/>
        <w:snapToGrid w:val="0"/>
        <w:spacing w:before="48" w:beforeLines="20" w:after="48" w:afterLines="20" w:line="400" w:lineRule="exact"/>
        <w:ind w:firstLine="367" w:firstLineChars="175"/>
        <w:rPr>
          <w:rFonts w:hint="eastAsia" w:ascii="宋体" w:hAnsi="宋体"/>
          <w:color w:val="auto"/>
          <w:szCs w:val="22"/>
        </w:rPr>
      </w:pPr>
      <w:r>
        <w:rPr>
          <w:rFonts w:hint="eastAsia" w:ascii="宋体" w:hAnsi="宋体"/>
          <w:bCs/>
          <w:color w:val="auto"/>
          <w:szCs w:val="32"/>
        </w:rPr>
        <w:t>（6）</w:t>
      </w:r>
      <w:r>
        <w:rPr>
          <w:rFonts w:hint="eastAsia" w:ascii="宋体" w:hAnsi="宋体"/>
          <w:color w:val="auto"/>
          <w:szCs w:val="22"/>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5DA506E1">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（7）投标报价中已包含招标文件公布的施工扬尘污染防治措施费用，我方将按照招标文件要求对农民工工资、扬尘污染防治进行办理专户设立、工资支付等事宜。</w:t>
      </w:r>
    </w:p>
    <w:p w14:paraId="21A15917">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6.</w:t>
      </w:r>
      <w:r>
        <w:rPr>
          <w:snapToGrid w:val="0"/>
          <w:color w:val="auto"/>
          <w:kern w:val="0"/>
          <w:szCs w:val="21"/>
        </w:rPr>
        <w:t xml:space="preserve"> 我方在此声明，所递交的投标文件及有关资料内容完整、真实和准确，且不存在招标文件第二章“投标人须知”第1.4.3项和第1.4.4项规定的任何一种情形。</w:t>
      </w:r>
    </w:p>
    <w:p w14:paraId="6BB53063">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7. 除非另外达成协议并生效，你方的中标通知书和本投标文件以及招标文件、招标文件澄清、修改、补充文件将成为约束双方的合同文件的组成部分。</w:t>
      </w:r>
    </w:p>
    <w:p w14:paraId="346A1FEA">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 xml:space="preserve">8. </w:t>
      </w:r>
      <w:r>
        <w:rPr>
          <w:rFonts w:hint="eastAsia" w:eastAsia="黑体"/>
          <w:snapToGrid w:val="0"/>
          <w:color w:val="auto"/>
          <w:kern w:val="0"/>
          <w:szCs w:val="21"/>
          <w:u w:val="single"/>
        </w:rPr>
        <w:t xml:space="preserve">                          </w:t>
      </w:r>
      <w:r>
        <w:rPr>
          <w:snapToGrid w:val="0"/>
          <w:color w:val="auto"/>
          <w:kern w:val="0"/>
          <w:szCs w:val="21"/>
        </w:rPr>
        <w:t>（其他补充说明）。</w:t>
      </w:r>
    </w:p>
    <w:p w14:paraId="00690EEE">
      <w:pPr>
        <w:adjustRightInd w:val="0"/>
        <w:snapToGrid w:val="0"/>
        <w:spacing w:before="48" w:beforeLines="20" w:after="48" w:afterLines="20" w:line="400" w:lineRule="exact"/>
        <w:ind w:firstLine="490" w:firstLineChars="175"/>
        <w:rPr>
          <w:rFonts w:hint="eastAsia" w:ascii="宋体" w:hAnsi="宋体"/>
          <w:bCs/>
          <w:color w:val="auto"/>
          <w:sz w:val="28"/>
          <w:szCs w:val="32"/>
        </w:rPr>
      </w:pPr>
    </w:p>
    <w:p w14:paraId="09D8BF8C">
      <w:pPr>
        <w:adjustRightInd w:val="0"/>
        <w:snapToGrid w:val="0"/>
        <w:spacing w:before="48" w:beforeLines="20" w:after="48" w:afterLines="20" w:line="400" w:lineRule="exact"/>
        <w:ind w:firstLine="367" w:firstLineChars="175"/>
        <w:rPr>
          <w:rFonts w:hint="eastAsia" w:ascii="宋体" w:hAnsi="宋体"/>
          <w:bCs/>
          <w:color w:val="auto"/>
          <w:szCs w:val="21"/>
          <w:u w:val="single"/>
        </w:rPr>
      </w:pPr>
      <w:r>
        <w:rPr>
          <w:rFonts w:hint="eastAsia" w:ascii="宋体" w:hAnsi="宋体"/>
          <w:bCs/>
          <w:color w:val="auto"/>
          <w:szCs w:val="21"/>
        </w:rPr>
        <w:t>投 标 人：</w:t>
      </w:r>
      <w:r>
        <w:rPr>
          <w:rFonts w:hint="eastAsia" w:ascii="宋体" w:hAnsi="宋体"/>
          <w:bCs/>
          <w:color w:val="auto"/>
          <w:szCs w:val="21"/>
          <w:u w:val="single"/>
        </w:rPr>
        <w:t xml:space="preserve">                                             </w:t>
      </w:r>
      <w:r>
        <w:rPr>
          <w:rFonts w:hint="eastAsia" w:ascii="宋体" w:hAnsi="宋体"/>
          <w:bCs/>
          <w:color w:val="auto"/>
          <w:szCs w:val="21"/>
        </w:rPr>
        <w:t>（盖单位章）</w:t>
      </w:r>
    </w:p>
    <w:p w14:paraId="0F689744">
      <w:pPr>
        <w:adjustRightInd w:val="0"/>
        <w:snapToGrid w:val="0"/>
        <w:spacing w:before="48" w:beforeLines="20" w:after="48" w:afterLines="20" w:line="400" w:lineRule="exact"/>
        <w:ind w:firstLine="367" w:firstLineChars="175"/>
        <w:rPr>
          <w:rFonts w:hint="eastAsia"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2C10695A">
      <w:pPr>
        <w:adjustRightInd w:val="0"/>
        <w:snapToGrid w:val="0"/>
        <w:spacing w:before="48" w:beforeLines="20" w:after="48" w:afterLines="20" w:line="400" w:lineRule="exact"/>
        <w:ind w:firstLine="367" w:firstLineChars="175"/>
        <w:rPr>
          <w:rFonts w:hint="eastAsia"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 xml:space="preserve">                                                       </w:t>
      </w:r>
    </w:p>
    <w:p w14:paraId="47AB4E06">
      <w:pPr>
        <w:adjustRightInd w:val="0"/>
        <w:snapToGrid w:val="0"/>
        <w:spacing w:before="48" w:beforeLines="20" w:after="48" w:afterLines="20" w:line="400" w:lineRule="exact"/>
        <w:ind w:firstLine="367" w:firstLineChars="175"/>
        <w:rPr>
          <w:rFonts w:hint="eastAsia" w:ascii="宋体" w:hAnsi="宋体"/>
          <w:color w:val="auto"/>
          <w:szCs w:val="21"/>
        </w:rPr>
      </w:pPr>
      <w:r>
        <w:rPr>
          <w:rFonts w:hint="eastAsia" w:ascii="宋体" w:hAnsi="宋体"/>
          <w:bCs/>
          <w:color w:val="auto"/>
          <w:szCs w:val="21"/>
        </w:rPr>
        <w:t>邮政编码</w:t>
      </w:r>
      <w:r>
        <w:rPr>
          <w:rFonts w:hint="eastAsia" w:ascii="宋体" w:hAnsi="宋体"/>
          <w:color w:val="auto"/>
          <w:szCs w:val="21"/>
        </w:rPr>
        <w:t>：</w:t>
      </w:r>
      <w:r>
        <w:rPr>
          <w:rFonts w:hint="eastAsia" w:ascii="宋体" w:hAnsi="宋体"/>
          <w:bCs/>
          <w:color w:val="auto"/>
          <w:szCs w:val="32"/>
          <w:u w:val="single"/>
        </w:rPr>
        <w:t xml:space="preserve">           </w:t>
      </w:r>
      <w:r>
        <w:rPr>
          <w:rFonts w:hint="eastAsia" w:ascii="宋体" w:hAnsi="宋体"/>
          <w:color w:val="auto"/>
          <w:szCs w:val="21"/>
        </w:rPr>
        <w:t>电话：</w:t>
      </w:r>
      <w:r>
        <w:rPr>
          <w:rFonts w:hint="eastAsia" w:ascii="宋体" w:hAnsi="宋体"/>
          <w:bCs/>
          <w:color w:val="auto"/>
          <w:szCs w:val="32"/>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p>
    <w:p w14:paraId="3F5319D9">
      <w:pPr>
        <w:adjustRightInd w:val="0"/>
        <w:snapToGrid w:val="0"/>
        <w:spacing w:before="48" w:beforeLines="20" w:after="48" w:afterLines="20" w:line="400" w:lineRule="exact"/>
        <w:ind w:firstLine="367" w:firstLineChars="175"/>
        <w:rPr>
          <w:rFonts w:hint="eastAsia" w:ascii="宋体" w:hAnsi="宋体"/>
          <w:color w:val="auto"/>
          <w:szCs w:val="21"/>
        </w:rPr>
      </w:pPr>
      <w:r>
        <w:rPr>
          <w:rFonts w:hint="eastAsia" w:ascii="宋体" w:hAnsi="宋体"/>
          <w:bCs/>
          <w:color w:val="auto"/>
          <w:szCs w:val="21"/>
        </w:rPr>
        <w:t>日期</w:t>
      </w:r>
      <w:r>
        <w:rPr>
          <w:rFonts w:hint="eastAsia"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664B61BF">
      <w:pPr>
        <w:tabs>
          <w:tab w:val="left" w:pos="630"/>
        </w:tabs>
        <w:spacing w:line="360" w:lineRule="auto"/>
        <w:ind w:firstLine="630"/>
        <w:rPr>
          <w:rFonts w:hint="eastAsia" w:ascii="宋体" w:hAnsi="宋体"/>
          <w:color w:val="auto"/>
          <w:sz w:val="24"/>
        </w:rPr>
      </w:pPr>
    </w:p>
    <w:p w14:paraId="42A0A60E">
      <w:pPr>
        <w:tabs>
          <w:tab w:val="left" w:pos="630"/>
        </w:tabs>
        <w:spacing w:line="360" w:lineRule="auto"/>
        <w:ind w:firstLine="630"/>
        <w:rPr>
          <w:rFonts w:hint="eastAsia" w:ascii="宋体" w:hAnsi="宋体"/>
          <w:color w:val="auto"/>
          <w:sz w:val="24"/>
        </w:rPr>
      </w:pPr>
    </w:p>
    <w:p w14:paraId="7F4118FC">
      <w:pPr>
        <w:tabs>
          <w:tab w:val="left" w:pos="630"/>
        </w:tabs>
        <w:spacing w:line="360" w:lineRule="auto"/>
        <w:ind w:firstLine="630"/>
        <w:rPr>
          <w:rFonts w:hint="eastAsia" w:ascii="宋体" w:hAnsi="宋体"/>
          <w:color w:val="auto"/>
          <w:sz w:val="24"/>
        </w:rPr>
      </w:pPr>
    </w:p>
    <w:p w14:paraId="583C44BB">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hAnsi="宋体"/>
          <w:color w:val="auto"/>
          <w:sz w:val="28"/>
        </w:rPr>
      </w:pPr>
      <w:bookmarkStart w:id="446" w:name="_Toc273602356"/>
      <w:bookmarkStart w:id="447" w:name="_Toc245714174"/>
      <w:bookmarkStart w:id="448" w:name="_Toc328559337"/>
      <w:r>
        <w:rPr>
          <w:rFonts w:hint="eastAsia" w:hAnsi="宋体"/>
          <w:color w:val="auto"/>
          <w:sz w:val="28"/>
        </w:rPr>
        <w:t>二．投标授权书</w:t>
      </w:r>
      <w:bookmarkEnd w:id="446"/>
      <w:bookmarkEnd w:id="447"/>
      <w:bookmarkEnd w:id="448"/>
    </w:p>
    <w:p w14:paraId="30223C47">
      <w:pPr>
        <w:jc w:val="center"/>
        <w:outlineLvl w:val="2"/>
        <w:rPr>
          <w:rFonts w:hint="eastAsia"/>
          <w:color w:val="auto"/>
          <w:sz w:val="32"/>
          <w:szCs w:val="32"/>
        </w:rPr>
      </w:pPr>
      <w:r>
        <w:rPr>
          <w:rFonts w:hint="eastAsia" w:ascii="黑体" w:hAnsi="黑体" w:eastAsia="黑体"/>
          <w:bCs/>
          <w:color w:val="auto"/>
          <w:sz w:val="24"/>
        </w:rPr>
        <w:t>授权委托书</w:t>
      </w:r>
    </w:p>
    <w:p w14:paraId="75D3EEAF">
      <w:pPr>
        <w:rPr>
          <w:rFonts w:hint="eastAsia"/>
          <w:color w:val="auto"/>
        </w:rPr>
      </w:pPr>
    </w:p>
    <w:p w14:paraId="29ABA1D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（投标人名称）的法定代表人，现委托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（姓名）为我方代理人。代理人根据授权，以我方名义签署、澄清、说明、补正、递交、撤回、修改</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标段施工投标文件、签订合同和处理有关事宜，其法律后果由我方承担。</w:t>
      </w:r>
    </w:p>
    <w:p w14:paraId="56D0FA92">
      <w:pPr>
        <w:snapToGrid w:val="0"/>
        <w:spacing w:line="360" w:lineRule="auto"/>
        <w:ind w:firstLine="420" w:firstLineChars="200"/>
        <w:rPr>
          <w:rFonts w:hint="eastAsia"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r>
        <w:rPr>
          <w:rFonts w:hint="eastAsia" w:ascii="宋体" w:hAnsi="宋体"/>
          <w:color w:val="auto"/>
          <w:szCs w:val="21"/>
        </w:rPr>
        <w:t>。</w:t>
      </w:r>
    </w:p>
    <w:p w14:paraId="1724CE9A">
      <w:pPr>
        <w:snapToGrid w:val="0"/>
        <w:spacing w:line="360" w:lineRule="auto"/>
        <w:ind w:firstLine="420" w:firstLineChars="200"/>
        <w:rPr>
          <w:rFonts w:hint="eastAsia" w:ascii="宋体" w:hAnsi="宋体"/>
          <w:color w:val="auto"/>
          <w:szCs w:val="21"/>
        </w:rPr>
      </w:pPr>
      <w:r>
        <w:rPr>
          <w:rFonts w:hint="eastAsia" w:ascii="宋体" w:hAnsi="宋体"/>
          <w:color w:val="auto"/>
          <w:szCs w:val="21"/>
        </w:rPr>
        <w:t>代理人无转委托权。</w:t>
      </w:r>
    </w:p>
    <w:p w14:paraId="4BC4D18E">
      <w:pPr>
        <w:snapToGrid w:val="0"/>
        <w:spacing w:line="360" w:lineRule="auto"/>
        <w:ind w:firstLine="420" w:firstLineChars="200"/>
        <w:rPr>
          <w:rFonts w:hint="eastAsia" w:ascii="宋体" w:hAnsi="宋体"/>
          <w:color w:val="auto"/>
          <w:szCs w:val="21"/>
        </w:rPr>
      </w:pPr>
      <w:r>
        <w:rPr>
          <w:rFonts w:hint="eastAsia" w:ascii="宋体" w:hAnsi="宋体"/>
          <w:color w:val="auto"/>
          <w:szCs w:val="21"/>
        </w:rPr>
        <w:t>附：法定代表人身份证明</w:t>
      </w:r>
    </w:p>
    <w:p w14:paraId="3DE6A035">
      <w:pPr>
        <w:snapToGrid w:val="0"/>
        <w:spacing w:line="360" w:lineRule="auto"/>
        <w:ind w:firstLine="630" w:firstLineChars="300"/>
        <w:rPr>
          <w:rFonts w:hint="eastAsia" w:ascii="宋体" w:hAnsi="宋体" w:eastAsia="宋体"/>
          <w:color w:val="auto"/>
          <w:szCs w:val="21"/>
          <w:lang w:eastAsia="zh-CN"/>
        </w:rPr>
      </w:pPr>
      <w:r>
        <w:rPr>
          <w:rFonts w:hint="eastAsia" w:ascii="宋体" w:hAnsi="宋体"/>
          <w:color w:val="auto"/>
          <w:szCs w:val="21"/>
          <w:lang w:eastAsia="zh-CN"/>
        </w:rPr>
        <w:t>被委托授权人身份证明</w:t>
      </w:r>
    </w:p>
    <w:p w14:paraId="6F790C7A">
      <w:pPr>
        <w:spacing w:line="500" w:lineRule="exact"/>
        <w:rPr>
          <w:rFonts w:hint="eastAsia" w:ascii="宋体" w:hAnsi="宋体"/>
          <w:color w:val="auto"/>
          <w:szCs w:val="21"/>
        </w:rPr>
      </w:pPr>
    </w:p>
    <w:p w14:paraId="187344B3">
      <w:pPr>
        <w:spacing w:line="400" w:lineRule="exact"/>
        <w:ind w:firstLine="3570" w:firstLineChars="1700"/>
        <w:rPr>
          <w:rFonts w:hint="eastAsia" w:ascii="宋体" w:hAnsi="宋体"/>
          <w:color w:val="auto"/>
          <w:szCs w:val="21"/>
        </w:rPr>
      </w:pP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（盖单位章）</w:t>
      </w:r>
    </w:p>
    <w:p w14:paraId="09C6FFA8">
      <w:pPr>
        <w:spacing w:line="400" w:lineRule="exact"/>
        <w:ind w:firstLine="3570" w:firstLineChars="1700"/>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0665670B">
      <w:pPr>
        <w:spacing w:line="400" w:lineRule="exact"/>
        <w:ind w:firstLine="3570" w:firstLineChars="1700"/>
        <w:rPr>
          <w:rFonts w:hint="eastAsia"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14:paraId="3267AFD3">
      <w:pPr>
        <w:spacing w:line="400" w:lineRule="exact"/>
        <w:ind w:firstLine="4830" w:firstLineChars="2300"/>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BFD3A72">
      <w:pPr>
        <w:autoSpaceDE w:val="0"/>
        <w:autoSpaceDN w:val="0"/>
        <w:adjustRightInd w:val="0"/>
        <w:snapToGrid w:val="0"/>
        <w:spacing w:line="360" w:lineRule="auto"/>
        <w:jc w:val="left"/>
        <w:rPr>
          <w:rFonts w:hint="eastAsia" w:ascii="宋体" w:hAnsi="宋体"/>
          <w:color w:val="auto"/>
          <w:kern w:val="0"/>
          <w:szCs w:val="22"/>
        </w:rPr>
      </w:pPr>
    </w:p>
    <w:p w14:paraId="77B15CE5">
      <w:pPr>
        <w:tabs>
          <w:tab w:val="left" w:pos="5760"/>
        </w:tabs>
        <w:autoSpaceDE w:val="0"/>
        <w:autoSpaceDN w:val="0"/>
        <w:adjustRightInd w:val="0"/>
        <w:spacing w:line="300" w:lineRule="exact"/>
        <w:ind w:right="11"/>
        <w:rPr>
          <w:rFonts w:hint="eastAsia" w:ascii="宋体" w:hAnsi="宋体"/>
          <w:color w:val="auto"/>
          <w:kern w:val="0"/>
          <w:szCs w:val="22"/>
        </w:rPr>
      </w:pPr>
      <w:r>
        <w:rPr>
          <w:rFonts w:hint="eastAsia" w:ascii="宋体" w:hAnsi="宋体"/>
          <w:color w:val="auto"/>
          <w:kern w:val="0"/>
          <w:szCs w:val="22"/>
        </w:rPr>
        <w:t>注：</w:t>
      </w:r>
    </w:p>
    <w:p w14:paraId="5A5BD224">
      <w:pPr>
        <w:tabs>
          <w:tab w:val="left" w:pos="5760"/>
        </w:tabs>
        <w:autoSpaceDE w:val="0"/>
        <w:autoSpaceDN w:val="0"/>
        <w:adjustRightInd w:val="0"/>
        <w:spacing w:line="300" w:lineRule="exact"/>
        <w:ind w:right="11"/>
        <w:rPr>
          <w:rFonts w:ascii="宋体" w:hAnsi="宋体"/>
          <w:color w:val="auto"/>
          <w:kern w:val="0"/>
          <w:szCs w:val="22"/>
        </w:rPr>
      </w:pPr>
      <w:r>
        <w:rPr>
          <w:rFonts w:hint="eastAsia" w:ascii="宋体" w:hAnsi="宋体"/>
          <w:color w:val="auto"/>
          <w:kern w:val="0"/>
          <w:szCs w:val="22"/>
        </w:rPr>
        <w:t>法定代表人参加投标活动并签署文件的不需要授权委托书，只需提供法定代表人身份证明；非法定代表人参加投标活动及签署文件的还须提供授权委托书。</w:t>
      </w:r>
    </w:p>
    <w:p w14:paraId="254F7EFB">
      <w:pPr>
        <w:rPr>
          <w:rFonts w:hint="eastAsia" w:ascii="宋体" w:hAnsi="宋体"/>
          <w:color w:val="auto"/>
          <w:sz w:val="24"/>
          <w:szCs w:val="28"/>
        </w:rPr>
      </w:pPr>
    </w:p>
    <w:p w14:paraId="3702A861">
      <w:pPr>
        <w:rPr>
          <w:rFonts w:hint="eastAsia" w:ascii="宋体" w:hAnsi="宋体"/>
          <w:color w:val="auto"/>
          <w:sz w:val="24"/>
          <w:szCs w:val="28"/>
        </w:rPr>
      </w:pPr>
    </w:p>
    <w:p w14:paraId="28FD7DCC">
      <w:pPr>
        <w:rPr>
          <w:rFonts w:hint="eastAsia" w:ascii="宋体" w:hAnsi="宋体"/>
          <w:color w:val="auto"/>
          <w:sz w:val="24"/>
          <w:szCs w:val="28"/>
        </w:rPr>
      </w:pPr>
    </w:p>
    <w:p w14:paraId="487A8AF6">
      <w:pPr>
        <w:rPr>
          <w:rFonts w:hint="eastAsia" w:ascii="宋体" w:hAnsi="宋体"/>
          <w:color w:val="auto"/>
          <w:sz w:val="24"/>
          <w:szCs w:val="28"/>
        </w:rPr>
      </w:pPr>
    </w:p>
    <w:p w14:paraId="4F126F51">
      <w:pPr>
        <w:rPr>
          <w:rFonts w:hint="eastAsia" w:ascii="宋体" w:hAnsi="宋体"/>
          <w:color w:val="auto"/>
          <w:sz w:val="24"/>
          <w:szCs w:val="28"/>
        </w:rPr>
      </w:pPr>
    </w:p>
    <w:p w14:paraId="193D0E84">
      <w:pPr>
        <w:rPr>
          <w:rFonts w:hint="eastAsia" w:ascii="宋体" w:hAnsi="宋体"/>
          <w:color w:val="auto"/>
          <w:sz w:val="24"/>
          <w:szCs w:val="28"/>
        </w:rPr>
      </w:pPr>
    </w:p>
    <w:p w14:paraId="402559E9">
      <w:pPr>
        <w:rPr>
          <w:rFonts w:hint="eastAsia" w:ascii="宋体" w:hAnsi="宋体"/>
          <w:color w:val="auto"/>
          <w:sz w:val="24"/>
          <w:szCs w:val="28"/>
        </w:rPr>
      </w:pPr>
    </w:p>
    <w:p w14:paraId="4731F8E0">
      <w:pPr>
        <w:rPr>
          <w:rFonts w:hint="eastAsia" w:ascii="宋体" w:hAnsi="宋体"/>
          <w:color w:val="auto"/>
          <w:sz w:val="24"/>
          <w:szCs w:val="28"/>
        </w:rPr>
      </w:pPr>
    </w:p>
    <w:p w14:paraId="6FF34DDD">
      <w:pPr>
        <w:rPr>
          <w:rFonts w:hint="eastAsia" w:ascii="宋体" w:hAnsi="宋体"/>
          <w:color w:val="auto"/>
          <w:sz w:val="24"/>
          <w:szCs w:val="28"/>
        </w:rPr>
      </w:pPr>
    </w:p>
    <w:p w14:paraId="23D85819">
      <w:pPr>
        <w:rPr>
          <w:rFonts w:hint="eastAsia" w:ascii="宋体" w:hAnsi="宋体"/>
          <w:color w:val="auto"/>
          <w:sz w:val="24"/>
          <w:szCs w:val="28"/>
        </w:rPr>
      </w:pPr>
    </w:p>
    <w:p w14:paraId="0AA7C84B">
      <w:pPr>
        <w:rPr>
          <w:rFonts w:hint="eastAsia" w:ascii="宋体" w:hAnsi="宋体"/>
          <w:color w:val="auto"/>
          <w:sz w:val="24"/>
          <w:szCs w:val="28"/>
        </w:rPr>
      </w:pPr>
    </w:p>
    <w:p w14:paraId="69BCE15C">
      <w:pPr>
        <w:rPr>
          <w:rFonts w:hint="eastAsia" w:ascii="宋体" w:hAnsi="宋体"/>
          <w:color w:val="auto"/>
          <w:sz w:val="24"/>
          <w:szCs w:val="28"/>
        </w:rPr>
      </w:pPr>
    </w:p>
    <w:p w14:paraId="47803C14">
      <w:pPr>
        <w:rPr>
          <w:rFonts w:hint="eastAsia" w:ascii="宋体" w:hAnsi="宋体"/>
          <w:color w:val="auto"/>
          <w:sz w:val="24"/>
          <w:szCs w:val="28"/>
        </w:rPr>
      </w:pPr>
    </w:p>
    <w:p w14:paraId="3ECB8A72">
      <w:pPr>
        <w:rPr>
          <w:rFonts w:hint="eastAsia" w:ascii="宋体" w:hAnsi="宋体"/>
          <w:color w:val="auto"/>
          <w:sz w:val="24"/>
          <w:szCs w:val="28"/>
        </w:rPr>
      </w:pPr>
    </w:p>
    <w:p w14:paraId="6C233FEE">
      <w:pPr>
        <w:rPr>
          <w:rFonts w:hint="eastAsia" w:ascii="宋体" w:hAnsi="宋体"/>
          <w:color w:val="auto"/>
          <w:sz w:val="24"/>
          <w:szCs w:val="28"/>
        </w:rPr>
      </w:pPr>
    </w:p>
    <w:p w14:paraId="07E0FD75">
      <w:pPr>
        <w:pStyle w:val="4"/>
        <w:keepNext/>
        <w:keepLines/>
        <w:pageBreakBefore/>
        <w:widowControl w:val="0"/>
        <w:numPr>
          <w:ilvl w:val="0"/>
          <w:numId w:val="5"/>
        </w:numPr>
        <w:kinsoku/>
        <w:wordWrap/>
        <w:overflowPunct/>
        <w:topLinePunct w:val="0"/>
        <w:autoSpaceDE/>
        <w:autoSpaceDN/>
        <w:bidi w:val="0"/>
        <w:adjustRightInd/>
        <w:snapToGrid/>
        <w:spacing w:line="413" w:lineRule="auto"/>
        <w:textAlignment w:val="auto"/>
        <w:outlineLvl w:val="1"/>
        <w:rPr>
          <w:rFonts w:hint="eastAsia"/>
          <w:color w:val="auto"/>
        </w:rPr>
      </w:pPr>
      <w:bookmarkStart w:id="449" w:name="_Toc245714175"/>
      <w:bookmarkStart w:id="450" w:name="_Toc273602357"/>
      <w:bookmarkStart w:id="451" w:name="_Toc328559338"/>
      <w:r>
        <w:rPr>
          <w:rFonts w:hint="eastAsia"/>
          <w:color w:val="auto"/>
        </w:rPr>
        <w:t>投标人</w:t>
      </w:r>
      <w:bookmarkEnd w:id="449"/>
      <w:bookmarkEnd w:id="450"/>
      <w:bookmarkEnd w:id="451"/>
      <w:r>
        <w:rPr>
          <w:rFonts w:hint="eastAsia"/>
          <w:color w:val="auto"/>
          <w:lang w:eastAsia="zh-CN"/>
        </w:rPr>
        <w:t>综合简介</w:t>
      </w:r>
    </w:p>
    <w:p w14:paraId="231D9517">
      <w:pPr>
        <w:spacing w:line="500" w:lineRule="exact"/>
        <w:jc w:val="center"/>
        <w:outlineLvl w:val="2"/>
        <w:rPr>
          <w:rFonts w:hint="eastAsia" w:ascii="宋体" w:hAnsi="宋体"/>
          <w:color w:val="auto"/>
          <w:sz w:val="28"/>
        </w:rPr>
      </w:pPr>
      <w:r>
        <w:rPr>
          <w:rFonts w:hint="eastAsia" w:ascii="宋体" w:hAnsi="宋体"/>
          <w:b/>
          <w:bCs/>
          <w:color w:val="auto"/>
          <w:sz w:val="24"/>
          <w:szCs w:val="24"/>
        </w:rPr>
        <w:t>（</w:t>
      </w:r>
      <w:r>
        <w:rPr>
          <w:rFonts w:hint="eastAsia" w:ascii="宋体" w:hAnsi="宋体"/>
          <w:bCs/>
          <w:color w:val="auto"/>
          <w:sz w:val="24"/>
          <w:szCs w:val="24"/>
        </w:rPr>
        <w:t>投标人可自行制作格式</w:t>
      </w:r>
      <w:r>
        <w:rPr>
          <w:rFonts w:hint="eastAsia" w:ascii="宋体" w:hAnsi="宋体"/>
          <w:b/>
          <w:bCs/>
          <w:color w:val="auto"/>
          <w:sz w:val="24"/>
          <w:szCs w:val="24"/>
        </w:rPr>
        <w:t>）</w:t>
      </w:r>
    </w:p>
    <w:p w14:paraId="627BF47F">
      <w:pPr>
        <w:numPr>
          <w:ilvl w:val="0"/>
          <w:numId w:val="0"/>
        </w:numPr>
        <w:rPr>
          <w:rFonts w:hint="eastAsia"/>
          <w:color w:val="auto"/>
        </w:rPr>
      </w:pPr>
    </w:p>
    <w:p w14:paraId="5EA6D94A">
      <w:pPr>
        <w:rPr>
          <w:rFonts w:hint="eastAsia"/>
          <w:color w:val="auto"/>
          <w:sz w:val="30"/>
          <w:szCs w:val="30"/>
        </w:rPr>
      </w:pPr>
    </w:p>
    <w:p w14:paraId="6294074F">
      <w:pPr>
        <w:rPr>
          <w:rFonts w:hint="eastAsia"/>
          <w:color w:val="auto"/>
          <w:sz w:val="30"/>
          <w:szCs w:val="30"/>
        </w:rPr>
      </w:pPr>
    </w:p>
    <w:p w14:paraId="70EFF152">
      <w:pPr>
        <w:rPr>
          <w:rFonts w:hint="eastAsia"/>
          <w:color w:val="auto"/>
          <w:sz w:val="30"/>
          <w:szCs w:val="30"/>
        </w:rPr>
      </w:pPr>
    </w:p>
    <w:p w14:paraId="0F7DCB0D">
      <w:pPr>
        <w:rPr>
          <w:rFonts w:hint="eastAsia"/>
          <w:color w:val="auto"/>
          <w:sz w:val="30"/>
          <w:szCs w:val="30"/>
        </w:rPr>
      </w:pPr>
    </w:p>
    <w:p w14:paraId="7B30FABE">
      <w:pPr>
        <w:rPr>
          <w:rFonts w:hint="eastAsia"/>
          <w:color w:val="auto"/>
          <w:sz w:val="30"/>
          <w:szCs w:val="30"/>
        </w:rPr>
      </w:pPr>
    </w:p>
    <w:p w14:paraId="5CA6CC88">
      <w:pPr>
        <w:rPr>
          <w:rFonts w:hint="eastAsia"/>
          <w:color w:val="auto"/>
          <w:sz w:val="30"/>
          <w:szCs w:val="30"/>
        </w:rPr>
      </w:pPr>
    </w:p>
    <w:p w14:paraId="0A880B37">
      <w:pPr>
        <w:ind w:firstLine="281" w:firstLineChars="100"/>
        <w:rPr>
          <w:rFonts w:hint="eastAsia" w:ascii="仿宋_GB2312" w:eastAsia="仿宋_GB2312"/>
          <w:b/>
          <w:color w:val="auto"/>
          <w:sz w:val="28"/>
          <w:szCs w:val="28"/>
        </w:rPr>
      </w:pPr>
    </w:p>
    <w:p w14:paraId="2F06A7D7">
      <w:pPr>
        <w:ind w:firstLine="281" w:firstLineChars="100"/>
        <w:rPr>
          <w:rFonts w:hint="eastAsia" w:ascii="仿宋_GB2312" w:eastAsia="仿宋_GB2312"/>
          <w:b/>
          <w:color w:val="auto"/>
          <w:sz w:val="28"/>
          <w:szCs w:val="28"/>
        </w:rPr>
      </w:pPr>
    </w:p>
    <w:p w14:paraId="17B6E461">
      <w:pPr>
        <w:ind w:firstLine="281" w:firstLineChars="100"/>
        <w:rPr>
          <w:rFonts w:hint="eastAsia" w:ascii="仿宋_GB2312" w:eastAsia="仿宋_GB2312"/>
          <w:b/>
          <w:color w:val="auto"/>
          <w:sz w:val="28"/>
          <w:szCs w:val="28"/>
        </w:rPr>
      </w:pPr>
    </w:p>
    <w:p w14:paraId="0C0CD44C">
      <w:pPr>
        <w:ind w:firstLine="281" w:firstLineChars="100"/>
        <w:rPr>
          <w:rFonts w:hint="eastAsia" w:ascii="仿宋_GB2312" w:eastAsia="仿宋_GB2312"/>
          <w:b/>
          <w:color w:val="auto"/>
          <w:sz w:val="28"/>
          <w:szCs w:val="28"/>
        </w:rPr>
      </w:pPr>
    </w:p>
    <w:p w14:paraId="3CE2E7C9">
      <w:pPr>
        <w:ind w:firstLine="281" w:firstLineChars="100"/>
        <w:rPr>
          <w:rFonts w:hint="eastAsia" w:ascii="仿宋_GB2312" w:eastAsia="仿宋_GB2312"/>
          <w:b/>
          <w:color w:val="auto"/>
          <w:sz w:val="28"/>
          <w:szCs w:val="28"/>
        </w:rPr>
      </w:pPr>
    </w:p>
    <w:p w14:paraId="6695B216">
      <w:pPr>
        <w:ind w:firstLine="281" w:firstLineChars="100"/>
        <w:rPr>
          <w:rFonts w:hint="eastAsia" w:ascii="仿宋_GB2312" w:eastAsia="仿宋_GB2312"/>
          <w:b/>
          <w:color w:val="auto"/>
          <w:sz w:val="28"/>
          <w:szCs w:val="28"/>
        </w:rPr>
      </w:pPr>
    </w:p>
    <w:p w14:paraId="2F1D2FB1">
      <w:pPr>
        <w:ind w:firstLine="281" w:firstLineChars="100"/>
        <w:rPr>
          <w:rFonts w:hint="eastAsia" w:ascii="仿宋_GB2312" w:eastAsia="仿宋_GB2312"/>
          <w:b/>
          <w:color w:val="auto"/>
          <w:sz w:val="28"/>
          <w:szCs w:val="28"/>
        </w:rPr>
      </w:pPr>
    </w:p>
    <w:p w14:paraId="06B7165D">
      <w:pPr>
        <w:ind w:firstLine="281" w:firstLineChars="100"/>
        <w:rPr>
          <w:rFonts w:hint="eastAsia" w:ascii="仿宋_GB2312" w:eastAsia="仿宋_GB2312"/>
          <w:b/>
          <w:color w:val="auto"/>
          <w:sz w:val="28"/>
          <w:szCs w:val="28"/>
        </w:rPr>
      </w:pPr>
    </w:p>
    <w:p w14:paraId="4E885955">
      <w:pPr>
        <w:ind w:firstLine="281" w:firstLineChars="100"/>
        <w:rPr>
          <w:rFonts w:hint="eastAsia" w:ascii="仿宋_GB2312" w:eastAsia="仿宋_GB2312"/>
          <w:b/>
          <w:color w:val="auto"/>
          <w:sz w:val="28"/>
          <w:szCs w:val="28"/>
        </w:rPr>
      </w:pPr>
    </w:p>
    <w:p w14:paraId="2CB67005">
      <w:pPr>
        <w:ind w:firstLine="281" w:firstLineChars="100"/>
        <w:rPr>
          <w:rFonts w:hint="eastAsia" w:ascii="仿宋_GB2312" w:eastAsia="仿宋_GB2312"/>
          <w:b/>
          <w:color w:val="auto"/>
          <w:sz w:val="28"/>
          <w:szCs w:val="28"/>
        </w:rPr>
      </w:pPr>
    </w:p>
    <w:p w14:paraId="60FB9A36">
      <w:pPr>
        <w:ind w:firstLine="281" w:firstLineChars="100"/>
        <w:rPr>
          <w:rFonts w:hint="eastAsia" w:ascii="仿宋_GB2312" w:eastAsia="仿宋_GB2312"/>
          <w:b/>
          <w:color w:val="auto"/>
          <w:sz w:val="28"/>
          <w:szCs w:val="28"/>
        </w:rPr>
      </w:pPr>
    </w:p>
    <w:p w14:paraId="4CE475A1">
      <w:pPr>
        <w:ind w:firstLine="281" w:firstLineChars="100"/>
        <w:rPr>
          <w:rFonts w:hint="eastAsia" w:ascii="仿宋_GB2312" w:eastAsia="仿宋_GB2312"/>
          <w:b/>
          <w:color w:val="auto"/>
          <w:sz w:val="28"/>
          <w:szCs w:val="28"/>
        </w:rPr>
      </w:pPr>
    </w:p>
    <w:p w14:paraId="19A06E75">
      <w:pPr>
        <w:ind w:firstLine="281" w:firstLineChars="100"/>
        <w:rPr>
          <w:rFonts w:hint="eastAsia" w:ascii="仿宋_GB2312" w:eastAsia="仿宋_GB2312"/>
          <w:b/>
          <w:color w:val="auto"/>
          <w:sz w:val="28"/>
          <w:szCs w:val="28"/>
        </w:rPr>
      </w:pPr>
    </w:p>
    <w:p w14:paraId="29808926">
      <w:pPr>
        <w:ind w:firstLine="281" w:firstLineChars="100"/>
        <w:rPr>
          <w:rFonts w:hint="eastAsia" w:ascii="仿宋_GB2312" w:eastAsia="仿宋_GB2312"/>
          <w:b/>
          <w:color w:val="auto"/>
          <w:sz w:val="28"/>
          <w:szCs w:val="28"/>
        </w:rPr>
      </w:pPr>
    </w:p>
    <w:p w14:paraId="7008013D">
      <w:pPr>
        <w:ind w:firstLine="281" w:firstLineChars="100"/>
        <w:rPr>
          <w:rFonts w:hint="eastAsia" w:ascii="仿宋_GB2312" w:eastAsia="仿宋_GB2312"/>
          <w:b/>
          <w:color w:val="auto"/>
          <w:sz w:val="28"/>
          <w:szCs w:val="28"/>
        </w:rPr>
      </w:pPr>
    </w:p>
    <w:p w14:paraId="11CB3F5A">
      <w:pPr>
        <w:ind w:firstLine="281" w:firstLineChars="100"/>
        <w:rPr>
          <w:rFonts w:hint="eastAsia" w:ascii="仿宋_GB2312" w:eastAsia="仿宋_GB2312"/>
          <w:b/>
          <w:color w:val="auto"/>
          <w:sz w:val="28"/>
          <w:szCs w:val="28"/>
        </w:rPr>
      </w:pPr>
    </w:p>
    <w:p w14:paraId="60711AD5">
      <w:pPr>
        <w:ind w:firstLine="281" w:firstLineChars="100"/>
        <w:rPr>
          <w:rFonts w:hint="eastAsia" w:ascii="仿宋_GB2312" w:eastAsia="仿宋_GB2312"/>
          <w:b/>
          <w:color w:val="auto"/>
          <w:sz w:val="28"/>
          <w:szCs w:val="28"/>
        </w:rPr>
      </w:pPr>
    </w:p>
    <w:p w14:paraId="63EBA4D8">
      <w:pPr>
        <w:ind w:firstLine="281" w:firstLineChars="100"/>
        <w:rPr>
          <w:rFonts w:hint="eastAsia" w:ascii="仿宋_GB2312" w:eastAsia="仿宋_GB2312"/>
          <w:b/>
          <w:color w:val="auto"/>
          <w:sz w:val="28"/>
          <w:szCs w:val="28"/>
        </w:rPr>
      </w:pPr>
    </w:p>
    <w:p w14:paraId="121E7493">
      <w:pPr>
        <w:ind w:firstLine="281" w:firstLineChars="100"/>
        <w:rPr>
          <w:rFonts w:hint="eastAsia" w:ascii="仿宋_GB2312" w:eastAsia="仿宋_GB2312"/>
          <w:b/>
          <w:color w:val="auto"/>
          <w:sz w:val="28"/>
          <w:szCs w:val="28"/>
        </w:rPr>
      </w:pPr>
    </w:p>
    <w:p w14:paraId="22878BA8">
      <w:pPr>
        <w:rPr>
          <w:rFonts w:hint="eastAsia" w:ascii="仿宋_GB2312" w:eastAsia="仿宋_GB2312"/>
          <w:b/>
          <w:color w:val="auto"/>
          <w:sz w:val="28"/>
          <w:szCs w:val="28"/>
        </w:rPr>
      </w:pPr>
    </w:p>
    <w:p w14:paraId="27F62843">
      <w:pPr>
        <w:rPr>
          <w:rFonts w:hint="eastAsia" w:ascii="仿宋_GB2312" w:eastAsia="仿宋_GB2312"/>
          <w:b/>
          <w:color w:val="auto"/>
          <w:sz w:val="28"/>
          <w:szCs w:val="28"/>
        </w:rPr>
      </w:pPr>
    </w:p>
    <w:p w14:paraId="210AF980">
      <w:pPr>
        <w:ind w:firstLine="281" w:firstLineChars="100"/>
        <w:rPr>
          <w:rFonts w:hint="eastAsia" w:ascii="仿宋_GB2312" w:eastAsia="仿宋_GB2312"/>
          <w:b/>
          <w:color w:val="auto"/>
          <w:sz w:val="28"/>
          <w:szCs w:val="28"/>
        </w:rPr>
      </w:pPr>
    </w:p>
    <w:p w14:paraId="4C84CB28">
      <w:pPr>
        <w:ind w:firstLine="281" w:firstLineChars="100"/>
        <w:rPr>
          <w:rFonts w:hint="eastAsia" w:ascii="仿宋_GB2312" w:eastAsia="仿宋_GB2312"/>
          <w:b/>
          <w:color w:val="auto"/>
          <w:sz w:val="28"/>
          <w:szCs w:val="28"/>
        </w:rPr>
      </w:pPr>
    </w:p>
    <w:p w14:paraId="10B7017E">
      <w:pPr>
        <w:ind w:firstLine="281" w:firstLineChars="100"/>
        <w:rPr>
          <w:rFonts w:hint="eastAsia" w:ascii="仿宋_GB2312" w:eastAsia="仿宋_GB2312"/>
          <w:b/>
          <w:color w:val="auto"/>
          <w:sz w:val="28"/>
          <w:szCs w:val="28"/>
        </w:rPr>
      </w:pPr>
    </w:p>
    <w:p w14:paraId="2D326454">
      <w:pPr>
        <w:rPr>
          <w:rFonts w:hint="eastAsia"/>
          <w:color w:val="auto"/>
          <w:sz w:val="30"/>
          <w:szCs w:val="30"/>
        </w:rPr>
      </w:pPr>
    </w:p>
    <w:p w14:paraId="09E53F71">
      <w:pPr>
        <w:pStyle w:val="4"/>
        <w:jc w:val="center"/>
        <w:outlineLvl w:val="1"/>
        <w:rPr>
          <w:rFonts w:hint="eastAsia"/>
          <w:color w:val="auto"/>
          <w:lang w:eastAsia="zh-CN"/>
        </w:rPr>
      </w:pPr>
      <w:bookmarkStart w:id="452" w:name="_Toc328559339"/>
      <w:bookmarkStart w:id="453" w:name="_Toc245714176"/>
      <w:bookmarkStart w:id="454" w:name="_Toc273602358"/>
      <w:r>
        <w:rPr>
          <w:rFonts w:hint="eastAsia"/>
          <w:color w:val="auto"/>
        </w:rPr>
        <w:t>四．</w:t>
      </w:r>
      <w:bookmarkEnd w:id="452"/>
      <w:bookmarkEnd w:id="453"/>
      <w:bookmarkEnd w:id="454"/>
      <w:r>
        <w:rPr>
          <w:rFonts w:hint="eastAsia"/>
          <w:color w:val="auto"/>
          <w:lang w:eastAsia="zh-CN"/>
        </w:rPr>
        <w:t>拟委任的项目经理（项目技术负责人）简历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
        <w:gridCol w:w="1433"/>
        <w:gridCol w:w="644"/>
        <w:gridCol w:w="437"/>
        <w:gridCol w:w="209"/>
        <w:gridCol w:w="1474"/>
        <w:gridCol w:w="1268"/>
        <w:gridCol w:w="391"/>
        <w:gridCol w:w="2011"/>
      </w:tblGrid>
      <w:tr w14:paraId="2A5D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noWrap w:val="0"/>
            <w:vAlign w:val="center"/>
          </w:tcPr>
          <w:p w14:paraId="542A58E4">
            <w:pPr>
              <w:jc w:val="center"/>
              <w:rPr>
                <w:rFonts w:ascii="宋体" w:hAnsi="宋体"/>
                <w:color w:val="auto"/>
                <w:szCs w:val="21"/>
              </w:rPr>
            </w:pPr>
            <w:r>
              <w:rPr>
                <w:rFonts w:ascii="宋体" w:hAnsi="宋体"/>
                <w:color w:val="auto"/>
                <w:szCs w:val="21"/>
              </w:rPr>
              <w:t>姓  名</w:t>
            </w:r>
          </w:p>
        </w:tc>
        <w:tc>
          <w:tcPr>
            <w:tcW w:w="792" w:type="pct"/>
            <w:gridSpan w:val="2"/>
            <w:noWrap w:val="0"/>
            <w:vAlign w:val="center"/>
          </w:tcPr>
          <w:p w14:paraId="231AC616">
            <w:pPr>
              <w:jc w:val="center"/>
              <w:rPr>
                <w:rFonts w:ascii="宋体" w:hAnsi="宋体"/>
                <w:color w:val="auto"/>
                <w:szCs w:val="21"/>
              </w:rPr>
            </w:pPr>
          </w:p>
        </w:tc>
        <w:tc>
          <w:tcPr>
            <w:tcW w:w="703" w:type="pct"/>
            <w:gridSpan w:val="3"/>
            <w:noWrap w:val="0"/>
            <w:vAlign w:val="center"/>
          </w:tcPr>
          <w:p w14:paraId="4A192822">
            <w:pPr>
              <w:jc w:val="center"/>
              <w:rPr>
                <w:rFonts w:ascii="宋体" w:hAnsi="宋体"/>
                <w:color w:val="auto"/>
                <w:szCs w:val="21"/>
              </w:rPr>
            </w:pPr>
            <w:r>
              <w:rPr>
                <w:rFonts w:ascii="宋体" w:hAnsi="宋体"/>
                <w:color w:val="auto"/>
                <w:szCs w:val="21"/>
              </w:rPr>
              <w:t>年 龄</w:t>
            </w:r>
          </w:p>
        </w:tc>
        <w:tc>
          <w:tcPr>
            <w:tcW w:w="803" w:type="pct"/>
            <w:noWrap w:val="0"/>
            <w:vAlign w:val="center"/>
          </w:tcPr>
          <w:p w14:paraId="66C00939">
            <w:pPr>
              <w:jc w:val="center"/>
              <w:rPr>
                <w:rFonts w:ascii="宋体" w:hAnsi="宋体"/>
                <w:color w:val="auto"/>
                <w:szCs w:val="21"/>
              </w:rPr>
            </w:pPr>
          </w:p>
        </w:tc>
        <w:tc>
          <w:tcPr>
            <w:tcW w:w="904" w:type="pct"/>
            <w:gridSpan w:val="2"/>
            <w:noWrap w:val="0"/>
            <w:vAlign w:val="center"/>
          </w:tcPr>
          <w:p w14:paraId="2E8BF667">
            <w:pPr>
              <w:jc w:val="center"/>
              <w:rPr>
                <w:rFonts w:ascii="宋体" w:hAnsi="宋体"/>
                <w:color w:val="auto"/>
                <w:szCs w:val="21"/>
              </w:rPr>
            </w:pPr>
            <w:r>
              <w:rPr>
                <w:rFonts w:ascii="宋体" w:hAnsi="宋体"/>
                <w:color w:val="auto"/>
                <w:szCs w:val="21"/>
              </w:rPr>
              <w:t>学</w:t>
            </w:r>
            <w:r>
              <w:rPr>
                <w:rFonts w:hint="eastAsia" w:ascii="宋体" w:hAnsi="宋体"/>
                <w:color w:val="auto"/>
                <w:szCs w:val="21"/>
              </w:rPr>
              <w:t xml:space="preserve"> </w:t>
            </w:r>
            <w:r>
              <w:rPr>
                <w:rFonts w:ascii="宋体" w:hAnsi="宋体"/>
                <w:color w:val="auto"/>
                <w:szCs w:val="21"/>
              </w:rPr>
              <w:t>历</w:t>
            </w:r>
          </w:p>
        </w:tc>
        <w:tc>
          <w:tcPr>
            <w:tcW w:w="1096" w:type="pct"/>
            <w:noWrap w:val="0"/>
            <w:vAlign w:val="center"/>
          </w:tcPr>
          <w:p w14:paraId="62838105">
            <w:pPr>
              <w:jc w:val="center"/>
              <w:rPr>
                <w:rFonts w:ascii="宋体" w:hAnsi="宋体"/>
                <w:color w:val="auto"/>
                <w:szCs w:val="21"/>
              </w:rPr>
            </w:pPr>
          </w:p>
        </w:tc>
      </w:tr>
      <w:tr w14:paraId="5E2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noWrap w:val="0"/>
            <w:vAlign w:val="center"/>
          </w:tcPr>
          <w:p w14:paraId="5BF72EEE">
            <w:pPr>
              <w:jc w:val="center"/>
              <w:rPr>
                <w:rFonts w:ascii="宋体" w:hAnsi="宋体"/>
                <w:color w:val="auto"/>
                <w:szCs w:val="21"/>
              </w:rPr>
            </w:pPr>
            <w:r>
              <w:rPr>
                <w:rFonts w:ascii="宋体" w:hAnsi="宋体"/>
                <w:color w:val="auto"/>
                <w:szCs w:val="21"/>
              </w:rPr>
              <w:t>职  称</w:t>
            </w:r>
          </w:p>
        </w:tc>
        <w:tc>
          <w:tcPr>
            <w:tcW w:w="792" w:type="pct"/>
            <w:gridSpan w:val="2"/>
            <w:noWrap w:val="0"/>
            <w:vAlign w:val="center"/>
          </w:tcPr>
          <w:p w14:paraId="5156D968">
            <w:pPr>
              <w:jc w:val="center"/>
              <w:rPr>
                <w:rFonts w:ascii="宋体" w:hAnsi="宋体"/>
                <w:color w:val="auto"/>
                <w:szCs w:val="21"/>
              </w:rPr>
            </w:pPr>
          </w:p>
        </w:tc>
        <w:tc>
          <w:tcPr>
            <w:tcW w:w="703" w:type="pct"/>
            <w:gridSpan w:val="3"/>
            <w:noWrap w:val="0"/>
            <w:vAlign w:val="center"/>
          </w:tcPr>
          <w:p w14:paraId="67EBB89D">
            <w:pPr>
              <w:jc w:val="center"/>
              <w:rPr>
                <w:rFonts w:ascii="宋体" w:hAnsi="宋体"/>
                <w:color w:val="auto"/>
                <w:szCs w:val="21"/>
              </w:rPr>
            </w:pPr>
            <w:r>
              <w:rPr>
                <w:rFonts w:hint="eastAsia" w:ascii="宋体" w:hAnsi="宋体"/>
                <w:color w:val="auto"/>
                <w:szCs w:val="21"/>
              </w:rPr>
              <w:t>单位</w:t>
            </w:r>
          </w:p>
          <w:p w14:paraId="5E862E12">
            <w:pPr>
              <w:jc w:val="center"/>
              <w:rPr>
                <w:rFonts w:ascii="宋体" w:hAnsi="宋体"/>
                <w:color w:val="auto"/>
                <w:szCs w:val="21"/>
              </w:rPr>
            </w:pPr>
            <w:r>
              <w:rPr>
                <w:rFonts w:ascii="宋体" w:hAnsi="宋体"/>
                <w:color w:val="auto"/>
                <w:szCs w:val="21"/>
              </w:rPr>
              <w:t>职务</w:t>
            </w:r>
          </w:p>
        </w:tc>
        <w:tc>
          <w:tcPr>
            <w:tcW w:w="803" w:type="pct"/>
            <w:noWrap w:val="0"/>
            <w:vAlign w:val="center"/>
          </w:tcPr>
          <w:p w14:paraId="39946272">
            <w:pPr>
              <w:jc w:val="center"/>
              <w:rPr>
                <w:rFonts w:ascii="宋体" w:hAnsi="宋体"/>
                <w:color w:val="auto"/>
                <w:szCs w:val="21"/>
              </w:rPr>
            </w:pPr>
          </w:p>
        </w:tc>
        <w:tc>
          <w:tcPr>
            <w:tcW w:w="904" w:type="pct"/>
            <w:gridSpan w:val="2"/>
            <w:noWrap w:val="0"/>
            <w:vAlign w:val="center"/>
          </w:tcPr>
          <w:p w14:paraId="5354EB25">
            <w:pPr>
              <w:jc w:val="center"/>
              <w:rPr>
                <w:rFonts w:ascii="宋体" w:hAnsi="宋体"/>
                <w:color w:val="auto"/>
                <w:szCs w:val="21"/>
              </w:rPr>
            </w:pPr>
            <w:r>
              <w:rPr>
                <w:rFonts w:ascii="宋体" w:hAnsi="宋体"/>
                <w:color w:val="auto"/>
                <w:szCs w:val="21"/>
              </w:rPr>
              <w:t>拟在本</w:t>
            </w:r>
            <w:r>
              <w:rPr>
                <w:rFonts w:hint="eastAsia" w:ascii="宋体" w:hAnsi="宋体"/>
                <w:color w:val="auto"/>
                <w:szCs w:val="21"/>
              </w:rPr>
              <w:t>标段</w:t>
            </w:r>
          </w:p>
          <w:p w14:paraId="69E923FD">
            <w:pPr>
              <w:jc w:val="center"/>
              <w:rPr>
                <w:rFonts w:ascii="宋体" w:hAnsi="宋体"/>
                <w:color w:val="auto"/>
                <w:szCs w:val="21"/>
              </w:rPr>
            </w:pPr>
            <w:r>
              <w:rPr>
                <w:rFonts w:hint="eastAsia" w:ascii="宋体" w:hAnsi="宋体"/>
                <w:color w:val="auto"/>
                <w:szCs w:val="21"/>
              </w:rPr>
              <w:t>工程担任职务</w:t>
            </w:r>
          </w:p>
        </w:tc>
        <w:tc>
          <w:tcPr>
            <w:tcW w:w="1096" w:type="pct"/>
            <w:noWrap w:val="0"/>
            <w:vAlign w:val="center"/>
          </w:tcPr>
          <w:p w14:paraId="3A1FDDE6">
            <w:pPr>
              <w:jc w:val="center"/>
              <w:rPr>
                <w:rFonts w:ascii="宋体" w:hAnsi="宋体"/>
                <w:color w:val="auto"/>
                <w:szCs w:val="21"/>
              </w:rPr>
            </w:pPr>
          </w:p>
        </w:tc>
      </w:tr>
      <w:tr w14:paraId="7DD8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noWrap w:val="0"/>
            <w:vAlign w:val="center"/>
          </w:tcPr>
          <w:p w14:paraId="7C095E62">
            <w:pPr>
              <w:jc w:val="center"/>
              <w:rPr>
                <w:rFonts w:ascii="宋体" w:hAnsi="宋体"/>
                <w:color w:val="auto"/>
                <w:szCs w:val="21"/>
              </w:rPr>
            </w:pPr>
            <w:r>
              <w:rPr>
                <w:rFonts w:ascii="宋体" w:hAnsi="宋体"/>
                <w:color w:val="auto"/>
                <w:szCs w:val="21"/>
              </w:rPr>
              <w:t>毕业学校</w:t>
            </w:r>
          </w:p>
        </w:tc>
        <w:tc>
          <w:tcPr>
            <w:tcW w:w="4298" w:type="pct"/>
            <w:gridSpan w:val="9"/>
            <w:noWrap w:val="0"/>
            <w:vAlign w:val="center"/>
          </w:tcPr>
          <w:p w14:paraId="77C15F31">
            <w:pPr>
              <w:rPr>
                <w:rFonts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毕业于</w:t>
            </w:r>
            <w:r>
              <w:rPr>
                <w:rFonts w:ascii="宋体" w:hAnsi="宋体"/>
                <w:color w:val="auto"/>
                <w:szCs w:val="21"/>
                <w:u w:val="single"/>
              </w:rPr>
              <w:t xml:space="preserve">            </w:t>
            </w:r>
            <w:r>
              <w:rPr>
                <w:rFonts w:ascii="宋体" w:hAnsi="宋体"/>
                <w:color w:val="auto"/>
                <w:szCs w:val="21"/>
              </w:rPr>
              <w:t>学校</w:t>
            </w:r>
            <w:r>
              <w:rPr>
                <w:rFonts w:ascii="宋体" w:hAnsi="宋体"/>
                <w:color w:val="auto"/>
                <w:szCs w:val="21"/>
                <w:u w:val="single"/>
              </w:rPr>
              <w:t xml:space="preserve">        </w:t>
            </w:r>
            <w:r>
              <w:rPr>
                <w:rFonts w:ascii="宋体" w:hAnsi="宋体"/>
                <w:color w:val="auto"/>
                <w:szCs w:val="21"/>
              </w:rPr>
              <w:t>专业</w:t>
            </w:r>
            <w:r>
              <w:rPr>
                <w:rFonts w:hint="eastAsia" w:ascii="宋体" w:hAnsi="宋体"/>
                <w:color w:val="auto"/>
                <w:szCs w:val="21"/>
              </w:rPr>
              <w:t>，学制</w:t>
            </w:r>
            <w:r>
              <w:rPr>
                <w:rFonts w:hint="eastAsia" w:ascii="宋体" w:hAnsi="宋体"/>
                <w:color w:val="auto"/>
                <w:szCs w:val="21"/>
                <w:u w:val="single"/>
              </w:rPr>
              <w:t xml:space="preserve">   </w:t>
            </w:r>
            <w:r>
              <w:rPr>
                <w:rFonts w:hint="eastAsia" w:ascii="宋体" w:hAnsi="宋体"/>
                <w:color w:val="auto"/>
                <w:szCs w:val="21"/>
              </w:rPr>
              <w:t>年</w:t>
            </w:r>
          </w:p>
        </w:tc>
      </w:tr>
      <w:tr w14:paraId="2751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noWrap w:val="0"/>
            <w:vAlign w:val="center"/>
          </w:tcPr>
          <w:p w14:paraId="3164FD31">
            <w:pPr>
              <w:jc w:val="center"/>
              <w:rPr>
                <w:rFonts w:ascii="宋体" w:hAnsi="宋体"/>
                <w:color w:val="auto"/>
              </w:rPr>
            </w:pPr>
            <w:r>
              <w:rPr>
                <w:rFonts w:ascii="宋体" w:hAnsi="宋体"/>
                <w:color w:val="auto"/>
                <w:szCs w:val="21"/>
              </w:rPr>
              <w:t>经</w:t>
            </w:r>
            <w:r>
              <w:rPr>
                <w:rFonts w:hint="eastAsia" w:ascii="宋体" w:hAnsi="宋体"/>
                <w:color w:val="auto"/>
                <w:szCs w:val="21"/>
              </w:rPr>
              <w:t xml:space="preserve">    </w:t>
            </w:r>
            <w:r>
              <w:rPr>
                <w:rFonts w:ascii="宋体" w:hAnsi="宋体"/>
                <w:color w:val="auto"/>
                <w:szCs w:val="21"/>
              </w:rPr>
              <w:t>历</w:t>
            </w:r>
          </w:p>
        </w:tc>
      </w:tr>
      <w:tr w14:paraId="24ED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41E2E8AC">
            <w:pPr>
              <w:jc w:val="center"/>
              <w:rPr>
                <w:rFonts w:ascii="宋体" w:hAnsi="宋体"/>
                <w:color w:val="auto"/>
                <w:szCs w:val="21"/>
              </w:rPr>
            </w:pPr>
            <w:r>
              <w:rPr>
                <w:rFonts w:hint="eastAsia" w:ascii="宋体" w:hAnsi="宋体"/>
                <w:color w:val="auto"/>
                <w:szCs w:val="21"/>
              </w:rPr>
              <w:t>时间</w:t>
            </w:r>
          </w:p>
        </w:tc>
        <w:tc>
          <w:tcPr>
            <w:tcW w:w="1370" w:type="pct"/>
            <w:gridSpan w:val="3"/>
            <w:noWrap w:val="0"/>
            <w:vAlign w:val="center"/>
          </w:tcPr>
          <w:p w14:paraId="59FE7CB1">
            <w:pPr>
              <w:jc w:val="center"/>
              <w:rPr>
                <w:rFonts w:ascii="宋体" w:hAnsi="宋体"/>
                <w:color w:val="auto"/>
                <w:szCs w:val="21"/>
              </w:rPr>
            </w:pPr>
            <w:r>
              <w:rPr>
                <w:rFonts w:ascii="宋体" w:hAnsi="宋体"/>
                <w:color w:val="auto"/>
                <w:szCs w:val="21"/>
              </w:rPr>
              <w:t>参加过的</w:t>
            </w:r>
            <w:r>
              <w:rPr>
                <w:rFonts w:hint="eastAsia" w:ascii="宋体" w:hAnsi="宋体"/>
                <w:color w:val="auto"/>
                <w:szCs w:val="21"/>
              </w:rPr>
              <w:t>工程</w:t>
            </w:r>
            <w:r>
              <w:rPr>
                <w:rFonts w:ascii="宋体" w:hAnsi="宋体"/>
                <w:color w:val="auto"/>
                <w:szCs w:val="21"/>
              </w:rPr>
              <w:t>项目</w:t>
            </w:r>
            <w:r>
              <w:rPr>
                <w:rFonts w:hint="eastAsia" w:ascii="宋体" w:hAnsi="宋体"/>
                <w:color w:val="auto"/>
                <w:szCs w:val="21"/>
              </w:rPr>
              <w:t>名称</w:t>
            </w:r>
          </w:p>
        </w:tc>
        <w:tc>
          <w:tcPr>
            <w:tcW w:w="917" w:type="pct"/>
            <w:gridSpan w:val="2"/>
            <w:noWrap w:val="0"/>
            <w:vAlign w:val="center"/>
          </w:tcPr>
          <w:p w14:paraId="584AF465">
            <w:pPr>
              <w:jc w:val="center"/>
              <w:rPr>
                <w:rFonts w:ascii="宋体" w:hAnsi="宋体"/>
                <w:color w:val="auto"/>
                <w:szCs w:val="21"/>
              </w:rPr>
            </w:pPr>
            <w:r>
              <w:rPr>
                <w:rFonts w:hint="eastAsia" w:ascii="宋体" w:hAnsi="宋体"/>
                <w:color w:val="auto"/>
                <w:szCs w:val="21"/>
              </w:rPr>
              <w:t>签约合同价金额（万元）</w:t>
            </w:r>
          </w:p>
        </w:tc>
        <w:tc>
          <w:tcPr>
            <w:tcW w:w="691" w:type="pct"/>
            <w:noWrap w:val="0"/>
            <w:vAlign w:val="center"/>
          </w:tcPr>
          <w:p w14:paraId="382E9747">
            <w:pPr>
              <w:jc w:val="center"/>
              <w:rPr>
                <w:rFonts w:ascii="宋体" w:hAnsi="宋体"/>
                <w:color w:val="auto"/>
                <w:szCs w:val="21"/>
              </w:rPr>
            </w:pPr>
            <w:r>
              <w:rPr>
                <w:rFonts w:ascii="宋体" w:hAnsi="宋体"/>
                <w:color w:val="auto"/>
                <w:szCs w:val="21"/>
              </w:rPr>
              <w:t>担任职务</w:t>
            </w:r>
          </w:p>
        </w:tc>
        <w:tc>
          <w:tcPr>
            <w:tcW w:w="1309" w:type="pct"/>
            <w:gridSpan w:val="2"/>
            <w:noWrap w:val="0"/>
            <w:vAlign w:val="center"/>
          </w:tcPr>
          <w:p w14:paraId="7067EEE2">
            <w:pPr>
              <w:rPr>
                <w:rFonts w:ascii="宋体" w:hAnsi="宋体"/>
                <w:color w:val="auto"/>
                <w:szCs w:val="21"/>
              </w:rPr>
            </w:pPr>
            <w:r>
              <w:rPr>
                <w:rFonts w:ascii="宋体" w:hAnsi="宋体"/>
                <w:color w:val="auto"/>
                <w:szCs w:val="21"/>
              </w:rPr>
              <w:t>发包人及联系电话</w:t>
            </w:r>
          </w:p>
        </w:tc>
      </w:tr>
      <w:tr w14:paraId="5E5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5989C990">
            <w:pPr>
              <w:rPr>
                <w:rFonts w:ascii="宋体" w:hAnsi="宋体"/>
                <w:color w:val="auto"/>
                <w:szCs w:val="21"/>
              </w:rPr>
            </w:pPr>
          </w:p>
        </w:tc>
        <w:tc>
          <w:tcPr>
            <w:tcW w:w="1370" w:type="pct"/>
            <w:gridSpan w:val="3"/>
            <w:noWrap w:val="0"/>
            <w:vAlign w:val="top"/>
          </w:tcPr>
          <w:p w14:paraId="5CB5DBCA">
            <w:pPr>
              <w:rPr>
                <w:rFonts w:ascii="宋体" w:hAnsi="宋体"/>
                <w:color w:val="auto"/>
                <w:szCs w:val="21"/>
              </w:rPr>
            </w:pPr>
          </w:p>
        </w:tc>
        <w:tc>
          <w:tcPr>
            <w:tcW w:w="917" w:type="pct"/>
            <w:gridSpan w:val="2"/>
            <w:noWrap w:val="0"/>
            <w:vAlign w:val="top"/>
          </w:tcPr>
          <w:p w14:paraId="74BD9475">
            <w:pPr>
              <w:rPr>
                <w:rFonts w:ascii="宋体" w:hAnsi="宋体"/>
                <w:color w:val="auto"/>
                <w:szCs w:val="21"/>
              </w:rPr>
            </w:pPr>
          </w:p>
        </w:tc>
        <w:tc>
          <w:tcPr>
            <w:tcW w:w="691" w:type="pct"/>
            <w:noWrap w:val="0"/>
            <w:vAlign w:val="top"/>
          </w:tcPr>
          <w:p w14:paraId="1430AB52">
            <w:pPr>
              <w:rPr>
                <w:rFonts w:ascii="宋体" w:hAnsi="宋体"/>
                <w:color w:val="auto"/>
                <w:szCs w:val="21"/>
              </w:rPr>
            </w:pPr>
          </w:p>
        </w:tc>
        <w:tc>
          <w:tcPr>
            <w:tcW w:w="1309" w:type="pct"/>
            <w:gridSpan w:val="2"/>
            <w:noWrap w:val="0"/>
            <w:vAlign w:val="top"/>
          </w:tcPr>
          <w:p w14:paraId="6ACFAF76">
            <w:pPr>
              <w:rPr>
                <w:rFonts w:ascii="宋体" w:hAnsi="宋体"/>
                <w:color w:val="auto"/>
                <w:szCs w:val="21"/>
              </w:rPr>
            </w:pPr>
          </w:p>
        </w:tc>
      </w:tr>
      <w:tr w14:paraId="3248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17B34BC9">
            <w:pPr>
              <w:rPr>
                <w:rFonts w:eastAsia="黑体"/>
                <w:color w:val="auto"/>
                <w:szCs w:val="21"/>
              </w:rPr>
            </w:pPr>
          </w:p>
        </w:tc>
        <w:tc>
          <w:tcPr>
            <w:tcW w:w="1370" w:type="pct"/>
            <w:gridSpan w:val="3"/>
            <w:noWrap w:val="0"/>
            <w:vAlign w:val="top"/>
          </w:tcPr>
          <w:p w14:paraId="739DD46D">
            <w:pPr>
              <w:pStyle w:val="35"/>
              <w:rPr>
                <w:color w:val="auto"/>
              </w:rPr>
            </w:pPr>
          </w:p>
        </w:tc>
        <w:tc>
          <w:tcPr>
            <w:tcW w:w="917" w:type="pct"/>
            <w:gridSpan w:val="2"/>
            <w:noWrap w:val="0"/>
            <w:vAlign w:val="top"/>
          </w:tcPr>
          <w:p w14:paraId="37BFBF2A">
            <w:pPr>
              <w:pStyle w:val="35"/>
              <w:rPr>
                <w:color w:val="auto"/>
              </w:rPr>
            </w:pPr>
          </w:p>
        </w:tc>
        <w:tc>
          <w:tcPr>
            <w:tcW w:w="691" w:type="pct"/>
            <w:noWrap w:val="0"/>
            <w:vAlign w:val="top"/>
          </w:tcPr>
          <w:p w14:paraId="15473FEE">
            <w:pPr>
              <w:pStyle w:val="35"/>
              <w:rPr>
                <w:color w:val="auto"/>
              </w:rPr>
            </w:pPr>
          </w:p>
        </w:tc>
        <w:tc>
          <w:tcPr>
            <w:tcW w:w="1309" w:type="pct"/>
            <w:gridSpan w:val="2"/>
            <w:noWrap w:val="0"/>
            <w:vAlign w:val="top"/>
          </w:tcPr>
          <w:p w14:paraId="499D0805">
            <w:pPr>
              <w:rPr>
                <w:rFonts w:eastAsia="黑体"/>
                <w:color w:val="auto"/>
                <w:szCs w:val="21"/>
              </w:rPr>
            </w:pPr>
          </w:p>
        </w:tc>
      </w:tr>
      <w:tr w14:paraId="1021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1A8CB911">
            <w:pPr>
              <w:rPr>
                <w:rFonts w:eastAsia="黑体"/>
                <w:color w:val="auto"/>
                <w:szCs w:val="21"/>
              </w:rPr>
            </w:pPr>
          </w:p>
        </w:tc>
        <w:tc>
          <w:tcPr>
            <w:tcW w:w="1370" w:type="pct"/>
            <w:gridSpan w:val="3"/>
            <w:noWrap w:val="0"/>
            <w:vAlign w:val="top"/>
          </w:tcPr>
          <w:p w14:paraId="6D330E44">
            <w:pPr>
              <w:rPr>
                <w:rFonts w:eastAsia="黑体"/>
                <w:color w:val="auto"/>
                <w:szCs w:val="21"/>
              </w:rPr>
            </w:pPr>
          </w:p>
        </w:tc>
        <w:tc>
          <w:tcPr>
            <w:tcW w:w="917" w:type="pct"/>
            <w:gridSpan w:val="2"/>
            <w:noWrap w:val="0"/>
            <w:vAlign w:val="top"/>
          </w:tcPr>
          <w:p w14:paraId="09090193">
            <w:pPr>
              <w:rPr>
                <w:rFonts w:eastAsia="黑体"/>
                <w:color w:val="auto"/>
                <w:szCs w:val="21"/>
              </w:rPr>
            </w:pPr>
          </w:p>
        </w:tc>
        <w:tc>
          <w:tcPr>
            <w:tcW w:w="691" w:type="pct"/>
            <w:noWrap w:val="0"/>
            <w:vAlign w:val="top"/>
          </w:tcPr>
          <w:p w14:paraId="279F09E2">
            <w:pPr>
              <w:rPr>
                <w:rFonts w:eastAsia="黑体"/>
                <w:color w:val="auto"/>
                <w:szCs w:val="21"/>
              </w:rPr>
            </w:pPr>
          </w:p>
        </w:tc>
        <w:tc>
          <w:tcPr>
            <w:tcW w:w="1309" w:type="pct"/>
            <w:gridSpan w:val="2"/>
            <w:noWrap w:val="0"/>
            <w:vAlign w:val="top"/>
          </w:tcPr>
          <w:p w14:paraId="2668F4D8">
            <w:pPr>
              <w:rPr>
                <w:rFonts w:eastAsia="黑体"/>
                <w:color w:val="auto"/>
                <w:szCs w:val="21"/>
              </w:rPr>
            </w:pPr>
          </w:p>
        </w:tc>
      </w:tr>
      <w:tr w14:paraId="4E10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7FD3A548">
            <w:pPr>
              <w:rPr>
                <w:rFonts w:eastAsia="黑体"/>
                <w:color w:val="auto"/>
                <w:szCs w:val="21"/>
              </w:rPr>
            </w:pPr>
          </w:p>
        </w:tc>
        <w:tc>
          <w:tcPr>
            <w:tcW w:w="1370" w:type="pct"/>
            <w:gridSpan w:val="3"/>
            <w:noWrap w:val="0"/>
            <w:vAlign w:val="center"/>
          </w:tcPr>
          <w:p w14:paraId="72D16737">
            <w:pPr>
              <w:rPr>
                <w:rFonts w:eastAsia="黑体"/>
                <w:color w:val="auto"/>
                <w:szCs w:val="21"/>
              </w:rPr>
            </w:pPr>
          </w:p>
        </w:tc>
        <w:tc>
          <w:tcPr>
            <w:tcW w:w="917" w:type="pct"/>
            <w:gridSpan w:val="2"/>
            <w:noWrap w:val="0"/>
            <w:vAlign w:val="center"/>
          </w:tcPr>
          <w:p w14:paraId="6582F96F">
            <w:pPr>
              <w:rPr>
                <w:rFonts w:eastAsia="黑体"/>
                <w:color w:val="auto"/>
                <w:szCs w:val="21"/>
              </w:rPr>
            </w:pPr>
          </w:p>
        </w:tc>
        <w:tc>
          <w:tcPr>
            <w:tcW w:w="691" w:type="pct"/>
            <w:noWrap w:val="0"/>
            <w:vAlign w:val="center"/>
          </w:tcPr>
          <w:p w14:paraId="47882483">
            <w:pPr>
              <w:rPr>
                <w:rFonts w:eastAsia="黑体"/>
                <w:color w:val="auto"/>
                <w:szCs w:val="21"/>
              </w:rPr>
            </w:pPr>
          </w:p>
        </w:tc>
        <w:tc>
          <w:tcPr>
            <w:tcW w:w="1309" w:type="pct"/>
            <w:gridSpan w:val="2"/>
            <w:noWrap w:val="0"/>
            <w:vAlign w:val="center"/>
          </w:tcPr>
          <w:p w14:paraId="3BFE1CD3">
            <w:pPr>
              <w:rPr>
                <w:rFonts w:eastAsia="黑体"/>
                <w:color w:val="auto"/>
                <w:szCs w:val="21"/>
              </w:rPr>
            </w:pPr>
          </w:p>
        </w:tc>
      </w:tr>
      <w:tr w14:paraId="6CAF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634D42D4">
            <w:pPr>
              <w:rPr>
                <w:rFonts w:eastAsia="黑体"/>
                <w:color w:val="auto"/>
                <w:szCs w:val="21"/>
              </w:rPr>
            </w:pPr>
          </w:p>
        </w:tc>
        <w:tc>
          <w:tcPr>
            <w:tcW w:w="1370" w:type="pct"/>
            <w:gridSpan w:val="3"/>
            <w:noWrap w:val="0"/>
            <w:vAlign w:val="center"/>
          </w:tcPr>
          <w:p w14:paraId="080B6B53">
            <w:pPr>
              <w:rPr>
                <w:rFonts w:eastAsia="黑体"/>
                <w:color w:val="auto"/>
                <w:szCs w:val="21"/>
              </w:rPr>
            </w:pPr>
          </w:p>
        </w:tc>
        <w:tc>
          <w:tcPr>
            <w:tcW w:w="917" w:type="pct"/>
            <w:gridSpan w:val="2"/>
            <w:noWrap w:val="0"/>
            <w:vAlign w:val="center"/>
          </w:tcPr>
          <w:p w14:paraId="1206D05C">
            <w:pPr>
              <w:rPr>
                <w:rFonts w:eastAsia="黑体"/>
                <w:color w:val="auto"/>
                <w:szCs w:val="21"/>
              </w:rPr>
            </w:pPr>
          </w:p>
        </w:tc>
        <w:tc>
          <w:tcPr>
            <w:tcW w:w="691" w:type="pct"/>
            <w:noWrap w:val="0"/>
            <w:vAlign w:val="center"/>
          </w:tcPr>
          <w:p w14:paraId="46F33AA1">
            <w:pPr>
              <w:rPr>
                <w:rFonts w:eastAsia="黑体"/>
                <w:color w:val="auto"/>
                <w:szCs w:val="21"/>
              </w:rPr>
            </w:pPr>
          </w:p>
        </w:tc>
        <w:tc>
          <w:tcPr>
            <w:tcW w:w="1309" w:type="pct"/>
            <w:gridSpan w:val="2"/>
            <w:noWrap w:val="0"/>
            <w:vAlign w:val="center"/>
          </w:tcPr>
          <w:p w14:paraId="25620F2A">
            <w:pPr>
              <w:rPr>
                <w:rFonts w:eastAsia="黑体"/>
                <w:color w:val="auto"/>
                <w:szCs w:val="21"/>
              </w:rPr>
            </w:pPr>
          </w:p>
        </w:tc>
      </w:tr>
      <w:tr w14:paraId="0786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45B25822">
            <w:pPr>
              <w:rPr>
                <w:rFonts w:eastAsia="黑体"/>
                <w:color w:val="auto"/>
                <w:szCs w:val="21"/>
              </w:rPr>
            </w:pPr>
          </w:p>
        </w:tc>
        <w:tc>
          <w:tcPr>
            <w:tcW w:w="1370" w:type="pct"/>
            <w:gridSpan w:val="3"/>
            <w:noWrap w:val="0"/>
            <w:vAlign w:val="center"/>
          </w:tcPr>
          <w:p w14:paraId="18F50262">
            <w:pPr>
              <w:rPr>
                <w:rFonts w:eastAsia="黑体"/>
                <w:color w:val="auto"/>
                <w:szCs w:val="21"/>
              </w:rPr>
            </w:pPr>
          </w:p>
        </w:tc>
        <w:tc>
          <w:tcPr>
            <w:tcW w:w="917" w:type="pct"/>
            <w:gridSpan w:val="2"/>
            <w:noWrap w:val="0"/>
            <w:vAlign w:val="center"/>
          </w:tcPr>
          <w:p w14:paraId="45AF2475">
            <w:pPr>
              <w:rPr>
                <w:rFonts w:eastAsia="黑体"/>
                <w:color w:val="auto"/>
                <w:szCs w:val="21"/>
              </w:rPr>
            </w:pPr>
          </w:p>
        </w:tc>
        <w:tc>
          <w:tcPr>
            <w:tcW w:w="691" w:type="pct"/>
            <w:noWrap w:val="0"/>
            <w:vAlign w:val="center"/>
          </w:tcPr>
          <w:p w14:paraId="06B1082C">
            <w:pPr>
              <w:rPr>
                <w:rFonts w:eastAsia="黑体"/>
                <w:color w:val="auto"/>
                <w:szCs w:val="21"/>
              </w:rPr>
            </w:pPr>
          </w:p>
        </w:tc>
        <w:tc>
          <w:tcPr>
            <w:tcW w:w="1309" w:type="pct"/>
            <w:gridSpan w:val="2"/>
            <w:noWrap w:val="0"/>
            <w:vAlign w:val="center"/>
          </w:tcPr>
          <w:p w14:paraId="38BD4AE5">
            <w:pPr>
              <w:rPr>
                <w:rFonts w:eastAsia="黑体"/>
                <w:color w:val="auto"/>
                <w:szCs w:val="21"/>
              </w:rPr>
            </w:pPr>
          </w:p>
        </w:tc>
      </w:tr>
      <w:tr w14:paraId="10E5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530AD372">
            <w:pPr>
              <w:rPr>
                <w:rFonts w:eastAsia="黑体"/>
                <w:color w:val="auto"/>
                <w:szCs w:val="21"/>
              </w:rPr>
            </w:pPr>
          </w:p>
        </w:tc>
        <w:tc>
          <w:tcPr>
            <w:tcW w:w="1370" w:type="pct"/>
            <w:gridSpan w:val="3"/>
            <w:noWrap w:val="0"/>
            <w:vAlign w:val="center"/>
          </w:tcPr>
          <w:p w14:paraId="43D6CDD5">
            <w:pPr>
              <w:rPr>
                <w:rFonts w:eastAsia="黑体"/>
                <w:color w:val="auto"/>
                <w:szCs w:val="21"/>
              </w:rPr>
            </w:pPr>
          </w:p>
        </w:tc>
        <w:tc>
          <w:tcPr>
            <w:tcW w:w="917" w:type="pct"/>
            <w:gridSpan w:val="2"/>
            <w:tcBorders>
              <w:right w:val="single" w:color="auto" w:sz="8" w:space="0"/>
            </w:tcBorders>
            <w:noWrap w:val="0"/>
            <w:vAlign w:val="center"/>
          </w:tcPr>
          <w:p w14:paraId="44300133">
            <w:pPr>
              <w:rPr>
                <w:rFonts w:eastAsia="黑体"/>
                <w:color w:val="auto"/>
                <w:szCs w:val="21"/>
              </w:rPr>
            </w:pPr>
          </w:p>
        </w:tc>
        <w:tc>
          <w:tcPr>
            <w:tcW w:w="691" w:type="pct"/>
            <w:tcBorders>
              <w:left w:val="single" w:color="auto" w:sz="8" w:space="0"/>
            </w:tcBorders>
            <w:noWrap w:val="0"/>
            <w:vAlign w:val="center"/>
          </w:tcPr>
          <w:p w14:paraId="0E21373F">
            <w:pPr>
              <w:rPr>
                <w:rFonts w:eastAsia="黑体"/>
                <w:color w:val="auto"/>
                <w:szCs w:val="21"/>
              </w:rPr>
            </w:pPr>
          </w:p>
        </w:tc>
        <w:tc>
          <w:tcPr>
            <w:tcW w:w="1309" w:type="pct"/>
            <w:gridSpan w:val="2"/>
            <w:noWrap w:val="0"/>
            <w:vAlign w:val="center"/>
          </w:tcPr>
          <w:p w14:paraId="19766A80">
            <w:pPr>
              <w:rPr>
                <w:rFonts w:eastAsia="黑体"/>
                <w:color w:val="auto"/>
                <w:szCs w:val="21"/>
              </w:rPr>
            </w:pPr>
          </w:p>
        </w:tc>
      </w:tr>
      <w:tr w14:paraId="46F8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270A7806">
            <w:pPr>
              <w:rPr>
                <w:rFonts w:ascii="宋体" w:hAnsi="宋体"/>
                <w:color w:val="auto"/>
                <w:szCs w:val="21"/>
              </w:rPr>
            </w:pPr>
            <w:r>
              <w:rPr>
                <w:rFonts w:hint="eastAsia" w:ascii="宋体" w:hAnsi="宋体"/>
                <w:color w:val="auto"/>
                <w:szCs w:val="21"/>
              </w:rPr>
              <w:t>获奖情况</w:t>
            </w:r>
          </w:p>
        </w:tc>
        <w:tc>
          <w:tcPr>
            <w:tcW w:w="4287" w:type="pct"/>
            <w:gridSpan w:val="8"/>
            <w:noWrap w:val="0"/>
            <w:vAlign w:val="center"/>
          </w:tcPr>
          <w:p w14:paraId="5BFCC80B">
            <w:pPr>
              <w:rPr>
                <w:rFonts w:eastAsia="黑体"/>
                <w:color w:val="auto"/>
                <w:szCs w:val="21"/>
              </w:rPr>
            </w:pPr>
          </w:p>
        </w:tc>
      </w:tr>
      <w:tr w14:paraId="0D5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noWrap w:val="0"/>
            <w:vAlign w:val="center"/>
          </w:tcPr>
          <w:p w14:paraId="2688F298">
            <w:pPr>
              <w:rPr>
                <w:rFonts w:ascii="宋体" w:hAnsi="宋体"/>
                <w:color w:val="auto"/>
                <w:szCs w:val="21"/>
              </w:rPr>
            </w:pPr>
            <w:r>
              <w:rPr>
                <w:rFonts w:hint="eastAsia" w:ascii="宋体" w:hAnsi="宋体"/>
                <w:color w:val="auto"/>
                <w:szCs w:val="21"/>
              </w:rPr>
              <w:t>说明在岗情况</w:t>
            </w:r>
          </w:p>
        </w:tc>
        <w:tc>
          <w:tcPr>
            <w:tcW w:w="3155" w:type="pct"/>
            <w:gridSpan w:val="6"/>
            <w:noWrap w:val="0"/>
            <w:vAlign w:val="center"/>
          </w:tcPr>
          <w:p w14:paraId="76873B77">
            <w:pPr>
              <w:widowControl/>
              <w:rPr>
                <w:snapToGrid w:val="0"/>
                <w:color w:val="auto"/>
                <w:kern w:val="0"/>
                <w:szCs w:val="21"/>
                <w:u w:val="single"/>
              </w:rPr>
            </w:pPr>
            <w:r>
              <w:rPr>
                <w:rFonts w:hint="eastAsia" w:ascii="宋体" w:hAnsi="宋体"/>
                <w:snapToGrid w:val="0"/>
                <w:color w:val="auto"/>
                <w:kern w:val="0"/>
                <w:szCs w:val="21"/>
              </w:rPr>
              <w:t>□</w:t>
            </w:r>
            <w:r>
              <w:rPr>
                <w:snapToGrid w:val="0"/>
                <w:color w:val="auto"/>
                <w:kern w:val="0"/>
                <w:szCs w:val="21"/>
              </w:rPr>
              <w:t>目前未在其他项目上任职，现从事工作为：</w:t>
            </w:r>
            <w:r>
              <w:rPr>
                <w:rFonts w:hint="eastAsia"/>
                <w:snapToGrid w:val="0"/>
                <w:color w:val="auto"/>
                <w:kern w:val="0"/>
                <w:szCs w:val="21"/>
              </w:rPr>
              <w:t>______</w:t>
            </w:r>
          </w:p>
          <w:p w14:paraId="60A5A3C5">
            <w:pPr>
              <w:widowControl/>
              <w:rPr>
                <w:snapToGrid w:val="0"/>
                <w:color w:val="auto"/>
                <w:kern w:val="0"/>
                <w:szCs w:val="21"/>
              </w:rPr>
            </w:pPr>
            <w:r>
              <w:rPr>
                <w:rFonts w:hint="eastAsia" w:ascii="宋体" w:hAnsi="宋体"/>
                <w:snapToGrid w:val="0"/>
                <w:color w:val="auto"/>
                <w:kern w:val="0"/>
                <w:szCs w:val="21"/>
              </w:rPr>
              <w:t>□</w:t>
            </w:r>
            <w:r>
              <w:rPr>
                <w:snapToGrid w:val="0"/>
                <w:color w:val="auto"/>
                <w:kern w:val="0"/>
                <w:szCs w:val="21"/>
              </w:rPr>
              <w:t>目前虽在其他项目上任职，但本项目中标后能够撤离，目前任职项目：</w:t>
            </w:r>
            <w:r>
              <w:rPr>
                <w:rFonts w:hint="eastAsia"/>
                <w:snapToGrid w:val="0"/>
                <w:color w:val="auto"/>
                <w:kern w:val="0"/>
                <w:szCs w:val="21"/>
              </w:rPr>
              <w:t>______</w:t>
            </w:r>
            <w:r>
              <w:rPr>
                <w:snapToGrid w:val="0"/>
                <w:color w:val="auto"/>
                <w:kern w:val="0"/>
                <w:szCs w:val="21"/>
              </w:rPr>
              <w:t>，担任职位：</w:t>
            </w:r>
            <w:r>
              <w:rPr>
                <w:rFonts w:hint="eastAsia"/>
                <w:snapToGrid w:val="0"/>
                <w:color w:val="auto"/>
                <w:kern w:val="0"/>
                <w:szCs w:val="21"/>
              </w:rPr>
              <w:t>_____</w:t>
            </w:r>
            <w:r>
              <w:rPr>
                <w:snapToGrid w:val="0"/>
                <w:color w:val="auto"/>
                <w:kern w:val="0"/>
                <w:szCs w:val="21"/>
              </w:rPr>
              <w:t>。</w:t>
            </w:r>
          </w:p>
        </w:tc>
      </w:tr>
    </w:tbl>
    <w:p w14:paraId="5330DA37">
      <w:pPr>
        <w:rPr>
          <w:rFonts w:hint="eastAsia"/>
          <w:color w:val="auto"/>
        </w:rPr>
      </w:pPr>
    </w:p>
    <w:p w14:paraId="0CCE765B">
      <w:pPr>
        <w:rPr>
          <w:rFonts w:hint="eastAsia"/>
          <w:color w:val="auto"/>
        </w:rPr>
      </w:pPr>
    </w:p>
    <w:p w14:paraId="468E604D">
      <w:pPr>
        <w:rPr>
          <w:rFonts w:hint="eastAsia"/>
          <w:color w:val="auto"/>
        </w:rPr>
      </w:pPr>
    </w:p>
    <w:p w14:paraId="5262D551">
      <w:pPr>
        <w:rPr>
          <w:rFonts w:hint="eastAsia"/>
          <w:color w:val="auto"/>
        </w:rPr>
      </w:pPr>
    </w:p>
    <w:p w14:paraId="394E708B">
      <w:pPr>
        <w:rPr>
          <w:rFonts w:hint="eastAsia"/>
          <w:color w:val="auto"/>
        </w:rPr>
      </w:pPr>
    </w:p>
    <w:p w14:paraId="0540F1B5">
      <w:pPr>
        <w:rPr>
          <w:rFonts w:hint="eastAsia"/>
          <w:color w:val="auto"/>
        </w:rPr>
      </w:pPr>
    </w:p>
    <w:p w14:paraId="4F49BC12">
      <w:pPr>
        <w:rPr>
          <w:rFonts w:hint="eastAsia"/>
          <w:color w:val="auto"/>
        </w:rPr>
      </w:pPr>
    </w:p>
    <w:p w14:paraId="5FA49ADC">
      <w:pPr>
        <w:rPr>
          <w:rFonts w:hint="eastAsia"/>
          <w:color w:val="auto"/>
        </w:rPr>
      </w:pPr>
    </w:p>
    <w:p w14:paraId="1967EFF4">
      <w:pPr>
        <w:rPr>
          <w:rFonts w:hint="eastAsia"/>
          <w:color w:val="auto"/>
        </w:rPr>
      </w:pPr>
    </w:p>
    <w:p w14:paraId="55B30885">
      <w:pPr>
        <w:rPr>
          <w:rFonts w:hint="eastAsia"/>
          <w:color w:val="auto"/>
        </w:rPr>
      </w:pPr>
    </w:p>
    <w:p w14:paraId="69F5DA9C">
      <w:pPr>
        <w:rPr>
          <w:rFonts w:hint="eastAsia"/>
          <w:color w:val="auto"/>
        </w:rPr>
      </w:pPr>
    </w:p>
    <w:p w14:paraId="2B07B80C">
      <w:pPr>
        <w:rPr>
          <w:rFonts w:hint="eastAsia"/>
          <w:color w:val="auto"/>
        </w:rPr>
      </w:pPr>
    </w:p>
    <w:p w14:paraId="164AC802">
      <w:pPr>
        <w:rPr>
          <w:rFonts w:hint="eastAsia"/>
          <w:color w:val="auto"/>
        </w:rPr>
      </w:pPr>
    </w:p>
    <w:p w14:paraId="01839DC1">
      <w:pPr>
        <w:rPr>
          <w:rFonts w:hint="eastAsia"/>
          <w:color w:val="auto"/>
        </w:rPr>
      </w:pPr>
    </w:p>
    <w:p w14:paraId="1FF20E60">
      <w:pPr>
        <w:rPr>
          <w:rFonts w:hint="eastAsia"/>
          <w:color w:val="auto"/>
        </w:rPr>
      </w:pPr>
    </w:p>
    <w:p w14:paraId="1A4D800D">
      <w:pPr>
        <w:rPr>
          <w:rFonts w:hint="eastAsia"/>
          <w:color w:val="auto"/>
        </w:rPr>
      </w:pPr>
    </w:p>
    <w:p w14:paraId="3F32E627">
      <w:pPr>
        <w:rPr>
          <w:rFonts w:hint="eastAsia"/>
          <w:color w:val="auto"/>
        </w:rPr>
      </w:pPr>
    </w:p>
    <w:p w14:paraId="5F9A2BF1">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eastAsia="宋体"/>
          <w:color w:val="auto"/>
          <w:lang w:eastAsia="zh-CN"/>
        </w:rPr>
      </w:pPr>
      <w:bookmarkStart w:id="455" w:name="_Toc328559340"/>
      <w:bookmarkStart w:id="456" w:name="_Toc273602359"/>
      <w:bookmarkStart w:id="457" w:name="_Toc245714177"/>
      <w:bookmarkStart w:id="458" w:name="_Toc516969110"/>
      <w:bookmarkStart w:id="459" w:name="_Toc220232405"/>
      <w:bookmarkStart w:id="460" w:name="_Toc220232400"/>
      <w:r>
        <w:rPr>
          <w:rFonts w:hint="eastAsia"/>
          <w:color w:val="auto"/>
        </w:rPr>
        <w:t>五．</w:t>
      </w:r>
      <w:bookmarkEnd w:id="455"/>
      <w:bookmarkEnd w:id="456"/>
      <w:bookmarkEnd w:id="457"/>
      <w:r>
        <w:rPr>
          <w:rFonts w:hint="eastAsia"/>
          <w:color w:val="auto"/>
          <w:lang w:eastAsia="zh-CN"/>
        </w:rPr>
        <w:t>投标业绩</w:t>
      </w:r>
    </w:p>
    <w:p w14:paraId="658503A4">
      <w:pPr>
        <w:spacing w:line="360" w:lineRule="auto"/>
        <w:jc w:val="center"/>
        <w:outlineLvl w:val="2"/>
        <w:rPr>
          <w:color w:val="auto"/>
          <w:sz w:val="24"/>
          <w:szCs w:val="24"/>
        </w:rPr>
      </w:pPr>
      <w:r>
        <w:rPr>
          <w:rFonts w:hint="eastAsia"/>
          <w:color w:val="auto"/>
          <w:sz w:val="24"/>
          <w:szCs w:val="24"/>
        </w:rPr>
        <w:t>（格式仅供参考）</w:t>
      </w:r>
    </w:p>
    <w:tbl>
      <w:tblPr>
        <w:tblStyle w:val="5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55EA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EF5A885">
            <w:pPr>
              <w:autoSpaceDE w:val="0"/>
              <w:autoSpaceDN w:val="0"/>
              <w:adjustRightInd w:val="0"/>
              <w:spacing w:line="300" w:lineRule="exact"/>
              <w:jc w:val="center"/>
              <w:rPr>
                <w:rFonts w:hint="eastAsia"/>
                <w:color w:val="auto"/>
                <w:szCs w:val="22"/>
                <w:highlight w:val="white"/>
              </w:rPr>
            </w:pPr>
            <w:r>
              <w:rPr>
                <w:rFonts w:hint="eastAsia"/>
                <w:color w:val="auto"/>
                <w:szCs w:val="22"/>
                <w:highlight w:val="whit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ADCE7B">
            <w:pPr>
              <w:autoSpaceDE w:val="0"/>
              <w:autoSpaceDN w:val="0"/>
              <w:adjustRightInd w:val="0"/>
              <w:spacing w:line="300" w:lineRule="exact"/>
              <w:jc w:val="center"/>
              <w:rPr>
                <w:rFonts w:ascii="宋体" w:hAnsi="宋体" w:cs="宋体"/>
                <w:color w:val="auto"/>
                <w:kern w:val="0"/>
                <w:szCs w:val="21"/>
              </w:rPr>
            </w:pPr>
          </w:p>
        </w:tc>
      </w:tr>
      <w:tr w14:paraId="25C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C13782">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FF9DE">
            <w:pPr>
              <w:autoSpaceDE w:val="0"/>
              <w:autoSpaceDN w:val="0"/>
              <w:adjustRightInd w:val="0"/>
              <w:spacing w:line="300" w:lineRule="exact"/>
              <w:jc w:val="center"/>
              <w:rPr>
                <w:rFonts w:ascii="宋体" w:hAnsi="宋体" w:cs="宋体"/>
                <w:color w:val="auto"/>
                <w:kern w:val="0"/>
                <w:szCs w:val="21"/>
              </w:rPr>
            </w:pPr>
          </w:p>
        </w:tc>
      </w:tr>
      <w:tr w14:paraId="54E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2EFA20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B04B6E8">
            <w:pPr>
              <w:autoSpaceDE w:val="0"/>
              <w:autoSpaceDN w:val="0"/>
              <w:adjustRightInd w:val="0"/>
              <w:spacing w:line="300" w:lineRule="exact"/>
              <w:jc w:val="center"/>
              <w:rPr>
                <w:rFonts w:ascii="宋体" w:hAnsi="宋体" w:cs="宋体"/>
                <w:color w:val="auto"/>
                <w:kern w:val="0"/>
                <w:szCs w:val="21"/>
              </w:rPr>
            </w:pPr>
          </w:p>
        </w:tc>
      </w:tr>
      <w:tr w14:paraId="5FD4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9098E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69855A5">
            <w:pPr>
              <w:autoSpaceDE w:val="0"/>
              <w:autoSpaceDN w:val="0"/>
              <w:adjustRightInd w:val="0"/>
              <w:spacing w:line="300" w:lineRule="exact"/>
              <w:jc w:val="center"/>
              <w:rPr>
                <w:rFonts w:ascii="宋体" w:hAnsi="宋体" w:cs="宋体"/>
                <w:color w:val="auto"/>
                <w:kern w:val="0"/>
                <w:szCs w:val="21"/>
              </w:rPr>
            </w:pPr>
          </w:p>
        </w:tc>
      </w:tr>
      <w:tr w14:paraId="304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CA395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E84CC4">
            <w:pPr>
              <w:autoSpaceDE w:val="0"/>
              <w:autoSpaceDN w:val="0"/>
              <w:adjustRightInd w:val="0"/>
              <w:spacing w:line="300" w:lineRule="exact"/>
              <w:jc w:val="center"/>
              <w:rPr>
                <w:rFonts w:ascii="宋体" w:hAnsi="宋体" w:cs="宋体"/>
                <w:color w:val="auto"/>
                <w:kern w:val="0"/>
                <w:szCs w:val="21"/>
              </w:rPr>
            </w:pPr>
          </w:p>
        </w:tc>
      </w:tr>
      <w:tr w14:paraId="691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48F023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68B466C">
            <w:pPr>
              <w:autoSpaceDE w:val="0"/>
              <w:autoSpaceDN w:val="0"/>
              <w:adjustRightInd w:val="0"/>
              <w:spacing w:line="300" w:lineRule="exact"/>
              <w:jc w:val="center"/>
              <w:rPr>
                <w:rFonts w:ascii="宋体" w:hAnsi="宋体" w:cs="宋体"/>
                <w:color w:val="auto"/>
                <w:kern w:val="0"/>
                <w:szCs w:val="21"/>
              </w:rPr>
            </w:pPr>
          </w:p>
        </w:tc>
      </w:tr>
      <w:tr w14:paraId="7DB0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7D748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7876ED">
            <w:pPr>
              <w:autoSpaceDE w:val="0"/>
              <w:autoSpaceDN w:val="0"/>
              <w:adjustRightInd w:val="0"/>
              <w:spacing w:line="300" w:lineRule="exact"/>
              <w:jc w:val="center"/>
              <w:rPr>
                <w:rFonts w:ascii="宋体" w:hAnsi="宋体" w:cs="宋体"/>
                <w:color w:val="auto"/>
                <w:kern w:val="0"/>
                <w:szCs w:val="21"/>
              </w:rPr>
            </w:pPr>
          </w:p>
        </w:tc>
      </w:tr>
      <w:tr w14:paraId="2F69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27562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开工日期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6EF22B">
            <w:pPr>
              <w:autoSpaceDE w:val="0"/>
              <w:autoSpaceDN w:val="0"/>
              <w:adjustRightInd w:val="0"/>
              <w:spacing w:line="300" w:lineRule="exact"/>
              <w:jc w:val="center"/>
              <w:rPr>
                <w:rFonts w:ascii="宋体" w:hAnsi="宋体" w:cs="宋体"/>
                <w:color w:val="auto"/>
                <w:kern w:val="0"/>
                <w:szCs w:val="21"/>
              </w:rPr>
            </w:pPr>
          </w:p>
        </w:tc>
      </w:tr>
      <w:tr w14:paraId="3882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13798FF">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竣工日期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EF3D5F">
            <w:pPr>
              <w:autoSpaceDE w:val="0"/>
              <w:autoSpaceDN w:val="0"/>
              <w:adjustRightInd w:val="0"/>
              <w:spacing w:line="300" w:lineRule="exact"/>
              <w:jc w:val="center"/>
              <w:rPr>
                <w:rFonts w:ascii="宋体" w:hAnsi="宋体" w:cs="宋体"/>
                <w:color w:val="auto"/>
                <w:kern w:val="0"/>
                <w:szCs w:val="21"/>
              </w:rPr>
            </w:pPr>
          </w:p>
        </w:tc>
      </w:tr>
      <w:tr w14:paraId="013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523A4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F960F4">
            <w:pPr>
              <w:autoSpaceDE w:val="0"/>
              <w:autoSpaceDN w:val="0"/>
              <w:adjustRightInd w:val="0"/>
              <w:spacing w:line="300" w:lineRule="exact"/>
              <w:jc w:val="center"/>
              <w:rPr>
                <w:rFonts w:ascii="宋体" w:hAnsi="宋体" w:cs="宋体"/>
                <w:color w:val="auto"/>
                <w:kern w:val="0"/>
                <w:szCs w:val="21"/>
              </w:rPr>
            </w:pPr>
          </w:p>
        </w:tc>
      </w:tr>
      <w:tr w14:paraId="156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51DD8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工程质量</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71CA1E">
            <w:pPr>
              <w:autoSpaceDE w:val="0"/>
              <w:autoSpaceDN w:val="0"/>
              <w:adjustRightInd w:val="0"/>
              <w:spacing w:line="300" w:lineRule="exact"/>
              <w:jc w:val="center"/>
              <w:rPr>
                <w:rFonts w:ascii="宋体" w:hAnsi="宋体" w:cs="宋体"/>
                <w:color w:val="auto"/>
                <w:kern w:val="0"/>
                <w:szCs w:val="21"/>
              </w:rPr>
            </w:pPr>
          </w:p>
        </w:tc>
      </w:tr>
      <w:tr w14:paraId="13DC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A8B40D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项目经理（或注册建造师）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47484EA">
            <w:pPr>
              <w:autoSpaceDE w:val="0"/>
              <w:autoSpaceDN w:val="0"/>
              <w:adjustRightInd w:val="0"/>
              <w:spacing w:line="300" w:lineRule="exact"/>
              <w:jc w:val="center"/>
              <w:rPr>
                <w:rFonts w:ascii="宋体" w:hAnsi="宋体" w:cs="宋体"/>
                <w:color w:val="auto"/>
                <w:kern w:val="0"/>
                <w:szCs w:val="21"/>
              </w:rPr>
            </w:pPr>
          </w:p>
        </w:tc>
      </w:tr>
      <w:tr w14:paraId="72A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B99792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19F506">
            <w:pPr>
              <w:autoSpaceDE w:val="0"/>
              <w:autoSpaceDN w:val="0"/>
              <w:adjustRightInd w:val="0"/>
              <w:spacing w:line="300" w:lineRule="exact"/>
              <w:jc w:val="center"/>
              <w:rPr>
                <w:rFonts w:ascii="宋体" w:hAnsi="宋体" w:cs="宋体"/>
                <w:color w:val="auto"/>
                <w:kern w:val="0"/>
                <w:szCs w:val="21"/>
              </w:rPr>
            </w:pPr>
          </w:p>
        </w:tc>
      </w:tr>
      <w:tr w14:paraId="226E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1CB8C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DE17B10">
            <w:pPr>
              <w:autoSpaceDE w:val="0"/>
              <w:autoSpaceDN w:val="0"/>
              <w:adjustRightInd w:val="0"/>
              <w:spacing w:line="300" w:lineRule="exact"/>
              <w:jc w:val="center"/>
              <w:rPr>
                <w:rFonts w:ascii="宋体" w:hAnsi="宋体" w:cs="宋体"/>
                <w:color w:val="auto"/>
                <w:kern w:val="0"/>
                <w:szCs w:val="21"/>
              </w:rPr>
            </w:pPr>
          </w:p>
        </w:tc>
      </w:tr>
      <w:tr w14:paraId="6697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64744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3F570E6">
            <w:pPr>
              <w:autoSpaceDE w:val="0"/>
              <w:autoSpaceDN w:val="0"/>
              <w:adjustRightInd w:val="0"/>
              <w:spacing w:line="300" w:lineRule="exact"/>
              <w:jc w:val="center"/>
              <w:rPr>
                <w:rFonts w:ascii="宋体" w:hAnsi="宋体" w:cs="宋体"/>
                <w:color w:val="auto"/>
                <w:kern w:val="0"/>
                <w:szCs w:val="21"/>
              </w:rPr>
            </w:pPr>
          </w:p>
        </w:tc>
      </w:tr>
      <w:tr w14:paraId="5717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7CFC275">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12A2A1">
            <w:pPr>
              <w:autoSpaceDE w:val="0"/>
              <w:autoSpaceDN w:val="0"/>
              <w:adjustRightInd w:val="0"/>
              <w:spacing w:line="300" w:lineRule="exact"/>
              <w:jc w:val="center"/>
              <w:rPr>
                <w:rFonts w:ascii="宋体" w:hAnsi="宋体" w:cs="宋体"/>
                <w:color w:val="auto"/>
                <w:kern w:val="0"/>
                <w:szCs w:val="21"/>
              </w:rPr>
            </w:pPr>
          </w:p>
        </w:tc>
      </w:tr>
      <w:tr w14:paraId="1CD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51EF96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A3B12A">
            <w:pPr>
              <w:autoSpaceDE w:val="0"/>
              <w:autoSpaceDN w:val="0"/>
              <w:adjustRightInd w:val="0"/>
              <w:spacing w:line="300" w:lineRule="exact"/>
              <w:ind w:left="360"/>
              <w:rPr>
                <w:rFonts w:ascii="宋体" w:hAnsi="宋体" w:cs="宋体"/>
                <w:color w:val="auto"/>
                <w:kern w:val="0"/>
                <w:szCs w:val="21"/>
              </w:rPr>
            </w:pPr>
            <w:r>
              <w:rPr>
                <w:rFonts w:hint="eastAsia" w:ascii="楷体" w:hAnsi="楷体" w:eastAsia="楷体"/>
                <w:bCs/>
                <w:color w:val="auto"/>
                <w:szCs w:val="21"/>
              </w:rPr>
              <w:t>□</w:t>
            </w:r>
            <w:r>
              <w:rPr>
                <w:rFonts w:hint="eastAsia"/>
                <w:color w:val="auto"/>
                <w:szCs w:val="22"/>
                <w:highlight w:val="white"/>
              </w:rPr>
              <w:t>资格审查用业绩</w:t>
            </w:r>
            <w:r>
              <w:rPr>
                <w:rFonts w:hint="eastAsia" w:ascii="楷体" w:hAnsi="楷体" w:eastAsia="楷体"/>
                <w:bCs/>
                <w:color w:val="auto"/>
                <w:szCs w:val="21"/>
              </w:rPr>
              <w:t xml:space="preserve">      □</w:t>
            </w:r>
            <w:r>
              <w:rPr>
                <w:rFonts w:hint="eastAsia"/>
                <w:color w:val="auto"/>
                <w:szCs w:val="22"/>
                <w:highlight w:val="white"/>
              </w:rPr>
              <w:t>商务文件评分用业绩</w:t>
            </w:r>
          </w:p>
        </w:tc>
      </w:tr>
    </w:tbl>
    <w:p w14:paraId="1087AF8B">
      <w:pPr>
        <w:spacing w:before="48" w:beforeLines="20" w:after="48" w:afterLines="20" w:line="360" w:lineRule="auto"/>
        <w:jc w:val="center"/>
        <w:rPr>
          <w:rFonts w:ascii="宋体" w:hAnsi="宋体"/>
          <w:color w:val="auto"/>
          <w:sz w:val="28"/>
        </w:rPr>
      </w:pPr>
    </w:p>
    <w:p w14:paraId="03689D37">
      <w:pPr>
        <w:rPr>
          <w:rFonts w:hint="eastAsia"/>
          <w:color w:val="auto"/>
          <w:sz w:val="28"/>
          <w:szCs w:val="28"/>
        </w:rPr>
      </w:pPr>
    </w:p>
    <w:p w14:paraId="58BA7C2C">
      <w:pPr>
        <w:rPr>
          <w:rFonts w:hint="eastAsia"/>
          <w:color w:val="auto"/>
          <w:sz w:val="28"/>
          <w:szCs w:val="28"/>
        </w:rPr>
      </w:pPr>
    </w:p>
    <w:p w14:paraId="16B2C471">
      <w:pPr>
        <w:rPr>
          <w:rFonts w:hint="eastAsia"/>
          <w:color w:val="auto"/>
          <w:sz w:val="28"/>
          <w:szCs w:val="28"/>
        </w:rPr>
      </w:pPr>
    </w:p>
    <w:p w14:paraId="6ABFFE2D">
      <w:pPr>
        <w:rPr>
          <w:rFonts w:hint="eastAsia"/>
          <w:color w:val="auto"/>
          <w:sz w:val="28"/>
          <w:szCs w:val="28"/>
        </w:rPr>
      </w:pPr>
    </w:p>
    <w:p w14:paraId="5BA74836">
      <w:pPr>
        <w:rPr>
          <w:rFonts w:hint="eastAsia"/>
          <w:color w:val="auto"/>
          <w:sz w:val="28"/>
          <w:szCs w:val="28"/>
        </w:rPr>
      </w:pPr>
    </w:p>
    <w:bookmarkEnd w:id="458"/>
    <w:bookmarkEnd w:id="459"/>
    <w:bookmarkEnd w:id="460"/>
    <w:p w14:paraId="2A7EBF55">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color w:val="auto"/>
        </w:rPr>
      </w:pPr>
      <w:bookmarkStart w:id="461" w:name="_Toc273602361"/>
      <w:bookmarkStart w:id="462" w:name="_Toc245714180"/>
      <w:bookmarkStart w:id="463" w:name="_Toc328559342"/>
      <w:r>
        <w:rPr>
          <w:rFonts w:hint="eastAsia"/>
          <w:color w:val="auto"/>
          <w:lang w:eastAsia="zh-CN"/>
        </w:rPr>
        <w:t>六</w:t>
      </w:r>
      <w:r>
        <w:rPr>
          <w:rFonts w:hint="eastAsia"/>
          <w:color w:val="auto"/>
        </w:rPr>
        <w:t>.资格证明文件</w:t>
      </w:r>
      <w:bookmarkEnd w:id="461"/>
      <w:bookmarkEnd w:id="462"/>
      <w:bookmarkEnd w:id="463"/>
    </w:p>
    <w:p w14:paraId="7F669761">
      <w:pPr>
        <w:tabs>
          <w:tab w:val="left" w:pos="4620"/>
        </w:tabs>
        <w:spacing w:line="360" w:lineRule="auto"/>
        <w:ind w:firstLine="480" w:firstLineChars="200"/>
        <w:rPr>
          <w:rFonts w:hint="eastAsia" w:ascii="宋体" w:hAnsi="宋体"/>
          <w:color w:val="auto"/>
          <w:sz w:val="24"/>
        </w:rPr>
      </w:pPr>
      <w:r>
        <w:rPr>
          <w:rFonts w:hint="eastAsia" w:ascii="宋体" w:hAnsi="宋体"/>
          <w:color w:val="auto"/>
          <w:sz w:val="24"/>
        </w:rPr>
        <w:t>提供符合投标邀请（招标公告）、招标范围及要求、评标办法规定的相关证明文件</w:t>
      </w:r>
    </w:p>
    <w:p w14:paraId="50E78C72">
      <w:pPr>
        <w:tabs>
          <w:tab w:val="left" w:pos="4620"/>
        </w:tabs>
        <w:spacing w:line="360" w:lineRule="auto"/>
        <w:ind w:firstLine="480" w:firstLineChars="200"/>
        <w:rPr>
          <w:rFonts w:hint="eastAsia" w:ascii="宋体" w:hAnsi="宋体"/>
          <w:color w:val="auto"/>
          <w:sz w:val="24"/>
        </w:rPr>
      </w:pPr>
    </w:p>
    <w:p w14:paraId="4D7FB62A">
      <w:pPr>
        <w:pStyle w:val="4"/>
        <w:outlineLvl w:val="9"/>
        <w:rPr>
          <w:rFonts w:hint="eastAsia"/>
          <w:b/>
          <w:color w:val="auto"/>
          <w:szCs w:val="22"/>
          <w:lang w:eastAsia="zh-CN"/>
        </w:rPr>
      </w:pPr>
      <w:bookmarkStart w:id="464" w:name="_Toc515390052"/>
    </w:p>
    <w:p w14:paraId="23171B91">
      <w:pPr>
        <w:pStyle w:val="4"/>
        <w:spacing w:before="0" w:after="0" w:line="240" w:lineRule="auto"/>
        <w:outlineLvl w:val="9"/>
        <w:rPr>
          <w:rFonts w:hint="eastAsia"/>
          <w:b/>
          <w:color w:val="auto"/>
          <w:szCs w:val="22"/>
          <w:lang w:eastAsia="zh-CN"/>
        </w:rPr>
      </w:pPr>
    </w:p>
    <w:p w14:paraId="78086DE1">
      <w:pPr>
        <w:rPr>
          <w:rFonts w:hint="eastAsia"/>
          <w:color w:val="auto"/>
          <w:lang w:eastAsia="zh-CN"/>
        </w:rPr>
      </w:pPr>
    </w:p>
    <w:p w14:paraId="05E32E76">
      <w:pPr>
        <w:pStyle w:val="4"/>
        <w:keepNext/>
        <w:keepLines/>
        <w:pageBreakBefore/>
        <w:widowControl w:val="0"/>
        <w:kinsoku/>
        <w:wordWrap/>
        <w:overflowPunct/>
        <w:topLinePunct w:val="0"/>
        <w:autoSpaceDE/>
        <w:autoSpaceDN/>
        <w:bidi w:val="0"/>
        <w:adjustRightInd/>
        <w:snapToGrid/>
        <w:spacing w:before="0" w:after="0" w:line="240" w:lineRule="auto"/>
        <w:textAlignment w:val="auto"/>
        <w:outlineLvl w:val="1"/>
        <w:rPr>
          <w:rFonts w:hint="eastAsia"/>
          <w:b/>
          <w:color w:val="auto"/>
          <w:szCs w:val="22"/>
        </w:rPr>
      </w:pPr>
      <w:r>
        <w:rPr>
          <w:rFonts w:hint="eastAsia"/>
          <w:b/>
          <w:color w:val="auto"/>
          <w:szCs w:val="22"/>
          <w:lang w:eastAsia="zh-CN"/>
        </w:rPr>
        <w:t>七、</w:t>
      </w:r>
      <w:r>
        <w:rPr>
          <w:rFonts w:hint="eastAsia"/>
          <w:b/>
          <w:color w:val="auto"/>
          <w:szCs w:val="22"/>
        </w:rPr>
        <w:t>投标人信用承诺</w:t>
      </w:r>
      <w:bookmarkEnd w:id="464"/>
    </w:p>
    <w:p w14:paraId="47EE35BE">
      <w:pPr>
        <w:spacing w:line="360" w:lineRule="auto"/>
        <w:ind w:firstLine="630"/>
        <w:rPr>
          <w:rFonts w:ascii="宋体" w:hAnsi="宋体"/>
          <w:b/>
          <w:color w:val="auto"/>
          <w:sz w:val="24"/>
        </w:rPr>
      </w:pPr>
      <w:r>
        <w:rPr>
          <w:rFonts w:hint="eastAsia" w:ascii="宋体" w:hAnsi="宋体"/>
          <w:b/>
          <w:color w:val="auto"/>
          <w:sz w:val="24"/>
        </w:rPr>
        <w:t>一、我公司申明：</w:t>
      </w:r>
    </w:p>
    <w:p w14:paraId="203CD1C5">
      <w:pPr>
        <w:spacing w:line="360" w:lineRule="auto"/>
        <w:ind w:firstLine="630"/>
        <w:outlineLvl w:val="2"/>
        <w:rPr>
          <w:rFonts w:ascii="宋体" w:hAnsi="宋体"/>
          <w:color w:val="auto"/>
          <w:sz w:val="24"/>
        </w:rPr>
      </w:pPr>
      <w:r>
        <w:rPr>
          <w:rFonts w:hint="eastAsia" w:ascii="宋体" w:hAnsi="宋体"/>
          <w:color w:val="auto"/>
          <w:sz w:val="24"/>
        </w:rPr>
        <w:t>1.我公司未被人民法院列入失信被执行人；</w:t>
      </w:r>
    </w:p>
    <w:p w14:paraId="48255E21">
      <w:pPr>
        <w:spacing w:line="360" w:lineRule="auto"/>
        <w:ind w:firstLine="630"/>
        <w:rPr>
          <w:rFonts w:ascii="宋体" w:hAnsi="宋体"/>
          <w:color w:val="auto"/>
          <w:sz w:val="24"/>
        </w:rPr>
      </w:pPr>
      <w:r>
        <w:rPr>
          <w:rFonts w:hint="eastAsia" w:ascii="宋体" w:hAnsi="宋体"/>
          <w:color w:val="auto"/>
          <w:sz w:val="24"/>
        </w:rPr>
        <w:t>2.我公司和我公司法定代表人和我公司拟派项目经理（项目负责人）均未被人民检察院列入行贿犯罪档案；</w:t>
      </w:r>
    </w:p>
    <w:p w14:paraId="78F17110">
      <w:pPr>
        <w:spacing w:line="360" w:lineRule="auto"/>
        <w:ind w:firstLine="630"/>
        <w:rPr>
          <w:rFonts w:ascii="宋体" w:hAnsi="宋体"/>
          <w:color w:val="auto"/>
          <w:sz w:val="24"/>
        </w:rPr>
      </w:pPr>
      <w:r>
        <w:rPr>
          <w:rFonts w:hint="eastAsia" w:ascii="宋体" w:hAnsi="宋体"/>
          <w:color w:val="auto"/>
          <w:sz w:val="24"/>
        </w:rPr>
        <w:t>3.我公司未被工商行政管理部门列入企业经营异常名录；</w:t>
      </w:r>
    </w:p>
    <w:p w14:paraId="0B41416A">
      <w:pPr>
        <w:spacing w:line="360" w:lineRule="auto"/>
        <w:ind w:firstLine="630"/>
        <w:rPr>
          <w:rFonts w:hint="eastAsia" w:ascii="宋体" w:hAnsi="宋体"/>
          <w:color w:val="auto"/>
          <w:sz w:val="24"/>
        </w:rPr>
      </w:pPr>
      <w:r>
        <w:rPr>
          <w:rFonts w:hint="eastAsia" w:ascii="宋体" w:hAnsi="宋体"/>
          <w:color w:val="auto"/>
          <w:sz w:val="24"/>
        </w:rPr>
        <w:t>4.我公司未被税务部门列入重大税收违法案件当事人名单；</w:t>
      </w:r>
    </w:p>
    <w:p w14:paraId="7155F10E">
      <w:pPr>
        <w:spacing w:line="360" w:lineRule="auto"/>
        <w:ind w:firstLine="630"/>
        <w:rPr>
          <w:rFonts w:ascii="宋体" w:hAnsi="宋体"/>
          <w:color w:val="auto"/>
          <w:sz w:val="24"/>
        </w:rPr>
      </w:pPr>
      <w:r>
        <w:rPr>
          <w:rFonts w:hint="eastAsia" w:ascii="宋体" w:hAnsi="宋体"/>
          <w:color w:val="auto"/>
          <w:sz w:val="24"/>
        </w:rPr>
        <w:t>5.我公司未被合肥市人社部门列入拖欠农民工工资黑名单；</w:t>
      </w:r>
    </w:p>
    <w:p w14:paraId="444F7C46">
      <w:pPr>
        <w:spacing w:line="360" w:lineRule="auto"/>
        <w:ind w:firstLine="630"/>
        <w:rPr>
          <w:rFonts w:ascii="宋体" w:hAnsi="宋体"/>
          <w:color w:val="auto"/>
          <w:sz w:val="24"/>
        </w:rPr>
      </w:pPr>
      <w:r>
        <w:rPr>
          <w:rFonts w:hint="eastAsia" w:ascii="宋体" w:hAnsi="宋体"/>
          <w:color w:val="auto"/>
          <w:sz w:val="24"/>
        </w:rPr>
        <w:t>6.我公司未存在被合肥市城乡建设局因安全生产责任事故限制在合肥行政区域内承接新的工程项目且在限制期内的情形。</w:t>
      </w:r>
    </w:p>
    <w:p w14:paraId="05193F61">
      <w:pPr>
        <w:spacing w:line="360" w:lineRule="auto"/>
        <w:ind w:firstLine="630"/>
        <w:rPr>
          <w:rFonts w:ascii="宋体" w:hAnsi="宋体"/>
          <w:color w:val="auto"/>
          <w:sz w:val="24"/>
        </w:rPr>
      </w:pPr>
      <w:r>
        <w:rPr>
          <w:rFonts w:hint="eastAsia" w:ascii="宋体" w:hAnsi="宋体"/>
          <w:color w:val="auto"/>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F8A7898">
      <w:pPr>
        <w:spacing w:line="360" w:lineRule="auto"/>
        <w:ind w:firstLine="482" w:firstLineChars="200"/>
        <w:rPr>
          <w:rFonts w:ascii="宋体" w:hAnsi="宋体"/>
          <w:b/>
          <w:color w:val="auto"/>
          <w:sz w:val="24"/>
        </w:rPr>
      </w:pPr>
      <w:r>
        <w:rPr>
          <w:rFonts w:ascii="宋体" w:hAnsi="宋体"/>
          <w:b/>
          <w:color w:val="auto"/>
          <w:sz w:val="24"/>
        </w:rPr>
        <w:t>我公司</w:t>
      </w:r>
      <w:r>
        <w:rPr>
          <w:rFonts w:hint="eastAsia" w:ascii="宋体" w:hAnsi="宋体"/>
          <w:b/>
          <w:color w:val="auto"/>
          <w:sz w:val="24"/>
        </w:rPr>
        <w:t>对以上承诺的真实性承担责任</w:t>
      </w:r>
      <w:r>
        <w:rPr>
          <w:rFonts w:ascii="宋体" w:hAnsi="宋体"/>
          <w:b/>
          <w:color w:val="auto"/>
          <w:sz w:val="24"/>
        </w:rPr>
        <w:t>。</w:t>
      </w:r>
    </w:p>
    <w:p w14:paraId="1F74AEC8">
      <w:pPr>
        <w:spacing w:line="360" w:lineRule="auto"/>
        <w:ind w:firstLine="630"/>
        <w:rPr>
          <w:rFonts w:ascii="宋体" w:hAnsi="宋体"/>
          <w:color w:val="auto"/>
          <w:sz w:val="24"/>
        </w:rPr>
      </w:pPr>
    </w:p>
    <w:p w14:paraId="3894932A">
      <w:pPr>
        <w:spacing w:line="360" w:lineRule="auto"/>
        <w:ind w:firstLine="482" w:firstLineChars="200"/>
        <w:rPr>
          <w:rFonts w:hint="eastAsia" w:ascii="宋体" w:hAnsi="宋体"/>
          <w:b/>
          <w:color w:val="auto"/>
          <w:sz w:val="24"/>
          <w:szCs w:val="22"/>
        </w:rPr>
      </w:pPr>
      <w:r>
        <w:rPr>
          <w:rFonts w:hint="eastAsia" w:ascii="宋体" w:hAnsi="宋体"/>
          <w:b/>
          <w:color w:val="auto"/>
          <w:sz w:val="24"/>
          <w:szCs w:val="22"/>
        </w:rPr>
        <w:t xml:space="preserve">投标人（公章）：                </w:t>
      </w:r>
    </w:p>
    <w:p w14:paraId="7BC5A7CE">
      <w:pPr>
        <w:spacing w:line="360" w:lineRule="auto"/>
        <w:ind w:firstLine="482" w:firstLineChars="200"/>
        <w:rPr>
          <w:rFonts w:hint="eastAsia" w:ascii="宋体" w:hAnsi="宋体"/>
          <w:b/>
          <w:color w:val="auto"/>
          <w:sz w:val="24"/>
          <w:szCs w:val="22"/>
        </w:rPr>
      </w:pPr>
      <w:r>
        <w:rPr>
          <w:rFonts w:hint="eastAsia" w:ascii="宋体" w:hAnsi="宋体"/>
          <w:b/>
          <w:color w:val="auto"/>
          <w:sz w:val="24"/>
          <w:szCs w:val="22"/>
        </w:rPr>
        <w:t>日  期：      年    月     日</w:t>
      </w:r>
    </w:p>
    <w:p w14:paraId="0EC3DC0C">
      <w:pPr>
        <w:tabs>
          <w:tab w:val="left" w:pos="4620"/>
        </w:tabs>
        <w:spacing w:line="360" w:lineRule="auto"/>
        <w:ind w:firstLine="480" w:firstLineChars="200"/>
        <w:rPr>
          <w:rFonts w:hint="eastAsia" w:ascii="宋体" w:hAnsi="宋体"/>
          <w:color w:val="auto"/>
          <w:sz w:val="24"/>
        </w:rPr>
      </w:pPr>
    </w:p>
    <w:p w14:paraId="7128DF2E">
      <w:pPr>
        <w:rPr>
          <w:rFonts w:hint="eastAsia"/>
          <w:color w:val="auto"/>
          <w:sz w:val="36"/>
          <w:szCs w:val="36"/>
        </w:rPr>
      </w:pPr>
    </w:p>
    <w:p w14:paraId="524F996F">
      <w:pPr>
        <w:rPr>
          <w:rFonts w:hint="eastAsia"/>
          <w:color w:val="auto"/>
          <w:sz w:val="36"/>
          <w:szCs w:val="36"/>
        </w:rPr>
      </w:pPr>
    </w:p>
    <w:p w14:paraId="188E3235">
      <w:pPr>
        <w:rPr>
          <w:rFonts w:hint="eastAsia"/>
          <w:color w:val="auto"/>
          <w:sz w:val="36"/>
          <w:szCs w:val="36"/>
        </w:rPr>
      </w:pPr>
    </w:p>
    <w:p w14:paraId="7B7DB7C2">
      <w:pPr>
        <w:rPr>
          <w:rFonts w:hint="eastAsia"/>
          <w:color w:val="auto"/>
          <w:sz w:val="36"/>
          <w:szCs w:val="36"/>
        </w:rPr>
      </w:pPr>
    </w:p>
    <w:p w14:paraId="1F97A5E3">
      <w:pPr>
        <w:rPr>
          <w:rFonts w:hint="eastAsia"/>
          <w:color w:val="auto"/>
          <w:sz w:val="36"/>
          <w:szCs w:val="36"/>
        </w:rPr>
      </w:pPr>
    </w:p>
    <w:p w14:paraId="74836F91">
      <w:pPr>
        <w:rPr>
          <w:rFonts w:hint="eastAsia"/>
          <w:color w:val="auto"/>
          <w:sz w:val="36"/>
          <w:szCs w:val="36"/>
        </w:rPr>
      </w:pPr>
    </w:p>
    <w:p w14:paraId="35BF62B8">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auto"/>
        </w:rPr>
      </w:pPr>
      <w:bookmarkStart w:id="465" w:name="_Toc328559343"/>
      <w:bookmarkStart w:id="466" w:name="_Toc245714181"/>
      <w:bookmarkStart w:id="467" w:name="_Toc273602362"/>
      <w:r>
        <w:rPr>
          <w:rFonts w:hint="eastAsia" w:ascii="黑体"/>
          <w:color w:val="auto"/>
        </w:rPr>
        <w:t>●</w:t>
      </w:r>
      <w:r>
        <w:rPr>
          <w:rFonts w:hint="eastAsia"/>
          <w:color w:val="auto"/>
        </w:rPr>
        <w:t>商务标</w:t>
      </w:r>
      <w:bookmarkEnd w:id="465"/>
      <w:bookmarkEnd w:id="466"/>
      <w:bookmarkEnd w:id="467"/>
    </w:p>
    <w:p w14:paraId="0E850510">
      <w:pPr>
        <w:spacing w:line="900" w:lineRule="exact"/>
        <w:jc w:val="left"/>
        <w:rPr>
          <w:rFonts w:hint="default" w:ascii="宋体" w:hAnsi="宋体" w:eastAsia="宋体"/>
          <w:b/>
          <w:bCs/>
          <w:color w:val="auto"/>
          <w:sz w:val="44"/>
          <w:szCs w:val="44"/>
          <w:lang w:val="en-US" w:eastAsia="zh-CN"/>
        </w:rPr>
      </w:pPr>
      <w:r>
        <w:rPr>
          <w:rFonts w:hint="eastAsia" w:ascii="宋体" w:hAnsi="宋体"/>
          <w:b/>
          <w:bCs/>
          <w:color w:val="auto"/>
          <w:sz w:val="44"/>
          <w:szCs w:val="44"/>
          <w:u w:val="single"/>
          <w:lang w:val="en-US" w:eastAsia="zh-CN"/>
        </w:rPr>
        <w:t xml:space="preserve">                          </w:t>
      </w:r>
      <w:r>
        <w:rPr>
          <w:rFonts w:hint="eastAsia" w:ascii="宋体" w:hAnsi="宋体"/>
          <w:b/>
          <w:bCs/>
          <w:color w:val="auto"/>
          <w:sz w:val="44"/>
          <w:szCs w:val="44"/>
          <w:u w:val="none"/>
          <w:lang w:val="en-US" w:eastAsia="zh-CN"/>
        </w:rPr>
        <w:t>（项目名称）</w:t>
      </w:r>
    </w:p>
    <w:p w14:paraId="1C91C976">
      <w:pPr>
        <w:spacing w:line="900" w:lineRule="exact"/>
        <w:jc w:val="center"/>
        <w:rPr>
          <w:rFonts w:hint="eastAsia" w:ascii="宋体" w:hAnsi="宋体"/>
          <w:b/>
          <w:color w:val="auto"/>
          <w:sz w:val="72"/>
        </w:rPr>
      </w:pPr>
      <w:r>
        <w:rPr>
          <w:rFonts w:hint="eastAsia" w:ascii="宋体" w:hAnsi="宋体"/>
          <w:b/>
          <w:color w:val="auto"/>
          <w:sz w:val="72"/>
        </w:rPr>
        <w:t>投</w:t>
      </w:r>
    </w:p>
    <w:p w14:paraId="249E6411">
      <w:pPr>
        <w:spacing w:line="900" w:lineRule="exact"/>
        <w:jc w:val="center"/>
        <w:rPr>
          <w:rFonts w:hint="eastAsia" w:ascii="宋体" w:hAnsi="宋体"/>
          <w:b/>
          <w:color w:val="auto"/>
          <w:sz w:val="72"/>
        </w:rPr>
      </w:pPr>
      <w:r>
        <w:rPr>
          <w:rFonts w:hint="eastAsia" w:ascii="宋体" w:hAnsi="宋体"/>
          <w:b/>
          <w:color w:val="auto"/>
          <w:sz w:val="72"/>
        </w:rPr>
        <w:t>标</w:t>
      </w:r>
    </w:p>
    <w:p w14:paraId="1A82DFA2">
      <w:pPr>
        <w:spacing w:line="900" w:lineRule="exact"/>
        <w:jc w:val="center"/>
        <w:rPr>
          <w:rFonts w:hint="eastAsia" w:ascii="宋体" w:hAnsi="宋体"/>
          <w:b/>
          <w:color w:val="auto"/>
          <w:sz w:val="72"/>
        </w:rPr>
      </w:pPr>
      <w:r>
        <w:rPr>
          <w:rFonts w:hint="eastAsia" w:ascii="宋体" w:hAnsi="宋体"/>
          <w:b/>
          <w:color w:val="auto"/>
          <w:sz w:val="72"/>
        </w:rPr>
        <w:t>文</w:t>
      </w:r>
    </w:p>
    <w:p w14:paraId="16B88F3A">
      <w:pPr>
        <w:jc w:val="center"/>
        <w:rPr>
          <w:rFonts w:hint="eastAsia" w:ascii="宋体" w:hAnsi="宋体"/>
          <w:b/>
          <w:color w:val="auto"/>
          <w:sz w:val="72"/>
        </w:rPr>
      </w:pPr>
      <w:r>
        <w:rPr>
          <w:rFonts w:hint="eastAsia" w:ascii="宋体" w:hAnsi="宋体"/>
          <w:b/>
          <w:color w:val="auto"/>
          <w:sz w:val="72"/>
        </w:rPr>
        <w:t>件</w:t>
      </w:r>
    </w:p>
    <w:p w14:paraId="6314E313">
      <w:pPr>
        <w:spacing w:after="120" w:afterLines="50" w:line="500" w:lineRule="exact"/>
        <w:jc w:val="center"/>
        <w:rPr>
          <w:rFonts w:hint="eastAsia" w:ascii="宋体" w:hAnsi="宋体"/>
          <w:b/>
          <w:color w:val="auto"/>
          <w:sz w:val="36"/>
          <w:szCs w:val="36"/>
        </w:rPr>
      </w:pPr>
      <w:r>
        <w:rPr>
          <w:rFonts w:hint="eastAsia" w:ascii="宋体" w:hAnsi="宋体"/>
          <w:b/>
          <w:color w:val="auto"/>
          <w:sz w:val="36"/>
          <w:szCs w:val="36"/>
        </w:rPr>
        <w:t>【商务标】</w:t>
      </w:r>
    </w:p>
    <w:p w14:paraId="5D0C4928">
      <w:pPr>
        <w:spacing w:after="120" w:afterLines="50" w:line="500" w:lineRule="exact"/>
        <w:jc w:val="center"/>
        <w:rPr>
          <w:rFonts w:hint="eastAsia" w:ascii="宋体" w:hAnsi="宋体"/>
          <w:b/>
          <w:color w:val="auto"/>
          <w:sz w:val="72"/>
        </w:rPr>
      </w:pPr>
    </w:p>
    <w:p w14:paraId="44559D6F">
      <w:pPr>
        <w:spacing w:after="120" w:afterLines="50" w:line="500" w:lineRule="exact"/>
        <w:rPr>
          <w:rFonts w:hint="eastAsia" w:ascii="宋体" w:hAnsi="宋体"/>
          <w:b/>
          <w:color w:val="auto"/>
          <w:sz w:val="32"/>
          <w:u w:val="single"/>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p>
    <w:p w14:paraId="685A544A">
      <w:pPr>
        <w:spacing w:after="120" w:afterLines="50" w:line="50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日</w:t>
      </w:r>
    </w:p>
    <w:p w14:paraId="14263C80">
      <w:pPr>
        <w:rPr>
          <w:rFonts w:hint="eastAsia"/>
          <w:color w:val="auto"/>
          <w:sz w:val="44"/>
          <w:szCs w:val="44"/>
        </w:rPr>
      </w:pPr>
    </w:p>
    <w:p w14:paraId="38B5ED4A">
      <w:pPr>
        <w:rPr>
          <w:rFonts w:hint="eastAsia"/>
          <w:color w:val="auto"/>
          <w:sz w:val="44"/>
          <w:szCs w:val="44"/>
        </w:rPr>
      </w:pPr>
    </w:p>
    <w:p w14:paraId="6D54CF84">
      <w:pPr>
        <w:rPr>
          <w:rFonts w:hint="eastAsia"/>
          <w:color w:val="auto"/>
          <w:sz w:val="44"/>
          <w:szCs w:val="44"/>
        </w:rPr>
      </w:pPr>
    </w:p>
    <w:p w14:paraId="40F87244">
      <w:pPr>
        <w:rPr>
          <w:rFonts w:hint="eastAsia"/>
          <w:color w:val="auto"/>
          <w:sz w:val="44"/>
          <w:szCs w:val="44"/>
        </w:rPr>
      </w:pPr>
    </w:p>
    <w:p w14:paraId="4FB2161E">
      <w:pPr>
        <w:rPr>
          <w:rFonts w:hint="eastAsia"/>
          <w:color w:val="auto"/>
          <w:sz w:val="44"/>
          <w:szCs w:val="44"/>
        </w:rPr>
      </w:pPr>
    </w:p>
    <w:p w14:paraId="4E1B36A2">
      <w:pPr>
        <w:rPr>
          <w:rFonts w:hint="eastAsia"/>
          <w:color w:val="auto"/>
          <w:sz w:val="44"/>
          <w:szCs w:val="44"/>
        </w:rPr>
      </w:pPr>
    </w:p>
    <w:p w14:paraId="333BDBA2">
      <w:pPr>
        <w:rPr>
          <w:rFonts w:hint="eastAsia"/>
          <w:color w:val="auto"/>
          <w:sz w:val="44"/>
          <w:szCs w:val="44"/>
        </w:rPr>
      </w:pPr>
    </w:p>
    <w:p w14:paraId="37A0454C">
      <w:pPr>
        <w:rPr>
          <w:rFonts w:hint="eastAsia"/>
          <w:color w:val="auto"/>
          <w:sz w:val="44"/>
          <w:szCs w:val="44"/>
        </w:rPr>
      </w:pPr>
    </w:p>
    <w:p w14:paraId="4A41CFE3">
      <w:pPr>
        <w:rPr>
          <w:rFonts w:hint="eastAsia"/>
          <w:color w:val="auto"/>
          <w:sz w:val="44"/>
          <w:szCs w:val="44"/>
        </w:rPr>
      </w:pPr>
    </w:p>
    <w:bookmarkEnd w:id="441"/>
    <w:p w14:paraId="6750080C">
      <w:pPr>
        <w:pStyle w:val="4"/>
        <w:outlineLvl w:val="1"/>
        <w:rPr>
          <w:rFonts w:hint="eastAsia" w:hAnsi="宋体"/>
          <w:color w:val="auto"/>
          <w:sz w:val="28"/>
        </w:rPr>
      </w:pPr>
      <w:bookmarkStart w:id="468" w:name="_Toc328559344"/>
      <w:bookmarkStart w:id="469" w:name="_Toc273602363"/>
      <w:bookmarkStart w:id="470" w:name="_Toc270410845"/>
      <w:bookmarkStart w:id="471" w:name="_Toc240898303"/>
      <w:r>
        <w:rPr>
          <w:rFonts w:hint="eastAsia" w:hAnsi="宋体"/>
          <w:color w:val="auto"/>
          <w:sz w:val="28"/>
        </w:rPr>
        <w:t>一．开标一览表</w:t>
      </w:r>
      <w:bookmarkEnd w:id="468"/>
      <w:bookmarkEnd w:id="469"/>
      <w:bookmarkEnd w:id="470"/>
      <w:bookmarkEnd w:id="471"/>
    </w:p>
    <w:bookmarkEnd w:id="442"/>
    <w:p w14:paraId="18CB30DD">
      <w:pPr>
        <w:adjustRightInd w:val="0"/>
        <w:snapToGrid w:val="0"/>
        <w:spacing w:before="48" w:beforeLines="20" w:after="48" w:afterLines="20" w:line="400" w:lineRule="exact"/>
        <w:rPr>
          <w:rFonts w:hint="eastAsia" w:ascii="宋体" w:hAnsi="宋体"/>
          <w:color w:val="auto"/>
          <w:szCs w:val="22"/>
          <w:u w:val="single"/>
        </w:rPr>
      </w:pPr>
      <w:r>
        <w:rPr>
          <w:rFonts w:hint="eastAsia" w:eastAsia="黑体"/>
          <w:snapToGrid w:val="0"/>
          <w:color w:val="auto"/>
          <w:kern w:val="0"/>
          <w:szCs w:val="21"/>
          <w:u w:val="single"/>
        </w:rPr>
        <w:t xml:space="preserve">            </w:t>
      </w:r>
      <w:r>
        <w:rPr>
          <w:snapToGrid w:val="0"/>
          <w:color w:val="auto"/>
          <w:kern w:val="0"/>
          <w:szCs w:val="21"/>
        </w:rPr>
        <w:t>（招标人名称）</w:t>
      </w:r>
      <w:r>
        <w:rPr>
          <w:rFonts w:hint="eastAsia"/>
          <w:snapToGrid w:val="0"/>
          <w:color w:val="auto"/>
          <w:kern w:val="0"/>
          <w:szCs w:val="21"/>
        </w:rPr>
        <w:t>：</w:t>
      </w:r>
    </w:p>
    <w:p w14:paraId="2F69EBCD">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u w:val="single"/>
        </w:rPr>
      </w:pPr>
      <w:r>
        <w:rPr>
          <w:rFonts w:hint="eastAsia" w:ascii="宋体" w:hAnsi="宋体"/>
          <w:color w:val="auto"/>
          <w:szCs w:val="22"/>
        </w:rPr>
        <w:t>1. 我方已仔细研究</w:t>
      </w:r>
      <w:r>
        <w:rPr>
          <w:rFonts w:hint="eastAsia" w:ascii="宋体" w:hAnsi="宋体"/>
          <w:color w:val="auto"/>
          <w:szCs w:val="22"/>
          <w:u w:val="single"/>
        </w:rPr>
        <w:t xml:space="preserve">         </w:t>
      </w:r>
      <w:r>
        <w:rPr>
          <w:rFonts w:hint="eastAsia" w:ascii="宋体" w:hAnsi="宋体"/>
          <w:color w:val="auto"/>
          <w:szCs w:val="22"/>
        </w:rPr>
        <w:t>（项目名称）</w:t>
      </w:r>
      <w:r>
        <w:rPr>
          <w:rFonts w:hint="eastAsia" w:ascii="宋体" w:hAnsi="宋体"/>
          <w:color w:val="auto"/>
          <w:szCs w:val="22"/>
          <w:u w:val="single"/>
        </w:rPr>
        <w:t xml:space="preserve">   </w:t>
      </w:r>
      <w:r>
        <w:rPr>
          <w:rFonts w:hint="eastAsia" w:ascii="宋体" w:hAnsi="宋体"/>
          <w:color w:val="auto"/>
          <w:szCs w:val="22"/>
        </w:rPr>
        <w:t>标段招标文件的全部内容，在考察工程现场后，愿意以人民币（大写）</w:t>
      </w:r>
      <w:r>
        <w:rPr>
          <w:rFonts w:hint="eastAsia" w:ascii="宋体" w:hAnsi="宋体"/>
          <w:color w:val="auto"/>
          <w:szCs w:val="22"/>
          <w:u w:val="single"/>
        </w:rPr>
        <w:t xml:space="preserve">         </w:t>
      </w:r>
      <w:r>
        <w:rPr>
          <w:rFonts w:hint="eastAsia" w:ascii="宋体" w:hAnsi="宋体"/>
          <w:color w:val="auto"/>
          <w:szCs w:val="22"/>
        </w:rPr>
        <w:t>元（¥</w:t>
      </w:r>
      <w:r>
        <w:rPr>
          <w:rFonts w:hint="eastAsia" w:ascii="宋体" w:hAnsi="宋体"/>
          <w:color w:val="auto"/>
          <w:szCs w:val="22"/>
          <w:u w:val="single"/>
        </w:rPr>
        <w:t xml:space="preserve">         </w:t>
      </w:r>
      <w:r>
        <w:rPr>
          <w:rFonts w:hint="eastAsia" w:ascii="宋体" w:hAnsi="宋体"/>
          <w:color w:val="auto"/>
          <w:szCs w:val="22"/>
        </w:rPr>
        <w:t>）的投标总报价，按合同约定实施和完成承包工程，修补工程中的任何缺陷。</w:t>
      </w:r>
    </w:p>
    <w:p w14:paraId="64A34A42">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2. 我方已按招标文件要求详细审核并确认全部招标文件及有关附件，充分理解投标价格不得低于企业个别成本有关规定。我方经成本核算，所填报的投标报价不低于企业个别成本。</w:t>
      </w:r>
    </w:p>
    <w:p w14:paraId="335CE605">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 xml:space="preserve">3. </w:t>
      </w:r>
      <w:r>
        <w:rPr>
          <w:rFonts w:hint="eastAsia" w:eastAsia="黑体"/>
          <w:snapToGrid w:val="0"/>
          <w:color w:val="auto"/>
          <w:kern w:val="0"/>
          <w:szCs w:val="21"/>
          <w:u w:val="single"/>
        </w:rPr>
        <w:t xml:space="preserve">                          </w:t>
      </w:r>
      <w:r>
        <w:rPr>
          <w:snapToGrid w:val="0"/>
          <w:color w:val="auto"/>
          <w:kern w:val="0"/>
          <w:szCs w:val="21"/>
        </w:rPr>
        <w:t>（其他补充说明）。</w:t>
      </w:r>
    </w:p>
    <w:p w14:paraId="5D9F0CAB">
      <w:pPr>
        <w:adjustRightInd w:val="0"/>
        <w:snapToGrid w:val="0"/>
        <w:spacing w:before="48" w:beforeLines="20" w:after="48" w:afterLines="20" w:line="400" w:lineRule="exact"/>
        <w:ind w:firstLine="367" w:firstLineChars="175"/>
        <w:rPr>
          <w:rFonts w:hint="eastAsia" w:ascii="宋体" w:hAnsi="宋体"/>
          <w:bCs/>
          <w:color w:val="auto"/>
          <w:szCs w:val="21"/>
        </w:rPr>
      </w:pPr>
    </w:p>
    <w:p w14:paraId="55BDAA5F">
      <w:pPr>
        <w:adjustRightInd w:val="0"/>
        <w:snapToGrid w:val="0"/>
        <w:spacing w:before="48" w:beforeLines="20" w:after="48" w:afterLines="20" w:line="400" w:lineRule="exact"/>
        <w:ind w:firstLine="420" w:firstLineChars="200"/>
        <w:rPr>
          <w:rFonts w:hint="eastAsia" w:ascii="宋体" w:hAnsi="宋体"/>
          <w:bCs/>
          <w:color w:val="auto"/>
          <w:szCs w:val="21"/>
          <w:u w:val="single"/>
        </w:rPr>
      </w:pPr>
      <w:r>
        <w:rPr>
          <w:rFonts w:hint="eastAsia" w:ascii="宋体" w:hAnsi="宋体"/>
          <w:bCs/>
          <w:color w:val="auto"/>
          <w:szCs w:val="21"/>
        </w:rPr>
        <w:t>投 标 人：</w:t>
      </w:r>
      <w:r>
        <w:rPr>
          <w:rFonts w:hint="eastAsia" w:ascii="宋体" w:hAnsi="宋体"/>
          <w:bCs/>
          <w:color w:val="auto"/>
          <w:szCs w:val="21"/>
          <w:u w:val="single"/>
        </w:rPr>
        <w:t xml:space="preserve">                                             </w:t>
      </w:r>
      <w:r>
        <w:rPr>
          <w:rFonts w:hint="eastAsia" w:ascii="宋体" w:hAnsi="宋体"/>
          <w:bCs/>
          <w:color w:val="auto"/>
          <w:szCs w:val="21"/>
        </w:rPr>
        <w:t>（盖单位章）</w:t>
      </w:r>
    </w:p>
    <w:p w14:paraId="65CD8928">
      <w:pPr>
        <w:adjustRightInd w:val="0"/>
        <w:snapToGrid w:val="0"/>
        <w:spacing w:before="48" w:beforeLines="20" w:after="48" w:afterLines="20" w:line="400" w:lineRule="exact"/>
        <w:ind w:firstLine="420" w:firstLineChars="200"/>
        <w:rPr>
          <w:rFonts w:hint="eastAsia"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31BC0221">
      <w:pPr>
        <w:adjustRightInd w:val="0"/>
        <w:snapToGrid w:val="0"/>
        <w:spacing w:before="48" w:beforeLines="20" w:after="48" w:afterLines="20" w:line="400" w:lineRule="exact"/>
        <w:ind w:left="109" w:leftChars="52" w:firstLine="315" w:firstLineChars="150"/>
        <w:rPr>
          <w:rFonts w:hint="eastAsia"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 xml:space="preserve">                                                       </w:t>
      </w:r>
    </w:p>
    <w:p w14:paraId="388C09D9">
      <w:pPr>
        <w:adjustRightInd w:val="0"/>
        <w:snapToGrid w:val="0"/>
        <w:spacing w:before="48" w:beforeLines="20" w:after="48" w:afterLines="20" w:line="400" w:lineRule="exact"/>
        <w:ind w:firstLine="420" w:firstLineChars="200"/>
        <w:rPr>
          <w:rFonts w:hint="eastAsia" w:ascii="宋体" w:hAnsi="宋体"/>
          <w:color w:val="auto"/>
          <w:szCs w:val="21"/>
        </w:rPr>
      </w:pPr>
      <w:r>
        <w:rPr>
          <w:rFonts w:hint="eastAsia" w:ascii="宋体" w:hAnsi="宋体"/>
          <w:color w:val="auto"/>
          <w:szCs w:val="21"/>
        </w:rPr>
        <w:t>邮政编码：</w:t>
      </w:r>
      <w:r>
        <w:rPr>
          <w:rFonts w:hint="eastAsia" w:ascii="宋体" w:hAnsi="宋体"/>
          <w:bCs/>
          <w:color w:val="auto"/>
          <w:szCs w:val="32"/>
          <w:u w:val="single"/>
        </w:rPr>
        <w:t xml:space="preserve">           </w:t>
      </w:r>
      <w:r>
        <w:rPr>
          <w:rFonts w:hint="eastAsia" w:ascii="宋体" w:hAnsi="宋体"/>
          <w:color w:val="auto"/>
          <w:szCs w:val="21"/>
        </w:rPr>
        <w:t>电话：</w:t>
      </w:r>
      <w:r>
        <w:rPr>
          <w:rFonts w:hint="eastAsia" w:ascii="宋体" w:hAnsi="宋体"/>
          <w:bCs/>
          <w:color w:val="auto"/>
          <w:szCs w:val="32"/>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r>
        <w:rPr>
          <w:rFonts w:hint="eastAsia" w:ascii="宋体" w:hAnsi="宋体"/>
          <w:color w:val="auto"/>
          <w:szCs w:val="21"/>
        </w:rPr>
        <w:t xml:space="preserve"> </w:t>
      </w:r>
    </w:p>
    <w:p w14:paraId="2FB57223">
      <w:pPr>
        <w:adjustRightInd w:val="0"/>
        <w:snapToGrid w:val="0"/>
        <w:spacing w:before="48" w:beforeLines="20" w:after="48" w:afterLines="20" w:line="400" w:lineRule="exact"/>
        <w:ind w:firstLine="420" w:firstLineChars="200"/>
        <w:rPr>
          <w:rFonts w:hint="eastAsia" w:ascii="宋体" w:hAnsi="宋体"/>
          <w:color w:val="auto"/>
          <w:szCs w:val="22"/>
        </w:rPr>
      </w:pPr>
      <w:r>
        <w:rPr>
          <w:rFonts w:hint="eastAsia" w:ascii="宋体" w:hAnsi="宋体"/>
          <w:color w:val="auto"/>
          <w:szCs w:val="21"/>
        </w:rPr>
        <w:t>日期：</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79748C3A">
      <w:pPr>
        <w:adjustRightInd w:val="0"/>
        <w:snapToGrid w:val="0"/>
        <w:spacing w:before="48" w:beforeLines="20" w:after="48" w:afterLines="20" w:line="400" w:lineRule="exact"/>
        <w:outlineLvl w:val="9"/>
        <w:rPr>
          <w:rFonts w:ascii="宋体" w:hAnsi="宋体"/>
          <w:color w:val="auto"/>
          <w:szCs w:val="22"/>
        </w:rPr>
      </w:pPr>
      <w:r>
        <w:rPr>
          <w:rFonts w:ascii="宋体" w:hAnsi="宋体"/>
          <w:color w:val="auto"/>
          <w:sz w:val="24"/>
          <w:szCs w:val="22"/>
        </w:rPr>
        <w:br w:type="page"/>
      </w:r>
    </w:p>
    <w:p w14:paraId="1E7253F0">
      <w:pPr>
        <w:pStyle w:val="4"/>
        <w:jc w:val="center"/>
        <w:outlineLvl w:val="1"/>
        <w:rPr>
          <w:rFonts w:hint="eastAsia"/>
          <w:color w:val="auto"/>
        </w:rPr>
      </w:pPr>
      <w:bookmarkStart w:id="472" w:name="_Toc460660237"/>
      <w:bookmarkStart w:id="473" w:name="_Toc460227122"/>
      <w:bookmarkStart w:id="474" w:name="_Toc421917014"/>
      <w:r>
        <w:rPr>
          <w:rFonts w:hint="eastAsia"/>
          <w:color w:val="auto"/>
          <w:lang w:eastAsia="zh-CN"/>
        </w:rPr>
        <w:t>二</w:t>
      </w:r>
      <w:r>
        <w:rPr>
          <w:rFonts w:hint="eastAsia"/>
          <w:color w:val="auto"/>
        </w:rPr>
        <w:t>、工程量清单报价书</w:t>
      </w:r>
      <w:bookmarkEnd w:id="472"/>
      <w:bookmarkEnd w:id="473"/>
      <w:bookmarkEnd w:id="474"/>
    </w:p>
    <w:p w14:paraId="283FEAE8">
      <w:pPr>
        <w:adjustRightInd w:val="0"/>
        <w:snapToGrid w:val="0"/>
        <w:spacing w:before="48" w:beforeLines="20" w:after="48" w:afterLines="20" w:line="540" w:lineRule="exact"/>
        <w:rPr>
          <w:rFonts w:ascii="宋体" w:hAnsi="宋体"/>
          <w:color w:val="auto"/>
          <w:sz w:val="28"/>
          <w:szCs w:val="22"/>
        </w:rPr>
      </w:pPr>
    </w:p>
    <w:p w14:paraId="103AA0C5">
      <w:pPr>
        <w:adjustRightInd w:val="0"/>
        <w:snapToGrid w:val="0"/>
        <w:spacing w:before="48" w:beforeLines="20" w:after="48" w:afterLines="20" w:line="540" w:lineRule="exact"/>
        <w:jc w:val="center"/>
        <w:rPr>
          <w:rFonts w:hint="eastAsia" w:ascii="宋体" w:hAnsi="宋体"/>
          <w:b/>
          <w:color w:val="auto"/>
          <w:sz w:val="44"/>
          <w:szCs w:val="22"/>
        </w:rPr>
      </w:pPr>
      <w:r>
        <w:rPr>
          <w:rFonts w:hint="eastAsia" w:ascii="宋体" w:hAnsi="宋体"/>
          <w:b/>
          <w:color w:val="auto"/>
          <w:sz w:val="36"/>
          <w:szCs w:val="22"/>
        </w:rPr>
        <w:t>投标总价</w:t>
      </w:r>
    </w:p>
    <w:p w14:paraId="675D450D">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37D5D7FD">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780442F5">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55DF5A89">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招标人:</w:t>
      </w:r>
      <w:r>
        <w:rPr>
          <w:rFonts w:hint="eastAsia" w:ascii="宋体" w:hAnsi="宋体"/>
          <w:color w:val="auto"/>
          <w:sz w:val="30"/>
          <w:szCs w:val="30"/>
          <w:u w:val="single"/>
        </w:rPr>
        <w:t xml:space="preserve">                                    </w:t>
      </w:r>
    </w:p>
    <w:p w14:paraId="126569E4">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工程名称：</w:t>
      </w:r>
      <w:r>
        <w:rPr>
          <w:rFonts w:hint="eastAsia" w:ascii="宋体" w:hAnsi="宋体"/>
          <w:color w:val="auto"/>
          <w:sz w:val="30"/>
          <w:szCs w:val="30"/>
          <w:u w:val="single"/>
        </w:rPr>
        <w:t xml:space="preserve">                                 </w:t>
      </w:r>
    </w:p>
    <w:p w14:paraId="38E76516">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投标总价（小写）：</w:t>
      </w:r>
      <w:r>
        <w:rPr>
          <w:rFonts w:hint="eastAsia" w:ascii="宋体" w:hAnsi="宋体"/>
          <w:color w:val="auto"/>
          <w:sz w:val="30"/>
          <w:szCs w:val="30"/>
          <w:u w:val="single"/>
        </w:rPr>
        <w:t xml:space="preserve">                          </w:t>
      </w:r>
    </w:p>
    <w:p w14:paraId="3A12D324">
      <w:pPr>
        <w:adjustRightInd w:val="0"/>
        <w:snapToGrid w:val="0"/>
        <w:spacing w:before="48" w:beforeLines="20" w:after="48" w:afterLines="20" w:line="540" w:lineRule="exact"/>
        <w:ind w:firstLine="2127" w:firstLineChars="709"/>
        <w:rPr>
          <w:rFonts w:hint="eastAsia" w:ascii="宋体" w:hAnsi="宋体"/>
          <w:b/>
          <w:color w:val="auto"/>
          <w:sz w:val="30"/>
          <w:szCs w:val="30"/>
          <w:u w:val="single"/>
        </w:rPr>
      </w:pPr>
      <w:r>
        <w:rPr>
          <w:rFonts w:hint="eastAsia" w:ascii="宋体" w:hAnsi="宋体"/>
          <w:color w:val="auto"/>
          <w:sz w:val="30"/>
          <w:szCs w:val="30"/>
        </w:rPr>
        <w:t>（大写）：</w:t>
      </w:r>
      <w:r>
        <w:rPr>
          <w:rFonts w:hint="eastAsia" w:ascii="宋体" w:hAnsi="宋体"/>
          <w:color w:val="auto"/>
          <w:sz w:val="30"/>
          <w:szCs w:val="30"/>
          <w:u w:val="single"/>
        </w:rPr>
        <w:t xml:space="preserve">                          </w:t>
      </w:r>
    </w:p>
    <w:p w14:paraId="06B70EB3">
      <w:pPr>
        <w:adjustRightInd w:val="0"/>
        <w:snapToGrid w:val="0"/>
        <w:spacing w:before="48" w:beforeLines="20" w:after="48" w:afterLines="20" w:line="540" w:lineRule="exact"/>
        <w:ind w:firstLine="3000" w:firstLineChars="996"/>
        <w:rPr>
          <w:rFonts w:hint="eastAsia" w:ascii="宋体" w:hAnsi="宋体"/>
          <w:b/>
          <w:color w:val="auto"/>
          <w:sz w:val="30"/>
          <w:szCs w:val="30"/>
        </w:rPr>
      </w:pPr>
    </w:p>
    <w:p w14:paraId="1F985DC1">
      <w:pPr>
        <w:adjustRightInd w:val="0"/>
        <w:snapToGrid w:val="0"/>
        <w:spacing w:before="48" w:beforeLines="20" w:after="48" w:afterLines="20" w:line="540" w:lineRule="exact"/>
        <w:ind w:firstLine="2988" w:firstLineChars="996"/>
        <w:rPr>
          <w:color w:val="auto"/>
          <w:sz w:val="30"/>
          <w:szCs w:val="30"/>
        </w:rPr>
      </w:pPr>
    </w:p>
    <w:p w14:paraId="751879E5">
      <w:pPr>
        <w:spacing w:line="320" w:lineRule="exact"/>
        <w:ind w:firstLine="600" w:firstLineChars="200"/>
        <w:rPr>
          <w:color w:val="auto"/>
          <w:sz w:val="30"/>
          <w:szCs w:val="30"/>
        </w:rPr>
      </w:pPr>
      <w:r>
        <w:rPr>
          <w:color w:val="auto"/>
          <w:sz w:val="30"/>
          <w:szCs w:val="30"/>
        </w:rPr>
        <w:t>投 标 人：</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color w:val="auto"/>
          <w:sz w:val="30"/>
          <w:szCs w:val="30"/>
        </w:rPr>
        <w:t>(单位盖章)</w:t>
      </w:r>
    </w:p>
    <w:p w14:paraId="1BE90465">
      <w:pPr>
        <w:spacing w:line="380" w:lineRule="exact"/>
        <w:ind w:firstLine="600" w:firstLineChars="200"/>
        <w:rPr>
          <w:color w:val="auto"/>
          <w:sz w:val="30"/>
          <w:szCs w:val="30"/>
        </w:rPr>
      </w:pPr>
    </w:p>
    <w:p w14:paraId="17161187">
      <w:pPr>
        <w:spacing w:after="72" w:afterLines="30" w:line="380" w:lineRule="exact"/>
        <w:ind w:firstLine="600" w:firstLineChars="200"/>
        <w:rPr>
          <w:color w:val="auto"/>
          <w:sz w:val="30"/>
          <w:szCs w:val="30"/>
        </w:rPr>
      </w:pPr>
      <w:r>
        <w:rPr>
          <w:color w:val="auto"/>
          <w:sz w:val="30"/>
          <w:szCs w:val="30"/>
        </w:rPr>
        <w:t>法定代表人：</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color w:val="auto"/>
          <w:sz w:val="30"/>
          <w:szCs w:val="30"/>
        </w:rPr>
        <w:t xml:space="preserve"> (签字或盖章)</w:t>
      </w:r>
    </w:p>
    <w:p w14:paraId="7BC57FAF">
      <w:pPr>
        <w:spacing w:line="320" w:lineRule="exact"/>
        <w:ind w:firstLine="5700" w:firstLineChars="1900"/>
        <w:rPr>
          <w:color w:val="auto"/>
          <w:sz w:val="30"/>
          <w:szCs w:val="30"/>
        </w:rPr>
      </w:pPr>
    </w:p>
    <w:p w14:paraId="5E833E2A">
      <w:pPr>
        <w:spacing w:line="320" w:lineRule="exact"/>
        <w:ind w:firstLine="5700" w:firstLineChars="1900"/>
        <w:rPr>
          <w:color w:val="auto"/>
          <w:sz w:val="30"/>
          <w:szCs w:val="30"/>
        </w:rPr>
      </w:pPr>
    </w:p>
    <w:p w14:paraId="38A4FCEF">
      <w:pPr>
        <w:spacing w:line="320" w:lineRule="exact"/>
        <w:ind w:firstLine="600" w:firstLineChars="200"/>
        <w:rPr>
          <w:color w:val="auto"/>
          <w:sz w:val="30"/>
          <w:szCs w:val="30"/>
        </w:rPr>
      </w:pPr>
      <w:r>
        <w:rPr>
          <w:color w:val="auto"/>
          <w:sz w:val="30"/>
          <w:szCs w:val="30"/>
        </w:rPr>
        <w:t>编制人：</w:t>
      </w:r>
      <w:r>
        <w:rPr>
          <w:color w:val="auto"/>
          <w:sz w:val="30"/>
          <w:szCs w:val="30"/>
          <w:u w:val="single"/>
        </w:rPr>
        <w:t xml:space="preserve">           </w:t>
      </w:r>
      <w:r>
        <w:rPr>
          <w:color w:val="auto"/>
          <w:sz w:val="30"/>
          <w:szCs w:val="30"/>
        </w:rPr>
        <w:t>(盖造价专业人员执业专用章或电子执业章)</w:t>
      </w:r>
    </w:p>
    <w:p w14:paraId="3A467417">
      <w:pPr>
        <w:spacing w:line="380" w:lineRule="exact"/>
        <w:ind w:firstLine="600" w:firstLineChars="200"/>
        <w:rPr>
          <w:color w:val="auto"/>
          <w:sz w:val="30"/>
          <w:szCs w:val="30"/>
        </w:rPr>
      </w:pPr>
    </w:p>
    <w:p w14:paraId="1C7F4E36">
      <w:pPr>
        <w:spacing w:line="380" w:lineRule="exact"/>
        <w:ind w:firstLine="600" w:firstLineChars="200"/>
        <w:rPr>
          <w:color w:val="auto"/>
          <w:sz w:val="30"/>
          <w:szCs w:val="30"/>
        </w:rPr>
      </w:pPr>
    </w:p>
    <w:p w14:paraId="65C03FAA">
      <w:pPr>
        <w:spacing w:line="380" w:lineRule="exact"/>
        <w:ind w:firstLine="600" w:firstLineChars="200"/>
        <w:rPr>
          <w:color w:val="auto"/>
          <w:sz w:val="30"/>
          <w:szCs w:val="30"/>
        </w:rPr>
      </w:pPr>
      <w:r>
        <w:rPr>
          <w:color w:val="auto"/>
          <w:sz w:val="30"/>
          <w:szCs w:val="30"/>
        </w:rPr>
        <w:t xml:space="preserve">编制时间：  </w:t>
      </w:r>
      <w:r>
        <w:rPr>
          <w:color w:val="auto"/>
          <w:sz w:val="30"/>
          <w:szCs w:val="30"/>
          <w:u w:val="single"/>
        </w:rPr>
        <w:t xml:space="preserve">            年      月      日</w:t>
      </w:r>
    </w:p>
    <w:p w14:paraId="55A4701E">
      <w:pPr>
        <w:jc w:val="center"/>
        <w:outlineLvl w:val="2"/>
        <w:rPr>
          <w:rFonts w:hint="eastAsia" w:ascii="宋体" w:hAnsi="宋体"/>
          <w:color w:val="auto"/>
          <w:sz w:val="28"/>
          <w:szCs w:val="28"/>
        </w:rPr>
      </w:pPr>
      <w:bookmarkStart w:id="475" w:name="_Toc460227123"/>
      <w:bookmarkStart w:id="476" w:name="_Toc460660238"/>
      <w:r>
        <w:rPr>
          <w:rFonts w:ascii="宋体" w:hAnsi="宋体"/>
          <w:color w:val="auto"/>
          <w:sz w:val="28"/>
          <w:szCs w:val="28"/>
        </w:rPr>
        <w:br w:type="page"/>
      </w:r>
      <w:r>
        <w:rPr>
          <w:rFonts w:hint="eastAsia" w:ascii="宋体" w:hAnsi="宋体"/>
          <w:color w:val="auto"/>
          <w:sz w:val="28"/>
          <w:szCs w:val="28"/>
        </w:rPr>
        <w:t>(一)投标报价说明</w:t>
      </w:r>
      <w:bookmarkEnd w:id="475"/>
      <w:bookmarkEnd w:id="476"/>
    </w:p>
    <w:p w14:paraId="7523BC39">
      <w:pPr>
        <w:spacing w:before="48" w:beforeLines="20" w:after="48" w:afterLines="20" w:line="540" w:lineRule="exact"/>
        <w:ind w:firstLine="420" w:firstLineChars="200"/>
        <w:rPr>
          <w:rFonts w:hint="eastAsia" w:ascii="宋体" w:hAnsi="宋体"/>
          <w:color w:val="auto"/>
        </w:rPr>
      </w:pPr>
    </w:p>
    <w:p w14:paraId="3B371E15">
      <w:pPr>
        <w:spacing w:after="120" w:afterLines="50" w:line="380" w:lineRule="exact"/>
        <w:rPr>
          <w:rFonts w:hint="eastAsia" w:ascii="宋体" w:hAnsi="宋体"/>
          <w:color w:val="auto"/>
          <w:sz w:val="24"/>
        </w:rPr>
      </w:pPr>
      <w:r>
        <w:rPr>
          <w:rFonts w:hint="eastAsia" w:ascii="宋体" w:hAnsi="宋体"/>
          <w:color w:val="auto"/>
        </w:rPr>
        <w:t>工程名称：                                         第  页 共  页</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14:paraId="36C5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jc w:val="center"/>
        </w:trPr>
        <w:tc>
          <w:tcPr>
            <w:tcW w:w="8412" w:type="dxa"/>
            <w:noWrap w:val="0"/>
            <w:vAlign w:val="top"/>
          </w:tcPr>
          <w:p w14:paraId="52C1A9A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1. 本报价依据本工程招标文件中投标须知、合同文件、计价依据及工程造价确定等有关条款进行编制。</w:t>
            </w:r>
          </w:p>
          <w:p w14:paraId="3BD66694">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2. 工程量清单报价表中所填入的综合单价和合价，均包括人工费、材料费、机械费、综合费、施工期内的风险金等全部费用。</w:t>
            </w:r>
          </w:p>
          <w:p w14:paraId="57C3978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3. 措施项目报价表中所填入的措施项目报价，包括采用的各种措施的费用。</w:t>
            </w:r>
          </w:p>
          <w:p w14:paraId="2D97D28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4. 其他项目报价表中所填入的其他项目报价，包括工程量清单报价表和措施项目报价表以外的，为完成本工程项目的施工所必须发生的其他费用。</w:t>
            </w:r>
          </w:p>
          <w:p w14:paraId="66AF9A7D">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5. 本工程量清单报价表中的每一单项均应填写单价和合价，对没有填写单价和合价的项目费用，视为已包括在工程量清单的其他单价或合价之中。</w:t>
            </w:r>
          </w:p>
          <w:p w14:paraId="738E9091">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6. 本报价的币种为</w:t>
            </w:r>
            <w:r>
              <w:rPr>
                <w:rFonts w:hint="eastAsia" w:ascii="宋体" w:hAnsi="宋体"/>
                <w:color w:val="auto"/>
                <w:kern w:val="0"/>
                <w:szCs w:val="22"/>
                <w:u w:val="single"/>
              </w:rPr>
              <w:t xml:space="preserve"> 人民币 </w:t>
            </w:r>
            <w:r>
              <w:rPr>
                <w:rFonts w:hint="eastAsia" w:ascii="宋体" w:hAnsi="宋体"/>
                <w:color w:val="auto"/>
                <w:kern w:val="0"/>
                <w:szCs w:val="22"/>
              </w:rPr>
              <w:t>。</w:t>
            </w:r>
          </w:p>
          <w:p w14:paraId="73514EA5">
            <w:pPr>
              <w:spacing w:line="380" w:lineRule="exact"/>
              <w:rPr>
                <w:rFonts w:hint="eastAsia" w:ascii="黑体" w:eastAsia="黑体"/>
                <w:color w:val="auto"/>
              </w:rPr>
            </w:pPr>
            <w:r>
              <w:rPr>
                <w:rFonts w:hint="eastAsia" w:ascii="宋体" w:hAnsi="宋体"/>
                <w:color w:val="auto"/>
                <w:kern w:val="0"/>
                <w:szCs w:val="22"/>
              </w:rPr>
              <w:t>7. 投标人应将投标报价需要说明的事项，用文字书写与投标报价表一并报送。</w:t>
            </w:r>
          </w:p>
        </w:tc>
      </w:tr>
    </w:tbl>
    <w:p w14:paraId="1D31A4CF">
      <w:pPr>
        <w:pStyle w:val="83"/>
        <w:rPr>
          <w:color w:val="auto"/>
        </w:rPr>
      </w:pPr>
    </w:p>
    <w:p w14:paraId="51B24A70">
      <w:pPr>
        <w:jc w:val="center"/>
        <w:outlineLvl w:val="2"/>
        <w:rPr>
          <w:rFonts w:hint="eastAsia" w:ascii="宋体" w:hAnsi="宋体"/>
          <w:color w:val="auto"/>
          <w:sz w:val="28"/>
          <w:szCs w:val="28"/>
        </w:rPr>
      </w:pPr>
      <w:bookmarkStart w:id="477" w:name="_Toc460227124"/>
      <w:bookmarkStart w:id="478" w:name="_Toc460660239"/>
      <w:r>
        <w:rPr>
          <w:rFonts w:ascii="宋体" w:hAnsi="宋体"/>
          <w:color w:val="auto"/>
          <w:sz w:val="28"/>
          <w:szCs w:val="28"/>
        </w:rPr>
        <w:br w:type="page"/>
      </w:r>
      <w:r>
        <w:rPr>
          <w:rFonts w:hint="eastAsia" w:ascii="宋体" w:hAnsi="宋体"/>
          <w:color w:val="auto"/>
          <w:sz w:val="28"/>
          <w:szCs w:val="28"/>
        </w:rPr>
        <w:t>（二）</w:t>
      </w:r>
      <w:bookmarkEnd w:id="477"/>
      <w:bookmarkEnd w:id="478"/>
      <w:r>
        <w:rPr>
          <w:rFonts w:hint="eastAsia" w:ascii="宋体" w:hAnsi="宋体"/>
          <w:color w:val="auto"/>
          <w:sz w:val="28"/>
          <w:szCs w:val="28"/>
        </w:rPr>
        <w:t>建设项目投标报价汇总表</w:t>
      </w:r>
    </w:p>
    <w:p w14:paraId="2CF98ABC">
      <w:pPr>
        <w:spacing w:before="48" w:beforeLines="20" w:after="48" w:afterLines="20" w:line="540" w:lineRule="exact"/>
        <w:rPr>
          <w:rFonts w:hint="eastAsia" w:ascii="宋体" w:hAnsi="宋体"/>
          <w:color w:val="auto"/>
          <w:szCs w:val="21"/>
        </w:rPr>
      </w:pPr>
      <w:r>
        <w:rPr>
          <w:rFonts w:hint="eastAsia" w:ascii="宋体" w:hAnsi="宋体"/>
          <w:color w:val="auto"/>
          <w:szCs w:val="21"/>
        </w:rPr>
        <w:t>工程名称：                                                            第   页共   页</w:t>
      </w:r>
    </w:p>
    <w:tbl>
      <w:tblPr>
        <w:tblStyle w:val="54"/>
        <w:tblW w:w="5000" w:type="pct"/>
        <w:tblInd w:w="0" w:type="dxa"/>
        <w:tblLayout w:type="autofit"/>
        <w:tblCellMar>
          <w:top w:w="0" w:type="dxa"/>
          <w:left w:w="108" w:type="dxa"/>
          <w:bottom w:w="0" w:type="dxa"/>
          <w:right w:w="108" w:type="dxa"/>
        </w:tblCellMar>
      </w:tblPr>
      <w:tblGrid>
        <w:gridCol w:w="840"/>
        <w:gridCol w:w="3101"/>
        <w:gridCol w:w="1596"/>
        <w:gridCol w:w="1330"/>
        <w:gridCol w:w="2308"/>
      </w:tblGrid>
      <w:tr w14:paraId="4AE20349">
        <w:tblPrEx>
          <w:tblCellMar>
            <w:top w:w="0" w:type="dxa"/>
            <w:left w:w="108" w:type="dxa"/>
            <w:bottom w:w="0" w:type="dxa"/>
            <w:right w:w="108" w:type="dxa"/>
          </w:tblCellMar>
        </w:tblPrEx>
        <w:trPr>
          <w:trHeight w:val="338" w:hRule="atLeast"/>
        </w:trPr>
        <w:tc>
          <w:tcPr>
            <w:tcW w:w="458"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58A086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69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7C20FE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单项工程名称</w:t>
            </w:r>
          </w:p>
        </w:tc>
        <w:tc>
          <w:tcPr>
            <w:tcW w:w="87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F8B21E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1982" w:type="pct"/>
            <w:gridSpan w:val="2"/>
            <w:tcBorders>
              <w:top w:val="single" w:color="000000" w:sz="8" w:space="0"/>
              <w:left w:val="nil"/>
              <w:bottom w:val="single" w:color="000000" w:sz="4" w:space="0"/>
              <w:right w:val="single" w:color="000000" w:sz="8" w:space="0"/>
            </w:tcBorders>
            <w:shd w:val="clear" w:color="FFFFFF" w:fill="FFFFFF"/>
            <w:noWrap w:val="0"/>
            <w:vAlign w:val="center"/>
          </w:tcPr>
          <w:p w14:paraId="0BCC3E8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其中：（元）</w:t>
            </w:r>
          </w:p>
        </w:tc>
      </w:tr>
      <w:tr w14:paraId="73FC6449">
        <w:tblPrEx>
          <w:tblCellMar>
            <w:top w:w="0" w:type="dxa"/>
            <w:left w:w="108" w:type="dxa"/>
            <w:bottom w:w="0" w:type="dxa"/>
            <w:right w:w="108" w:type="dxa"/>
          </w:tblCellMar>
        </w:tblPrEx>
        <w:trPr>
          <w:trHeight w:val="353" w:hRule="atLeast"/>
        </w:trPr>
        <w:tc>
          <w:tcPr>
            <w:tcW w:w="458"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7FC98C66">
            <w:pPr>
              <w:widowControl/>
              <w:jc w:val="left"/>
              <w:rPr>
                <w:rFonts w:ascii="黑体" w:hAnsi="黑体" w:eastAsia="黑体" w:cs="Arial"/>
                <w:color w:val="auto"/>
                <w:kern w:val="0"/>
                <w:szCs w:val="21"/>
              </w:rPr>
            </w:pPr>
          </w:p>
        </w:tc>
        <w:tc>
          <w:tcPr>
            <w:tcW w:w="169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A551E5B">
            <w:pPr>
              <w:widowControl/>
              <w:jc w:val="left"/>
              <w:rPr>
                <w:rFonts w:ascii="黑体" w:hAnsi="黑体" w:eastAsia="黑体" w:cs="Arial"/>
                <w:color w:val="auto"/>
                <w:kern w:val="0"/>
                <w:szCs w:val="21"/>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5F28CB35">
            <w:pPr>
              <w:widowControl/>
              <w:jc w:val="left"/>
              <w:rPr>
                <w:rFonts w:ascii="黑体" w:hAnsi="黑体" w:eastAsia="黑体" w:cs="Arial"/>
                <w:color w:val="auto"/>
                <w:kern w:val="0"/>
                <w:szCs w:val="21"/>
              </w:rPr>
            </w:pPr>
          </w:p>
        </w:tc>
        <w:tc>
          <w:tcPr>
            <w:tcW w:w="725" w:type="pct"/>
            <w:tcBorders>
              <w:top w:val="single" w:color="000000" w:sz="4" w:space="0"/>
              <w:left w:val="nil"/>
              <w:bottom w:val="single" w:color="000000" w:sz="4" w:space="0"/>
              <w:right w:val="single" w:color="000000" w:sz="4" w:space="0"/>
            </w:tcBorders>
            <w:shd w:val="clear" w:color="FFFFFF" w:fill="FFFFFF"/>
            <w:noWrap w:val="0"/>
            <w:vAlign w:val="center"/>
          </w:tcPr>
          <w:p w14:paraId="33A570F3">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暂估价</w:t>
            </w:r>
          </w:p>
        </w:tc>
        <w:tc>
          <w:tcPr>
            <w:tcW w:w="1257" w:type="pct"/>
            <w:tcBorders>
              <w:top w:val="nil"/>
              <w:left w:val="nil"/>
              <w:bottom w:val="single" w:color="000000" w:sz="4" w:space="0"/>
              <w:right w:val="single" w:color="000000" w:sz="8" w:space="0"/>
            </w:tcBorders>
            <w:shd w:val="clear" w:color="FFFFFF" w:fill="FFFFFF"/>
            <w:noWrap w:val="0"/>
            <w:vAlign w:val="center"/>
          </w:tcPr>
          <w:p w14:paraId="733FDCB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不可竞争费</w:t>
            </w:r>
          </w:p>
        </w:tc>
      </w:tr>
      <w:tr w14:paraId="45CBD194">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2384519">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5FB06B0F">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2CBC5E93">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ECDB1B3">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30D647EF">
            <w:pPr>
              <w:widowControl/>
              <w:jc w:val="right"/>
              <w:rPr>
                <w:rFonts w:ascii="宋体" w:hAnsi="宋体" w:cs="Arial"/>
                <w:color w:val="auto"/>
                <w:kern w:val="0"/>
                <w:szCs w:val="21"/>
              </w:rPr>
            </w:pPr>
          </w:p>
        </w:tc>
      </w:tr>
      <w:tr w14:paraId="683B31D9">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09E412C4">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5641F1D">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736C4DDF">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B3F3BA1">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4C6BA962">
            <w:pPr>
              <w:widowControl/>
              <w:jc w:val="right"/>
              <w:rPr>
                <w:rFonts w:ascii="宋体" w:hAnsi="宋体" w:cs="Arial"/>
                <w:color w:val="auto"/>
                <w:kern w:val="0"/>
                <w:szCs w:val="21"/>
              </w:rPr>
            </w:pPr>
          </w:p>
        </w:tc>
      </w:tr>
      <w:tr w14:paraId="4A946B82">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08D5912">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CA7BBB6">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076A8446">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6B500B0D">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50808C15">
            <w:pPr>
              <w:widowControl/>
              <w:jc w:val="right"/>
              <w:rPr>
                <w:rFonts w:ascii="宋体" w:hAnsi="宋体" w:cs="Arial"/>
                <w:color w:val="auto"/>
                <w:kern w:val="0"/>
                <w:szCs w:val="21"/>
              </w:rPr>
            </w:pPr>
          </w:p>
        </w:tc>
      </w:tr>
      <w:tr w14:paraId="3AB4FA66">
        <w:tblPrEx>
          <w:tblCellMar>
            <w:top w:w="0" w:type="dxa"/>
            <w:left w:w="108" w:type="dxa"/>
            <w:bottom w:w="0" w:type="dxa"/>
            <w:right w:w="108" w:type="dxa"/>
          </w:tblCellMar>
        </w:tblPrEx>
        <w:trPr>
          <w:trHeight w:val="680" w:hRule="atLeast"/>
        </w:trPr>
        <w:tc>
          <w:tcPr>
            <w:tcW w:w="2148" w:type="pct"/>
            <w:gridSpan w:val="2"/>
            <w:tcBorders>
              <w:top w:val="nil"/>
              <w:left w:val="single" w:color="000000" w:sz="8" w:space="0"/>
              <w:bottom w:val="single" w:color="000000" w:sz="4" w:space="0"/>
              <w:right w:val="single" w:color="000000" w:sz="4" w:space="0"/>
            </w:tcBorders>
            <w:noWrap w:val="0"/>
            <w:vAlign w:val="center"/>
          </w:tcPr>
          <w:p w14:paraId="7B7F5536">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870" w:type="pct"/>
            <w:tcBorders>
              <w:top w:val="single" w:color="000000" w:sz="4" w:space="0"/>
              <w:left w:val="nil"/>
              <w:bottom w:val="single" w:color="000000" w:sz="4" w:space="0"/>
              <w:right w:val="single" w:color="000000" w:sz="4" w:space="0"/>
            </w:tcBorders>
            <w:noWrap w:val="0"/>
            <w:vAlign w:val="center"/>
          </w:tcPr>
          <w:p w14:paraId="3EEF1EF8">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25E5DEB5">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1B8133C2">
            <w:pPr>
              <w:widowControl/>
              <w:jc w:val="right"/>
              <w:rPr>
                <w:rFonts w:ascii="宋体" w:hAnsi="宋体" w:cs="Arial"/>
                <w:color w:val="auto"/>
                <w:kern w:val="0"/>
                <w:szCs w:val="21"/>
              </w:rPr>
            </w:pPr>
          </w:p>
        </w:tc>
      </w:tr>
    </w:tbl>
    <w:p w14:paraId="5E1C65E8">
      <w:pPr>
        <w:spacing w:before="48" w:beforeLines="20" w:after="48" w:afterLines="20" w:line="540" w:lineRule="exact"/>
        <w:rPr>
          <w:rFonts w:hint="eastAsia" w:ascii="宋体" w:hAnsi="宋体"/>
          <w:color w:val="auto"/>
          <w:sz w:val="24"/>
          <w:szCs w:val="22"/>
        </w:rPr>
      </w:pPr>
    </w:p>
    <w:p w14:paraId="0FC40B04">
      <w:pPr>
        <w:jc w:val="center"/>
        <w:outlineLvl w:val="2"/>
        <w:rPr>
          <w:rFonts w:ascii="宋体" w:hAnsi="宋体"/>
          <w:color w:val="auto"/>
          <w:sz w:val="28"/>
          <w:szCs w:val="28"/>
        </w:rPr>
      </w:pPr>
      <w:bookmarkStart w:id="479" w:name="_Toc460227125"/>
      <w:bookmarkStart w:id="480" w:name="_Toc460660240"/>
      <w:r>
        <w:rPr>
          <w:rFonts w:hint="eastAsia" w:ascii="宋体" w:hAnsi="宋体"/>
          <w:color w:val="auto"/>
          <w:sz w:val="28"/>
          <w:szCs w:val="28"/>
        </w:rPr>
        <w:t>（三）</w:t>
      </w:r>
      <w:bookmarkEnd w:id="479"/>
      <w:bookmarkEnd w:id="480"/>
      <w:r>
        <w:rPr>
          <w:rFonts w:hint="eastAsia" w:ascii="宋体" w:hAnsi="宋体"/>
          <w:color w:val="auto"/>
          <w:sz w:val="28"/>
          <w:szCs w:val="28"/>
        </w:rPr>
        <w:t>单项工程投标报价汇总表</w:t>
      </w:r>
    </w:p>
    <w:p w14:paraId="3766350A">
      <w:pPr>
        <w:spacing w:before="48" w:beforeLines="20" w:after="48" w:afterLines="20" w:line="540" w:lineRule="exact"/>
        <w:rPr>
          <w:rFonts w:hint="eastAsia" w:ascii="宋体" w:hAnsi="宋体"/>
          <w:color w:val="auto"/>
          <w:szCs w:val="21"/>
        </w:rPr>
      </w:pPr>
      <w:r>
        <w:rPr>
          <w:rFonts w:hint="eastAsia" w:ascii="宋体" w:hAnsi="宋体"/>
          <w:color w:val="auto"/>
          <w:szCs w:val="21"/>
        </w:rPr>
        <w:t>工程名称：                                                            第   页共   页</w:t>
      </w:r>
    </w:p>
    <w:tbl>
      <w:tblPr>
        <w:tblStyle w:val="54"/>
        <w:tblW w:w="8946" w:type="dxa"/>
        <w:tblInd w:w="93" w:type="dxa"/>
        <w:tblLayout w:type="autofit"/>
        <w:tblCellMar>
          <w:top w:w="0" w:type="dxa"/>
          <w:left w:w="108" w:type="dxa"/>
          <w:bottom w:w="0" w:type="dxa"/>
          <w:right w:w="108" w:type="dxa"/>
        </w:tblCellMar>
      </w:tblPr>
      <w:tblGrid>
        <w:gridCol w:w="820"/>
        <w:gridCol w:w="3023"/>
        <w:gridCol w:w="1557"/>
        <w:gridCol w:w="1298"/>
        <w:gridCol w:w="2248"/>
      </w:tblGrid>
      <w:tr w14:paraId="246901D8">
        <w:tblPrEx>
          <w:tblCellMar>
            <w:top w:w="0" w:type="dxa"/>
            <w:left w:w="108" w:type="dxa"/>
            <w:bottom w:w="0" w:type="dxa"/>
            <w:right w:w="108"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8F6417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B4542D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362F2F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3546" w:type="dxa"/>
            <w:gridSpan w:val="2"/>
            <w:tcBorders>
              <w:top w:val="single" w:color="000000" w:sz="8" w:space="0"/>
              <w:left w:val="nil"/>
              <w:bottom w:val="single" w:color="000000" w:sz="4" w:space="0"/>
              <w:right w:val="single" w:color="000000" w:sz="8" w:space="0"/>
            </w:tcBorders>
            <w:shd w:val="clear" w:color="FFFFFF" w:fill="FFFFFF"/>
            <w:noWrap w:val="0"/>
            <w:vAlign w:val="center"/>
          </w:tcPr>
          <w:p w14:paraId="5D97D23C">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其中：（元）</w:t>
            </w:r>
          </w:p>
        </w:tc>
      </w:tr>
      <w:tr w14:paraId="577839EB">
        <w:tblPrEx>
          <w:tblCellMar>
            <w:top w:w="0" w:type="dxa"/>
            <w:left w:w="108" w:type="dxa"/>
            <w:bottom w:w="0" w:type="dxa"/>
            <w:right w:w="108"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3E0A3898">
            <w:pPr>
              <w:widowControl/>
              <w:jc w:val="left"/>
              <w:rPr>
                <w:rFonts w:ascii="黑体" w:hAnsi="黑体" w:eastAsia="黑体" w:cs="Arial"/>
                <w:color w:val="auto"/>
                <w:kern w:val="0"/>
                <w:szCs w:val="21"/>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1367EAD">
            <w:pPr>
              <w:widowControl/>
              <w:jc w:val="left"/>
              <w:rPr>
                <w:rFonts w:ascii="黑体" w:hAnsi="黑体" w:eastAsia="黑体" w:cs="Arial"/>
                <w:color w:val="auto"/>
                <w:kern w:val="0"/>
                <w:szCs w:val="21"/>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6656EB1">
            <w:pPr>
              <w:widowControl/>
              <w:jc w:val="left"/>
              <w:rPr>
                <w:rFonts w:ascii="黑体" w:hAnsi="黑体" w:eastAsia="黑体" w:cs="Arial"/>
                <w:color w:val="auto"/>
                <w:kern w:val="0"/>
                <w:szCs w:val="21"/>
              </w:rPr>
            </w:pPr>
          </w:p>
        </w:tc>
        <w:tc>
          <w:tcPr>
            <w:tcW w:w="1298" w:type="dxa"/>
            <w:tcBorders>
              <w:top w:val="single" w:color="000000" w:sz="4" w:space="0"/>
              <w:left w:val="nil"/>
              <w:bottom w:val="single" w:color="000000" w:sz="4" w:space="0"/>
              <w:right w:val="single" w:color="000000" w:sz="4" w:space="0"/>
            </w:tcBorders>
            <w:shd w:val="clear" w:color="FFFFFF" w:fill="FFFFFF"/>
            <w:noWrap w:val="0"/>
            <w:vAlign w:val="center"/>
          </w:tcPr>
          <w:p w14:paraId="6572552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暂估价</w:t>
            </w:r>
          </w:p>
        </w:tc>
        <w:tc>
          <w:tcPr>
            <w:tcW w:w="2248" w:type="dxa"/>
            <w:tcBorders>
              <w:top w:val="nil"/>
              <w:left w:val="nil"/>
              <w:bottom w:val="single" w:color="000000" w:sz="4" w:space="0"/>
              <w:right w:val="single" w:color="000000" w:sz="8" w:space="0"/>
            </w:tcBorders>
            <w:shd w:val="clear" w:color="FFFFFF" w:fill="FFFFFF"/>
            <w:noWrap w:val="0"/>
            <w:vAlign w:val="center"/>
          </w:tcPr>
          <w:p w14:paraId="36073A5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不可竞争费</w:t>
            </w:r>
          </w:p>
        </w:tc>
      </w:tr>
      <w:tr w14:paraId="694B2FD4">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F7C6C6">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40F6C943">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70D72F6">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0701086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32A6E103">
            <w:pPr>
              <w:widowControl/>
              <w:jc w:val="right"/>
              <w:rPr>
                <w:rFonts w:ascii="宋体" w:hAnsi="宋体" w:cs="Arial"/>
                <w:color w:val="auto"/>
                <w:kern w:val="0"/>
                <w:szCs w:val="21"/>
              </w:rPr>
            </w:pPr>
          </w:p>
        </w:tc>
      </w:tr>
      <w:tr w14:paraId="585F558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0AB579C">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7B20EA08">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53E31E0">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51CDE26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78DD7529">
            <w:pPr>
              <w:widowControl/>
              <w:jc w:val="right"/>
              <w:rPr>
                <w:rFonts w:ascii="宋体" w:hAnsi="宋体" w:cs="Arial"/>
                <w:color w:val="auto"/>
                <w:kern w:val="0"/>
                <w:szCs w:val="21"/>
              </w:rPr>
            </w:pPr>
          </w:p>
        </w:tc>
      </w:tr>
      <w:tr w14:paraId="01910656">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371F883">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34AD40EE">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555B9129">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F802F3F">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5558DD1C">
            <w:pPr>
              <w:widowControl/>
              <w:jc w:val="right"/>
              <w:rPr>
                <w:rFonts w:ascii="宋体" w:hAnsi="宋体" w:cs="Arial"/>
                <w:color w:val="auto"/>
                <w:kern w:val="0"/>
                <w:szCs w:val="21"/>
              </w:rPr>
            </w:pPr>
          </w:p>
        </w:tc>
      </w:tr>
      <w:tr w14:paraId="6D6D6C33">
        <w:tblPrEx>
          <w:tblCellMar>
            <w:top w:w="0" w:type="dxa"/>
            <w:left w:w="108" w:type="dxa"/>
            <w:bottom w:w="0" w:type="dxa"/>
            <w:right w:w="108" w:type="dxa"/>
          </w:tblCellMar>
        </w:tblPrEx>
        <w:trPr>
          <w:trHeight w:val="680" w:hRule="atLeast"/>
        </w:trPr>
        <w:tc>
          <w:tcPr>
            <w:tcW w:w="3843" w:type="dxa"/>
            <w:gridSpan w:val="2"/>
            <w:tcBorders>
              <w:top w:val="nil"/>
              <w:left w:val="single" w:color="000000" w:sz="8" w:space="0"/>
              <w:bottom w:val="single" w:color="000000" w:sz="4" w:space="0"/>
              <w:right w:val="single" w:color="000000" w:sz="4" w:space="0"/>
            </w:tcBorders>
            <w:noWrap w:val="0"/>
            <w:vAlign w:val="center"/>
          </w:tcPr>
          <w:p w14:paraId="2FBC494E">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557" w:type="dxa"/>
            <w:tcBorders>
              <w:top w:val="single" w:color="000000" w:sz="4" w:space="0"/>
              <w:left w:val="nil"/>
              <w:bottom w:val="single" w:color="000000" w:sz="4" w:space="0"/>
              <w:right w:val="single" w:color="000000" w:sz="4" w:space="0"/>
            </w:tcBorders>
            <w:noWrap w:val="0"/>
            <w:vAlign w:val="center"/>
          </w:tcPr>
          <w:p w14:paraId="0A5A9912">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B110D1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508080C6">
            <w:pPr>
              <w:widowControl/>
              <w:jc w:val="right"/>
              <w:rPr>
                <w:rFonts w:ascii="宋体" w:hAnsi="宋体" w:cs="Arial"/>
                <w:color w:val="auto"/>
                <w:kern w:val="0"/>
                <w:szCs w:val="21"/>
              </w:rPr>
            </w:pPr>
          </w:p>
        </w:tc>
      </w:tr>
    </w:tbl>
    <w:p w14:paraId="3B6C081A">
      <w:pPr>
        <w:jc w:val="center"/>
        <w:rPr>
          <w:color w:val="auto"/>
          <w:sz w:val="32"/>
          <w:szCs w:val="32"/>
        </w:rPr>
      </w:pPr>
      <w:bookmarkStart w:id="481" w:name="_Toc460660241"/>
      <w:bookmarkStart w:id="482" w:name="_Toc460227126"/>
    </w:p>
    <w:p w14:paraId="34148585">
      <w:pPr>
        <w:jc w:val="center"/>
        <w:outlineLvl w:val="2"/>
        <w:rPr>
          <w:rFonts w:hint="eastAsia"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（四）</w:t>
      </w:r>
      <w:bookmarkEnd w:id="481"/>
      <w:bookmarkEnd w:id="482"/>
      <w:r>
        <w:rPr>
          <w:rFonts w:hint="eastAsia" w:ascii="宋体" w:hAnsi="宋体"/>
          <w:color w:val="auto"/>
          <w:sz w:val="28"/>
          <w:szCs w:val="28"/>
        </w:rPr>
        <w:t>单位工程投标报价汇总表</w:t>
      </w:r>
    </w:p>
    <w:p w14:paraId="4553B425">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8946" w:type="dxa"/>
        <w:tblInd w:w="93" w:type="dxa"/>
        <w:tblLayout w:type="autofit"/>
        <w:tblCellMar>
          <w:top w:w="0" w:type="dxa"/>
          <w:left w:w="108" w:type="dxa"/>
          <w:bottom w:w="0" w:type="dxa"/>
          <w:right w:w="108" w:type="dxa"/>
        </w:tblCellMar>
      </w:tblPr>
      <w:tblGrid>
        <w:gridCol w:w="820"/>
        <w:gridCol w:w="3448"/>
        <w:gridCol w:w="1701"/>
        <w:gridCol w:w="2977"/>
      </w:tblGrid>
      <w:tr w14:paraId="340C9B4A">
        <w:tblPrEx>
          <w:tblCellMar>
            <w:top w:w="0" w:type="dxa"/>
            <w:left w:w="108" w:type="dxa"/>
            <w:bottom w:w="0" w:type="dxa"/>
            <w:right w:w="108"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1EF27F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3448" w:type="dxa"/>
            <w:tcBorders>
              <w:top w:val="single" w:color="000000" w:sz="8" w:space="0"/>
              <w:left w:val="nil"/>
              <w:bottom w:val="single" w:color="000000" w:sz="4" w:space="0"/>
              <w:right w:val="single" w:color="000000" w:sz="4" w:space="0"/>
            </w:tcBorders>
            <w:shd w:val="clear" w:color="FFFFFF" w:fill="FFFFFF"/>
            <w:noWrap w:val="0"/>
            <w:vAlign w:val="center"/>
          </w:tcPr>
          <w:p w14:paraId="5344F7B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汇总内容</w:t>
            </w:r>
          </w:p>
        </w:tc>
        <w:tc>
          <w:tcPr>
            <w:tcW w:w="1701" w:type="dxa"/>
            <w:tcBorders>
              <w:top w:val="single" w:color="000000" w:sz="8" w:space="0"/>
              <w:left w:val="nil"/>
              <w:bottom w:val="single" w:color="000000" w:sz="4" w:space="0"/>
              <w:right w:val="single" w:color="000000" w:sz="4" w:space="0"/>
            </w:tcBorders>
            <w:shd w:val="clear" w:color="FFFFFF" w:fill="FFFFFF"/>
            <w:noWrap w:val="0"/>
            <w:vAlign w:val="center"/>
          </w:tcPr>
          <w:p w14:paraId="1FEFCCD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2977" w:type="dxa"/>
            <w:tcBorders>
              <w:top w:val="single" w:color="000000" w:sz="8" w:space="0"/>
              <w:left w:val="nil"/>
              <w:bottom w:val="single" w:color="000000" w:sz="4" w:space="0"/>
              <w:right w:val="single" w:color="000000" w:sz="8" w:space="0"/>
            </w:tcBorders>
            <w:shd w:val="clear" w:color="FFFFFF" w:fill="FFFFFF"/>
            <w:noWrap w:val="0"/>
            <w:vAlign w:val="center"/>
          </w:tcPr>
          <w:p w14:paraId="13386F2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其中：材料、设备暂估价（元）</w:t>
            </w:r>
          </w:p>
        </w:tc>
      </w:tr>
      <w:tr w14:paraId="359E27BD">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1E9CEA1">
            <w:pPr>
              <w:widowControl/>
              <w:jc w:val="center"/>
              <w:rPr>
                <w:rFonts w:ascii="宋体" w:hAnsi="宋体" w:cs="Arial"/>
                <w:color w:val="auto"/>
                <w:kern w:val="0"/>
                <w:szCs w:val="21"/>
              </w:rPr>
            </w:pPr>
            <w:r>
              <w:rPr>
                <w:rFonts w:hint="eastAsia" w:ascii="宋体" w:hAnsi="宋体" w:cs="Arial"/>
                <w:color w:val="auto"/>
                <w:kern w:val="0"/>
                <w:szCs w:val="21"/>
              </w:rPr>
              <w:t>1</w:t>
            </w:r>
          </w:p>
        </w:tc>
        <w:tc>
          <w:tcPr>
            <w:tcW w:w="3448" w:type="dxa"/>
            <w:tcBorders>
              <w:top w:val="single" w:color="000000" w:sz="4" w:space="0"/>
              <w:left w:val="nil"/>
              <w:bottom w:val="single" w:color="000000" w:sz="4" w:space="0"/>
              <w:right w:val="single" w:color="000000" w:sz="4" w:space="0"/>
            </w:tcBorders>
            <w:noWrap w:val="0"/>
            <w:vAlign w:val="center"/>
          </w:tcPr>
          <w:p w14:paraId="4983C157">
            <w:pPr>
              <w:widowControl/>
              <w:jc w:val="left"/>
              <w:rPr>
                <w:rFonts w:ascii="宋体" w:hAnsi="宋体" w:cs="Arial"/>
                <w:color w:val="auto"/>
                <w:kern w:val="0"/>
                <w:szCs w:val="21"/>
              </w:rPr>
            </w:pPr>
            <w:r>
              <w:rPr>
                <w:rFonts w:hint="eastAsia" w:ascii="宋体" w:hAnsi="宋体" w:cs="Arial"/>
                <w:color w:val="auto"/>
                <w:kern w:val="0"/>
                <w:szCs w:val="21"/>
              </w:rPr>
              <w:t>分部分项工程费</w:t>
            </w:r>
          </w:p>
        </w:tc>
        <w:tc>
          <w:tcPr>
            <w:tcW w:w="1701" w:type="dxa"/>
            <w:tcBorders>
              <w:top w:val="single" w:color="000000" w:sz="4" w:space="0"/>
              <w:left w:val="nil"/>
              <w:bottom w:val="single" w:color="000000" w:sz="4" w:space="0"/>
              <w:right w:val="single" w:color="000000" w:sz="4" w:space="0"/>
            </w:tcBorders>
            <w:noWrap w:val="0"/>
            <w:vAlign w:val="center"/>
          </w:tcPr>
          <w:p w14:paraId="65CE4A5C">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E565F4C">
            <w:pPr>
              <w:widowControl/>
              <w:jc w:val="right"/>
              <w:rPr>
                <w:rFonts w:ascii="宋体" w:hAnsi="宋体" w:cs="Arial"/>
                <w:color w:val="auto"/>
                <w:kern w:val="0"/>
                <w:szCs w:val="21"/>
              </w:rPr>
            </w:pPr>
          </w:p>
        </w:tc>
      </w:tr>
      <w:tr w14:paraId="562DF21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FE3E0C9">
            <w:pPr>
              <w:widowControl/>
              <w:jc w:val="center"/>
              <w:rPr>
                <w:rFonts w:ascii="宋体" w:hAnsi="宋体" w:cs="Arial"/>
                <w:color w:val="auto"/>
                <w:kern w:val="0"/>
                <w:szCs w:val="21"/>
              </w:rPr>
            </w:pPr>
            <w:r>
              <w:rPr>
                <w:rFonts w:hint="eastAsia" w:ascii="宋体" w:hAnsi="宋体" w:cs="Arial"/>
                <w:color w:val="auto"/>
                <w:kern w:val="0"/>
                <w:szCs w:val="21"/>
              </w:rPr>
              <w:t>2</w:t>
            </w:r>
          </w:p>
        </w:tc>
        <w:tc>
          <w:tcPr>
            <w:tcW w:w="3448" w:type="dxa"/>
            <w:tcBorders>
              <w:top w:val="single" w:color="000000" w:sz="4" w:space="0"/>
              <w:left w:val="nil"/>
              <w:bottom w:val="single" w:color="000000" w:sz="4" w:space="0"/>
              <w:right w:val="single" w:color="000000" w:sz="4" w:space="0"/>
            </w:tcBorders>
            <w:noWrap w:val="0"/>
            <w:vAlign w:val="center"/>
          </w:tcPr>
          <w:p w14:paraId="6E5B1F7F">
            <w:pPr>
              <w:widowControl/>
              <w:jc w:val="left"/>
              <w:rPr>
                <w:rFonts w:ascii="宋体" w:hAnsi="宋体" w:cs="Arial"/>
                <w:color w:val="auto"/>
                <w:kern w:val="0"/>
                <w:szCs w:val="21"/>
              </w:rPr>
            </w:pPr>
            <w:r>
              <w:rPr>
                <w:rFonts w:hint="eastAsia" w:ascii="宋体" w:hAnsi="宋体" w:cs="Arial"/>
                <w:color w:val="auto"/>
                <w:kern w:val="0"/>
                <w:szCs w:val="21"/>
              </w:rPr>
              <w:t>措施项目费</w:t>
            </w:r>
          </w:p>
        </w:tc>
        <w:tc>
          <w:tcPr>
            <w:tcW w:w="1701" w:type="dxa"/>
            <w:tcBorders>
              <w:top w:val="single" w:color="000000" w:sz="4" w:space="0"/>
              <w:left w:val="nil"/>
              <w:bottom w:val="single" w:color="000000" w:sz="4" w:space="0"/>
              <w:right w:val="single" w:color="000000" w:sz="4" w:space="0"/>
            </w:tcBorders>
            <w:noWrap w:val="0"/>
            <w:vAlign w:val="center"/>
          </w:tcPr>
          <w:p w14:paraId="36381FC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7C9F2E03">
            <w:pPr>
              <w:widowControl/>
              <w:jc w:val="right"/>
              <w:rPr>
                <w:rFonts w:ascii="宋体" w:hAnsi="宋体" w:cs="Arial"/>
                <w:color w:val="auto"/>
                <w:kern w:val="0"/>
                <w:szCs w:val="21"/>
              </w:rPr>
            </w:pPr>
          </w:p>
        </w:tc>
      </w:tr>
      <w:tr w14:paraId="4BDDCCCF">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A237364">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052A690">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55B631A5">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6E93736">
            <w:pPr>
              <w:widowControl/>
              <w:jc w:val="right"/>
              <w:rPr>
                <w:rFonts w:ascii="宋体" w:hAnsi="宋体" w:cs="Arial"/>
                <w:color w:val="auto"/>
                <w:kern w:val="0"/>
                <w:szCs w:val="21"/>
              </w:rPr>
            </w:pPr>
          </w:p>
        </w:tc>
      </w:tr>
      <w:tr w14:paraId="7AEBC3E7">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24E9841">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9E4D679">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3569FF9F">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E02B250">
            <w:pPr>
              <w:widowControl/>
              <w:jc w:val="right"/>
              <w:rPr>
                <w:rFonts w:ascii="宋体" w:hAnsi="宋体" w:cs="Arial"/>
                <w:color w:val="auto"/>
                <w:kern w:val="0"/>
                <w:szCs w:val="21"/>
              </w:rPr>
            </w:pPr>
          </w:p>
        </w:tc>
      </w:tr>
      <w:tr w14:paraId="42E7F89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26AFCD39">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459EED06">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154A1016">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FDB0BAC">
            <w:pPr>
              <w:widowControl/>
              <w:jc w:val="right"/>
              <w:rPr>
                <w:rFonts w:ascii="宋体" w:hAnsi="宋体" w:cs="Arial"/>
                <w:color w:val="auto"/>
                <w:kern w:val="0"/>
                <w:szCs w:val="21"/>
              </w:rPr>
            </w:pPr>
          </w:p>
        </w:tc>
      </w:tr>
      <w:tr w14:paraId="6EA6132A">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B1E371E">
            <w:pPr>
              <w:widowControl/>
              <w:jc w:val="center"/>
              <w:rPr>
                <w:rFonts w:ascii="宋体" w:hAnsi="宋体" w:cs="Arial"/>
                <w:color w:val="auto"/>
                <w:kern w:val="0"/>
                <w:szCs w:val="21"/>
              </w:rPr>
            </w:pPr>
            <w:r>
              <w:rPr>
                <w:rFonts w:hint="eastAsia" w:ascii="宋体" w:hAnsi="宋体" w:cs="Arial"/>
                <w:color w:val="auto"/>
                <w:kern w:val="0"/>
                <w:szCs w:val="21"/>
              </w:rPr>
              <w:t>3</w:t>
            </w:r>
          </w:p>
        </w:tc>
        <w:tc>
          <w:tcPr>
            <w:tcW w:w="3448" w:type="dxa"/>
            <w:tcBorders>
              <w:top w:val="single" w:color="000000" w:sz="4" w:space="0"/>
              <w:left w:val="nil"/>
              <w:bottom w:val="single" w:color="000000" w:sz="4" w:space="0"/>
              <w:right w:val="single" w:color="000000" w:sz="4" w:space="0"/>
            </w:tcBorders>
            <w:noWrap w:val="0"/>
            <w:vAlign w:val="center"/>
          </w:tcPr>
          <w:p w14:paraId="5EECB501">
            <w:pPr>
              <w:widowControl/>
              <w:jc w:val="left"/>
              <w:rPr>
                <w:rFonts w:ascii="宋体" w:hAnsi="宋体" w:cs="Arial"/>
                <w:color w:val="auto"/>
                <w:kern w:val="0"/>
                <w:szCs w:val="21"/>
              </w:rPr>
            </w:pPr>
            <w:r>
              <w:rPr>
                <w:rFonts w:hint="eastAsia" w:ascii="宋体" w:hAnsi="宋体" w:cs="Arial"/>
                <w:color w:val="auto"/>
                <w:kern w:val="0"/>
                <w:szCs w:val="21"/>
              </w:rPr>
              <w:t>不可竞争费</w:t>
            </w:r>
          </w:p>
        </w:tc>
        <w:tc>
          <w:tcPr>
            <w:tcW w:w="1701" w:type="dxa"/>
            <w:tcBorders>
              <w:top w:val="single" w:color="000000" w:sz="4" w:space="0"/>
              <w:left w:val="nil"/>
              <w:bottom w:val="single" w:color="000000" w:sz="4" w:space="0"/>
              <w:right w:val="single" w:color="000000" w:sz="4" w:space="0"/>
            </w:tcBorders>
            <w:noWrap w:val="0"/>
            <w:vAlign w:val="center"/>
          </w:tcPr>
          <w:p w14:paraId="2C8C528F">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D24BF33">
            <w:pPr>
              <w:widowControl/>
              <w:jc w:val="right"/>
              <w:rPr>
                <w:rFonts w:ascii="宋体" w:hAnsi="宋体" w:cs="Arial"/>
                <w:color w:val="auto"/>
                <w:kern w:val="0"/>
                <w:szCs w:val="21"/>
              </w:rPr>
            </w:pPr>
          </w:p>
        </w:tc>
      </w:tr>
      <w:tr w14:paraId="277C0DD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5FF55CC">
            <w:pPr>
              <w:widowControl/>
              <w:jc w:val="center"/>
              <w:rPr>
                <w:rFonts w:ascii="宋体" w:hAnsi="宋体" w:cs="Arial"/>
                <w:color w:val="auto"/>
                <w:kern w:val="0"/>
                <w:szCs w:val="21"/>
              </w:rPr>
            </w:pPr>
            <w:r>
              <w:rPr>
                <w:rFonts w:hint="eastAsia" w:ascii="宋体" w:hAnsi="宋体" w:cs="Arial"/>
                <w:color w:val="auto"/>
                <w:kern w:val="0"/>
                <w:szCs w:val="21"/>
              </w:rPr>
              <w:t>3.1</w:t>
            </w:r>
          </w:p>
        </w:tc>
        <w:tc>
          <w:tcPr>
            <w:tcW w:w="3448" w:type="dxa"/>
            <w:tcBorders>
              <w:top w:val="single" w:color="000000" w:sz="4" w:space="0"/>
              <w:left w:val="nil"/>
              <w:bottom w:val="single" w:color="000000" w:sz="4" w:space="0"/>
              <w:right w:val="single" w:color="000000" w:sz="4" w:space="0"/>
            </w:tcBorders>
            <w:noWrap w:val="0"/>
            <w:vAlign w:val="center"/>
          </w:tcPr>
          <w:p w14:paraId="26EC9A5A">
            <w:pPr>
              <w:widowControl/>
              <w:jc w:val="left"/>
              <w:rPr>
                <w:rFonts w:ascii="宋体" w:hAnsi="宋体" w:cs="Arial"/>
                <w:color w:val="auto"/>
                <w:kern w:val="0"/>
                <w:szCs w:val="21"/>
              </w:rPr>
            </w:pPr>
            <w:r>
              <w:rPr>
                <w:rFonts w:hint="eastAsia" w:ascii="宋体" w:hAnsi="宋体" w:cs="Arial"/>
                <w:color w:val="auto"/>
                <w:kern w:val="0"/>
                <w:szCs w:val="21"/>
              </w:rPr>
              <w:t xml:space="preserve">  安全文明施工费</w:t>
            </w:r>
          </w:p>
        </w:tc>
        <w:tc>
          <w:tcPr>
            <w:tcW w:w="1701" w:type="dxa"/>
            <w:tcBorders>
              <w:top w:val="single" w:color="000000" w:sz="4" w:space="0"/>
              <w:left w:val="nil"/>
              <w:bottom w:val="single" w:color="000000" w:sz="4" w:space="0"/>
              <w:right w:val="single" w:color="000000" w:sz="4" w:space="0"/>
            </w:tcBorders>
            <w:noWrap w:val="0"/>
            <w:vAlign w:val="center"/>
          </w:tcPr>
          <w:p w14:paraId="7758A51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DDA8B75">
            <w:pPr>
              <w:widowControl/>
              <w:jc w:val="right"/>
              <w:rPr>
                <w:rFonts w:ascii="宋体" w:hAnsi="宋体" w:cs="Arial"/>
                <w:color w:val="auto"/>
                <w:kern w:val="0"/>
                <w:szCs w:val="21"/>
              </w:rPr>
            </w:pPr>
          </w:p>
        </w:tc>
      </w:tr>
      <w:tr w14:paraId="51220B7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459BEB4B">
            <w:pPr>
              <w:widowControl/>
              <w:jc w:val="center"/>
              <w:rPr>
                <w:rFonts w:ascii="宋体" w:hAnsi="宋体" w:cs="Arial"/>
                <w:color w:val="auto"/>
                <w:kern w:val="0"/>
                <w:szCs w:val="21"/>
              </w:rPr>
            </w:pPr>
            <w:r>
              <w:rPr>
                <w:rFonts w:hint="eastAsia" w:ascii="宋体" w:hAnsi="宋体" w:cs="Arial"/>
                <w:color w:val="auto"/>
                <w:kern w:val="0"/>
                <w:szCs w:val="21"/>
              </w:rPr>
              <w:t>3.2</w:t>
            </w:r>
          </w:p>
        </w:tc>
        <w:tc>
          <w:tcPr>
            <w:tcW w:w="3448" w:type="dxa"/>
            <w:tcBorders>
              <w:top w:val="single" w:color="000000" w:sz="4" w:space="0"/>
              <w:left w:val="nil"/>
              <w:bottom w:val="single" w:color="000000" w:sz="4" w:space="0"/>
              <w:right w:val="single" w:color="000000" w:sz="4" w:space="0"/>
            </w:tcBorders>
            <w:noWrap w:val="0"/>
            <w:vAlign w:val="center"/>
          </w:tcPr>
          <w:p w14:paraId="16AFAEBD">
            <w:pPr>
              <w:widowControl/>
              <w:jc w:val="left"/>
              <w:rPr>
                <w:rFonts w:ascii="宋体" w:hAnsi="宋体" w:cs="Arial"/>
                <w:color w:val="auto"/>
                <w:kern w:val="0"/>
                <w:szCs w:val="21"/>
              </w:rPr>
            </w:pPr>
            <w:r>
              <w:rPr>
                <w:rFonts w:hint="eastAsia" w:ascii="宋体" w:hAnsi="宋体" w:cs="Arial"/>
                <w:color w:val="auto"/>
                <w:kern w:val="0"/>
                <w:szCs w:val="21"/>
              </w:rPr>
              <w:t xml:space="preserve">  工程排污费</w:t>
            </w:r>
          </w:p>
        </w:tc>
        <w:tc>
          <w:tcPr>
            <w:tcW w:w="1701" w:type="dxa"/>
            <w:tcBorders>
              <w:top w:val="single" w:color="000000" w:sz="4" w:space="0"/>
              <w:left w:val="nil"/>
              <w:bottom w:val="single" w:color="000000" w:sz="4" w:space="0"/>
              <w:right w:val="single" w:color="000000" w:sz="4" w:space="0"/>
            </w:tcBorders>
            <w:noWrap w:val="0"/>
            <w:vAlign w:val="center"/>
          </w:tcPr>
          <w:p w14:paraId="6DF39CD9">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628D149">
            <w:pPr>
              <w:widowControl/>
              <w:jc w:val="right"/>
              <w:rPr>
                <w:rFonts w:ascii="宋体" w:hAnsi="宋体" w:cs="Arial"/>
                <w:color w:val="auto"/>
                <w:kern w:val="0"/>
                <w:szCs w:val="21"/>
              </w:rPr>
            </w:pPr>
          </w:p>
        </w:tc>
      </w:tr>
      <w:tr w14:paraId="744F75C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CF29CB2">
            <w:pPr>
              <w:widowControl/>
              <w:jc w:val="center"/>
              <w:rPr>
                <w:rFonts w:hint="eastAsia"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6E6E5893">
            <w:pPr>
              <w:widowControl/>
              <w:jc w:val="left"/>
              <w:rPr>
                <w:rFonts w:hint="eastAsia"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2B32C595">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AEB1E31">
            <w:pPr>
              <w:widowControl/>
              <w:jc w:val="right"/>
              <w:rPr>
                <w:rFonts w:ascii="宋体" w:hAnsi="宋体" w:cs="Arial"/>
                <w:color w:val="auto"/>
                <w:kern w:val="0"/>
                <w:szCs w:val="21"/>
              </w:rPr>
            </w:pPr>
          </w:p>
        </w:tc>
      </w:tr>
      <w:tr w14:paraId="42D40F7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5B238CA">
            <w:pPr>
              <w:widowControl/>
              <w:jc w:val="center"/>
              <w:rPr>
                <w:rFonts w:ascii="宋体" w:hAnsi="宋体" w:cs="Arial"/>
                <w:color w:val="auto"/>
                <w:kern w:val="0"/>
                <w:szCs w:val="21"/>
              </w:rPr>
            </w:pPr>
            <w:r>
              <w:rPr>
                <w:rFonts w:hint="eastAsia" w:ascii="宋体" w:hAnsi="宋体" w:cs="Arial"/>
                <w:color w:val="auto"/>
                <w:kern w:val="0"/>
                <w:szCs w:val="21"/>
              </w:rPr>
              <w:t>4</w:t>
            </w:r>
          </w:p>
        </w:tc>
        <w:tc>
          <w:tcPr>
            <w:tcW w:w="3448" w:type="dxa"/>
            <w:tcBorders>
              <w:top w:val="single" w:color="000000" w:sz="4" w:space="0"/>
              <w:left w:val="nil"/>
              <w:bottom w:val="single" w:color="000000" w:sz="4" w:space="0"/>
              <w:right w:val="single" w:color="000000" w:sz="4" w:space="0"/>
            </w:tcBorders>
            <w:noWrap w:val="0"/>
            <w:vAlign w:val="center"/>
          </w:tcPr>
          <w:p w14:paraId="4851A1DD">
            <w:pPr>
              <w:widowControl/>
              <w:jc w:val="left"/>
              <w:rPr>
                <w:rFonts w:ascii="宋体" w:hAnsi="宋体" w:cs="Arial"/>
                <w:color w:val="auto"/>
                <w:kern w:val="0"/>
                <w:szCs w:val="21"/>
              </w:rPr>
            </w:pPr>
            <w:r>
              <w:rPr>
                <w:rFonts w:hint="eastAsia" w:ascii="宋体" w:hAnsi="宋体" w:cs="Arial"/>
                <w:color w:val="auto"/>
                <w:kern w:val="0"/>
                <w:szCs w:val="21"/>
              </w:rPr>
              <w:t>其他项目</w:t>
            </w:r>
          </w:p>
        </w:tc>
        <w:tc>
          <w:tcPr>
            <w:tcW w:w="1701" w:type="dxa"/>
            <w:tcBorders>
              <w:top w:val="single" w:color="000000" w:sz="4" w:space="0"/>
              <w:left w:val="nil"/>
              <w:bottom w:val="single" w:color="000000" w:sz="4" w:space="0"/>
              <w:right w:val="single" w:color="000000" w:sz="4" w:space="0"/>
            </w:tcBorders>
            <w:noWrap w:val="0"/>
            <w:vAlign w:val="center"/>
          </w:tcPr>
          <w:p w14:paraId="73C7F54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FFCB3FC">
            <w:pPr>
              <w:widowControl/>
              <w:jc w:val="right"/>
              <w:rPr>
                <w:rFonts w:ascii="宋体" w:hAnsi="宋体" w:cs="Arial"/>
                <w:color w:val="auto"/>
                <w:kern w:val="0"/>
                <w:szCs w:val="21"/>
              </w:rPr>
            </w:pPr>
          </w:p>
        </w:tc>
      </w:tr>
      <w:tr w14:paraId="4D65695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B3AE51A">
            <w:pPr>
              <w:widowControl/>
              <w:jc w:val="center"/>
              <w:rPr>
                <w:rFonts w:ascii="宋体" w:hAnsi="宋体" w:cs="Arial"/>
                <w:color w:val="auto"/>
                <w:kern w:val="0"/>
                <w:szCs w:val="21"/>
              </w:rPr>
            </w:pPr>
            <w:r>
              <w:rPr>
                <w:rFonts w:hint="eastAsia" w:ascii="宋体" w:hAnsi="宋体" w:cs="Arial"/>
                <w:color w:val="auto"/>
                <w:kern w:val="0"/>
                <w:szCs w:val="21"/>
              </w:rPr>
              <w:t>4.1</w:t>
            </w:r>
          </w:p>
        </w:tc>
        <w:tc>
          <w:tcPr>
            <w:tcW w:w="3448" w:type="dxa"/>
            <w:tcBorders>
              <w:top w:val="single" w:color="000000" w:sz="4" w:space="0"/>
              <w:left w:val="nil"/>
              <w:bottom w:val="single" w:color="000000" w:sz="4" w:space="0"/>
              <w:right w:val="single" w:color="000000" w:sz="4" w:space="0"/>
            </w:tcBorders>
            <w:noWrap w:val="0"/>
            <w:vAlign w:val="center"/>
          </w:tcPr>
          <w:p w14:paraId="5ECBF110">
            <w:pPr>
              <w:widowControl/>
              <w:jc w:val="left"/>
              <w:rPr>
                <w:rFonts w:ascii="宋体" w:hAnsi="宋体" w:cs="Arial"/>
                <w:color w:val="auto"/>
                <w:kern w:val="0"/>
                <w:szCs w:val="21"/>
              </w:rPr>
            </w:pPr>
            <w:r>
              <w:rPr>
                <w:rFonts w:hint="eastAsia" w:ascii="宋体" w:hAnsi="宋体" w:cs="Arial"/>
                <w:color w:val="auto"/>
                <w:kern w:val="0"/>
                <w:szCs w:val="21"/>
              </w:rPr>
              <w:t xml:space="preserve">  暂列金额</w:t>
            </w:r>
          </w:p>
        </w:tc>
        <w:tc>
          <w:tcPr>
            <w:tcW w:w="1701" w:type="dxa"/>
            <w:tcBorders>
              <w:top w:val="single" w:color="000000" w:sz="4" w:space="0"/>
              <w:left w:val="nil"/>
              <w:bottom w:val="single" w:color="000000" w:sz="4" w:space="0"/>
              <w:right w:val="single" w:color="000000" w:sz="4" w:space="0"/>
            </w:tcBorders>
            <w:noWrap w:val="0"/>
            <w:vAlign w:val="center"/>
          </w:tcPr>
          <w:p w14:paraId="3D9305FD">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2022123">
            <w:pPr>
              <w:widowControl/>
              <w:jc w:val="right"/>
              <w:rPr>
                <w:rFonts w:ascii="宋体" w:hAnsi="宋体" w:cs="Arial"/>
                <w:color w:val="auto"/>
                <w:kern w:val="0"/>
                <w:szCs w:val="21"/>
              </w:rPr>
            </w:pPr>
          </w:p>
        </w:tc>
      </w:tr>
      <w:tr w14:paraId="57A22C6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99A6C98">
            <w:pPr>
              <w:widowControl/>
              <w:jc w:val="center"/>
              <w:rPr>
                <w:rFonts w:ascii="宋体" w:hAnsi="宋体" w:cs="Arial"/>
                <w:color w:val="auto"/>
                <w:kern w:val="0"/>
                <w:szCs w:val="21"/>
              </w:rPr>
            </w:pPr>
            <w:r>
              <w:rPr>
                <w:rFonts w:hint="eastAsia" w:ascii="宋体" w:hAnsi="宋体" w:cs="Arial"/>
                <w:color w:val="auto"/>
                <w:kern w:val="0"/>
                <w:szCs w:val="21"/>
              </w:rPr>
              <w:t>4.2</w:t>
            </w:r>
          </w:p>
        </w:tc>
        <w:tc>
          <w:tcPr>
            <w:tcW w:w="3448" w:type="dxa"/>
            <w:tcBorders>
              <w:top w:val="single" w:color="000000" w:sz="4" w:space="0"/>
              <w:left w:val="nil"/>
              <w:bottom w:val="single" w:color="000000" w:sz="4" w:space="0"/>
              <w:right w:val="single" w:color="000000" w:sz="4" w:space="0"/>
            </w:tcBorders>
            <w:noWrap w:val="0"/>
            <w:vAlign w:val="center"/>
          </w:tcPr>
          <w:p w14:paraId="4B68BA0C">
            <w:pPr>
              <w:widowControl/>
              <w:jc w:val="left"/>
              <w:rPr>
                <w:rFonts w:ascii="宋体" w:hAnsi="宋体" w:cs="Arial"/>
                <w:color w:val="auto"/>
                <w:kern w:val="0"/>
                <w:szCs w:val="21"/>
              </w:rPr>
            </w:pPr>
            <w:r>
              <w:rPr>
                <w:rFonts w:hint="eastAsia" w:ascii="宋体" w:hAnsi="宋体" w:cs="Arial"/>
                <w:color w:val="auto"/>
                <w:kern w:val="0"/>
                <w:szCs w:val="21"/>
              </w:rPr>
              <w:t xml:space="preserve">  专业工程暂估价</w:t>
            </w:r>
          </w:p>
        </w:tc>
        <w:tc>
          <w:tcPr>
            <w:tcW w:w="1701" w:type="dxa"/>
            <w:tcBorders>
              <w:top w:val="single" w:color="000000" w:sz="4" w:space="0"/>
              <w:left w:val="nil"/>
              <w:bottom w:val="single" w:color="000000" w:sz="4" w:space="0"/>
              <w:right w:val="single" w:color="000000" w:sz="4" w:space="0"/>
            </w:tcBorders>
            <w:noWrap w:val="0"/>
            <w:vAlign w:val="center"/>
          </w:tcPr>
          <w:p w14:paraId="729F8F2E">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3A34150">
            <w:pPr>
              <w:widowControl/>
              <w:jc w:val="right"/>
              <w:rPr>
                <w:rFonts w:ascii="宋体" w:hAnsi="宋体" w:cs="Arial"/>
                <w:color w:val="auto"/>
                <w:kern w:val="0"/>
                <w:szCs w:val="21"/>
              </w:rPr>
            </w:pPr>
          </w:p>
        </w:tc>
      </w:tr>
      <w:tr w14:paraId="3C91B0D6">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979F44E">
            <w:pPr>
              <w:widowControl/>
              <w:jc w:val="center"/>
              <w:rPr>
                <w:rFonts w:ascii="宋体" w:hAnsi="宋体" w:cs="Arial"/>
                <w:color w:val="auto"/>
                <w:kern w:val="0"/>
                <w:szCs w:val="21"/>
              </w:rPr>
            </w:pPr>
            <w:r>
              <w:rPr>
                <w:rFonts w:hint="eastAsia" w:ascii="宋体" w:hAnsi="宋体" w:cs="Arial"/>
                <w:color w:val="auto"/>
                <w:kern w:val="0"/>
                <w:szCs w:val="21"/>
              </w:rPr>
              <w:t>4.3</w:t>
            </w:r>
          </w:p>
        </w:tc>
        <w:tc>
          <w:tcPr>
            <w:tcW w:w="3448" w:type="dxa"/>
            <w:tcBorders>
              <w:top w:val="single" w:color="000000" w:sz="4" w:space="0"/>
              <w:left w:val="nil"/>
              <w:bottom w:val="single" w:color="000000" w:sz="4" w:space="0"/>
              <w:right w:val="single" w:color="000000" w:sz="4" w:space="0"/>
            </w:tcBorders>
            <w:noWrap w:val="0"/>
            <w:vAlign w:val="center"/>
          </w:tcPr>
          <w:p w14:paraId="73554250">
            <w:pPr>
              <w:widowControl/>
              <w:jc w:val="left"/>
              <w:rPr>
                <w:rFonts w:ascii="宋体" w:hAnsi="宋体" w:cs="Arial"/>
                <w:color w:val="auto"/>
                <w:kern w:val="0"/>
                <w:szCs w:val="21"/>
              </w:rPr>
            </w:pPr>
            <w:r>
              <w:rPr>
                <w:rFonts w:hint="eastAsia" w:ascii="宋体" w:hAnsi="宋体" w:cs="Arial"/>
                <w:color w:val="auto"/>
                <w:kern w:val="0"/>
                <w:szCs w:val="21"/>
              </w:rPr>
              <w:t xml:space="preserve">  计日工</w:t>
            </w:r>
          </w:p>
        </w:tc>
        <w:tc>
          <w:tcPr>
            <w:tcW w:w="1701" w:type="dxa"/>
            <w:tcBorders>
              <w:top w:val="single" w:color="000000" w:sz="4" w:space="0"/>
              <w:left w:val="nil"/>
              <w:bottom w:val="single" w:color="000000" w:sz="4" w:space="0"/>
              <w:right w:val="single" w:color="000000" w:sz="4" w:space="0"/>
            </w:tcBorders>
            <w:noWrap w:val="0"/>
            <w:vAlign w:val="center"/>
          </w:tcPr>
          <w:p w14:paraId="77B78992">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C966B5E">
            <w:pPr>
              <w:widowControl/>
              <w:jc w:val="right"/>
              <w:rPr>
                <w:rFonts w:ascii="宋体" w:hAnsi="宋体" w:cs="Arial"/>
                <w:color w:val="auto"/>
                <w:kern w:val="0"/>
                <w:szCs w:val="21"/>
              </w:rPr>
            </w:pPr>
          </w:p>
        </w:tc>
      </w:tr>
      <w:tr w14:paraId="33811CF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7D7DEB">
            <w:pPr>
              <w:widowControl/>
              <w:jc w:val="center"/>
              <w:rPr>
                <w:rFonts w:ascii="宋体" w:hAnsi="宋体" w:cs="Arial"/>
                <w:color w:val="auto"/>
                <w:kern w:val="0"/>
                <w:szCs w:val="21"/>
              </w:rPr>
            </w:pPr>
            <w:r>
              <w:rPr>
                <w:rFonts w:hint="eastAsia" w:ascii="宋体" w:hAnsi="宋体" w:cs="Arial"/>
                <w:color w:val="auto"/>
                <w:kern w:val="0"/>
                <w:szCs w:val="21"/>
              </w:rPr>
              <w:t>4.4</w:t>
            </w:r>
          </w:p>
        </w:tc>
        <w:tc>
          <w:tcPr>
            <w:tcW w:w="3448" w:type="dxa"/>
            <w:tcBorders>
              <w:top w:val="single" w:color="000000" w:sz="4" w:space="0"/>
              <w:left w:val="nil"/>
              <w:bottom w:val="single" w:color="000000" w:sz="4" w:space="0"/>
              <w:right w:val="single" w:color="000000" w:sz="4" w:space="0"/>
            </w:tcBorders>
            <w:noWrap w:val="0"/>
            <w:vAlign w:val="center"/>
          </w:tcPr>
          <w:p w14:paraId="427D861C">
            <w:pPr>
              <w:widowControl/>
              <w:jc w:val="left"/>
              <w:rPr>
                <w:rFonts w:ascii="宋体" w:hAnsi="宋体" w:cs="Arial"/>
                <w:color w:val="auto"/>
                <w:kern w:val="0"/>
                <w:szCs w:val="21"/>
              </w:rPr>
            </w:pPr>
            <w:r>
              <w:rPr>
                <w:rFonts w:hint="eastAsia" w:ascii="宋体" w:hAnsi="宋体" w:cs="Arial"/>
                <w:color w:val="auto"/>
                <w:kern w:val="0"/>
                <w:szCs w:val="21"/>
              </w:rPr>
              <w:t xml:space="preserve">  总承包服务费</w:t>
            </w:r>
          </w:p>
        </w:tc>
        <w:tc>
          <w:tcPr>
            <w:tcW w:w="1701" w:type="dxa"/>
            <w:tcBorders>
              <w:top w:val="single" w:color="000000" w:sz="4" w:space="0"/>
              <w:left w:val="nil"/>
              <w:bottom w:val="single" w:color="000000" w:sz="4" w:space="0"/>
              <w:right w:val="single" w:color="000000" w:sz="4" w:space="0"/>
            </w:tcBorders>
            <w:noWrap w:val="0"/>
            <w:vAlign w:val="center"/>
          </w:tcPr>
          <w:p w14:paraId="70081610">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BE45D33">
            <w:pPr>
              <w:widowControl/>
              <w:jc w:val="right"/>
              <w:rPr>
                <w:rFonts w:ascii="宋体" w:hAnsi="宋体" w:cs="Arial"/>
                <w:color w:val="auto"/>
                <w:kern w:val="0"/>
                <w:szCs w:val="21"/>
              </w:rPr>
            </w:pPr>
          </w:p>
        </w:tc>
      </w:tr>
      <w:tr w14:paraId="6721150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A14BAB5">
            <w:pPr>
              <w:widowControl/>
              <w:jc w:val="center"/>
              <w:rPr>
                <w:rFonts w:ascii="宋体" w:hAnsi="宋体" w:cs="Arial"/>
                <w:color w:val="auto"/>
                <w:kern w:val="0"/>
                <w:szCs w:val="21"/>
              </w:rPr>
            </w:pPr>
            <w:r>
              <w:rPr>
                <w:rFonts w:hint="eastAsia" w:ascii="宋体" w:hAnsi="宋体" w:cs="Arial"/>
                <w:color w:val="auto"/>
                <w:kern w:val="0"/>
                <w:szCs w:val="21"/>
              </w:rPr>
              <w:t>5</w:t>
            </w:r>
          </w:p>
        </w:tc>
        <w:tc>
          <w:tcPr>
            <w:tcW w:w="3448" w:type="dxa"/>
            <w:tcBorders>
              <w:top w:val="single" w:color="000000" w:sz="4" w:space="0"/>
              <w:left w:val="nil"/>
              <w:bottom w:val="single" w:color="000000" w:sz="4" w:space="0"/>
              <w:right w:val="single" w:color="000000" w:sz="4" w:space="0"/>
            </w:tcBorders>
            <w:noWrap w:val="0"/>
            <w:vAlign w:val="center"/>
          </w:tcPr>
          <w:p w14:paraId="247D5FB7">
            <w:pPr>
              <w:widowControl/>
              <w:jc w:val="left"/>
              <w:rPr>
                <w:rFonts w:ascii="宋体" w:hAnsi="宋体" w:cs="Arial"/>
                <w:color w:val="auto"/>
                <w:kern w:val="0"/>
                <w:szCs w:val="21"/>
              </w:rPr>
            </w:pPr>
            <w:r>
              <w:rPr>
                <w:rFonts w:hint="eastAsia" w:ascii="宋体" w:hAnsi="宋体" w:cs="Arial"/>
                <w:color w:val="auto"/>
                <w:kern w:val="0"/>
                <w:szCs w:val="21"/>
              </w:rPr>
              <w:t>税金</w:t>
            </w:r>
          </w:p>
        </w:tc>
        <w:tc>
          <w:tcPr>
            <w:tcW w:w="1701" w:type="dxa"/>
            <w:tcBorders>
              <w:top w:val="single" w:color="000000" w:sz="4" w:space="0"/>
              <w:left w:val="nil"/>
              <w:bottom w:val="single" w:color="000000" w:sz="4" w:space="0"/>
              <w:right w:val="single" w:color="000000" w:sz="4" w:space="0"/>
            </w:tcBorders>
            <w:noWrap w:val="0"/>
            <w:vAlign w:val="center"/>
          </w:tcPr>
          <w:p w14:paraId="2A46D3D2">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18CA0D0">
            <w:pPr>
              <w:widowControl/>
              <w:jc w:val="right"/>
              <w:rPr>
                <w:rFonts w:ascii="宋体" w:hAnsi="宋体" w:cs="Arial"/>
                <w:color w:val="auto"/>
                <w:kern w:val="0"/>
                <w:szCs w:val="21"/>
              </w:rPr>
            </w:pPr>
          </w:p>
        </w:tc>
      </w:tr>
      <w:tr w14:paraId="1D21B853">
        <w:tblPrEx>
          <w:tblCellMar>
            <w:top w:w="0" w:type="dxa"/>
            <w:left w:w="108" w:type="dxa"/>
            <w:bottom w:w="0" w:type="dxa"/>
            <w:right w:w="108"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noWrap w:val="0"/>
            <w:vAlign w:val="center"/>
          </w:tcPr>
          <w:p w14:paraId="74D25E00">
            <w:pPr>
              <w:widowControl/>
              <w:jc w:val="center"/>
              <w:rPr>
                <w:rFonts w:ascii="宋体" w:hAnsi="宋体" w:cs="Arial"/>
                <w:color w:val="auto"/>
                <w:kern w:val="0"/>
                <w:szCs w:val="21"/>
              </w:rPr>
            </w:pPr>
            <w:r>
              <w:rPr>
                <w:rFonts w:hint="eastAsia" w:ascii="宋体" w:hAnsi="宋体" w:cs="Arial"/>
                <w:color w:val="auto"/>
                <w:kern w:val="0"/>
                <w:szCs w:val="21"/>
              </w:rPr>
              <w:t>工程造价=1+2+3+4+5</w:t>
            </w:r>
          </w:p>
        </w:tc>
        <w:tc>
          <w:tcPr>
            <w:tcW w:w="1701" w:type="dxa"/>
            <w:tcBorders>
              <w:top w:val="single" w:color="000000" w:sz="4" w:space="0"/>
              <w:left w:val="nil"/>
              <w:bottom w:val="single" w:color="000000" w:sz="8" w:space="0"/>
              <w:right w:val="single" w:color="000000" w:sz="4" w:space="0"/>
            </w:tcBorders>
            <w:noWrap w:val="0"/>
            <w:vAlign w:val="center"/>
          </w:tcPr>
          <w:p w14:paraId="3CE6DEA2">
            <w:pPr>
              <w:widowControl/>
              <w:jc w:val="right"/>
              <w:rPr>
                <w:rFonts w:ascii="宋体" w:hAnsi="宋体" w:cs="Arial"/>
                <w:color w:val="auto"/>
                <w:kern w:val="0"/>
                <w:szCs w:val="21"/>
              </w:rPr>
            </w:pPr>
          </w:p>
        </w:tc>
        <w:tc>
          <w:tcPr>
            <w:tcW w:w="2977" w:type="dxa"/>
            <w:tcBorders>
              <w:top w:val="single" w:color="000000" w:sz="4" w:space="0"/>
              <w:left w:val="nil"/>
              <w:bottom w:val="single" w:color="000000" w:sz="8" w:space="0"/>
              <w:right w:val="single" w:color="000000" w:sz="8" w:space="0"/>
            </w:tcBorders>
            <w:noWrap w:val="0"/>
            <w:vAlign w:val="center"/>
          </w:tcPr>
          <w:p w14:paraId="7A64159F">
            <w:pPr>
              <w:widowControl/>
              <w:jc w:val="right"/>
              <w:rPr>
                <w:rFonts w:ascii="宋体" w:hAnsi="宋体" w:cs="Arial"/>
                <w:color w:val="auto"/>
                <w:kern w:val="0"/>
                <w:szCs w:val="21"/>
              </w:rPr>
            </w:pPr>
          </w:p>
        </w:tc>
      </w:tr>
    </w:tbl>
    <w:p w14:paraId="4542210C">
      <w:pPr>
        <w:jc w:val="center"/>
        <w:rPr>
          <w:rFonts w:ascii="宋体" w:hAnsi="宋体"/>
          <w:color w:val="auto"/>
          <w:sz w:val="28"/>
          <w:szCs w:val="28"/>
        </w:rPr>
      </w:pPr>
      <w:bookmarkStart w:id="483" w:name="_Toc460227127"/>
      <w:bookmarkStart w:id="484" w:name="_Toc460660242"/>
    </w:p>
    <w:p w14:paraId="739BF3A4">
      <w:pPr>
        <w:jc w:val="center"/>
        <w:outlineLvl w:val="2"/>
        <w:rPr>
          <w:rFonts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（五）</w:t>
      </w:r>
      <w:bookmarkEnd w:id="483"/>
      <w:bookmarkEnd w:id="484"/>
      <w:r>
        <w:rPr>
          <w:rFonts w:hint="eastAsia" w:ascii="宋体" w:hAnsi="宋体"/>
          <w:color w:val="auto"/>
          <w:sz w:val="28"/>
          <w:szCs w:val="28"/>
        </w:rPr>
        <w:t>分部分项工程量清单计价表</w:t>
      </w:r>
    </w:p>
    <w:p w14:paraId="1D471F7B">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4986" w:type="pct"/>
        <w:tblInd w:w="0" w:type="dxa"/>
        <w:tblLayout w:type="autofit"/>
        <w:tblCellMar>
          <w:top w:w="0" w:type="dxa"/>
          <w:left w:w="108" w:type="dxa"/>
          <w:bottom w:w="0" w:type="dxa"/>
          <w:right w:w="108" w:type="dxa"/>
        </w:tblCellMar>
      </w:tblPr>
      <w:tblGrid>
        <w:gridCol w:w="426"/>
        <w:gridCol w:w="1059"/>
        <w:gridCol w:w="1059"/>
        <w:gridCol w:w="924"/>
        <w:gridCol w:w="750"/>
        <w:gridCol w:w="792"/>
        <w:gridCol w:w="726"/>
        <w:gridCol w:w="873"/>
        <w:gridCol w:w="913"/>
        <w:gridCol w:w="848"/>
        <w:gridCol w:w="779"/>
      </w:tblGrid>
      <w:tr w14:paraId="690B0DD8">
        <w:tblPrEx>
          <w:tblCellMar>
            <w:top w:w="0" w:type="dxa"/>
            <w:left w:w="108" w:type="dxa"/>
            <w:bottom w:w="0" w:type="dxa"/>
            <w:right w:w="108" w:type="dxa"/>
          </w:tblCellMar>
        </w:tblPrEx>
        <w:trPr>
          <w:trHeight w:val="263" w:hRule="atLeast"/>
        </w:trPr>
        <w:tc>
          <w:tcPr>
            <w:tcW w:w="233"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0E2228C">
            <w:pPr>
              <w:widowControl/>
              <w:snapToGrid w:val="0"/>
              <w:jc w:val="center"/>
              <w:rPr>
                <w:rFonts w:ascii="宋体" w:hAnsi="宋体" w:cs="Arial"/>
                <w:color w:val="auto"/>
                <w:kern w:val="0"/>
                <w:szCs w:val="21"/>
              </w:rPr>
            </w:pPr>
            <w:r>
              <w:rPr>
                <w:rFonts w:hint="eastAsia" w:ascii="宋体" w:hAnsi="宋体" w:cs="Arial"/>
                <w:color w:val="auto"/>
                <w:kern w:val="0"/>
                <w:szCs w:val="21"/>
              </w:rPr>
              <w:t>序号</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8B1057">
            <w:pPr>
              <w:widowControl/>
              <w:snapToGrid w:val="0"/>
              <w:jc w:val="center"/>
              <w:rPr>
                <w:rFonts w:ascii="宋体" w:hAnsi="宋体" w:cs="Arial"/>
                <w:color w:val="auto"/>
                <w:kern w:val="0"/>
                <w:szCs w:val="21"/>
              </w:rPr>
            </w:pPr>
            <w:r>
              <w:rPr>
                <w:rFonts w:hint="eastAsia" w:ascii="宋体" w:hAnsi="宋体" w:cs="Arial"/>
                <w:color w:val="auto"/>
                <w:kern w:val="0"/>
                <w:szCs w:val="21"/>
              </w:rPr>
              <w:t>项目编码</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63B313">
            <w:pPr>
              <w:widowControl/>
              <w:snapToGrid w:val="0"/>
              <w:jc w:val="center"/>
              <w:rPr>
                <w:rFonts w:ascii="宋体" w:hAnsi="宋体" w:cs="Arial"/>
                <w:color w:val="auto"/>
                <w:kern w:val="0"/>
                <w:szCs w:val="21"/>
              </w:rPr>
            </w:pPr>
            <w:r>
              <w:rPr>
                <w:rFonts w:hint="eastAsia" w:ascii="宋体" w:hAnsi="宋体" w:cs="Arial"/>
                <w:color w:val="auto"/>
                <w:kern w:val="0"/>
                <w:szCs w:val="21"/>
              </w:rPr>
              <w:t>项目名称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8A515FB">
            <w:pPr>
              <w:widowControl/>
              <w:snapToGrid w:val="0"/>
              <w:jc w:val="center"/>
              <w:rPr>
                <w:rFonts w:ascii="宋体" w:hAnsi="宋体" w:cs="Arial"/>
                <w:color w:val="auto"/>
                <w:kern w:val="0"/>
                <w:szCs w:val="21"/>
              </w:rPr>
            </w:pPr>
            <w:r>
              <w:rPr>
                <w:rFonts w:hint="eastAsia" w:ascii="宋体" w:hAnsi="宋体" w:cs="Arial"/>
                <w:color w:val="auto"/>
                <w:kern w:val="0"/>
                <w:szCs w:val="21"/>
              </w:rPr>
              <w:t>项目特征描述</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9382D1">
            <w:pPr>
              <w:widowControl/>
              <w:snapToGrid w:val="0"/>
              <w:jc w:val="center"/>
              <w:rPr>
                <w:rFonts w:ascii="宋体" w:hAnsi="宋体" w:cs="Arial"/>
                <w:color w:val="auto"/>
                <w:kern w:val="0"/>
                <w:szCs w:val="21"/>
              </w:rPr>
            </w:pPr>
            <w:r>
              <w:rPr>
                <w:rFonts w:hint="eastAsia" w:ascii="宋体" w:hAnsi="宋体" w:cs="Arial"/>
                <w:color w:val="auto"/>
                <w:kern w:val="0"/>
                <w:szCs w:val="21"/>
              </w:rPr>
              <w:t>计量单位</w:t>
            </w:r>
          </w:p>
        </w:tc>
        <w:tc>
          <w:tcPr>
            <w:tcW w:w="433"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81CC5DD">
            <w:pPr>
              <w:widowControl/>
              <w:snapToGrid w:val="0"/>
              <w:jc w:val="center"/>
              <w:rPr>
                <w:rFonts w:ascii="宋体" w:hAnsi="宋体" w:cs="Arial"/>
                <w:color w:val="auto"/>
                <w:kern w:val="0"/>
                <w:szCs w:val="21"/>
              </w:rPr>
            </w:pPr>
            <w:r>
              <w:rPr>
                <w:rFonts w:hint="eastAsia" w:ascii="宋体" w:hAnsi="宋体" w:cs="Arial"/>
                <w:color w:val="auto"/>
                <w:kern w:val="0"/>
                <w:szCs w:val="21"/>
              </w:rPr>
              <w:t>工程量</w:t>
            </w:r>
          </w:p>
        </w:tc>
        <w:tc>
          <w:tcPr>
            <w:tcW w:w="2261" w:type="pct"/>
            <w:gridSpan w:val="5"/>
            <w:tcBorders>
              <w:top w:val="single" w:color="000000" w:sz="8" w:space="0"/>
              <w:left w:val="nil"/>
              <w:bottom w:val="single" w:color="000000" w:sz="4" w:space="0"/>
              <w:right w:val="single" w:color="000000" w:sz="8" w:space="0"/>
            </w:tcBorders>
            <w:shd w:val="clear" w:color="FFFFFF" w:fill="FFFFFF"/>
            <w:noWrap w:val="0"/>
            <w:vAlign w:val="center"/>
          </w:tcPr>
          <w:p w14:paraId="000A83F2">
            <w:pPr>
              <w:widowControl/>
              <w:snapToGrid w:val="0"/>
              <w:jc w:val="center"/>
              <w:rPr>
                <w:rFonts w:ascii="宋体" w:hAnsi="宋体" w:cs="Arial"/>
                <w:color w:val="auto"/>
                <w:kern w:val="0"/>
                <w:szCs w:val="21"/>
              </w:rPr>
            </w:pPr>
            <w:r>
              <w:rPr>
                <w:rFonts w:hint="eastAsia" w:ascii="宋体" w:hAnsi="宋体" w:cs="Arial"/>
                <w:color w:val="auto"/>
                <w:kern w:val="0"/>
                <w:szCs w:val="21"/>
              </w:rPr>
              <w:t>金额（元）</w:t>
            </w:r>
          </w:p>
        </w:tc>
      </w:tr>
      <w:tr w14:paraId="2A778E37">
        <w:tblPrEx>
          <w:tblCellMar>
            <w:top w:w="0" w:type="dxa"/>
            <w:left w:w="108" w:type="dxa"/>
            <w:bottom w:w="0" w:type="dxa"/>
            <w:right w:w="108" w:type="dxa"/>
          </w:tblCellMar>
        </w:tblPrEx>
        <w:trPr>
          <w:trHeight w:val="263"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2EDDAC4E">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1737183">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1CFFE39">
            <w:pPr>
              <w:widowControl/>
              <w:snapToGrid w:val="0"/>
              <w:jc w:val="left"/>
              <w:rPr>
                <w:rFonts w:ascii="宋体" w:hAnsi="宋体" w:cs="Arial"/>
                <w:color w:val="auto"/>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62F47EC">
            <w:pPr>
              <w:widowControl/>
              <w:snapToGrid w:val="0"/>
              <w:jc w:val="left"/>
              <w:rPr>
                <w:rFonts w:ascii="宋体" w:hAnsi="宋体" w:cs="Arial"/>
                <w:color w:val="auto"/>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2A2FF5">
            <w:pPr>
              <w:widowControl/>
              <w:snapToGrid w:val="0"/>
              <w:jc w:val="left"/>
              <w:rPr>
                <w:rFonts w:ascii="宋体" w:hAnsi="宋体" w:cs="Arial"/>
                <w:color w:val="auto"/>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4CCC0F">
            <w:pPr>
              <w:widowControl/>
              <w:snapToGrid w:val="0"/>
              <w:jc w:val="left"/>
              <w:rPr>
                <w:rFonts w:ascii="宋体" w:hAnsi="宋体" w:cs="Arial"/>
                <w:color w:val="auto"/>
                <w:kern w:val="0"/>
                <w:szCs w:val="21"/>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62199">
            <w:pPr>
              <w:widowControl/>
              <w:snapToGrid w:val="0"/>
              <w:jc w:val="center"/>
              <w:rPr>
                <w:rFonts w:ascii="宋体" w:hAnsi="宋体" w:cs="Arial"/>
                <w:color w:val="auto"/>
                <w:kern w:val="0"/>
                <w:szCs w:val="21"/>
              </w:rPr>
            </w:pPr>
            <w:r>
              <w:rPr>
                <w:rFonts w:hint="eastAsia" w:ascii="宋体" w:hAnsi="宋体" w:cs="Arial"/>
                <w:color w:val="auto"/>
                <w:kern w:val="0"/>
                <w:szCs w:val="21"/>
              </w:rPr>
              <w:t>综合单价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9D023">
            <w:pPr>
              <w:widowControl/>
              <w:snapToGrid w:val="0"/>
              <w:jc w:val="center"/>
              <w:rPr>
                <w:rFonts w:ascii="宋体" w:hAnsi="宋体" w:cs="Arial"/>
                <w:color w:val="auto"/>
                <w:kern w:val="0"/>
                <w:szCs w:val="21"/>
              </w:rPr>
            </w:pPr>
            <w:r>
              <w:rPr>
                <w:rFonts w:hint="eastAsia" w:ascii="宋体" w:hAnsi="宋体" w:cs="Arial"/>
                <w:color w:val="auto"/>
                <w:kern w:val="0"/>
                <w:szCs w:val="21"/>
              </w:rPr>
              <w:t>合价</w:t>
            </w:r>
          </w:p>
        </w:tc>
        <w:tc>
          <w:tcPr>
            <w:tcW w:w="1388" w:type="pct"/>
            <w:gridSpan w:val="3"/>
            <w:tcBorders>
              <w:top w:val="single" w:color="000000" w:sz="4" w:space="0"/>
              <w:left w:val="nil"/>
              <w:bottom w:val="single" w:color="000000" w:sz="4" w:space="0"/>
              <w:right w:val="single" w:color="000000" w:sz="8" w:space="0"/>
            </w:tcBorders>
            <w:shd w:val="clear" w:color="FFFFFF" w:fill="FFFFFF"/>
            <w:noWrap w:val="0"/>
            <w:vAlign w:val="center"/>
          </w:tcPr>
          <w:p w14:paraId="7D66D81D">
            <w:pPr>
              <w:widowControl/>
              <w:snapToGrid w:val="0"/>
              <w:jc w:val="center"/>
              <w:rPr>
                <w:rFonts w:ascii="宋体" w:hAnsi="宋体" w:cs="Arial"/>
                <w:color w:val="auto"/>
                <w:kern w:val="0"/>
                <w:szCs w:val="21"/>
              </w:rPr>
            </w:pPr>
            <w:r>
              <w:rPr>
                <w:rFonts w:hint="eastAsia" w:ascii="宋体" w:hAnsi="宋体" w:cs="Arial"/>
                <w:color w:val="auto"/>
                <w:kern w:val="0"/>
                <w:szCs w:val="21"/>
              </w:rPr>
              <w:t>其中</w:t>
            </w:r>
          </w:p>
        </w:tc>
      </w:tr>
      <w:tr w14:paraId="260A5298">
        <w:tblPrEx>
          <w:tblCellMar>
            <w:top w:w="0" w:type="dxa"/>
            <w:left w:w="108" w:type="dxa"/>
            <w:bottom w:w="0" w:type="dxa"/>
            <w:right w:w="108" w:type="dxa"/>
          </w:tblCellMar>
        </w:tblPrEx>
        <w:trPr>
          <w:trHeight w:val="499"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1DBA5FFB">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5872AD4">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9C0B344">
            <w:pPr>
              <w:widowControl/>
              <w:snapToGrid w:val="0"/>
              <w:jc w:val="left"/>
              <w:rPr>
                <w:rFonts w:ascii="宋体" w:hAnsi="宋体" w:cs="Arial"/>
                <w:color w:val="auto"/>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D65DE07">
            <w:pPr>
              <w:widowControl/>
              <w:snapToGrid w:val="0"/>
              <w:jc w:val="left"/>
              <w:rPr>
                <w:rFonts w:ascii="宋体" w:hAnsi="宋体" w:cs="Arial"/>
                <w:color w:val="auto"/>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4C806A8">
            <w:pPr>
              <w:widowControl/>
              <w:snapToGrid w:val="0"/>
              <w:jc w:val="left"/>
              <w:rPr>
                <w:rFonts w:ascii="宋体" w:hAnsi="宋体" w:cs="Arial"/>
                <w:color w:val="auto"/>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8F1B6BB">
            <w:pPr>
              <w:widowControl/>
              <w:snapToGrid w:val="0"/>
              <w:jc w:val="left"/>
              <w:rPr>
                <w:rFonts w:ascii="宋体" w:hAnsi="宋体" w:cs="Arial"/>
                <w:color w:val="auto"/>
                <w:kern w:val="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9BB0">
            <w:pPr>
              <w:widowControl/>
              <w:snapToGrid w:val="0"/>
              <w:jc w:val="left"/>
              <w:rPr>
                <w:rFonts w:ascii="宋体" w:hAnsi="宋体" w:cs="Arial"/>
                <w:color w:val="auto"/>
                <w:kern w:val="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AF75B">
            <w:pPr>
              <w:widowControl/>
              <w:snapToGrid w:val="0"/>
              <w:jc w:val="left"/>
              <w:rPr>
                <w:rFonts w:ascii="宋体" w:hAnsi="宋体" w:cs="Arial"/>
                <w:color w:val="auto"/>
                <w:kern w:val="0"/>
                <w:szCs w:val="21"/>
              </w:rPr>
            </w:pPr>
          </w:p>
        </w:tc>
        <w:tc>
          <w:tcPr>
            <w:tcW w:w="499" w:type="pct"/>
            <w:tcBorders>
              <w:top w:val="nil"/>
              <w:left w:val="nil"/>
              <w:bottom w:val="single" w:color="000000" w:sz="4" w:space="0"/>
              <w:right w:val="single" w:color="000000" w:sz="4" w:space="0"/>
            </w:tcBorders>
            <w:shd w:val="clear" w:color="FFFFFF" w:fill="FFFFFF"/>
            <w:noWrap w:val="0"/>
            <w:vAlign w:val="center"/>
          </w:tcPr>
          <w:p w14:paraId="3863D926">
            <w:pPr>
              <w:widowControl/>
              <w:snapToGrid w:val="0"/>
              <w:jc w:val="center"/>
              <w:rPr>
                <w:rFonts w:ascii="宋体" w:hAnsi="宋体" w:cs="Arial"/>
                <w:color w:val="auto"/>
                <w:kern w:val="0"/>
                <w:szCs w:val="21"/>
              </w:rPr>
            </w:pPr>
            <w:r>
              <w:rPr>
                <w:rFonts w:hint="eastAsia" w:ascii="宋体" w:hAnsi="宋体" w:cs="Arial"/>
                <w:color w:val="auto"/>
                <w:kern w:val="0"/>
                <w:szCs w:val="21"/>
              </w:rPr>
              <w:t>定额人工费</w:t>
            </w:r>
          </w:p>
        </w:tc>
        <w:tc>
          <w:tcPr>
            <w:tcW w:w="463" w:type="pct"/>
            <w:tcBorders>
              <w:top w:val="nil"/>
              <w:left w:val="nil"/>
              <w:bottom w:val="single" w:color="000000" w:sz="4" w:space="0"/>
              <w:right w:val="single" w:color="000000" w:sz="4" w:space="0"/>
            </w:tcBorders>
            <w:shd w:val="clear" w:color="FFFFFF" w:fill="FFFFFF"/>
            <w:noWrap w:val="0"/>
            <w:vAlign w:val="center"/>
          </w:tcPr>
          <w:p w14:paraId="2581B4EA">
            <w:pPr>
              <w:widowControl/>
              <w:snapToGrid w:val="0"/>
              <w:jc w:val="center"/>
              <w:rPr>
                <w:rFonts w:ascii="宋体" w:hAnsi="宋体" w:cs="Arial"/>
                <w:color w:val="auto"/>
                <w:kern w:val="0"/>
                <w:szCs w:val="21"/>
              </w:rPr>
            </w:pPr>
            <w:r>
              <w:rPr>
                <w:rFonts w:hint="eastAsia" w:ascii="宋体" w:hAnsi="宋体" w:cs="Arial"/>
                <w:color w:val="auto"/>
                <w:kern w:val="0"/>
                <w:szCs w:val="21"/>
              </w:rPr>
              <w:t>定额机械费</w:t>
            </w:r>
          </w:p>
        </w:tc>
        <w:tc>
          <w:tcPr>
            <w:tcW w:w="425" w:type="pct"/>
            <w:tcBorders>
              <w:top w:val="nil"/>
              <w:left w:val="nil"/>
              <w:bottom w:val="single" w:color="000000" w:sz="4" w:space="0"/>
              <w:right w:val="single" w:color="000000" w:sz="8" w:space="0"/>
            </w:tcBorders>
            <w:shd w:val="clear" w:color="FFFFFF" w:fill="FFFFFF"/>
            <w:noWrap w:val="0"/>
            <w:vAlign w:val="center"/>
          </w:tcPr>
          <w:p w14:paraId="76EAD4AA">
            <w:pPr>
              <w:widowControl/>
              <w:snapToGrid w:val="0"/>
              <w:jc w:val="center"/>
              <w:rPr>
                <w:rFonts w:ascii="宋体" w:hAnsi="宋体" w:cs="Arial"/>
                <w:color w:val="auto"/>
                <w:kern w:val="0"/>
                <w:szCs w:val="21"/>
              </w:rPr>
            </w:pPr>
            <w:r>
              <w:rPr>
                <w:rFonts w:hint="eastAsia" w:ascii="宋体" w:hAnsi="宋体" w:cs="Arial"/>
                <w:color w:val="auto"/>
                <w:kern w:val="0"/>
                <w:szCs w:val="21"/>
              </w:rPr>
              <w:t>暂估价</w:t>
            </w:r>
          </w:p>
        </w:tc>
      </w:tr>
      <w:tr w14:paraId="74A1B7C0">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29F70F54">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F4F8496">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6B91AA20">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6E55F45F">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7271F6BC">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51C8F0A6">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7A43DEC3">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1240F5A8">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265CD799">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56A0E077">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363C7F9A">
            <w:pPr>
              <w:widowControl/>
              <w:snapToGrid w:val="0"/>
              <w:jc w:val="right"/>
              <w:rPr>
                <w:rFonts w:ascii="宋体" w:hAnsi="宋体" w:cs="Arial"/>
                <w:color w:val="auto"/>
                <w:kern w:val="0"/>
                <w:szCs w:val="21"/>
              </w:rPr>
            </w:pPr>
          </w:p>
        </w:tc>
      </w:tr>
      <w:tr w14:paraId="305B8E83">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07F1F203">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1FFE423">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7F10AD84">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012E8158">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615CE514">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1F7329AD">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3516062A">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342CFFF5">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1A1650A4">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75151A8A">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013C61A5">
            <w:pPr>
              <w:widowControl/>
              <w:snapToGrid w:val="0"/>
              <w:jc w:val="right"/>
              <w:rPr>
                <w:rFonts w:ascii="宋体" w:hAnsi="宋体" w:cs="Arial"/>
                <w:color w:val="auto"/>
                <w:kern w:val="0"/>
                <w:szCs w:val="21"/>
              </w:rPr>
            </w:pPr>
          </w:p>
        </w:tc>
      </w:tr>
      <w:tr w14:paraId="3ACECFF0">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6723705B">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71EECC15">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997291B">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4D653E67">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12E506EC">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2AF19C62">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6B02DA5A">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74F6CD2E">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038AF947">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4BA38831">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718F5A3E">
            <w:pPr>
              <w:widowControl/>
              <w:snapToGrid w:val="0"/>
              <w:jc w:val="right"/>
              <w:rPr>
                <w:rFonts w:ascii="宋体" w:hAnsi="宋体" w:cs="Arial"/>
                <w:color w:val="auto"/>
                <w:kern w:val="0"/>
                <w:szCs w:val="21"/>
              </w:rPr>
            </w:pPr>
          </w:p>
        </w:tc>
      </w:tr>
    </w:tbl>
    <w:p w14:paraId="6BC21C40">
      <w:pPr>
        <w:jc w:val="center"/>
        <w:outlineLvl w:val="2"/>
        <w:rPr>
          <w:rFonts w:ascii="宋体" w:hAnsi="宋体"/>
          <w:color w:val="auto"/>
          <w:sz w:val="28"/>
          <w:szCs w:val="28"/>
        </w:rPr>
      </w:pPr>
      <w:bookmarkStart w:id="485" w:name="_Toc460227128"/>
      <w:bookmarkStart w:id="486" w:name="_Toc460660243"/>
      <w:r>
        <w:rPr>
          <w:rFonts w:hint="eastAsia" w:ascii="宋体" w:hAnsi="宋体"/>
          <w:color w:val="auto"/>
          <w:sz w:val="28"/>
          <w:szCs w:val="28"/>
        </w:rPr>
        <w:t>（六）</w:t>
      </w:r>
      <w:bookmarkEnd w:id="485"/>
      <w:bookmarkEnd w:id="486"/>
      <w:r>
        <w:rPr>
          <w:rFonts w:hint="eastAsia" w:ascii="宋体" w:hAnsi="宋体"/>
          <w:color w:val="auto"/>
          <w:sz w:val="28"/>
          <w:szCs w:val="28"/>
        </w:rPr>
        <w:t>分部分项工程量清单综合单价分析表</w:t>
      </w:r>
    </w:p>
    <w:p w14:paraId="49FA4126">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306C49B4">
        <w:tblPrEx>
          <w:tblCellMar>
            <w:top w:w="0" w:type="dxa"/>
            <w:left w:w="108" w:type="dxa"/>
            <w:bottom w:w="0" w:type="dxa"/>
            <w:right w:w="108" w:type="dxa"/>
          </w:tblCellMar>
        </w:tblPrEx>
        <w:trPr>
          <w:trHeight w:val="515" w:hRule="atLeast"/>
        </w:trPr>
        <w:tc>
          <w:tcPr>
            <w:tcW w:w="386" w:type="pct"/>
            <w:gridSpan w:val="2"/>
            <w:tcBorders>
              <w:top w:val="single" w:color="000000" w:sz="8" w:space="0"/>
              <w:left w:val="single" w:color="000000" w:sz="8" w:space="0"/>
              <w:bottom w:val="single" w:color="000000" w:sz="4" w:space="0"/>
              <w:right w:val="single" w:color="000000" w:sz="4" w:space="0"/>
            </w:tcBorders>
            <w:noWrap w:val="0"/>
            <w:vAlign w:val="center"/>
          </w:tcPr>
          <w:p w14:paraId="33639A21">
            <w:pPr>
              <w:widowControl/>
              <w:jc w:val="center"/>
              <w:rPr>
                <w:rFonts w:ascii="宋体" w:hAnsi="宋体" w:cs="Arial"/>
                <w:color w:val="auto"/>
                <w:kern w:val="0"/>
                <w:szCs w:val="21"/>
              </w:rPr>
            </w:pPr>
            <w:r>
              <w:rPr>
                <w:rFonts w:hint="eastAsia" w:ascii="宋体" w:hAnsi="宋体" w:cs="Arial"/>
                <w:color w:val="auto"/>
                <w:kern w:val="0"/>
                <w:szCs w:val="21"/>
              </w:rPr>
              <w:t>项目编码</w:t>
            </w:r>
          </w:p>
        </w:tc>
        <w:tc>
          <w:tcPr>
            <w:tcW w:w="590" w:type="pct"/>
            <w:tcBorders>
              <w:top w:val="single" w:color="000000" w:sz="8" w:space="0"/>
              <w:left w:val="nil"/>
              <w:bottom w:val="single" w:color="000000" w:sz="4" w:space="0"/>
              <w:right w:val="single" w:color="000000" w:sz="4" w:space="0"/>
            </w:tcBorders>
            <w:noWrap w:val="0"/>
            <w:vAlign w:val="center"/>
          </w:tcPr>
          <w:p w14:paraId="2AB29F5C">
            <w:pPr>
              <w:widowControl/>
              <w:jc w:val="center"/>
              <w:rPr>
                <w:rFonts w:ascii="宋体" w:hAnsi="宋体" w:cs="Arial"/>
                <w:color w:val="auto"/>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64778B6A">
            <w:pPr>
              <w:widowControl/>
              <w:jc w:val="center"/>
              <w:rPr>
                <w:rFonts w:ascii="宋体" w:hAnsi="宋体" w:cs="Arial"/>
                <w:color w:val="auto"/>
                <w:kern w:val="0"/>
                <w:szCs w:val="21"/>
              </w:rPr>
            </w:pPr>
            <w:r>
              <w:rPr>
                <w:rFonts w:hint="eastAsia" w:ascii="宋体" w:hAnsi="宋体" w:cs="Arial"/>
                <w:color w:val="auto"/>
                <w:kern w:val="0"/>
                <w:szCs w:val="21"/>
              </w:rPr>
              <w:t>项目名称</w:t>
            </w:r>
          </w:p>
        </w:tc>
        <w:tc>
          <w:tcPr>
            <w:tcW w:w="1743" w:type="pct"/>
            <w:gridSpan w:val="6"/>
            <w:tcBorders>
              <w:top w:val="single" w:color="000000" w:sz="8" w:space="0"/>
              <w:left w:val="nil"/>
              <w:bottom w:val="single" w:color="000000" w:sz="4" w:space="0"/>
              <w:right w:val="single" w:color="000000" w:sz="4" w:space="0"/>
            </w:tcBorders>
            <w:noWrap w:val="0"/>
            <w:vAlign w:val="center"/>
          </w:tcPr>
          <w:p w14:paraId="4EDEFAA5">
            <w:pPr>
              <w:widowControl/>
              <w:jc w:val="center"/>
              <w:rPr>
                <w:rFonts w:ascii="宋体" w:hAnsi="宋体" w:cs="Arial"/>
                <w:color w:val="auto"/>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39F09E85">
            <w:pPr>
              <w:widowControl/>
              <w:jc w:val="center"/>
              <w:rPr>
                <w:rFonts w:ascii="宋体" w:hAnsi="宋体" w:cs="Arial"/>
                <w:color w:val="auto"/>
                <w:kern w:val="0"/>
                <w:szCs w:val="21"/>
              </w:rPr>
            </w:pPr>
            <w:r>
              <w:rPr>
                <w:rFonts w:hint="eastAsia" w:ascii="宋体" w:hAnsi="宋体" w:cs="Arial"/>
                <w:color w:val="auto"/>
                <w:kern w:val="0"/>
                <w:szCs w:val="21"/>
              </w:rPr>
              <w:t>计量单位</w:t>
            </w:r>
          </w:p>
        </w:tc>
        <w:tc>
          <w:tcPr>
            <w:tcW w:w="323" w:type="pct"/>
            <w:tcBorders>
              <w:top w:val="single" w:color="000000" w:sz="8" w:space="0"/>
              <w:left w:val="nil"/>
              <w:bottom w:val="single" w:color="000000" w:sz="4" w:space="0"/>
              <w:right w:val="single" w:color="000000" w:sz="4" w:space="0"/>
            </w:tcBorders>
            <w:noWrap w:val="0"/>
            <w:vAlign w:val="center"/>
          </w:tcPr>
          <w:p w14:paraId="553E6BC3">
            <w:pPr>
              <w:widowControl/>
              <w:jc w:val="center"/>
              <w:rPr>
                <w:rFonts w:ascii="宋体" w:hAnsi="宋体" w:cs="Arial"/>
                <w:color w:val="auto"/>
                <w:kern w:val="0"/>
                <w:szCs w:val="21"/>
              </w:rPr>
            </w:pPr>
          </w:p>
        </w:tc>
        <w:tc>
          <w:tcPr>
            <w:tcW w:w="431" w:type="pct"/>
            <w:tcBorders>
              <w:top w:val="single" w:color="000000" w:sz="8" w:space="0"/>
              <w:left w:val="nil"/>
              <w:bottom w:val="single" w:color="000000" w:sz="4" w:space="0"/>
              <w:right w:val="single" w:color="000000" w:sz="4" w:space="0"/>
            </w:tcBorders>
            <w:noWrap w:val="0"/>
            <w:vAlign w:val="center"/>
          </w:tcPr>
          <w:p w14:paraId="6741882D">
            <w:pPr>
              <w:widowControl/>
              <w:jc w:val="center"/>
              <w:rPr>
                <w:rFonts w:ascii="宋体" w:hAnsi="宋体" w:cs="Arial"/>
                <w:color w:val="auto"/>
                <w:kern w:val="0"/>
                <w:szCs w:val="21"/>
              </w:rPr>
            </w:pPr>
            <w:r>
              <w:rPr>
                <w:rFonts w:hint="eastAsia" w:ascii="宋体" w:hAnsi="宋体" w:cs="Arial"/>
                <w:color w:val="auto"/>
                <w:kern w:val="0"/>
                <w:szCs w:val="21"/>
              </w:rPr>
              <w:t>工程量</w:t>
            </w:r>
          </w:p>
        </w:tc>
        <w:tc>
          <w:tcPr>
            <w:tcW w:w="431" w:type="pct"/>
            <w:tcBorders>
              <w:top w:val="single" w:color="000000" w:sz="8" w:space="0"/>
              <w:left w:val="nil"/>
              <w:bottom w:val="single" w:color="000000" w:sz="4" w:space="0"/>
              <w:right w:val="single" w:color="000000" w:sz="8" w:space="0"/>
            </w:tcBorders>
            <w:noWrap w:val="0"/>
            <w:vAlign w:val="center"/>
          </w:tcPr>
          <w:p w14:paraId="31451521">
            <w:pPr>
              <w:widowControl/>
              <w:jc w:val="center"/>
              <w:rPr>
                <w:rFonts w:ascii="宋体" w:hAnsi="宋体" w:cs="Arial"/>
                <w:color w:val="auto"/>
                <w:kern w:val="0"/>
                <w:szCs w:val="21"/>
              </w:rPr>
            </w:pPr>
          </w:p>
        </w:tc>
      </w:tr>
      <w:tr w14:paraId="6D79E3AA">
        <w:tblPrEx>
          <w:tblCellMar>
            <w:top w:w="0" w:type="dxa"/>
            <w:left w:w="108" w:type="dxa"/>
            <w:bottom w:w="0" w:type="dxa"/>
            <w:right w:w="108" w:type="dxa"/>
          </w:tblCellMar>
        </w:tblPrEx>
        <w:trPr>
          <w:trHeight w:val="567" w:hRule="atLeast"/>
        </w:trPr>
        <w:tc>
          <w:tcPr>
            <w:tcW w:w="5000" w:type="pct"/>
            <w:gridSpan w:val="16"/>
            <w:tcBorders>
              <w:top w:val="single" w:color="000000" w:sz="4" w:space="0"/>
              <w:left w:val="single" w:color="000000" w:sz="8" w:space="0"/>
              <w:bottom w:val="single" w:color="000000" w:sz="4" w:space="0"/>
              <w:right w:val="single" w:color="000000" w:sz="8" w:space="0"/>
            </w:tcBorders>
            <w:noWrap/>
            <w:vAlign w:val="center"/>
          </w:tcPr>
          <w:p w14:paraId="163AD131">
            <w:pPr>
              <w:widowControl/>
              <w:jc w:val="center"/>
              <w:rPr>
                <w:rFonts w:ascii="宋体" w:hAnsi="宋体" w:cs="Arial"/>
                <w:color w:val="auto"/>
                <w:kern w:val="0"/>
                <w:szCs w:val="21"/>
              </w:rPr>
            </w:pPr>
            <w:r>
              <w:rPr>
                <w:rFonts w:hint="eastAsia" w:ascii="宋体" w:hAnsi="宋体" w:cs="Arial"/>
                <w:color w:val="auto"/>
                <w:kern w:val="0"/>
                <w:szCs w:val="21"/>
              </w:rPr>
              <w:t>清单综合单价组成明细</w:t>
            </w:r>
          </w:p>
        </w:tc>
      </w:tr>
      <w:tr w14:paraId="06859381">
        <w:tblPrEx>
          <w:tblCellMar>
            <w:top w:w="0" w:type="dxa"/>
            <w:left w:w="108" w:type="dxa"/>
            <w:bottom w:w="0" w:type="dxa"/>
            <w:right w:w="108" w:type="dxa"/>
          </w:tblCellMar>
        </w:tblPrEx>
        <w:trPr>
          <w:trHeight w:val="343" w:hRule="atLeast"/>
        </w:trPr>
        <w:tc>
          <w:tcPr>
            <w:tcW w:w="222" w:type="pct"/>
            <w:vMerge w:val="restart"/>
            <w:tcBorders>
              <w:top w:val="nil"/>
              <w:left w:val="single" w:color="000000" w:sz="8" w:space="0"/>
              <w:bottom w:val="single" w:color="000000" w:sz="4" w:space="0"/>
              <w:right w:val="single" w:color="000000" w:sz="4" w:space="0"/>
            </w:tcBorders>
            <w:noWrap w:val="0"/>
            <w:vAlign w:val="center"/>
          </w:tcPr>
          <w:p w14:paraId="7913A328">
            <w:pPr>
              <w:widowControl/>
              <w:jc w:val="center"/>
              <w:rPr>
                <w:rFonts w:ascii="宋体" w:hAnsi="宋体" w:cs="Arial"/>
                <w:color w:val="auto"/>
                <w:kern w:val="0"/>
                <w:szCs w:val="21"/>
              </w:rPr>
            </w:pPr>
            <w:r>
              <w:rPr>
                <w:rFonts w:hint="eastAsia" w:ascii="宋体" w:hAnsi="宋体" w:cs="Arial"/>
                <w:color w:val="auto"/>
                <w:kern w:val="0"/>
                <w:szCs w:val="21"/>
              </w:rPr>
              <w:t>定额编码</w:t>
            </w:r>
          </w:p>
        </w:tc>
        <w:tc>
          <w:tcPr>
            <w:tcW w:w="75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69C2414">
            <w:pPr>
              <w:widowControl/>
              <w:jc w:val="center"/>
              <w:rPr>
                <w:rFonts w:ascii="宋体" w:hAnsi="宋体" w:cs="Arial"/>
                <w:color w:val="auto"/>
                <w:kern w:val="0"/>
                <w:szCs w:val="21"/>
              </w:rPr>
            </w:pPr>
            <w:r>
              <w:rPr>
                <w:rFonts w:hint="eastAsia" w:ascii="宋体" w:hAnsi="宋体" w:cs="Arial"/>
                <w:color w:val="auto"/>
                <w:kern w:val="0"/>
                <w:szCs w:val="21"/>
              </w:rPr>
              <w:t>定额项目名称</w:t>
            </w:r>
          </w:p>
        </w:tc>
        <w:tc>
          <w:tcPr>
            <w:tcW w:w="222" w:type="pct"/>
            <w:vMerge w:val="restart"/>
            <w:tcBorders>
              <w:top w:val="nil"/>
              <w:left w:val="single" w:color="000000" w:sz="4" w:space="0"/>
              <w:bottom w:val="single" w:color="000000" w:sz="4" w:space="0"/>
              <w:right w:val="single" w:color="000000" w:sz="4" w:space="0"/>
            </w:tcBorders>
            <w:noWrap w:val="0"/>
            <w:vAlign w:val="center"/>
          </w:tcPr>
          <w:p w14:paraId="495B532E">
            <w:pPr>
              <w:widowControl/>
              <w:jc w:val="center"/>
              <w:rPr>
                <w:rFonts w:ascii="宋体" w:hAnsi="宋体" w:cs="Arial"/>
                <w:color w:val="auto"/>
                <w:kern w:val="0"/>
                <w:szCs w:val="21"/>
              </w:rPr>
            </w:pPr>
            <w:r>
              <w:rPr>
                <w:rFonts w:hint="eastAsia" w:ascii="宋体" w:hAnsi="宋体" w:cs="Arial"/>
                <w:color w:val="auto"/>
                <w:kern w:val="0"/>
                <w:szCs w:val="21"/>
              </w:rPr>
              <w:t>定额单位</w:t>
            </w:r>
          </w:p>
        </w:tc>
        <w:tc>
          <w:tcPr>
            <w:tcW w:w="326" w:type="pct"/>
            <w:vMerge w:val="restart"/>
            <w:tcBorders>
              <w:top w:val="nil"/>
              <w:left w:val="single" w:color="000000" w:sz="4" w:space="0"/>
              <w:bottom w:val="single" w:color="000000" w:sz="4" w:space="0"/>
              <w:right w:val="single" w:color="000000" w:sz="4" w:space="0"/>
            </w:tcBorders>
            <w:noWrap/>
            <w:vAlign w:val="center"/>
          </w:tcPr>
          <w:p w14:paraId="0B32465E">
            <w:pPr>
              <w:widowControl/>
              <w:jc w:val="center"/>
              <w:rPr>
                <w:rFonts w:ascii="宋体" w:hAnsi="宋体" w:cs="Arial"/>
                <w:color w:val="auto"/>
                <w:kern w:val="0"/>
                <w:szCs w:val="21"/>
              </w:rPr>
            </w:pPr>
            <w:r>
              <w:rPr>
                <w:rFonts w:hint="eastAsia" w:ascii="宋体" w:hAnsi="宋体" w:cs="Arial"/>
                <w:color w:val="auto"/>
                <w:kern w:val="0"/>
                <w:szCs w:val="21"/>
              </w:rPr>
              <w:t>数量</w:t>
            </w:r>
          </w:p>
        </w:tc>
        <w:tc>
          <w:tcPr>
            <w:tcW w:w="1743" w:type="pct"/>
            <w:gridSpan w:val="6"/>
            <w:tcBorders>
              <w:top w:val="single" w:color="000000" w:sz="4" w:space="0"/>
              <w:left w:val="nil"/>
              <w:bottom w:val="single" w:color="000000" w:sz="4" w:space="0"/>
              <w:right w:val="single" w:color="000000" w:sz="4" w:space="0"/>
            </w:tcBorders>
            <w:noWrap/>
            <w:vAlign w:val="center"/>
          </w:tcPr>
          <w:p w14:paraId="656563DA">
            <w:pPr>
              <w:widowControl/>
              <w:jc w:val="center"/>
              <w:rPr>
                <w:rFonts w:ascii="宋体" w:hAnsi="宋体" w:cs="Arial"/>
                <w:color w:val="auto"/>
                <w:kern w:val="0"/>
                <w:szCs w:val="21"/>
              </w:rPr>
            </w:pPr>
            <w:r>
              <w:rPr>
                <w:rFonts w:hint="eastAsia" w:ascii="宋体" w:hAnsi="宋体" w:cs="Arial"/>
                <w:color w:val="auto"/>
                <w:kern w:val="0"/>
                <w:szCs w:val="21"/>
              </w:rPr>
              <w:t>单价</w:t>
            </w:r>
          </w:p>
        </w:tc>
        <w:tc>
          <w:tcPr>
            <w:tcW w:w="1732" w:type="pct"/>
            <w:gridSpan w:val="5"/>
            <w:tcBorders>
              <w:top w:val="single" w:color="000000" w:sz="4" w:space="0"/>
              <w:left w:val="nil"/>
              <w:bottom w:val="single" w:color="000000" w:sz="4" w:space="0"/>
              <w:right w:val="single" w:color="000000" w:sz="8" w:space="0"/>
            </w:tcBorders>
            <w:noWrap/>
            <w:vAlign w:val="center"/>
          </w:tcPr>
          <w:p w14:paraId="657CD55B">
            <w:pPr>
              <w:widowControl/>
              <w:jc w:val="center"/>
              <w:rPr>
                <w:rFonts w:ascii="宋体" w:hAnsi="宋体" w:cs="Arial"/>
                <w:color w:val="auto"/>
                <w:kern w:val="0"/>
                <w:szCs w:val="21"/>
              </w:rPr>
            </w:pPr>
            <w:r>
              <w:rPr>
                <w:rFonts w:hint="eastAsia" w:ascii="宋体" w:hAnsi="宋体" w:cs="Arial"/>
                <w:color w:val="auto"/>
                <w:kern w:val="0"/>
                <w:szCs w:val="21"/>
              </w:rPr>
              <w:t>合价</w:t>
            </w:r>
          </w:p>
        </w:tc>
      </w:tr>
      <w:tr w14:paraId="7F82D649">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4" w:space="0"/>
              <w:right w:val="single" w:color="000000" w:sz="4" w:space="0"/>
            </w:tcBorders>
            <w:noWrap w:val="0"/>
            <w:vAlign w:val="center"/>
          </w:tcPr>
          <w:p w14:paraId="2C224B9F">
            <w:pPr>
              <w:widowControl/>
              <w:jc w:val="left"/>
              <w:rPr>
                <w:rFonts w:ascii="宋体" w:hAnsi="宋体" w:cs="Arial"/>
                <w:color w:val="auto"/>
                <w:kern w:val="0"/>
                <w:szCs w:val="21"/>
              </w:rPr>
            </w:pPr>
          </w:p>
        </w:tc>
        <w:tc>
          <w:tcPr>
            <w:tcW w:w="75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1F3AEA">
            <w:pPr>
              <w:widowControl/>
              <w:jc w:val="left"/>
              <w:rPr>
                <w:rFonts w:ascii="宋体" w:hAnsi="宋体" w:cs="Arial"/>
                <w:color w:val="auto"/>
                <w:kern w:val="0"/>
                <w:szCs w:val="21"/>
              </w:rPr>
            </w:pPr>
          </w:p>
        </w:tc>
        <w:tc>
          <w:tcPr>
            <w:tcW w:w="222" w:type="pct"/>
            <w:vMerge w:val="continue"/>
            <w:tcBorders>
              <w:top w:val="nil"/>
              <w:left w:val="single" w:color="000000" w:sz="4" w:space="0"/>
              <w:bottom w:val="single" w:color="000000" w:sz="4" w:space="0"/>
              <w:right w:val="single" w:color="000000" w:sz="4" w:space="0"/>
            </w:tcBorders>
            <w:noWrap w:val="0"/>
            <w:vAlign w:val="center"/>
          </w:tcPr>
          <w:p w14:paraId="57A355A9">
            <w:pPr>
              <w:widowControl/>
              <w:jc w:val="left"/>
              <w:rPr>
                <w:rFonts w:ascii="宋体" w:hAnsi="宋体" w:cs="Arial"/>
                <w:color w:val="auto"/>
                <w:kern w:val="0"/>
                <w:szCs w:val="21"/>
              </w:rPr>
            </w:pPr>
          </w:p>
        </w:tc>
        <w:tc>
          <w:tcPr>
            <w:tcW w:w="326" w:type="pct"/>
            <w:vMerge w:val="continue"/>
            <w:tcBorders>
              <w:top w:val="nil"/>
              <w:left w:val="single" w:color="000000" w:sz="4" w:space="0"/>
              <w:bottom w:val="single" w:color="000000" w:sz="4" w:space="0"/>
              <w:right w:val="single" w:color="000000" w:sz="4" w:space="0"/>
            </w:tcBorders>
            <w:noWrap w:val="0"/>
            <w:vAlign w:val="center"/>
          </w:tcPr>
          <w:p w14:paraId="684A4C75">
            <w:pPr>
              <w:widowControl/>
              <w:jc w:val="lef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ign w:val="center"/>
          </w:tcPr>
          <w:p w14:paraId="619C6C34">
            <w:pPr>
              <w:widowControl/>
              <w:jc w:val="center"/>
              <w:rPr>
                <w:rFonts w:ascii="宋体" w:hAnsi="宋体" w:cs="Arial"/>
                <w:color w:val="auto"/>
                <w:kern w:val="0"/>
                <w:szCs w:val="21"/>
              </w:rPr>
            </w:pPr>
            <w:r>
              <w:rPr>
                <w:rFonts w:hint="eastAsia" w:ascii="宋体" w:hAnsi="宋体" w:cs="Arial"/>
                <w:color w:val="auto"/>
                <w:kern w:val="0"/>
                <w:szCs w:val="21"/>
              </w:rPr>
              <w:t>人工费</w:t>
            </w:r>
          </w:p>
        </w:tc>
        <w:tc>
          <w:tcPr>
            <w:tcW w:w="444" w:type="pct"/>
            <w:gridSpan w:val="2"/>
            <w:tcBorders>
              <w:top w:val="single" w:color="000000" w:sz="4" w:space="0"/>
              <w:left w:val="nil"/>
              <w:bottom w:val="single" w:color="000000" w:sz="4" w:space="0"/>
              <w:right w:val="single" w:color="000000" w:sz="4" w:space="0"/>
            </w:tcBorders>
            <w:noWrap/>
            <w:vAlign w:val="center"/>
          </w:tcPr>
          <w:p w14:paraId="74085BF8">
            <w:pPr>
              <w:widowControl/>
              <w:jc w:val="center"/>
              <w:rPr>
                <w:rFonts w:ascii="宋体" w:hAnsi="宋体" w:cs="Arial"/>
                <w:color w:val="auto"/>
                <w:kern w:val="0"/>
                <w:szCs w:val="21"/>
              </w:rPr>
            </w:pPr>
            <w:r>
              <w:rPr>
                <w:rFonts w:hint="eastAsia" w:ascii="宋体" w:hAnsi="宋体" w:cs="Arial"/>
                <w:color w:val="auto"/>
                <w:kern w:val="0"/>
                <w:szCs w:val="21"/>
              </w:rPr>
              <w:t>材料费</w:t>
            </w:r>
          </w:p>
        </w:tc>
        <w:tc>
          <w:tcPr>
            <w:tcW w:w="490" w:type="pct"/>
            <w:gridSpan w:val="2"/>
            <w:tcBorders>
              <w:top w:val="single" w:color="000000" w:sz="4" w:space="0"/>
              <w:left w:val="nil"/>
              <w:bottom w:val="single" w:color="000000" w:sz="4" w:space="0"/>
              <w:right w:val="single" w:color="000000" w:sz="4" w:space="0"/>
            </w:tcBorders>
            <w:noWrap/>
            <w:vAlign w:val="center"/>
          </w:tcPr>
          <w:p w14:paraId="7872A3BA">
            <w:pPr>
              <w:widowControl/>
              <w:jc w:val="center"/>
              <w:rPr>
                <w:rFonts w:ascii="宋体" w:hAnsi="宋体" w:cs="Arial"/>
                <w:color w:val="auto"/>
                <w:kern w:val="0"/>
                <w:szCs w:val="21"/>
              </w:rPr>
            </w:pPr>
            <w:r>
              <w:rPr>
                <w:rFonts w:hint="eastAsia" w:ascii="宋体" w:hAnsi="宋体" w:cs="Arial"/>
                <w:color w:val="auto"/>
                <w:kern w:val="0"/>
                <w:szCs w:val="21"/>
              </w:rPr>
              <w:t>机械费</w:t>
            </w:r>
          </w:p>
        </w:tc>
        <w:tc>
          <w:tcPr>
            <w:tcW w:w="379" w:type="pct"/>
            <w:tcBorders>
              <w:top w:val="nil"/>
              <w:left w:val="nil"/>
              <w:bottom w:val="single" w:color="000000" w:sz="4" w:space="0"/>
              <w:right w:val="single" w:color="000000" w:sz="4" w:space="0"/>
            </w:tcBorders>
            <w:noWrap/>
            <w:vAlign w:val="center"/>
          </w:tcPr>
          <w:p w14:paraId="4866BFE5">
            <w:pPr>
              <w:widowControl/>
              <w:jc w:val="center"/>
              <w:rPr>
                <w:rFonts w:ascii="宋体" w:hAnsi="宋体" w:cs="Arial"/>
                <w:color w:val="auto"/>
                <w:kern w:val="0"/>
                <w:szCs w:val="21"/>
              </w:rPr>
            </w:pPr>
            <w:r>
              <w:rPr>
                <w:rFonts w:hint="eastAsia" w:ascii="宋体" w:hAnsi="宋体" w:cs="Arial"/>
                <w:color w:val="auto"/>
                <w:kern w:val="0"/>
                <w:szCs w:val="21"/>
              </w:rPr>
              <w:t>综合费</w:t>
            </w:r>
          </w:p>
        </w:tc>
        <w:tc>
          <w:tcPr>
            <w:tcW w:w="431" w:type="pct"/>
            <w:tcBorders>
              <w:top w:val="single" w:color="000000" w:sz="4" w:space="0"/>
              <w:left w:val="nil"/>
              <w:bottom w:val="single" w:color="000000" w:sz="4" w:space="0"/>
              <w:right w:val="single" w:color="000000" w:sz="4" w:space="0"/>
            </w:tcBorders>
            <w:noWrap/>
            <w:vAlign w:val="center"/>
          </w:tcPr>
          <w:p w14:paraId="68E07844">
            <w:pPr>
              <w:widowControl/>
              <w:jc w:val="center"/>
              <w:rPr>
                <w:rFonts w:ascii="宋体" w:hAnsi="宋体" w:cs="Arial"/>
                <w:color w:val="auto"/>
                <w:kern w:val="0"/>
                <w:szCs w:val="21"/>
              </w:rPr>
            </w:pPr>
            <w:r>
              <w:rPr>
                <w:rFonts w:hint="eastAsia" w:ascii="宋体" w:hAnsi="宋体" w:cs="Arial"/>
                <w:color w:val="auto"/>
                <w:kern w:val="0"/>
                <w:szCs w:val="21"/>
              </w:rPr>
              <w:t>人工费</w:t>
            </w:r>
          </w:p>
        </w:tc>
        <w:tc>
          <w:tcPr>
            <w:tcW w:w="441" w:type="pct"/>
            <w:gridSpan w:val="2"/>
            <w:tcBorders>
              <w:top w:val="single" w:color="000000" w:sz="4" w:space="0"/>
              <w:left w:val="nil"/>
              <w:bottom w:val="single" w:color="000000" w:sz="4" w:space="0"/>
              <w:right w:val="single" w:color="000000" w:sz="4" w:space="0"/>
            </w:tcBorders>
            <w:noWrap/>
            <w:vAlign w:val="center"/>
          </w:tcPr>
          <w:p w14:paraId="13F8B60A">
            <w:pPr>
              <w:widowControl/>
              <w:jc w:val="center"/>
              <w:rPr>
                <w:rFonts w:ascii="宋体" w:hAnsi="宋体" w:cs="Arial"/>
                <w:color w:val="auto"/>
                <w:kern w:val="0"/>
                <w:szCs w:val="21"/>
              </w:rPr>
            </w:pPr>
            <w:r>
              <w:rPr>
                <w:rFonts w:hint="eastAsia" w:ascii="宋体" w:hAnsi="宋体" w:cs="Arial"/>
                <w:color w:val="auto"/>
                <w:kern w:val="0"/>
                <w:szCs w:val="21"/>
              </w:rPr>
              <w:t>材料费</w:t>
            </w:r>
          </w:p>
        </w:tc>
        <w:tc>
          <w:tcPr>
            <w:tcW w:w="431" w:type="pct"/>
            <w:tcBorders>
              <w:top w:val="nil"/>
              <w:left w:val="nil"/>
              <w:bottom w:val="single" w:color="000000" w:sz="4" w:space="0"/>
              <w:right w:val="single" w:color="000000" w:sz="4" w:space="0"/>
            </w:tcBorders>
            <w:noWrap/>
            <w:vAlign w:val="center"/>
          </w:tcPr>
          <w:p w14:paraId="794BBD86">
            <w:pPr>
              <w:widowControl/>
              <w:jc w:val="center"/>
              <w:rPr>
                <w:rFonts w:ascii="宋体" w:hAnsi="宋体" w:cs="Arial"/>
                <w:color w:val="auto"/>
                <w:kern w:val="0"/>
                <w:szCs w:val="21"/>
              </w:rPr>
            </w:pPr>
            <w:r>
              <w:rPr>
                <w:rFonts w:hint="eastAsia" w:ascii="宋体" w:hAnsi="宋体" w:cs="Arial"/>
                <w:color w:val="auto"/>
                <w:kern w:val="0"/>
                <w:szCs w:val="21"/>
              </w:rPr>
              <w:t>机械费</w:t>
            </w:r>
          </w:p>
        </w:tc>
        <w:tc>
          <w:tcPr>
            <w:tcW w:w="431" w:type="pct"/>
            <w:tcBorders>
              <w:top w:val="nil"/>
              <w:left w:val="nil"/>
              <w:bottom w:val="single" w:color="000000" w:sz="4" w:space="0"/>
              <w:right w:val="single" w:color="000000" w:sz="8" w:space="0"/>
            </w:tcBorders>
            <w:noWrap/>
            <w:vAlign w:val="center"/>
          </w:tcPr>
          <w:p w14:paraId="23FCBCC2">
            <w:pPr>
              <w:widowControl/>
              <w:jc w:val="center"/>
              <w:rPr>
                <w:rFonts w:ascii="宋体" w:hAnsi="宋体" w:cs="Arial"/>
                <w:color w:val="auto"/>
                <w:kern w:val="0"/>
                <w:szCs w:val="21"/>
              </w:rPr>
            </w:pPr>
            <w:r>
              <w:rPr>
                <w:rFonts w:hint="eastAsia" w:ascii="宋体" w:hAnsi="宋体" w:cs="Arial"/>
                <w:color w:val="auto"/>
                <w:kern w:val="0"/>
                <w:szCs w:val="21"/>
              </w:rPr>
              <w:t>综合费</w:t>
            </w:r>
          </w:p>
        </w:tc>
      </w:tr>
      <w:tr w14:paraId="37ECF903">
        <w:tblPrEx>
          <w:tblCellMar>
            <w:top w:w="0" w:type="dxa"/>
            <w:left w:w="108" w:type="dxa"/>
            <w:bottom w:w="0" w:type="dxa"/>
            <w:right w:w="108" w:type="dxa"/>
          </w:tblCellMar>
        </w:tblPrEx>
        <w:trPr>
          <w:trHeight w:val="567" w:hRule="atLeast"/>
        </w:trPr>
        <w:tc>
          <w:tcPr>
            <w:tcW w:w="222" w:type="pct"/>
            <w:tcBorders>
              <w:top w:val="nil"/>
              <w:left w:val="single" w:color="000000" w:sz="8" w:space="0"/>
              <w:bottom w:val="single" w:color="000000" w:sz="4" w:space="0"/>
              <w:right w:val="single" w:color="000000" w:sz="4" w:space="0"/>
            </w:tcBorders>
            <w:noWrap w:val="0"/>
            <w:vAlign w:val="center"/>
          </w:tcPr>
          <w:p w14:paraId="64BB7791">
            <w:pPr>
              <w:widowControl/>
              <w:jc w:val="center"/>
              <w:rPr>
                <w:rFonts w:ascii="宋体" w:hAnsi="宋体" w:cs="Arial"/>
                <w:color w:val="auto"/>
                <w:kern w:val="0"/>
                <w:szCs w:val="21"/>
              </w:rPr>
            </w:pPr>
          </w:p>
        </w:tc>
        <w:tc>
          <w:tcPr>
            <w:tcW w:w="754" w:type="pct"/>
            <w:gridSpan w:val="2"/>
            <w:tcBorders>
              <w:top w:val="single" w:color="000000" w:sz="4" w:space="0"/>
              <w:left w:val="nil"/>
              <w:bottom w:val="single" w:color="000000" w:sz="4" w:space="0"/>
              <w:right w:val="single" w:color="000000" w:sz="4" w:space="0"/>
            </w:tcBorders>
            <w:noWrap w:val="0"/>
            <w:vAlign w:val="center"/>
          </w:tcPr>
          <w:p w14:paraId="7841B7EB">
            <w:pPr>
              <w:widowControl/>
              <w:jc w:val="left"/>
              <w:rPr>
                <w:rFonts w:ascii="宋体" w:hAnsi="宋体" w:cs="Arial"/>
                <w:color w:val="auto"/>
                <w:kern w:val="0"/>
                <w:szCs w:val="21"/>
              </w:rPr>
            </w:pPr>
          </w:p>
        </w:tc>
        <w:tc>
          <w:tcPr>
            <w:tcW w:w="222" w:type="pct"/>
            <w:tcBorders>
              <w:top w:val="nil"/>
              <w:left w:val="nil"/>
              <w:bottom w:val="single" w:color="000000" w:sz="4" w:space="0"/>
              <w:right w:val="single" w:color="000000" w:sz="4" w:space="0"/>
            </w:tcBorders>
            <w:noWrap w:val="0"/>
            <w:vAlign w:val="center"/>
          </w:tcPr>
          <w:p w14:paraId="58D0E4CC">
            <w:pPr>
              <w:widowControl/>
              <w:jc w:val="center"/>
              <w:rPr>
                <w:rFonts w:ascii="宋体" w:hAnsi="宋体" w:cs="Arial"/>
                <w:color w:val="auto"/>
                <w:kern w:val="0"/>
                <w:szCs w:val="21"/>
              </w:rPr>
            </w:pPr>
          </w:p>
        </w:tc>
        <w:tc>
          <w:tcPr>
            <w:tcW w:w="326" w:type="pct"/>
            <w:tcBorders>
              <w:top w:val="nil"/>
              <w:left w:val="nil"/>
              <w:bottom w:val="single" w:color="000000" w:sz="4" w:space="0"/>
              <w:right w:val="single" w:color="000000" w:sz="4" w:space="0"/>
            </w:tcBorders>
            <w:noWrap w:val="0"/>
            <w:vAlign w:val="center"/>
          </w:tcPr>
          <w:p w14:paraId="4CB2F605">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1DEE3FC3">
            <w:pPr>
              <w:widowControl/>
              <w:jc w:val="right"/>
              <w:rPr>
                <w:rFonts w:ascii="宋体" w:hAnsi="宋体" w:cs="Arial"/>
                <w:color w:val="auto"/>
                <w:kern w:val="0"/>
                <w:szCs w:val="21"/>
              </w:rPr>
            </w:pPr>
          </w:p>
        </w:tc>
        <w:tc>
          <w:tcPr>
            <w:tcW w:w="444" w:type="pct"/>
            <w:gridSpan w:val="2"/>
            <w:tcBorders>
              <w:top w:val="single" w:color="000000" w:sz="4" w:space="0"/>
              <w:left w:val="nil"/>
              <w:bottom w:val="single" w:color="000000" w:sz="4" w:space="0"/>
              <w:right w:val="single" w:color="000000" w:sz="4" w:space="0"/>
            </w:tcBorders>
            <w:noWrap w:val="0"/>
            <w:vAlign w:val="center"/>
          </w:tcPr>
          <w:p w14:paraId="2B72FFE1">
            <w:pPr>
              <w:widowControl/>
              <w:jc w:val="righ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266BC94B">
            <w:pPr>
              <w:widowControl/>
              <w:jc w:val="right"/>
              <w:rPr>
                <w:rFonts w:ascii="宋体" w:hAnsi="宋体" w:cs="Arial"/>
                <w:color w:val="auto"/>
                <w:kern w:val="0"/>
                <w:szCs w:val="21"/>
              </w:rPr>
            </w:pPr>
          </w:p>
        </w:tc>
        <w:tc>
          <w:tcPr>
            <w:tcW w:w="379" w:type="pct"/>
            <w:tcBorders>
              <w:top w:val="nil"/>
              <w:left w:val="nil"/>
              <w:bottom w:val="single" w:color="000000" w:sz="4" w:space="0"/>
              <w:right w:val="single" w:color="000000" w:sz="4" w:space="0"/>
            </w:tcBorders>
            <w:noWrap w:val="0"/>
            <w:vAlign w:val="center"/>
          </w:tcPr>
          <w:p w14:paraId="4C9B46EB">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34664EC1">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83670">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07E25DEB">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3CCF2409">
            <w:pPr>
              <w:widowControl/>
              <w:jc w:val="right"/>
              <w:rPr>
                <w:rFonts w:ascii="宋体" w:hAnsi="宋体" w:cs="Arial"/>
                <w:color w:val="auto"/>
                <w:kern w:val="0"/>
                <w:szCs w:val="21"/>
              </w:rPr>
            </w:pPr>
          </w:p>
        </w:tc>
      </w:tr>
      <w:tr w14:paraId="3AC0A357">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632B81BF">
            <w:pPr>
              <w:widowControl/>
              <w:jc w:val="center"/>
              <w:rPr>
                <w:rFonts w:ascii="宋体" w:hAnsi="宋体" w:cs="Arial"/>
                <w:color w:val="auto"/>
                <w:kern w:val="0"/>
                <w:szCs w:val="21"/>
              </w:rPr>
            </w:pPr>
            <w:r>
              <w:rPr>
                <w:rFonts w:hint="eastAsia" w:ascii="宋体" w:hAnsi="宋体" w:cs="Arial"/>
                <w:color w:val="auto"/>
                <w:kern w:val="0"/>
                <w:szCs w:val="21"/>
              </w:rPr>
              <w:t>人工单价</w:t>
            </w:r>
          </w:p>
        </w:tc>
        <w:tc>
          <w:tcPr>
            <w:tcW w:w="2292" w:type="pct"/>
            <w:gridSpan w:val="8"/>
            <w:tcBorders>
              <w:top w:val="single" w:color="000000" w:sz="4" w:space="0"/>
              <w:left w:val="nil"/>
              <w:bottom w:val="single" w:color="000000" w:sz="4" w:space="0"/>
              <w:right w:val="single" w:color="000000" w:sz="4" w:space="0"/>
            </w:tcBorders>
            <w:noWrap/>
            <w:vAlign w:val="center"/>
          </w:tcPr>
          <w:p w14:paraId="24D0AFBC">
            <w:pPr>
              <w:widowControl/>
              <w:jc w:val="center"/>
              <w:rPr>
                <w:rFonts w:ascii="宋体" w:hAnsi="宋体" w:cs="Arial"/>
                <w:color w:val="auto"/>
                <w:kern w:val="0"/>
                <w:szCs w:val="21"/>
              </w:rPr>
            </w:pPr>
            <w:r>
              <w:rPr>
                <w:rFonts w:hint="eastAsia" w:ascii="宋体" w:hAnsi="宋体" w:cs="Arial"/>
                <w:color w:val="auto"/>
                <w:kern w:val="0"/>
                <w:szCs w:val="21"/>
              </w:rPr>
              <w:t>小计</w:t>
            </w:r>
          </w:p>
        </w:tc>
        <w:tc>
          <w:tcPr>
            <w:tcW w:w="431" w:type="pct"/>
            <w:tcBorders>
              <w:top w:val="single" w:color="000000" w:sz="4" w:space="0"/>
              <w:left w:val="nil"/>
              <w:bottom w:val="single" w:color="000000" w:sz="4" w:space="0"/>
              <w:right w:val="single" w:color="000000" w:sz="4" w:space="0"/>
            </w:tcBorders>
            <w:noWrap w:val="0"/>
            <w:vAlign w:val="center"/>
          </w:tcPr>
          <w:p w14:paraId="5C50AAEB">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646E88A6">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74D60EB2">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0575C915">
            <w:pPr>
              <w:widowControl/>
              <w:jc w:val="right"/>
              <w:rPr>
                <w:rFonts w:ascii="宋体" w:hAnsi="宋体" w:cs="Arial"/>
                <w:color w:val="auto"/>
                <w:kern w:val="0"/>
                <w:szCs w:val="21"/>
              </w:rPr>
            </w:pPr>
          </w:p>
        </w:tc>
      </w:tr>
      <w:tr w14:paraId="33817681">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10687529">
            <w:pPr>
              <w:widowControl/>
              <w:jc w:val="center"/>
              <w:rPr>
                <w:rFonts w:ascii="宋体" w:hAnsi="宋体" w:cs="Arial"/>
                <w:color w:val="auto"/>
                <w:kern w:val="0"/>
                <w:szCs w:val="21"/>
              </w:rPr>
            </w:pPr>
            <w:r>
              <w:rPr>
                <w:rFonts w:hint="eastAsia" w:ascii="宋体" w:hAnsi="宋体" w:cs="Arial"/>
                <w:color w:val="auto"/>
                <w:kern w:val="0"/>
                <w:szCs w:val="21"/>
              </w:rPr>
              <w:t>（    ）元/工日</w:t>
            </w:r>
          </w:p>
        </w:tc>
        <w:tc>
          <w:tcPr>
            <w:tcW w:w="2292" w:type="pct"/>
            <w:gridSpan w:val="8"/>
            <w:tcBorders>
              <w:top w:val="single" w:color="000000" w:sz="4" w:space="0"/>
              <w:left w:val="nil"/>
              <w:bottom w:val="single" w:color="000000" w:sz="4" w:space="0"/>
              <w:right w:val="single" w:color="000000" w:sz="4" w:space="0"/>
            </w:tcBorders>
            <w:noWrap/>
            <w:vAlign w:val="center"/>
          </w:tcPr>
          <w:p w14:paraId="1F19FE50">
            <w:pPr>
              <w:widowControl/>
              <w:jc w:val="center"/>
              <w:rPr>
                <w:rFonts w:ascii="宋体" w:hAnsi="宋体" w:cs="Arial"/>
                <w:color w:val="auto"/>
                <w:kern w:val="0"/>
                <w:szCs w:val="21"/>
              </w:rPr>
            </w:pPr>
            <w:r>
              <w:rPr>
                <w:rFonts w:hint="eastAsia" w:ascii="宋体" w:hAnsi="宋体" w:cs="Arial"/>
                <w:color w:val="auto"/>
                <w:kern w:val="0"/>
                <w:szCs w:val="21"/>
              </w:rPr>
              <w:t>未计价材料费</w:t>
            </w:r>
          </w:p>
        </w:tc>
        <w:tc>
          <w:tcPr>
            <w:tcW w:w="1732" w:type="pct"/>
            <w:gridSpan w:val="5"/>
            <w:tcBorders>
              <w:top w:val="single" w:color="000000" w:sz="4" w:space="0"/>
              <w:left w:val="nil"/>
              <w:bottom w:val="single" w:color="000000" w:sz="4" w:space="0"/>
              <w:right w:val="single" w:color="000000" w:sz="8" w:space="0"/>
            </w:tcBorders>
            <w:noWrap w:val="0"/>
            <w:vAlign w:val="center"/>
          </w:tcPr>
          <w:p w14:paraId="3DB4CF80">
            <w:pPr>
              <w:widowControl/>
              <w:jc w:val="center"/>
              <w:rPr>
                <w:rFonts w:ascii="宋体" w:hAnsi="宋体" w:cs="Arial"/>
                <w:color w:val="auto"/>
                <w:kern w:val="0"/>
                <w:szCs w:val="21"/>
              </w:rPr>
            </w:pPr>
          </w:p>
        </w:tc>
      </w:tr>
      <w:tr w14:paraId="61CAF24D">
        <w:tblPrEx>
          <w:tblCellMar>
            <w:top w:w="0" w:type="dxa"/>
            <w:left w:w="108" w:type="dxa"/>
            <w:bottom w:w="0" w:type="dxa"/>
            <w:right w:w="108" w:type="dxa"/>
          </w:tblCellMar>
        </w:tblPrEx>
        <w:trPr>
          <w:trHeight w:val="567" w:hRule="atLeast"/>
        </w:trPr>
        <w:tc>
          <w:tcPr>
            <w:tcW w:w="3268" w:type="pct"/>
            <w:gridSpan w:val="11"/>
            <w:tcBorders>
              <w:top w:val="single" w:color="000000" w:sz="4" w:space="0"/>
              <w:left w:val="single" w:color="000000" w:sz="8" w:space="0"/>
              <w:bottom w:val="single" w:color="000000" w:sz="4" w:space="0"/>
              <w:right w:val="single" w:color="000000" w:sz="4" w:space="0"/>
            </w:tcBorders>
            <w:noWrap w:val="0"/>
            <w:vAlign w:val="center"/>
          </w:tcPr>
          <w:p w14:paraId="24969A63">
            <w:pPr>
              <w:widowControl/>
              <w:jc w:val="center"/>
              <w:rPr>
                <w:rFonts w:ascii="宋体" w:hAnsi="宋体" w:cs="Arial"/>
                <w:color w:val="auto"/>
                <w:kern w:val="0"/>
                <w:szCs w:val="21"/>
              </w:rPr>
            </w:pPr>
            <w:r>
              <w:rPr>
                <w:rFonts w:hint="eastAsia" w:ascii="宋体" w:hAnsi="宋体" w:cs="Arial"/>
                <w:color w:val="auto"/>
                <w:kern w:val="0"/>
                <w:szCs w:val="21"/>
              </w:rPr>
              <w:t>清单项目综合单价</w:t>
            </w:r>
          </w:p>
        </w:tc>
        <w:tc>
          <w:tcPr>
            <w:tcW w:w="1732" w:type="pct"/>
            <w:gridSpan w:val="5"/>
            <w:tcBorders>
              <w:top w:val="single" w:color="000000" w:sz="4" w:space="0"/>
              <w:left w:val="nil"/>
              <w:bottom w:val="single" w:color="000000" w:sz="4" w:space="0"/>
              <w:right w:val="single" w:color="000000" w:sz="8" w:space="0"/>
            </w:tcBorders>
            <w:noWrap w:val="0"/>
            <w:vAlign w:val="center"/>
          </w:tcPr>
          <w:p w14:paraId="1541C24C">
            <w:pPr>
              <w:widowControl/>
              <w:jc w:val="center"/>
              <w:rPr>
                <w:rFonts w:ascii="宋体" w:hAnsi="宋体" w:cs="Arial"/>
                <w:color w:val="auto"/>
                <w:kern w:val="0"/>
                <w:szCs w:val="21"/>
              </w:rPr>
            </w:pPr>
          </w:p>
        </w:tc>
      </w:tr>
      <w:tr w14:paraId="358BE94B">
        <w:tblPrEx>
          <w:tblCellMar>
            <w:top w:w="0" w:type="dxa"/>
            <w:left w:w="108" w:type="dxa"/>
            <w:bottom w:w="0" w:type="dxa"/>
            <w:right w:w="108" w:type="dxa"/>
          </w:tblCellMar>
        </w:tblPrEx>
        <w:trPr>
          <w:trHeight w:val="567" w:hRule="atLeast"/>
        </w:trPr>
        <w:tc>
          <w:tcPr>
            <w:tcW w:w="222" w:type="pct"/>
            <w:vMerge w:val="restart"/>
            <w:tcBorders>
              <w:top w:val="nil"/>
              <w:left w:val="single" w:color="000000" w:sz="8" w:space="0"/>
              <w:bottom w:val="single" w:color="000000" w:sz="8" w:space="0"/>
              <w:right w:val="single" w:color="000000" w:sz="4" w:space="0"/>
            </w:tcBorders>
            <w:noWrap w:val="0"/>
            <w:vAlign w:val="center"/>
          </w:tcPr>
          <w:p w14:paraId="5B55D301">
            <w:pPr>
              <w:widowControl/>
              <w:jc w:val="center"/>
              <w:rPr>
                <w:rFonts w:ascii="宋体" w:hAnsi="宋体" w:cs="Arial"/>
                <w:color w:val="auto"/>
                <w:kern w:val="0"/>
                <w:szCs w:val="21"/>
              </w:rPr>
            </w:pPr>
            <w:r>
              <w:rPr>
                <w:rFonts w:hint="eastAsia" w:ascii="宋体" w:hAnsi="宋体" w:cs="Arial"/>
                <w:color w:val="auto"/>
                <w:kern w:val="0"/>
                <w:szCs w:val="21"/>
              </w:rPr>
              <w:t>材料费明细</w:t>
            </w:r>
          </w:p>
        </w:tc>
        <w:tc>
          <w:tcPr>
            <w:tcW w:w="2058" w:type="pct"/>
            <w:gridSpan w:val="6"/>
            <w:tcBorders>
              <w:top w:val="single" w:color="000000" w:sz="4" w:space="0"/>
              <w:left w:val="nil"/>
              <w:bottom w:val="single" w:color="000000" w:sz="4" w:space="0"/>
              <w:right w:val="single" w:color="000000" w:sz="4" w:space="0"/>
            </w:tcBorders>
            <w:noWrap/>
            <w:vAlign w:val="center"/>
          </w:tcPr>
          <w:p w14:paraId="2F743327">
            <w:pPr>
              <w:widowControl/>
              <w:jc w:val="center"/>
              <w:rPr>
                <w:rFonts w:ascii="宋体" w:hAnsi="宋体" w:cs="Arial"/>
                <w:color w:val="auto"/>
                <w:kern w:val="0"/>
                <w:szCs w:val="21"/>
              </w:rPr>
            </w:pPr>
            <w:r>
              <w:rPr>
                <w:rFonts w:hint="eastAsia" w:ascii="宋体" w:hAnsi="宋体" w:cs="Arial"/>
                <w:color w:val="auto"/>
                <w:kern w:val="0"/>
                <w:szCs w:val="21"/>
              </w:rPr>
              <w:t>主要材料名称、规格、型号</w:t>
            </w:r>
          </w:p>
        </w:tc>
        <w:tc>
          <w:tcPr>
            <w:tcW w:w="490" w:type="pct"/>
            <w:gridSpan w:val="2"/>
            <w:tcBorders>
              <w:top w:val="single" w:color="000000" w:sz="4" w:space="0"/>
              <w:left w:val="nil"/>
              <w:bottom w:val="single" w:color="000000" w:sz="4" w:space="0"/>
              <w:right w:val="single" w:color="000000" w:sz="4" w:space="0"/>
            </w:tcBorders>
            <w:noWrap/>
            <w:vAlign w:val="center"/>
          </w:tcPr>
          <w:p w14:paraId="757F9172">
            <w:pPr>
              <w:widowControl/>
              <w:jc w:val="center"/>
              <w:rPr>
                <w:rFonts w:ascii="宋体" w:hAnsi="宋体" w:cs="Arial"/>
                <w:color w:val="auto"/>
                <w:kern w:val="0"/>
                <w:szCs w:val="21"/>
              </w:rPr>
            </w:pPr>
            <w:r>
              <w:rPr>
                <w:rFonts w:hint="eastAsia" w:ascii="宋体" w:hAnsi="宋体" w:cs="Arial"/>
                <w:color w:val="auto"/>
                <w:kern w:val="0"/>
                <w:szCs w:val="21"/>
              </w:rPr>
              <w:t>单位</w:t>
            </w:r>
          </w:p>
        </w:tc>
        <w:tc>
          <w:tcPr>
            <w:tcW w:w="497" w:type="pct"/>
            <w:gridSpan w:val="2"/>
            <w:tcBorders>
              <w:top w:val="single" w:color="000000" w:sz="4" w:space="0"/>
              <w:left w:val="nil"/>
              <w:bottom w:val="single" w:color="000000" w:sz="4" w:space="0"/>
              <w:right w:val="single" w:color="000000" w:sz="4" w:space="0"/>
            </w:tcBorders>
            <w:noWrap/>
            <w:vAlign w:val="center"/>
          </w:tcPr>
          <w:p w14:paraId="06C1105D">
            <w:pPr>
              <w:widowControl/>
              <w:jc w:val="center"/>
              <w:rPr>
                <w:rFonts w:ascii="宋体" w:hAnsi="宋体" w:cs="Arial"/>
                <w:color w:val="auto"/>
                <w:kern w:val="0"/>
                <w:szCs w:val="21"/>
              </w:rPr>
            </w:pPr>
            <w:r>
              <w:rPr>
                <w:rFonts w:hint="eastAsia" w:ascii="宋体" w:hAnsi="宋体" w:cs="Arial"/>
                <w:color w:val="auto"/>
                <w:kern w:val="0"/>
                <w:szCs w:val="21"/>
              </w:rPr>
              <w:t>数量</w:t>
            </w:r>
          </w:p>
        </w:tc>
        <w:tc>
          <w:tcPr>
            <w:tcW w:w="431" w:type="pct"/>
            <w:tcBorders>
              <w:top w:val="single" w:color="000000" w:sz="4" w:space="0"/>
              <w:left w:val="nil"/>
              <w:bottom w:val="single" w:color="000000" w:sz="4" w:space="0"/>
              <w:right w:val="single" w:color="000000" w:sz="4" w:space="0"/>
            </w:tcBorders>
            <w:noWrap w:val="0"/>
            <w:vAlign w:val="center"/>
          </w:tcPr>
          <w:p w14:paraId="3C8B7231">
            <w:pPr>
              <w:widowControl/>
              <w:jc w:val="center"/>
              <w:rPr>
                <w:rFonts w:ascii="宋体" w:hAnsi="宋体" w:cs="Arial"/>
                <w:color w:val="auto"/>
                <w:kern w:val="0"/>
                <w:szCs w:val="21"/>
              </w:rPr>
            </w:pPr>
            <w:r>
              <w:rPr>
                <w:rFonts w:hint="eastAsia" w:ascii="宋体" w:hAnsi="宋体" w:cs="Arial"/>
                <w:color w:val="auto"/>
                <w:kern w:val="0"/>
                <w:szCs w:val="21"/>
              </w:rPr>
              <w:t>单价（元）</w:t>
            </w:r>
          </w:p>
        </w:tc>
        <w:tc>
          <w:tcPr>
            <w:tcW w:w="441" w:type="pct"/>
            <w:gridSpan w:val="2"/>
            <w:tcBorders>
              <w:top w:val="single" w:color="000000" w:sz="4" w:space="0"/>
              <w:left w:val="nil"/>
              <w:bottom w:val="single" w:color="000000" w:sz="4" w:space="0"/>
              <w:right w:val="single" w:color="000000" w:sz="4" w:space="0"/>
            </w:tcBorders>
            <w:noWrap w:val="0"/>
            <w:vAlign w:val="center"/>
          </w:tcPr>
          <w:p w14:paraId="4155BF17">
            <w:pPr>
              <w:widowControl/>
              <w:jc w:val="center"/>
              <w:rPr>
                <w:rFonts w:ascii="宋体" w:hAnsi="宋体" w:cs="Arial"/>
                <w:color w:val="auto"/>
                <w:kern w:val="0"/>
                <w:szCs w:val="21"/>
              </w:rPr>
            </w:pPr>
            <w:r>
              <w:rPr>
                <w:rFonts w:hint="eastAsia" w:ascii="宋体" w:hAnsi="宋体" w:cs="Arial"/>
                <w:color w:val="auto"/>
                <w:kern w:val="0"/>
                <w:szCs w:val="21"/>
              </w:rPr>
              <w:t>合价（元）</w:t>
            </w:r>
          </w:p>
        </w:tc>
        <w:tc>
          <w:tcPr>
            <w:tcW w:w="431" w:type="pct"/>
            <w:tcBorders>
              <w:top w:val="nil"/>
              <w:left w:val="nil"/>
              <w:bottom w:val="single" w:color="000000" w:sz="4" w:space="0"/>
              <w:right w:val="single" w:color="000000" w:sz="4" w:space="0"/>
            </w:tcBorders>
            <w:noWrap w:val="0"/>
            <w:vAlign w:val="center"/>
          </w:tcPr>
          <w:p w14:paraId="19C13F6B">
            <w:pPr>
              <w:widowControl/>
              <w:jc w:val="center"/>
              <w:rPr>
                <w:rFonts w:ascii="宋体" w:hAnsi="宋体" w:cs="Arial"/>
                <w:color w:val="auto"/>
                <w:kern w:val="0"/>
                <w:szCs w:val="21"/>
              </w:rPr>
            </w:pPr>
            <w:r>
              <w:rPr>
                <w:rFonts w:hint="eastAsia" w:ascii="宋体" w:hAnsi="宋体" w:cs="Arial"/>
                <w:color w:val="auto"/>
                <w:kern w:val="0"/>
                <w:szCs w:val="21"/>
              </w:rPr>
              <w:t>暂估单价（元）</w:t>
            </w:r>
          </w:p>
        </w:tc>
        <w:tc>
          <w:tcPr>
            <w:tcW w:w="431" w:type="pct"/>
            <w:tcBorders>
              <w:top w:val="nil"/>
              <w:left w:val="nil"/>
              <w:bottom w:val="single" w:color="000000" w:sz="4" w:space="0"/>
              <w:right w:val="single" w:color="000000" w:sz="8" w:space="0"/>
            </w:tcBorders>
            <w:noWrap w:val="0"/>
            <w:vAlign w:val="center"/>
          </w:tcPr>
          <w:p w14:paraId="50AC96D6">
            <w:pPr>
              <w:widowControl/>
              <w:jc w:val="center"/>
              <w:rPr>
                <w:rFonts w:ascii="宋体" w:hAnsi="宋体" w:cs="Arial"/>
                <w:color w:val="auto"/>
                <w:kern w:val="0"/>
                <w:szCs w:val="21"/>
              </w:rPr>
            </w:pPr>
            <w:r>
              <w:rPr>
                <w:rFonts w:hint="eastAsia" w:ascii="宋体" w:hAnsi="宋体" w:cs="Arial"/>
                <w:color w:val="auto"/>
                <w:kern w:val="0"/>
                <w:szCs w:val="21"/>
              </w:rPr>
              <w:t>暂估合价（元）</w:t>
            </w:r>
          </w:p>
        </w:tc>
      </w:tr>
      <w:tr w14:paraId="03B889D7">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2F7B067">
            <w:pPr>
              <w:widowControl/>
              <w:jc w:val="left"/>
              <w:rPr>
                <w:rFonts w:ascii="宋体" w:hAnsi="宋体" w:cs="Arial"/>
                <w:color w:val="auto"/>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6DA9F78E">
            <w:pPr>
              <w:widowControl/>
              <w:jc w:val="lef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0F3EB5B1">
            <w:pPr>
              <w:widowControl/>
              <w:jc w:val="center"/>
              <w:rPr>
                <w:rFonts w:ascii="宋体" w:hAnsi="宋体" w:cs="Arial"/>
                <w:color w:val="auto"/>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6D9329C8">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00A171D9">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E9D7C">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337F32BC">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2B8C6379">
            <w:pPr>
              <w:widowControl/>
              <w:jc w:val="right"/>
              <w:rPr>
                <w:rFonts w:ascii="宋体" w:hAnsi="宋体" w:cs="Arial"/>
                <w:color w:val="auto"/>
                <w:kern w:val="0"/>
                <w:szCs w:val="21"/>
              </w:rPr>
            </w:pPr>
          </w:p>
        </w:tc>
      </w:tr>
      <w:tr w14:paraId="60BD8A30">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70FA17B">
            <w:pPr>
              <w:widowControl/>
              <w:jc w:val="left"/>
              <w:rPr>
                <w:rFonts w:ascii="宋体" w:hAnsi="宋体" w:cs="Arial"/>
                <w:color w:val="auto"/>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7FCB2593">
            <w:pPr>
              <w:widowControl/>
              <w:jc w:val="lef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5CAEDEB5">
            <w:pPr>
              <w:widowControl/>
              <w:jc w:val="center"/>
              <w:rPr>
                <w:rFonts w:ascii="宋体" w:hAnsi="宋体" w:cs="Arial"/>
                <w:color w:val="auto"/>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58F0283C">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6C41FD74">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7B290000">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62DCB069">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66D4DE65">
            <w:pPr>
              <w:widowControl/>
              <w:jc w:val="right"/>
              <w:rPr>
                <w:rFonts w:ascii="宋体" w:hAnsi="宋体" w:cs="Arial"/>
                <w:color w:val="auto"/>
                <w:kern w:val="0"/>
                <w:szCs w:val="21"/>
              </w:rPr>
            </w:pPr>
          </w:p>
        </w:tc>
      </w:tr>
      <w:tr w14:paraId="66616FF0">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215CC89F">
            <w:pPr>
              <w:widowControl/>
              <w:jc w:val="left"/>
              <w:rPr>
                <w:rFonts w:ascii="宋体" w:hAnsi="宋体" w:cs="Arial"/>
                <w:color w:val="auto"/>
                <w:kern w:val="0"/>
                <w:szCs w:val="21"/>
              </w:rPr>
            </w:pPr>
          </w:p>
        </w:tc>
        <w:tc>
          <w:tcPr>
            <w:tcW w:w="3045" w:type="pct"/>
            <w:gridSpan w:val="10"/>
            <w:tcBorders>
              <w:top w:val="single" w:color="000000" w:sz="4" w:space="0"/>
              <w:left w:val="nil"/>
              <w:bottom w:val="single" w:color="000000" w:sz="4" w:space="0"/>
              <w:right w:val="single" w:color="000000" w:sz="4" w:space="0"/>
            </w:tcBorders>
            <w:noWrap w:val="0"/>
            <w:vAlign w:val="center"/>
          </w:tcPr>
          <w:p w14:paraId="0968AEF7">
            <w:pPr>
              <w:widowControl/>
              <w:jc w:val="center"/>
              <w:rPr>
                <w:rFonts w:ascii="宋体" w:hAnsi="宋体" w:cs="Arial"/>
                <w:color w:val="auto"/>
                <w:kern w:val="0"/>
                <w:szCs w:val="21"/>
              </w:rPr>
            </w:pPr>
            <w:r>
              <w:rPr>
                <w:rFonts w:hint="eastAsia" w:ascii="宋体" w:hAnsi="宋体" w:cs="Arial"/>
                <w:color w:val="auto"/>
                <w:kern w:val="0"/>
                <w:szCs w:val="21"/>
              </w:rPr>
              <w:t>其他材料费</w:t>
            </w:r>
          </w:p>
        </w:tc>
        <w:tc>
          <w:tcPr>
            <w:tcW w:w="431" w:type="pct"/>
            <w:tcBorders>
              <w:top w:val="single" w:color="000000" w:sz="4" w:space="0"/>
              <w:left w:val="nil"/>
              <w:bottom w:val="single" w:color="000000" w:sz="4" w:space="0"/>
              <w:right w:val="single" w:color="000000" w:sz="4" w:space="0"/>
            </w:tcBorders>
            <w:noWrap/>
            <w:vAlign w:val="center"/>
          </w:tcPr>
          <w:p w14:paraId="6EC020A3">
            <w:pPr>
              <w:widowControl/>
              <w:jc w:val="center"/>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42AAD361">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ign w:val="center"/>
          </w:tcPr>
          <w:p w14:paraId="6FF6F671">
            <w:pPr>
              <w:widowControl/>
              <w:jc w:val="center"/>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60B752E1">
            <w:pPr>
              <w:widowControl/>
              <w:jc w:val="right"/>
              <w:rPr>
                <w:rFonts w:ascii="宋体" w:hAnsi="宋体" w:cs="Arial"/>
                <w:color w:val="auto"/>
                <w:kern w:val="0"/>
                <w:szCs w:val="21"/>
              </w:rPr>
            </w:pPr>
          </w:p>
        </w:tc>
      </w:tr>
      <w:tr w14:paraId="5E5646BD">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D017778">
            <w:pPr>
              <w:widowControl/>
              <w:jc w:val="left"/>
              <w:rPr>
                <w:rFonts w:ascii="宋体" w:hAnsi="宋体" w:cs="Arial"/>
                <w:color w:val="auto"/>
                <w:kern w:val="0"/>
                <w:szCs w:val="21"/>
              </w:rPr>
            </w:pPr>
          </w:p>
        </w:tc>
        <w:tc>
          <w:tcPr>
            <w:tcW w:w="3045" w:type="pct"/>
            <w:gridSpan w:val="10"/>
            <w:tcBorders>
              <w:top w:val="single" w:color="000000" w:sz="4" w:space="0"/>
              <w:left w:val="nil"/>
              <w:bottom w:val="single" w:color="000000" w:sz="8" w:space="0"/>
              <w:right w:val="single" w:color="000000" w:sz="4" w:space="0"/>
            </w:tcBorders>
            <w:noWrap w:val="0"/>
            <w:vAlign w:val="center"/>
          </w:tcPr>
          <w:p w14:paraId="240B5C82">
            <w:pPr>
              <w:widowControl/>
              <w:jc w:val="center"/>
              <w:rPr>
                <w:rFonts w:ascii="宋体" w:hAnsi="宋体" w:cs="Arial"/>
                <w:color w:val="auto"/>
                <w:kern w:val="0"/>
                <w:szCs w:val="21"/>
              </w:rPr>
            </w:pPr>
            <w:r>
              <w:rPr>
                <w:rFonts w:hint="eastAsia" w:ascii="宋体" w:hAnsi="宋体" w:cs="Arial"/>
                <w:color w:val="auto"/>
                <w:kern w:val="0"/>
                <w:szCs w:val="21"/>
              </w:rPr>
              <w:t>材料费小计</w:t>
            </w:r>
          </w:p>
        </w:tc>
        <w:tc>
          <w:tcPr>
            <w:tcW w:w="431" w:type="pct"/>
            <w:tcBorders>
              <w:top w:val="single" w:color="000000" w:sz="4" w:space="0"/>
              <w:left w:val="nil"/>
              <w:bottom w:val="single" w:color="000000" w:sz="8" w:space="0"/>
              <w:right w:val="single" w:color="000000" w:sz="4" w:space="0"/>
            </w:tcBorders>
            <w:noWrap/>
            <w:vAlign w:val="center"/>
          </w:tcPr>
          <w:p w14:paraId="5967F675">
            <w:pPr>
              <w:widowControl/>
              <w:jc w:val="center"/>
              <w:rPr>
                <w:rFonts w:ascii="宋体" w:hAnsi="宋体" w:cs="Arial"/>
                <w:color w:val="auto"/>
                <w:kern w:val="0"/>
                <w:szCs w:val="21"/>
              </w:rPr>
            </w:pPr>
          </w:p>
        </w:tc>
        <w:tc>
          <w:tcPr>
            <w:tcW w:w="441" w:type="pct"/>
            <w:gridSpan w:val="2"/>
            <w:tcBorders>
              <w:top w:val="single" w:color="000000" w:sz="4" w:space="0"/>
              <w:left w:val="nil"/>
              <w:bottom w:val="single" w:color="000000" w:sz="8" w:space="0"/>
              <w:right w:val="single" w:color="000000" w:sz="4" w:space="0"/>
            </w:tcBorders>
            <w:noWrap w:val="0"/>
            <w:vAlign w:val="center"/>
          </w:tcPr>
          <w:p w14:paraId="1BFD5F36">
            <w:pPr>
              <w:widowControl/>
              <w:jc w:val="right"/>
              <w:rPr>
                <w:rFonts w:ascii="宋体" w:hAnsi="宋体" w:cs="Arial"/>
                <w:color w:val="auto"/>
                <w:kern w:val="0"/>
                <w:szCs w:val="21"/>
              </w:rPr>
            </w:pPr>
          </w:p>
        </w:tc>
        <w:tc>
          <w:tcPr>
            <w:tcW w:w="431" w:type="pct"/>
            <w:tcBorders>
              <w:top w:val="nil"/>
              <w:left w:val="nil"/>
              <w:bottom w:val="single" w:color="000000" w:sz="8" w:space="0"/>
              <w:right w:val="single" w:color="000000" w:sz="4" w:space="0"/>
            </w:tcBorders>
            <w:noWrap/>
            <w:vAlign w:val="center"/>
          </w:tcPr>
          <w:p w14:paraId="7E1E5A60">
            <w:pPr>
              <w:widowControl/>
              <w:jc w:val="center"/>
              <w:rPr>
                <w:rFonts w:ascii="宋体" w:hAnsi="宋体" w:cs="Arial"/>
                <w:color w:val="auto"/>
                <w:kern w:val="0"/>
                <w:szCs w:val="21"/>
              </w:rPr>
            </w:pPr>
          </w:p>
        </w:tc>
        <w:tc>
          <w:tcPr>
            <w:tcW w:w="431" w:type="pct"/>
            <w:tcBorders>
              <w:top w:val="nil"/>
              <w:left w:val="nil"/>
              <w:bottom w:val="single" w:color="000000" w:sz="8" w:space="0"/>
              <w:right w:val="single" w:color="000000" w:sz="8" w:space="0"/>
            </w:tcBorders>
            <w:noWrap w:val="0"/>
            <w:vAlign w:val="center"/>
          </w:tcPr>
          <w:p w14:paraId="7BF3C1FD">
            <w:pPr>
              <w:widowControl/>
              <w:jc w:val="right"/>
              <w:rPr>
                <w:rFonts w:ascii="宋体" w:hAnsi="宋体" w:cs="Arial"/>
                <w:color w:val="auto"/>
                <w:kern w:val="0"/>
                <w:szCs w:val="21"/>
              </w:rPr>
            </w:pPr>
          </w:p>
        </w:tc>
      </w:tr>
    </w:tbl>
    <w:p w14:paraId="4F5AF743">
      <w:pPr>
        <w:spacing w:before="48" w:beforeLines="20" w:after="48" w:afterLines="20" w:line="540" w:lineRule="exact"/>
        <w:ind w:left="-21" w:leftChars="-10" w:firstLine="1"/>
        <w:jc w:val="center"/>
        <w:outlineLvl w:val="2"/>
        <w:rPr>
          <w:rFonts w:hint="eastAsia" w:ascii="宋体" w:hAnsi="宋体"/>
          <w:color w:val="auto"/>
          <w:sz w:val="28"/>
          <w:szCs w:val="28"/>
        </w:rPr>
      </w:pPr>
      <w:r>
        <w:rPr>
          <w:rFonts w:ascii="宋体" w:hAnsi="宋体"/>
          <w:color w:val="auto"/>
          <w:szCs w:val="21"/>
        </w:rPr>
        <w:br w:type="page"/>
      </w:r>
      <w:bookmarkStart w:id="487" w:name="_Toc460227129"/>
      <w:bookmarkStart w:id="488" w:name="_Toc460660244"/>
      <w:r>
        <w:rPr>
          <w:rFonts w:hint="eastAsia" w:ascii="宋体" w:hAnsi="宋体"/>
          <w:color w:val="auto"/>
          <w:sz w:val="28"/>
          <w:szCs w:val="28"/>
        </w:rPr>
        <w:t>（七）</w:t>
      </w:r>
      <w:bookmarkEnd w:id="487"/>
      <w:bookmarkEnd w:id="488"/>
      <w:r>
        <w:rPr>
          <w:rFonts w:hint="eastAsia" w:ascii="宋体" w:hAnsi="宋体"/>
          <w:color w:val="auto"/>
          <w:sz w:val="28"/>
          <w:szCs w:val="28"/>
        </w:rPr>
        <w:t>措施项目清单与计价表</w:t>
      </w:r>
    </w:p>
    <w:p w14:paraId="3E19C1D8">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763"/>
        <w:gridCol w:w="1767"/>
        <w:gridCol w:w="2308"/>
        <w:gridCol w:w="1545"/>
        <w:gridCol w:w="1248"/>
        <w:gridCol w:w="1544"/>
      </w:tblGrid>
      <w:tr w14:paraId="15F10C79">
        <w:tblPrEx>
          <w:tblCellMar>
            <w:top w:w="0" w:type="dxa"/>
            <w:left w:w="108" w:type="dxa"/>
            <w:bottom w:w="0" w:type="dxa"/>
            <w:right w:w="108" w:type="dxa"/>
          </w:tblCellMar>
        </w:tblPrEx>
        <w:trPr>
          <w:trHeight w:val="690" w:hRule="atLeast"/>
        </w:trPr>
        <w:tc>
          <w:tcPr>
            <w:tcW w:w="41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9274B9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963" w:type="pct"/>
            <w:tcBorders>
              <w:top w:val="single" w:color="000000" w:sz="8" w:space="0"/>
              <w:left w:val="nil"/>
              <w:bottom w:val="single" w:color="000000" w:sz="4" w:space="0"/>
              <w:right w:val="single" w:color="000000" w:sz="4" w:space="0"/>
            </w:tcBorders>
            <w:shd w:val="clear" w:color="FFFFFF" w:fill="FFFFFF"/>
            <w:noWrap w:val="0"/>
            <w:vAlign w:val="center"/>
          </w:tcPr>
          <w:p w14:paraId="2134AE7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项目编码</w:t>
            </w:r>
          </w:p>
        </w:tc>
        <w:tc>
          <w:tcPr>
            <w:tcW w:w="1258" w:type="pct"/>
            <w:tcBorders>
              <w:top w:val="single" w:color="000000" w:sz="8" w:space="0"/>
              <w:left w:val="nil"/>
              <w:bottom w:val="single" w:color="000000" w:sz="4" w:space="0"/>
              <w:right w:val="single" w:color="000000" w:sz="4" w:space="0"/>
            </w:tcBorders>
            <w:shd w:val="clear" w:color="FFFFFF" w:fill="FFFFFF"/>
            <w:noWrap w:val="0"/>
            <w:vAlign w:val="center"/>
          </w:tcPr>
          <w:p w14:paraId="54CDACC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842" w:type="pct"/>
            <w:tcBorders>
              <w:top w:val="single" w:color="000000" w:sz="8" w:space="0"/>
              <w:left w:val="nil"/>
              <w:bottom w:val="single" w:color="000000" w:sz="4" w:space="0"/>
              <w:right w:val="single" w:color="000000" w:sz="4" w:space="0"/>
            </w:tcBorders>
            <w:shd w:val="clear" w:color="FFFFFF" w:fill="FFFFFF"/>
            <w:noWrap w:val="0"/>
            <w:vAlign w:val="center"/>
          </w:tcPr>
          <w:p w14:paraId="103266E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6C73300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841" w:type="pct"/>
            <w:tcBorders>
              <w:top w:val="single" w:color="000000" w:sz="8" w:space="0"/>
              <w:left w:val="nil"/>
              <w:bottom w:val="single" w:color="000000" w:sz="4" w:space="0"/>
              <w:right w:val="single" w:color="000000" w:sz="8" w:space="0"/>
            </w:tcBorders>
            <w:shd w:val="clear" w:color="FFFFFF" w:fill="FFFFFF"/>
            <w:noWrap w:val="0"/>
            <w:vAlign w:val="center"/>
          </w:tcPr>
          <w:p w14:paraId="317664D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75BAC9E2">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1CAACCD6">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14916FAA">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6DF78688">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66188AC5">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55BC89DC">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4B8F542D">
            <w:pPr>
              <w:widowControl/>
              <w:jc w:val="right"/>
              <w:rPr>
                <w:rFonts w:ascii="宋体" w:hAnsi="宋体" w:cs="Arial"/>
                <w:color w:val="auto"/>
                <w:kern w:val="0"/>
                <w:szCs w:val="21"/>
              </w:rPr>
            </w:pPr>
          </w:p>
        </w:tc>
      </w:tr>
      <w:tr w14:paraId="6D692226">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0EFF2BE8">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5B3FC969">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522AF075">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58B6A46C">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94A3F0F">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6670365D">
            <w:pPr>
              <w:widowControl/>
              <w:jc w:val="right"/>
              <w:rPr>
                <w:rFonts w:ascii="宋体" w:hAnsi="宋体" w:cs="Arial"/>
                <w:color w:val="auto"/>
                <w:kern w:val="0"/>
                <w:szCs w:val="21"/>
              </w:rPr>
            </w:pPr>
          </w:p>
        </w:tc>
      </w:tr>
      <w:tr w14:paraId="0E806443">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353213AA">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73FFFD6F">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343D516C">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40C70E38">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761D5712">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2527C39D">
            <w:pPr>
              <w:widowControl/>
              <w:jc w:val="right"/>
              <w:rPr>
                <w:rFonts w:ascii="宋体" w:hAnsi="宋体" w:cs="Arial"/>
                <w:color w:val="auto"/>
                <w:kern w:val="0"/>
                <w:szCs w:val="21"/>
              </w:rPr>
            </w:pPr>
          </w:p>
        </w:tc>
      </w:tr>
      <w:tr w14:paraId="25BE0861">
        <w:tblPrEx>
          <w:tblCellMar>
            <w:top w:w="0" w:type="dxa"/>
            <w:left w:w="108" w:type="dxa"/>
            <w:bottom w:w="0" w:type="dxa"/>
            <w:right w:w="108" w:type="dxa"/>
          </w:tblCellMar>
        </w:tblPrEx>
        <w:trPr>
          <w:trHeight w:val="680" w:hRule="atLeast"/>
        </w:trPr>
        <w:tc>
          <w:tcPr>
            <w:tcW w:w="4159" w:type="pct"/>
            <w:gridSpan w:val="5"/>
            <w:tcBorders>
              <w:top w:val="single" w:color="000000" w:sz="4" w:space="0"/>
              <w:left w:val="single" w:color="000000" w:sz="8" w:space="0"/>
              <w:bottom w:val="single" w:color="000000" w:sz="8" w:space="0"/>
              <w:right w:val="single" w:color="000000" w:sz="4" w:space="0"/>
            </w:tcBorders>
            <w:noWrap w:val="0"/>
            <w:vAlign w:val="center"/>
          </w:tcPr>
          <w:p w14:paraId="50EB19C4">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841" w:type="pct"/>
            <w:tcBorders>
              <w:top w:val="nil"/>
              <w:left w:val="nil"/>
              <w:bottom w:val="single" w:color="000000" w:sz="8" w:space="0"/>
              <w:right w:val="single" w:color="000000" w:sz="8" w:space="0"/>
            </w:tcBorders>
            <w:noWrap w:val="0"/>
            <w:vAlign w:val="center"/>
          </w:tcPr>
          <w:p w14:paraId="67319547">
            <w:pPr>
              <w:widowControl/>
              <w:jc w:val="right"/>
              <w:rPr>
                <w:rFonts w:ascii="宋体" w:hAnsi="宋体" w:cs="Arial"/>
                <w:color w:val="auto"/>
                <w:kern w:val="0"/>
                <w:szCs w:val="21"/>
              </w:rPr>
            </w:pPr>
          </w:p>
        </w:tc>
      </w:tr>
    </w:tbl>
    <w:p w14:paraId="01311E8D">
      <w:pPr>
        <w:jc w:val="center"/>
        <w:rPr>
          <w:rFonts w:hint="eastAsia" w:ascii="宋体" w:hAnsi="宋体"/>
          <w:color w:val="auto"/>
          <w:sz w:val="32"/>
          <w:szCs w:val="32"/>
        </w:rPr>
      </w:pPr>
      <w:bookmarkStart w:id="489" w:name="_Toc460227130"/>
      <w:bookmarkStart w:id="490" w:name="_Toc460660245"/>
    </w:p>
    <w:p w14:paraId="5400E8E8">
      <w:pPr>
        <w:jc w:val="center"/>
        <w:outlineLvl w:val="2"/>
        <w:rPr>
          <w:rFonts w:hint="eastAsia" w:ascii="宋体" w:hAnsi="宋体"/>
          <w:color w:val="auto"/>
          <w:sz w:val="28"/>
          <w:szCs w:val="28"/>
        </w:rPr>
      </w:pPr>
      <w:r>
        <w:rPr>
          <w:rFonts w:hint="eastAsia" w:ascii="宋体" w:hAnsi="宋体"/>
          <w:color w:val="auto"/>
          <w:sz w:val="28"/>
          <w:szCs w:val="28"/>
        </w:rPr>
        <w:t>（八）</w:t>
      </w:r>
      <w:bookmarkEnd w:id="489"/>
      <w:bookmarkEnd w:id="490"/>
      <w:r>
        <w:rPr>
          <w:rFonts w:hint="eastAsia" w:ascii="宋体" w:hAnsi="宋体"/>
          <w:color w:val="auto"/>
          <w:sz w:val="28"/>
          <w:szCs w:val="28"/>
        </w:rPr>
        <w:t>不可竞争项目清单与计价表</w:t>
      </w:r>
    </w:p>
    <w:p w14:paraId="1D7AD9CE">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800"/>
        <w:gridCol w:w="1582"/>
        <w:gridCol w:w="2363"/>
        <w:gridCol w:w="1582"/>
        <w:gridCol w:w="1248"/>
        <w:gridCol w:w="1600"/>
      </w:tblGrid>
      <w:tr w14:paraId="4E9B3170">
        <w:tblPrEx>
          <w:tblCellMar>
            <w:top w:w="0" w:type="dxa"/>
            <w:left w:w="108" w:type="dxa"/>
            <w:bottom w:w="0" w:type="dxa"/>
            <w:right w:w="108" w:type="dxa"/>
          </w:tblCellMar>
        </w:tblPrEx>
        <w:trPr>
          <w:trHeight w:val="69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38FA66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0B0DFCC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项目编码</w:t>
            </w:r>
          </w:p>
        </w:tc>
        <w:tc>
          <w:tcPr>
            <w:tcW w:w="1288" w:type="pct"/>
            <w:tcBorders>
              <w:top w:val="single" w:color="000000" w:sz="8" w:space="0"/>
              <w:left w:val="nil"/>
              <w:bottom w:val="single" w:color="000000" w:sz="4" w:space="0"/>
              <w:right w:val="single" w:color="000000" w:sz="4" w:space="0"/>
            </w:tcBorders>
            <w:shd w:val="clear" w:color="FFFFFF" w:fill="FFFFFF"/>
            <w:noWrap w:val="0"/>
            <w:vAlign w:val="center"/>
          </w:tcPr>
          <w:p w14:paraId="44E306A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747D0A8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26F5F89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872" w:type="pct"/>
            <w:tcBorders>
              <w:top w:val="single" w:color="000000" w:sz="8" w:space="0"/>
              <w:left w:val="nil"/>
              <w:bottom w:val="single" w:color="000000" w:sz="4" w:space="0"/>
              <w:right w:val="single" w:color="000000" w:sz="8" w:space="0"/>
            </w:tcBorders>
            <w:shd w:val="clear" w:color="FFFFFF" w:fill="FFFFFF"/>
            <w:noWrap w:val="0"/>
            <w:vAlign w:val="center"/>
          </w:tcPr>
          <w:p w14:paraId="751E33F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6A3E1A49">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F516A00">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5C24A78B">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5CA2D407">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0F34181B">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1B82E5">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7BC88D69">
            <w:pPr>
              <w:widowControl/>
              <w:jc w:val="right"/>
              <w:rPr>
                <w:rFonts w:ascii="宋体" w:hAnsi="宋体" w:cs="Arial"/>
                <w:color w:val="auto"/>
                <w:kern w:val="0"/>
                <w:szCs w:val="21"/>
              </w:rPr>
            </w:pPr>
          </w:p>
        </w:tc>
      </w:tr>
      <w:tr w14:paraId="0EFCDD26">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A4932F6">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36EBDB95">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AB5B6DC">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F4E3D98">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EB0914">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4B1374C4">
            <w:pPr>
              <w:widowControl/>
              <w:jc w:val="right"/>
              <w:rPr>
                <w:rFonts w:ascii="宋体" w:hAnsi="宋体" w:cs="Arial"/>
                <w:color w:val="auto"/>
                <w:kern w:val="0"/>
                <w:szCs w:val="21"/>
              </w:rPr>
            </w:pPr>
          </w:p>
        </w:tc>
      </w:tr>
      <w:tr w14:paraId="5031265E">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57ADB289">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50B63E87">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18631C5A">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6EFBF5C5">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8C86EE0">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4A0D4862">
            <w:pPr>
              <w:widowControl/>
              <w:jc w:val="right"/>
              <w:rPr>
                <w:rFonts w:ascii="宋体" w:hAnsi="宋体" w:cs="Arial"/>
                <w:color w:val="auto"/>
                <w:kern w:val="0"/>
                <w:szCs w:val="21"/>
              </w:rPr>
            </w:pPr>
          </w:p>
        </w:tc>
      </w:tr>
      <w:tr w14:paraId="5BD1139D">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2B5356AA">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0C80F339">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5240E2B">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A74C1BF">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6BD0028">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115B1D48">
            <w:pPr>
              <w:widowControl/>
              <w:jc w:val="right"/>
              <w:rPr>
                <w:rFonts w:ascii="宋体" w:hAnsi="宋体" w:cs="Arial"/>
                <w:color w:val="auto"/>
                <w:kern w:val="0"/>
                <w:szCs w:val="21"/>
              </w:rPr>
            </w:pPr>
          </w:p>
        </w:tc>
      </w:tr>
      <w:tr w14:paraId="398EF8F2">
        <w:tblPrEx>
          <w:tblCellMar>
            <w:top w:w="0" w:type="dxa"/>
            <w:left w:w="108" w:type="dxa"/>
            <w:bottom w:w="0" w:type="dxa"/>
            <w:right w:w="108" w:type="dxa"/>
          </w:tblCellMar>
        </w:tblPrEx>
        <w:trPr>
          <w:trHeight w:val="680" w:hRule="atLeast"/>
        </w:trPr>
        <w:tc>
          <w:tcPr>
            <w:tcW w:w="4128" w:type="pct"/>
            <w:gridSpan w:val="5"/>
            <w:tcBorders>
              <w:top w:val="single" w:color="000000" w:sz="4" w:space="0"/>
              <w:left w:val="single" w:color="000000" w:sz="8" w:space="0"/>
              <w:bottom w:val="single" w:color="000000" w:sz="8" w:space="0"/>
              <w:right w:val="single" w:color="000000" w:sz="4" w:space="0"/>
            </w:tcBorders>
            <w:noWrap w:val="0"/>
            <w:vAlign w:val="center"/>
          </w:tcPr>
          <w:p w14:paraId="270050C8">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872" w:type="pct"/>
            <w:tcBorders>
              <w:top w:val="nil"/>
              <w:left w:val="nil"/>
              <w:bottom w:val="single" w:color="000000" w:sz="8" w:space="0"/>
              <w:right w:val="single" w:color="000000" w:sz="8" w:space="0"/>
            </w:tcBorders>
            <w:noWrap w:val="0"/>
            <w:vAlign w:val="center"/>
          </w:tcPr>
          <w:p w14:paraId="2887FE60">
            <w:pPr>
              <w:widowControl/>
              <w:jc w:val="right"/>
              <w:rPr>
                <w:rFonts w:ascii="宋体" w:hAnsi="宋体" w:cs="Arial"/>
                <w:color w:val="auto"/>
                <w:kern w:val="0"/>
                <w:szCs w:val="21"/>
              </w:rPr>
            </w:pPr>
          </w:p>
        </w:tc>
      </w:tr>
    </w:tbl>
    <w:p w14:paraId="6B47EC3E">
      <w:pPr>
        <w:jc w:val="center"/>
        <w:outlineLvl w:val="2"/>
        <w:rPr>
          <w:rFonts w:hint="eastAsia" w:ascii="宋体" w:hAnsi="宋体"/>
          <w:color w:val="auto"/>
          <w:sz w:val="28"/>
          <w:szCs w:val="28"/>
        </w:rPr>
      </w:pPr>
      <w:bookmarkStart w:id="491" w:name="_Toc460227131"/>
      <w:bookmarkStart w:id="492" w:name="_Toc460660246"/>
      <w:r>
        <w:rPr>
          <w:rFonts w:ascii="宋体" w:hAnsi="宋体"/>
          <w:color w:val="auto"/>
          <w:sz w:val="28"/>
          <w:szCs w:val="28"/>
        </w:rPr>
        <w:br w:type="page"/>
      </w:r>
      <w:r>
        <w:rPr>
          <w:rFonts w:hint="eastAsia" w:ascii="宋体" w:hAnsi="宋体"/>
          <w:color w:val="auto"/>
          <w:sz w:val="28"/>
          <w:szCs w:val="28"/>
        </w:rPr>
        <w:t>（九）</w:t>
      </w:r>
      <w:bookmarkEnd w:id="491"/>
      <w:bookmarkEnd w:id="492"/>
      <w:r>
        <w:rPr>
          <w:rFonts w:hint="eastAsia" w:ascii="宋体" w:hAnsi="宋体"/>
          <w:color w:val="auto"/>
          <w:sz w:val="28"/>
          <w:szCs w:val="28"/>
        </w:rPr>
        <w:t>其他项目清单与计价汇总表</w:t>
      </w:r>
    </w:p>
    <w:p w14:paraId="77065D4A">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1663"/>
        <w:gridCol w:w="4167"/>
        <w:gridCol w:w="3345"/>
      </w:tblGrid>
      <w:tr w14:paraId="21A52760">
        <w:tblPrEx>
          <w:tblCellMar>
            <w:top w:w="0" w:type="dxa"/>
            <w:left w:w="108" w:type="dxa"/>
            <w:bottom w:w="0" w:type="dxa"/>
            <w:right w:w="108" w:type="dxa"/>
          </w:tblCellMar>
        </w:tblPrEx>
        <w:trPr>
          <w:trHeight w:val="690" w:hRule="atLeast"/>
        </w:trPr>
        <w:tc>
          <w:tcPr>
            <w:tcW w:w="9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3309AF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2271" w:type="pct"/>
            <w:tcBorders>
              <w:top w:val="single" w:color="000000" w:sz="8" w:space="0"/>
              <w:left w:val="nil"/>
              <w:bottom w:val="single" w:color="000000" w:sz="4" w:space="0"/>
              <w:right w:val="single" w:color="000000" w:sz="4" w:space="0"/>
            </w:tcBorders>
            <w:shd w:val="clear" w:color="FFFFFF" w:fill="FFFFFF"/>
            <w:noWrap w:val="0"/>
            <w:vAlign w:val="center"/>
          </w:tcPr>
          <w:p w14:paraId="23C86F3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1823" w:type="pct"/>
            <w:tcBorders>
              <w:top w:val="single" w:color="000000" w:sz="8" w:space="0"/>
              <w:left w:val="nil"/>
              <w:bottom w:val="single" w:color="000000" w:sz="4" w:space="0"/>
              <w:right w:val="single" w:color="000000" w:sz="8" w:space="0"/>
            </w:tcBorders>
            <w:shd w:val="clear" w:color="FFFFFF" w:fill="FFFFFF"/>
            <w:noWrap w:val="0"/>
            <w:vAlign w:val="center"/>
          </w:tcPr>
          <w:p w14:paraId="3140978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75AFE2B6">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4E4595E2">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2DE5EC22">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301F0283">
            <w:pPr>
              <w:widowControl/>
              <w:jc w:val="right"/>
              <w:rPr>
                <w:rFonts w:ascii="宋体" w:hAnsi="宋体" w:cs="Arial"/>
                <w:color w:val="auto"/>
                <w:kern w:val="0"/>
                <w:szCs w:val="21"/>
              </w:rPr>
            </w:pPr>
            <w:r>
              <w:rPr>
                <w:rFonts w:hint="eastAsia" w:ascii="宋体" w:hAnsi="宋体" w:cs="Arial"/>
                <w:color w:val="auto"/>
                <w:kern w:val="0"/>
                <w:szCs w:val="21"/>
              </w:rPr>
              <w:t>　</w:t>
            </w:r>
          </w:p>
        </w:tc>
      </w:tr>
      <w:tr w14:paraId="0B83FD02">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3C9D944E">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567681C1">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1AD5ECFC">
            <w:pPr>
              <w:widowControl/>
              <w:jc w:val="right"/>
              <w:rPr>
                <w:rFonts w:ascii="宋体" w:hAnsi="宋体" w:cs="Arial"/>
                <w:color w:val="auto"/>
                <w:kern w:val="0"/>
                <w:szCs w:val="21"/>
              </w:rPr>
            </w:pPr>
            <w:r>
              <w:rPr>
                <w:rFonts w:hint="eastAsia" w:ascii="宋体" w:hAnsi="宋体" w:cs="Arial"/>
                <w:color w:val="auto"/>
                <w:kern w:val="0"/>
                <w:szCs w:val="21"/>
              </w:rPr>
              <w:t>　</w:t>
            </w:r>
          </w:p>
        </w:tc>
      </w:tr>
      <w:tr w14:paraId="63C5AEB2">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229A384F">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18BCFBE4">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22E91EF2">
            <w:pPr>
              <w:widowControl/>
              <w:jc w:val="right"/>
              <w:rPr>
                <w:rFonts w:ascii="宋体" w:hAnsi="宋体" w:cs="Arial"/>
                <w:color w:val="auto"/>
                <w:kern w:val="0"/>
                <w:szCs w:val="21"/>
              </w:rPr>
            </w:pPr>
            <w:r>
              <w:rPr>
                <w:rFonts w:hint="eastAsia" w:ascii="宋体" w:hAnsi="宋体" w:cs="Arial"/>
                <w:color w:val="auto"/>
                <w:kern w:val="0"/>
                <w:szCs w:val="21"/>
              </w:rPr>
              <w:t>　</w:t>
            </w:r>
          </w:p>
        </w:tc>
      </w:tr>
      <w:tr w14:paraId="0D978A33">
        <w:tblPrEx>
          <w:tblCellMar>
            <w:top w:w="0" w:type="dxa"/>
            <w:left w:w="108" w:type="dxa"/>
            <w:bottom w:w="0" w:type="dxa"/>
            <w:right w:w="108" w:type="dxa"/>
          </w:tblCellMar>
        </w:tblPrEx>
        <w:trPr>
          <w:trHeight w:val="680" w:hRule="atLeast"/>
        </w:trPr>
        <w:tc>
          <w:tcPr>
            <w:tcW w:w="3177" w:type="pct"/>
            <w:gridSpan w:val="2"/>
            <w:tcBorders>
              <w:top w:val="single" w:color="000000" w:sz="4" w:space="0"/>
              <w:left w:val="single" w:color="000000" w:sz="8" w:space="0"/>
              <w:bottom w:val="single" w:color="000000" w:sz="8" w:space="0"/>
              <w:right w:val="single" w:color="000000" w:sz="4" w:space="0"/>
            </w:tcBorders>
            <w:noWrap w:val="0"/>
            <w:vAlign w:val="center"/>
          </w:tcPr>
          <w:p w14:paraId="5C3020AE">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823" w:type="pct"/>
            <w:tcBorders>
              <w:top w:val="single" w:color="000000" w:sz="4" w:space="0"/>
              <w:left w:val="nil"/>
              <w:bottom w:val="single" w:color="000000" w:sz="8" w:space="0"/>
              <w:right w:val="single" w:color="000000" w:sz="8" w:space="0"/>
            </w:tcBorders>
            <w:noWrap w:val="0"/>
            <w:vAlign w:val="center"/>
          </w:tcPr>
          <w:p w14:paraId="19E63823">
            <w:pPr>
              <w:widowControl/>
              <w:jc w:val="right"/>
              <w:rPr>
                <w:rFonts w:ascii="宋体" w:hAnsi="宋体" w:cs="Arial"/>
                <w:color w:val="auto"/>
                <w:kern w:val="0"/>
                <w:szCs w:val="21"/>
              </w:rPr>
            </w:pPr>
          </w:p>
        </w:tc>
      </w:tr>
    </w:tbl>
    <w:p w14:paraId="2B683399">
      <w:pPr>
        <w:jc w:val="center"/>
        <w:rPr>
          <w:rFonts w:hint="eastAsia" w:ascii="宋体" w:hAnsi="宋体"/>
          <w:color w:val="auto"/>
          <w:sz w:val="28"/>
          <w:szCs w:val="28"/>
        </w:rPr>
      </w:pPr>
      <w:bookmarkStart w:id="493" w:name="_Toc460660247"/>
      <w:bookmarkStart w:id="494" w:name="_Toc460227132"/>
      <w:bookmarkStart w:id="495" w:name="_Toc535241136"/>
    </w:p>
    <w:p w14:paraId="0AAA014B">
      <w:pPr>
        <w:jc w:val="center"/>
        <w:outlineLvl w:val="2"/>
        <w:rPr>
          <w:rFonts w:ascii="宋体" w:hAnsi="宋体"/>
          <w:color w:val="auto"/>
          <w:sz w:val="28"/>
          <w:szCs w:val="28"/>
        </w:rPr>
      </w:pPr>
      <w:r>
        <w:rPr>
          <w:rFonts w:hint="eastAsia" w:ascii="宋体" w:hAnsi="宋体"/>
          <w:color w:val="auto"/>
          <w:sz w:val="28"/>
          <w:szCs w:val="28"/>
        </w:rPr>
        <w:t>（十）</w:t>
      </w:r>
      <w:bookmarkEnd w:id="493"/>
      <w:bookmarkEnd w:id="494"/>
      <w:r>
        <w:rPr>
          <w:rFonts w:hint="eastAsia" w:ascii="宋体" w:hAnsi="宋体"/>
          <w:color w:val="auto"/>
          <w:sz w:val="28"/>
          <w:szCs w:val="28"/>
        </w:rPr>
        <w:t>暂列金额明细表</w:t>
      </w:r>
      <w:bookmarkEnd w:id="495"/>
    </w:p>
    <w:p w14:paraId="0A8EBB1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936"/>
        <w:gridCol w:w="1620"/>
        <w:gridCol w:w="1620"/>
        <w:gridCol w:w="1387"/>
        <w:gridCol w:w="936"/>
        <w:gridCol w:w="938"/>
        <w:gridCol w:w="1738"/>
      </w:tblGrid>
      <w:tr w14:paraId="6B1AE906">
        <w:tblPrEx>
          <w:tblCellMar>
            <w:top w:w="0" w:type="dxa"/>
            <w:left w:w="108" w:type="dxa"/>
            <w:bottom w:w="0" w:type="dxa"/>
            <w:right w:w="108" w:type="dxa"/>
          </w:tblCellMar>
        </w:tblPrEx>
        <w:trPr>
          <w:trHeight w:val="690"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7974FE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766"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1590EA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756" w:type="pct"/>
            <w:tcBorders>
              <w:top w:val="single" w:color="000000" w:sz="8" w:space="0"/>
              <w:left w:val="nil"/>
              <w:bottom w:val="single" w:color="000000" w:sz="4" w:space="0"/>
              <w:right w:val="single" w:color="000000" w:sz="4" w:space="0"/>
            </w:tcBorders>
            <w:shd w:val="clear" w:color="FFFFFF" w:fill="FFFFFF"/>
            <w:noWrap w:val="0"/>
            <w:vAlign w:val="center"/>
          </w:tcPr>
          <w:p w14:paraId="625B78A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1021"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5A08CFE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暂定金额(元)</w:t>
            </w:r>
          </w:p>
        </w:tc>
        <w:tc>
          <w:tcPr>
            <w:tcW w:w="947" w:type="pct"/>
            <w:tcBorders>
              <w:top w:val="single" w:color="000000" w:sz="8" w:space="0"/>
              <w:left w:val="nil"/>
              <w:bottom w:val="single" w:color="000000" w:sz="4" w:space="0"/>
              <w:right w:val="single" w:color="000000" w:sz="8" w:space="0"/>
            </w:tcBorders>
            <w:shd w:val="clear" w:color="FFFFFF" w:fill="FFFFFF"/>
            <w:noWrap w:val="0"/>
            <w:vAlign w:val="center"/>
          </w:tcPr>
          <w:p w14:paraId="67D7D3C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17D3DC1D">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42A7C8D">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0DB9813A">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4479DEC4">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12FB90EC">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6F645871">
            <w:pPr>
              <w:widowControl/>
              <w:jc w:val="left"/>
              <w:rPr>
                <w:rFonts w:ascii="宋体" w:hAnsi="宋体" w:cs="Arial"/>
                <w:color w:val="auto"/>
                <w:kern w:val="0"/>
                <w:szCs w:val="21"/>
              </w:rPr>
            </w:pPr>
          </w:p>
        </w:tc>
      </w:tr>
      <w:tr w14:paraId="02A5AFAF">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3ECA2EC">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3677104D">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092BF395">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67C65F59">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41F84160">
            <w:pPr>
              <w:widowControl/>
              <w:jc w:val="left"/>
              <w:rPr>
                <w:rFonts w:ascii="宋体" w:hAnsi="宋体" w:cs="Arial"/>
                <w:color w:val="auto"/>
                <w:kern w:val="0"/>
                <w:szCs w:val="21"/>
              </w:rPr>
            </w:pPr>
          </w:p>
        </w:tc>
      </w:tr>
      <w:tr w14:paraId="15155F1E">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1DB96307">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7265575D">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281C4AE0">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2933A18F">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1DA5CAA7">
            <w:pPr>
              <w:widowControl/>
              <w:jc w:val="left"/>
              <w:rPr>
                <w:rFonts w:ascii="宋体" w:hAnsi="宋体" w:cs="Arial"/>
                <w:color w:val="auto"/>
                <w:kern w:val="0"/>
                <w:szCs w:val="21"/>
              </w:rPr>
            </w:pPr>
          </w:p>
        </w:tc>
      </w:tr>
      <w:tr w14:paraId="5CA246C3">
        <w:tblPrEx>
          <w:tblCellMar>
            <w:top w:w="0" w:type="dxa"/>
            <w:left w:w="108" w:type="dxa"/>
            <w:bottom w:w="0" w:type="dxa"/>
            <w:right w:w="108" w:type="dxa"/>
          </w:tblCellMar>
        </w:tblPrEx>
        <w:trPr>
          <w:trHeight w:val="680" w:hRule="atLeast"/>
        </w:trPr>
        <w:tc>
          <w:tcPr>
            <w:tcW w:w="3032" w:type="pct"/>
            <w:gridSpan w:val="4"/>
            <w:tcBorders>
              <w:top w:val="nil"/>
              <w:left w:val="single" w:color="000000" w:sz="8" w:space="0"/>
              <w:bottom w:val="single" w:color="000000" w:sz="4" w:space="0"/>
              <w:right w:val="single" w:color="000000" w:sz="4" w:space="0"/>
            </w:tcBorders>
            <w:noWrap w:val="0"/>
            <w:vAlign w:val="center"/>
          </w:tcPr>
          <w:p w14:paraId="5FB7EC76">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021" w:type="pct"/>
            <w:gridSpan w:val="2"/>
            <w:tcBorders>
              <w:top w:val="single" w:color="000000" w:sz="4" w:space="0"/>
              <w:left w:val="nil"/>
              <w:bottom w:val="single" w:color="000000" w:sz="4" w:space="0"/>
              <w:right w:val="single" w:color="000000" w:sz="4" w:space="0"/>
            </w:tcBorders>
            <w:noWrap w:val="0"/>
            <w:vAlign w:val="center"/>
          </w:tcPr>
          <w:p w14:paraId="7B7FF11F">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2FB083C0">
            <w:pPr>
              <w:widowControl/>
              <w:jc w:val="left"/>
              <w:rPr>
                <w:rFonts w:ascii="宋体" w:hAnsi="宋体" w:cs="Arial"/>
                <w:color w:val="auto"/>
                <w:kern w:val="0"/>
                <w:szCs w:val="21"/>
              </w:rPr>
            </w:pPr>
          </w:p>
        </w:tc>
      </w:tr>
      <w:tr w14:paraId="5F18405D">
        <w:tblPrEx>
          <w:tblCellMar>
            <w:top w:w="0" w:type="dxa"/>
            <w:left w:w="108" w:type="dxa"/>
            <w:bottom w:w="0" w:type="dxa"/>
            <w:right w:w="108" w:type="dxa"/>
          </w:tblCellMar>
        </w:tblPrEx>
        <w:trPr>
          <w:trHeight w:val="15" w:hRule="atLeast"/>
        </w:trPr>
        <w:tc>
          <w:tcPr>
            <w:tcW w:w="510" w:type="pct"/>
            <w:tcBorders>
              <w:top w:val="nil"/>
              <w:left w:val="nil"/>
              <w:bottom w:val="nil"/>
              <w:right w:val="nil"/>
            </w:tcBorders>
            <w:noWrap/>
            <w:vAlign w:val="top"/>
          </w:tcPr>
          <w:p w14:paraId="2F0C2A25">
            <w:pPr>
              <w:widowControl/>
              <w:jc w:val="left"/>
              <w:rPr>
                <w:rFonts w:ascii="Arial" w:hAnsi="Arial" w:cs="Arial"/>
                <w:color w:val="auto"/>
                <w:kern w:val="0"/>
                <w:sz w:val="20"/>
                <w:szCs w:val="20"/>
              </w:rPr>
            </w:pPr>
          </w:p>
        </w:tc>
        <w:tc>
          <w:tcPr>
            <w:tcW w:w="883" w:type="pct"/>
            <w:tcBorders>
              <w:top w:val="nil"/>
              <w:left w:val="nil"/>
              <w:bottom w:val="nil"/>
              <w:right w:val="nil"/>
            </w:tcBorders>
            <w:noWrap/>
            <w:vAlign w:val="top"/>
          </w:tcPr>
          <w:p w14:paraId="7C84ABD5">
            <w:pPr>
              <w:widowControl/>
              <w:jc w:val="left"/>
              <w:rPr>
                <w:rFonts w:ascii="Arial" w:hAnsi="Arial" w:cs="Arial"/>
                <w:color w:val="auto"/>
                <w:kern w:val="0"/>
                <w:sz w:val="20"/>
                <w:szCs w:val="20"/>
              </w:rPr>
            </w:pPr>
          </w:p>
        </w:tc>
        <w:tc>
          <w:tcPr>
            <w:tcW w:w="883" w:type="pct"/>
            <w:tcBorders>
              <w:top w:val="nil"/>
              <w:left w:val="nil"/>
              <w:bottom w:val="nil"/>
              <w:right w:val="nil"/>
            </w:tcBorders>
            <w:noWrap/>
            <w:vAlign w:val="top"/>
          </w:tcPr>
          <w:p w14:paraId="0DC4BFF8">
            <w:pPr>
              <w:widowControl/>
              <w:jc w:val="left"/>
              <w:rPr>
                <w:rFonts w:ascii="Arial" w:hAnsi="Arial" w:cs="Arial"/>
                <w:color w:val="auto"/>
                <w:kern w:val="0"/>
                <w:sz w:val="20"/>
                <w:szCs w:val="20"/>
              </w:rPr>
            </w:pPr>
          </w:p>
        </w:tc>
        <w:tc>
          <w:tcPr>
            <w:tcW w:w="756" w:type="pct"/>
            <w:tcBorders>
              <w:top w:val="nil"/>
              <w:left w:val="nil"/>
              <w:bottom w:val="nil"/>
              <w:right w:val="nil"/>
            </w:tcBorders>
            <w:noWrap/>
            <w:vAlign w:val="top"/>
          </w:tcPr>
          <w:p w14:paraId="02F59788">
            <w:pPr>
              <w:widowControl/>
              <w:jc w:val="left"/>
              <w:rPr>
                <w:rFonts w:ascii="Arial" w:hAnsi="Arial" w:cs="Arial"/>
                <w:color w:val="auto"/>
                <w:kern w:val="0"/>
                <w:sz w:val="20"/>
                <w:szCs w:val="20"/>
              </w:rPr>
            </w:pPr>
          </w:p>
        </w:tc>
        <w:tc>
          <w:tcPr>
            <w:tcW w:w="510" w:type="pct"/>
            <w:tcBorders>
              <w:top w:val="nil"/>
              <w:left w:val="nil"/>
              <w:bottom w:val="nil"/>
              <w:right w:val="nil"/>
            </w:tcBorders>
            <w:noWrap/>
            <w:vAlign w:val="top"/>
          </w:tcPr>
          <w:p w14:paraId="78602E28">
            <w:pPr>
              <w:widowControl/>
              <w:jc w:val="left"/>
              <w:rPr>
                <w:rFonts w:ascii="Arial" w:hAnsi="Arial" w:cs="Arial"/>
                <w:color w:val="auto"/>
                <w:kern w:val="0"/>
                <w:sz w:val="20"/>
                <w:szCs w:val="20"/>
              </w:rPr>
            </w:pPr>
          </w:p>
        </w:tc>
        <w:tc>
          <w:tcPr>
            <w:tcW w:w="511" w:type="pct"/>
            <w:tcBorders>
              <w:top w:val="nil"/>
              <w:left w:val="nil"/>
              <w:bottom w:val="nil"/>
              <w:right w:val="nil"/>
            </w:tcBorders>
            <w:noWrap/>
            <w:vAlign w:val="top"/>
          </w:tcPr>
          <w:p w14:paraId="37745966">
            <w:pPr>
              <w:widowControl/>
              <w:jc w:val="left"/>
              <w:rPr>
                <w:rFonts w:ascii="Arial" w:hAnsi="Arial" w:cs="Arial"/>
                <w:color w:val="auto"/>
                <w:kern w:val="0"/>
                <w:sz w:val="20"/>
                <w:szCs w:val="20"/>
              </w:rPr>
            </w:pPr>
          </w:p>
        </w:tc>
        <w:tc>
          <w:tcPr>
            <w:tcW w:w="947" w:type="pct"/>
            <w:tcBorders>
              <w:top w:val="nil"/>
              <w:left w:val="nil"/>
              <w:bottom w:val="nil"/>
              <w:right w:val="nil"/>
            </w:tcBorders>
            <w:noWrap/>
            <w:vAlign w:val="top"/>
          </w:tcPr>
          <w:p w14:paraId="721D05EC">
            <w:pPr>
              <w:widowControl/>
              <w:jc w:val="left"/>
              <w:rPr>
                <w:rFonts w:ascii="Arial" w:hAnsi="Arial" w:cs="Arial"/>
                <w:color w:val="auto"/>
                <w:kern w:val="0"/>
                <w:sz w:val="20"/>
                <w:szCs w:val="20"/>
              </w:rPr>
            </w:pPr>
          </w:p>
        </w:tc>
      </w:tr>
    </w:tbl>
    <w:p w14:paraId="5F16CDE2">
      <w:pPr>
        <w:spacing w:before="48" w:beforeLines="20" w:after="48" w:afterLines="20" w:line="540" w:lineRule="exact"/>
        <w:rPr>
          <w:rFonts w:hint="eastAsia" w:ascii="宋体" w:hAnsi="宋体"/>
          <w:b/>
          <w:color w:val="auto"/>
          <w:sz w:val="24"/>
          <w:szCs w:val="22"/>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661FFCA1">
      <w:pPr>
        <w:jc w:val="center"/>
        <w:outlineLvl w:val="2"/>
        <w:rPr>
          <w:rFonts w:hint="eastAsia"/>
          <w:color w:val="auto"/>
          <w:sz w:val="28"/>
          <w:szCs w:val="28"/>
        </w:rPr>
      </w:pPr>
      <w:bookmarkStart w:id="496" w:name="_Toc460660248"/>
      <w:bookmarkStart w:id="497" w:name="_Toc171581372"/>
      <w:bookmarkStart w:id="498" w:name="_Toc171581552"/>
      <w:bookmarkStart w:id="499" w:name="_Toc460227133"/>
      <w:bookmarkStart w:id="500" w:name="_Toc44996377"/>
      <w:bookmarkStart w:id="501" w:name="_Toc17215715"/>
      <w:bookmarkStart w:id="502" w:name="_Toc171741995"/>
      <w:bookmarkStart w:id="503" w:name="_Toc535241137"/>
      <w:r>
        <w:rPr>
          <w:rFonts w:hint="eastAsia"/>
          <w:color w:val="auto"/>
          <w:sz w:val="28"/>
          <w:szCs w:val="28"/>
        </w:rPr>
        <w:t>（十一）</w:t>
      </w:r>
      <w:bookmarkEnd w:id="496"/>
      <w:bookmarkEnd w:id="497"/>
      <w:bookmarkEnd w:id="498"/>
      <w:bookmarkEnd w:id="499"/>
      <w:bookmarkEnd w:id="500"/>
      <w:bookmarkEnd w:id="501"/>
      <w:bookmarkEnd w:id="502"/>
      <w:r>
        <w:rPr>
          <w:rFonts w:hint="eastAsia"/>
          <w:color w:val="auto"/>
          <w:sz w:val="28"/>
          <w:szCs w:val="28"/>
        </w:rPr>
        <w:t>专业工程暂估价计价表</w:t>
      </w:r>
      <w:bookmarkEnd w:id="503"/>
    </w:p>
    <w:p w14:paraId="12B35279">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969"/>
        <w:gridCol w:w="2867"/>
        <w:gridCol w:w="2383"/>
        <w:gridCol w:w="1918"/>
        <w:gridCol w:w="1434"/>
      </w:tblGrid>
      <w:tr w14:paraId="659F2F90">
        <w:tblPrEx>
          <w:tblCellMar>
            <w:top w:w="0" w:type="dxa"/>
            <w:left w:w="108" w:type="dxa"/>
            <w:bottom w:w="0" w:type="dxa"/>
            <w:right w:w="108" w:type="dxa"/>
          </w:tblCellMar>
        </w:tblPrEx>
        <w:trPr>
          <w:trHeight w:val="690" w:hRule="atLeast"/>
        </w:trPr>
        <w:tc>
          <w:tcPr>
            <w:tcW w:w="5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7F9A2E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498" w:type="pct"/>
            <w:tcBorders>
              <w:top w:val="single" w:color="000000" w:sz="8" w:space="0"/>
              <w:left w:val="nil"/>
              <w:bottom w:val="single" w:color="000000" w:sz="4" w:space="0"/>
              <w:right w:val="single" w:color="000000" w:sz="4" w:space="0"/>
            </w:tcBorders>
            <w:shd w:val="clear" w:color="FFFFFF" w:fill="FFFFFF"/>
            <w:noWrap w:val="0"/>
            <w:vAlign w:val="center"/>
          </w:tcPr>
          <w:p w14:paraId="0CB7685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工程名称</w:t>
            </w:r>
          </w:p>
        </w:tc>
        <w:tc>
          <w:tcPr>
            <w:tcW w:w="1245" w:type="pct"/>
            <w:tcBorders>
              <w:top w:val="single" w:color="000000" w:sz="8" w:space="0"/>
              <w:left w:val="nil"/>
              <w:bottom w:val="single" w:color="000000" w:sz="4" w:space="0"/>
              <w:right w:val="single" w:color="000000" w:sz="4" w:space="0"/>
            </w:tcBorders>
            <w:shd w:val="clear" w:color="FFFFFF" w:fill="FFFFFF"/>
            <w:noWrap w:val="0"/>
            <w:vAlign w:val="center"/>
          </w:tcPr>
          <w:p w14:paraId="594535F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工程内容</w:t>
            </w:r>
          </w:p>
        </w:tc>
        <w:tc>
          <w:tcPr>
            <w:tcW w:w="1002" w:type="pct"/>
            <w:tcBorders>
              <w:top w:val="single" w:color="000000" w:sz="8" w:space="0"/>
              <w:left w:val="nil"/>
              <w:bottom w:val="single" w:color="000000" w:sz="4" w:space="0"/>
              <w:right w:val="single" w:color="000000" w:sz="4" w:space="0"/>
            </w:tcBorders>
            <w:shd w:val="clear" w:color="FFFFFF" w:fill="FFFFFF"/>
            <w:noWrap w:val="0"/>
            <w:vAlign w:val="center"/>
          </w:tcPr>
          <w:p w14:paraId="3245F6B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749" w:type="pct"/>
            <w:tcBorders>
              <w:top w:val="single" w:color="000000" w:sz="8" w:space="0"/>
              <w:left w:val="nil"/>
              <w:bottom w:val="single" w:color="000000" w:sz="4" w:space="0"/>
              <w:right w:val="single" w:color="000000" w:sz="8" w:space="0"/>
            </w:tcBorders>
            <w:shd w:val="clear" w:color="FFFFFF" w:fill="FFFFFF"/>
            <w:noWrap w:val="0"/>
            <w:vAlign w:val="center"/>
          </w:tcPr>
          <w:p w14:paraId="3D52BA7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5700603E">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1CD32084">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FCE4287">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033F472E">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4B018A2">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156A9FC5">
            <w:pPr>
              <w:widowControl/>
              <w:jc w:val="left"/>
              <w:rPr>
                <w:rFonts w:ascii="宋体" w:hAnsi="宋体" w:cs="Arial"/>
                <w:color w:val="auto"/>
                <w:kern w:val="0"/>
                <w:szCs w:val="21"/>
              </w:rPr>
            </w:pPr>
          </w:p>
        </w:tc>
      </w:tr>
      <w:tr w14:paraId="66F6FF3A">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AD4790D">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4733DEAF">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73F56D71">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1E424C82">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2C83310F">
            <w:pPr>
              <w:widowControl/>
              <w:jc w:val="left"/>
              <w:rPr>
                <w:rFonts w:ascii="宋体" w:hAnsi="宋体" w:cs="Arial"/>
                <w:color w:val="auto"/>
                <w:kern w:val="0"/>
                <w:szCs w:val="21"/>
              </w:rPr>
            </w:pPr>
          </w:p>
        </w:tc>
      </w:tr>
      <w:tr w14:paraId="61E3EBA6">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94B762A">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2968FED">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196AF13C">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EA5A80F">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1F41AC0C">
            <w:pPr>
              <w:widowControl/>
              <w:jc w:val="left"/>
              <w:rPr>
                <w:rFonts w:ascii="宋体" w:hAnsi="宋体" w:cs="Arial"/>
                <w:color w:val="auto"/>
                <w:kern w:val="0"/>
                <w:szCs w:val="21"/>
              </w:rPr>
            </w:pPr>
          </w:p>
        </w:tc>
      </w:tr>
      <w:tr w14:paraId="00B03DDC">
        <w:tblPrEx>
          <w:tblCellMar>
            <w:top w:w="0" w:type="dxa"/>
            <w:left w:w="108" w:type="dxa"/>
            <w:bottom w:w="0" w:type="dxa"/>
            <w:right w:w="108" w:type="dxa"/>
          </w:tblCellMar>
        </w:tblPrEx>
        <w:trPr>
          <w:trHeight w:val="680" w:hRule="atLeast"/>
        </w:trPr>
        <w:tc>
          <w:tcPr>
            <w:tcW w:w="3249" w:type="pct"/>
            <w:gridSpan w:val="3"/>
            <w:tcBorders>
              <w:top w:val="nil"/>
              <w:left w:val="single" w:color="000000" w:sz="8" w:space="0"/>
              <w:bottom w:val="single" w:color="000000" w:sz="4" w:space="0"/>
              <w:right w:val="single" w:color="000000" w:sz="4" w:space="0"/>
            </w:tcBorders>
            <w:noWrap w:val="0"/>
            <w:vAlign w:val="center"/>
          </w:tcPr>
          <w:p w14:paraId="41B0C8CB">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002" w:type="pct"/>
            <w:tcBorders>
              <w:top w:val="single" w:color="000000" w:sz="4" w:space="0"/>
              <w:left w:val="nil"/>
              <w:bottom w:val="single" w:color="000000" w:sz="4" w:space="0"/>
              <w:right w:val="single" w:color="000000" w:sz="4" w:space="0"/>
            </w:tcBorders>
            <w:noWrap w:val="0"/>
            <w:vAlign w:val="center"/>
          </w:tcPr>
          <w:p w14:paraId="22E3D5E0">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043319C8">
            <w:pPr>
              <w:widowControl/>
              <w:jc w:val="left"/>
              <w:rPr>
                <w:rFonts w:ascii="宋体" w:hAnsi="宋体" w:cs="Arial"/>
                <w:color w:val="auto"/>
                <w:kern w:val="0"/>
                <w:szCs w:val="21"/>
              </w:rPr>
            </w:pPr>
          </w:p>
        </w:tc>
      </w:tr>
    </w:tbl>
    <w:p w14:paraId="2C282D37">
      <w:pPr>
        <w:jc w:val="center"/>
        <w:outlineLvl w:val="2"/>
        <w:rPr>
          <w:rFonts w:hint="eastAsia"/>
          <w:color w:val="auto"/>
          <w:sz w:val="28"/>
          <w:szCs w:val="28"/>
        </w:rPr>
      </w:pPr>
      <w:bookmarkStart w:id="504" w:name="_Toc171581553"/>
      <w:bookmarkStart w:id="505" w:name="_Toc171581373"/>
      <w:bookmarkStart w:id="506" w:name="_Toc171741996"/>
      <w:bookmarkStart w:id="507" w:name="_Toc460660249"/>
      <w:bookmarkStart w:id="508" w:name="_Toc460227134"/>
      <w:bookmarkStart w:id="509" w:name="_Toc535241138"/>
      <w:r>
        <w:rPr>
          <w:rFonts w:hint="eastAsia"/>
          <w:color w:val="auto"/>
          <w:sz w:val="28"/>
          <w:szCs w:val="28"/>
        </w:rPr>
        <w:t>（十二）</w:t>
      </w:r>
      <w:bookmarkEnd w:id="504"/>
      <w:bookmarkEnd w:id="505"/>
      <w:bookmarkEnd w:id="506"/>
      <w:bookmarkEnd w:id="507"/>
      <w:bookmarkEnd w:id="508"/>
      <w:r>
        <w:rPr>
          <w:rFonts w:hint="eastAsia"/>
          <w:color w:val="auto"/>
          <w:sz w:val="28"/>
          <w:szCs w:val="28"/>
        </w:rPr>
        <w:t>计日工表</w:t>
      </w:r>
      <w:bookmarkEnd w:id="509"/>
    </w:p>
    <w:p w14:paraId="4790C9FD">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681"/>
        <w:gridCol w:w="3403"/>
        <w:gridCol w:w="1372"/>
        <w:gridCol w:w="1372"/>
        <w:gridCol w:w="1373"/>
        <w:gridCol w:w="1370"/>
      </w:tblGrid>
      <w:tr w14:paraId="48CD471F">
        <w:tblPrEx>
          <w:tblCellMar>
            <w:top w:w="0" w:type="dxa"/>
            <w:left w:w="108" w:type="dxa"/>
            <w:bottom w:w="0" w:type="dxa"/>
            <w:right w:w="108" w:type="dxa"/>
          </w:tblCellMar>
        </w:tblPrEx>
        <w:trPr>
          <w:trHeight w:val="567" w:hRule="atLeast"/>
        </w:trPr>
        <w:tc>
          <w:tcPr>
            <w:tcW w:w="35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7CE6703">
            <w:pPr>
              <w:widowControl/>
              <w:jc w:val="center"/>
              <w:rPr>
                <w:rFonts w:ascii="黑体" w:hAnsi="黑体" w:eastAsia="黑体" w:cs="Arial"/>
                <w:color w:val="auto"/>
                <w:kern w:val="0"/>
                <w:szCs w:val="21"/>
              </w:rPr>
            </w:pPr>
            <w:r>
              <w:rPr>
                <w:rFonts w:hint="eastAsia" w:ascii="黑体" w:hAnsi="黑体" w:eastAsia="黑体" w:cs="Arial"/>
                <w:color w:val="auto"/>
                <w:kern w:val="0"/>
                <w:szCs w:val="21"/>
              </w:rPr>
              <w:t>编码</w:t>
            </w:r>
          </w:p>
        </w:tc>
        <w:tc>
          <w:tcPr>
            <w:tcW w:w="1778" w:type="pct"/>
            <w:tcBorders>
              <w:top w:val="single" w:color="000000" w:sz="8" w:space="0"/>
              <w:left w:val="nil"/>
              <w:bottom w:val="single" w:color="000000" w:sz="4" w:space="0"/>
              <w:right w:val="single" w:color="000000" w:sz="4" w:space="0"/>
            </w:tcBorders>
            <w:shd w:val="clear" w:color="FFFFFF" w:fill="FFFFFF"/>
            <w:noWrap w:val="0"/>
            <w:vAlign w:val="center"/>
          </w:tcPr>
          <w:p w14:paraId="0904934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7EB852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单位</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EF210E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408A6F1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综合单价</w:t>
            </w:r>
          </w:p>
        </w:tc>
        <w:tc>
          <w:tcPr>
            <w:tcW w:w="715" w:type="pct"/>
            <w:tcBorders>
              <w:top w:val="single" w:color="000000" w:sz="8" w:space="0"/>
              <w:left w:val="nil"/>
              <w:bottom w:val="single" w:color="000000" w:sz="4" w:space="0"/>
              <w:right w:val="single" w:color="000000" w:sz="8" w:space="0"/>
            </w:tcBorders>
            <w:shd w:val="clear" w:color="FFFFFF" w:fill="FFFFFF"/>
            <w:noWrap w:val="0"/>
            <w:vAlign w:val="center"/>
          </w:tcPr>
          <w:p w14:paraId="06EFD51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合价（元）</w:t>
            </w:r>
          </w:p>
        </w:tc>
      </w:tr>
      <w:tr w14:paraId="0F985E68">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1ABC396">
            <w:pPr>
              <w:widowControl/>
              <w:jc w:val="center"/>
              <w:rPr>
                <w:rFonts w:ascii="宋体" w:hAnsi="宋体" w:cs="Arial"/>
                <w:color w:val="auto"/>
                <w:kern w:val="0"/>
                <w:szCs w:val="21"/>
              </w:rPr>
            </w:pPr>
            <w:r>
              <w:rPr>
                <w:rFonts w:hint="eastAsia" w:ascii="宋体" w:hAnsi="宋体" w:cs="Arial"/>
                <w:color w:val="auto"/>
                <w:kern w:val="0"/>
                <w:szCs w:val="21"/>
              </w:rPr>
              <w:t>一</w:t>
            </w:r>
          </w:p>
        </w:tc>
        <w:tc>
          <w:tcPr>
            <w:tcW w:w="1778" w:type="pct"/>
            <w:tcBorders>
              <w:top w:val="single" w:color="000000" w:sz="4" w:space="0"/>
              <w:left w:val="nil"/>
              <w:bottom w:val="single" w:color="000000" w:sz="4" w:space="0"/>
              <w:right w:val="single" w:color="000000" w:sz="4" w:space="0"/>
            </w:tcBorders>
            <w:noWrap w:val="0"/>
            <w:vAlign w:val="center"/>
          </w:tcPr>
          <w:p w14:paraId="5976C52B">
            <w:pPr>
              <w:widowControl/>
              <w:jc w:val="center"/>
              <w:rPr>
                <w:rFonts w:ascii="宋体" w:hAnsi="宋体" w:cs="Arial"/>
                <w:color w:val="auto"/>
                <w:kern w:val="0"/>
                <w:szCs w:val="21"/>
              </w:rPr>
            </w:pPr>
            <w:r>
              <w:rPr>
                <w:rFonts w:hint="eastAsia" w:ascii="宋体" w:hAnsi="宋体" w:cs="Arial"/>
                <w:color w:val="auto"/>
                <w:kern w:val="0"/>
                <w:szCs w:val="21"/>
              </w:rPr>
              <w:t>人工</w:t>
            </w:r>
          </w:p>
        </w:tc>
        <w:tc>
          <w:tcPr>
            <w:tcW w:w="717" w:type="pct"/>
            <w:tcBorders>
              <w:top w:val="nil"/>
              <w:left w:val="nil"/>
              <w:bottom w:val="single" w:color="000000" w:sz="4" w:space="0"/>
              <w:right w:val="single" w:color="000000" w:sz="4" w:space="0"/>
            </w:tcBorders>
            <w:noWrap w:val="0"/>
            <w:vAlign w:val="center"/>
          </w:tcPr>
          <w:p w14:paraId="56409FA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9E6934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3F846A1">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664AC938">
            <w:pPr>
              <w:widowControl/>
              <w:jc w:val="right"/>
              <w:rPr>
                <w:rFonts w:ascii="宋体" w:hAnsi="宋体" w:cs="Arial"/>
                <w:color w:val="auto"/>
                <w:kern w:val="0"/>
                <w:szCs w:val="21"/>
              </w:rPr>
            </w:pPr>
          </w:p>
        </w:tc>
      </w:tr>
      <w:tr w14:paraId="04B7FC3A">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CFAADC8">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5DCF0B3">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16A46BBF">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03282E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9AC5AEC">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5460C5B2">
            <w:pPr>
              <w:widowControl/>
              <w:jc w:val="right"/>
              <w:rPr>
                <w:rFonts w:ascii="宋体" w:hAnsi="宋体" w:cs="Arial"/>
                <w:color w:val="auto"/>
                <w:kern w:val="0"/>
                <w:szCs w:val="21"/>
              </w:rPr>
            </w:pPr>
          </w:p>
        </w:tc>
      </w:tr>
      <w:tr w14:paraId="2A471E7A">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F4A5A66">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0B939F43">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7A043CD">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35D0A10">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5CD39100">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5C7CAC6A">
            <w:pPr>
              <w:widowControl/>
              <w:jc w:val="right"/>
              <w:rPr>
                <w:rFonts w:ascii="宋体" w:hAnsi="宋体" w:cs="Arial"/>
                <w:color w:val="auto"/>
                <w:kern w:val="0"/>
                <w:szCs w:val="21"/>
              </w:rPr>
            </w:pPr>
          </w:p>
        </w:tc>
      </w:tr>
      <w:tr w14:paraId="3FA63EA7">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0043DE6">
            <w:pPr>
              <w:widowControl/>
              <w:jc w:val="center"/>
              <w:rPr>
                <w:rFonts w:ascii="宋体" w:hAnsi="宋体" w:cs="Arial"/>
                <w:color w:val="auto"/>
                <w:kern w:val="0"/>
                <w:szCs w:val="21"/>
              </w:rPr>
            </w:pPr>
            <w:r>
              <w:rPr>
                <w:rFonts w:hint="eastAsia" w:ascii="宋体" w:hAnsi="宋体" w:cs="Arial"/>
                <w:color w:val="auto"/>
                <w:kern w:val="0"/>
                <w:szCs w:val="21"/>
              </w:rPr>
              <w:t>人工费小计</w:t>
            </w:r>
          </w:p>
        </w:tc>
        <w:tc>
          <w:tcPr>
            <w:tcW w:w="715" w:type="pct"/>
            <w:tcBorders>
              <w:top w:val="nil"/>
              <w:left w:val="nil"/>
              <w:bottom w:val="single" w:color="000000" w:sz="4" w:space="0"/>
              <w:right w:val="single" w:color="000000" w:sz="8" w:space="0"/>
            </w:tcBorders>
            <w:noWrap w:val="0"/>
            <w:vAlign w:val="center"/>
          </w:tcPr>
          <w:p w14:paraId="30214121">
            <w:pPr>
              <w:widowControl/>
              <w:jc w:val="right"/>
              <w:rPr>
                <w:rFonts w:ascii="宋体" w:hAnsi="宋体" w:cs="Arial"/>
                <w:color w:val="auto"/>
                <w:kern w:val="0"/>
                <w:szCs w:val="21"/>
              </w:rPr>
            </w:pPr>
          </w:p>
        </w:tc>
      </w:tr>
      <w:tr w14:paraId="27CD5B2E">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99F906E">
            <w:pPr>
              <w:widowControl/>
              <w:jc w:val="center"/>
              <w:rPr>
                <w:rFonts w:ascii="宋体" w:hAnsi="宋体" w:cs="Arial"/>
                <w:color w:val="auto"/>
                <w:kern w:val="0"/>
                <w:szCs w:val="21"/>
              </w:rPr>
            </w:pPr>
            <w:r>
              <w:rPr>
                <w:rFonts w:hint="eastAsia" w:ascii="宋体" w:hAnsi="宋体" w:cs="Arial"/>
                <w:color w:val="auto"/>
                <w:kern w:val="0"/>
                <w:szCs w:val="21"/>
              </w:rPr>
              <w:t>二</w:t>
            </w:r>
          </w:p>
        </w:tc>
        <w:tc>
          <w:tcPr>
            <w:tcW w:w="1778" w:type="pct"/>
            <w:tcBorders>
              <w:top w:val="single" w:color="000000" w:sz="4" w:space="0"/>
              <w:left w:val="nil"/>
              <w:bottom w:val="single" w:color="000000" w:sz="4" w:space="0"/>
              <w:right w:val="single" w:color="000000" w:sz="4" w:space="0"/>
            </w:tcBorders>
            <w:noWrap w:val="0"/>
            <w:vAlign w:val="center"/>
          </w:tcPr>
          <w:p w14:paraId="57CA3427">
            <w:pPr>
              <w:widowControl/>
              <w:jc w:val="center"/>
              <w:rPr>
                <w:rFonts w:ascii="宋体" w:hAnsi="宋体" w:cs="Arial"/>
                <w:color w:val="auto"/>
                <w:kern w:val="0"/>
                <w:szCs w:val="21"/>
              </w:rPr>
            </w:pPr>
            <w:r>
              <w:rPr>
                <w:rFonts w:hint="eastAsia" w:ascii="宋体" w:hAnsi="宋体" w:cs="Arial"/>
                <w:color w:val="auto"/>
                <w:kern w:val="0"/>
                <w:szCs w:val="21"/>
              </w:rPr>
              <w:t>材料</w:t>
            </w:r>
          </w:p>
        </w:tc>
        <w:tc>
          <w:tcPr>
            <w:tcW w:w="717" w:type="pct"/>
            <w:tcBorders>
              <w:top w:val="nil"/>
              <w:left w:val="nil"/>
              <w:bottom w:val="single" w:color="000000" w:sz="4" w:space="0"/>
              <w:right w:val="single" w:color="000000" w:sz="4" w:space="0"/>
            </w:tcBorders>
            <w:noWrap w:val="0"/>
            <w:vAlign w:val="center"/>
          </w:tcPr>
          <w:p w14:paraId="7CD438A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90507AF">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1457CEE7">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893DEF6">
            <w:pPr>
              <w:widowControl/>
              <w:jc w:val="right"/>
              <w:rPr>
                <w:rFonts w:ascii="宋体" w:hAnsi="宋体" w:cs="Arial"/>
                <w:color w:val="auto"/>
                <w:kern w:val="0"/>
                <w:szCs w:val="21"/>
              </w:rPr>
            </w:pPr>
          </w:p>
        </w:tc>
      </w:tr>
      <w:tr w14:paraId="6B877B33">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9543EBB">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6C4E62B">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674BC25">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A87B00D">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27C072F2">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E9506F3">
            <w:pPr>
              <w:widowControl/>
              <w:jc w:val="right"/>
              <w:rPr>
                <w:rFonts w:ascii="宋体" w:hAnsi="宋体" w:cs="Arial"/>
                <w:color w:val="auto"/>
                <w:kern w:val="0"/>
                <w:szCs w:val="21"/>
              </w:rPr>
            </w:pPr>
          </w:p>
        </w:tc>
      </w:tr>
      <w:tr w14:paraId="110FF1E6">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97EEE6C">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7F85F931">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61AE41E">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31F56C4B">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332A7518">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3EC655EE">
            <w:pPr>
              <w:widowControl/>
              <w:jc w:val="right"/>
              <w:rPr>
                <w:rFonts w:ascii="宋体" w:hAnsi="宋体" w:cs="Arial"/>
                <w:color w:val="auto"/>
                <w:kern w:val="0"/>
                <w:szCs w:val="21"/>
              </w:rPr>
            </w:pPr>
          </w:p>
        </w:tc>
      </w:tr>
      <w:tr w14:paraId="1786D085">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58496599">
            <w:pPr>
              <w:widowControl/>
              <w:jc w:val="center"/>
              <w:rPr>
                <w:rFonts w:ascii="宋体" w:hAnsi="宋体" w:cs="Arial"/>
                <w:color w:val="auto"/>
                <w:kern w:val="0"/>
                <w:szCs w:val="21"/>
              </w:rPr>
            </w:pPr>
            <w:r>
              <w:rPr>
                <w:rFonts w:hint="eastAsia" w:ascii="宋体" w:hAnsi="宋体" w:cs="Arial"/>
                <w:color w:val="auto"/>
                <w:kern w:val="0"/>
                <w:szCs w:val="21"/>
              </w:rPr>
              <w:t>材料费小计</w:t>
            </w:r>
          </w:p>
        </w:tc>
        <w:tc>
          <w:tcPr>
            <w:tcW w:w="715" w:type="pct"/>
            <w:tcBorders>
              <w:top w:val="nil"/>
              <w:left w:val="nil"/>
              <w:bottom w:val="single" w:color="000000" w:sz="4" w:space="0"/>
              <w:right w:val="single" w:color="000000" w:sz="8" w:space="0"/>
            </w:tcBorders>
            <w:noWrap w:val="0"/>
            <w:vAlign w:val="center"/>
          </w:tcPr>
          <w:p w14:paraId="1963DC31">
            <w:pPr>
              <w:widowControl/>
              <w:jc w:val="right"/>
              <w:rPr>
                <w:rFonts w:ascii="宋体" w:hAnsi="宋体" w:cs="Arial"/>
                <w:color w:val="auto"/>
                <w:kern w:val="0"/>
                <w:szCs w:val="21"/>
              </w:rPr>
            </w:pPr>
          </w:p>
        </w:tc>
      </w:tr>
      <w:tr w14:paraId="0B6CCCB2">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DED7C5C">
            <w:pPr>
              <w:widowControl/>
              <w:jc w:val="center"/>
              <w:rPr>
                <w:rFonts w:ascii="宋体" w:hAnsi="宋体" w:cs="Arial"/>
                <w:color w:val="auto"/>
                <w:kern w:val="0"/>
                <w:szCs w:val="21"/>
              </w:rPr>
            </w:pPr>
            <w:r>
              <w:rPr>
                <w:rFonts w:hint="eastAsia" w:ascii="宋体" w:hAnsi="宋体" w:cs="Arial"/>
                <w:color w:val="auto"/>
                <w:kern w:val="0"/>
                <w:szCs w:val="21"/>
              </w:rPr>
              <w:t>三</w:t>
            </w:r>
          </w:p>
        </w:tc>
        <w:tc>
          <w:tcPr>
            <w:tcW w:w="1778" w:type="pct"/>
            <w:tcBorders>
              <w:top w:val="single" w:color="000000" w:sz="4" w:space="0"/>
              <w:left w:val="nil"/>
              <w:bottom w:val="single" w:color="000000" w:sz="4" w:space="0"/>
              <w:right w:val="single" w:color="000000" w:sz="4" w:space="0"/>
            </w:tcBorders>
            <w:noWrap w:val="0"/>
            <w:vAlign w:val="center"/>
          </w:tcPr>
          <w:p w14:paraId="30EC7521">
            <w:pPr>
              <w:widowControl/>
              <w:jc w:val="center"/>
              <w:rPr>
                <w:rFonts w:ascii="宋体" w:hAnsi="宋体" w:cs="Arial"/>
                <w:color w:val="auto"/>
                <w:kern w:val="0"/>
                <w:szCs w:val="21"/>
              </w:rPr>
            </w:pPr>
            <w:r>
              <w:rPr>
                <w:rFonts w:hint="eastAsia" w:ascii="宋体" w:hAnsi="宋体" w:cs="Arial"/>
                <w:color w:val="auto"/>
                <w:kern w:val="0"/>
                <w:szCs w:val="21"/>
              </w:rPr>
              <w:t>施工机械</w:t>
            </w:r>
          </w:p>
        </w:tc>
        <w:tc>
          <w:tcPr>
            <w:tcW w:w="717" w:type="pct"/>
            <w:tcBorders>
              <w:top w:val="nil"/>
              <w:left w:val="nil"/>
              <w:bottom w:val="single" w:color="000000" w:sz="4" w:space="0"/>
              <w:right w:val="single" w:color="000000" w:sz="4" w:space="0"/>
            </w:tcBorders>
            <w:noWrap w:val="0"/>
            <w:vAlign w:val="center"/>
          </w:tcPr>
          <w:p w14:paraId="3C267A0B">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1E1676E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579210F">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7EC98420">
            <w:pPr>
              <w:widowControl/>
              <w:jc w:val="right"/>
              <w:rPr>
                <w:rFonts w:ascii="宋体" w:hAnsi="宋体" w:cs="Arial"/>
                <w:color w:val="auto"/>
                <w:kern w:val="0"/>
                <w:szCs w:val="21"/>
              </w:rPr>
            </w:pPr>
          </w:p>
        </w:tc>
      </w:tr>
      <w:tr w14:paraId="50E07E70">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ED4231D">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6538753C">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3985F587">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782069E">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5B148C95">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60DE1B33">
            <w:pPr>
              <w:widowControl/>
              <w:jc w:val="right"/>
              <w:rPr>
                <w:rFonts w:ascii="宋体" w:hAnsi="宋体" w:cs="Arial"/>
                <w:color w:val="auto"/>
                <w:kern w:val="0"/>
                <w:szCs w:val="21"/>
              </w:rPr>
            </w:pPr>
          </w:p>
        </w:tc>
      </w:tr>
      <w:tr w14:paraId="7F9B03DF">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3C0B9A4C">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204050B2">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FF1256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0EEC12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7AA1AF5">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F623F05">
            <w:pPr>
              <w:widowControl/>
              <w:jc w:val="right"/>
              <w:rPr>
                <w:rFonts w:ascii="宋体" w:hAnsi="宋体" w:cs="Arial"/>
                <w:color w:val="auto"/>
                <w:kern w:val="0"/>
                <w:szCs w:val="21"/>
              </w:rPr>
            </w:pPr>
          </w:p>
        </w:tc>
      </w:tr>
      <w:tr w14:paraId="01199676">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CC52F57">
            <w:pPr>
              <w:widowControl/>
              <w:jc w:val="center"/>
              <w:rPr>
                <w:rFonts w:ascii="宋体" w:hAnsi="宋体" w:cs="Arial"/>
                <w:color w:val="auto"/>
                <w:kern w:val="0"/>
                <w:szCs w:val="21"/>
              </w:rPr>
            </w:pPr>
            <w:r>
              <w:rPr>
                <w:rFonts w:hint="eastAsia" w:ascii="宋体" w:hAnsi="宋体" w:cs="Arial"/>
                <w:color w:val="auto"/>
                <w:kern w:val="0"/>
                <w:szCs w:val="21"/>
              </w:rPr>
              <w:t>施工机械费小计</w:t>
            </w:r>
          </w:p>
        </w:tc>
        <w:tc>
          <w:tcPr>
            <w:tcW w:w="715" w:type="pct"/>
            <w:tcBorders>
              <w:top w:val="nil"/>
              <w:left w:val="nil"/>
              <w:bottom w:val="single" w:color="000000" w:sz="4" w:space="0"/>
              <w:right w:val="single" w:color="000000" w:sz="8" w:space="0"/>
            </w:tcBorders>
            <w:noWrap w:val="0"/>
            <w:vAlign w:val="center"/>
          </w:tcPr>
          <w:p w14:paraId="78B00930">
            <w:pPr>
              <w:widowControl/>
              <w:jc w:val="right"/>
              <w:rPr>
                <w:rFonts w:ascii="宋体" w:hAnsi="宋体" w:cs="Arial"/>
                <w:color w:val="auto"/>
                <w:kern w:val="0"/>
                <w:szCs w:val="21"/>
              </w:rPr>
            </w:pPr>
          </w:p>
        </w:tc>
      </w:tr>
      <w:tr w14:paraId="6F980815">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8" w:space="0"/>
              <w:right w:val="single" w:color="000000" w:sz="4" w:space="0"/>
            </w:tcBorders>
            <w:noWrap w:val="0"/>
            <w:vAlign w:val="center"/>
          </w:tcPr>
          <w:p w14:paraId="63963110">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715" w:type="pct"/>
            <w:tcBorders>
              <w:top w:val="nil"/>
              <w:left w:val="nil"/>
              <w:bottom w:val="single" w:color="000000" w:sz="8" w:space="0"/>
              <w:right w:val="single" w:color="000000" w:sz="8" w:space="0"/>
            </w:tcBorders>
            <w:noWrap w:val="0"/>
            <w:vAlign w:val="center"/>
          </w:tcPr>
          <w:p w14:paraId="226E2041">
            <w:pPr>
              <w:widowControl/>
              <w:jc w:val="right"/>
              <w:rPr>
                <w:rFonts w:ascii="宋体" w:hAnsi="宋体" w:cs="Arial"/>
                <w:color w:val="auto"/>
                <w:kern w:val="0"/>
                <w:szCs w:val="21"/>
              </w:rPr>
            </w:pPr>
          </w:p>
        </w:tc>
      </w:tr>
    </w:tbl>
    <w:p w14:paraId="53C391A4">
      <w:pPr>
        <w:jc w:val="center"/>
        <w:outlineLvl w:val="2"/>
        <w:rPr>
          <w:rFonts w:hint="eastAsia"/>
          <w:color w:val="auto"/>
          <w:sz w:val="28"/>
          <w:szCs w:val="28"/>
        </w:rPr>
      </w:pPr>
      <w:bookmarkStart w:id="510" w:name="_Toc171581554"/>
      <w:bookmarkStart w:id="511" w:name="_Toc171741997"/>
      <w:bookmarkStart w:id="512" w:name="_Toc460227135"/>
      <w:bookmarkStart w:id="513" w:name="_Toc460660250"/>
      <w:bookmarkStart w:id="514" w:name="_Toc171581374"/>
      <w:bookmarkStart w:id="515" w:name="_Toc535241139"/>
      <w:r>
        <w:rPr>
          <w:color w:val="auto"/>
          <w:sz w:val="28"/>
          <w:szCs w:val="28"/>
        </w:rPr>
        <w:br w:type="page"/>
      </w:r>
      <w:r>
        <w:rPr>
          <w:rFonts w:hint="eastAsia"/>
          <w:color w:val="auto"/>
          <w:sz w:val="28"/>
          <w:szCs w:val="28"/>
        </w:rPr>
        <w:t>（十三）</w:t>
      </w:r>
      <w:bookmarkEnd w:id="510"/>
      <w:bookmarkEnd w:id="511"/>
      <w:bookmarkEnd w:id="512"/>
      <w:bookmarkEnd w:id="513"/>
      <w:bookmarkEnd w:id="514"/>
      <w:r>
        <w:rPr>
          <w:rFonts w:hint="eastAsia"/>
          <w:color w:val="auto"/>
          <w:sz w:val="28"/>
          <w:szCs w:val="28"/>
        </w:rPr>
        <w:t>总承包服务费计价表</w:t>
      </w:r>
      <w:bookmarkEnd w:id="515"/>
    </w:p>
    <w:p w14:paraId="69910299">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851"/>
        <w:gridCol w:w="2171"/>
        <w:gridCol w:w="1744"/>
        <w:gridCol w:w="1744"/>
        <w:gridCol w:w="1317"/>
        <w:gridCol w:w="1744"/>
      </w:tblGrid>
      <w:tr w14:paraId="2D22C7A4">
        <w:tblPrEx>
          <w:tblCellMar>
            <w:top w:w="0" w:type="dxa"/>
            <w:left w:w="108" w:type="dxa"/>
            <w:bottom w:w="0" w:type="dxa"/>
            <w:right w:w="108" w:type="dxa"/>
          </w:tblCellMar>
        </w:tblPrEx>
        <w:trPr>
          <w:trHeight w:val="690" w:hRule="atLeast"/>
        </w:trPr>
        <w:tc>
          <w:tcPr>
            <w:tcW w:w="445"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E3AB7DC">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34" w:type="pct"/>
            <w:tcBorders>
              <w:top w:val="single" w:color="000000" w:sz="8" w:space="0"/>
              <w:left w:val="nil"/>
              <w:bottom w:val="single" w:color="000000" w:sz="4" w:space="0"/>
              <w:right w:val="single" w:color="000000" w:sz="4" w:space="0"/>
            </w:tcBorders>
            <w:shd w:val="clear" w:color="FFFFFF" w:fill="FFFFFF"/>
            <w:noWrap w:val="0"/>
            <w:vAlign w:val="center"/>
          </w:tcPr>
          <w:p w14:paraId="2072F2A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工程名称</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01714B3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项目价值(元)</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5262924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服务内容</w:t>
            </w:r>
          </w:p>
        </w:tc>
        <w:tc>
          <w:tcPr>
            <w:tcW w:w="688" w:type="pct"/>
            <w:tcBorders>
              <w:top w:val="single" w:color="000000" w:sz="8" w:space="0"/>
              <w:left w:val="nil"/>
              <w:bottom w:val="single" w:color="000000" w:sz="4" w:space="0"/>
              <w:right w:val="single" w:color="000000" w:sz="4" w:space="0"/>
            </w:tcBorders>
            <w:shd w:val="clear" w:color="FFFFFF" w:fill="FFFFFF"/>
            <w:noWrap w:val="0"/>
            <w:vAlign w:val="center"/>
          </w:tcPr>
          <w:p w14:paraId="692BFEF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911" w:type="pct"/>
            <w:tcBorders>
              <w:top w:val="single" w:color="000000" w:sz="8" w:space="0"/>
              <w:left w:val="nil"/>
              <w:bottom w:val="single" w:color="000000" w:sz="4" w:space="0"/>
              <w:right w:val="single" w:color="000000" w:sz="8" w:space="0"/>
            </w:tcBorders>
            <w:shd w:val="clear" w:color="FFFFFF" w:fill="FFFFFF"/>
            <w:noWrap w:val="0"/>
            <w:vAlign w:val="center"/>
          </w:tcPr>
          <w:p w14:paraId="5A2A965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6400D0B6">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24A073C">
            <w:pPr>
              <w:widowControl/>
              <w:jc w:val="center"/>
              <w:rPr>
                <w:rFonts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7AEA025E">
            <w:pPr>
              <w:widowControl/>
              <w:jc w:val="lef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472F3C10">
            <w:pPr>
              <w:widowControl/>
              <w:jc w:val="righ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1E8CA60">
            <w:pPr>
              <w:widowControl/>
              <w:jc w:val="left"/>
              <w:rPr>
                <w:rFonts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10373402">
            <w:pPr>
              <w:widowControl/>
              <w:jc w:val="right"/>
              <w:rPr>
                <w:rFonts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0DAF1392">
            <w:pPr>
              <w:widowControl/>
              <w:jc w:val="right"/>
              <w:rPr>
                <w:rFonts w:ascii="宋体" w:hAnsi="宋体" w:cs="Arial"/>
                <w:color w:val="auto"/>
                <w:kern w:val="0"/>
                <w:szCs w:val="21"/>
              </w:rPr>
            </w:pPr>
          </w:p>
        </w:tc>
      </w:tr>
      <w:tr w14:paraId="1238D40D">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6FE4CED">
            <w:pPr>
              <w:widowControl/>
              <w:jc w:val="center"/>
              <w:rPr>
                <w:rFonts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1C3E7BC6">
            <w:pPr>
              <w:widowControl/>
              <w:jc w:val="lef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849261C">
            <w:pPr>
              <w:widowControl/>
              <w:jc w:val="righ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72D406F4">
            <w:pPr>
              <w:widowControl/>
              <w:jc w:val="left"/>
              <w:rPr>
                <w:rFonts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238B26F8">
            <w:pPr>
              <w:widowControl/>
              <w:jc w:val="right"/>
              <w:rPr>
                <w:rFonts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716A52EB">
            <w:pPr>
              <w:widowControl/>
              <w:jc w:val="right"/>
              <w:rPr>
                <w:rFonts w:ascii="宋体" w:hAnsi="宋体" w:cs="Arial"/>
                <w:color w:val="auto"/>
                <w:kern w:val="0"/>
                <w:szCs w:val="21"/>
              </w:rPr>
            </w:pPr>
          </w:p>
        </w:tc>
      </w:tr>
      <w:tr w14:paraId="5997F36E">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3530911E">
            <w:pPr>
              <w:widowControl/>
              <w:jc w:val="center"/>
              <w:rPr>
                <w:rFonts w:hint="eastAsia"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3AB33013">
            <w:pPr>
              <w:widowControl/>
              <w:jc w:val="left"/>
              <w:rPr>
                <w:rFonts w:hint="eastAsia"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CA29E24">
            <w:pPr>
              <w:widowControl/>
              <w:jc w:val="right"/>
              <w:rPr>
                <w:rFonts w:hint="eastAsia"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2F35BC80">
            <w:pPr>
              <w:widowControl/>
              <w:jc w:val="left"/>
              <w:rPr>
                <w:rFonts w:hint="eastAsia"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5EBED19C">
            <w:pPr>
              <w:widowControl/>
              <w:jc w:val="right"/>
              <w:rPr>
                <w:rFonts w:hint="eastAsia"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79FFD5C5">
            <w:pPr>
              <w:widowControl/>
              <w:jc w:val="right"/>
              <w:rPr>
                <w:rFonts w:hint="eastAsia" w:ascii="宋体" w:hAnsi="宋体" w:cs="Arial"/>
                <w:color w:val="auto"/>
                <w:kern w:val="0"/>
                <w:szCs w:val="21"/>
              </w:rPr>
            </w:pPr>
          </w:p>
        </w:tc>
      </w:tr>
      <w:tr w14:paraId="2005016A">
        <w:tblPrEx>
          <w:tblCellMar>
            <w:top w:w="0" w:type="dxa"/>
            <w:left w:w="108" w:type="dxa"/>
            <w:bottom w:w="0" w:type="dxa"/>
            <w:right w:w="108" w:type="dxa"/>
          </w:tblCellMar>
        </w:tblPrEx>
        <w:trPr>
          <w:trHeight w:val="680" w:hRule="atLeast"/>
        </w:trPr>
        <w:tc>
          <w:tcPr>
            <w:tcW w:w="4089" w:type="pct"/>
            <w:gridSpan w:val="5"/>
            <w:tcBorders>
              <w:top w:val="single" w:color="000000" w:sz="4" w:space="0"/>
              <w:left w:val="single" w:color="000000" w:sz="8" w:space="0"/>
              <w:bottom w:val="single" w:color="000000" w:sz="8" w:space="0"/>
              <w:right w:val="single" w:color="000000" w:sz="4" w:space="0"/>
            </w:tcBorders>
            <w:noWrap w:val="0"/>
            <w:vAlign w:val="center"/>
          </w:tcPr>
          <w:p w14:paraId="7BC15025">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911" w:type="pct"/>
            <w:tcBorders>
              <w:top w:val="nil"/>
              <w:left w:val="nil"/>
              <w:bottom w:val="single" w:color="000000" w:sz="8" w:space="0"/>
              <w:right w:val="single" w:color="000000" w:sz="8" w:space="0"/>
            </w:tcBorders>
            <w:noWrap w:val="0"/>
            <w:vAlign w:val="center"/>
          </w:tcPr>
          <w:p w14:paraId="3CAA70F8">
            <w:pPr>
              <w:widowControl/>
              <w:jc w:val="right"/>
              <w:rPr>
                <w:rFonts w:ascii="宋体" w:hAnsi="宋体" w:cs="Arial"/>
                <w:color w:val="auto"/>
                <w:kern w:val="0"/>
                <w:szCs w:val="21"/>
              </w:rPr>
            </w:pPr>
          </w:p>
        </w:tc>
      </w:tr>
    </w:tbl>
    <w:p w14:paraId="0DA6FB62">
      <w:pPr>
        <w:spacing w:before="48" w:beforeLines="20" w:after="48" w:afterLines="20" w:line="540" w:lineRule="exact"/>
        <w:rPr>
          <w:rFonts w:hint="eastAsia" w:ascii="宋体" w:hAnsi="宋体"/>
          <w:color w:val="auto"/>
          <w:sz w:val="24"/>
          <w:szCs w:val="22"/>
        </w:rPr>
      </w:pPr>
    </w:p>
    <w:p w14:paraId="13D6759F">
      <w:pPr>
        <w:rPr>
          <w:rFonts w:hint="eastAsia"/>
          <w:color w:val="auto"/>
        </w:rPr>
      </w:pPr>
      <w:bookmarkStart w:id="516" w:name="_Toc460660251"/>
      <w:bookmarkStart w:id="517" w:name="_Toc171741998"/>
      <w:bookmarkStart w:id="518" w:name="_Toc460227136"/>
      <w:bookmarkStart w:id="519" w:name="_Toc171581375"/>
      <w:bookmarkStart w:id="520" w:name="_Toc171581555"/>
    </w:p>
    <w:p w14:paraId="225F8307">
      <w:pPr>
        <w:jc w:val="center"/>
        <w:outlineLvl w:val="2"/>
        <w:rPr>
          <w:rFonts w:hint="eastAsia"/>
          <w:color w:val="auto"/>
          <w:sz w:val="28"/>
          <w:szCs w:val="28"/>
        </w:rPr>
      </w:pPr>
      <w:bookmarkStart w:id="521" w:name="_Toc535241140"/>
      <w:r>
        <w:rPr>
          <w:rFonts w:hint="eastAsia"/>
          <w:color w:val="auto"/>
          <w:sz w:val="28"/>
          <w:szCs w:val="28"/>
        </w:rPr>
        <w:t>（十四）</w:t>
      </w:r>
      <w:bookmarkEnd w:id="516"/>
      <w:bookmarkEnd w:id="517"/>
      <w:bookmarkEnd w:id="518"/>
      <w:bookmarkEnd w:id="519"/>
      <w:bookmarkEnd w:id="520"/>
      <w:r>
        <w:rPr>
          <w:rFonts w:hint="eastAsia"/>
          <w:color w:val="auto"/>
          <w:sz w:val="28"/>
          <w:szCs w:val="28"/>
        </w:rPr>
        <w:t>税金计价表</w:t>
      </w:r>
      <w:bookmarkEnd w:id="521"/>
    </w:p>
    <w:p w14:paraId="7A4D5E5E">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758"/>
        <w:gridCol w:w="2140"/>
        <w:gridCol w:w="3055"/>
        <w:gridCol w:w="1537"/>
        <w:gridCol w:w="992"/>
        <w:gridCol w:w="1089"/>
      </w:tblGrid>
      <w:tr w14:paraId="7B8A553C">
        <w:tblPrEx>
          <w:tblCellMar>
            <w:top w:w="0" w:type="dxa"/>
            <w:left w:w="108" w:type="dxa"/>
            <w:bottom w:w="0" w:type="dxa"/>
            <w:right w:w="108" w:type="dxa"/>
          </w:tblCellMar>
        </w:tblPrEx>
        <w:trPr>
          <w:trHeight w:val="690" w:hRule="atLeast"/>
        </w:trPr>
        <w:tc>
          <w:tcPr>
            <w:tcW w:w="39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A3E5B7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18" w:type="pct"/>
            <w:tcBorders>
              <w:top w:val="single" w:color="000000" w:sz="8" w:space="0"/>
              <w:left w:val="nil"/>
              <w:bottom w:val="single" w:color="000000" w:sz="4" w:space="0"/>
              <w:right w:val="single" w:color="000000" w:sz="4" w:space="0"/>
            </w:tcBorders>
            <w:shd w:val="clear" w:color="FFFFFF" w:fill="FFFFFF"/>
            <w:noWrap w:val="0"/>
            <w:vAlign w:val="center"/>
          </w:tcPr>
          <w:p w14:paraId="059BEE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1596" w:type="pct"/>
            <w:tcBorders>
              <w:top w:val="single" w:color="000000" w:sz="8" w:space="0"/>
              <w:left w:val="nil"/>
              <w:bottom w:val="single" w:color="000000" w:sz="4" w:space="0"/>
              <w:right w:val="single" w:color="000000" w:sz="4" w:space="0"/>
            </w:tcBorders>
            <w:shd w:val="clear" w:color="FFFFFF" w:fill="FFFFFF"/>
            <w:noWrap w:val="0"/>
            <w:vAlign w:val="center"/>
          </w:tcPr>
          <w:p w14:paraId="2781A6B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803" w:type="pct"/>
            <w:tcBorders>
              <w:top w:val="single" w:color="000000" w:sz="8" w:space="0"/>
              <w:left w:val="nil"/>
              <w:bottom w:val="single" w:color="000000" w:sz="4" w:space="0"/>
              <w:right w:val="single" w:color="000000" w:sz="4" w:space="0"/>
            </w:tcBorders>
            <w:shd w:val="clear" w:color="FFFFFF" w:fill="FFFFFF"/>
            <w:noWrap w:val="0"/>
            <w:vAlign w:val="center"/>
          </w:tcPr>
          <w:p w14:paraId="6EA1857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计算基数</w:t>
            </w:r>
          </w:p>
        </w:tc>
        <w:tc>
          <w:tcPr>
            <w:tcW w:w="518" w:type="pct"/>
            <w:tcBorders>
              <w:top w:val="single" w:color="000000" w:sz="8" w:space="0"/>
              <w:left w:val="nil"/>
              <w:bottom w:val="single" w:color="000000" w:sz="4" w:space="0"/>
              <w:right w:val="single" w:color="000000" w:sz="4" w:space="0"/>
            </w:tcBorders>
            <w:shd w:val="clear" w:color="FFFFFF" w:fill="FFFFFF"/>
            <w:noWrap w:val="0"/>
            <w:vAlign w:val="center"/>
          </w:tcPr>
          <w:p w14:paraId="0A7F7FB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569" w:type="pct"/>
            <w:tcBorders>
              <w:top w:val="single" w:color="000000" w:sz="8" w:space="0"/>
              <w:left w:val="nil"/>
              <w:bottom w:val="single" w:color="000000" w:sz="4" w:space="0"/>
              <w:right w:val="single" w:color="000000" w:sz="8" w:space="0"/>
            </w:tcBorders>
            <w:shd w:val="clear" w:color="FFFFFF" w:fill="FFFFFF"/>
            <w:noWrap w:val="0"/>
            <w:vAlign w:val="center"/>
          </w:tcPr>
          <w:p w14:paraId="389E9F1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4ED201B2">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D3C850F">
            <w:pPr>
              <w:widowControl/>
              <w:jc w:val="center"/>
              <w:rPr>
                <w:rFonts w:ascii="宋体" w:hAnsi="宋体" w:cs="Arial"/>
                <w:color w:val="auto"/>
                <w:kern w:val="0"/>
                <w:szCs w:val="21"/>
              </w:rPr>
            </w:pPr>
            <w:r>
              <w:rPr>
                <w:rFonts w:hint="eastAsia" w:ascii="宋体" w:hAnsi="宋体" w:cs="Arial"/>
                <w:color w:val="auto"/>
                <w:kern w:val="0"/>
                <w:szCs w:val="21"/>
              </w:rPr>
              <w:t>1</w:t>
            </w:r>
          </w:p>
        </w:tc>
        <w:tc>
          <w:tcPr>
            <w:tcW w:w="1118" w:type="pct"/>
            <w:tcBorders>
              <w:top w:val="nil"/>
              <w:left w:val="nil"/>
              <w:bottom w:val="single" w:color="000000" w:sz="4" w:space="0"/>
              <w:right w:val="single" w:color="000000" w:sz="4" w:space="0"/>
            </w:tcBorders>
            <w:noWrap w:val="0"/>
            <w:vAlign w:val="center"/>
          </w:tcPr>
          <w:p w14:paraId="532013F3">
            <w:pPr>
              <w:widowControl/>
              <w:jc w:val="left"/>
              <w:rPr>
                <w:rFonts w:ascii="宋体" w:hAnsi="宋体" w:cs="Arial"/>
                <w:color w:val="auto"/>
                <w:kern w:val="0"/>
                <w:szCs w:val="21"/>
              </w:rPr>
            </w:pPr>
            <w:r>
              <w:rPr>
                <w:rFonts w:hint="eastAsia" w:ascii="宋体" w:hAnsi="宋体" w:cs="Arial"/>
                <w:color w:val="auto"/>
                <w:kern w:val="0"/>
                <w:szCs w:val="21"/>
              </w:rPr>
              <w:t>增值税</w:t>
            </w:r>
          </w:p>
        </w:tc>
        <w:tc>
          <w:tcPr>
            <w:tcW w:w="1596" w:type="pct"/>
            <w:tcBorders>
              <w:top w:val="single" w:color="000000" w:sz="4" w:space="0"/>
              <w:left w:val="nil"/>
              <w:bottom w:val="single" w:color="000000" w:sz="4" w:space="0"/>
              <w:right w:val="single" w:color="000000" w:sz="4" w:space="0"/>
            </w:tcBorders>
            <w:noWrap w:val="0"/>
            <w:vAlign w:val="center"/>
          </w:tcPr>
          <w:p w14:paraId="569F5B5D">
            <w:pPr>
              <w:widowControl/>
              <w:jc w:val="left"/>
              <w:rPr>
                <w:rFonts w:ascii="宋体" w:hAnsi="宋体" w:cs="Arial"/>
                <w:color w:val="auto"/>
                <w:kern w:val="0"/>
                <w:szCs w:val="21"/>
              </w:rPr>
            </w:pPr>
            <w:r>
              <w:rPr>
                <w:rFonts w:hint="eastAsia" w:ascii="宋体" w:hAnsi="宋体" w:cs="Arial"/>
                <w:color w:val="auto"/>
                <w:kern w:val="0"/>
                <w:szCs w:val="21"/>
              </w:rPr>
              <w:t>分部分项工程费+措施项目费+不可竞争费+其他项目费</w:t>
            </w:r>
          </w:p>
        </w:tc>
        <w:tc>
          <w:tcPr>
            <w:tcW w:w="803" w:type="pct"/>
            <w:tcBorders>
              <w:top w:val="single" w:color="000000" w:sz="4" w:space="0"/>
              <w:left w:val="nil"/>
              <w:bottom w:val="single" w:color="000000" w:sz="4" w:space="0"/>
              <w:right w:val="single" w:color="000000" w:sz="4" w:space="0"/>
            </w:tcBorders>
            <w:noWrap w:val="0"/>
            <w:vAlign w:val="center"/>
          </w:tcPr>
          <w:p w14:paraId="1C75E313">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594EB543">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472BAA44">
            <w:pPr>
              <w:widowControl/>
              <w:jc w:val="right"/>
              <w:rPr>
                <w:rFonts w:ascii="宋体" w:hAnsi="宋体" w:cs="Arial"/>
                <w:color w:val="auto"/>
                <w:kern w:val="0"/>
                <w:szCs w:val="21"/>
              </w:rPr>
            </w:pPr>
          </w:p>
        </w:tc>
      </w:tr>
      <w:tr w14:paraId="30528A94">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452B1C82">
            <w:pPr>
              <w:widowControl/>
              <w:jc w:val="center"/>
              <w:rPr>
                <w:rFonts w:ascii="宋体" w:hAnsi="宋体" w:cs="Arial"/>
                <w:color w:val="auto"/>
                <w:kern w:val="0"/>
                <w:szCs w:val="21"/>
              </w:rPr>
            </w:pPr>
          </w:p>
        </w:tc>
        <w:tc>
          <w:tcPr>
            <w:tcW w:w="1118" w:type="pct"/>
            <w:tcBorders>
              <w:top w:val="nil"/>
              <w:left w:val="nil"/>
              <w:bottom w:val="single" w:color="000000" w:sz="4" w:space="0"/>
              <w:right w:val="single" w:color="000000" w:sz="4" w:space="0"/>
            </w:tcBorders>
            <w:noWrap w:val="0"/>
            <w:vAlign w:val="center"/>
          </w:tcPr>
          <w:p w14:paraId="20988403">
            <w:pPr>
              <w:widowControl/>
              <w:jc w:val="left"/>
              <w:rPr>
                <w:rFonts w:ascii="宋体" w:hAnsi="宋体" w:cs="Arial"/>
                <w:color w:val="auto"/>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1EB32C41">
            <w:pPr>
              <w:widowControl/>
              <w:jc w:val="left"/>
              <w:rPr>
                <w:rFonts w:ascii="宋体" w:hAnsi="宋体" w:cs="Arial"/>
                <w:color w:val="auto"/>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526E1AC1">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3F0E123B">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302EAF1E">
            <w:pPr>
              <w:widowControl/>
              <w:jc w:val="right"/>
              <w:rPr>
                <w:rFonts w:ascii="宋体" w:hAnsi="宋体" w:cs="Arial"/>
                <w:color w:val="auto"/>
                <w:kern w:val="0"/>
                <w:szCs w:val="21"/>
              </w:rPr>
            </w:pPr>
          </w:p>
        </w:tc>
      </w:tr>
      <w:tr w14:paraId="456A0995">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51DF825">
            <w:pPr>
              <w:widowControl/>
              <w:jc w:val="center"/>
              <w:rPr>
                <w:rFonts w:ascii="宋体" w:hAnsi="宋体" w:cs="Arial"/>
                <w:color w:val="auto"/>
                <w:kern w:val="0"/>
                <w:szCs w:val="21"/>
              </w:rPr>
            </w:pPr>
          </w:p>
        </w:tc>
        <w:tc>
          <w:tcPr>
            <w:tcW w:w="1118" w:type="pct"/>
            <w:tcBorders>
              <w:top w:val="nil"/>
              <w:left w:val="nil"/>
              <w:bottom w:val="single" w:color="000000" w:sz="4" w:space="0"/>
              <w:right w:val="single" w:color="000000" w:sz="4" w:space="0"/>
            </w:tcBorders>
            <w:noWrap w:val="0"/>
            <w:vAlign w:val="center"/>
          </w:tcPr>
          <w:p w14:paraId="1921F962">
            <w:pPr>
              <w:widowControl/>
              <w:jc w:val="left"/>
              <w:rPr>
                <w:rFonts w:ascii="宋体" w:hAnsi="宋体" w:cs="Arial"/>
                <w:color w:val="auto"/>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3B9F42EB">
            <w:pPr>
              <w:widowControl/>
              <w:jc w:val="left"/>
              <w:rPr>
                <w:rFonts w:ascii="宋体" w:hAnsi="宋体" w:cs="Arial"/>
                <w:color w:val="auto"/>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1902A6BF">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23187D6E">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14AEB1E6">
            <w:pPr>
              <w:widowControl/>
              <w:jc w:val="right"/>
              <w:rPr>
                <w:rFonts w:ascii="宋体" w:hAnsi="宋体" w:cs="Arial"/>
                <w:color w:val="auto"/>
                <w:kern w:val="0"/>
                <w:szCs w:val="21"/>
              </w:rPr>
            </w:pPr>
          </w:p>
        </w:tc>
      </w:tr>
      <w:tr w14:paraId="1DB6044B">
        <w:tblPrEx>
          <w:tblCellMar>
            <w:top w:w="0" w:type="dxa"/>
            <w:left w:w="108" w:type="dxa"/>
            <w:bottom w:w="0" w:type="dxa"/>
            <w:right w:w="108" w:type="dxa"/>
          </w:tblCellMar>
        </w:tblPrEx>
        <w:trPr>
          <w:trHeight w:val="680" w:hRule="atLeast"/>
        </w:trPr>
        <w:tc>
          <w:tcPr>
            <w:tcW w:w="4431" w:type="pct"/>
            <w:gridSpan w:val="5"/>
            <w:tcBorders>
              <w:top w:val="single" w:color="000000" w:sz="4" w:space="0"/>
              <w:left w:val="single" w:color="000000" w:sz="8" w:space="0"/>
              <w:bottom w:val="single" w:color="000000" w:sz="8" w:space="0"/>
              <w:right w:val="single" w:color="000000" w:sz="4" w:space="0"/>
            </w:tcBorders>
            <w:noWrap w:val="0"/>
            <w:vAlign w:val="center"/>
          </w:tcPr>
          <w:p w14:paraId="429FFC29">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569" w:type="pct"/>
            <w:tcBorders>
              <w:top w:val="nil"/>
              <w:left w:val="nil"/>
              <w:bottom w:val="single" w:color="000000" w:sz="8" w:space="0"/>
              <w:right w:val="single" w:color="000000" w:sz="8" w:space="0"/>
            </w:tcBorders>
            <w:noWrap w:val="0"/>
            <w:vAlign w:val="center"/>
          </w:tcPr>
          <w:p w14:paraId="68911973">
            <w:pPr>
              <w:widowControl/>
              <w:jc w:val="right"/>
              <w:rPr>
                <w:rFonts w:ascii="宋体" w:hAnsi="宋体" w:cs="Arial"/>
                <w:color w:val="auto"/>
                <w:kern w:val="0"/>
                <w:szCs w:val="21"/>
              </w:rPr>
            </w:pPr>
          </w:p>
        </w:tc>
      </w:tr>
    </w:tbl>
    <w:p w14:paraId="1D8BEEDD">
      <w:pPr>
        <w:spacing w:before="48" w:beforeLines="20" w:after="48" w:afterLines="20" w:line="540" w:lineRule="exact"/>
        <w:rPr>
          <w:rFonts w:hint="eastAsia" w:ascii="宋体" w:hAnsi="宋体"/>
          <w:color w:val="auto"/>
          <w:sz w:val="24"/>
          <w:szCs w:val="22"/>
        </w:rPr>
        <w:sectPr>
          <w:headerReference r:id="rId11" w:type="first"/>
          <w:footerReference r:id="rId13" w:type="first"/>
          <w:headerReference r:id="rId9" w:type="default"/>
          <w:headerReference r:id="rId10" w:type="even"/>
          <w:footerReference r:id="rId12" w:type="even"/>
          <w:footnotePr>
            <w:numFmt w:val="decimalEnclosedCircleChinese"/>
            <w:numRestart w:val="eachPage"/>
          </w:footnotePr>
          <w:pgSz w:w="11907" w:h="16840"/>
          <w:pgMar w:top="1418" w:right="1134" w:bottom="1134" w:left="1418" w:header="680" w:footer="907" w:gutter="0"/>
          <w:cols w:space="720" w:num="1"/>
          <w:docGrid w:linePitch="286" w:charSpace="0"/>
        </w:sectPr>
      </w:pPr>
    </w:p>
    <w:p w14:paraId="4DD80302">
      <w:pPr>
        <w:jc w:val="center"/>
        <w:outlineLvl w:val="2"/>
        <w:rPr>
          <w:rFonts w:hint="eastAsia"/>
          <w:color w:val="auto"/>
          <w:sz w:val="28"/>
          <w:szCs w:val="28"/>
        </w:rPr>
      </w:pPr>
      <w:bookmarkStart w:id="522" w:name="_Toc535241141"/>
      <w:r>
        <w:rPr>
          <w:rFonts w:hint="eastAsia"/>
          <w:color w:val="auto"/>
          <w:sz w:val="28"/>
          <w:szCs w:val="28"/>
        </w:rPr>
        <w:t>（十五）材料（工程设备）暂估单价一览表</w:t>
      </w:r>
      <w:bookmarkEnd w:id="522"/>
    </w:p>
    <w:p w14:paraId="1909564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1276"/>
        <w:gridCol w:w="4200"/>
        <w:gridCol w:w="1588"/>
        <w:gridCol w:w="1532"/>
        <w:gridCol w:w="1713"/>
      </w:tblGrid>
      <w:tr w14:paraId="7951C468">
        <w:tblPrEx>
          <w:tblCellMar>
            <w:top w:w="0" w:type="dxa"/>
            <w:left w:w="108" w:type="dxa"/>
            <w:bottom w:w="0" w:type="dxa"/>
            <w:right w:w="108" w:type="dxa"/>
          </w:tblCellMar>
        </w:tblPrEx>
        <w:trPr>
          <w:trHeight w:val="690" w:hRule="atLeast"/>
        </w:trPr>
        <w:tc>
          <w:tcPr>
            <w:tcW w:w="61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D7F09C5">
            <w:pPr>
              <w:widowControl/>
              <w:jc w:val="center"/>
              <w:rPr>
                <w:rFonts w:ascii="黑体" w:hAnsi="黑体" w:eastAsia="黑体" w:cs="Arial"/>
                <w:color w:val="auto"/>
                <w:kern w:val="0"/>
                <w:szCs w:val="21"/>
              </w:rPr>
            </w:pPr>
            <w:bookmarkStart w:id="523" w:name="_Toc44996373"/>
            <w:bookmarkStart w:id="524" w:name="_Toc17215711"/>
            <w:r>
              <w:rPr>
                <w:rFonts w:hint="eastAsia" w:ascii="黑体" w:hAnsi="黑体" w:eastAsia="黑体" w:cs="Arial"/>
                <w:color w:val="auto"/>
                <w:kern w:val="0"/>
                <w:szCs w:val="21"/>
              </w:rPr>
              <w:t>序号</w:t>
            </w:r>
          </w:p>
        </w:tc>
        <w:tc>
          <w:tcPr>
            <w:tcW w:w="2037" w:type="pct"/>
            <w:tcBorders>
              <w:top w:val="single" w:color="000000" w:sz="8" w:space="0"/>
              <w:left w:val="nil"/>
              <w:bottom w:val="single" w:color="000000" w:sz="4" w:space="0"/>
              <w:right w:val="single" w:color="000000" w:sz="4" w:space="0"/>
            </w:tcBorders>
            <w:shd w:val="clear" w:color="FFFFFF" w:fill="FFFFFF"/>
            <w:noWrap w:val="0"/>
            <w:vAlign w:val="center"/>
          </w:tcPr>
          <w:p w14:paraId="75002DE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770" w:type="pct"/>
            <w:tcBorders>
              <w:top w:val="single" w:color="000000" w:sz="8" w:space="0"/>
              <w:left w:val="nil"/>
              <w:bottom w:val="single" w:color="000000" w:sz="4" w:space="0"/>
              <w:right w:val="single" w:color="000000" w:sz="4" w:space="0"/>
            </w:tcBorders>
            <w:shd w:val="clear" w:color="FFFFFF" w:fill="FFFFFF"/>
            <w:noWrap w:val="0"/>
            <w:vAlign w:val="center"/>
          </w:tcPr>
          <w:p w14:paraId="4CFC228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743" w:type="pct"/>
            <w:tcBorders>
              <w:top w:val="single" w:color="000000" w:sz="8" w:space="0"/>
              <w:left w:val="nil"/>
              <w:bottom w:val="single" w:color="000000" w:sz="4" w:space="0"/>
              <w:right w:val="single" w:color="000000" w:sz="4" w:space="0"/>
            </w:tcBorders>
            <w:shd w:val="clear" w:color="FFFFFF" w:fill="FFFFFF"/>
            <w:noWrap w:val="0"/>
            <w:vAlign w:val="center"/>
          </w:tcPr>
          <w:p w14:paraId="6247F2D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831" w:type="pct"/>
            <w:tcBorders>
              <w:top w:val="single" w:color="000000" w:sz="8" w:space="0"/>
              <w:left w:val="nil"/>
              <w:bottom w:val="single" w:color="000000" w:sz="4" w:space="0"/>
              <w:right w:val="single" w:color="000000" w:sz="8" w:space="0"/>
            </w:tcBorders>
            <w:shd w:val="clear" w:color="FFFFFF" w:fill="FFFFFF"/>
            <w:noWrap w:val="0"/>
            <w:vAlign w:val="center"/>
          </w:tcPr>
          <w:p w14:paraId="710BA03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单价(元)</w:t>
            </w:r>
          </w:p>
        </w:tc>
      </w:tr>
      <w:tr w14:paraId="69AEDAF3">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F55201D">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7E5216F">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4B3F30CB">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3FDBDDED">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5C6F4B66">
            <w:pPr>
              <w:widowControl/>
              <w:jc w:val="right"/>
              <w:rPr>
                <w:rFonts w:ascii="宋体" w:hAnsi="宋体" w:cs="Arial"/>
                <w:color w:val="auto"/>
                <w:kern w:val="0"/>
                <w:szCs w:val="21"/>
              </w:rPr>
            </w:pPr>
          </w:p>
        </w:tc>
      </w:tr>
      <w:tr w14:paraId="16781CB6">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29ED8C0F">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44F00DA">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52EF3CA">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54C5EEAC">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680ECB05">
            <w:pPr>
              <w:widowControl/>
              <w:jc w:val="right"/>
              <w:rPr>
                <w:rFonts w:ascii="宋体" w:hAnsi="宋体" w:cs="Arial"/>
                <w:color w:val="auto"/>
                <w:kern w:val="0"/>
                <w:szCs w:val="21"/>
              </w:rPr>
            </w:pPr>
          </w:p>
        </w:tc>
      </w:tr>
      <w:tr w14:paraId="46A63970">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39712183">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FB650A8">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42439C1">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9955D9A">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16FF3D76">
            <w:pPr>
              <w:widowControl/>
              <w:jc w:val="right"/>
              <w:rPr>
                <w:rFonts w:ascii="宋体" w:hAnsi="宋体" w:cs="Arial"/>
                <w:color w:val="auto"/>
                <w:kern w:val="0"/>
                <w:szCs w:val="21"/>
              </w:rPr>
            </w:pPr>
          </w:p>
        </w:tc>
      </w:tr>
      <w:tr w14:paraId="6D9AC95F">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6C2AB5C">
            <w:pPr>
              <w:widowControl/>
              <w:jc w:val="center"/>
              <w:rPr>
                <w:rFonts w:hint="eastAsia"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A2F2CFE">
            <w:pPr>
              <w:widowControl/>
              <w:jc w:val="left"/>
              <w:rPr>
                <w:rFonts w:hint="eastAsia"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29D5B5D5">
            <w:pPr>
              <w:widowControl/>
              <w:jc w:val="center"/>
              <w:rPr>
                <w:rFonts w:hint="eastAsia"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D6AAB7B">
            <w:pPr>
              <w:widowControl/>
              <w:jc w:val="right"/>
              <w:rPr>
                <w:rFonts w:hint="eastAsia"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697A288D">
            <w:pPr>
              <w:widowControl/>
              <w:jc w:val="right"/>
              <w:rPr>
                <w:rFonts w:hint="eastAsia" w:ascii="宋体" w:hAnsi="宋体" w:cs="Arial"/>
                <w:color w:val="auto"/>
                <w:kern w:val="0"/>
                <w:szCs w:val="21"/>
              </w:rPr>
            </w:pPr>
          </w:p>
        </w:tc>
      </w:tr>
      <w:bookmarkEnd w:id="523"/>
      <w:bookmarkEnd w:id="524"/>
    </w:tbl>
    <w:p w14:paraId="2A2EBBC2">
      <w:pPr>
        <w:jc w:val="center"/>
        <w:rPr>
          <w:rFonts w:hint="eastAsia"/>
          <w:color w:val="auto"/>
          <w:sz w:val="28"/>
          <w:szCs w:val="28"/>
        </w:rPr>
      </w:pPr>
      <w:bookmarkStart w:id="525" w:name="_Toc535241142"/>
      <w:bookmarkStart w:id="526" w:name="_Toc44996378"/>
      <w:bookmarkStart w:id="527" w:name="_Toc171742000"/>
      <w:bookmarkStart w:id="528" w:name="_Toc171581557"/>
      <w:bookmarkStart w:id="529" w:name="_Toc17215716"/>
      <w:bookmarkStart w:id="530" w:name="_Toc171581377"/>
    </w:p>
    <w:p w14:paraId="26FCF9BC">
      <w:pPr>
        <w:jc w:val="center"/>
        <w:outlineLvl w:val="2"/>
        <w:rPr>
          <w:rFonts w:hint="eastAsia"/>
          <w:color w:val="auto"/>
          <w:sz w:val="28"/>
          <w:szCs w:val="28"/>
        </w:rPr>
      </w:pPr>
      <w:r>
        <w:rPr>
          <w:rFonts w:hint="eastAsia"/>
          <w:color w:val="auto"/>
          <w:sz w:val="28"/>
          <w:szCs w:val="28"/>
        </w:rPr>
        <w:t>（十六）发包人提供材料（工程设备）一览表</w:t>
      </w:r>
      <w:bookmarkEnd w:id="525"/>
    </w:p>
    <w:p w14:paraId="6918656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946"/>
        <w:gridCol w:w="3126"/>
        <w:gridCol w:w="1188"/>
        <w:gridCol w:w="1342"/>
        <w:gridCol w:w="1474"/>
        <w:gridCol w:w="1142"/>
        <w:gridCol w:w="1091"/>
      </w:tblGrid>
      <w:tr w14:paraId="35DD4F14">
        <w:tblPrEx>
          <w:tblCellMar>
            <w:top w:w="0" w:type="dxa"/>
            <w:left w:w="108" w:type="dxa"/>
            <w:bottom w:w="0" w:type="dxa"/>
            <w:right w:w="108" w:type="dxa"/>
          </w:tblCellMar>
        </w:tblPrEx>
        <w:trPr>
          <w:trHeight w:val="690" w:hRule="atLeast"/>
        </w:trPr>
        <w:tc>
          <w:tcPr>
            <w:tcW w:w="45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60A7E0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 xml:space="preserve"> 序号</w:t>
            </w:r>
          </w:p>
        </w:tc>
        <w:tc>
          <w:tcPr>
            <w:tcW w:w="1516" w:type="pct"/>
            <w:tcBorders>
              <w:top w:val="single" w:color="000000" w:sz="8" w:space="0"/>
              <w:left w:val="nil"/>
              <w:bottom w:val="single" w:color="000000" w:sz="4" w:space="0"/>
              <w:right w:val="single" w:color="000000" w:sz="4" w:space="0"/>
            </w:tcBorders>
            <w:shd w:val="clear" w:color="FFFFFF" w:fill="FFFFFF"/>
            <w:noWrap w:val="0"/>
            <w:vAlign w:val="center"/>
          </w:tcPr>
          <w:p w14:paraId="02360F8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576" w:type="pct"/>
            <w:tcBorders>
              <w:top w:val="single" w:color="000000" w:sz="8" w:space="0"/>
              <w:left w:val="nil"/>
              <w:bottom w:val="single" w:color="000000" w:sz="4" w:space="0"/>
              <w:right w:val="single" w:color="000000" w:sz="4" w:space="0"/>
            </w:tcBorders>
            <w:shd w:val="clear" w:color="FFFFFF" w:fill="FFFFFF"/>
            <w:noWrap w:val="0"/>
            <w:vAlign w:val="center"/>
          </w:tcPr>
          <w:p w14:paraId="140F3A0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651" w:type="pct"/>
            <w:tcBorders>
              <w:top w:val="single" w:color="000000" w:sz="8" w:space="0"/>
              <w:left w:val="nil"/>
              <w:bottom w:val="single" w:color="000000" w:sz="4" w:space="0"/>
              <w:right w:val="single" w:color="000000" w:sz="4" w:space="0"/>
            </w:tcBorders>
            <w:shd w:val="clear" w:color="FFFFFF" w:fill="FFFFFF"/>
            <w:noWrap w:val="0"/>
            <w:vAlign w:val="center"/>
          </w:tcPr>
          <w:p w14:paraId="0E7BE0D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715" w:type="pct"/>
            <w:tcBorders>
              <w:top w:val="single" w:color="000000" w:sz="8" w:space="0"/>
              <w:left w:val="nil"/>
              <w:bottom w:val="single" w:color="000000" w:sz="4" w:space="0"/>
              <w:right w:val="single" w:color="000000" w:sz="4" w:space="0"/>
            </w:tcBorders>
            <w:shd w:val="clear" w:color="FFFFFF" w:fill="FFFFFF"/>
            <w:noWrap w:val="0"/>
            <w:vAlign w:val="center"/>
          </w:tcPr>
          <w:p w14:paraId="2EA9708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单价(元)</w:t>
            </w:r>
          </w:p>
        </w:tc>
        <w:tc>
          <w:tcPr>
            <w:tcW w:w="554" w:type="pct"/>
            <w:tcBorders>
              <w:top w:val="single" w:color="000000" w:sz="8" w:space="0"/>
              <w:left w:val="nil"/>
              <w:bottom w:val="single" w:color="000000" w:sz="4" w:space="0"/>
              <w:right w:val="single" w:color="000000" w:sz="4" w:space="0"/>
            </w:tcBorders>
            <w:shd w:val="clear" w:color="FFFFFF" w:fill="FFFFFF"/>
            <w:noWrap w:val="0"/>
            <w:vAlign w:val="center"/>
          </w:tcPr>
          <w:p w14:paraId="650201E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合价(元)</w:t>
            </w:r>
          </w:p>
        </w:tc>
        <w:tc>
          <w:tcPr>
            <w:tcW w:w="529" w:type="pct"/>
            <w:tcBorders>
              <w:top w:val="single" w:color="000000" w:sz="8" w:space="0"/>
              <w:left w:val="nil"/>
              <w:bottom w:val="single" w:color="000000" w:sz="4" w:space="0"/>
              <w:right w:val="single" w:color="000000" w:sz="8" w:space="0"/>
            </w:tcBorders>
            <w:shd w:val="clear" w:color="FFFFFF" w:fill="FFFFFF"/>
            <w:noWrap w:val="0"/>
            <w:vAlign w:val="center"/>
          </w:tcPr>
          <w:p w14:paraId="771D021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145EB1B1">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0C94FC27">
            <w:pPr>
              <w:widowControl/>
              <w:jc w:val="center"/>
              <w:rPr>
                <w:rFonts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6378D911">
            <w:pPr>
              <w:widowControl/>
              <w:jc w:val="left"/>
              <w:rPr>
                <w:rFonts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11D6B8D9">
            <w:pPr>
              <w:widowControl/>
              <w:jc w:val="center"/>
              <w:rPr>
                <w:rFonts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487A13DC">
            <w:pPr>
              <w:widowControl/>
              <w:jc w:val="right"/>
              <w:rPr>
                <w:rFonts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34381EAC">
            <w:pPr>
              <w:widowControl/>
              <w:jc w:val="right"/>
              <w:rPr>
                <w:rFonts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4564B638">
            <w:pPr>
              <w:widowControl/>
              <w:jc w:val="right"/>
              <w:rPr>
                <w:rFonts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51A6427D">
            <w:pPr>
              <w:widowControl/>
              <w:jc w:val="left"/>
              <w:rPr>
                <w:rFonts w:ascii="宋体" w:hAnsi="宋体" w:cs="Arial"/>
                <w:color w:val="auto"/>
                <w:kern w:val="0"/>
                <w:szCs w:val="21"/>
              </w:rPr>
            </w:pPr>
          </w:p>
        </w:tc>
      </w:tr>
      <w:tr w14:paraId="0AB35DC8">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3E347D">
            <w:pPr>
              <w:widowControl/>
              <w:jc w:val="center"/>
              <w:rPr>
                <w:rFonts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5A744007">
            <w:pPr>
              <w:widowControl/>
              <w:jc w:val="left"/>
              <w:rPr>
                <w:rFonts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2A9D4BA5">
            <w:pPr>
              <w:widowControl/>
              <w:jc w:val="center"/>
              <w:rPr>
                <w:rFonts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011BE75">
            <w:pPr>
              <w:widowControl/>
              <w:jc w:val="right"/>
              <w:rPr>
                <w:rFonts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5BF30644">
            <w:pPr>
              <w:widowControl/>
              <w:jc w:val="right"/>
              <w:rPr>
                <w:rFonts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53D49A50">
            <w:pPr>
              <w:widowControl/>
              <w:jc w:val="right"/>
              <w:rPr>
                <w:rFonts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7612A296">
            <w:pPr>
              <w:widowControl/>
              <w:jc w:val="left"/>
              <w:rPr>
                <w:rFonts w:ascii="宋体" w:hAnsi="宋体" w:cs="Arial"/>
                <w:color w:val="auto"/>
                <w:kern w:val="0"/>
                <w:szCs w:val="21"/>
              </w:rPr>
            </w:pPr>
          </w:p>
        </w:tc>
      </w:tr>
      <w:tr w14:paraId="2273D060">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D164F8">
            <w:pPr>
              <w:widowControl/>
              <w:jc w:val="center"/>
              <w:rPr>
                <w:rFonts w:hint="eastAsia"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1D41B043">
            <w:pPr>
              <w:widowControl/>
              <w:jc w:val="left"/>
              <w:rPr>
                <w:rFonts w:hint="eastAsia"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35FF53CB">
            <w:pPr>
              <w:widowControl/>
              <w:jc w:val="center"/>
              <w:rPr>
                <w:rFonts w:hint="eastAsia"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EF94E15">
            <w:pPr>
              <w:widowControl/>
              <w:jc w:val="right"/>
              <w:rPr>
                <w:rFonts w:hint="eastAsia"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629DA564">
            <w:pPr>
              <w:widowControl/>
              <w:jc w:val="right"/>
              <w:rPr>
                <w:rFonts w:hint="eastAsia"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5BAB8A95">
            <w:pPr>
              <w:widowControl/>
              <w:jc w:val="right"/>
              <w:rPr>
                <w:rFonts w:hint="eastAsia"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007EFD40">
            <w:pPr>
              <w:widowControl/>
              <w:jc w:val="left"/>
              <w:rPr>
                <w:rFonts w:hint="eastAsia" w:ascii="宋体" w:hAnsi="宋体" w:cs="Arial"/>
                <w:color w:val="auto"/>
                <w:kern w:val="0"/>
                <w:szCs w:val="21"/>
              </w:rPr>
            </w:pPr>
          </w:p>
        </w:tc>
      </w:tr>
    </w:tbl>
    <w:p w14:paraId="6F61DB6C">
      <w:pPr>
        <w:tabs>
          <w:tab w:val="left" w:pos="0"/>
        </w:tabs>
        <w:spacing w:before="48" w:beforeLines="20" w:after="48" w:afterLines="20" w:line="540" w:lineRule="exact"/>
        <w:ind w:right="-212"/>
        <w:jc w:val="left"/>
        <w:rPr>
          <w:rFonts w:ascii="宋体" w:hAnsi="宋体"/>
          <w:color w:val="auto"/>
          <w:sz w:val="24"/>
          <w:szCs w:val="22"/>
        </w:rPr>
      </w:pPr>
    </w:p>
    <w:p w14:paraId="58C545BB">
      <w:pPr>
        <w:jc w:val="center"/>
        <w:outlineLvl w:val="2"/>
        <w:rPr>
          <w:rFonts w:hint="eastAsia"/>
          <w:color w:val="auto"/>
          <w:sz w:val="28"/>
          <w:szCs w:val="28"/>
        </w:rPr>
      </w:pPr>
      <w:r>
        <w:rPr>
          <w:color w:val="auto"/>
          <w:sz w:val="28"/>
          <w:szCs w:val="28"/>
        </w:rPr>
        <w:br w:type="page"/>
      </w:r>
      <w:bookmarkStart w:id="531" w:name="_Toc535241143"/>
      <w:bookmarkStart w:id="532" w:name="_Toc460660253"/>
      <w:bookmarkStart w:id="533" w:name="_Toc460227138"/>
      <w:r>
        <w:rPr>
          <w:rFonts w:hint="eastAsia"/>
          <w:color w:val="auto"/>
          <w:sz w:val="28"/>
          <w:szCs w:val="28"/>
        </w:rPr>
        <w:t>（十七）承包人提供材料（工程设备）一览表</w:t>
      </w:r>
      <w:bookmarkEnd w:id="531"/>
    </w:p>
    <w:p w14:paraId="6DD9CDF4">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713"/>
        <w:gridCol w:w="2367"/>
        <w:gridCol w:w="839"/>
        <w:gridCol w:w="1194"/>
        <w:gridCol w:w="1194"/>
        <w:gridCol w:w="1530"/>
        <w:gridCol w:w="1530"/>
        <w:gridCol w:w="942"/>
      </w:tblGrid>
      <w:tr w14:paraId="035E49E3">
        <w:trPr>
          <w:trHeight w:val="750" w:hRule="atLeast"/>
        </w:trPr>
        <w:tc>
          <w:tcPr>
            <w:tcW w:w="34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EC1187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48" w:type="pct"/>
            <w:tcBorders>
              <w:top w:val="single" w:color="000000" w:sz="8" w:space="0"/>
              <w:left w:val="nil"/>
              <w:bottom w:val="single" w:color="000000" w:sz="4" w:space="0"/>
              <w:right w:val="single" w:color="000000" w:sz="4" w:space="0"/>
            </w:tcBorders>
            <w:shd w:val="clear" w:color="FFFFFF" w:fill="FFFFFF"/>
            <w:noWrap w:val="0"/>
            <w:vAlign w:val="center"/>
          </w:tcPr>
          <w:p w14:paraId="3AFD698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407" w:type="pct"/>
            <w:tcBorders>
              <w:top w:val="single" w:color="000000" w:sz="8" w:space="0"/>
              <w:left w:val="nil"/>
              <w:bottom w:val="single" w:color="000000" w:sz="4" w:space="0"/>
              <w:right w:val="single" w:color="000000" w:sz="4" w:space="0"/>
            </w:tcBorders>
            <w:shd w:val="clear" w:color="FFFFFF" w:fill="FFFFFF"/>
            <w:noWrap w:val="0"/>
            <w:vAlign w:val="center"/>
          </w:tcPr>
          <w:p w14:paraId="5B5831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28F8BA6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6F54C8E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风险系数(%)</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6903DDF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基准单价</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1CFF153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投标单价</w:t>
            </w:r>
          </w:p>
        </w:tc>
        <w:tc>
          <w:tcPr>
            <w:tcW w:w="457" w:type="pct"/>
            <w:tcBorders>
              <w:top w:val="single" w:color="000000" w:sz="8" w:space="0"/>
              <w:left w:val="nil"/>
              <w:bottom w:val="single" w:color="000000" w:sz="4" w:space="0"/>
              <w:right w:val="single" w:color="000000" w:sz="8" w:space="0"/>
            </w:tcBorders>
            <w:shd w:val="clear" w:color="FFFFFF" w:fill="FFFFFF"/>
            <w:noWrap w:val="0"/>
            <w:vAlign w:val="center"/>
          </w:tcPr>
          <w:p w14:paraId="126E5B2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39F4F599">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79E90D22">
            <w:pPr>
              <w:widowControl/>
              <w:jc w:val="center"/>
              <w:rPr>
                <w:rFonts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37D23417">
            <w:pPr>
              <w:widowControl/>
              <w:jc w:val="left"/>
              <w:rPr>
                <w:rFonts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4F0EA165">
            <w:pPr>
              <w:widowControl/>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17F77D94">
            <w:pPr>
              <w:widowControl/>
              <w:jc w:val="right"/>
              <w:rPr>
                <w:rFonts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151A9639">
            <w:pPr>
              <w:widowControl/>
              <w:jc w:val="right"/>
              <w:rPr>
                <w:rFonts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4BFE63F8">
            <w:pPr>
              <w:widowControl/>
              <w:jc w:val="right"/>
              <w:rPr>
                <w:rFonts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7FB472D2">
            <w:pPr>
              <w:widowControl/>
              <w:jc w:val="right"/>
              <w:rPr>
                <w:rFonts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2A475D5E">
            <w:pPr>
              <w:widowControl/>
              <w:jc w:val="left"/>
              <w:rPr>
                <w:rFonts w:ascii="宋体" w:hAnsi="宋体" w:cs="Arial"/>
                <w:color w:val="auto"/>
                <w:kern w:val="0"/>
                <w:szCs w:val="21"/>
              </w:rPr>
            </w:pPr>
          </w:p>
        </w:tc>
      </w:tr>
      <w:tr w14:paraId="4202BBD2">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2FF4DBE3">
            <w:pPr>
              <w:widowControl/>
              <w:jc w:val="center"/>
              <w:rPr>
                <w:rFonts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4B820F9B">
            <w:pPr>
              <w:widowControl/>
              <w:jc w:val="left"/>
              <w:rPr>
                <w:rFonts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7C935ABF">
            <w:pPr>
              <w:widowControl/>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96BABC2">
            <w:pPr>
              <w:widowControl/>
              <w:jc w:val="right"/>
              <w:rPr>
                <w:rFonts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72857488">
            <w:pPr>
              <w:widowControl/>
              <w:jc w:val="right"/>
              <w:rPr>
                <w:rFonts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232F7E16">
            <w:pPr>
              <w:widowControl/>
              <w:jc w:val="right"/>
              <w:rPr>
                <w:rFonts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5B7C940A">
            <w:pPr>
              <w:widowControl/>
              <w:jc w:val="right"/>
              <w:rPr>
                <w:rFonts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1F45C619">
            <w:pPr>
              <w:widowControl/>
              <w:jc w:val="left"/>
              <w:rPr>
                <w:rFonts w:ascii="宋体" w:hAnsi="宋体" w:cs="Arial"/>
                <w:color w:val="auto"/>
                <w:kern w:val="0"/>
                <w:szCs w:val="21"/>
              </w:rPr>
            </w:pPr>
          </w:p>
        </w:tc>
      </w:tr>
      <w:tr w14:paraId="73C49357">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0550E257">
            <w:pPr>
              <w:widowControl/>
              <w:jc w:val="center"/>
              <w:rPr>
                <w:rFonts w:hint="eastAsia"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63D5AE38">
            <w:pPr>
              <w:widowControl/>
              <w:jc w:val="left"/>
              <w:rPr>
                <w:rFonts w:hint="eastAsia"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6B6245DB">
            <w:pPr>
              <w:widowControl/>
              <w:jc w:val="center"/>
              <w:rPr>
                <w:rFonts w:hint="eastAsia"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0BECAD67">
            <w:pPr>
              <w:widowControl/>
              <w:jc w:val="right"/>
              <w:rPr>
                <w:rFonts w:hint="eastAsia"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2D0F0C5C">
            <w:pPr>
              <w:widowControl/>
              <w:jc w:val="right"/>
              <w:rPr>
                <w:rFonts w:hint="eastAsia"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3F8383F5">
            <w:pPr>
              <w:widowControl/>
              <w:jc w:val="right"/>
              <w:rPr>
                <w:rFonts w:hint="eastAsia"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25AD5CEF">
            <w:pPr>
              <w:widowControl/>
              <w:jc w:val="right"/>
              <w:rPr>
                <w:rFonts w:hint="eastAsia"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4F32841E">
            <w:pPr>
              <w:widowControl/>
              <w:jc w:val="left"/>
              <w:rPr>
                <w:rFonts w:hint="eastAsia" w:ascii="宋体" w:hAnsi="宋体" w:cs="Arial"/>
                <w:color w:val="auto"/>
                <w:kern w:val="0"/>
                <w:szCs w:val="21"/>
              </w:rPr>
            </w:pPr>
          </w:p>
        </w:tc>
      </w:tr>
    </w:tbl>
    <w:p w14:paraId="10179CF8">
      <w:pPr>
        <w:rPr>
          <w:rFonts w:hint="eastAsia"/>
          <w:color w:val="auto"/>
        </w:rPr>
      </w:pPr>
    </w:p>
    <w:p w14:paraId="037F6742">
      <w:pPr>
        <w:jc w:val="center"/>
        <w:outlineLvl w:val="2"/>
        <w:rPr>
          <w:color w:val="auto"/>
          <w:sz w:val="28"/>
          <w:szCs w:val="28"/>
        </w:rPr>
      </w:pPr>
      <w:bookmarkStart w:id="534" w:name="_Toc535241144"/>
      <w:r>
        <w:rPr>
          <w:color w:val="auto"/>
          <w:sz w:val="28"/>
          <w:szCs w:val="28"/>
        </w:rPr>
        <w:br w:type="page"/>
      </w:r>
      <w:bookmarkStart w:id="535" w:name="_Toc518575601"/>
      <w:bookmarkStart w:id="536" w:name="_Toc526759717"/>
      <w:bookmarkStart w:id="537" w:name="_Toc532910666"/>
      <w:bookmarkStart w:id="538" w:name="_Toc532910386"/>
      <w:bookmarkStart w:id="539" w:name="_Toc518922054"/>
      <w:r>
        <w:rPr>
          <w:rFonts w:hint="eastAsia"/>
          <w:color w:val="auto"/>
          <w:sz w:val="28"/>
          <w:szCs w:val="28"/>
        </w:rPr>
        <w:t>（十八）招标人推荐的材料品牌响应表</w:t>
      </w:r>
      <w:bookmarkEnd w:id="535"/>
      <w:bookmarkEnd w:id="536"/>
      <w:bookmarkEnd w:id="537"/>
      <w:bookmarkEnd w:id="538"/>
      <w:bookmarkEnd w:id="539"/>
    </w:p>
    <w:p w14:paraId="3B362675">
      <w:pPr>
        <w:spacing w:before="20" w:after="20" w:line="540" w:lineRule="exact"/>
        <w:rPr>
          <w:rFonts w:hint="eastAsia" w:ascii="宋体" w:hAnsi="宋体"/>
          <w:color w:val="auto"/>
          <w:szCs w:val="21"/>
        </w:rPr>
      </w:pPr>
      <w:r>
        <w:rPr>
          <w:rFonts w:hint="eastAsia" w:ascii="宋体" w:hAnsi="宋体"/>
          <w:color w:val="auto"/>
          <w:szCs w:val="21"/>
        </w:rPr>
        <w:t>工程名称：                                              第   页共   页</w:t>
      </w:r>
    </w:p>
    <w:p w14:paraId="0E4EFE32">
      <w:pPr>
        <w:spacing w:before="20" w:after="20" w:line="540" w:lineRule="exact"/>
        <w:jc w:val="center"/>
        <w:outlineLvl w:val="3"/>
        <w:rPr>
          <w:rFonts w:hint="eastAsia" w:ascii="Calibri" w:hAnsi="Calibri"/>
          <w:color w:val="auto"/>
          <w:sz w:val="24"/>
          <w:szCs w:val="22"/>
        </w:rPr>
      </w:pPr>
      <w:r>
        <w:rPr>
          <w:rFonts w:ascii="宋体" w:hAnsi="宋体" w:cs="宋体"/>
          <w:b/>
          <w:color w:val="auto"/>
          <w:szCs w:val="21"/>
        </w:rPr>
        <w:t>品牌推荐表</w:t>
      </w:r>
    </w:p>
    <w:tbl>
      <w:tblPr>
        <w:tblStyle w:val="54"/>
        <w:tblpPr w:leftFromText="180" w:rightFromText="180" w:vertAnchor="text" w:horzAnchor="page" w:tblpX="1471" w:tblpY="910"/>
        <w:tblOverlap w:val="never"/>
        <w:tblW w:w="90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489"/>
        <w:gridCol w:w="5439"/>
        <w:gridCol w:w="1390"/>
      </w:tblGrid>
      <w:tr w14:paraId="7551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53" w:type="dxa"/>
            <w:gridSpan w:val="4"/>
            <w:tcBorders>
              <w:top w:val="nil"/>
              <w:left w:val="nil"/>
              <w:bottom w:val="nil"/>
              <w:right w:val="nil"/>
            </w:tcBorders>
            <w:noWrap w:val="0"/>
            <w:vAlign w:val="center"/>
          </w:tcPr>
          <w:p w14:paraId="7DABCDF4">
            <w:pPr>
              <w:keepNext w:val="0"/>
              <w:keepLines w:val="0"/>
              <w:widowControl/>
              <w:suppressLineNumbers w:val="0"/>
              <w:jc w:val="both"/>
              <w:textAlignment w:val="center"/>
              <w:rPr>
                <w:rFonts w:hint="eastAsia" w:ascii="宋体" w:hAnsi="宋体" w:eastAsia="宋体" w:cs="宋体"/>
                <w:b/>
                <w:bCs/>
                <w:i w:val="0"/>
                <w:iCs w:val="0"/>
                <w:color w:val="auto"/>
                <w:sz w:val="40"/>
                <w:szCs w:val="40"/>
                <w:u w:val="none"/>
              </w:rPr>
            </w:pPr>
          </w:p>
        </w:tc>
      </w:tr>
      <w:tr w14:paraId="5294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5" w:type="dxa"/>
            <w:vMerge w:val="restart"/>
            <w:tcBorders>
              <w:top w:val="single" w:color="000000" w:sz="8" w:space="0"/>
              <w:left w:val="single" w:color="000000" w:sz="8" w:space="0"/>
              <w:bottom w:val="single" w:color="000000" w:sz="4" w:space="0"/>
              <w:right w:val="single" w:color="000000" w:sz="4" w:space="0"/>
            </w:tcBorders>
            <w:noWrap w:val="0"/>
            <w:vAlign w:val="center"/>
          </w:tcPr>
          <w:p w14:paraId="66E819D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89" w:type="dxa"/>
            <w:vMerge w:val="restart"/>
            <w:tcBorders>
              <w:top w:val="single" w:color="000000" w:sz="8" w:space="0"/>
              <w:left w:val="single" w:color="000000" w:sz="4" w:space="0"/>
              <w:bottom w:val="single" w:color="000000" w:sz="4" w:space="0"/>
              <w:right w:val="single" w:color="000000" w:sz="4" w:space="0"/>
            </w:tcBorders>
            <w:noWrap w:val="0"/>
            <w:vAlign w:val="center"/>
          </w:tcPr>
          <w:p w14:paraId="17E65EE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材料名称</w:t>
            </w:r>
          </w:p>
        </w:tc>
        <w:tc>
          <w:tcPr>
            <w:tcW w:w="5439" w:type="dxa"/>
            <w:vMerge w:val="restart"/>
            <w:tcBorders>
              <w:top w:val="single" w:color="000000" w:sz="8" w:space="0"/>
              <w:left w:val="single" w:color="000000" w:sz="4" w:space="0"/>
              <w:bottom w:val="single" w:color="000000" w:sz="4" w:space="0"/>
              <w:right w:val="single" w:color="000000" w:sz="4" w:space="0"/>
            </w:tcBorders>
            <w:noWrap w:val="0"/>
            <w:vAlign w:val="center"/>
          </w:tcPr>
          <w:p w14:paraId="68AE765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推荐入库品牌</w:t>
            </w:r>
          </w:p>
        </w:tc>
        <w:tc>
          <w:tcPr>
            <w:tcW w:w="1390" w:type="dxa"/>
            <w:vMerge w:val="restart"/>
            <w:tcBorders>
              <w:top w:val="single" w:color="000000" w:sz="8" w:space="0"/>
              <w:left w:val="single" w:color="000000" w:sz="4" w:space="0"/>
              <w:bottom w:val="single" w:color="000000" w:sz="4" w:space="0"/>
              <w:right w:val="single" w:color="000000" w:sz="8" w:space="0"/>
            </w:tcBorders>
            <w:noWrap w:val="0"/>
            <w:vAlign w:val="center"/>
          </w:tcPr>
          <w:p w14:paraId="5AFB65C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5D50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5" w:type="dxa"/>
            <w:vMerge w:val="continue"/>
            <w:tcBorders>
              <w:top w:val="single" w:color="000000" w:sz="8" w:space="0"/>
              <w:left w:val="single" w:color="000000" w:sz="8" w:space="0"/>
              <w:bottom w:val="single" w:color="000000" w:sz="4" w:space="0"/>
              <w:right w:val="single" w:color="000000" w:sz="4" w:space="0"/>
            </w:tcBorders>
            <w:noWrap w:val="0"/>
            <w:vAlign w:val="center"/>
          </w:tcPr>
          <w:p w14:paraId="2C818DF7">
            <w:pPr>
              <w:jc w:val="center"/>
              <w:rPr>
                <w:rFonts w:hint="eastAsia" w:ascii="宋体" w:hAnsi="宋体" w:eastAsia="宋体" w:cs="宋体"/>
                <w:b/>
                <w:bCs/>
                <w:i w:val="0"/>
                <w:iCs w:val="0"/>
                <w:color w:val="auto"/>
                <w:sz w:val="21"/>
                <w:szCs w:val="21"/>
                <w:u w:val="none"/>
              </w:rPr>
            </w:pPr>
          </w:p>
        </w:tc>
        <w:tc>
          <w:tcPr>
            <w:tcW w:w="1489" w:type="dxa"/>
            <w:vMerge w:val="continue"/>
            <w:tcBorders>
              <w:top w:val="single" w:color="000000" w:sz="8" w:space="0"/>
              <w:left w:val="single" w:color="000000" w:sz="4" w:space="0"/>
              <w:bottom w:val="single" w:color="000000" w:sz="4" w:space="0"/>
              <w:right w:val="single" w:color="000000" w:sz="4" w:space="0"/>
            </w:tcBorders>
            <w:noWrap w:val="0"/>
            <w:vAlign w:val="center"/>
          </w:tcPr>
          <w:p w14:paraId="79681C44">
            <w:pPr>
              <w:jc w:val="center"/>
              <w:rPr>
                <w:rFonts w:hint="eastAsia" w:ascii="宋体" w:hAnsi="宋体" w:eastAsia="宋体" w:cs="宋体"/>
                <w:b/>
                <w:bCs/>
                <w:i w:val="0"/>
                <w:iCs w:val="0"/>
                <w:color w:val="auto"/>
                <w:sz w:val="21"/>
                <w:szCs w:val="21"/>
                <w:u w:val="none"/>
              </w:rPr>
            </w:pPr>
          </w:p>
        </w:tc>
        <w:tc>
          <w:tcPr>
            <w:tcW w:w="5439" w:type="dxa"/>
            <w:vMerge w:val="continue"/>
            <w:tcBorders>
              <w:top w:val="single" w:color="000000" w:sz="8" w:space="0"/>
              <w:left w:val="single" w:color="000000" w:sz="4" w:space="0"/>
              <w:bottom w:val="single" w:color="000000" w:sz="4" w:space="0"/>
              <w:right w:val="single" w:color="000000" w:sz="4" w:space="0"/>
            </w:tcBorders>
            <w:noWrap w:val="0"/>
            <w:vAlign w:val="center"/>
          </w:tcPr>
          <w:p w14:paraId="52C9AB16">
            <w:pPr>
              <w:jc w:val="center"/>
              <w:rPr>
                <w:rFonts w:hint="eastAsia" w:ascii="宋体" w:hAnsi="宋体" w:eastAsia="宋体" w:cs="宋体"/>
                <w:b/>
                <w:bCs/>
                <w:i w:val="0"/>
                <w:iCs w:val="0"/>
                <w:color w:val="auto"/>
                <w:sz w:val="21"/>
                <w:szCs w:val="21"/>
                <w:u w:val="none"/>
              </w:rPr>
            </w:pPr>
          </w:p>
        </w:tc>
        <w:tc>
          <w:tcPr>
            <w:tcW w:w="1390" w:type="dxa"/>
            <w:vMerge w:val="continue"/>
            <w:tcBorders>
              <w:top w:val="single" w:color="000000" w:sz="8" w:space="0"/>
              <w:left w:val="single" w:color="000000" w:sz="4" w:space="0"/>
              <w:bottom w:val="single" w:color="000000" w:sz="4" w:space="0"/>
              <w:right w:val="single" w:color="000000" w:sz="8" w:space="0"/>
            </w:tcBorders>
            <w:noWrap w:val="0"/>
            <w:vAlign w:val="center"/>
          </w:tcPr>
          <w:p w14:paraId="3B1ADA7F">
            <w:pPr>
              <w:jc w:val="center"/>
              <w:rPr>
                <w:rFonts w:hint="eastAsia" w:ascii="宋体" w:hAnsi="宋体" w:eastAsia="宋体" w:cs="宋体"/>
                <w:b/>
                <w:bCs/>
                <w:i w:val="0"/>
                <w:iCs w:val="0"/>
                <w:color w:val="auto"/>
                <w:sz w:val="21"/>
                <w:szCs w:val="21"/>
                <w:u w:val="none"/>
              </w:rPr>
            </w:pPr>
          </w:p>
        </w:tc>
      </w:tr>
      <w:tr w14:paraId="709F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0FB224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62C4C2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土建工程类</w:t>
            </w:r>
          </w:p>
        </w:tc>
      </w:tr>
      <w:tr w14:paraId="7639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76C9A4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AF47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水泥</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336593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海螺牌（安徽海螺水泥股份有限公司）；铁鹏牌（中国铁路物资安徽铁鹏水泥有限公司）；“铸”字牌（安徽省巢铸水泥厂有限公司）</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8898B1E">
            <w:pPr>
              <w:jc w:val="center"/>
              <w:rPr>
                <w:rFonts w:hint="eastAsia" w:ascii="宋体" w:hAnsi="宋体" w:eastAsia="宋体" w:cs="宋体"/>
                <w:i w:val="0"/>
                <w:iCs w:val="0"/>
                <w:color w:val="auto"/>
                <w:sz w:val="21"/>
                <w:szCs w:val="21"/>
                <w:u w:val="none"/>
              </w:rPr>
            </w:pPr>
          </w:p>
        </w:tc>
      </w:tr>
      <w:tr w14:paraId="4CF5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4E74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4ABB3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钢材（钢筋、钢结构及装饰用型钢、原材等）</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A6587C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马钢（产地马鞍山）、首钢、马长江（产地当涂县）、沙钢、安钢信阳、宝武鄂钢、宝武武钢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BBD1BD">
            <w:pPr>
              <w:jc w:val="left"/>
              <w:rPr>
                <w:rFonts w:hint="eastAsia" w:ascii="宋体" w:hAnsi="宋体" w:eastAsia="宋体" w:cs="宋体"/>
                <w:i w:val="0"/>
                <w:iCs w:val="0"/>
                <w:color w:val="auto"/>
                <w:sz w:val="21"/>
                <w:szCs w:val="21"/>
                <w:u w:val="none"/>
              </w:rPr>
            </w:pPr>
          </w:p>
        </w:tc>
      </w:tr>
      <w:tr w14:paraId="6C7C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17DED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98BC428">
            <w:pPr>
              <w:keepNext w:val="0"/>
              <w:keepLines w:val="0"/>
              <w:widowControl/>
              <w:suppressLineNumbers w:val="0"/>
              <w:jc w:val="center"/>
              <w:textAlignment w:val="center"/>
              <w:rPr>
                <w:rFonts w:ascii="新宋体" w:hAnsi="新宋体" w:eastAsia="新宋体" w:cs="新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防水材料（包括防水卷材、防水涂料）</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A5DA34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东方雨虹、北新禹王、大禹、科顺、卓宝</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057A728">
            <w:pPr>
              <w:rPr>
                <w:rFonts w:hint="eastAsia" w:ascii="宋体" w:hAnsi="宋体" w:eastAsia="宋体" w:cs="宋体"/>
                <w:i w:val="0"/>
                <w:iCs w:val="0"/>
                <w:color w:val="auto"/>
                <w:sz w:val="21"/>
                <w:szCs w:val="21"/>
                <w:u w:val="none"/>
              </w:rPr>
            </w:pPr>
          </w:p>
        </w:tc>
      </w:tr>
      <w:tr w14:paraId="19F2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79B0F2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33A057D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装饰装修类</w:t>
            </w:r>
          </w:p>
        </w:tc>
      </w:tr>
      <w:tr w14:paraId="691D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7833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B1C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内墙涂料（含乳胶漆、水性漆、无机涂料及艺术涂料）</w:t>
            </w:r>
          </w:p>
        </w:tc>
        <w:tc>
          <w:tcPr>
            <w:tcW w:w="5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9E3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多乐士、立邦、紫荆花、华润、三棵树、嘉宝莉</w:t>
            </w:r>
          </w:p>
        </w:tc>
        <w:tc>
          <w:tcPr>
            <w:tcW w:w="13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BCF8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使用与品牌配套的腻子粉、底漆、罩面漆</w:t>
            </w:r>
          </w:p>
        </w:tc>
      </w:tr>
      <w:tr w14:paraId="559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C744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8E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装饰砂浆</w:t>
            </w:r>
          </w:p>
        </w:tc>
        <w:tc>
          <w:tcPr>
            <w:tcW w:w="5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998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快可美（德国）、汉高（德国）、西卡（瑞士）、堡密特</w:t>
            </w:r>
          </w:p>
        </w:tc>
        <w:tc>
          <w:tcPr>
            <w:tcW w:w="13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0C6156DD">
            <w:pPr>
              <w:rPr>
                <w:rFonts w:hint="eastAsia" w:ascii="宋体" w:hAnsi="宋体" w:eastAsia="宋体" w:cs="宋体"/>
                <w:i w:val="0"/>
                <w:iCs w:val="0"/>
                <w:color w:val="auto"/>
                <w:sz w:val="21"/>
                <w:szCs w:val="21"/>
                <w:u w:val="none"/>
              </w:rPr>
            </w:pPr>
          </w:p>
        </w:tc>
      </w:tr>
      <w:tr w14:paraId="58AC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11C9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ACEC3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瓷片、瓷砖、陶瓷薄板、岩板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5B01FF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金意陶、斯米克、新中源、冠珠、强辉、宏宇、金舵</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A82ABF9">
            <w:pPr>
              <w:rPr>
                <w:rFonts w:hint="eastAsia" w:ascii="宋体" w:hAnsi="宋体" w:eastAsia="宋体" w:cs="宋体"/>
                <w:i w:val="0"/>
                <w:iCs w:val="0"/>
                <w:color w:val="auto"/>
                <w:sz w:val="24"/>
                <w:szCs w:val="24"/>
                <w:u w:val="none"/>
              </w:rPr>
            </w:pPr>
          </w:p>
        </w:tc>
      </w:tr>
      <w:tr w14:paraId="752B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078CE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0AC9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石膏板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55BBE9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龙牌、泰山、可耐福、圣戈班·杰科、杰森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B568AAE">
            <w:pPr>
              <w:jc w:val="center"/>
              <w:rPr>
                <w:rFonts w:hint="eastAsia" w:ascii="宋体" w:hAnsi="宋体" w:eastAsia="宋体" w:cs="宋体"/>
                <w:i w:val="0"/>
                <w:iCs w:val="0"/>
                <w:color w:val="auto"/>
                <w:sz w:val="24"/>
                <w:szCs w:val="24"/>
                <w:u w:val="none"/>
              </w:rPr>
            </w:pPr>
          </w:p>
        </w:tc>
      </w:tr>
      <w:tr w14:paraId="76DC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94D82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F56BB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轻钢龙骨</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4189C7E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龙牌、泰山、可耐福、圣戈班·杰科、杰森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3BF1EFD">
            <w:pPr>
              <w:jc w:val="center"/>
              <w:rPr>
                <w:rFonts w:hint="eastAsia" w:ascii="宋体" w:hAnsi="宋体" w:eastAsia="宋体" w:cs="宋体"/>
                <w:i w:val="0"/>
                <w:iCs w:val="0"/>
                <w:color w:val="auto"/>
                <w:sz w:val="24"/>
                <w:szCs w:val="24"/>
                <w:u w:val="none"/>
              </w:rPr>
            </w:pPr>
          </w:p>
        </w:tc>
      </w:tr>
      <w:tr w14:paraId="6C09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D1DC5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A44CBF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木工板/阻燃板/多层板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19B670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兔宝宝、千年舟、莫干山</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4A0642A">
            <w:pPr>
              <w:rPr>
                <w:rFonts w:hint="eastAsia" w:ascii="宋体" w:hAnsi="宋体" w:eastAsia="宋体" w:cs="宋体"/>
                <w:i w:val="0"/>
                <w:iCs w:val="0"/>
                <w:color w:val="auto"/>
                <w:sz w:val="24"/>
                <w:szCs w:val="24"/>
                <w:u w:val="none"/>
              </w:rPr>
            </w:pPr>
          </w:p>
        </w:tc>
      </w:tr>
      <w:tr w14:paraId="0650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7CF78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CB1F6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（木）油漆</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603DAF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立邦、嘉宝莉、多乐士、三棵树、华润</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B46A8DF">
            <w:pPr>
              <w:rPr>
                <w:rFonts w:hint="eastAsia" w:ascii="宋体" w:hAnsi="宋体" w:eastAsia="宋体" w:cs="宋体"/>
                <w:i w:val="0"/>
                <w:iCs w:val="0"/>
                <w:color w:val="auto"/>
                <w:sz w:val="24"/>
                <w:szCs w:val="24"/>
                <w:u w:val="none"/>
              </w:rPr>
            </w:pPr>
          </w:p>
        </w:tc>
      </w:tr>
      <w:tr w14:paraId="3CA6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F7BA8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B1E3B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木地板（强化地板、实木复合地板、实木地板）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DAD67E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生活家、圣象、肯帝亚、大自然、安心、德尔、宏耐</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3230371">
            <w:pPr>
              <w:rPr>
                <w:rFonts w:hint="eastAsia" w:ascii="宋体" w:hAnsi="宋体" w:eastAsia="宋体" w:cs="宋体"/>
                <w:i w:val="0"/>
                <w:iCs w:val="0"/>
                <w:color w:val="auto"/>
                <w:sz w:val="24"/>
                <w:szCs w:val="24"/>
                <w:u w:val="none"/>
              </w:rPr>
            </w:pPr>
          </w:p>
        </w:tc>
      </w:tr>
      <w:tr w14:paraId="0FFF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F33BE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6CBD3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室内柜导轨、铰链</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F07C68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国产优质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F6A645C">
            <w:pPr>
              <w:rPr>
                <w:rFonts w:hint="eastAsia" w:ascii="宋体" w:hAnsi="宋体" w:eastAsia="宋体" w:cs="宋体"/>
                <w:i w:val="0"/>
                <w:iCs w:val="0"/>
                <w:color w:val="auto"/>
                <w:sz w:val="24"/>
                <w:szCs w:val="24"/>
                <w:u w:val="none"/>
              </w:rPr>
            </w:pPr>
          </w:p>
        </w:tc>
      </w:tr>
      <w:tr w14:paraId="468A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2D1D6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E4012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室内门锁、执手及五金</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6760BE5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国产优质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C037A4A">
            <w:pPr>
              <w:rPr>
                <w:rFonts w:hint="eastAsia" w:ascii="宋体" w:hAnsi="宋体" w:eastAsia="宋体" w:cs="宋体"/>
                <w:i w:val="0"/>
                <w:iCs w:val="0"/>
                <w:color w:val="auto"/>
                <w:sz w:val="24"/>
                <w:szCs w:val="24"/>
                <w:u w:val="none"/>
              </w:rPr>
            </w:pPr>
          </w:p>
        </w:tc>
      </w:tr>
      <w:tr w14:paraId="6EDA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D9479A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三</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27E77CC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门窗型材类</w:t>
            </w:r>
          </w:p>
        </w:tc>
      </w:tr>
      <w:tr w14:paraId="5776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599E0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5758C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铝型材（含铝合金门窗幕墙）</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24E2892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亚铝、兴发、广亚、凤铝、南山</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201A926">
            <w:pPr>
              <w:rPr>
                <w:rFonts w:hint="eastAsia" w:ascii="宋体" w:hAnsi="宋体" w:eastAsia="宋体" w:cs="宋体"/>
                <w:i w:val="0"/>
                <w:iCs w:val="0"/>
                <w:color w:val="auto"/>
                <w:sz w:val="24"/>
                <w:szCs w:val="24"/>
                <w:u w:val="none"/>
              </w:rPr>
            </w:pPr>
          </w:p>
        </w:tc>
      </w:tr>
      <w:tr w14:paraId="6DDA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B876A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55FAE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玻璃</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66FF696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南玻、耀皮、台玻、信义、金晶（超白玻）</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F2A5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项目根据情况选用“原厂原片代加工”及“原厂合片”两种模式其一</w:t>
            </w:r>
          </w:p>
        </w:tc>
      </w:tr>
      <w:tr w14:paraId="2A28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77E211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A8AF7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门窗/幕墙五金件</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0222E8F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五金件推荐品牌：“立兴”牌、“坚朗”牌、“合和”牌、山东“国强”牌</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34DD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包含地弹簧</w:t>
            </w:r>
          </w:p>
        </w:tc>
      </w:tr>
      <w:tr w14:paraId="59C4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5F8D8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DBB5B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密封胶/结构胶/防火胶</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1673E7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广东白云、杭州之江、郑州中原牌、安泰、硅宝</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B5DE484">
            <w:pPr>
              <w:rPr>
                <w:rFonts w:hint="eastAsia" w:ascii="宋体" w:hAnsi="宋体" w:eastAsia="宋体" w:cs="宋体"/>
                <w:i w:val="0"/>
                <w:iCs w:val="0"/>
                <w:color w:val="auto"/>
                <w:sz w:val="24"/>
                <w:szCs w:val="24"/>
                <w:u w:val="none"/>
              </w:rPr>
            </w:pPr>
          </w:p>
        </w:tc>
      </w:tr>
      <w:tr w14:paraId="34E7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0CC45A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四</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1B9D89E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常规安装工程类</w:t>
            </w:r>
          </w:p>
        </w:tc>
      </w:tr>
      <w:tr w14:paraId="7769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E7C4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E568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空调</w:t>
            </w:r>
          </w:p>
        </w:tc>
        <w:tc>
          <w:tcPr>
            <w:tcW w:w="5439" w:type="dxa"/>
            <w:tcBorders>
              <w:top w:val="single" w:color="000000" w:sz="4" w:space="0"/>
              <w:left w:val="single" w:color="000000" w:sz="4" w:space="0"/>
              <w:bottom w:val="single" w:color="000000" w:sz="4" w:space="0"/>
              <w:right w:val="nil"/>
            </w:tcBorders>
            <w:noWrap w:val="0"/>
            <w:vAlign w:val="center"/>
          </w:tcPr>
          <w:p w14:paraId="323552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 xml:space="preserve">                                                               格力、美的、海尔、海信日立</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E348847">
            <w:pPr>
              <w:jc w:val="left"/>
              <w:rPr>
                <w:rFonts w:hint="eastAsia" w:ascii="宋体" w:hAnsi="宋体" w:eastAsia="宋体" w:cs="宋体"/>
                <w:i w:val="0"/>
                <w:iCs w:val="0"/>
                <w:color w:val="auto"/>
                <w:sz w:val="22"/>
                <w:szCs w:val="22"/>
                <w:u w:val="none"/>
              </w:rPr>
            </w:pPr>
          </w:p>
        </w:tc>
      </w:tr>
      <w:tr w14:paraId="11E9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4747F4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B949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管道保温</w:t>
            </w:r>
          </w:p>
        </w:tc>
        <w:tc>
          <w:tcPr>
            <w:tcW w:w="5439" w:type="dxa"/>
            <w:tcBorders>
              <w:top w:val="single" w:color="000000" w:sz="4" w:space="0"/>
              <w:left w:val="single" w:color="000000" w:sz="4" w:space="0"/>
              <w:bottom w:val="single" w:color="000000" w:sz="4" w:space="0"/>
              <w:right w:val="nil"/>
            </w:tcBorders>
            <w:noWrap w:val="0"/>
            <w:vAlign w:val="center"/>
          </w:tcPr>
          <w:p w14:paraId="637068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华美、福乐斯、赢胜、华美奥美斯</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2C9952A">
            <w:pPr>
              <w:jc w:val="left"/>
              <w:rPr>
                <w:rFonts w:hint="eastAsia" w:ascii="宋体" w:hAnsi="宋体" w:eastAsia="宋体" w:cs="宋体"/>
                <w:i w:val="0"/>
                <w:iCs w:val="0"/>
                <w:color w:val="auto"/>
                <w:sz w:val="22"/>
                <w:szCs w:val="22"/>
                <w:u w:val="none"/>
              </w:rPr>
            </w:pPr>
          </w:p>
        </w:tc>
      </w:tr>
      <w:tr w14:paraId="2A27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6509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DE31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铜管</w:t>
            </w:r>
          </w:p>
        </w:tc>
        <w:tc>
          <w:tcPr>
            <w:tcW w:w="5439" w:type="dxa"/>
            <w:tcBorders>
              <w:top w:val="single" w:color="000000" w:sz="4" w:space="0"/>
              <w:left w:val="single" w:color="000000" w:sz="4" w:space="0"/>
              <w:bottom w:val="single" w:color="000000" w:sz="4" w:space="0"/>
              <w:right w:val="nil"/>
            </w:tcBorders>
            <w:noWrap w:val="0"/>
            <w:vAlign w:val="center"/>
          </w:tcPr>
          <w:p w14:paraId="62C737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明旺、青岛宏泰、 鲸龙 、浙江宏磊、张铜、中佳</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B9F4A0D">
            <w:pPr>
              <w:jc w:val="left"/>
              <w:rPr>
                <w:rFonts w:hint="eastAsia" w:ascii="宋体" w:hAnsi="宋体" w:eastAsia="宋体" w:cs="宋体"/>
                <w:i w:val="0"/>
                <w:iCs w:val="0"/>
                <w:color w:val="auto"/>
                <w:sz w:val="22"/>
                <w:szCs w:val="22"/>
                <w:u w:val="none"/>
              </w:rPr>
            </w:pPr>
          </w:p>
        </w:tc>
      </w:tr>
      <w:tr w14:paraId="08A6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9A4EB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80AA4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电工套管、塑料穿线管</w:t>
            </w:r>
          </w:p>
        </w:tc>
        <w:tc>
          <w:tcPr>
            <w:tcW w:w="5439" w:type="dxa"/>
            <w:tcBorders>
              <w:top w:val="single" w:color="000000" w:sz="4" w:space="0"/>
              <w:left w:val="single" w:color="000000" w:sz="4" w:space="0"/>
              <w:bottom w:val="single" w:color="000000" w:sz="4" w:space="0"/>
              <w:right w:val="nil"/>
            </w:tcBorders>
            <w:noWrap w:val="0"/>
            <w:vAlign w:val="center"/>
          </w:tcPr>
          <w:p w14:paraId="607C03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联塑、公元、康泰、华亚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CB4E506">
            <w:pPr>
              <w:jc w:val="left"/>
              <w:rPr>
                <w:rFonts w:hint="eastAsia" w:ascii="宋体" w:hAnsi="宋体" w:eastAsia="宋体" w:cs="宋体"/>
                <w:i w:val="0"/>
                <w:iCs w:val="0"/>
                <w:color w:val="auto"/>
                <w:sz w:val="22"/>
                <w:szCs w:val="22"/>
                <w:u w:val="none"/>
              </w:rPr>
            </w:pPr>
          </w:p>
        </w:tc>
      </w:tr>
      <w:tr w14:paraId="71A7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5FA2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13FD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给、排水系列（塑料管、钢丝网骨架管）</w:t>
            </w:r>
          </w:p>
        </w:tc>
        <w:tc>
          <w:tcPr>
            <w:tcW w:w="5439" w:type="dxa"/>
            <w:tcBorders>
              <w:top w:val="single" w:color="000000" w:sz="4" w:space="0"/>
              <w:left w:val="single" w:color="000000" w:sz="4" w:space="0"/>
              <w:bottom w:val="single" w:color="000000" w:sz="4" w:space="0"/>
              <w:right w:val="nil"/>
            </w:tcBorders>
            <w:noWrap w:val="0"/>
            <w:vAlign w:val="center"/>
          </w:tcPr>
          <w:p w14:paraId="4098E8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联塑、国通、公元、欧波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3562A0AC">
            <w:pPr>
              <w:jc w:val="center"/>
              <w:rPr>
                <w:rFonts w:hint="eastAsia" w:ascii="宋体" w:hAnsi="宋体" w:eastAsia="宋体" w:cs="宋体"/>
                <w:i w:val="0"/>
                <w:iCs w:val="0"/>
                <w:color w:val="auto"/>
                <w:sz w:val="22"/>
                <w:szCs w:val="22"/>
                <w:u w:val="none"/>
              </w:rPr>
            </w:pPr>
          </w:p>
        </w:tc>
      </w:tr>
      <w:tr w14:paraId="2C13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6EABC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nil"/>
              <w:right w:val="single" w:color="000000" w:sz="4" w:space="0"/>
            </w:tcBorders>
            <w:noWrap w:val="0"/>
            <w:vAlign w:val="center"/>
          </w:tcPr>
          <w:p w14:paraId="6256E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镀锌管材</w:t>
            </w:r>
          </w:p>
        </w:tc>
        <w:tc>
          <w:tcPr>
            <w:tcW w:w="5439" w:type="dxa"/>
            <w:tcBorders>
              <w:top w:val="single" w:color="000000" w:sz="4" w:space="0"/>
              <w:left w:val="single" w:color="000000" w:sz="4" w:space="0"/>
              <w:bottom w:val="single" w:color="000000" w:sz="4" w:space="0"/>
              <w:right w:val="nil"/>
            </w:tcBorders>
            <w:noWrap w:val="0"/>
            <w:vAlign w:val="center"/>
          </w:tcPr>
          <w:p w14:paraId="7D7538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友发钢管、河北衡水华岐、浙江金洲牌、天津利达</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58FA41E8">
            <w:pPr>
              <w:jc w:val="left"/>
              <w:rPr>
                <w:rFonts w:hint="eastAsia" w:ascii="宋体" w:hAnsi="宋体" w:eastAsia="宋体" w:cs="宋体"/>
                <w:i w:val="0"/>
                <w:iCs w:val="0"/>
                <w:color w:val="auto"/>
                <w:sz w:val="22"/>
                <w:szCs w:val="22"/>
                <w:u w:val="none"/>
              </w:rPr>
            </w:pPr>
          </w:p>
        </w:tc>
      </w:tr>
      <w:tr w14:paraId="1FFE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2538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nil"/>
              <w:right w:val="single" w:color="000000" w:sz="4" w:space="0"/>
            </w:tcBorders>
            <w:noWrap w:val="0"/>
            <w:vAlign w:val="center"/>
          </w:tcPr>
          <w:p w14:paraId="31A77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钢制/铸铁管材</w:t>
            </w:r>
          </w:p>
        </w:tc>
        <w:tc>
          <w:tcPr>
            <w:tcW w:w="5439" w:type="dxa"/>
            <w:tcBorders>
              <w:top w:val="single" w:color="000000" w:sz="4" w:space="0"/>
              <w:left w:val="single" w:color="000000" w:sz="4" w:space="0"/>
              <w:bottom w:val="single" w:color="000000" w:sz="4" w:space="0"/>
              <w:right w:val="nil"/>
            </w:tcBorders>
            <w:noWrap w:val="0"/>
            <w:vAlign w:val="center"/>
          </w:tcPr>
          <w:p w14:paraId="07A6D1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新兴、泫氏、圣戈班、汇鑫源、济钢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83C93E2">
            <w:pPr>
              <w:jc w:val="left"/>
              <w:rPr>
                <w:rFonts w:hint="eastAsia" w:ascii="宋体" w:hAnsi="宋体" w:eastAsia="宋体" w:cs="宋体"/>
                <w:i w:val="0"/>
                <w:iCs w:val="0"/>
                <w:color w:val="auto"/>
                <w:sz w:val="24"/>
                <w:szCs w:val="24"/>
                <w:u w:val="none"/>
              </w:rPr>
            </w:pPr>
          </w:p>
        </w:tc>
      </w:tr>
      <w:tr w14:paraId="670E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39A9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9057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不锈钢管材</w:t>
            </w:r>
          </w:p>
        </w:tc>
        <w:tc>
          <w:tcPr>
            <w:tcW w:w="5439" w:type="dxa"/>
            <w:tcBorders>
              <w:top w:val="single" w:color="000000" w:sz="4" w:space="0"/>
              <w:left w:val="single" w:color="000000" w:sz="4" w:space="0"/>
              <w:bottom w:val="single" w:color="000000" w:sz="4" w:space="0"/>
              <w:right w:val="nil"/>
            </w:tcBorders>
            <w:noWrap w:val="0"/>
            <w:vAlign w:val="center"/>
          </w:tcPr>
          <w:p w14:paraId="4FBD34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正康、美亚、共同管业、联塑、民乐管业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30E16806">
            <w:pPr>
              <w:jc w:val="left"/>
              <w:rPr>
                <w:rFonts w:hint="eastAsia" w:ascii="宋体" w:hAnsi="宋体" w:eastAsia="宋体" w:cs="宋体"/>
                <w:i w:val="0"/>
                <w:iCs w:val="0"/>
                <w:color w:val="auto"/>
                <w:sz w:val="24"/>
                <w:szCs w:val="24"/>
                <w:u w:val="none"/>
              </w:rPr>
            </w:pPr>
          </w:p>
        </w:tc>
      </w:tr>
      <w:tr w14:paraId="268D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5E61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29C4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智能疏散与应急照明</w:t>
            </w:r>
          </w:p>
        </w:tc>
        <w:tc>
          <w:tcPr>
            <w:tcW w:w="5439" w:type="dxa"/>
            <w:tcBorders>
              <w:top w:val="single" w:color="000000" w:sz="4" w:space="0"/>
              <w:left w:val="single" w:color="000000" w:sz="4" w:space="0"/>
              <w:bottom w:val="single" w:color="000000" w:sz="4" w:space="0"/>
              <w:right w:val="nil"/>
            </w:tcBorders>
            <w:noWrap w:val="0"/>
            <w:vAlign w:val="center"/>
          </w:tcPr>
          <w:p w14:paraId="071BD8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 xml:space="preserve">  蚌埠依爱、深圳泰和安、青岛鼎信、北京动力源、浙江台谊</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89E2270">
            <w:pPr>
              <w:jc w:val="left"/>
              <w:rPr>
                <w:rFonts w:hint="eastAsia" w:ascii="宋体" w:hAnsi="宋体" w:eastAsia="宋体" w:cs="宋体"/>
                <w:i w:val="0"/>
                <w:iCs w:val="0"/>
                <w:color w:val="auto"/>
                <w:sz w:val="24"/>
                <w:szCs w:val="24"/>
                <w:u w:val="none"/>
              </w:rPr>
            </w:pPr>
          </w:p>
        </w:tc>
      </w:tr>
      <w:tr w14:paraId="4EE9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E5ECF0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BCBFE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开关插座</w:t>
            </w:r>
          </w:p>
        </w:tc>
        <w:tc>
          <w:tcPr>
            <w:tcW w:w="5439" w:type="dxa"/>
            <w:tcBorders>
              <w:top w:val="single" w:color="000000" w:sz="4" w:space="0"/>
              <w:left w:val="single" w:color="000000" w:sz="4" w:space="0"/>
              <w:bottom w:val="single" w:color="000000" w:sz="4" w:space="0"/>
              <w:right w:val="nil"/>
            </w:tcBorders>
            <w:noWrap w:val="0"/>
            <w:vAlign w:val="center"/>
          </w:tcPr>
          <w:p w14:paraId="63B439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ABB、施耐德、西门子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7EDF88B">
            <w:pPr>
              <w:jc w:val="left"/>
              <w:rPr>
                <w:rFonts w:hint="eastAsia" w:ascii="宋体" w:hAnsi="宋体" w:eastAsia="宋体" w:cs="宋体"/>
                <w:i w:val="0"/>
                <w:iCs w:val="0"/>
                <w:color w:val="auto"/>
                <w:sz w:val="24"/>
                <w:szCs w:val="24"/>
                <w:u w:val="none"/>
              </w:rPr>
            </w:pPr>
          </w:p>
        </w:tc>
      </w:tr>
      <w:tr w14:paraId="4E92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9DE6E6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44FF9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室内照明灯具</w:t>
            </w:r>
          </w:p>
        </w:tc>
        <w:tc>
          <w:tcPr>
            <w:tcW w:w="5439" w:type="dxa"/>
            <w:tcBorders>
              <w:top w:val="single" w:color="000000" w:sz="4" w:space="0"/>
              <w:left w:val="single" w:color="000000" w:sz="4" w:space="0"/>
              <w:bottom w:val="single" w:color="000000" w:sz="4" w:space="0"/>
              <w:right w:val="nil"/>
            </w:tcBorders>
            <w:noWrap w:val="0"/>
            <w:vAlign w:val="center"/>
          </w:tcPr>
          <w:p w14:paraId="3E2D83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欧司朗、西顿、飞利浦、松下</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1688688C">
            <w:pPr>
              <w:jc w:val="left"/>
              <w:rPr>
                <w:rFonts w:hint="eastAsia" w:ascii="宋体" w:hAnsi="宋体" w:eastAsia="宋体" w:cs="宋体"/>
                <w:i w:val="0"/>
                <w:iCs w:val="0"/>
                <w:color w:val="auto"/>
                <w:sz w:val="24"/>
                <w:szCs w:val="24"/>
                <w:u w:val="none"/>
              </w:rPr>
            </w:pPr>
          </w:p>
        </w:tc>
      </w:tr>
      <w:tr w14:paraId="20D7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01C675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E61EF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断路器及双电源开关（低压）</w:t>
            </w:r>
          </w:p>
        </w:tc>
        <w:tc>
          <w:tcPr>
            <w:tcW w:w="5439" w:type="dxa"/>
            <w:tcBorders>
              <w:top w:val="single" w:color="000000" w:sz="4" w:space="0"/>
              <w:left w:val="single" w:color="000000" w:sz="4" w:space="0"/>
              <w:bottom w:val="single" w:color="000000" w:sz="4" w:space="0"/>
              <w:right w:val="nil"/>
            </w:tcBorders>
            <w:noWrap w:val="0"/>
            <w:vAlign w:val="center"/>
          </w:tcPr>
          <w:p w14:paraId="480C42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ABB、施耐德、西门子</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23E9883">
            <w:pPr>
              <w:jc w:val="left"/>
              <w:rPr>
                <w:rFonts w:hint="eastAsia" w:ascii="宋体" w:hAnsi="宋体" w:eastAsia="宋体" w:cs="宋体"/>
                <w:i w:val="0"/>
                <w:iCs w:val="0"/>
                <w:color w:val="auto"/>
                <w:sz w:val="24"/>
                <w:szCs w:val="24"/>
                <w:u w:val="none"/>
              </w:rPr>
            </w:pPr>
          </w:p>
        </w:tc>
      </w:tr>
      <w:tr w14:paraId="5BB2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535B716">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2501266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智能化系统</w:t>
            </w:r>
          </w:p>
        </w:tc>
      </w:tr>
      <w:tr w14:paraId="0686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6A1C7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6C02E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计算机网络系统（交换机）</w:t>
            </w:r>
          </w:p>
        </w:tc>
        <w:tc>
          <w:tcPr>
            <w:tcW w:w="5439" w:type="dxa"/>
            <w:tcBorders>
              <w:top w:val="single" w:color="000000" w:sz="4" w:space="0"/>
              <w:left w:val="single" w:color="000000" w:sz="4" w:space="0"/>
              <w:bottom w:val="single" w:color="000000" w:sz="4" w:space="0"/>
              <w:right w:val="nil"/>
            </w:tcBorders>
            <w:noWrap w:val="0"/>
            <w:vAlign w:val="center"/>
          </w:tcPr>
          <w:p w14:paraId="27F9548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锐捷、华为、新华三、思科、中兴、迈普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4459CEB">
            <w:pPr>
              <w:jc w:val="left"/>
              <w:rPr>
                <w:rFonts w:hint="eastAsia" w:ascii="宋体" w:hAnsi="宋体" w:eastAsia="宋体" w:cs="宋体"/>
                <w:i w:val="0"/>
                <w:iCs w:val="0"/>
                <w:color w:val="auto"/>
                <w:sz w:val="24"/>
                <w:szCs w:val="24"/>
                <w:u w:val="none"/>
              </w:rPr>
            </w:pPr>
          </w:p>
        </w:tc>
      </w:tr>
      <w:tr w14:paraId="5360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5ECF8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EF850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智能照明</w:t>
            </w:r>
          </w:p>
        </w:tc>
        <w:tc>
          <w:tcPr>
            <w:tcW w:w="5439" w:type="dxa"/>
            <w:tcBorders>
              <w:top w:val="single" w:color="000000" w:sz="4" w:space="0"/>
              <w:left w:val="single" w:color="000000" w:sz="4" w:space="0"/>
              <w:bottom w:val="single" w:color="000000" w:sz="4" w:space="0"/>
              <w:right w:val="nil"/>
            </w:tcBorders>
            <w:noWrap w:val="0"/>
            <w:vAlign w:val="center"/>
          </w:tcPr>
          <w:p w14:paraId="366CD5B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路创、ABB、西门子、飞利浦、欧普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8ADD512">
            <w:pPr>
              <w:jc w:val="left"/>
              <w:rPr>
                <w:rFonts w:hint="eastAsia" w:ascii="宋体" w:hAnsi="宋体" w:eastAsia="宋体" w:cs="宋体"/>
                <w:i w:val="0"/>
                <w:iCs w:val="0"/>
                <w:color w:val="auto"/>
                <w:sz w:val="24"/>
                <w:szCs w:val="24"/>
                <w:u w:val="none"/>
              </w:rPr>
            </w:pPr>
          </w:p>
        </w:tc>
      </w:tr>
      <w:tr w14:paraId="1789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F363B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A573D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桥架</w:t>
            </w:r>
          </w:p>
        </w:tc>
        <w:tc>
          <w:tcPr>
            <w:tcW w:w="5439" w:type="dxa"/>
            <w:tcBorders>
              <w:top w:val="single" w:color="000000" w:sz="4" w:space="0"/>
              <w:left w:val="single" w:color="000000" w:sz="4" w:space="0"/>
              <w:bottom w:val="single" w:color="000000" w:sz="4" w:space="0"/>
              <w:right w:val="nil"/>
            </w:tcBorders>
            <w:noWrap w:val="0"/>
            <w:vAlign w:val="center"/>
          </w:tcPr>
          <w:p w14:paraId="2F8F479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上海振大、安徽精工、安徽华瑞桥架、安徽昇鑫电气、江苏大全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AB1E097">
            <w:pPr>
              <w:jc w:val="left"/>
              <w:rPr>
                <w:rFonts w:hint="eastAsia" w:ascii="宋体" w:hAnsi="宋体" w:eastAsia="宋体" w:cs="宋体"/>
                <w:i w:val="0"/>
                <w:iCs w:val="0"/>
                <w:color w:val="auto"/>
                <w:sz w:val="24"/>
                <w:szCs w:val="24"/>
                <w:u w:val="none"/>
              </w:rPr>
            </w:pPr>
          </w:p>
        </w:tc>
      </w:tr>
      <w:tr w14:paraId="619A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6CFEA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8E75D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电工套管、塑料穿线管</w:t>
            </w:r>
          </w:p>
        </w:tc>
        <w:tc>
          <w:tcPr>
            <w:tcW w:w="5439" w:type="dxa"/>
            <w:tcBorders>
              <w:top w:val="single" w:color="000000" w:sz="4" w:space="0"/>
              <w:left w:val="single" w:color="000000" w:sz="4" w:space="0"/>
              <w:bottom w:val="single" w:color="000000" w:sz="4" w:space="0"/>
              <w:right w:val="nil"/>
            </w:tcBorders>
            <w:noWrap w:val="0"/>
            <w:vAlign w:val="center"/>
          </w:tcPr>
          <w:p w14:paraId="0999957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联塑、公元、康泰、华亚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C04C10E">
            <w:pPr>
              <w:jc w:val="left"/>
              <w:rPr>
                <w:rFonts w:hint="eastAsia" w:ascii="宋体" w:hAnsi="宋体" w:eastAsia="宋体" w:cs="宋体"/>
                <w:i w:val="0"/>
                <w:iCs w:val="0"/>
                <w:color w:val="auto"/>
                <w:sz w:val="24"/>
                <w:szCs w:val="24"/>
                <w:u w:val="none"/>
              </w:rPr>
            </w:pPr>
          </w:p>
        </w:tc>
      </w:tr>
      <w:tr w14:paraId="7CB6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F43A7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AFCA6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电线（缆）</w:t>
            </w:r>
          </w:p>
        </w:tc>
        <w:tc>
          <w:tcPr>
            <w:tcW w:w="5439" w:type="dxa"/>
            <w:tcBorders>
              <w:top w:val="single" w:color="000000" w:sz="4" w:space="0"/>
              <w:left w:val="single" w:color="000000" w:sz="4" w:space="0"/>
              <w:bottom w:val="single" w:color="000000" w:sz="4" w:space="0"/>
              <w:right w:val="nil"/>
            </w:tcBorders>
            <w:noWrap w:val="0"/>
            <w:vAlign w:val="center"/>
          </w:tcPr>
          <w:p w14:paraId="4E1415E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安徽绿宝、安徽伟光、安徽虹都、天龙伟业、中大元通、华盛</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1E6F4BCC">
            <w:pPr>
              <w:jc w:val="left"/>
              <w:rPr>
                <w:rFonts w:hint="eastAsia" w:ascii="宋体" w:hAnsi="宋体" w:eastAsia="宋体" w:cs="宋体"/>
                <w:i w:val="0"/>
                <w:iCs w:val="0"/>
                <w:color w:val="auto"/>
                <w:sz w:val="24"/>
                <w:szCs w:val="24"/>
                <w:u w:val="none"/>
              </w:rPr>
            </w:pPr>
          </w:p>
        </w:tc>
      </w:tr>
      <w:tr w14:paraId="68F2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47DFF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715423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网络线缆</w:t>
            </w:r>
          </w:p>
        </w:tc>
        <w:tc>
          <w:tcPr>
            <w:tcW w:w="5439" w:type="dxa"/>
            <w:tcBorders>
              <w:top w:val="single" w:color="000000" w:sz="4" w:space="0"/>
              <w:left w:val="single" w:color="000000" w:sz="4" w:space="0"/>
              <w:bottom w:val="single" w:color="000000" w:sz="4" w:space="0"/>
              <w:right w:val="nil"/>
            </w:tcBorders>
            <w:noWrap w:val="0"/>
            <w:vAlign w:val="center"/>
          </w:tcPr>
          <w:p w14:paraId="2E69B5B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爱谱华顿、天诚、帝一、帝华、上诚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5A63FFD">
            <w:pPr>
              <w:jc w:val="left"/>
              <w:rPr>
                <w:rFonts w:hint="eastAsia" w:ascii="宋体" w:hAnsi="宋体" w:eastAsia="宋体" w:cs="宋体"/>
                <w:i w:val="0"/>
                <w:iCs w:val="0"/>
                <w:color w:val="auto"/>
                <w:sz w:val="24"/>
                <w:szCs w:val="24"/>
                <w:u w:val="none"/>
              </w:rPr>
            </w:pPr>
          </w:p>
        </w:tc>
      </w:tr>
      <w:tr w14:paraId="0F42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15295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1EAE8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智能门锁</w:t>
            </w:r>
          </w:p>
        </w:tc>
        <w:tc>
          <w:tcPr>
            <w:tcW w:w="5439" w:type="dxa"/>
            <w:tcBorders>
              <w:top w:val="single" w:color="000000" w:sz="4" w:space="0"/>
              <w:left w:val="single" w:color="000000" w:sz="4" w:space="0"/>
              <w:bottom w:val="single" w:color="000000" w:sz="4" w:space="0"/>
              <w:right w:val="nil"/>
            </w:tcBorders>
            <w:noWrap w:val="0"/>
            <w:vAlign w:val="center"/>
          </w:tcPr>
          <w:p w14:paraId="4B8E226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凯迪仕、海贝斯、德施曼、鹿客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5E4A9408">
            <w:pPr>
              <w:jc w:val="left"/>
              <w:rPr>
                <w:rFonts w:hint="eastAsia" w:ascii="宋体" w:hAnsi="宋体" w:eastAsia="宋体" w:cs="宋体"/>
                <w:i w:val="0"/>
                <w:iCs w:val="0"/>
                <w:color w:val="auto"/>
                <w:sz w:val="24"/>
                <w:szCs w:val="24"/>
                <w:u w:val="none"/>
              </w:rPr>
            </w:pPr>
          </w:p>
        </w:tc>
      </w:tr>
    </w:tbl>
    <w:p w14:paraId="420A6B7E">
      <w:pPr>
        <w:adjustRightInd w:val="0"/>
        <w:snapToGrid w:val="0"/>
        <w:spacing w:line="360" w:lineRule="auto"/>
        <w:jc w:val="left"/>
        <w:rPr>
          <w:rFonts w:hint="eastAsia" w:ascii="仿宋_GB2312" w:hAnsi="宋体"/>
          <w:color w:val="auto"/>
          <w:szCs w:val="18"/>
        </w:rPr>
      </w:pPr>
    </w:p>
    <w:p w14:paraId="77A0EF85">
      <w:pPr>
        <w:adjustRightInd w:val="0"/>
        <w:snapToGrid w:val="0"/>
        <w:spacing w:line="360" w:lineRule="auto"/>
        <w:jc w:val="left"/>
        <w:rPr>
          <w:rFonts w:hint="eastAsia" w:ascii="仿宋_GB2312" w:hAnsi="宋体"/>
          <w:color w:val="auto"/>
          <w:szCs w:val="18"/>
        </w:rPr>
      </w:pPr>
    </w:p>
    <w:p w14:paraId="7C8501EF">
      <w:pPr>
        <w:adjustRightInd w:val="0"/>
        <w:snapToGrid w:val="0"/>
        <w:spacing w:line="360" w:lineRule="auto"/>
        <w:jc w:val="left"/>
        <w:rPr>
          <w:rFonts w:hint="eastAsia" w:ascii="仿宋_GB2312" w:hAnsi="宋体"/>
          <w:color w:val="auto"/>
          <w:szCs w:val="18"/>
        </w:rPr>
      </w:pPr>
    </w:p>
    <w:p w14:paraId="1243FCB7">
      <w:pPr>
        <w:adjustRightInd w:val="0"/>
        <w:snapToGrid w:val="0"/>
        <w:spacing w:line="360" w:lineRule="auto"/>
        <w:jc w:val="left"/>
        <w:rPr>
          <w:rFonts w:hint="eastAsia" w:ascii="仿宋_GB2312" w:hAnsi="宋体"/>
          <w:color w:val="auto"/>
          <w:szCs w:val="18"/>
        </w:rPr>
      </w:pPr>
    </w:p>
    <w:p w14:paraId="5A330E88">
      <w:pPr>
        <w:adjustRightInd w:val="0"/>
        <w:snapToGrid w:val="0"/>
        <w:spacing w:line="360" w:lineRule="auto"/>
        <w:jc w:val="left"/>
        <w:rPr>
          <w:rFonts w:hint="eastAsia" w:ascii="仿宋_GB2312" w:hAnsi="宋体"/>
          <w:color w:val="auto"/>
          <w:szCs w:val="18"/>
        </w:rPr>
      </w:pPr>
    </w:p>
    <w:p w14:paraId="614D5D56">
      <w:pPr>
        <w:adjustRightInd w:val="0"/>
        <w:snapToGrid w:val="0"/>
        <w:spacing w:line="360" w:lineRule="auto"/>
        <w:jc w:val="left"/>
        <w:rPr>
          <w:rFonts w:hint="eastAsia" w:ascii="仿宋_GB2312" w:hAnsi="宋体"/>
          <w:color w:val="auto"/>
          <w:szCs w:val="18"/>
        </w:rPr>
      </w:pPr>
    </w:p>
    <w:p w14:paraId="3522A533">
      <w:pPr>
        <w:adjustRightInd w:val="0"/>
        <w:snapToGrid w:val="0"/>
        <w:spacing w:line="360" w:lineRule="auto"/>
        <w:jc w:val="left"/>
        <w:rPr>
          <w:rFonts w:hint="eastAsia" w:ascii="仿宋_GB2312" w:hAnsi="宋体"/>
          <w:color w:val="auto"/>
          <w:szCs w:val="18"/>
        </w:rPr>
      </w:pPr>
    </w:p>
    <w:p w14:paraId="41CFC109">
      <w:pPr>
        <w:adjustRightInd w:val="0"/>
        <w:snapToGrid w:val="0"/>
        <w:spacing w:line="360" w:lineRule="auto"/>
        <w:jc w:val="left"/>
        <w:rPr>
          <w:rFonts w:hint="eastAsia" w:ascii="仿宋_GB2312" w:hAnsi="宋体"/>
          <w:color w:val="auto"/>
          <w:szCs w:val="18"/>
        </w:rPr>
      </w:pPr>
    </w:p>
    <w:p w14:paraId="297E6443">
      <w:pPr>
        <w:adjustRightInd w:val="0"/>
        <w:snapToGrid w:val="0"/>
        <w:spacing w:line="360" w:lineRule="auto"/>
        <w:jc w:val="left"/>
        <w:rPr>
          <w:rFonts w:hint="eastAsia" w:ascii="仿宋_GB2312" w:hAnsi="宋体"/>
          <w:color w:val="auto"/>
          <w:szCs w:val="18"/>
        </w:rPr>
      </w:pPr>
    </w:p>
    <w:p w14:paraId="0E50534D">
      <w:pPr>
        <w:adjustRightInd w:val="0"/>
        <w:snapToGrid w:val="0"/>
        <w:spacing w:line="360" w:lineRule="auto"/>
        <w:jc w:val="left"/>
        <w:rPr>
          <w:rFonts w:hint="eastAsia" w:ascii="仿宋_GB2312" w:hAnsi="宋体"/>
          <w:color w:val="auto"/>
          <w:szCs w:val="18"/>
        </w:rPr>
      </w:pPr>
    </w:p>
    <w:p w14:paraId="1042A413">
      <w:pPr>
        <w:adjustRightInd w:val="0"/>
        <w:snapToGrid w:val="0"/>
        <w:spacing w:line="360" w:lineRule="auto"/>
        <w:jc w:val="left"/>
        <w:rPr>
          <w:rFonts w:hint="eastAsia" w:ascii="仿宋_GB2312" w:hAnsi="宋体"/>
          <w:color w:val="auto"/>
          <w:szCs w:val="18"/>
        </w:rPr>
      </w:pPr>
    </w:p>
    <w:p w14:paraId="18BF436B">
      <w:pPr>
        <w:adjustRightInd w:val="0"/>
        <w:snapToGrid w:val="0"/>
        <w:spacing w:line="360" w:lineRule="auto"/>
        <w:jc w:val="left"/>
        <w:rPr>
          <w:rFonts w:hint="eastAsia" w:ascii="仿宋_GB2312" w:hAnsi="宋体"/>
          <w:color w:val="auto"/>
          <w:szCs w:val="18"/>
        </w:rPr>
      </w:pPr>
    </w:p>
    <w:p w14:paraId="230C94C5">
      <w:pPr>
        <w:adjustRightInd w:val="0"/>
        <w:snapToGrid w:val="0"/>
        <w:spacing w:line="360" w:lineRule="auto"/>
        <w:jc w:val="left"/>
        <w:rPr>
          <w:rFonts w:hint="eastAsia" w:ascii="仿宋_GB2312" w:hAnsi="宋体"/>
          <w:color w:val="auto"/>
          <w:szCs w:val="18"/>
        </w:rPr>
      </w:pPr>
    </w:p>
    <w:p w14:paraId="532C18F6">
      <w:pPr>
        <w:adjustRightInd w:val="0"/>
        <w:snapToGrid w:val="0"/>
        <w:spacing w:line="360" w:lineRule="auto"/>
        <w:jc w:val="left"/>
        <w:rPr>
          <w:rFonts w:hint="eastAsia" w:ascii="仿宋_GB2312" w:hAnsi="宋体"/>
          <w:color w:val="auto"/>
          <w:szCs w:val="18"/>
        </w:rPr>
      </w:pPr>
    </w:p>
    <w:p w14:paraId="5036FC26">
      <w:pPr>
        <w:adjustRightInd w:val="0"/>
        <w:snapToGrid w:val="0"/>
        <w:spacing w:line="360" w:lineRule="auto"/>
        <w:jc w:val="left"/>
        <w:rPr>
          <w:rFonts w:hint="eastAsia" w:ascii="仿宋_GB2312" w:hAnsi="宋体"/>
          <w:color w:val="auto"/>
          <w:szCs w:val="18"/>
        </w:rPr>
      </w:pPr>
    </w:p>
    <w:p w14:paraId="54F2C44E">
      <w:pPr>
        <w:adjustRightInd w:val="0"/>
        <w:snapToGrid w:val="0"/>
        <w:spacing w:line="360" w:lineRule="auto"/>
        <w:jc w:val="left"/>
        <w:rPr>
          <w:rFonts w:hint="eastAsia" w:ascii="仿宋_GB2312" w:hAnsi="宋体"/>
          <w:color w:val="auto"/>
          <w:szCs w:val="18"/>
        </w:rPr>
      </w:pPr>
    </w:p>
    <w:p w14:paraId="5083269B">
      <w:pPr>
        <w:adjustRightInd w:val="0"/>
        <w:snapToGrid w:val="0"/>
        <w:spacing w:line="360" w:lineRule="auto"/>
        <w:jc w:val="left"/>
        <w:rPr>
          <w:rFonts w:hint="eastAsia" w:ascii="仿宋_GB2312" w:hAnsi="宋体"/>
          <w:color w:val="auto"/>
          <w:szCs w:val="18"/>
        </w:rPr>
      </w:pPr>
    </w:p>
    <w:p w14:paraId="3F41DBDE">
      <w:pPr>
        <w:adjustRightInd w:val="0"/>
        <w:snapToGrid w:val="0"/>
        <w:spacing w:line="360" w:lineRule="auto"/>
        <w:jc w:val="left"/>
        <w:rPr>
          <w:rFonts w:hint="eastAsia" w:ascii="仿宋_GB2312" w:hAnsi="宋体"/>
          <w:color w:val="auto"/>
          <w:szCs w:val="18"/>
        </w:rPr>
      </w:pPr>
    </w:p>
    <w:p w14:paraId="05398CE0">
      <w:pPr>
        <w:adjustRightInd w:val="0"/>
        <w:snapToGrid w:val="0"/>
        <w:spacing w:line="360" w:lineRule="auto"/>
        <w:jc w:val="left"/>
        <w:rPr>
          <w:rFonts w:hint="eastAsia" w:ascii="仿宋_GB2312" w:hAnsi="宋体"/>
          <w:color w:val="auto"/>
          <w:szCs w:val="18"/>
        </w:rPr>
      </w:pPr>
    </w:p>
    <w:p w14:paraId="63553C8E">
      <w:pPr>
        <w:adjustRightInd w:val="0"/>
        <w:snapToGrid w:val="0"/>
        <w:spacing w:line="360" w:lineRule="auto"/>
        <w:jc w:val="left"/>
        <w:rPr>
          <w:rFonts w:hint="eastAsia" w:ascii="仿宋_GB2312" w:hAnsi="宋体"/>
          <w:color w:val="auto"/>
          <w:szCs w:val="18"/>
        </w:rPr>
      </w:pPr>
    </w:p>
    <w:p w14:paraId="5F01213B">
      <w:pPr>
        <w:adjustRightInd w:val="0"/>
        <w:snapToGrid w:val="0"/>
        <w:spacing w:line="360" w:lineRule="auto"/>
        <w:jc w:val="left"/>
        <w:rPr>
          <w:rFonts w:hint="eastAsia" w:ascii="仿宋_GB2312" w:hAnsi="宋体"/>
          <w:color w:val="auto"/>
          <w:szCs w:val="18"/>
        </w:rPr>
      </w:pPr>
    </w:p>
    <w:p w14:paraId="79641F5C">
      <w:pPr>
        <w:adjustRightInd w:val="0"/>
        <w:snapToGrid w:val="0"/>
        <w:spacing w:line="360" w:lineRule="auto"/>
        <w:jc w:val="left"/>
        <w:rPr>
          <w:rFonts w:hint="eastAsia" w:ascii="仿宋_GB2312" w:hAnsi="宋体"/>
          <w:color w:val="auto"/>
          <w:szCs w:val="18"/>
        </w:rPr>
      </w:pPr>
    </w:p>
    <w:p w14:paraId="31BB9798">
      <w:pPr>
        <w:adjustRightInd w:val="0"/>
        <w:snapToGrid w:val="0"/>
        <w:spacing w:line="360" w:lineRule="auto"/>
        <w:jc w:val="left"/>
        <w:rPr>
          <w:rFonts w:hint="eastAsia" w:ascii="仿宋_GB2312" w:hAnsi="宋体"/>
          <w:color w:val="auto"/>
          <w:szCs w:val="18"/>
        </w:rPr>
      </w:pPr>
    </w:p>
    <w:p w14:paraId="746DE960">
      <w:pPr>
        <w:adjustRightInd w:val="0"/>
        <w:snapToGrid w:val="0"/>
        <w:spacing w:line="360" w:lineRule="auto"/>
        <w:jc w:val="left"/>
        <w:rPr>
          <w:rFonts w:hint="eastAsia" w:ascii="仿宋_GB2312" w:hAnsi="宋体"/>
          <w:color w:val="auto"/>
          <w:szCs w:val="18"/>
        </w:rPr>
      </w:pPr>
    </w:p>
    <w:p w14:paraId="09212317">
      <w:pPr>
        <w:adjustRightInd w:val="0"/>
        <w:snapToGrid w:val="0"/>
        <w:spacing w:line="360" w:lineRule="auto"/>
        <w:jc w:val="left"/>
        <w:rPr>
          <w:rFonts w:hint="eastAsia" w:ascii="仿宋_GB2312" w:hAnsi="宋体"/>
          <w:color w:val="auto"/>
          <w:szCs w:val="18"/>
        </w:rPr>
      </w:pPr>
    </w:p>
    <w:p w14:paraId="5A4C3A94">
      <w:pPr>
        <w:adjustRightInd w:val="0"/>
        <w:snapToGrid w:val="0"/>
        <w:spacing w:line="360" w:lineRule="auto"/>
        <w:jc w:val="left"/>
        <w:rPr>
          <w:rFonts w:hint="eastAsia" w:ascii="仿宋_GB2312" w:hAnsi="宋体"/>
          <w:color w:val="auto"/>
          <w:szCs w:val="18"/>
        </w:rPr>
      </w:pPr>
    </w:p>
    <w:p w14:paraId="201877E1">
      <w:pPr>
        <w:adjustRightInd w:val="0"/>
        <w:snapToGrid w:val="0"/>
        <w:spacing w:line="360" w:lineRule="auto"/>
        <w:jc w:val="left"/>
        <w:rPr>
          <w:rFonts w:hint="eastAsia" w:ascii="仿宋_GB2312" w:hAnsi="宋体"/>
          <w:color w:val="auto"/>
          <w:szCs w:val="18"/>
        </w:rPr>
      </w:pPr>
    </w:p>
    <w:p w14:paraId="749E9F2F">
      <w:pPr>
        <w:jc w:val="center"/>
        <w:outlineLvl w:val="2"/>
        <w:rPr>
          <w:rFonts w:ascii="宋体" w:hAnsi="宋体" w:cs="宋体"/>
          <w:b/>
          <w:color w:val="auto"/>
          <w:sz w:val="18"/>
          <w:szCs w:val="18"/>
          <w:lang w:val="zh-CN"/>
        </w:rPr>
      </w:pPr>
    </w:p>
    <w:p w14:paraId="0664D12D">
      <w:pPr>
        <w:jc w:val="both"/>
        <w:outlineLvl w:val="2"/>
        <w:rPr>
          <w:rFonts w:hint="eastAsia"/>
          <w:color w:val="auto"/>
          <w:sz w:val="28"/>
          <w:szCs w:val="28"/>
        </w:rPr>
      </w:pPr>
      <w:r>
        <w:rPr>
          <w:rFonts w:ascii="宋体" w:hAnsi="宋体" w:cs="宋体"/>
          <w:b/>
          <w:color w:val="auto"/>
          <w:sz w:val="18"/>
          <w:szCs w:val="18"/>
          <w:lang w:val="zh-CN"/>
        </w:rPr>
        <w:br w:type="page"/>
      </w:r>
      <w:r>
        <w:rPr>
          <w:rFonts w:hint="eastAsia"/>
          <w:color w:val="auto"/>
          <w:sz w:val="28"/>
          <w:szCs w:val="28"/>
        </w:rPr>
        <w:t>（十九）降低投标报价说明、证明材料</w:t>
      </w:r>
      <w:bookmarkEnd w:id="532"/>
      <w:bookmarkEnd w:id="533"/>
      <w:bookmarkEnd w:id="534"/>
    </w:p>
    <w:p w14:paraId="0C9188D1">
      <w:pPr>
        <w:jc w:val="center"/>
        <w:rPr>
          <w:rFonts w:hint="eastAsia" w:ascii="宋体" w:hAnsi="宋体"/>
          <w:color w:val="auto"/>
          <w:kern w:val="0"/>
          <w:sz w:val="30"/>
          <w:szCs w:val="22"/>
        </w:rPr>
      </w:pPr>
    </w:p>
    <w:tbl>
      <w:tblPr>
        <w:tblStyle w:val="5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09"/>
      </w:tblGrid>
      <w:tr w14:paraId="2B76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4" w:hRule="atLeast"/>
          <w:jc w:val="center"/>
        </w:trPr>
        <w:tc>
          <w:tcPr>
            <w:tcW w:w="5000" w:type="pct"/>
            <w:noWrap w:val="0"/>
            <w:vAlign w:val="top"/>
          </w:tcPr>
          <w:p w14:paraId="62AC8811">
            <w:pPr>
              <w:spacing w:before="20" w:after="20" w:line="540" w:lineRule="exact"/>
              <w:rPr>
                <w:rFonts w:hint="eastAsia" w:ascii="宋体" w:hAnsi="宋体"/>
                <w:color w:val="auto"/>
                <w:sz w:val="24"/>
                <w:szCs w:val="22"/>
              </w:rPr>
            </w:pPr>
          </w:p>
        </w:tc>
      </w:tr>
    </w:tbl>
    <w:p w14:paraId="245D917F">
      <w:pPr>
        <w:spacing w:line="360" w:lineRule="auto"/>
        <w:ind w:firstLine="420" w:firstLineChars="200"/>
        <w:jc w:val="left"/>
        <w:rPr>
          <w:rFonts w:ascii="宋体" w:hAnsi="宋体" w:cs="仿宋"/>
          <w:bCs/>
          <w:color w:val="auto"/>
          <w:szCs w:val="18"/>
        </w:rPr>
      </w:pPr>
      <w:r>
        <w:rPr>
          <w:rFonts w:hint="eastAsia" w:ascii="宋体" w:hAnsi="宋体"/>
          <w:color w:val="auto"/>
          <w:szCs w:val="21"/>
        </w:rPr>
        <w:t>1. 本</w:t>
      </w:r>
      <w:r>
        <w:rPr>
          <w:rFonts w:hint="eastAsia" w:ascii="宋体" w:hAnsi="宋体" w:cs="仿宋"/>
          <w:bCs/>
          <w:color w:val="auto"/>
          <w:szCs w:val="18"/>
        </w:rPr>
        <w:t>项资料格式不作统一规定，由投标人自行设计。投标人根据其报价情况，自行确定是否提供。</w:t>
      </w:r>
    </w:p>
    <w:p w14:paraId="0B36C8BE">
      <w:pPr>
        <w:spacing w:line="360" w:lineRule="auto"/>
        <w:ind w:firstLine="420" w:firstLineChars="200"/>
        <w:jc w:val="left"/>
        <w:rPr>
          <w:rFonts w:hint="eastAsia" w:ascii="宋体" w:hAnsi="宋体" w:cs="仿宋"/>
          <w:bCs/>
          <w:color w:val="auto"/>
          <w:szCs w:val="18"/>
        </w:rPr>
      </w:pPr>
      <w:r>
        <w:rPr>
          <w:rFonts w:hint="eastAsia" w:ascii="宋体" w:hAnsi="宋体" w:cs="仿宋"/>
          <w:bCs/>
          <w:color w:val="auto"/>
          <w:szCs w:val="18"/>
        </w:rPr>
        <w:t>2. 本项资料包括在人工、材料、机械消耗量、价格、施工措施、方案及其他方面有降低工程造价的相关证明资料。</w:t>
      </w:r>
    </w:p>
    <w:p w14:paraId="0BF5DCA6">
      <w:pPr>
        <w:spacing w:line="360" w:lineRule="auto"/>
        <w:ind w:firstLine="420" w:firstLineChars="200"/>
        <w:jc w:val="left"/>
        <w:rPr>
          <w:rFonts w:hint="eastAsia" w:ascii="宋体" w:hAnsi="宋体"/>
          <w:color w:val="auto"/>
          <w:szCs w:val="21"/>
        </w:rPr>
      </w:pPr>
      <w:r>
        <w:rPr>
          <w:rFonts w:hint="eastAsia" w:ascii="宋体" w:hAnsi="宋体" w:cs="仿宋"/>
          <w:bCs/>
          <w:color w:val="auto"/>
          <w:szCs w:val="18"/>
        </w:rPr>
        <w:t>3. 投标</w:t>
      </w:r>
      <w:r>
        <w:rPr>
          <w:rFonts w:hint="eastAsia" w:ascii="宋体" w:hAnsi="宋体"/>
          <w:color w:val="auto"/>
          <w:szCs w:val="21"/>
        </w:rPr>
        <w:t>人在制作投标文件时该页可放置在商务文件：投标所需证明材料中。</w:t>
      </w:r>
    </w:p>
    <w:p w14:paraId="62614E7C">
      <w:pPr>
        <w:rPr>
          <w:rFonts w:hint="eastAsia"/>
          <w:color w:val="auto"/>
        </w:rPr>
      </w:pPr>
    </w:p>
    <w:p w14:paraId="4FF0502A">
      <w:pPr>
        <w:rPr>
          <w:color w:val="auto"/>
          <w:sz w:val="28"/>
          <w:szCs w:val="28"/>
        </w:rPr>
      </w:pPr>
      <w:bookmarkStart w:id="540" w:name="_Toc460660254"/>
      <w:bookmarkStart w:id="541" w:name="_Toc535241145"/>
      <w:bookmarkStart w:id="542" w:name="_Toc460227139"/>
    </w:p>
    <w:p w14:paraId="3478F48A">
      <w:pPr>
        <w:jc w:val="center"/>
        <w:rPr>
          <w:rFonts w:hint="eastAsia"/>
          <w:color w:val="auto"/>
        </w:rPr>
      </w:pPr>
      <w:r>
        <w:rPr>
          <w:color w:val="auto"/>
        </w:rPr>
        <w:br w:type="page"/>
      </w:r>
    </w:p>
    <w:p w14:paraId="2657B954">
      <w:pPr>
        <w:jc w:val="center"/>
        <w:outlineLvl w:val="2"/>
        <w:rPr>
          <w:rFonts w:hint="eastAsia"/>
          <w:color w:val="auto"/>
          <w:sz w:val="28"/>
          <w:szCs w:val="28"/>
        </w:rPr>
      </w:pPr>
      <w:r>
        <w:rPr>
          <w:rFonts w:hint="eastAsia"/>
          <w:color w:val="auto"/>
          <w:sz w:val="28"/>
          <w:szCs w:val="28"/>
        </w:rPr>
        <w:t>（二十）投标报价需要说明的其他资料</w:t>
      </w:r>
      <w:bookmarkEnd w:id="526"/>
      <w:bookmarkEnd w:id="527"/>
      <w:bookmarkEnd w:id="528"/>
      <w:bookmarkEnd w:id="529"/>
      <w:bookmarkEnd w:id="530"/>
      <w:bookmarkEnd w:id="540"/>
      <w:bookmarkEnd w:id="541"/>
      <w:bookmarkEnd w:id="542"/>
    </w:p>
    <w:p w14:paraId="2CEF87E0">
      <w:pPr>
        <w:jc w:val="center"/>
        <w:rPr>
          <w:rFonts w:hint="eastAsia"/>
          <w:color w:val="auto"/>
          <w:sz w:val="28"/>
          <w:szCs w:val="28"/>
        </w:rPr>
      </w:pPr>
    </w:p>
    <w:p w14:paraId="3418D96E">
      <w:pPr>
        <w:spacing w:line="360" w:lineRule="auto"/>
        <w:ind w:firstLine="420" w:firstLineChars="200"/>
        <w:jc w:val="left"/>
        <w:rPr>
          <w:rFonts w:hint="eastAsia" w:ascii="宋体" w:hAnsi="宋体" w:cs="仿宋"/>
          <w:bCs/>
          <w:color w:val="auto"/>
          <w:szCs w:val="18"/>
        </w:rPr>
      </w:pPr>
      <w:r>
        <w:rPr>
          <w:rFonts w:hint="eastAsia" w:ascii="宋体" w:hAnsi="宋体"/>
          <w:color w:val="auto"/>
          <w:szCs w:val="21"/>
        </w:rPr>
        <w:t>投标人认为</w:t>
      </w:r>
      <w:r>
        <w:rPr>
          <w:rFonts w:hint="eastAsia" w:ascii="宋体" w:hAnsi="宋体" w:cs="仿宋"/>
          <w:bCs/>
          <w:color w:val="auto"/>
          <w:szCs w:val="18"/>
        </w:rPr>
        <w:t>需对其投标报价进行其他补充说明及证明材料。</w:t>
      </w:r>
    </w:p>
    <w:p w14:paraId="39214A49">
      <w:pPr>
        <w:spacing w:line="360" w:lineRule="auto"/>
        <w:ind w:firstLine="420" w:firstLineChars="200"/>
        <w:jc w:val="left"/>
        <w:rPr>
          <w:rFonts w:hint="eastAsia" w:ascii="宋体" w:hAnsi="宋体"/>
          <w:b/>
          <w:color w:val="auto"/>
          <w:sz w:val="24"/>
          <w:highlight w:val="none"/>
        </w:rPr>
      </w:pPr>
      <w:r>
        <w:rPr>
          <w:rFonts w:hint="eastAsia" w:ascii="宋体" w:hAnsi="宋体" w:cs="仿宋"/>
          <w:bCs/>
          <w:color w:val="auto"/>
          <w:szCs w:val="18"/>
        </w:rPr>
        <w:t>投标人在制作</w:t>
      </w:r>
      <w:r>
        <w:rPr>
          <w:rFonts w:hint="eastAsia" w:ascii="宋体" w:hAnsi="宋体"/>
          <w:color w:val="auto"/>
          <w:szCs w:val="21"/>
        </w:rPr>
        <w:t>投标文件时该页可放置在报价文件：投标所需证明材料中。</w:t>
      </w:r>
      <w:bookmarkEnd w:id="42"/>
      <w:bookmarkEnd w:id="43"/>
      <w:bookmarkEnd w:id="44"/>
    </w:p>
    <w:sectPr>
      <w:headerReference r:id="rId14" w:type="default"/>
      <w:footerReference r:id="rId15"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C75">
    <w:pPr>
      <w:pStyle w:val="32"/>
      <w:jc w:val="center"/>
    </w:pPr>
    <w:r>
      <w:fldChar w:fldCharType="begin"/>
    </w:r>
    <w:r>
      <w:instrText xml:space="preserve">PAGE   \* MERGEFORMAT</w:instrText>
    </w:r>
    <w:r>
      <w:fldChar w:fldCharType="separate"/>
    </w:r>
    <w:r>
      <w:rPr>
        <w:lang w:val="zh-CN"/>
      </w:rPr>
      <w:t>3</w:t>
    </w:r>
    <w:r>
      <w:fldChar w:fldCharType="end"/>
    </w:r>
  </w:p>
  <w:p w14:paraId="629FBA5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5E00">
    <w:pPr>
      <w:pStyle w:val="32"/>
      <w:framePr w:wrap="around" w:vAnchor="text" w:hAnchor="margin" w:xAlign="center" w:y="1"/>
      <w:rPr>
        <w:rStyle w:val="57"/>
      </w:rPr>
    </w:pPr>
    <w:r>
      <w:fldChar w:fldCharType="begin"/>
    </w:r>
    <w:r>
      <w:rPr>
        <w:rStyle w:val="57"/>
      </w:rPr>
      <w:instrText xml:space="preserve">PAGE  </w:instrText>
    </w:r>
    <w:r>
      <w:fldChar w:fldCharType="separate"/>
    </w:r>
    <w:r>
      <w:fldChar w:fldCharType="end"/>
    </w:r>
  </w:p>
  <w:p w14:paraId="4A03381F">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5CEE">
    <w:pPr>
      <w:pStyle w:val="32"/>
      <w:jc w:val="center"/>
    </w:pPr>
    <w:r>
      <w:fldChar w:fldCharType="begin"/>
    </w:r>
    <w:r>
      <w:instrText xml:space="preserve">PAGE   \* MERGEFORMAT</w:instrText>
    </w:r>
    <w:r>
      <w:fldChar w:fldCharType="separate"/>
    </w:r>
    <w:r>
      <w:rPr>
        <w:lang w:val="zh-CN"/>
      </w:rPr>
      <w:t>96</w:t>
    </w:r>
    <w:r>
      <w:fldChar w:fldCharType="end"/>
    </w:r>
  </w:p>
  <w:p w14:paraId="4CBD9A3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CBBA">
    <w:pPr>
      <w:pStyle w:val="32"/>
      <w:framePr w:wrap="around" w:vAnchor="text" w:hAnchor="margin" w:xAlign="center" w:y="1"/>
      <w:rPr>
        <w:rStyle w:val="57"/>
      </w:rPr>
    </w:pPr>
    <w:r>
      <w:fldChar w:fldCharType="begin"/>
    </w:r>
    <w:r>
      <w:rPr>
        <w:rStyle w:val="57"/>
        <w:highlight w:val="white"/>
      </w:rPr>
      <w:instrText xml:space="preserve">PAGE  </w:instrText>
    </w:r>
    <w:r>
      <w:fldChar w:fldCharType="separate"/>
    </w:r>
    <w:r>
      <w:rPr>
        <w:rStyle w:val="57"/>
        <w:highlight w:val="white"/>
      </w:rPr>
      <w:t>1</w:t>
    </w:r>
    <w:r>
      <w:fldChar w:fldCharType="end"/>
    </w:r>
  </w:p>
  <w:p w14:paraId="3A28A9E6">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BC7A">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2"/>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2"/>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2"/>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BFD4">
    <w:pPr>
      <w:pStyle w:val="34"/>
      <w:jc w:val="left"/>
    </w:pPr>
    <w:r>
      <w:rPr>
        <w:rFonts w:hint="eastAsia"/>
      </w:rPr>
      <w:t>网招B4类建设工程招标文件-2018.3.1版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2944">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B81C">
    <w:pPr>
      <w:pStyle w:val="34"/>
    </w:pPr>
    <w:r>
      <w:rPr>
        <w:rFonts w:hint="eastAsia"/>
      </w:rPr>
      <w:t>建设工程招标文件（非网招）20160127版本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9D75">
    <w:pPr>
      <w:pStyle w:val="34"/>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739F">
    <w:pPr>
      <w:pStyle w:val="34"/>
      <w:framePr w:wrap="around" w:vAnchor="text" w:hAnchor="margin" w:xAlign="right" w:y="1"/>
      <w:rPr>
        <w:rStyle w:val="57"/>
      </w:rPr>
    </w:pPr>
    <w:r>
      <w:fldChar w:fldCharType="begin"/>
    </w:r>
    <w:r>
      <w:rPr>
        <w:rStyle w:val="57"/>
        <w:highlight w:val="white"/>
      </w:rPr>
      <w:instrText xml:space="preserve">PAGE  </w:instrText>
    </w:r>
    <w:r>
      <w:fldChar w:fldCharType="separate"/>
    </w:r>
    <w:r>
      <w:fldChar w:fldCharType="end"/>
    </w:r>
  </w:p>
  <w:p w14:paraId="580ABF2C">
    <w:pPr>
      <w:pStyle w:val="3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1979">
    <w:pPr>
      <w:pStyle w:val="3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9"/>
      <w:lvlText w:val="%1"/>
      <w:lvlJc w:val="left"/>
      <w:pPr>
        <w:tabs>
          <w:tab w:val="left" w:pos="425"/>
        </w:tabs>
        <w:ind w:left="425" w:hanging="425"/>
      </w:pPr>
      <w:rPr>
        <w:rFonts w:hint="default" w:ascii="Arial" w:hAnsi="Arial" w:eastAsia="黑体"/>
        <w:b w:val="0"/>
        <w:i w:val="0"/>
        <w:sz w:val="28"/>
      </w:rPr>
    </w:lvl>
    <w:lvl w:ilvl="1" w:tentative="0">
      <w:start w:val="1"/>
      <w:numFmt w:val="decimal"/>
      <w:pStyle w:val="70"/>
      <w:lvlText w:val="%1.%2"/>
      <w:lvlJc w:val="left"/>
      <w:pPr>
        <w:tabs>
          <w:tab w:val="left" w:pos="992"/>
        </w:tabs>
        <w:ind w:left="992" w:hanging="567"/>
      </w:pPr>
      <w:rPr>
        <w:rFonts w:hint="default" w:ascii="Arial" w:hAnsi="Arial" w:eastAsia="黑体"/>
        <w:b w:val="0"/>
        <w:i w:val="0"/>
        <w:sz w:val="24"/>
      </w:rPr>
    </w:lvl>
    <w:lvl w:ilvl="2" w:tentative="0">
      <w:start w:val="1"/>
      <w:numFmt w:val="decimal"/>
      <w:pStyle w:val="98"/>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9975319"/>
    <w:multiLevelType w:val="singleLevel"/>
    <w:tmpl w:val="79975319"/>
    <w:lvl w:ilvl="0" w:tentative="0">
      <w:start w:val="3"/>
      <w:numFmt w:val="chineseCounting"/>
      <w:suff w:val="nothing"/>
      <w:lvlText w:val="%1．"/>
      <w:lvlJc w:val="left"/>
      <w:rPr>
        <w:rFonts w:hint="eastAsia"/>
      </w:rPr>
    </w:lvl>
  </w:abstractNum>
  <w:abstractNum w:abstractNumId="4">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33D"/>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2A05A1"/>
    <w:rsid w:val="03F262FE"/>
    <w:rsid w:val="05DC0389"/>
    <w:rsid w:val="077918E2"/>
    <w:rsid w:val="080F68DC"/>
    <w:rsid w:val="09B35E22"/>
    <w:rsid w:val="0A2B2280"/>
    <w:rsid w:val="0AEA2669"/>
    <w:rsid w:val="0B5A78B0"/>
    <w:rsid w:val="0B75226E"/>
    <w:rsid w:val="0CE95936"/>
    <w:rsid w:val="0D151D23"/>
    <w:rsid w:val="0D4103F4"/>
    <w:rsid w:val="0D517F6C"/>
    <w:rsid w:val="0D591CFB"/>
    <w:rsid w:val="0D70587D"/>
    <w:rsid w:val="0D8F6CE5"/>
    <w:rsid w:val="0D9131B4"/>
    <w:rsid w:val="0E4C465A"/>
    <w:rsid w:val="0F8E619D"/>
    <w:rsid w:val="0FD94D4C"/>
    <w:rsid w:val="101C4917"/>
    <w:rsid w:val="123B32DA"/>
    <w:rsid w:val="124F64A1"/>
    <w:rsid w:val="127E4B70"/>
    <w:rsid w:val="12933CC9"/>
    <w:rsid w:val="13BF1AC2"/>
    <w:rsid w:val="14197F4D"/>
    <w:rsid w:val="1588638E"/>
    <w:rsid w:val="15D50633"/>
    <w:rsid w:val="165D5409"/>
    <w:rsid w:val="166B48A0"/>
    <w:rsid w:val="16F45074"/>
    <w:rsid w:val="16FC5D9B"/>
    <w:rsid w:val="172368D2"/>
    <w:rsid w:val="17834DE9"/>
    <w:rsid w:val="17F16374"/>
    <w:rsid w:val="1A313E0D"/>
    <w:rsid w:val="1C4C37B9"/>
    <w:rsid w:val="1D097FE3"/>
    <w:rsid w:val="1E905351"/>
    <w:rsid w:val="1F9E3BCA"/>
    <w:rsid w:val="21B60BF9"/>
    <w:rsid w:val="23203542"/>
    <w:rsid w:val="23285A18"/>
    <w:rsid w:val="240C20F5"/>
    <w:rsid w:val="276F595A"/>
    <w:rsid w:val="27B523F7"/>
    <w:rsid w:val="27F44A06"/>
    <w:rsid w:val="28FA7281"/>
    <w:rsid w:val="29531D9D"/>
    <w:rsid w:val="299553EC"/>
    <w:rsid w:val="29BD3F19"/>
    <w:rsid w:val="29D42705"/>
    <w:rsid w:val="2ADC147B"/>
    <w:rsid w:val="2ADE4D64"/>
    <w:rsid w:val="2C056941"/>
    <w:rsid w:val="2C1C4834"/>
    <w:rsid w:val="2C3118F6"/>
    <w:rsid w:val="2D8E6D7A"/>
    <w:rsid w:val="2F3E39E2"/>
    <w:rsid w:val="2FF95846"/>
    <w:rsid w:val="30BA79B9"/>
    <w:rsid w:val="31566A52"/>
    <w:rsid w:val="31AB0CDA"/>
    <w:rsid w:val="31D73965"/>
    <w:rsid w:val="32B27C01"/>
    <w:rsid w:val="32E965DF"/>
    <w:rsid w:val="33366222"/>
    <w:rsid w:val="367120E1"/>
    <w:rsid w:val="373F5ED2"/>
    <w:rsid w:val="381E5E10"/>
    <w:rsid w:val="389F5A24"/>
    <w:rsid w:val="39087C01"/>
    <w:rsid w:val="39836185"/>
    <w:rsid w:val="3A5D5440"/>
    <w:rsid w:val="3A73207F"/>
    <w:rsid w:val="3B4E7503"/>
    <w:rsid w:val="3C923FD8"/>
    <w:rsid w:val="3CC4744B"/>
    <w:rsid w:val="3D9424D5"/>
    <w:rsid w:val="3DAF6D45"/>
    <w:rsid w:val="3DC5397A"/>
    <w:rsid w:val="3ECA09E9"/>
    <w:rsid w:val="3FB95217"/>
    <w:rsid w:val="405065A5"/>
    <w:rsid w:val="414B7535"/>
    <w:rsid w:val="415E35C6"/>
    <w:rsid w:val="41AB521D"/>
    <w:rsid w:val="41BA02BB"/>
    <w:rsid w:val="424A24F4"/>
    <w:rsid w:val="427C0258"/>
    <w:rsid w:val="428B7B0F"/>
    <w:rsid w:val="429C7054"/>
    <w:rsid w:val="42C40BE2"/>
    <w:rsid w:val="43EC454D"/>
    <w:rsid w:val="450F4B6E"/>
    <w:rsid w:val="459D445A"/>
    <w:rsid w:val="47140AC9"/>
    <w:rsid w:val="481A5BAC"/>
    <w:rsid w:val="48D56A43"/>
    <w:rsid w:val="4B493F7E"/>
    <w:rsid w:val="4C9F3B15"/>
    <w:rsid w:val="4CC82BA6"/>
    <w:rsid w:val="4DFC16FF"/>
    <w:rsid w:val="4EAF6BC7"/>
    <w:rsid w:val="4EDD6607"/>
    <w:rsid w:val="4EF40B5E"/>
    <w:rsid w:val="4F252466"/>
    <w:rsid w:val="4F5A71E7"/>
    <w:rsid w:val="500E40D0"/>
    <w:rsid w:val="503E0731"/>
    <w:rsid w:val="512F03DB"/>
    <w:rsid w:val="5307177D"/>
    <w:rsid w:val="539267AF"/>
    <w:rsid w:val="543264A9"/>
    <w:rsid w:val="545B2CD1"/>
    <w:rsid w:val="548D462B"/>
    <w:rsid w:val="554A03C4"/>
    <w:rsid w:val="56FDD9F0"/>
    <w:rsid w:val="570E3BC9"/>
    <w:rsid w:val="573236AD"/>
    <w:rsid w:val="58457CD0"/>
    <w:rsid w:val="59813B96"/>
    <w:rsid w:val="5A431F22"/>
    <w:rsid w:val="5AD92B11"/>
    <w:rsid w:val="5B302BB8"/>
    <w:rsid w:val="5C917115"/>
    <w:rsid w:val="5C9A1041"/>
    <w:rsid w:val="5CB511A8"/>
    <w:rsid w:val="5D076975"/>
    <w:rsid w:val="5DE85D9D"/>
    <w:rsid w:val="5E6162CC"/>
    <w:rsid w:val="5F8913FD"/>
    <w:rsid w:val="60C06604"/>
    <w:rsid w:val="615862B8"/>
    <w:rsid w:val="6216372D"/>
    <w:rsid w:val="633640E0"/>
    <w:rsid w:val="64332182"/>
    <w:rsid w:val="645E7AB0"/>
    <w:rsid w:val="648B3387"/>
    <w:rsid w:val="64EFC06C"/>
    <w:rsid w:val="65402FF4"/>
    <w:rsid w:val="65A7466B"/>
    <w:rsid w:val="67881E4E"/>
    <w:rsid w:val="697F1BC4"/>
    <w:rsid w:val="69FB26F0"/>
    <w:rsid w:val="6A7A6FDF"/>
    <w:rsid w:val="6D1E7924"/>
    <w:rsid w:val="6E496FBD"/>
    <w:rsid w:val="6EAD10FE"/>
    <w:rsid w:val="6EBD4430"/>
    <w:rsid w:val="6F98180B"/>
    <w:rsid w:val="6FB62D34"/>
    <w:rsid w:val="70537742"/>
    <w:rsid w:val="709B35B6"/>
    <w:rsid w:val="71C53799"/>
    <w:rsid w:val="724972EE"/>
    <w:rsid w:val="728575CB"/>
    <w:rsid w:val="72A5179F"/>
    <w:rsid w:val="72DA16A4"/>
    <w:rsid w:val="73245671"/>
    <w:rsid w:val="74697EA8"/>
    <w:rsid w:val="753B06B2"/>
    <w:rsid w:val="757A4D91"/>
    <w:rsid w:val="761346AD"/>
    <w:rsid w:val="76AF09F8"/>
    <w:rsid w:val="77270DF0"/>
    <w:rsid w:val="77A33CA2"/>
    <w:rsid w:val="77ED24B1"/>
    <w:rsid w:val="78275322"/>
    <w:rsid w:val="787F7263"/>
    <w:rsid w:val="789D19E7"/>
    <w:rsid w:val="792425B9"/>
    <w:rsid w:val="7A1403B0"/>
    <w:rsid w:val="7A2559F9"/>
    <w:rsid w:val="7B620BCC"/>
    <w:rsid w:val="7BDA46B9"/>
    <w:rsid w:val="7C020BE6"/>
    <w:rsid w:val="7C0D02B4"/>
    <w:rsid w:val="7CF66286"/>
    <w:rsid w:val="7DDA8DE2"/>
    <w:rsid w:val="7F0D1A18"/>
    <w:rsid w:val="7F9839DA"/>
    <w:rsid w:val="E7BBD729"/>
    <w:rsid w:val="EFFF56E5"/>
    <w:rsid w:val="FBF99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qFormat/>
    <w:uiPriority w:val="0"/>
    <w:pPr>
      <w:ind w:firstLine="645"/>
    </w:pPr>
    <w:rPr>
      <w:rFonts w:ascii="楷体_GB2312" w:eastAsia="楷体_GB2312"/>
      <w:sz w:val="32"/>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style>
  <w:style w:type="paragraph" w:styleId="25">
    <w:name w:val="toc 3"/>
    <w:basedOn w:val="1"/>
    <w:next w:val="1"/>
    <w:qFormat/>
    <w:uiPriority w:val="0"/>
    <w:pPr>
      <w:ind w:left="420"/>
      <w:jc w:val="left"/>
    </w:pPr>
    <w:rPr>
      <w:i/>
    </w:rPr>
  </w:style>
  <w:style w:type="paragraph" w:styleId="26">
    <w:name w:val="Plain Text"/>
    <w:basedOn w:val="1"/>
    <w:qFormat/>
    <w:uiPriority w:val="0"/>
    <w:rPr>
      <w:rFonts w:ascii="宋体" w:hAnsi="Courier New"/>
    </w:rPr>
  </w:style>
  <w:style w:type="paragraph" w:styleId="27">
    <w:name w:val="toc 8"/>
    <w:basedOn w:val="1"/>
    <w:next w:val="1"/>
    <w:qFormat/>
    <w:uiPriority w:val="0"/>
    <w:pPr>
      <w:ind w:left="1470"/>
      <w:jc w:val="left"/>
    </w:pPr>
  </w:style>
  <w:style w:type="paragraph" w:styleId="28">
    <w:name w:val="index 3"/>
    <w:basedOn w:val="1"/>
    <w:next w:val="1"/>
    <w:qFormat/>
    <w:uiPriority w:val="0"/>
    <w:pPr>
      <w:ind w:left="400" w:leftChars="400"/>
    </w:pPr>
  </w:style>
  <w:style w:type="paragraph" w:styleId="29">
    <w:name w:val="Date"/>
    <w:basedOn w:val="1"/>
    <w:next w:val="1"/>
    <w:link w:val="62"/>
    <w:qFormat/>
    <w:uiPriority w:val="0"/>
    <w:rPr>
      <w:b/>
      <w:sz w:val="28"/>
    </w:rPr>
  </w:style>
  <w:style w:type="paragraph" w:styleId="30">
    <w:name w:val="Body Text Indent 2"/>
    <w:basedOn w:val="1"/>
    <w:qFormat/>
    <w:uiPriority w:val="0"/>
    <w:pPr>
      <w:ind w:left="630" w:firstLine="645"/>
    </w:pPr>
    <w:rPr>
      <w:rFonts w:ascii="Arial" w:hAnsi="Arial" w:eastAsia="仿宋_GB2312"/>
      <w:sz w:val="32"/>
    </w:rPr>
  </w:style>
  <w:style w:type="paragraph" w:styleId="31">
    <w:name w:val="Balloon Text"/>
    <w:basedOn w:val="1"/>
    <w:qFormat/>
    <w:uiPriority w:val="0"/>
    <w:rPr>
      <w:sz w:val="18"/>
    </w:rPr>
  </w:style>
  <w:style w:type="paragraph" w:styleId="32">
    <w:name w:val="footer"/>
    <w:basedOn w:val="1"/>
    <w:link w:val="63"/>
    <w:qFormat/>
    <w:uiPriority w:val="0"/>
    <w:pPr>
      <w:tabs>
        <w:tab w:val="center" w:pos="4153"/>
        <w:tab w:val="right" w:pos="8306"/>
      </w:tabs>
      <w:snapToGrid w:val="0"/>
      <w:jc w:val="left"/>
    </w:pPr>
    <w:rPr>
      <w:sz w:val="18"/>
    </w:rPr>
  </w:style>
  <w:style w:type="paragraph" w:styleId="33">
    <w:name w:val="envelope return"/>
    <w:basedOn w:val="1"/>
    <w:qFormat/>
    <w:uiPriority w:val="99"/>
    <w:pPr>
      <w:widowControl/>
    </w:pPr>
    <w:rPr>
      <w:kern w:val="0"/>
      <w:sz w:val="22"/>
      <w:lang w:eastAsia="en-US"/>
    </w:rPr>
  </w:style>
  <w:style w:type="paragraph" w:styleId="3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Title"/>
    <w:basedOn w:val="1"/>
    <w:next w:val="1"/>
    <w:qFormat/>
    <w:uiPriority w:val="10"/>
    <w:pPr>
      <w:spacing w:before="240" w:after="60"/>
      <w:jc w:val="center"/>
      <w:outlineLvl w:val="0"/>
    </w:pPr>
    <w:rPr>
      <w:rFonts w:ascii="Cambria" w:hAnsi="Cambria"/>
      <w:b/>
      <w:bCs/>
      <w:sz w:val="32"/>
      <w:szCs w:val="32"/>
    </w:rPr>
  </w:style>
  <w:style w:type="paragraph" w:styleId="51">
    <w:name w:val="annotation subject"/>
    <w:basedOn w:val="18"/>
    <w:next w:val="18"/>
    <w:qFormat/>
    <w:uiPriority w:val="0"/>
    <w:rPr>
      <w:b/>
      <w:bCs/>
    </w:rPr>
  </w:style>
  <w:style w:type="paragraph" w:styleId="52">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3">
    <w:name w:val="Body Text First Indent 2"/>
    <w:basedOn w:val="22"/>
    <w:next w:val="39"/>
    <w:qFormat/>
    <w:uiPriority w:val="99"/>
    <w:pPr>
      <w:widowControl/>
      <w:spacing w:before="100" w:beforeAutospacing="1" w:after="100" w:afterAutospacing="1"/>
    </w:pPr>
    <w:rPr>
      <w:sz w:val="24"/>
      <w:szCs w:val="24"/>
    </w:r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customStyle="1" w:styleId="62">
    <w:name w:val=" Char Char1"/>
    <w:link w:val="29"/>
    <w:qFormat/>
    <w:uiPriority w:val="0"/>
    <w:rPr>
      <w:b/>
      <w:kern w:val="2"/>
      <w:sz w:val="28"/>
    </w:rPr>
  </w:style>
  <w:style w:type="character" w:customStyle="1" w:styleId="63">
    <w:name w:val=" Char Char"/>
    <w:link w:val="32"/>
    <w:qFormat/>
    <w:uiPriority w:val="0"/>
    <w:rPr>
      <w:kern w:val="2"/>
      <w:sz w:val="18"/>
    </w:rPr>
  </w:style>
  <w:style w:type="character" w:customStyle="1" w:styleId="64">
    <w:name w:val=" Char Char2"/>
    <w:link w:val="34"/>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1 Char"/>
    <w:qFormat/>
    <w:uiPriority w:val="0"/>
    <w:rPr>
      <w:rFonts w:eastAsia="宋体"/>
      <w:b/>
      <w:kern w:val="44"/>
      <w:sz w:val="30"/>
      <w:lang w:val="en-US" w:eastAsia="zh-CN"/>
    </w:rPr>
  </w:style>
  <w:style w:type="character" w:customStyle="1" w:styleId="67">
    <w:name w:val="标题 4 Char"/>
    <w:qFormat/>
    <w:uiPriority w:val="0"/>
    <w:rPr>
      <w:rFonts w:ascii="Arial" w:hAnsi="Arial" w:eastAsia="黑体"/>
      <w:b/>
      <w:kern w:val="2"/>
      <w:sz w:val="28"/>
      <w:lang w:val="en-US" w:eastAsia="zh-CN"/>
    </w:rPr>
  </w:style>
  <w:style w:type="paragraph" w:customStyle="1" w:styleId="6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二级标题"/>
    <w:basedOn w:val="1"/>
    <w:next w:val="70"/>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0">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1">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2">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3">
    <w:name w:val="Blockquote_0"/>
    <w:basedOn w:val="74"/>
    <w:qFormat/>
    <w:uiPriority w:val="0"/>
    <w:pPr>
      <w:autoSpaceDE w:val="0"/>
      <w:autoSpaceDN w:val="0"/>
      <w:adjustRightInd w:val="0"/>
      <w:spacing w:before="100" w:after="100"/>
      <w:ind w:left="360" w:right="360"/>
      <w:jc w:val="left"/>
    </w:pPr>
    <w:rPr>
      <w:kern w:val="0"/>
      <w:sz w:val="24"/>
      <w:szCs w:val="20"/>
    </w:rPr>
  </w:style>
  <w:style w:type="paragraph" w:customStyle="1" w:styleId="7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6">
    <w:name w:val="Char Char Char Char Char"/>
    <w:basedOn w:val="1"/>
    <w:qFormat/>
    <w:uiPriority w:val="0"/>
    <w:rPr>
      <w:rFonts w:ascii="Tahoma" w:hAnsi="Tahoma"/>
      <w:sz w:val="24"/>
    </w:rPr>
  </w:style>
  <w:style w:type="paragraph" w:customStyle="1" w:styleId="77">
    <w:name w:val="样式1"/>
    <w:basedOn w:val="1"/>
    <w:qFormat/>
    <w:uiPriority w:val="0"/>
    <w:pPr>
      <w:numPr>
        <w:ilvl w:val="0"/>
        <w:numId w:val="2"/>
      </w:numPr>
      <w:adjustRightInd w:val="0"/>
      <w:textAlignment w:val="baseline"/>
    </w:pPr>
    <w:rPr>
      <w:rFonts w:ascii="宋体" w:hAnsi="宋体"/>
      <w:kern w:val="0"/>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2"/>
    <w:qFormat/>
    <w:uiPriority w:val="0"/>
    <w:rPr>
      <w:rFonts w:ascii="Times New Roman" w:hAnsi="Times New Roman" w:eastAsia="Times New Roman" w:cs="Times New Roman"/>
      <w:sz w:val="24"/>
      <w:szCs w:val="24"/>
      <w:lang w:bidi="ar-SA"/>
    </w:rPr>
  </w:style>
  <w:style w:type="paragraph" w:customStyle="1" w:styleId="80">
    <w:name w:val="Char"/>
    <w:basedOn w:val="1"/>
    <w:qFormat/>
    <w:uiPriority w:val="0"/>
    <w:rPr>
      <w:rFonts w:ascii="Tahoma" w:hAnsi="Tahoma"/>
      <w:sz w:val="24"/>
    </w:rPr>
  </w:style>
  <w:style w:type="paragraph" w:customStyle="1" w:styleId="81">
    <w:name w:val="正文缩进_0"/>
    <w:basedOn w:val="74"/>
    <w:unhideWhenUsed/>
    <w:qFormat/>
    <w:uiPriority w:val="0"/>
    <w:pPr>
      <w:ind w:firstLine="420" w:firstLineChars="200"/>
    </w:pPr>
    <w:rPr>
      <w:rFonts w:ascii="Calibri" w:hAnsi="Calibri"/>
      <w:bCs/>
      <w:szCs w:val="32"/>
    </w:rPr>
  </w:style>
  <w:style w:type="paragraph" w:customStyle="1" w:styleId="82">
    <w:name w:val="Default Paragraph Char Char Char Char"/>
    <w:basedOn w:val="1"/>
    <w:next w:val="1"/>
    <w:qFormat/>
    <w:uiPriority w:val="0"/>
    <w:pPr>
      <w:widowControl/>
      <w:spacing w:line="360" w:lineRule="auto"/>
      <w:jc w:val="left"/>
    </w:pPr>
    <w:rPr>
      <w:kern w:val="0"/>
      <w:lang w:eastAsia="en-US"/>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5">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6">
    <w:name w:val="Char Char Char"/>
    <w:basedOn w:val="1"/>
    <w:qFormat/>
    <w:uiPriority w:val="0"/>
    <w:rPr>
      <w:rFonts w:ascii="Tahoma" w:hAnsi="Tahoma"/>
      <w:sz w:val="24"/>
    </w:rPr>
  </w:style>
  <w:style w:type="paragraph" w:customStyle="1" w:styleId="87">
    <w:name w:val="基本文字 Char"/>
    <w:basedOn w:val="1"/>
    <w:qFormat/>
    <w:uiPriority w:val="0"/>
    <w:pPr>
      <w:spacing w:before="156" w:beforeLines="0" w:beforeAutospacing="0" w:line="400" w:lineRule="atLeast"/>
      <w:ind w:firstLine="540" w:firstLineChars="225"/>
    </w:pPr>
    <w:rPr>
      <w:sz w:val="24"/>
    </w:rPr>
  </w:style>
  <w:style w:type="paragraph" w:customStyle="1" w:styleId="88">
    <w:name w:val=" Char"/>
    <w:basedOn w:val="1"/>
    <w:qFormat/>
    <w:uiPriority w:val="0"/>
  </w:style>
  <w:style w:type="paragraph" w:customStyle="1" w:styleId="89">
    <w:name w:val=" Char1"/>
    <w:basedOn w:val="1"/>
    <w:qFormat/>
    <w:uiPriority w:val="0"/>
    <w:rPr>
      <w:rFonts w:ascii="Tahoma" w:hAnsi="Tahoma"/>
      <w:sz w:val="24"/>
    </w:rPr>
  </w:style>
  <w:style w:type="paragraph" w:customStyle="1" w:styleId="90">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1">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3">
    <w:name w:val=" Char Char Char"/>
    <w:basedOn w:val="1"/>
    <w:qFormat/>
    <w:uiPriority w:val="0"/>
    <w:rPr>
      <w:rFonts w:ascii="Tahoma" w:hAnsi="Tahoma"/>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5">
    <w:name w:val="Char Char Char Char Char Char Char1 Char"/>
    <w:basedOn w:val="1"/>
    <w:qFormat/>
    <w:uiPriority w:val="0"/>
    <w:rPr>
      <w:rFonts w:ascii="Tahoma" w:hAnsi="Tahoma"/>
      <w:sz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标题 3_0"/>
    <w:basedOn w:val="74"/>
    <w:next w:val="81"/>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8">
    <w:name w:val="一级标题"/>
    <w:basedOn w:val="1"/>
    <w:next w:val="69"/>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9">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0">
    <w:name w:val="列出段落"/>
    <w:basedOn w:val="1"/>
    <w:qFormat/>
    <w:uiPriority w:val="0"/>
    <w:pPr>
      <w:ind w:firstLine="420" w:firstLineChars="200"/>
    </w:pPr>
    <w:rPr>
      <w:szCs w:val="24"/>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2">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3">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5">
    <w:name w:val="Normal_1"/>
    <w:qFormat/>
    <w:uiPriority w:val="0"/>
    <w:rPr>
      <w:rFonts w:ascii="Times New Roman" w:hAnsi="Times New Roman" w:eastAsia="Times New Roman" w:cs="Times New Roman"/>
      <w:sz w:val="24"/>
      <w:szCs w:val="24"/>
      <w:lang w:bidi="ar-SA"/>
    </w:rPr>
  </w:style>
  <w:style w:type="paragraph" w:customStyle="1" w:styleId="106">
    <w:name w:val="Normal_3"/>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23769</Words>
  <Characters>24876</Characters>
  <Lines>133</Lines>
  <Paragraphs>37</Paragraphs>
  <TotalTime>12</TotalTime>
  <ScaleCrop>false</ScaleCrop>
  <LinksUpToDate>false</LinksUpToDate>
  <CharactersWithSpaces>30833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2012-06-23T01:32:00Z</dcterms:created>
  <dc:creator>lyl</dc:creator>
  <cp:lastModifiedBy>暗夜精灵</cp:lastModifiedBy>
  <cp:lastPrinted>2020-11-21T02:35:00Z</cp:lastPrinted>
  <dcterms:modified xsi:type="dcterms:W3CDTF">2026-05-14T06:52:58Z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E5747E4E787F40FC8D0F57ECC122BD15_13</vt:lpwstr>
  </property>
  <property fmtid="{D5CDD505-2E9C-101B-9397-08002B2CF9AE}" pid="4" name="KSOTemplateDocerSaveRecord">
    <vt:lpwstr>eyJoZGlkIjoiM2QyMmY2YjQ2ZWI0YzU0ODFlNzIzNDZmOWI0OTQyY2YiLCJ1c2VySWQiOiIyMTA5NjYwMjEifQ==</vt:lpwstr>
  </property>
</Properties>
</file>