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240" w:lineRule="auto"/>
            <w:jc w:val="center"/>
            <w:rPr>
              <w:rFonts w:hint="eastAsia" w:ascii="微软雅黑" w:hAnsi="微软雅黑" w:eastAsia="微软雅黑" w:cs="微软雅黑"/>
              <w:b/>
              <w:bCs/>
              <w:sz w:val="56"/>
              <w:szCs w:val="56"/>
              <w:highlight w:val="none"/>
            </w:rPr>
          </w:pPr>
          <w:bookmarkStart w:id="0" w:name="_Toc273602339"/>
          <w:bookmarkStart w:id="1" w:name="_Toc245092759"/>
          <w:bookmarkStart w:id="2" w:name="_Toc328559326"/>
          <w:r>
            <w:rPr>
              <w:rFonts w:hint="eastAsia" w:ascii="微软雅黑" w:hAnsi="微软雅黑" w:eastAsia="微软雅黑" w:cs="微软雅黑"/>
              <w:b/>
              <w:bCs/>
              <w:sz w:val="56"/>
              <w:szCs w:val="56"/>
              <w:highlight w:val="none"/>
            </w:rPr>
            <w:t>城市更新项目</w:t>
          </w:r>
        </w:p>
        <w:p w14:paraId="3EC20F31">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val="en-US" w:eastAsia="zh-CN"/>
            </w:rPr>
            <w:t>定向直投</w:t>
          </w:r>
          <w:r>
            <w:rPr>
              <w:rFonts w:hint="eastAsia" w:ascii="微软雅黑" w:hAnsi="微软雅黑" w:eastAsia="微软雅黑" w:cs="微软雅黑"/>
              <w:b/>
              <w:bCs/>
              <w:sz w:val="56"/>
              <w:szCs w:val="56"/>
              <w:highlight w:val="none"/>
              <w:lang w:eastAsia="zh-CN"/>
            </w:rPr>
            <w:t>广告投放</w:t>
          </w:r>
          <w:r>
            <w:rPr>
              <w:rFonts w:hint="eastAsia" w:ascii="微软雅黑" w:hAnsi="微软雅黑" w:eastAsia="微软雅黑" w:cs="微软雅黑"/>
              <w:sz w:val="144"/>
              <w:szCs w:val="28"/>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招标单位：合肥市包河区城市更新建设有限公司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“城市更新项目定向直投广告投放”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城市更新项目定向直投广告投放</w:t>
      </w:r>
    </w:p>
    <w:p w14:paraId="709F4C1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不超过18</w:t>
      </w:r>
      <w:r>
        <w:rPr>
          <w:rFonts w:hint="eastAsia" w:ascii="微软雅黑" w:hAnsi="微软雅黑" w:eastAsia="微软雅黑" w:cs="微软雅黑"/>
          <w:color w:val="000000"/>
          <w:sz w:val="24"/>
          <w:szCs w:val="24"/>
          <w:highlight w:val="none"/>
          <w:lang w:val="zh-CN"/>
        </w:rPr>
        <w:t>万元（含税），</w:t>
      </w:r>
      <w:r>
        <w:rPr>
          <w:rFonts w:hint="eastAsia" w:ascii="微软雅黑" w:hAnsi="微软雅黑" w:eastAsia="微软雅黑" w:cs="微软雅黑"/>
          <w:color w:val="000000"/>
          <w:sz w:val="24"/>
          <w:szCs w:val="24"/>
          <w:highlight w:val="none"/>
          <w:lang w:val="en-US" w:eastAsia="zh-CN"/>
        </w:rPr>
        <w:t>其中嘉玺项目不超过9万元（抖音信息流广告不超过5万元，朋友圈信息流广告不超过4万元），珺玺项目不超过9万元（抖音信息流广告不超过5万元，朋友圈信息流广告不超过4万元）</w:t>
      </w:r>
    </w:p>
    <w:p w14:paraId="0641DFC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朋友圈&amp;抖音&amp;今日头条</w:t>
      </w:r>
    </w:p>
    <w:p w14:paraId="46F0E53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5.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2C34619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color w:val="000000"/>
          <w:sz w:val="24"/>
          <w:szCs w:val="24"/>
          <w:highlight w:val="none"/>
          <w:lang w:val="zh-CN"/>
        </w:rPr>
        <w:t>，否则其报价无效。</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304328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18</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28"/>
        <w:gridCol w:w="3512"/>
        <w:gridCol w:w="354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19</w:t>
            </w:r>
            <w:r>
              <w:rPr>
                <w:rFonts w:hint="eastAsia" w:ascii="微软雅黑" w:hAnsi="微软雅黑" w:eastAsia="微软雅黑" w:cs="微软雅黑"/>
                <w:sz w:val="24"/>
                <w:szCs w:val="24"/>
                <w:highlight w:val="none"/>
              </w:rPr>
              <w:t>日</w:t>
            </w:r>
            <w:bookmarkStart w:id="58" w:name="_GoBack"/>
            <w:bookmarkEnd w:id="58"/>
            <w:r>
              <w:rPr>
                <w:rFonts w:hint="eastAsia" w:ascii="微软雅黑" w:hAnsi="微软雅黑" w:eastAsia="微软雅黑" w:cs="微软雅黑"/>
                <w:sz w:val="24"/>
                <w:szCs w:val="24"/>
                <w:highlight w:val="none"/>
              </w:rPr>
              <w:t>（暂定）</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21D32B69">
      <w:pPr>
        <w:numPr>
          <w:ilvl w:val="0"/>
          <w:numId w:val="0"/>
        </w:numPr>
        <w:autoSpaceDE w:val="0"/>
        <w:autoSpaceDN w:val="0"/>
        <w:adjustRightInd w:val="0"/>
        <w:spacing w:after="0" w:line="360" w:lineRule="auto"/>
        <w:ind w:leftChars="0"/>
        <w:jc w:val="both"/>
        <w:rPr>
          <w:rFonts w:hint="eastAsia" w:ascii="微软雅黑" w:hAnsi="微软雅黑" w:eastAsia="微软雅黑" w:cs="微软雅黑"/>
          <w:color w:val="000000"/>
          <w:sz w:val="24"/>
          <w:szCs w:val="24"/>
          <w:highlight w:val="none"/>
          <w:lang w:val="zh-CN"/>
        </w:rPr>
      </w:pPr>
    </w:p>
    <w:p w14:paraId="35B0645F">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预算金额：不超过18万元（含税），其中嘉玺项目不超过9万元（抖音信息流广告不超过</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万元，朋友圈信息流广告不超过4万元），珺玺项目不超过9万元（抖音信息流广告不超过</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万元，朋友圈信息流广告不超过4万元）</w:t>
      </w:r>
    </w:p>
    <w:p w14:paraId="1DAFC2BA">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73056DDF">
      <w:pPr>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425" w:leftChars="0" w:hanging="425" w:firstLineChars="0"/>
        <w:jc w:val="both"/>
        <w:rPr>
          <w:rFonts w:hint="eastAsia" w:ascii="微软雅黑" w:hAnsi="微软雅黑" w:eastAsia="微软雅黑" w:cs="微软雅黑"/>
          <w:sz w:val="22"/>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招标内容</w:t>
      </w:r>
      <w:r>
        <w:rPr>
          <w:rFonts w:hint="eastAsia" w:ascii="微软雅黑" w:hAnsi="微软雅黑" w:eastAsia="微软雅黑" w:cs="微软雅黑"/>
          <w:b w:val="0"/>
          <w:bCs w:val="0"/>
          <w:color w:val="000000"/>
          <w:sz w:val="24"/>
          <w:szCs w:val="24"/>
          <w:highlight w:val="none"/>
          <w:lang w:val="zh-CN" w:eastAsia="zh-CN"/>
        </w:rPr>
        <w:t>：</w:t>
      </w:r>
      <w:r>
        <w:rPr>
          <w:rFonts w:hint="eastAsia" w:ascii="微软雅黑" w:hAnsi="微软雅黑" w:eastAsia="微软雅黑" w:cs="微软雅黑"/>
          <w:b w:val="0"/>
          <w:bCs w:val="0"/>
          <w:color w:val="000000"/>
          <w:sz w:val="24"/>
          <w:szCs w:val="24"/>
          <w:highlight w:val="none"/>
          <w:lang w:val="en-US" w:eastAsia="zh-CN"/>
        </w:rPr>
        <w:t>城市更新项目定向直投广告投放（朋友圈&amp;抖音信息流广告投放），具体要求详见附件清单。</w:t>
      </w:r>
    </w:p>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7" w:name="_Toc39733479"/>
      <w:bookmarkStart w:id="8" w:name="_Toc245092762"/>
      <w:bookmarkStart w:id="9" w:name="_Toc22397"/>
      <w:bookmarkStart w:id="10" w:name="_Toc273602342"/>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城市更新项目定向直投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45714170"/>
      <w:bookmarkStart w:id="13" w:name="_Toc245028818"/>
      <w:bookmarkStart w:id="14" w:name="_Toc39733482"/>
      <w:bookmarkStart w:id="15" w:name="_Toc2829"/>
      <w:bookmarkStart w:id="16" w:name="_Toc273602352"/>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39733483"/>
      <w:bookmarkStart w:id="18" w:name="_Toc273602355"/>
      <w:bookmarkStart w:id="19" w:name="_Toc20758"/>
      <w:bookmarkStart w:id="20" w:name="_Toc24571417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城市更新项目定向直投广告投放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273602356"/>
      <w:bookmarkStart w:id="22" w:name="_Toc10239"/>
      <w:bookmarkStart w:id="23" w:name="_Toc39733484"/>
      <w:bookmarkStart w:id="24" w:name="_Toc245714174"/>
      <w:bookmarkStart w:id="25" w:name="_Toc220232394"/>
      <w:bookmarkStart w:id="26" w:name="_Toc232592019"/>
      <w:r>
        <w:rPr>
          <w:rFonts w:hint="eastAsia" w:ascii="微软雅黑" w:hAnsi="微软雅黑" w:eastAsia="微软雅黑" w:cs="微软雅黑"/>
          <w:b/>
          <w:sz w:val="22"/>
          <w:szCs w:val="22"/>
          <w:highlight w:val="none"/>
        </w:rPr>
        <w:t>附件二：</w:t>
      </w:r>
    </w:p>
    <w:p w14:paraId="5AA6625E">
      <w:pPr>
        <w:pStyle w:val="4"/>
        <w:numPr>
          <w:ilvl w:val="0"/>
          <w:numId w:val="3"/>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lang w:eastAsia="zh-CN"/>
        </w:rPr>
        <w:t>城市更新项目定向直投广告投放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bookmarkEnd w:id="27"/>
    <w:p w14:paraId="19F58E93">
      <w:pPr>
        <w:pStyle w:val="4"/>
        <w:numPr>
          <w:ilvl w:val="0"/>
          <w:numId w:val="3"/>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eastAsia="zh-CN"/>
        </w:rPr>
        <w:t>城市更新项目定向直投广告投放</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pStyle w:val="4"/>
        <w:numPr>
          <w:ilvl w:val="0"/>
          <w:numId w:val="3"/>
        </w:numPr>
        <w:jc w:val="center"/>
        <w:rPr>
          <w:rFonts w:hint="eastAsia" w:ascii="微软雅黑" w:hAnsi="微软雅黑" w:eastAsia="微软雅黑" w:cs="微软雅黑"/>
          <w:b/>
          <w:bCs/>
          <w:lang w:val="zh-CN" w:eastAsia="zh-CN"/>
        </w:rPr>
      </w:pPr>
      <w:r>
        <w:rPr>
          <w:rFonts w:hint="eastAsia" w:ascii="微软雅黑" w:hAnsi="微软雅黑" w:eastAsia="微软雅黑" w:cs="微软雅黑"/>
          <w:b/>
          <w:bCs/>
        </w:rPr>
        <w:t>资质证明文件</w:t>
      </w:r>
    </w:p>
    <w:p w14:paraId="3B3324C0">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业绩证明（自2023年1月1日起与合肥市区内不同房地产开发商签订的至少3份同类广告投放合同，每份合同金额不低于10万元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0C7E97E9">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8BDC80D">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合作确认书</w:t>
      </w:r>
    </w:p>
    <w:p w14:paraId="7F2E2516">
      <w:pP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“城市更新项目定向直投广告投放</w:t>
      </w:r>
      <w:r>
        <w:rPr>
          <w:rFonts w:hint="eastAsia" w:ascii="微软雅黑" w:hAnsi="微软雅黑" w:eastAsia="微软雅黑" w:cs="微软雅黑"/>
          <w:b/>
          <w:bCs/>
          <w:color w:val="000000"/>
          <w:sz w:val="24"/>
          <w:szCs w:val="24"/>
          <w:u w:val="single"/>
          <w:lang w:val="en-US" w:eastAsia="zh-CN"/>
        </w:rPr>
        <w:t>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46AD9966">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67B89181">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需按约定定向（年龄、地域、兴趣等）投放，如需调整定向投放策略，需提前书面告知甲方并获同意；</w:t>
      </w:r>
    </w:p>
    <w:p w14:paraId="4E030E0A">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需</w:t>
      </w:r>
      <w:r>
        <w:rPr>
          <w:rFonts w:hint="eastAsia" w:ascii="微软雅黑" w:hAnsi="微软雅黑" w:eastAsia="微软雅黑" w:cs="微软雅黑"/>
          <w:color w:val="000000"/>
          <w:sz w:val="24"/>
        </w:rPr>
        <w:t>对全部投放素材进行全面合规性审核，严格规避平台违禁内容及违规情形，确保广告正常投放，</w:t>
      </w:r>
      <w:r>
        <w:rPr>
          <w:rFonts w:hint="eastAsia" w:ascii="微软雅黑" w:hAnsi="微软雅黑" w:eastAsia="微软雅黑" w:cs="微软雅黑"/>
          <w:color w:val="000000"/>
          <w:sz w:val="24"/>
          <w:lang w:val="en-US" w:eastAsia="zh-CN"/>
        </w:rPr>
        <w:t>不得出现广告</w:t>
      </w:r>
      <w:r>
        <w:rPr>
          <w:rFonts w:hint="eastAsia" w:ascii="微软雅黑" w:hAnsi="微软雅黑" w:eastAsia="微软雅黑" w:cs="微软雅黑"/>
          <w:color w:val="000000"/>
          <w:sz w:val="24"/>
        </w:rPr>
        <w:t>下线等问题</w:t>
      </w:r>
      <w:r>
        <w:rPr>
          <w:rFonts w:hint="eastAsia" w:ascii="微软雅黑" w:hAnsi="微软雅黑" w:eastAsia="微软雅黑" w:cs="微软雅黑"/>
          <w:color w:val="000000"/>
          <w:sz w:val="24"/>
          <w:lang w:eastAsia="zh-CN"/>
        </w:rPr>
        <w:t>；</w:t>
      </w:r>
    </w:p>
    <w:p w14:paraId="6088B9C4">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朋友圈信息流广告投放需使用</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color w:val="000000"/>
          <w:sz w:val="24"/>
          <w:szCs w:val="24"/>
          <w:lang w:val="en-US" w:eastAsia="zh-CN"/>
        </w:rPr>
        <w:t>主体账户进行投放，</w:t>
      </w:r>
      <w:r>
        <w:rPr>
          <w:rFonts w:hint="eastAsia" w:ascii="微软雅黑" w:hAnsi="微软雅黑" w:eastAsia="微软雅黑" w:cs="微软雅黑"/>
          <w:color w:val="000000"/>
          <w:sz w:val="24"/>
          <w:lang w:val="en-US" w:eastAsia="zh-CN"/>
        </w:rPr>
        <w:t>不得</w:t>
      </w:r>
      <w:r>
        <w:rPr>
          <w:rFonts w:hint="eastAsia" w:ascii="微软雅黑" w:hAnsi="微软雅黑" w:eastAsia="微软雅黑" w:cs="微软雅黑"/>
          <w:color w:val="000000"/>
          <w:sz w:val="24"/>
        </w:rPr>
        <w:t>出现封户</w:t>
      </w:r>
      <w:r>
        <w:rPr>
          <w:rFonts w:hint="eastAsia" w:ascii="微软雅黑" w:hAnsi="微软雅黑" w:eastAsia="微软雅黑" w:cs="微软雅黑"/>
          <w:color w:val="000000"/>
          <w:sz w:val="24"/>
          <w:lang w:val="en-US" w:eastAsia="zh-CN"/>
        </w:rPr>
        <w:t>等问题；</w:t>
      </w:r>
    </w:p>
    <w:p w14:paraId="1E602B72">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rPr>
        <w:t>投放期间，乙方须按甲方要求提供后台数据，用于核验</w:t>
      </w:r>
      <w:r>
        <w:rPr>
          <w:rFonts w:hint="eastAsia" w:ascii="微软雅黑" w:hAnsi="微软雅黑" w:eastAsia="微软雅黑" w:cs="微软雅黑"/>
          <w:color w:val="000000"/>
          <w:sz w:val="24"/>
          <w:lang w:val="en-US" w:eastAsia="zh-CN"/>
        </w:rPr>
        <w:t>定向</w:t>
      </w:r>
      <w:r>
        <w:rPr>
          <w:rFonts w:hint="eastAsia" w:ascii="微软雅黑" w:hAnsi="微软雅黑" w:eastAsia="微软雅黑" w:cs="微软雅黑"/>
          <w:color w:val="000000"/>
          <w:sz w:val="24"/>
        </w:rPr>
        <w:t>投放曝光</w:t>
      </w:r>
      <w:r>
        <w:rPr>
          <w:rFonts w:hint="eastAsia" w:ascii="微软雅黑" w:hAnsi="微软雅黑" w:eastAsia="微软雅黑" w:cs="微软雅黑"/>
          <w:color w:val="000000"/>
          <w:sz w:val="24"/>
          <w:lang w:val="en-US" w:eastAsia="zh-CN"/>
        </w:rPr>
        <w:t>量</w:t>
      </w:r>
      <w:r>
        <w:rPr>
          <w:rFonts w:hint="eastAsia" w:ascii="微软雅黑" w:hAnsi="微软雅黑" w:eastAsia="微软雅黑" w:cs="微软雅黑"/>
          <w:color w:val="000000"/>
          <w:sz w:val="24"/>
        </w:rPr>
        <w:t>的真实性。若出现数据造假、投放范围不符等违约情形，甲方有权不予支付全部合作款项，且乙方应向甲方支付合同价款 50% 的违约金；若违约金不足以弥补甲方实际损失的，甲方有权就不足部分继续向乙方追偿。</w:t>
      </w:r>
    </w:p>
    <w:p w14:paraId="6A6C4448">
      <w:pPr>
        <w:autoSpaceDE w:val="0"/>
        <w:autoSpaceDN w:val="0"/>
        <w:adjustRightInd w:val="0"/>
        <w:spacing w:line="360" w:lineRule="auto"/>
        <w:ind w:firstLine="480" w:firstLineChars="2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03529A4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3483BEB7">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430A913A">
      <w:pPr>
        <w:pStyle w:val="28"/>
        <w:rPr>
          <w:rFonts w:hint="eastAsia" w:ascii="微软雅黑" w:hAnsi="微软雅黑" w:eastAsia="微软雅黑" w:cs="微软雅黑"/>
          <w:lang w:val="en-US" w:eastAsia="zh-CN"/>
        </w:rPr>
      </w:pPr>
    </w:p>
    <w:bookmarkEnd w:id="25"/>
    <w:bookmarkEnd w:id="26"/>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45961266">
          <w:pPr>
            <w:spacing w:line="240" w:lineRule="auto"/>
            <w:jc w:val="center"/>
            <w:rPr>
              <w:rFonts w:hint="eastAsia" w:ascii="微软雅黑" w:hAnsi="微软雅黑" w:eastAsia="微软雅黑" w:cs="微软雅黑"/>
              <w:b/>
              <w:bCs/>
              <w:sz w:val="56"/>
              <w:szCs w:val="56"/>
              <w:highlight w:val="none"/>
              <w:lang w:val="zh-CN"/>
            </w:rPr>
          </w:pPr>
          <w:r>
            <w:rPr>
              <w:rFonts w:hint="eastAsia" w:ascii="微软雅黑" w:hAnsi="微软雅黑" w:eastAsia="微软雅黑" w:cs="微软雅黑"/>
              <w:b/>
              <w:bCs/>
              <w:sz w:val="56"/>
              <w:szCs w:val="56"/>
              <w:highlight w:val="none"/>
              <w:lang w:val="zh-CN"/>
            </w:rPr>
            <w:t>城市更新项目</w:t>
          </w:r>
        </w:p>
        <w:p w14:paraId="6E439D04">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val="en-US" w:eastAsia="zh-CN"/>
            </w:rPr>
            <w:t>定向直投</w:t>
          </w:r>
          <w:r>
            <w:rPr>
              <w:rFonts w:hint="eastAsia" w:ascii="微软雅黑" w:hAnsi="微软雅黑" w:eastAsia="微软雅黑" w:cs="微软雅黑"/>
              <w:b/>
              <w:bCs/>
              <w:sz w:val="56"/>
              <w:szCs w:val="56"/>
              <w:highlight w:val="none"/>
              <w:lang w:eastAsia="zh-CN"/>
            </w:rPr>
            <w:t>广告投放</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8" w:name="_Toc240898303"/>
          <w:bookmarkStart w:id="29" w:name="_Toc328559344"/>
          <w:bookmarkStart w:id="30" w:name="_Toc273602363"/>
          <w:bookmarkStart w:id="31" w:name="_Toc270410845"/>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元/千次曝光（¥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1103"/>
        <w:gridCol w:w="1250"/>
        <w:gridCol w:w="1331"/>
        <w:gridCol w:w="1134"/>
        <w:gridCol w:w="2773"/>
        <w:gridCol w:w="1593"/>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104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城市更新项目定向直投广告投放报价单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103"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250" w:type="dxa"/>
            <w:tcBorders>
              <w:top w:val="nil"/>
              <w:left w:val="nil"/>
              <w:bottom w:val="single" w:color="auto" w:sz="4" w:space="0"/>
              <w:right w:val="single" w:color="auto" w:sz="4" w:space="0"/>
            </w:tcBorders>
            <w:shd w:val="clear" w:color="auto" w:fill="auto"/>
            <w:vAlign w:val="center"/>
          </w:tcPr>
          <w:p w14:paraId="52BAF1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4FD160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331" w:type="dxa"/>
            <w:tcBorders>
              <w:top w:val="nil"/>
              <w:left w:val="nil"/>
              <w:bottom w:val="single" w:color="auto" w:sz="4" w:space="0"/>
              <w:right w:val="single" w:color="auto" w:sz="4" w:space="0"/>
            </w:tcBorders>
            <w:shd w:val="clear" w:color="auto" w:fill="auto"/>
            <w:vAlign w:val="center"/>
          </w:tcPr>
          <w:p w14:paraId="2B7DAE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4E2294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（税率</w:t>
            </w:r>
            <w:r>
              <w:rPr>
                <w:rFonts w:hint="eastAsia" w:ascii="宋体" w:hAnsi="宋体" w:eastAsia="宋体" w:cs="宋体"/>
                <w:b/>
                <w:bCs/>
                <w:i w:val="0"/>
                <w:iCs w:val="0"/>
                <w:color w:val="auto"/>
                <w:kern w:val="0"/>
                <w:sz w:val="22"/>
                <w:szCs w:val="22"/>
                <w:u w:val="single"/>
                <w:lang w:val="en-US" w:eastAsia="zh-CN" w:bidi="ar"/>
              </w:rPr>
              <w:t>6</w:t>
            </w:r>
            <w:r>
              <w:rPr>
                <w:rFonts w:hint="eastAsia" w:ascii="宋体" w:hAnsi="宋体" w:eastAsia="宋体" w:cs="宋体"/>
                <w:b/>
                <w:bCs/>
                <w:i w:val="0"/>
                <w:iCs w:val="0"/>
                <w:color w:val="auto"/>
                <w:kern w:val="0"/>
                <w:sz w:val="22"/>
                <w:szCs w:val="22"/>
                <w:u w:val="none"/>
                <w:lang w:val="en-US" w:eastAsia="zh-CN" w:bidi="ar"/>
              </w:rPr>
              <w:t>%）</w:t>
            </w:r>
          </w:p>
        </w:tc>
        <w:tc>
          <w:tcPr>
            <w:tcW w:w="1134" w:type="dxa"/>
            <w:tcBorders>
              <w:top w:val="nil"/>
              <w:left w:val="nil"/>
              <w:bottom w:val="single" w:color="auto" w:sz="4" w:space="0"/>
              <w:right w:val="single" w:color="auto" w:sz="4" w:space="0"/>
            </w:tcBorders>
            <w:shd w:val="clear" w:color="auto" w:fill="auto"/>
            <w:vAlign w:val="center"/>
          </w:tcPr>
          <w:p w14:paraId="0A6D64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2ADE4F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773"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593"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7A70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0E3D7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朋友圈&amp;抖音信息流广告投放</w:t>
            </w:r>
          </w:p>
        </w:tc>
        <w:tc>
          <w:tcPr>
            <w:tcW w:w="1103" w:type="dxa"/>
            <w:tcBorders>
              <w:top w:val="nil"/>
              <w:left w:val="nil"/>
              <w:bottom w:val="single" w:color="auto" w:sz="4" w:space="0"/>
              <w:right w:val="single" w:color="auto" w:sz="4" w:space="0"/>
            </w:tcBorders>
            <w:shd w:val="clear" w:color="000000" w:fill="FFFFFF"/>
            <w:vAlign w:val="center"/>
          </w:tcPr>
          <w:p w14:paraId="24184D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5048FF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（元/千次曝光）</w:t>
            </w:r>
          </w:p>
        </w:tc>
        <w:tc>
          <w:tcPr>
            <w:tcW w:w="1250" w:type="dxa"/>
            <w:tcBorders>
              <w:top w:val="nil"/>
              <w:left w:val="nil"/>
              <w:bottom w:val="single" w:color="auto" w:sz="4" w:space="0"/>
              <w:right w:val="single" w:color="auto" w:sz="4" w:space="0"/>
            </w:tcBorders>
            <w:shd w:val="clear" w:color="000000" w:fill="FFFFFF"/>
            <w:vAlign w:val="center"/>
          </w:tcPr>
          <w:p w14:paraId="230A08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331" w:type="dxa"/>
            <w:tcBorders>
              <w:top w:val="nil"/>
              <w:left w:val="nil"/>
              <w:bottom w:val="single" w:color="auto" w:sz="4" w:space="0"/>
              <w:right w:val="single" w:color="auto" w:sz="4" w:space="0"/>
            </w:tcBorders>
            <w:shd w:val="clear" w:color="000000" w:fill="FFFFFF"/>
            <w:vAlign w:val="center"/>
          </w:tcPr>
          <w:p w14:paraId="6DFEF0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134" w:type="dxa"/>
            <w:tcBorders>
              <w:top w:val="nil"/>
              <w:left w:val="nil"/>
              <w:bottom w:val="single" w:color="auto" w:sz="4" w:space="0"/>
              <w:right w:val="single" w:color="auto" w:sz="4" w:space="0"/>
            </w:tcBorders>
            <w:shd w:val="clear" w:color="000000" w:fill="FFFFFF"/>
            <w:vAlign w:val="center"/>
          </w:tcPr>
          <w:p w14:paraId="361716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2773" w:type="dxa"/>
            <w:tcBorders>
              <w:top w:val="nil"/>
              <w:left w:val="nil"/>
              <w:bottom w:val="single" w:color="auto" w:sz="4" w:space="0"/>
              <w:right w:val="single" w:color="auto" w:sz="4" w:space="0"/>
            </w:tcBorders>
            <w:shd w:val="clear" w:color="000000" w:fill="FFFFFF"/>
            <w:noWrap/>
            <w:vAlign w:val="center"/>
          </w:tcPr>
          <w:p w14:paraId="2E8F73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776023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593" w:type="dxa"/>
            <w:vMerge w:val="restart"/>
            <w:tcBorders>
              <w:top w:val="nil"/>
              <w:left w:val="nil"/>
              <w:right w:val="single" w:color="auto" w:sz="4" w:space="0"/>
            </w:tcBorders>
            <w:shd w:val="clear" w:color="auto" w:fill="auto"/>
            <w:vAlign w:val="center"/>
          </w:tcPr>
          <w:p w14:paraId="5AF6F0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总费用不超过18万元（含税），其中嘉玺项目不超过9万元（抖音信息流广告不超过5万元，朋友圈信息流广告不超过4万元），珺玺项目不超过9万元（抖音信息流广告不超过5万元，朋友圈信息流广告不超过4万元）</w:t>
            </w:r>
          </w:p>
        </w:tc>
      </w:tr>
      <w:tr w14:paraId="112A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7FB266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今日头条信息流广告投放</w:t>
            </w:r>
          </w:p>
          <w:p w14:paraId="64F500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（赠送）</w:t>
            </w:r>
          </w:p>
        </w:tc>
        <w:tc>
          <w:tcPr>
            <w:tcW w:w="7591" w:type="dxa"/>
            <w:gridSpan w:val="5"/>
            <w:tcBorders>
              <w:top w:val="nil"/>
              <w:left w:val="nil"/>
              <w:bottom w:val="single" w:color="auto" w:sz="4" w:space="0"/>
              <w:right w:val="single" w:color="auto" w:sz="4" w:space="0"/>
            </w:tcBorders>
            <w:shd w:val="clear" w:color="000000" w:fill="FFFFFF"/>
            <w:vAlign w:val="center"/>
          </w:tcPr>
          <w:p w14:paraId="01AA87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依据抖音信息流广告投放曝光量，</w:t>
            </w:r>
          </w:p>
          <w:p w14:paraId="2D1938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kern w:val="2"/>
                <w:sz w:val="24"/>
                <w:szCs w:val="24"/>
              </w:rPr>
              <w:t>按20%的比例赠送今日头条信息流广告投放曝光量。</w:t>
            </w:r>
          </w:p>
        </w:tc>
        <w:tc>
          <w:tcPr>
            <w:tcW w:w="1593" w:type="dxa"/>
            <w:vMerge w:val="continue"/>
            <w:tcBorders>
              <w:left w:val="nil"/>
              <w:right w:val="single" w:color="auto" w:sz="4" w:space="0"/>
            </w:tcBorders>
            <w:shd w:val="clear" w:color="auto" w:fill="auto"/>
            <w:vAlign w:val="center"/>
          </w:tcPr>
          <w:p w14:paraId="1D06A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4818"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773"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FF0000"/>
                <w:kern w:val="0"/>
                <w:sz w:val="22"/>
                <w:szCs w:val="22"/>
                <w:u w:val="none"/>
                <w:lang w:val="en-US" w:eastAsia="zh-CN" w:bidi="ar"/>
              </w:rPr>
              <w:t>以18万总价（含税），预估可收集的留电，不可少于900条；</w:t>
            </w:r>
            <w:r>
              <w:rPr>
                <w:rFonts w:hint="eastAsia" w:ascii="宋体" w:hAnsi="宋体" w:eastAsia="宋体" w:cs="宋体"/>
                <w:i w:val="0"/>
                <w:iCs w:val="0"/>
                <w:color w:val="auto"/>
                <w:kern w:val="0"/>
                <w:sz w:val="22"/>
                <w:szCs w:val="22"/>
                <w:u w:val="none"/>
                <w:lang w:val="en-US" w:eastAsia="zh-CN" w:bidi="ar"/>
              </w:rPr>
              <w:t>执行中需按实际投放金额与总预算的比例完成对应比例的线索收集目标</w:t>
            </w:r>
          </w:p>
        </w:tc>
        <w:tc>
          <w:tcPr>
            <w:tcW w:w="1593" w:type="dxa"/>
            <w:vMerge w:val="continue"/>
            <w:tcBorders>
              <w:left w:val="nil"/>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256"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优化服务</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576C9A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账户管理及优化：根据投放数据进行账户优化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(人群优化、创意优化、时间段优化、地域优化、出价优化、定向优化等)</w:t>
            </w:r>
          </w:p>
          <w:p w14:paraId="563CDE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并提供专业人员为客户进行答疑，投放期间每日反馈数据</w:t>
            </w:r>
          </w:p>
        </w:tc>
        <w:tc>
          <w:tcPr>
            <w:tcW w:w="1593" w:type="dxa"/>
            <w:vMerge w:val="continue"/>
            <w:tcBorders>
              <w:left w:val="nil"/>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256"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结案分析报告：广告投放结束，提供数据分析报告：PPT形式提供。</w:t>
            </w:r>
          </w:p>
        </w:tc>
        <w:tc>
          <w:tcPr>
            <w:tcW w:w="1593" w:type="dxa"/>
            <w:vMerge w:val="continue"/>
            <w:tcBorders>
              <w:left w:val="nil"/>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304BB4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1、投放日期及曝光量以甲方需求为准；</w:t>
            </w:r>
          </w:p>
          <w:p w14:paraId="7CF7C7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2、确保曝光范围为甲方指定范围，不可在指定范围以外；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3、确保曝光行业为甲方指定行业，不可在指定行业以外；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4、朋友圈需使用合肥市包河区城市更新建设有限公司主体账户进行投放，确保投放的广告不被封户下线；</w:t>
            </w:r>
          </w:p>
        </w:tc>
        <w:tc>
          <w:tcPr>
            <w:tcW w:w="1593" w:type="dxa"/>
            <w:vMerge w:val="continue"/>
            <w:tcBorders>
              <w:left w:val="nil"/>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519999D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r>
        <w:rPr>
          <w:rFonts w:hint="eastAsia" w:ascii="微软雅黑" w:hAnsi="微软雅黑" w:eastAsia="微软雅黑" w:cs="微软雅黑"/>
          <w:b/>
          <w:sz w:val="36"/>
          <w:szCs w:val="36"/>
          <w:highlight w:val="none"/>
          <w:u w:val="single"/>
        </w:rPr>
        <w:t>滨投城市更新项目</w:t>
      </w:r>
    </w:p>
    <w:p w14:paraId="65ACD9B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lang w:val="en-US" w:eastAsia="zh-CN"/>
        </w:rPr>
        <w:t>定向直投</w:t>
      </w:r>
      <w:r>
        <w:rPr>
          <w:rFonts w:hint="eastAsia" w:ascii="微软雅黑" w:hAnsi="微软雅黑" w:eastAsia="微软雅黑" w:cs="微软雅黑"/>
          <w:b/>
          <w:sz w:val="36"/>
          <w:szCs w:val="36"/>
          <w:highlight w:val="none"/>
        </w:rPr>
        <w:t>广告发布合同</w:t>
      </w:r>
    </w:p>
    <w:p w14:paraId="6430DCA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u w:val="single"/>
        </w:rPr>
      </w:pPr>
      <w:r>
        <w:rPr>
          <w:rFonts w:hint="eastAsia" w:ascii="微软雅黑" w:hAnsi="微软雅黑" w:eastAsia="微软雅黑" w:cs="微软雅黑"/>
          <w:b/>
          <w:highlight w:val="none"/>
        </w:rPr>
        <w:t>甲方：</w:t>
      </w:r>
      <w:r>
        <w:rPr>
          <w:rFonts w:hint="eastAsia" w:ascii="微软雅黑" w:hAnsi="微软雅黑" w:eastAsia="微软雅黑" w:cs="微软雅黑"/>
          <w:b/>
          <w:highlight w:val="none"/>
          <w:u w:val="single"/>
        </w:rPr>
        <w:t xml:space="preserve">     合肥市包河区城市更新建设有限公司               </w:t>
      </w:r>
    </w:p>
    <w:p w14:paraId="14AA57C8">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t xml:space="preserve">联系地址：         安徽省合肥市包河区徽州大道 1388 号               </w:t>
      </w:r>
    </w:p>
    <w:p w14:paraId="5B36C207">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u w:val="single"/>
          <w14:textFill>
            <w14:solidFill>
              <w14:schemeClr w14:val="tx1"/>
            </w14:solidFill>
          </w14:textFill>
        </w:rPr>
      </w:pPr>
      <w:r>
        <w:rPr>
          <w:rFonts w:hint="eastAsia" w:ascii="微软雅黑" w:hAnsi="微软雅黑" w:eastAsia="微软雅黑" w:cs="微软雅黑"/>
          <w:b/>
          <w:highlight w:val="none"/>
        </w:rPr>
        <w:t>乙方：</w:t>
      </w:r>
      <w:r>
        <w:rPr>
          <w:rFonts w:hint="eastAsia" w:ascii="微软雅黑" w:hAnsi="微软雅黑" w:eastAsia="微软雅黑" w:cs="微软雅黑"/>
          <w:b/>
          <w:highlight w:val="none"/>
          <w:u w:val="single"/>
        </w:rPr>
        <w:t xml:space="preserve">                                                </w:t>
      </w:r>
    </w:p>
    <w:p w14:paraId="54B6307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highlight w:val="none"/>
          <w:u w:val="single"/>
        </w:rPr>
        <w:t xml:space="preserve">联系地址：                                                          </w:t>
      </w:r>
    </w:p>
    <w:p w14:paraId="39619129">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依据</w:t>
      </w:r>
      <w:bookmarkStart w:id="32" w:name="auto_fouce_1"/>
      <w:r>
        <w:rPr>
          <w:rFonts w:hint="eastAsia" w:ascii="微软雅黑" w:hAnsi="微软雅黑" w:eastAsia="微软雅黑" w:cs="微软雅黑"/>
          <w:b/>
          <w:highlight w:val="none"/>
        </w:rPr>
        <w:t>《中华人民共和国</w:t>
      </w:r>
      <w:r>
        <w:rPr>
          <w:rFonts w:hint="eastAsia" w:ascii="微软雅黑" w:hAnsi="微软雅黑" w:eastAsia="微软雅黑" w:cs="微软雅黑"/>
          <w:b/>
          <w:highlight w:val="none"/>
          <w:lang w:eastAsia="zh-CN"/>
        </w:rPr>
        <w:t>民</w:t>
      </w:r>
      <w:r>
        <w:rPr>
          <w:rFonts w:hint="eastAsia" w:ascii="微软雅黑" w:hAnsi="微软雅黑" w:eastAsia="微软雅黑" w:cs="微软雅黑"/>
          <w:b/>
          <w:highlight w:val="none"/>
        </w:rPr>
        <w:t>法</w:t>
      </w:r>
      <w:r>
        <w:rPr>
          <w:rFonts w:hint="eastAsia" w:ascii="微软雅黑" w:hAnsi="微软雅黑" w:eastAsia="微软雅黑" w:cs="微软雅黑"/>
          <w:b/>
          <w:highlight w:val="none"/>
          <w:lang w:eastAsia="zh-CN"/>
        </w:rPr>
        <w:t>典</w:t>
      </w:r>
      <w:r>
        <w:rPr>
          <w:rFonts w:hint="eastAsia" w:ascii="微软雅黑" w:hAnsi="微软雅黑" w:eastAsia="微软雅黑" w:cs="微软雅黑"/>
          <w:b/>
          <w:highlight w:val="none"/>
        </w:rPr>
        <w:t>》</w:t>
      </w:r>
      <w:bookmarkEnd w:id="32"/>
      <w:r>
        <w:rPr>
          <w:rFonts w:hint="eastAsia" w:ascii="微软雅黑" w:hAnsi="微软雅黑" w:eastAsia="微软雅黑" w:cs="微软雅黑"/>
          <w:b/>
          <w:highlight w:val="none"/>
        </w:rPr>
        <w:t>、《中华人民共和国广告法》及相关法律、法规、规章的规定，双方协商一致，签订本合同，并共同遵守。</w:t>
      </w:r>
    </w:p>
    <w:p w14:paraId="0BBAEABC">
      <w:pPr>
        <w:keepNext w:val="0"/>
        <w:keepLines w:val="0"/>
        <w:pageBreakBefore w:val="0"/>
        <w:numPr>
          <w:ilvl w:val="0"/>
          <w:numId w:val="6"/>
        </w:numPr>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产品版本及报价：</w:t>
      </w:r>
    </w:p>
    <w:p w14:paraId="08752EC1">
      <w:pPr>
        <w:pStyle w:val="40"/>
        <w:keepNext w:val="0"/>
        <w:keepLines w:val="0"/>
        <w:pageBreakBefore w:val="0"/>
        <w:numPr>
          <w:ilvl w:val="1"/>
          <w:numId w:val="7"/>
        </w:numPr>
        <w:kinsoku/>
        <w:wordWrap/>
        <w:overflowPunct/>
        <w:topLinePunct w:val="0"/>
        <w:autoSpaceDE/>
        <w:autoSpaceDN/>
        <w:bidi w:val="0"/>
        <w:spacing w:beforeAutospacing="0" w:after="0" w:afterAutospacing="0" w:line="240" w:lineRule="auto"/>
        <w:ind w:firstLineChars="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具体发布内容及报价</w:t>
      </w:r>
    </w:p>
    <w:p w14:paraId="622EBEA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6D94857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1.2上述广告内容发布总价</w:t>
      </w:r>
    </w:p>
    <w:p w14:paraId="6646270F">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甲方选择执行以上服务内容,本合同含税（增值税税率</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lang w:val="en-US" w:eastAsia="zh-CN"/>
        </w:rPr>
        <w:t>6</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%）总价款为人民</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)，税额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元，不含税总价</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元 </w:t>
      </w:r>
    </w:p>
    <w:p w14:paraId="626A731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1.3广告费结算</w:t>
      </w:r>
    </w:p>
    <w:p w14:paraId="5801675C">
      <w:pPr>
        <w:keepNext w:val="0"/>
        <w:keepLines w:val="0"/>
        <w:pageBreakBefore w:val="0"/>
        <w:kinsoku/>
        <w:wordWrap/>
        <w:overflowPunct/>
        <w:topLinePunct w:val="0"/>
        <w:autoSpaceDE/>
        <w:autoSpaceDN/>
        <w:bidi w:val="0"/>
        <w:spacing w:beforeAutospacing="0" w:after="0" w:afterAutospacing="0" w:line="240" w:lineRule="auto"/>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1.3.1 </w:t>
      </w:r>
      <w:r>
        <w:rPr>
          <w:rFonts w:hint="eastAsia" w:ascii="微软雅黑" w:hAnsi="微软雅黑" w:eastAsia="微软雅黑" w:cs="微软雅黑"/>
          <w:highlight w:val="none"/>
        </w:rPr>
        <w:t>付款时间</w:t>
      </w:r>
    </w:p>
    <w:p w14:paraId="1765B61D">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yellow"/>
          <w:lang w:eastAsia="zh-CN"/>
        </w:rPr>
      </w:pPr>
      <w:r>
        <w:rPr>
          <w:rFonts w:hint="eastAsia" w:ascii="微软雅黑" w:hAnsi="微软雅黑" w:eastAsia="微软雅黑" w:cs="微软雅黑"/>
          <w:highlight w:val="yellow"/>
        </w:rPr>
        <w:t>一次性付款，结算金额根据上述报价中的单价</w:t>
      </w:r>
      <w:r>
        <w:rPr>
          <w:rFonts w:hint="eastAsia" w:ascii="微软雅黑" w:hAnsi="微软雅黑" w:eastAsia="微软雅黑" w:cs="微软雅黑"/>
          <w:highlight w:val="yellow"/>
          <w:lang w:eastAsia="zh-CN"/>
        </w:rPr>
        <w:t>和实际服务内容</w:t>
      </w:r>
      <w:r>
        <w:rPr>
          <w:rFonts w:hint="eastAsia" w:ascii="微软雅黑" w:hAnsi="微软雅黑" w:eastAsia="微软雅黑" w:cs="微软雅黑"/>
          <w:highlight w:val="yellow"/>
        </w:rPr>
        <w:t>据实结算</w:t>
      </w:r>
      <w:bookmarkStart w:id="33" w:name="auto_fouce_2"/>
      <w:r>
        <w:rPr>
          <w:rFonts w:hint="eastAsia" w:ascii="微软雅黑" w:hAnsi="微软雅黑" w:eastAsia="微软雅黑" w:cs="微软雅黑"/>
          <w:highlight w:val="yellow"/>
          <w:lang w:eastAsia="zh-CN"/>
        </w:rPr>
        <w:t>。</w:t>
      </w:r>
    </w:p>
    <w:p w14:paraId="154E3439">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广告发布完成</w:t>
      </w:r>
      <w:r>
        <w:rPr>
          <w:rFonts w:hint="eastAsia" w:ascii="微软雅黑" w:hAnsi="微软雅黑" w:eastAsia="微软雅黑" w:cs="微软雅黑"/>
          <w:highlight w:val="none"/>
          <w:lang w:eastAsia="zh-CN"/>
        </w:rPr>
        <w:t>后</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color w:val="000000"/>
          <w:highlight w:val="none"/>
          <w:lang w:bidi="ar"/>
        </w:rPr>
        <w:t>经甲方验收合格且乙方提供相应的增值税专用发票后30日内</w:t>
      </w:r>
      <w:r>
        <w:rPr>
          <w:rFonts w:hint="eastAsia" w:ascii="微软雅黑" w:hAnsi="微软雅黑" w:eastAsia="微软雅黑" w:cs="微软雅黑"/>
          <w:highlight w:val="none"/>
        </w:rPr>
        <w:t>，甲方支付合同价款的</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，计人民币</w:t>
      </w:r>
      <w:r>
        <w:rPr>
          <w:rFonts w:hint="eastAsia" w:ascii="微软雅黑" w:hAnsi="微软雅黑" w:eastAsia="微软雅黑" w:cs="微软雅黑"/>
          <w:highlight w:val="none"/>
          <w:u w:val="single"/>
        </w:rPr>
        <w:t xml:space="preserve">      元</w:t>
      </w:r>
      <w:r>
        <w:rPr>
          <w:rFonts w:hint="eastAsia" w:ascii="微软雅黑" w:hAnsi="微软雅黑" w:eastAsia="微软雅黑" w:cs="微软雅黑"/>
          <w:highlight w:val="none"/>
        </w:rPr>
        <w:t>(即大写人民币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w:t>
      </w:r>
      <w:bookmarkEnd w:id="33"/>
      <w:r>
        <w:rPr>
          <w:rFonts w:hint="eastAsia" w:ascii="微软雅黑" w:hAnsi="微软雅黑" w:eastAsia="微软雅黑" w:cs="微软雅黑"/>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lang w:eastAsia="zh-CN"/>
        </w:rPr>
      </w:pPr>
      <w:bookmarkStart w:id="34" w:name="auto_fouce_3"/>
      <w:r>
        <w:rPr>
          <w:rFonts w:hint="eastAsia" w:ascii="微软雅黑" w:hAnsi="微软雅黑" w:eastAsia="微软雅黑" w:cs="微软雅黑"/>
          <w:b/>
          <w:highlight w:val="none"/>
        </w:rPr>
        <w:t xml:space="preserve">1.3.2 </w:t>
      </w:r>
      <w:r>
        <w:rPr>
          <w:rFonts w:hint="eastAsia" w:ascii="微软雅黑" w:hAnsi="微软雅黑" w:eastAsia="微软雅黑" w:cs="微软雅黑"/>
          <w:highlight w:val="none"/>
        </w:rPr>
        <w:t>乙方不接受现金收款，也不会委托其他公司或个人代收款，乙方的应收款应通过银行采用票据对公支付，或者转账支付至下列账户</w:t>
      </w:r>
      <w:r>
        <w:rPr>
          <w:rFonts w:hint="eastAsia" w:ascii="微软雅黑" w:hAnsi="微软雅黑" w:eastAsia="微软雅黑" w:cs="微软雅黑"/>
          <w:highlight w:val="none"/>
          <w:lang w:eastAsia="zh-CN"/>
        </w:rPr>
        <w:t xml:space="preserve"> </w:t>
      </w:r>
      <w:bookmarkEnd w:id="34"/>
    </w:p>
    <w:tbl>
      <w:tblPr>
        <w:tblStyle w:val="30"/>
        <w:tblW w:w="77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7"/>
        <w:gridCol w:w="6172"/>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28350769">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开户行</w:t>
            </w:r>
          </w:p>
        </w:tc>
        <w:tc>
          <w:tcPr>
            <w:tcW w:w="6172" w:type="dxa"/>
            <w:vAlign w:val="center"/>
          </w:tcPr>
          <w:p w14:paraId="10C3E6C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57A1F7C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开户名</w:t>
            </w:r>
          </w:p>
        </w:tc>
        <w:tc>
          <w:tcPr>
            <w:tcW w:w="6172" w:type="dxa"/>
            <w:vAlign w:val="center"/>
          </w:tcPr>
          <w:p w14:paraId="50CE406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1567" w:type="dxa"/>
            <w:vAlign w:val="center"/>
          </w:tcPr>
          <w:p w14:paraId="432DB7E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账户</w:t>
            </w:r>
          </w:p>
        </w:tc>
        <w:tc>
          <w:tcPr>
            <w:tcW w:w="6172" w:type="dxa"/>
            <w:vAlign w:val="center"/>
          </w:tcPr>
          <w:p w14:paraId="04166CD8">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bl>
    <w:p w14:paraId="46F04982">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1.3.3 </w:t>
      </w:r>
      <w:r>
        <w:rPr>
          <w:rFonts w:hint="eastAsia" w:ascii="微软雅黑" w:hAnsi="微软雅黑" w:eastAsia="微软雅黑" w:cs="微软雅黑"/>
          <w:highlight w:val="none"/>
        </w:rPr>
        <w:t>甲方付款前，</w:t>
      </w:r>
      <w:bookmarkStart w:id="35" w:name="auto_fouce_4"/>
      <w:r>
        <w:rPr>
          <w:rFonts w:hint="eastAsia" w:ascii="微软雅黑" w:hAnsi="微软雅黑" w:eastAsia="微软雅黑" w:cs="微软雅黑"/>
          <w:highlight w:val="none"/>
        </w:rPr>
        <w:t>乙方应开具等额合法、符合甲方要求的增值税专用发票</w:t>
      </w:r>
      <w:r>
        <w:rPr>
          <w:rFonts w:hint="eastAsia" w:ascii="微软雅黑" w:hAnsi="微软雅黑" w:eastAsia="微软雅黑" w:cs="微软雅黑"/>
          <w:highlight w:val="none"/>
          <w:lang w:eastAsia="zh-CN"/>
        </w:rPr>
        <w:t>，甲</w:t>
      </w:r>
      <w:r>
        <w:rPr>
          <w:rFonts w:hint="eastAsia" w:ascii="微软雅黑" w:hAnsi="微软雅黑" w:eastAsia="微软雅黑" w:cs="微软雅黑"/>
          <w:highlight w:val="none"/>
        </w:rPr>
        <w:t>方仅在</w:t>
      </w:r>
      <w:r>
        <w:rPr>
          <w:rFonts w:hint="eastAsia" w:ascii="微软雅黑" w:hAnsi="微软雅黑" w:eastAsia="微软雅黑" w:cs="微软雅黑"/>
          <w:color w:val="000000"/>
          <w:kern w:val="0"/>
          <w:highlight w:val="none"/>
          <w:lang w:bidi="ar"/>
        </w:rPr>
        <w:t>收到合规发票且验收合格后，方可付款，乙方开具发票不视为已收到甲方付款。</w:t>
      </w:r>
    </w:p>
    <w:bookmarkEnd w:id="35"/>
    <w:p w14:paraId="28E59CB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1.3.4 </w:t>
      </w:r>
      <w:bookmarkStart w:id="36" w:name="auto_fouce_5"/>
      <w:r>
        <w:rPr>
          <w:rFonts w:hint="eastAsia" w:ascii="微软雅黑" w:hAnsi="微软雅黑" w:eastAsia="微软雅黑" w:cs="微软雅黑"/>
          <w:highlight w:val="none"/>
        </w:rPr>
        <w:t>如果发生不可抗因素</w:t>
      </w:r>
      <w:r>
        <w:rPr>
          <w:rFonts w:hint="eastAsia" w:ascii="微软雅黑" w:hAnsi="微软雅黑" w:eastAsia="微软雅黑" w:cs="微软雅黑"/>
          <w:color w:val="000000"/>
          <w:highlight w:val="none"/>
          <w:lang w:bidi="ar"/>
        </w:rPr>
        <w:t>（仅限于法律规定的不可预见、不可避免、不可克服的事件）</w:t>
      </w:r>
      <w:r>
        <w:rPr>
          <w:rFonts w:hint="eastAsia" w:ascii="微软雅黑" w:hAnsi="微软雅黑" w:eastAsia="微软雅黑" w:cs="微软雅黑"/>
          <w:highlight w:val="none"/>
        </w:rPr>
        <w:t>导致付款延期，</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双方将协商解决。</w:t>
      </w:r>
      <w:bookmarkEnd w:id="36"/>
    </w:p>
    <w:p w14:paraId="1E5B1999">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第二条 广告的设计、制作、修改、验收</w:t>
      </w:r>
    </w:p>
    <w:p w14:paraId="08C8397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2.1广告设计、制作</w:t>
      </w:r>
    </w:p>
    <w:p w14:paraId="4AFA24AD">
      <w:pPr>
        <w:keepNext w:val="0"/>
        <w:keepLines w:val="0"/>
        <w:pageBreakBefore w:val="0"/>
        <w:widowControl/>
        <w:kinsoku/>
        <w:wordWrap/>
        <w:overflowPunct/>
        <w:topLinePunct w:val="0"/>
        <w:autoSpaceDE/>
        <w:autoSpaceDN/>
        <w:bidi w:val="0"/>
        <w:spacing w:beforeAutospacing="0" w:after="0" w:afterAutospacing="0" w:line="240" w:lineRule="auto"/>
        <w:ind w:left="371" w:leftChars="177" w:firstLine="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由甲方提供的内容与素材，甲方应在广告发布开始日前</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日内通知乙方进行版面安排，并提供广告的样稿。未经甲方书面同意，乙方不得改动。</w:t>
      </w:r>
      <w:r>
        <w:rPr>
          <w:rFonts w:hint="eastAsia" w:ascii="微软雅黑" w:hAnsi="微软雅黑" w:eastAsia="微软雅黑" w:cs="微软雅黑"/>
          <w:color w:val="000000"/>
          <w:kern w:val="0"/>
          <w:highlight w:val="none"/>
          <w:lang w:bidi="ar"/>
        </w:rPr>
        <w:t>甲方对广告内容、样稿、发布时间、发布位置等拥有最终决定权。</w:t>
      </w:r>
    </w:p>
    <w:p w14:paraId="44309CD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2.2广告修改</w:t>
      </w:r>
    </w:p>
    <w:p w14:paraId="7AC7E0E0">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bookmarkStart w:id="37" w:name="auto_fouce_6"/>
      <w:r>
        <w:rPr>
          <w:rFonts w:hint="eastAsia" w:ascii="微软雅黑" w:hAnsi="微软雅黑" w:eastAsia="微软雅黑" w:cs="微软雅黑"/>
          <w:b/>
          <w:highlight w:val="none"/>
        </w:rPr>
        <w:t>2.2.1</w:t>
      </w:r>
      <w:r>
        <w:rPr>
          <w:rFonts w:hint="eastAsia" w:ascii="微软雅黑" w:hAnsi="微软雅黑" w:eastAsia="微软雅黑" w:cs="微软雅黑"/>
          <w:color w:val="000000"/>
          <w:kern w:val="0"/>
          <w:highlight w:val="none"/>
          <w:lang w:bidi="ar"/>
        </w:rPr>
        <w:t>每次广告发布之前，甲方有权在发布广告时间前不少于3个工作日无条件调整和撤销广告样稿，且不承担额外费用，但须提前通知乙方。</w:t>
      </w:r>
    </w:p>
    <w:bookmarkEnd w:id="37"/>
    <w:p w14:paraId="360D5499">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2.2.2</w:t>
      </w:r>
      <w:bookmarkStart w:id="38" w:name="auto_fouce_7"/>
      <w:r>
        <w:rPr>
          <w:rFonts w:hint="eastAsia" w:ascii="微软雅黑" w:hAnsi="微软雅黑" w:eastAsia="微软雅黑" w:cs="微软雅黑"/>
          <w:color w:val="000000"/>
          <w:kern w:val="0"/>
          <w:highlight w:val="none"/>
          <w:lang w:bidi="ar"/>
        </w:rPr>
        <w:t>甲方可根据其销售进度调整本次服务细节，包括广告发布样稿、时间、位置等，甲方须在发布前</w:t>
      </w:r>
      <w:r>
        <w:rPr>
          <w:rFonts w:hint="eastAsia" w:ascii="微软雅黑" w:hAnsi="微软雅黑" w:eastAsia="微软雅黑" w:cs="微软雅黑"/>
          <w:color w:val="000000"/>
          <w:kern w:val="0"/>
          <w:highlight w:val="none"/>
          <w:u w:val="single"/>
          <w:lang w:bidi="ar"/>
        </w:rPr>
        <w:t>2</w:t>
      </w:r>
      <w:r>
        <w:rPr>
          <w:rFonts w:hint="eastAsia" w:ascii="微软雅黑" w:hAnsi="微软雅黑" w:eastAsia="微软雅黑" w:cs="微软雅黑"/>
          <w:color w:val="000000"/>
          <w:kern w:val="0"/>
          <w:highlight w:val="none"/>
          <w:lang w:bidi="ar"/>
        </w:rPr>
        <w:t>日书面通知乙方。甲方单方调整发布计划的，乙方应在收到通知后24小时内出具调整方案，双方重新签署《发布排期确认单》。</w:t>
      </w:r>
    </w:p>
    <w:bookmarkEnd w:id="38"/>
    <w:p w14:paraId="3E461CCE">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2.3广告验收</w:t>
      </w:r>
    </w:p>
    <w:p w14:paraId="3E2C0D1D">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39" w:name="auto_fouce_8"/>
      <w:r>
        <w:rPr>
          <w:rFonts w:hint="eastAsia" w:ascii="微软雅黑" w:hAnsi="微软雅黑" w:eastAsia="微软雅黑" w:cs="微软雅黑"/>
          <w:b/>
          <w:highlight w:val="none"/>
        </w:rPr>
        <w:t xml:space="preserve">2.3.1 </w:t>
      </w:r>
      <w:r>
        <w:rPr>
          <w:rFonts w:hint="eastAsia" w:ascii="微软雅黑" w:hAnsi="微软雅黑" w:eastAsia="微软雅黑" w:cs="微软雅黑"/>
          <w:bCs/>
          <w:highlight w:val="none"/>
        </w:rPr>
        <w:t>验收方式：</w:t>
      </w:r>
      <w:r>
        <w:rPr>
          <w:rFonts w:hint="eastAsia" w:ascii="微软雅黑" w:hAnsi="微软雅黑" w:eastAsia="微软雅黑" w:cs="微软雅黑"/>
          <w:bCs/>
          <w:highlight w:val="none"/>
          <w:lang w:eastAsia="zh-CN"/>
        </w:rPr>
        <w:t>乙方应在广告发布后提交</w:t>
      </w:r>
      <w:r>
        <w:rPr>
          <w:rFonts w:hint="eastAsia" w:ascii="微软雅黑" w:hAnsi="微软雅黑" w:eastAsia="微软雅黑" w:cs="微软雅黑"/>
          <w:bCs/>
          <w:highlight w:val="none"/>
        </w:rPr>
        <w:t>完</w:t>
      </w:r>
      <w:r>
        <w:rPr>
          <w:rFonts w:hint="eastAsia" w:ascii="微软雅黑" w:hAnsi="微软雅黑" w:eastAsia="微软雅黑" w:cs="微软雅黑"/>
          <w:bCs/>
          <w:highlight w:val="none"/>
          <w:lang w:eastAsia="zh-CN"/>
        </w:rPr>
        <w:t>整、真实的广告上线截图、投放数据、监测报告等资料供</w:t>
      </w:r>
      <w:r>
        <w:rPr>
          <w:rFonts w:hint="eastAsia" w:ascii="微软雅黑" w:hAnsi="微软雅黑" w:eastAsia="微软雅黑" w:cs="微软雅黑"/>
          <w:bCs/>
          <w:highlight w:val="none"/>
        </w:rPr>
        <w:t>甲方</w:t>
      </w:r>
      <w:r>
        <w:rPr>
          <w:rFonts w:hint="eastAsia" w:ascii="微软雅黑" w:hAnsi="微软雅黑" w:eastAsia="微软雅黑" w:cs="微软雅黑"/>
          <w:bCs/>
          <w:highlight w:val="none"/>
          <w:lang w:eastAsia="zh-CN"/>
        </w:rPr>
        <w:t>核查。</w:t>
      </w:r>
      <w:bookmarkEnd w:id="39"/>
      <w:r>
        <w:rPr>
          <w:rFonts w:hint="eastAsia" w:ascii="微软雅黑" w:hAnsi="微软雅黑" w:eastAsia="微软雅黑" w:cs="微软雅黑"/>
          <w:color w:val="000000" w:themeColor="text1"/>
          <w:highlight w:val="yellow"/>
          <w:lang w:eastAsia="zh-CN"/>
          <w14:textFill>
            <w14:solidFill>
              <w14:schemeClr w14:val="tx1"/>
            </w14:solidFill>
          </w14:textFill>
        </w:rPr>
        <w:t>验收标准包括但不限于：</w:t>
      </w:r>
      <w:r>
        <w:rPr>
          <w:rFonts w:hint="eastAsia" w:ascii="微软雅黑" w:hAnsi="微软雅黑" w:eastAsia="微软雅黑" w:cs="微软雅黑"/>
          <w:color w:val="000000" w:themeColor="text1"/>
          <w:highlight w:val="yellow"/>
          <w:lang w:val="en-US" w:eastAsia="zh-CN"/>
          <w14:textFill>
            <w14:solidFill>
              <w14:schemeClr w14:val="tx1"/>
            </w14:solidFill>
          </w14:textFill>
        </w:rPr>
        <w:t>广告曝光量不少于_____、线索获取量不少于_____。</w:t>
      </w:r>
      <w:r>
        <w:rPr>
          <w:rFonts w:hint="eastAsia" w:ascii="微软雅黑" w:hAnsi="微软雅黑" w:eastAsia="微软雅黑" w:cs="微软雅黑"/>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2.3.2</w:t>
      </w:r>
      <w:r>
        <w:rPr>
          <w:rFonts w:hint="eastAsia" w:ascii="微软雅黑" w:hAnsi="微软雅黑" w:eastAsia="微软雅黑" w:cs="微软雅黑"/>
          <w:bCs/>
          <w:highlight w:val="none"/>
        </w:rPr>
        <w:t>乙方应对提供的服务成果作出全面自查和整理，并列出清单，作为甲方验收和使用的技术条件依据，</w:t>
      </w:r>
      <w:bookmarkStart w:id="40" w:name="auto_fouce_9"/>
      <w:r>
        <w:rPr>
          <w:rFonts w:hint="eastAsia" w:ascii="微软雅黑" w:hAnsi="微软雅黑" w:eastAsia="微软雅黑" w:cs="微软雅黑"/>
          <w:bCs/>
          <w:highlight w:val="none"/>
        </w:rPr>
        <w:t>清单应随提供的服务成果交给甲方</w:t>
      </w:r>
      <w:r>
        <w:rPr>
          <w:rFonts w:hint="eastAsia" w:ascii="微软雅黑" w:hAnsi="微软雅黑" w:eastAsia="微软雅黑" w:cs="微软雅黑"/>
          <w:bCs/>
          <w:highlight w:val="none"/>
          <w:lang w:eastAsia="zh-CN"/>
        </w:rPr>
        <w:t>，且作为付款请求的必要附件</w:t>
      </w:r>
      <w:r>
        <w:rPr>
          <w:rFonts w:hint="eastAsia" w:ascii="微软雅黑" w:hAnsi="微软雅黑" w:eastAsia="微软雅黑" w:cs="微软雅黑"/>
          <w:bCs/>
          <w:highlight w:val="none"/>
        </w:rPr>
        <w:t>。</w:t>
      </w:r>
      <w:bookmarkEnd w:id="40"/>
    </w:p>
    <w:p w14:paraId="1A25313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color w:val="FF0000"/>
          <w:highlight w:val="none"/>
          <w:lang w:eastAsia="zh-CN"/>
        </w:rPr>
      </w:pPr>
      <w:r>
        <w:rPr>
          <w:rFonts w:hint="eastAsia" w:ascii="微软雅黑" w:hAnsi="微软雅黑" w:eastAsia="微软雅黑" w:cs="微软雅黑"/>
          <w:b/>
          <w:highlight w:val="none"/>
        </w:rPr>
        <w:t>2.3.3</w:t>
      </w:r>
      <w:r>
        <w:rPr>
          <w:rFonts w:hint="eastAsia" w:ascii="微软雅黑" w:hAnsi="微软雅黑" w:eastAsia="微软雅黑" w:cs="微软雅黑"/>
          <w:bCs/>
          <w:highlight w:val="none"/>
        </w:rPr>
        <w:t>如项目实施情况需要分阶段验收，则根据实际情况分阶段出具《验收报告》。</w:t>
      </w:r>
      <w:bookmarkStart w:id="41" w:name="auto_fouce_11"/>
    </w:p>
    <w:bookmarkEnd w:id="41"/>
    <w:p w14:paraId="4430D44B">
      <w:pPr>
        <w:keepNext w:val="0"/>
        <w:keepLines w:val="0"/>
        <w:pageBreakBefore w:val="0"/>
        <w:widowControl/>
        <w:kinsoku/>
        <w:wordWrap/>
        <w:overflowPunct/>
        <w:topLinePunct w:val="0"/>
        <w:autoSpaceDE/>
        <w:autoSpaceDN/>
        <w:bidi w:val="0"/>
        <w:spacing w:beforeAutospacing="0" w:after="0" w:afterAutospacing="0" w:line="240" w:lineRule="auto"/>
        <w:ind w:left="480" w:hanging="420" w:hangingChars="2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kern w:val="0"/>
          <w:highlight w:val="none"/>
          <w:lang w:eastAsia="zh-CN" w:bidi="ar"/>
        </w:rPr>
        <w:t>2.3.4</w:t>
      </w:r>
      <w:r>
        <w:rPr>
          <w:rFonts w:hint="eastAsia" w:ascii="微软雅黑" w:hAnsi="微软雅黑" w:eastAsia="微软雅黑" w:cs="微软雅黑"/>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第三条 双方权利与义务</w:t>
      </w:r>
    </w:p>
    <w:p w14:paraId="30E7C0BB">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3.1甲方权利与义务</w:t>
      </w:r>
    </w:p>
    <w:p w14:paraId="5A7937E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3.1.1</w:t>
      </w:r>
      <w:r>
        <w:rPr>
          <w:rFonts w:hint="eastAsia" w:ascii="微软雅黑" w:hAnsi="微软雅黑" w:eastAsia="微软雅黑" w:cs="微软雅黑"/>
          <w:highlight w:val="none"/>
        </w:rPr>
        <w:t>甲方有权在签订本合同前对乙方进行相关的资格审查，乙方应提供必要配合。</w:t>
      </w:r>
    </w:p>
    <w:p w14:paraId="4F967BB5">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3.1.2</w:t>
      </w:r>
      <w:r>
        <w:rPr>
          <w:rFonts w:hint="eastAsia" w:ascii="微软雅黑" w:hAnsi="微软雅黑" w:eastAsia="微软雅黑" w:cs="微软雅黑"/>
          <w:highlight w:val="none"/>
        </w:rPr>
        <w:t>甲方应及时向乙方提供广告发布信息，以保证宣传工作的开展。甲方提供的资料及相关信息须真实合法,</w:t>
      </w:r>
      <w:r>
        <w:rPr>
          <w:rFonts w:hint="eastAsia" w:ascii="微软雅黑" w:hAnsi="微软雅黑" w:eastAsia="微软雅黑" w:cs="微软雅黑"/>
          <w:color w:val="000000" w:themeColor="text1"/>
          <w:highlight w:val="none"/>
          <w14:textFill>
            <w14:solidFill>
              <w14:schemeClr w14:val="tx1"/>
            </w14:solidFill>
          </w14:textFill>
        </w:rPr>
        <w:t>不得故意提供虚假或者引人误解的资料。</w:t>
      </w:r>
    </w:p>
    <w:p w14:paraId="4A5CB730">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3.1.3</w:t>
      </w:r>
      <w:r>
        <w:rPr>
          <w:rFonts w:hint="eastAsia" w:ascii="微软雅黑" w:hAnsi="微软雅黑" w:eastAsia="微软雅黑" w:cs="微软雅黑"/>
          <w:highlight w:val="none"/>
        </w:rPr>
        <w:t>甲方要求发布的广告应合法合规，依法应向行政主管部门报批报备的，</w:t>
      </w:r>
      <w:bookmarkStart w:id="42" w:name="auto_fouce_13"/>
      <w:r>
        <w:rPr>
          <w:rFonts w:hint="eastAsia" w:ascii="微软雅黑" w:hAnsi="微软雅黑" w:eastAsia="微软雅黑" w:cs="微软雅黑"/>
          <w:highlight w:val="none"/>
        </w:rPr>
        <w:t>由乙方负责进行报批</w:t>
      </w:r>
      <w:r>
        <w:rPr>
          <w:rFonts w:hint="eastAsia" w:ascii="微软雅黑" w:hAnsi="微软雅黑" w:eastAsia="微软雅黑" w:cs="微软雅黑"/>
          <w:color w:val="000000" w:themeColor="text1"/>
          <w:highlight w:val="none"/>
          <w:lang w:eastAsia="zh-CN"/>
          <w14:textFill>
            <w14:solidFill>
              <w14:schemeClr w14:val="tx1"/>
            </w14:solidFill>
          </w14:textFill>
        </w:rPr>
        <w:t>并承担全部申报费用，</w:t>
      </w:r>
      <w:r>
        <w:rPr>
          <w:rFonts w:hint="eastAsia" w:ascii="微软雅黑" w:hAnsi="微软雅黑" w:eastAsia="微软雅黑" w:cs="微软雅黑"/>
          <w:color w:val="000000" w:themeColor="text1"/>
          <w:highlight w:val="none"/>
          <w14:textFill>
            <w14:solidFill>
              <w14:schemeClr w14:val="tx1"/>
            </w14:solidFill>
          </w14:textFill>
        </w:rPr>
        <w:t>甲方配合提供相关审批文件。</w:t>
      </w:r>
      <w:bookmarkEnd w:id="42"/>
    </w:p>
    <w:p w14:paraId="210F6CFA">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3.1.4</w:t>
      </w:r>
      <w:r>
        <w:rPr>
          <w:rFonts w:hint="eastAsia" w:ascii="微软雅黑" w:hAnsi="微软雅黑" w:eastAsia="微软雅黑" w:cs="微软雅黑"/>
          <w:highlight w:val="none"/>
        </w:rPr>
        <w:t>甲方按照合同约定的金额、时间、方式支付合同价款。</w:t>
      </w:r>
    </w:p>
    <w:p w14:paraId="7A17D64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3.1.5</w:t>
      </w:r>
      <w:r>
        <w:rPr>
          <w:rFonts w:hint="eastAsia" w:ascii="微软雅黑" w:hAnsi="微软雅黑" w:eastAsia="微软雅黑" w:cs="微软雅黑"/>
          <w:highlight w:val="none"/>
        </w:rPr>
        <w:t>甲方应提供必要的支持协助乙方完成广告发布服务，并及时对乙方的广告发布情况进行确认或验收。</w:t>
      </w:r>
    </w:p>
    <w:p w14:paraId="3CE516F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3.1.6</w:t>
      </w:r>
      <w:r>
        <w:rPr>
          <w:rFonts w:hint="eastAsia" w:ascii="微软雅黑" w:hAnsi="微软雅黑" w:eastAsia="微软雅黑" w:cs="微软雅黑"/>
          <w:bCs/>
          <w:highlight w:val="none"/>
        </w:rPr>
        <w:t>甲方有权针对广告发布情况进行抽查，发现发布有瑕疵的，双方商榷，可将发布期顺延 。</w:t>
      </w:r>
    </w:p>
    <w:p w14:paraId="4949B6B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color w:val="000000"/>
          <w:highlight w:val="none"/>
        </w:rPr>
        <w:t>3.1.7</w:t>
      </w:r>
      <w:r>
        <w:rPr>
          <w:rFonts w:hint="eastAsia" w:ascii="微软雅黑" w:hAnsi="微软雅黑" w:eastAsia="微软雅黑" w:cs="微软雅黑"/>
          <w:color w:val="000000"/>
          <w:highlight w:val="none"/>
        </w:rPr>
        <w:t xml:space="preserve"> 甲方有权委托第三方机构对广告发布效果进行审计，乙方应提供全部后台数据配合。</w:t>
      </w:r>
    </w:p>
    <w:p w14:paraId="65B28275">
      <w:pPr>
        <w:keepNext w:val="0"/>
        <w:keepLines w:val="0"/>
        <w:pageBreakBefore w:val="0"/>
        <w:tabs>
          <w:tab w:val="left" w:pos="2565"/>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3.2乙方权利与义务</w:t>
      </w:r>
    </w:p>
    <w:p w14:paraId="5E0996E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3.2.1 </w:t>
      </w:r>
      <w:r>
        <w:rPr>
          <w:rFonts w:hint="eastAsia" w:ascii="微软雅黑" w:hAnsi="微软雅黑" w:eastAsia="微软雅黑" w:cs="微软雅黑"/>
          <w:highlight w:val="none"/>
        </w:rPr>
        <w:t>乙方给予甲方网络广告资源的配送，配送广告的执行同样遵守本合同。</w:t>
      </w:r>
    </w:p>
    <w:p w14:paraId="536AE2C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3.2.2 </w:t>
      </w:r>
      <w:r>
        <w:rPr>
          <w:rFonts w:hint="eastAsia" w:ascii="微软雅黑" w:hAnsi="微软雅黑" w:eastAsia="微软雅黑" w:cs="微软雅黑"/>
          <w:highlight w:val="none"/>
        </w:rPr>
        <w:t>合同有效期内，广告价格、配送等的调整均需经甲乙双方协商一致。</w:t>
      </w:r>
    </w:p>
    <w:p w14:paraId="352D342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3" w:name="auto_fouce_16"/>
      <w:r>
        <w:rPr>
          <w:rFonts w:hint="eastAsia" w:ascii="微软雅黑" w:hAnsi="微软雅黑" w:eastAsia="微软雅黑" w:cs="微软雅黑"/>
          <w:b/>
          <w:bCs/>
          <w:highlight w:val="none"/>
        </w:rPr>
        <w:t xml:space="preserve">3.2.3 </w:t>
      </w:r>
      <w:r>
        <w:rPr>
          <w:rFonts w:hint="eastAsia" w:ascii="微软雅黑" w:hAnsi="微软雅黑" w:eastAsia="微软雅黑" w:cs="微软雅黑"/>
          <w:highlight w:val="none"/>
        </w:rPr>
        <w:t>乙方应具有本合同所涉及媒体的合法广告发布权或广告发布代理权</w:t>
      </w:r>
      <w:r>
        <w:rPr>
          <w:rFonts w:hint="eastAsia" w:ascii="微软雅黑" w:hAnsi="微软雅黑" w:eastAsia="微软雅黑" w:cs="微软雅黑"/>
          <w:color w:val="FF0000"/>
          <w:highlight w:val="none"/>
          <w:lang w:eastAsia="zh-CN"/>
        </w:rPr>
        <w:t>，</w:t>
      </w:r>
      <w:bookmarkEnd w:id="43"/>
      <w:r>
        <w:rPr>
          <w:rFonts w:hint="eastAsia" w:ascii="微软雅黑" w:hAnsi="微软雅黑" w:eastAsia="微软雅黑" w:cs="微软雅黑"/>
          <w:color w:val="000000" w:themeColor="text1"/>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highlight w:val="none"/>
        </w:rPr>
        <w:t xml:space="preserve">3.2.4 </w:t>
      </w:r>
      <w:r>
        <w:rPr>
          <w:rFonts w:hint="eastAsia" w:ascii="微软雅黑" w:hAnsi="微软雅黑" w:eastAsia="微软雅黑" w:cs="微软雅黑"/>
          <w:highlight w:val="none"/>
        </w:rPr>
        <w:t>乙方应切实履行广告申报审批备案工作，如因乙方原因未完成申报，或提供虚假批文而导致广告不能发布或发布后被撤换，乙方应承担全部责任并</w:t>
      </w:r>
    </w:p>
    <w:p w14:paraId="7F6D0D37">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 xml:space="preserve">3.2.5 </w:t>
      </w:r>
      <w:r>
        <w:rPr>
          <w:rFonts w:hint="eastAsia" w:ascii="微软雅黑" w:hAnsi="微软雅黑" w:eastAsia="微软雅黑" w:cs="微软雅黑"/>
          <w:highlight w:val="none"/>
        </w:rPr>
        <w:t>乙方具有对广告的实质性审查义务，并向甲方承担质量瑕疵担保责任。</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微软雅黑" w:hAnsi="微软雅黑" w:eastAsia="微软雅黑" w:cs="微软雅黑"/>
          <w:color w:val="000000" w:themeColor="text1"/>
          <w:highlight w:val="none"/>
          <w14:textFill>
            <w14:solidFill>
              <w14:schemeClr w14:val="tx1"/>
            </w14:solidFill>
          </w14:textFill>
        </w:rPr>
        <w:t>实质性审查义务的内涵主要包括：</w:t>
      </w:r>
    </w:p>
    <w:p w14:paraId="247FA739">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乙方发布广告应以不违反相关广告法律法规为前提，其次方为满足甲方的具体要求；</w:t>
      </w:r>
    </w:p>
    <w:p w14:paraId="503EF911">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乙方对广告的内容及形式应进行实质性审查，并确保广告本身的合法合规性；</w:t>
      </w:r>
    </w:p>
    <w:p w14:paraId="1AE5E6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乙方应保证广告发布行为符合《广告法》等法律法规的具体要求。</w:t>
      </w:r>
    </w:p>
    <w:p w14:paraId="00C2069A">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3.2.6 </w:t>
      </w:r>
      <w:r>
        <w:rPr>
          <w:rFonts w:hint="eastAsia" w:ascii="微软雅黑" w:hAnsi="微软雅黑" w:eastAsia="微软雅黑" w:cs="微软雅黑"/>
          <w:highlight w:val="none"/>
        </w:rPr>
        <w:t>乙方根据当月《广告发布排期单》完成所有广告的上刊后十个工作日内提交上刊广告的截屏及服务报告供甲方验收，甲方应在15日内确认或提出异议。</w:t>
      </w:r>
      <w:r>
        <w:rPr>
          <w:rFonts w:hint="eastAsia" w:ascii="微软雅黑" w:hAnsi="微软雅黑" w:eastAsia="微软雅黑" w:cs="微软雅黑"/>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4" w:name="auto_fouce_20"/>
      <w:r>
        <w:rPr>
          <w:rFonts w:hint="eastAsia" w:ascii="微软雅黑" w:hAnsi="微软雅黑" w:eastAsia="微软雅黑" w:cs="微软雅黑"/>
          <w:b/>
          <w:bCs/>
          <w:highlight w:val="none"/>
        </w:rPr>
        <w:t xml:space="preserve">3.2.7 </w:t>
      </w:r>
      <w:r>
        <w:rPr>
          <w:rFonts w:hint="eastAsia" w:ascii="微软雅黑" w:hAnsi="微软雅黑" w:eastAsia="微软雅黑" w:cs="微软雅黑"/>
          <w:color w:val="000000" w:themeColor="text1"/>
          <w:highlight w:val="none"/>
          <w14:textFill>
            <w14:solidFill>
              <w14:schemeClr w14:val="tx1"/>
            </w14:solidFill>
          </w14:textFill>
        </w:rPr>
        <w:t>负面舆情预控：乙方需安排专人实时监督并控制网站内出现关于甲方的不利消息，</w:t>
      </w:r>
      <w:bookmarkStart w:id="45" w:name="auto_fouce_21"/>
      <w:r>
        <w:rPr>
          <w:rFonts w:hint="eastAsia" w:ascii="微软雅黑" w:hAnsi="微软雅黑" w:eastAsia="微软雅黑" w:cs="微软雅黑"/>
          <w:color w:val="000000" w:themeColor="text1"/>
          <w:highlight w:val="none"/>
          <w14:textFill>
            <w14:solidFill>
              <w14:schemeClr w14:val="tx1"/>
            </w14:solidFill>
          </w14:textFill>
        </w:rPr>
        <w:t>若有发现应</w:t>
      </w:r>
      <w:r>
        <w:rPr>
          <w:rFonts w:hint="eastAsia" w:ascii="微软雅黑" w:hAnsi="微软雅黑" w:eastAsia="微软雅黑" w:cs="微软雅黑"/>
          <w:color w:val="000000" w:themeColor="text1"/>
          <w:highlight w:val="none"/>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highlight w:val="none"/>
          <w14:textFill>
            <w14:solidFill>
              <w14:schemeClr w14:val="tx1"/>
            </w14:solidFill>
          </w14:textFill>
        </w:rPr>
        <w:t>时</w:t>
      </w:r>
      <w:r>
        <w:rPr>
          <w:rFonts w:hint="eastAsia" w:ascii="微软雅黑" w:hAnsi="微软雅黑" w:eastAsia="微软雅黑" w:cs="微软雅黑"/>
          <w:color w:val="000000" w:themeColor="text1"/>
          <w:highlight w:val="none"/>
          <w:lang w:eastAsia="zh-CN"/>
          <w14:textFill>
            <w14:solidFill>
              <w14:schemeClr w14:val="tx1"/>
            </w14:solidFill>
          </w14:textFill>
        </w:rPr>
        <w:t>内书面</w:t>
      </w:r>
      <w:r>
        <w:rPr>
          <w:rFonts w:hint="eastAsia" w:ascii="微软雅黑" w:hAnsi="微软雅黑" w:eastAsia="微软雅黑" w:cs="微软雅黑"/>
          <w:color w:val="000000" w:themeColor="text1"/>
          <w:highlight w:val="none"/>
          <w14:textFill>
            <w14:solidFill>
              <w14:schemeClr w14:val="tx1"/>
            </w14:solidFill>
          </w14:textFill>
        </w:rPr>
        <w:t>通知甲方</w:t>
      </w:r>
      <w:r>
        <w:rPr>
          <w:rFonts w:hint="eastAsia" w:ascii="微软雅黑" w:hAnsi="微软雅黑" w:eastAsia="微软雅黑" w:cs="微软雅黑"/>
          <w:color w:val="000000" w:themeColor="text1"/>
          <w:highlight w:val="none"/>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highlight w:val="none"/>
          <w14:textFill>
            <w14:solidFill>
              <w14:schemeClr w14:val="tx1"/>
            </w14:solidFill>
          </w14:textFill>
        </w:rPr>
        <w:t>按甲方处理意见对不利消息进行删除、正面引导或屏蔽</w:t>
      </w:r>
      <w:r>
        <w:rPr>
          <w:rFonts w:hint="eastAsia" w:ascii="微软雅黑" w:hAnsi="微软雅黑" w:eastAsia="微软雅黑" w:cs="微软雅黑"/>
          <w:highlight w:val="none"/>
        </w:rPr>
        <w:t>。</w:t>
      </w:r>
      <w:bookmarkEnd w:id="45"/>
      <w:r>
        <w:rPr>
          <w:rFonts w:hint="eastAsia" w:ascii="微软雅黑" w:hAnsi="微软雅黑" w:eastAsia="微软雅黑" w:cs="微软雅黑"/>
          <w:highlight w:val="none"/>
          <w:lang w:eastAsia="zh-CN"/>
        </w:rPr>
        <w:t>因乙方处置不力导致负面信息扩大、甲方损失的，乙方应承担全部赔偿责任。</w:t>
      </w:r>
    </w:p>
    <w:p w14:paraId="3B024480">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 xml:space="preserve">3.2.8 </w:t>
      </w:r>
      <w:r>
        <w:rPr>
          <w:rFonts w:hint="eastAsia" w:ascii="微软雅黑" w:hAnsi="微软雅黑" w:eastAsia="微软雅黑" w:cs="微软雅黑"/>
          <w:color w:val="000000" w:themeColor="text1"/>
          <w:highlight w:val="none"/>
          <w14:textFill>
            <w14:solidFill>
              <w14:schemeClr w14:val="tx1"/>
            </w14:solidFill>
          </w14:textFill>
        </w:rPr>
        <w:t>乙方应按照甲方的要求</w:t>
      </w:r>
      <w:r>
        <w:rPr>
          <w:rFonts w:hint="eastAsia" w:ascii="微软雅黑" w:hAnsi="微软雅黑" w:eastAsia="微软雅黑" w:cs="微软雅黑"/>
          <w:color w:val="000000" w:themeColor="text1"/>
          <w:highlight w:val="none"/>
          <w:lang w:eastAsia="zh-CN"/>
          <w14:textFill>
            <w14:solidFill>
              <w14:schemeClr w14:val="tx1"/>
            </w14:solidFill>
          </w14:textFill>
        </w:rPr>
        <w:t>在指定时间</w:t>
      </w:r>
      <w:r>
        <w:rPr>
          <w:rFonts w:hint="eastAsia" w:ascii="微软雅黑" w:hAnsi="微软雅黑" w:eastAsia="微软雅黑" w:cs="微软雅黑"/>
          <w:color w:val="000000" w:themeColor="text1"/>
          <w:highlight w:val="none"/>
          <w14:textFill>
            <w14:solidFill>
              <w14:schemeClr w14:val="tx1"/>
            </w14:solidFill>
          </w14:textFill>
        </w:rPr>
        <w:t>提供广告投放效果监测报告，对广告发布效果进行分析评估并提供相关优化建议。</w:t>
      </w:r>
    </w:p>
    <w:p w14:paraId="610AC45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3.2.9</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6" w:name="auto_fouce_23"/>
    </w:p>
    <w:p w14:paraId="58552FA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szCs w:val="24"/>
          <w:highlight w:val="none"/>
        </w:rPr>
      </w:pPr>
      <w:r>
        <w:rPr>
          <w:rFonts w:hint="eastAsia" w:ascii="微软雅黑" w:hAnsi="微软雅黑" w:eastAsia="微软雅黑" w:cs="微软雅黑"/>
          <w:b/>
          <w:bCs/>
          <w:color w:val="000000" w:themeColor="text1"/>
          <w:highlight w:val="none"/>
          <w14:textFill>
            <w14:solidFill>
              <w14:schemeClr w14:val="tx1"/>
            </w14:solidFill>
          </w14:textFill>
        </w:rPr>
        <w:t>3.3</w:t>
      </w:r>
      <w:r>
        <w:rPr>
          <w:rFonts w:hint="eastAsia" w:ascii="微软雅黑" w:hAnsi="微软雅黑" w:eastAsia="微软雅黑" w:cs="微软雅黑"/>
          <w:color w:val="000000" w:themeColor="text1"/>
          <w:highlight w:val="none"/>
          <w:lang w:eastAsia="zh-CN"/>
          <w14:textFill>
            <w14:solidFill>
              <w14:schemeClr w14:val="tx1"/>
            </w14:solidFill>
          </w14:textFill>
        </w:rPr>
        <w:t>广告效果保证：乙方承诺广告投放期间曝光量不低于____次，</w:t>
      </w:r>
      <w:r>
        <w:rPr>
          <w:rFonts w:hint="eastAsia" w:ascii="微软雅黑" w:hAnsi="微软雅黑" w:eastAsia="微软雅黑" w:cs="微软雅黑"/>
          <w:color w:val="000000" w:themeColor="text1"/>
          <w:highlight w:val="none"/>
          <w:lang w:val="en-US" w:eastAsia="zh-CN"/>
          <w14:textFill>
            <w14:solidFill>
              <w14:schemeClr w14:val="tx1"/>
            </w14:solidFill>
          </w14:textFill>
        </w:rPr>
        <w:t>线索获取量</w:t>
      </w:r>
      <w:r>
        <w:rPr>
          <w:rFonts w:hint="eastAsia" w:ascii="微软雅黑" w:hAnsi="微软雅黑" w:eastAsia="微软雅黑" w:cs="微软雅黑"/>
          <w:color w:val="000000" w:themeColor="text1"/>
          <w:highlight w:val="none"/>
          <w:lang w:eastAsia="zh-CN"/>
          <w14:textFill>
            <w14:solidFill>
              <w14:schemeClr w14:val="tx1"/>
            </w14:solidFill>
          </w14:textFill>
        </w:rPr>
        <w:t>不低于____，实际效果未达承诺指标的，应按比例扣减广告费用。</w:t>
      </w:r>
      <w:bookmarkEnd w:id="46"/>
      <w:r>
        <w:rPr>
          <w:rFonts w:hint="eastAsia" w:ascii="微软雅黑" w:hAnsi="微软雅黑" w:eastAsia="微软雅黑" w:cs="微软雅黑"/>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4"/>
      <w:r>
        <w:rPr>
          <w:rFonts w:hint="eastAsia" w:ascii="微软雅黑" w:hAnsi="微软雅黑" w:eastAsia="微软雅黑" w:cs="微软雅黑"/>
          <w:highlight w:val="none"/>
        </w:rPr>
        <w:t xml:space="preserve"> </w:t>
      </w:r>
    </w:p>
    <w:p w14:paraId="5D32677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第四条 违约责任及免责</w:t>
      </w:r>
    </w:p>
    <w:p w14:paraId="1716443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4.1</w:t>
      </w:r>
      <w:r>
        <w:rPr>
          <w:rFonts w:hint="eastAsia" w:ascii="微软雅黑" w:hAnsi="微软雅黑" w:eastAsia="微软雅黑" w:cs="微软雅黑"/>
          <w:highlight w:val="none"/>
        </w:rPr>
        <w:t>甲方应该按照约定的付款方式支付乙方广告费，</w:t>
      </w:r>
      <w:bookmarkStart w:id="47" w:name="auto_fouce_24"/>
      <w:r>
        <w:rPr>
          <w:rFonts w:hint="eastAsia" w:ascii="微软雅黑" w:hAnsi="微软雅黑" w:eastAsia="微软雅黑" w:cs="微软雅黑"/>
          <w:highlight w:val="none"/>
        </w:rPr>
        <w:t>甲方无正当理由逾期付款超过</w:t>
      </w:r>
      <w:r>
        <w:rPr>
          <w:rFonts w:hint="eastAsia" w:ascii="微软雅黑" w:hAnsi="微软雅黑" w:eastAsia="微软雅黑" w:cs="微软雅黑"/>
          <w:highlight w:val="none"/>
          <w:lang w:eastAsia="zh-CN"/>
        </w:rPr>
        <w:t>3</w:t>
      </w:r>
      <w:r>
        <w:rPr>
          <w:rFonts w:hint="eastAsia" w:ascii="微软雅黑" w:hAnsi="微软雅黑" w:eastAsia="微软雅黑" w:cs="微软雅黑"/>
          <w:highlight w:val="none"/>
        </w:rPr>
        <w:t>0天，且经乙方书面提示后甲方仍未付款的，乙方有权停止继续发布广告并终止本协议。</w:t>
      </w:r>
      <w:bookmarkEnd w:id="47"/>
    </w:p>
    <w:p w14:paraId="67CED508">
      <w:pPr>
        <w:keepNext w:val="0"/>
        <w:keepLines w:val="0"/>
        <w:pageBreakBefore w:val="0"/>
        <w:kinsoku/>
        <w:wordWrap/>
        <w:overflowPunct/>
        <w:topLinePunct w:val="0"/>
        <w:autoSpaceDE/>
        <w:autoSpaceDN/>
        <w:bidi w:val="0"/>
        <w:spacing w:beforeAutospacing="0" w:after="0" w:afterAutospacing="0" w:line="240" w:lineRule="auto"/>
        <w:ind w:left="420" w:leftChars="0"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8" w:name="auto_fouce_25"/>
      <w:r>
        <w:rPr>
          <w:rFonts w:hint="eastAsia" w:ascii="微软雅黑" w:hAnsi="微软雅黑" w:eastAsia="微软雅黑" w:cs="微软雅黑"/>
          <w:b/>
          <w:highlight w:val="none"/>
        </w:rPr>
        <w:t>4.2</w:t>
      </w:r>
      <w:r>
        <w:rPr>
          <w:rFonts w:hint="eastAsia" w:ascii="微软雅黑" w:hAnsi="微软雅黑" w:eastAsia="微软雅黑" w:cs="微软雅黑"/>
          <w:highlight w:val="none"/>
        </w:rPr>
        <w:t>如乙方逾期发布标的广告，每延误一日，乙方应按逾期发布广告结算价格万分之五/天向甲方承担违约金。逾期累计超过</w:t>
      </w:r>
      <w:r>
        <w:rPr>
          <w:rFonts w:hint="eastAsia" w:ascii="微软雅黑" w:hAnsi="微软雅黑" w:eastAsia="微软雅黑" w:cs="微软雅黑"/>
          <w:highlight w:val="none"/>
          <w:lang w:eastAsia="zh-CN"/>
        </w:rPr>
        <w:t>5</w:t>
      </w:r>
      <w:r>
        <w:rPr>
          <w:rFonts w:hint="eastAsia" w:ascii="微软雅黑" w:hAnsi="微软雅黑" w:eastAsia="微软雅黑" w:cs="微软雅黑"/>
          <w:highlight w:val="none"/>
        </w:rPr>
        <w:t>日，</w:t>
      </w:r>
      <w:r>
        <w:rPr>
          <w:rFonts w:hint="eastAsia" w:ascii="微软雅黑" w:hAnsi="微软雅黑" w:eastAsia="微软雅黑" w:cs="微软雅黑"/>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20</w:t>
      </w:r>
      <w:r>
        <w:rPr>
          <w:rFonts w:hint="eastAsia" w:ascii="微软雅黑" w:hAnsi="微软雅黑" w:eastAsia="微软雅黑" w:cs="微软雅黑"/>
          <w:color w:val="000000" w:themeColor="text1"/>
          <w:highlight w:val="none"/>
          <w14:textFill>
            <w14:solidFill>
              <w14:schemeClr w14:val="tx1"/>
            </w14:solidFill>
          </w14:textFill>
        </w:rPr>
        <w:t>%向甲方</w:t>
      </w:r>
      <w:r>
        <w:rPr>
          <w:rFonts w:hint="eastAsia" w:ascii="微软雅黑" w:hAnsi="微软雅黑" w:eastAsia="微软雅黑" w:cs="微软雅黑"/>
          <w:color w:val="000000" w:themeColor="text1"/>
          <w:highlight w:val="none"/>
          <w:lang w:eastAsia="zh-CN"/>
          <w14:textFill>
            <w14:solidFill>
              <w14:schemeClr w14:val="tx1"/>
            </w14:solidFill>
          </w14:textFill>
        </w:rPr>
        <w:t>支付</w:t>
      </w:r>
      <w:r>
        <w:rPr>
          <w:rFonts w:hint="eastAsia" w:ascii="微软雅黑" w:hAnsi="微软雅黑" w:eastAsia="微软雅黑" w:cs="微软雅黑"/>
          <w:color w:val="000000" w:themeColor="text1"/>
          <w:highlight w:val="none"/>
          <w14:textFill>
            <w14:solidFill>
              <w14:schemeClr w14:val="tx1"/>
            </w14:solidFill>
          </w14:textFill>
        </w:rPr>
        <w:t>违约</w:t>
      </w:r>
      <w:r>
        <w:rPr>
          <w:rFonts w:hint="eastAsia" w:ascii="微软雅黑" w:hAnsi="微软雅黑" w:eastAsia="微软雅黑" w:cs="微软雅黑"/>
          <w:color w:val="000000" w:themeColor="text1"/>
          <w:highlight w:val="none"/>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highlight w:val="none"/>
          <w14:textFill>
            <w14:solidFill>
              <w14:schemeClr w14:val="tx1"/>
            </w14:solidFill>
          </w14:textFill>
        </w:rPr>
        <w:t>的权利。</w:t>
      </w:r>
    </w:p>
    <w:bookmarkEnd w:id="48"/>
    <w:p w14:paraId="0BD8AB7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9" w:name="auto_fouce_26"/>
      <w:r>
        <w:rPr>
          <w:rFonts w:hint="eastAsia" w:ascii="微软雅黑" w:hAnsi="微软雅黑" w:eastAsia="微软雅黑" w:cs="微软雅黑"/>
          <w:b/>
          <w:highlight w:val="none"/>
        </w:rPr>
        <w:t>4.3</w:t>
      </w:r>
      <w:bookmarkStart w:id="50" w:name="auto_fouce_28"/>
      <w:r>
        <w:rPr>
          <w:rFonts w:hint="eastAsia" w:ascii="微软雅黑" w:hAnsi="微软雅黑" w:eastAsia="微软雅黑" w:cs="微软雅黑"/>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highlight w:val="none"/>
          <w:lang w:eastAsia="zh-CN"/>
          <w14:textFill>
            <w14:solidFill>
              <w14:schemeClr w14:val="tx1"/>
            </w14:solidFill>
          </w14:textFill>
        </w:rPr>
        <w:t>且</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highlight w:val="none"/>
          <w14:textFill>
            <w14:solidFill>
              <w14:schemeClr w14:val="tx1"/>
            </w14:solidFill>
          </w14:textFill>
        </w:rPr>
        <w:t>不承担违约责任，未完成的发布事宜可由甲乙双方协商解决。</w:t>
      </w:r>
      <w:bookmarkEnd w:id="50"/>
    </w:p>
    <w:p w14:paraId="123629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4.4</w:t>
      </w:r>
      <w:r>
        <w:rPr>
          <w:rFonts w:hint="eastAsia" w:ascii="微软雅黑" w:hAnsi="微软雅黑" w:eastAsia="微软雅黑" w:cs="微软雅黑"/>
          <w:b/>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因乙方原因造成广告未能按约发布的，如错发、漏发等除延期发布以外的违约情形，</w:t>
      </w:r>
      <w:bookmarkStart w:id="51" w:name="auto_fouce_29"/>
      <w:r>
        <w:rPr>
          <w:rFonts w:hint="eastAsia" w:ascii="微软雅黑" w:hAnsi="微软雅黑" w:eastAsia="微软雅黑" w:cs="微软雅黑"/>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highlight w:val="none"/>
          <w:lang w:eastAsia="zh-CN"/>
          <w14:textFill>
            <w14:solidFill>
              <w14:schemeClr w14:val="tx1"/>
            </w14:solidFill>
          </w14:textFill>
        </w:rPr>
        <w:t>全部实际</w:t>
      </w:r>
      <w:r>
        <w:rPr>
          <w:rFonts w:hint="eastAsia" w:ascii="微软雅黑" w:hAnsi="微软雅黑" w:eastAsia="微软雅黑" w:cs="微软雅黑"/>
          <w:color w:val="000000" w:themeColor="text1"/>
          <w:highlight w:val="none"/>
          <w14:textFill>
            <w14:solidFill>
              <w14:schemeClr w14:val="tx1"/>
            </w14:solidFill>
          </w14:textFill>
        </w:rPr>
        <w:t>损失。</w:t>
      </w:r>
      <w:r>
        <w:rPr>
          <w:rFonts w:hint="eastAsia" w:ascii="微软雅黑" w:hAnsi="微软雅黑" w:eastAsia="微软雅黑" w:cs="微软雅黑"/>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1"/>
    </w:p>
    <w:p w14:paraId="30EA95EA">
      <w:pPr>
        <w:pStyle w:val="28"/>
        <w:keepNext w:val="0"/>
        <w:keepLines w:val="0"/>
        <w:pageBreakBefore w:val="0"/>
        <w:kinsoku/>
        <w:wordWrap/>
        <w:overflowPunct/>
        <w:topLinePunct w:val="0"/>
        <w:autoSpaceDE/>
        <w:autoSpaceDN/>
        <w:bidi w:val="0"/>
        <w:spacing w:beforeAutospacing="0" w:after="0" w:afterAutospacing="0" w:line="240" w:lineRule="auto"/>
        <w:ind w:left="0" w:leftChars="0"/>
        <w:textAlignment w:val="auto"/>
        <w:rPr>
          <w:rFonts w:hint="eastAsia" w:ascii="微软雅黑" w:hAnsi="微软雅黑" w:eastAsia="微软雅黑" w:cs="微软雅黑"/>
          <w:color w:val="000000" w:themeColor="text1"/>
          <w:szCs w:val="24"/>
          <w:highlight w:val="none"/>
          <w14:textFill>
            <w14:solidFill>
              <w14:schemeClr w14:val="tx1"/>
            </w14:solidFill>
          </w14:textFill>
        </w:rPr>
      </w:pPr>
      <w:r>
        <w:rPr>
          <w:rFonts w:hint="eastAsia" w:ascii="微软雅黑" w:hAnsi="微软雅黑" w:eastAsia="微软雅黑" w:cs="微软雅黑"/>
          <w:b/>
          <w:bCs/>
          <w:color w:val="000000" w:themeColor="text1"/>
          <w:szCs w:val="24"/>
          <w:highlight w:val="none"/>
          <w14:textFill>
            <w14:solidFill>
              <w14:schemeClr w14:val="tx1"/>
            </w14:solidFill>
          </w14:textFill>
        </w:rPr>
        <w:t xml:space="preserve">4.5 </w:t>
      </w:r>
      <w:r>
        <w:rPr>
          <w:rFonts w:hint="eastAsia" w:ascii="微软雅黑" w:hAnsi="微软雅黑" w:eastAsia="微软雅黑" w:cs="微软雅黑"/>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49"/>
    </w:p>
    <w:p w14:paraId="3FD503A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第五条 知识产权及保密</w:t>
      </w:r>
    </w:p>
    <w:p w14:paraId="3B60C31C">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52" w:name="auto_fouce_31"/>
      <w:r>
        <w:rPr>
          <w:rFonts w:hint="eastAsia" w:ascii="微软雅黑" w:hAnsi="微软雅黑" w:eastAsia="微软雅黑" w:cs="微软雅黑"/>
          <w:b/>
          <w:highlight w:val="none"/>
        </w:rPr>
        <w:t>5.1</w:t>
      </w:r>
      <w:r>
        <w:rPr>
          <w:rFonts w:hint="eastAsia" w:ascii="微软雅黑" w:hAnsi="微软雅黑" w:eastAsia="微软雅黑" w:cs="微软雅黑"/>
          <w:color w:val="000000" w:themeColor="text1"/>
          <w:highlight w:val="none"/>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highlight w:val="none"/>
          <w:lang w:eastAsia="zh-CN"/>
          <w14:textFill>
            <w14:solidFill>
              <w14:schemeClr w14:val="tx1"/>
            </w14:solidFill>
          </w14:textFill>
        </w:rPr>
        <w:t>、数据、报告</w:t>
      </w:r>
      <w:r>
        <w:rPr>
          <w:rFonts w:hint="eastAsia" w:ascii="微软雅黑" w:hAnsi="微软雅黑" w:eastAsia="微软雅黑" w:cs="微软雅黑"/>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2"/>
    <w:p w14:paraId="5ACD6AA7">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lang w:eastAsia="zh-CN"/>
        </w:rPr>
      </w:pPr>
      <w:bookmarkStart w:id="53" w:name="auto_fouce_33"/>
      <w:r>
        <w:rPr>
          <w:rFonts w:hint="eastAsia" w:ascii="微软雅黑" w:hAnsi="微软雅黑" w:eastAsia="微软雅黑" w:cs="微软雅黑"/>
          <w:b/>
          <w:highlight w:val="none"/>
        </w:rPr>
        <w:t>5.2</w:t>
      </w:r>
      <w:bookmarkStart w:id="54" w:name="_Hlk204078489"/>
      <w:r>
        <w:rPr>
          <w:rFonts w:hint="eastAsia" w:ascii="微软雅黑" w:hAnsi="微软雅黑" w:eastAsia="微软雅黑" w:cs="微软雅黑"/>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5" w:name="auto_fouce_34"/>
      <w:r>
        <w:rPr>
          <w:rFonts w:hint="eastAsia" w:ascii="微软雅黑" w:hAnsi="微软雅黑" w:eastAsia="微软雅黑" w:cs="微软雅黑"/>
          <w:highlight w:val="none"/>
          <w:lang w:eastAsia="zh-CN"/>
        </w:rPr>
        <w:t>乙方违反第</w:t>
      </w:r>
      <w:r>
        <w:rPr>
          <w:rFonts w:hint="eastAsia" w:ascii="微软雅黑" w:hAnsi="微软雅黑" w:eastAsia="微软雅黑" w:cs="微软雅黑"/>
          <w:highlight w:val="none"/>
        </w:rPr>
        <w:t>5.1与</w:t>
      </w:r>
      <w:r>
        <w:rPr>
          <w:rFonts w:hint="eastAsia" w:ascii="微软雅黑" w:hAnsi="微软雅黑" w:eastAsia="微软雅黑" w:cs="微软雅黑"/>
          <w:highlight w:val="none"/>
          <w:lang w:eastAsia="zh-CN"/>
        </w:rPr>
        <w:t>5.2条知识产权保证义务的，除承担侵权责任外，</w:t>
      </w:r>
      <w:r>
        <w:rPr>
          <w:rFonts w:hint="eastAsia" w:ascii="微软雅黑" w:hAnsi="微软雅黑" w:eastAsia="微软雅黑" w:cs="微软雅黑"/>
          <w:color w:val="000000" w:themeColor="text1"/>
          <w:highlight w:val="none"/>
          <w14:textFill>
            <w14:solidFill>
              <w14:schemeClr w14:val="tx1"/>
            </w14:solidFill>
          </w14:textFill>
        </w:rPr>
        <w:t>应</w:t>
      </w:r>
      <w:r>
        <w:rPr>
          <w:rFonts w:hint="eastAsia" w:ascii="微软雅黑" w:hAnsi="微软雅黑" w:eastAsia="微软雅黑" w:cs="微软雅黑"/>
          <w:color w:val="000000" w:themeColor="text1"/>
          <w:highlight w:val="none"/>
          <w:lang w:eastAsia="zh-CN"/>
          <w14:textFill>
            <w14:solidFill>
              <w14:schemeClr w14:val="tx1"/>
            </w14:solidFill>
          </w14:textFill>
        </w:rPr>
        <w:t>按每次违约行为支付合同总金额10%的违约金。</w:t>
      </w:r>
      <w:bookmarkEnd w:id="55"/>
      <w:bookmarkStart w:id="56" w:name="_Hlk204014046"/>
      <w:r>
        <w:rPr>
          <w:rFonts w:hint="eastAsia" w:ascii="微软雅黑" w:hAnsi="微软雅黑" w:eastAsia="微软雅黑" w:cs="微软雅黑"/>
          <w:highlight w:val="none"/>
          <w:lang w:eastAsia="zh-CN"/>
        </w:rPr>
        <w:t>乙方应在广告发布前向甲方提交所有使用素材的版权证明及授权文件。</w:t>
      </w:r>
      <w:bookmarkEnd w:id="53"/>
      <w:bookmarkEnd w:id="56"/>
    </w:p>
    <w:bookmarkEnd w:id="54"/>
    <w:p w14:paraId="2E38B8CB">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5.3</w:t>
      </w:r>
      <w:r>
        <w:rPr>
          <w:rFonts w:hint="eastAsia" w:ascii="微软雅黑" w:hAnsi="微软雅黑" w:eastAsia="微软雅黑" w:cs="微软雅黑"/>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7" w:name="auto_fouce_32"/>
      <w:r>
        <w:rPr>
          <w:rFonts w:hint="eastAsia" w:ascii="微软雅黑" w:hAnsi="微软雅黑" w:eastAsia="微软雅黑" w:cs="微软雅黑"/>
          <w:color w:val="000000" w:themeColor="text1"/>
          <w:highlight w:val="none"/>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highlight w:val="none"/>
          <w:lang w:eastAsia="zh-CN"/>
          <w14:textFill>
            <w14:solidFill>
              <w14:schemeClr w14:val="tx1"/>
            </w14:solidFill>
          </w14:textFill>
        </w:rPr>
        <w:t>五年内</w:t>
      </w:r>
      <w:r>
        <w:rPr>
          <w:rFonts w:hint="eastAsia" w:ascii="微软雅黑" w:hAnsi="微软雅黑" w:eastAsia="微软雅黑" w:cs="微软雅黑"/>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7"/>
    </w:p>
    <w:p w14:paraId="511621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5.4</w:t>
      </w:r>
      <w:r>
        <w:rPr>
          <w:rFonts w:hint="eastAsia" w:ascii="微软雅黑" w:hAnsi="微软雅黑" w:eastAsia="微软雅黑" w:cs="微软雅黑"/>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5.5</w:t>
      </w:r>
      <w:r>
        <w:rPr>
          <w:rFonts w:hint="eastAsia" w:ascii="微软雅黑" w:hAnsi="微软雅黑" w:eastAsia="微软雅黑" w:cs="微软雅黑"/>
          <w:color w:val="000000" w:themeColor="text1"/>
          <w:highlight w:val="none"/>
          <w14:textFill>
            <w14:solidFill>
              <w14:schemeClr w14:val="tx1"/>
            </w14:solidFill>
          </w14:textFill>
        </w:rPr>
        <w:t>上述条款在双方合作期间及合同终止后持续有效。</w:t>
      </w:r>
    </w:p>
    <w:p w14:paraId="2E36194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 xml:space="preserve">第六条 </w:t>
      </w:r>
      <w:r>
        <w:rPr>
          <w:rFonts w:hint="eastAsia" w:ascii="微软雅黑" w:hAnsi="微软雅黑" w:eastAsia="微软雅黑" w:cs="微软雅黑"/>
          <w:b/>
          <w:color w:val="000000" w:themeColor="text1"/>
          <w:highlight w:val="none"/>
          <w14:textFill>
            <w14:solidFill>
              <w14:schemeClr w14:val="tx1"/>
            </w14:solidFill>
          </w14:textFill>
        </w:rPr>
        <w:t>转让与分包</w:t>
      </w:r>
    </w:p>
    <w:p w14:paraId="6C7402C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6.1</w:t>
      </w:r>
      <w:r>
        <w:rPr>
          <w:rFonts w:hint="eastAsia" w:ascii="微软雅黑" w:hAnsi="微软雅黑" w:eastAsia="微软雅黑" w:cs="微软雅黑"/>
          <w:color w:val="000000" w:themeColor="text1"/>
          <w:highlight w:val="none"/>
          <w14:textFill>
            <w14:solidFill>
              <w14:schemeClr w14:val="tx1"/>
            </w14:solidFill>
          </w14:textFill>
        </w:rPr>
        <w:t xml:space="preserve"> 乙方不得部分转让或全部转让其应履行的合同义务</w:t>
      </w:r>
      <w:r>
        <w:rPr>
          <w:rFonts w:hint="eastAsia" w:ascii="微软雅黑" w:hAnsi="微软雅黑" w:eastAsia="微软雅黑" w:cs="微软雅黑"/>
          <w:color w:val="000000" w:themeColor="text1"/>
          <w:highlight w:val="none"/>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即使甲方同意分包，乙方仍对全部服务质量和违约责任承担总责。</w:t>
      </w:r>
    </w:p>
    <w:p w14:paraId="51BD2BE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6.2</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eastAsia="zh-CN"/>
          <w14:textFill>
            <w14:solidFill>
              <w14:schemeClr w14:val="tx1"/>
            </w14:solidFill>
          </w14:textFill>
        </w:rPr>
        <w:t>未经甲方事先书面同意，</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第七条 其他</w:t>
      </w:r>
    </w:p>
    <w:p w14:paraId="6A99A642">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7.1</w:t>
      </w:r>
      <w:r>
        <w:rPr>
          <w:rFonts w:hint="eastAsia" w:ascii="微软雅黑" w:hAnsi="微软雅黑" w:eastAsia="微软雅黑" w:cs="微软雅黑"/>
          <w:color w:val="000000" w:themeColor="text1"/>
          <w:highlight w:val="none"/>
          <w14:textFill>
            <w14:solidFill>
              <w14:schemeClr w14:val="tx1"/>
            </w14:solidFill>
          </w14:textFill>
        </w:rPr>
        <w:t>合同中未尽事宜或本合同如需修改，</w:t>
      </w:r>
      <w:r>
        <w:rPr>
          <w:rFonts w:hint="eastAsia" w:ascii="微软雅黑" w:hAnsi="微软雅黑" w:eastAsia="微软雅黑" w:cs="微软雅黑"/>
          <w:color w:val="000000" w:themeColor="text1"/>
          <w:highlight w:val="none"/>
          <w:lang w:eastAsia="zh-CN"/>
          <w14:textFill>
            <w14:solidFill>
              <w14:schemeClr w14:val="tx1"/>
            </w14:solidFill>
          </w14:textFill>
        </w:rPr>
        <w:t>须经甲方书面同意后方</w:t>
      </w:r>
      <w:r>
        <w:rPr>
          <w:rFonts w:hint="eastAsia" w:ascii="微软雅黑" w:hAnsi="微软雅黑" w:eastAsia="微软雅黑" w:cs="微软雅黑"/>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7.2</w:t>
      </w:r>
      <w:r>
        <w:rPr>
          <w:rFonts w:hint="eastAsia" w:ascii="微软雅黑" w:hAnsi="微软雅黑" w:eastAsia="微软雅黑" w:cs="微软雅黑"/>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7.3</w:t>
      </w:r>
      <w:r>
        <w:rPr>
          <w:rFonts w:hint="eastAsia" w:ascii="微软雅黑" w:hAnsi="微软雅黑" w:eastAsia="微软雅黑" w:cs="微软雅黑"/>
          <w:color w:val="000000" w:themeColor="text1"/>
          <w:highlight w:val="none"/>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highlight w:val="none"/>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highlight w:val="none"/>
          <w14:textFill>
            <w14:solidFill>
              <w14:schemeClr w14:val="tx1"/>
            </w14:solidFill>
          </w14:textFill>
        </w:rPr>
        <w:t>之日起生效。</w:t>
      </w:r>
      <w:r>
        <w:rPr>
          <w:rFonts w:hint="eastAsia" w:ascii="微软雅黑" w:hAnsi="微软雅黑" w:eastAsia="微软雅黑" w:cs="微软雅黑"/>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7.4</w:t>
      </w:r>
      <w:r>
        <w:rPr>
          <w:rFonts w:hint="eastAsia" w:ascii="微软雅黑" w:hAnsi="微软雅黑" w:eastAsia="微软雅黑" w:cs="微软雅黑"/>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甲方：【        】</w:t>
      </w:r>
    </w:p>
    <w:p w14:paraId="22466EC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03142EB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ab/>
      </w:r>
    </w:p>
    <w:p w14:paraId="38520B3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3E83F3F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              】</w:t>
      </w:r>
    </w:p>
    <w:p w14:paraId="6732950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1A8B3E8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p>
    <w:p w14:paraId="6AE986F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1BECBDF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电子邮件：【         】</w:t>
      </w:r>
    </w:p>
    <w:p w14:paraId="644000E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p>
    <w:p w14:paraId="2D0E9136">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r>
        <w:rPr>
          <w:rFonts w:hint="eastAsia" w:ascii="微软雅黑" w:hAnsi="微软雅黑" w:eastAsia="微软雅黑" w:cs="微软雅黑"/>
          <w:bCs/>
          <w:highlight w:val="none"/>
        </w:rPr>
        <w:t>甲方:（盖章）                                  乙方：（盖章）</w:t>
      </w:r>
    </w:p>
    <w:p w14:paraId="23F7F687">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7B7EF792">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                         法定代表人或授权代表：</w:t>
      </w:r>
    </w:p>
    <w:p w14:paraId="2ABC4C21">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（签字）                                      （签字）</w:t>
      </w:r>
    </w:p>
    <w:p w14:paraId="60255339">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1FE4978C">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日期：   年   月   日                          日期：  年   月   日</w:t>
      </w:r>
    </w:p>
    <w:p w14:paraId="07B49D47">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5DE5DC29">
      <w:pPr>
        <w:pStyle w:val="24"/>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C775"/>
    <w:multiLevelType w:val="singleLevel"/>
    <w:tmpl w:val="95AFC775"/>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6D244BA"/>
    <w:multiLevelType w:val="singleLevel"/>
    <w:tmpl w:val="26D244BA"/>
    <w:lvl w:ilvl="0" w:tentative="0">
      <w:start w:val="1"/>
      <w:numFmt w:val="decimal"/>
      <w:lvlText w:val="%1."/>
      <w:lvlJc w:val="left"/>
      <w:pPr>
        <w:ind w:left="425" w:hanging="425"/>
      </w:pPr>
      <w:rPr>
        <w:rFonts w:hint="default"/>
      </w:rPr>
    </w:lvl>
  </w:abstractNum>
  <w:abstractNum w:abstractNumId="5">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7252CB1E"/>
    <w:multiLevelType w:val="singleLevel"/>
    <w:tmpl w:val="7252CB1E"/>
    <w:lvl w:ilvl="0" w:tentative="0">
      <w:start w:val="1"/>
      <w:numFmt w:val="decimal"/>
      <w:lvlText w:val="%1."/>
      <w:lvlJc w:val="left"/>
      <w:pPr>
        <w:ind w:left="425" w:hanging="425"/>
      </w:pPr>
      <w:rPr>
        <w:rFonts w:hint="default"/>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D9813FB"/>
    <w:rsid w:val="0E4B63E2"/>
    <w:rsid w:val="0E664FCA"/>
    <w:rsid w:val="0EAA4EB7"/>
    <w:rsid w:val="0EE54141"/>
    <w:rsid w:val="10AE6120"/>
    <w:rsid w:val="113F222E"/>
    <w:rsid w:val="11437FDD"/>
    <w:rsid w:val="11A83E70"/>
    <w:rsid w:val="12606D73"/>
    <w:rsid w:val="12972340"/>
    <w:rsid w:val="130D0956"/>
    <w:rsid w:val="130F79DE"/>
    <w:rsid w:val="142F15AD"/>
    <w:rsid w:val="148B75BC"/>
    <w:rsid w:val="149144EC"/>
    <w:rsid w:val="149F2FE4"/>
    <w:rsid w:val="15E73D85"/>
    <w:rsid w:val="168460D8"/>
    <w:rsid w:val="17CC1893"/>
    <w:rsid w:val="18A63E03"/>
    <w:rsid w:val="199E386A"/>
    <w:rsid w:val="19FD4A34"/>
    <w:rsid w:val="1BE3639A"/>
    <w:rsid w:val="1C5E514E"/>
    <w:rsid w:val="1D3E230B"/>
    <w:rsid w:val="1DCD24F2"/>
    <w:rsid w:val="1E2E78B2"/>
    <w:rsid w:val="1E843A1B"/>
    <w:rsid w:val="1F34435E"/>
    <w:rsid w:val="209156F1"/>
    <w:rsid w:val="209357F1"/>
    <w:rsid w:val="216D64F7"/>
    <w:rsid w:val="21DF4EA7"/>
    <w:rsid w:val="22210069"/>
    <w:rsid w:val="22981E84"/>
    <w:rsid w:val="229D2355"/>
    <w:rsid w:val="25461841"/>
    <w:rsid w:val="25577F9C"/>
    <w:rsid w:val="28F43605"/>
    <w:rsid w:val="2B8101D0"/>
    <w:rsid w:val="2D692244"/>
    <w:rsid w:val="2DC10CE8"/>
    <w:rsid w:val="2DC5133A"/>
    <w:rsid w:val="2E4C209F"/>
    <w:rsid w:val="2F565974"/>
    <w:rsid w:val="2F865D9B"/>
    <w:rsid w:val="305D2645"/>
    <w:rsid w:val="314E1704"/>
    <w:rsid w:val="316F5DC0"/>
    <w:rsid w:val="321C75CA"/>
    <w:rsid w:val="326170DF"/>
    <w:rsid w:val="32694AB3"/>
    <w:rsid w:val="3302701B"/>
    <w:rsid w:val="33220A74"/>
    <w:rsid w:val="334141A4"/>
    <w:rsid w:val="340C668B"/>
    <w:rsid w:val="34187305"/>
    <w:rsid w:val="34AA5361"/>
    <w:rsid w:val="355E4031"/>
    <w:rsid w:val="362F633D"/>
    <w:rsid w:val="363E7C07"/>
    <w:rsid w:val="366C4B34"/>
    <w:rsid w:val="36C86A94"/>
    <w:rsid w:val="37C624B2"/>
    <w:rsid w:val="382F4FD4"/>
    <w:rsid w:val="3891486E"/>
    <w:rsid w:val="38B05B5E"/>
    <w:rsid w:val="3A347BA7"/>
    <w:rsid w:val="3C2809C3"/>
    <w:rsid w:val="3C472D40"/>
    <w:rsid w:val="3CF04064"/>
    <w:rsid w:val="3CFD60B9"/>
    <w:rsid w:val="3E1C107E"/>
    <w:rsid w:val="3E8310FD"/>
    <w:rsid w:val="3F5B53B7"/>
    <w:rsid w:val="3FF200B1"/>
    <w:rsid w:val="40336737"/>
    <w:rsid w:val="40D519B8"/>
    <w:rsid w:val="436D39AD"/>
    <w:rsid w:val="4384520B"/>
    <w:rsid w:val="44270FE3"/>
    <w:rsid w:val="442C7B41"/>
    <w:rsid w:val="44FF48D5"/>
    <w:rsid w:val="4683508A"/>
    <w:rsid w:val="4AD50A7E"/>
    <w:rsid w:val="4BCA1764"/>
    <w:rsid w:val="4BE42533"/>
    <w:rsid w:val="4C053274"/>
    <w:rsid w:val="4F8537C2"/>
    <w:rsid w:val="514E2DFA"/>
    <w:rsid w:val="52A32E2E"/>
    <w:rsid w:val="553A7235"/>
    <w:rsid w:val="55A726C6"/>
    <w:rsid w:val="567F7FA4"/>
    <w:rsid w:val="569C0B56"/>
    <w:rsid w:val="56CC6A99"/>
    <w:rsid w:val="571961BE"/>
    <w:rsid w:val="58490869"/>
    <w:rsid w:val="590D1897"/>
    <w:rsid w:val="5A8470F4"/>
    <w:rsid w:val="5B476934"/>
    <w:rsid w:val="5DDA2B31"/>
    <w:rsid w:val="5EEE242A"/>
    <w:rsid w:val="5F2E65C5"/>
    <w:rsid w:val="60256EF4"/>
    <w:rsid w:val="609F6CB1"/>
    <w:rsid w:val="60A76A75"/>
    <w:rsid w:val="61C6472A"/>
    <w:rsid w:val="61E92E15"/>
    <w:rsid w:val="63C416EC"/>
    <w:rsid w:val="64C40159"/>
    <w:rsid w:val="684856D7"/>
    <w:rsid w:val="692D5480"/>
    <w:rsid w:val="69A668E3"/>
    <w:rsid w:val="6B5D1C60"/>
    <w:rsid w:val="6BA10E9F"/>
    <w:rsid w:val="6BCE3108"/>
    <w:rsid w:val="6C867D2E"/>
    <w:rsid w:val="6DDB2AEC"/>
    <w:rsid w:val="6E277267"/>
    <w:rsid w:val="70052532"/>
    <w:rsid w:val="703A4906"/>
    <w:rsid w:val="70660DD2"/>
    <w:rsid w:val="711164E0"/>
    <w:rsid w:val="71E60A7F"/>
    <w:rsid w:val="720C1815"/>
    <w:rsid w:val="73202939"/>
    <w:rsid w:val="746A1E3C"/>
    <w:rsid w:val="765E152C"/>
    <w:rsid w:val="768A2321"/>
    <w:rsid w:val="76B72234"/>
    <w:rsid w:val="770A5C85"/>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24</Pages>
  <Words>10160</Words>
  <Characters>10565</Characters>
  <Lines>203</Lines>
  <Paragraphs>224</Paragraphs>
  <TotalTime>1</TotalTime>
  <ScaleCrop>false</ScaleCrop>
  <LinksUpToDate>false</LinksUpToDate>
  <CharactersWithSpaces>11705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兮.</cp:lastModifiedBy>
  <cp:lastPrinted>2024-01-30T08:05:00Z</cp:lastPrinted>
  <dcterms:modified xsi:type="dcterms:W3CDTF">2026-05-15T07:12:57Z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05577E8E20274296ABE2C4CF42E9BF68_13</vt:lpwstr>
  </property>
  <property fmtid="{D5CDD505-2E9C-101B-9397-08002B2CF9AE}" pid="4" name="KSOTemplateDocerSaveRecord">
    <vt:lpwstr>eyJoZGlkIjoiOWIyNDkzYjlkNjUzN2ZjNGM5M2Q3YTg4MGJmZjdmZTAiLCJ1c2VySWQiOiIyMzMxNDAxNjAifQ==</vt:lpwstr>
  </property>
</Properties>
</file>