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8B7BD0E">
      <w:pPr>
        <w:adjustRightInd w:val="0"/>
        <w:snapToGrid w:val="0"/>
        <w:spacing w:before="48" w:beforeLines="20" w:after="48" w:afterLines="20" w:line="940" w:lineRule="exact"/>
        <w:jc w:val="both"/>
        <w:rPr>
          <w:rFonts w:hint="eastAsia" w:eastAsia="仿宋_GB2312"/>
          <w:b/>
          <w:bCs/>
          <w:color w:val="auto"/>
          <w:sz w:val="72"/>
          <w:szCs w:val="72"/>
          <w:highlight w:val="none"/>
        </w:rPr>
      </w:pPr>
    </w:p>
    <w:p w14:paraId="4EBC7C85">
      <w:pPr>
        <w:adjustRightInd w:val="0"/>
        <w:snapToGrid w:val="0"/>
        <w:spacing w:before="48" w:beforeLines="20" w:after="48" w:afterLines="20" w:line="940" w:lineRule="exact"/>
        <w:jc w:val="center"/>
        <w:rPr>
          <w:rFonts w:hint="eastAsia" w:ascii="宋体" w:hAnsi="宋体" w:eastAsia="宋体" w:cs="宋体"/>
          <w:b/>
          <w:color w:val="auto"/>
          <w:spacing w:val="-20"/>
          <w:sz w:val="48"/>
          <w:szCs w:val="48"/>
          <w:highlight w:val="none"/>
          <w:u w:val="single"/>
          <w:lang w:val="en-US" w:eastAsia="zh-CN"/>
        </w:rPr>
      </w:pPr>
      <w:r>
        <w:rPr>
          <w:rFonts w:hint="eastAsia" w:ascii="宋体" w:hAnsi="宋体" w:cs="宋体"/>
          <w:b/>
          <w:color w:val="auto"/>
          <w:spacing w:val="-20"/>
          <w:sz w:val="48"/>
          <w:szCs w:val="48"/>
          <w:highlight w:val="none"/>
          <w:u w:val="single"/>
          <w:lang w:val="en-US" w:eastAsia="zh-CN"/>
        </w:rPr>
        <w:t>磨滩旅游度假区游客服务中心西广场电动遮阳天幕工程</w:t>
      </w:r>
    </w:p>
    <w:p w14:paraId="7161E90F">
      <w:pPr>
        <w:adjustRightInd w:val="0"/>
        <w:snapToGrid w:val="0"/>
        <w:spacing w:before="48" w:beforeLines="20" w:after="48" w:afterLines="20" w:line="940" w:lineRule="exact"/>
        <w:jc w:val="center"/>
        <w:rPr>
          <w:rFonts w:hint="eastAsia" w:ascii="宋体" w:hAnsi="宋体" w:eastAsia="宋体" w:cs="宋体"/>
          <w:b/>
          <w:color w:val="auto"/>
          <w:spacing w:val="-20"/>
          <w:sz w:val="48"/>
          <w:szCs w:val="48"/>
          <w:highlight w:val="none"/>
          <w:u w:val="single"/>
          <w:lang w:val="en-US" w:eastAsia="zh-CN"/>
        </w:rPr>
      </w:pPr>
    </w:p>
    <w:p w14:paraId="6153E552">
      <w:pPr>
        <w:adjustRightInd w:val="0"/>
        <w:snapToGrid w:val="0"/>
        <w:spacing w:before="48" w:beforeLines="20" w:after="48" w:afterLines="20" w:line="940" w:lineRule="exact"/>
        <w:jc w:val="center"/>
        <w:rPr>
          <w:rFonts w:hint="eastAsia" w:ascii="宋体" w:hAnsi="宋体" w:eastAsia="宋体" w:cs="宋体"/>
          <w:b/>
          <w:color w:val="auto"/>
          <w:spacing w:val="-20"/>
          <w:sz w:val="48"/>
          <w:szCs w:val="48"/>
          <w:highlight w:val="none"/>
          <w:u w:val="single"/>
          <w:lang w:val="en-US" w:eastAsia="zh-CN"/>
        </w:rPr>
      </w:pPr>
    </w:p>
    <w:p w14:paraId="4C2B7DC9">
      <w:pPr>
        <w:adjustRightInd w:val="0"/>
        <w:snapToGrid w:val="0"/>
        <w:spacing w:before="48" w:beforeLines="20" w:after="48" w:afterLines="20" w:line="940" w:lineRule="exact"/>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招</w:t>
      </w:r>
    </w:p>
    <w:p w14:paraId="588CF46B">
      <w:pPr>
        <w:adjustRightInd w:val="0"/>
        <w:snapToGrid w:val="0"/>
        <w:spacing w:before="48" w:beforeLines="20" w:after="48" w:afterLines="20" w:line="940" w:lineRule="exact"/>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标</w:t>
      </w:r>
    </w:p>
    <w:p w14:paraId="03B3CFD2">
      <w:pPr>
        <w:adjustRightInd w:val="0"/>
        <w:snapToGrid w:val="0"/>
        <w:spacing w:before="48" w:beforeLines="20" w:after="48" w:afterLines="20" w:line="940" w:lineRule="exact"/>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文</w:t>
      </w:r>
    </w:p>
    <w:p w14:paraId="149228B6">
      <w:pPr>
        <w:adjustRightInd w:val="0"/>
        <w:snapToGrid w:val="0"/>
        <w:spacing w:before="48" w:beforeLines="20" w:after="48" w:afterLines="20" w:line="940" w:lineRule="exact"/>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件</w:t>
      </w:r>
    </w:p>
    <w:p w14:paraId="41A67416">
      <w:pPr>
        <w:adjustRightInd w:val="0"/>
        <w:snapToGrid w:val="0"/>
        <w:spacing w:before="48" w:beforeLines="20" w:after="48" w:afterLines="20" w:line="640" w:lineRule="exact"/>
        <w:rPr>
          <w:rFonts w:hint="eastAsia" w:ascii="宋体" w:hAnsi="宋体" w:eastAsia="宋体" w:cs="宋体"/>
          <w:bCs/>
          <w:color w:val="auto"/>
          <w:sz w:val="28"/>
          <w:highlight w:val="none"/>
        </w:rPr>
      </w:pPr>
      <w:r>
        <w:rPr>
          <w:rFonts w:hint="eastAsia" w:ascii="宋体" w:hAnsi="宋体" w:eastAsia="宋体" w:cs="宋体"/>
          <w:bCs/>
          <w:color w:val="auto"/>
          <w:sz w:val="28"/>
          <w:highlight w:val="none"/>
        </w:rPr>
        <w:t xml:space="preserve">                    </w:t>
      </w:r>
    </w:p>
    <w:p w14:paraId="68F8449D">
      <w:pPr>
        <w:adjustRightInd w:val="0"/>
        <w:snapToGrid w:val="0"/>
        <w:spacing w:before="48" w:beforeLines="20" w:after="48" w:afterLines="20" w:line="540" w:lineRule="exact"/>
        <w:rPr>
          <w:rFonts w:hint="eastAsia" w:ascii="宋体" w:hAnsi="宋体" w:eastAsia="宋体" w:cs="宋体"/>
          <w:b/>
          <w:color w:val="auto"/>
          <w:sz w:val="30"/>
          <w:szCs w:val="30"/>
          <w:highlight w:val="none"/>
        </w:rPr>
      </w:pPr>
    </w:p>
    <w:p w14:paraId="0F63E4A3">
      <w:pPr>
        <w:adjustRightInd w:val="0"/>
        <w:snapToGrid w:val="0"/>
        <w:spacing w:before="48" w:beforeLines="20" w:after="48" w:afterLines="20" w:line="540" w:lineRule="exact"/>
        <w:jc w:val="center"/>
        <w:rPr>
          <w:rFonts w:hint="default" w:ascii="宋体" w:hAnsi="宋体" w:eastAsia="宋体" w:cs="宋体"/>
          <w:b/>
          <w:bCs/>
          <w:color w:val="auto"/>
          <w:spacing w:val="-20"/>
          <w:sz w:val="36"/>
          <w:szCs w:val="36"/>
          <w:highlight w:val="none"/>
          <w:lang w:val="en-US" w:eastAsia="zh-CN"/>
        </w:rPr>
      </w:pPr>
      <w:r>
        <w:rPr>
          <w:rFonts w:hint="eastAsia" w:ascii="宋体" w:hAnsi="宋体" w:eastAsia="宋体" w:cs="宋体"/>
          <w:b/>
          <w:bCs/>
          <w:color w:val="auto"/>
          <w:spacing w:val="-20"/>
          <w:sz w:val="36"/>
          <w:szCs w:val="36"/>
          <w:highlight w:val="none"/>
        </w:rPr>
        <w:t>招</w:t>
      </w:r>
      <w:r>
        <w:rPr>
          <w:rFonts w:hint="eastAsia" w:ascii="宋体" w:hAnsi="宋体" w:eastAsia="宋体" w:cs="宋体"/>
          <w:b/>
          <w:bCs/>
          <w:color w:val="auto"/>
          <w:spacing w:val="-20"/>
          <w:sz w:val="36"/>
          <w:szCs w:val="36"/>
          <w:highlight w:val="none"/>
          <w:lang w:val="en-US" w:eastAsia="zh-CN"/>
        </w:rPr>
        <w:t xml:space="preserve">  </w:t>
      </w:r>
      <w:r>
        <w:rPr>
          <w:rFonts w:hint="eastAsia" w:ascii="宋体" w:hAnsi="宋体" w:eastAsia="宋体" w:cs="宋体"/>
          <w:b/>
          <w:bCs/>
          <w:color w:val="auto"/>
          <w:spacing w:val="-20"/>
          <w:sz w:val="36"/>
          <w:szCs w:val="36"/>
          <w:highlight w:val="none"/>
        </w:rPr>
        <w:t>标</w:t>
      </w:r>
      <w:r>
        <w:rPr>
          <w:rFonts w:hint="eastAsia" w:ascii="宋体" w:hAnsi="宋体" w:eastAsia="宋体" w:cs="宋体"/>
          <w:b/>
          <w:bCs/>
          <w:color w:val="auto"/>
          <w:spacing w:val="-20"/>
          <w:sz w:val="36"/>
          <w:szCs w:val="36"/>
          <w:highlight w:val="none"/>
          <w:lang w:val="en-US" w:eastAsia="zh-CN"/>
        </w:rPr>
        <w:t xml:space="preserve">  </w:t>
      </w:r>
      <w:r>
        <w:rPr>
          <w:rFonts w:hint="eastAsia" w:ascii="宋体" w:hAnsi="宋体" w:eastAsia="宋体" w:cs="宋体"/>
          <w:b/>
          <w:bCs/>
          <w:color w:val="auto"/>
          <w:spacing w:val="-20"/>
          <w:sz w:val="36"/>
          <w:szCs w:val="36"/>
          <w:highlight w:val="none"/>
          <w:lang w:eastAsia="zh-CN"/>
        </w:rPr>
        <w:t>人</w:t>
      </w:r>
      <w:r>
        <w:rPr>
          <w:rFonts w:hint="eastAsia" w:ascii="宋体" w:hAnsi="宋体" w:eastAsia="宋体" w:cs="宋体"/>
          <w:b/>
          <w:bCs/>
          <w:color w:val="auto"/>
          <w:spacing w:val="-20"/>
          <w:sz w:val="36"/>
          <w:szCs w:val="36"/>
          <w:highlight w:val="none"/>
        </w:rPr>
        <w:t>：</w:t>
      </w:r>
      <w:r>
        <w:rPr>
          <w:rFonts w:hint="eastAsia" w:ascii="宋体" w:hAnsi="宋体" w:eastAsia="宋体" w:cs="宋体"/>
          <w:b/>
          <w:bCs/>
          <w:color w:val="auto"/>
          <w:spacing w:val="-20"/>
          <w:sz w:val="36"/>
          <w:szCs w:val="36"/>
          <w:highlight w:val="none"/>
          <w:lang w:val="en-US" w:eastAsia="zh-CN"/>
        </w:rPr>
        <w:t>合肥市包河区乡村振兴投资有限公司</w:t>
      </w:r>
    </w:p>
    <w:p w14:paraId="19A668F5">
      <w:pPr>
        <w:tabs>
          <w:tab w:val="left" w:pos="4620"/>
        </w:tabs>
        <w:spacing w:line="440" w:lineRule="exact"/>
        <w:jc w:val="center"/>
        <w:rPr>
          <w:rFonts w:hint="eastAsia" w:ascii="宋体" w:hAnsi="宋体" w:eastAsia="宋体" w:cs="宋体"/>
          <w:bCs/>
          <w:color w:val="auto"/>
          <w:sz w:val="36"/>
          <w:highlight w:val="none"/>
          <w:lang w:val="en-US" w:eastAsia="zh-CN"/>
        </w:rPr>
      </w:pPr>
      <w:bookmarkStart w:id="0" w:name="_Toc273602338"/>
      <w:bookmarkStart w:id="1" w:name="_Toc245092758"/>
    </w:p>
    <w:p w14:paraId="0FB1A330">
      <w:pPr>
        <w:tabs>
          <w:tab w:val="left" w:pos="4620"/>
        </w:tabs>
        <w:spacing w:line="440" w:lineRule="exact"/>
        <w:ind w:firstLine="1928" w:firstLineChars="600"/>
        <w:jc w:val="both"/>
        <w:rPr>
          <w:rFonts w:hint="eastAsia" w:ascii="宋体" w:hAnsi="宋体" w:eastAsia="宋体" w:cs="宋体"/>
          <w:bCs/>
          <w:color w:val="auto"/>
          <w:sz w:val="36"/>
          <w:highlight w:val="none"/>
          <w:lang w:val="en-US" w:eastAsia="zh-CN"/>
        </w:rPr>
      </w:pPr>
      <w:r>
        <w:rPr>
          <w:rFonts w:hint="eastAsia" w:ascii="宋体" w:hAnsi="宋体" w:eastAsia="宋体" w:cs="宋体"/>
          <w:b/>
          <w:bCs/>
          <w:color w:val="auto"/>
          <w:spacing w:val="-20"/>
          <w:sz w:val="36"/>
          <w:szCs w:val="36"/>
          <w:highlight w:val="none"/>
          <w:lang w:val="en-US" w:eastAsia="zh-CN"/>
        </w:rPr>
        <w:t>日      期：</w:t>
      </w:r>
      <w:r>
        <w:rPr>
          <w:rFonts w:hint="eastAsia" w:ascii="宋体" w:hAnsi="宋体" w:eastAsia="宋体" w:cs="宋体"/>
          <w:b/>
          <w:bCs w:val="0"/>
          <w:color w:val="auto"/>
          <w:sz w:val="36"/>
          <w:highlight w:val="none"/>
          <w:lang w:val="en-US" w:eastAsia="zh-CN"/>
        </w:rPr>
        <w:t>202</w:t>
      </w:r>
      <w:r>
        <w:rPr>
          <w:rFonts w:hint="eastAsia" w:ascii="宋体" w:hAnsi="宋体" w:cs="宋体"/>
          <w:b/>
          <w:bCs w:val="0"/>
          <w:color w:val="auto"/>
          <w:sz w:val="36"/>
          <w:highlight w:val="none"/>
          <w:lang w:val="en-US" w:eastAsia="zh-CN"/>
        </w:rPr>
        <w:t>6</w:t>
      </w:r>
      <w:r>
        <w:rPr>
          <w:rFonts w:hint="eastAsia" w:ascii="宋体" w:hAnsi="宋体" w:eastAsia="宋体" w:cs="宋体"/>
          <w:b/>
          <w:bCs w:val="0"/>
          <w:color w:val="auto"/>
          <w:sz w:val="36"/>
          <w:highlight w:val="none"/>
          <w:lang w:val="en-US" w:eastAsia="zh-CN"/>
        </w:rPr>
        <w:t>年</w:t>
      </w:r>
      <w:r>
        <w:rPr>
          <w:rFonts w:hint="eastAsia" w:ascii="宋体" w:hAnsi="宋体" w:eastAsia="宋体" w:cs="宋体"/>
          <w:b/>
          <w:bCs w:val="0"/>
          <w:color w:val="auto"/>
          <w:sz w:val="36"/>
          <w:highlight w:val="none"/>
          <w:u w:val="single"/>
          <w:lang w:val="en-US" w:eastAsia="zh-CN"/>
        </w:rPr>
        <w:t xml:space="preserve"> </w:t>
      </w:r>
      <w:r>
        <w:rPr>
          <w:rFonts w:hint="eastAsia" w:ascii="宋体" w:hAnsi="宋体" w:cs="宋体"/>
          <w:b/>
          <w:bCs w:val="0"/>
          <w:color w:val="auto"/>
          <w:sz w:val="36"/>
          <w:highlight w:val="none"/>
          <w:u w:val="single"/>
          <w:lang w:val="en-US" w:eastAsia="zh-CN"/>
        </w:rPr>
        <w:t>6</w:t>
      </w:r>
      <w:r>
        <w:rPr>
          <w:rFonts w:hint="eastAsia" w:ascii="宋体" w:hAnsi="宋体" w:eastAsia="宋体" w:cs="宋体"/>
          <w:b/>
          <w:bCs w:val="0"/>
          <w:color w:val="auto"/>
          <w:sz w:val="36"/>
          <w:highlight w:val="none"/>
          <w:u w:val="single"/>
          <w:lang w:val="en-US" w:eastAsia="zh-CN"/>
        </w:rPr>
        <w:t xml:space="preserve"> </w:t>
      </w:r>
      <w:r>
        <w:rPr>
          <w:rFonts w:hint="eastAsia" w:ascii="宋体" w:hAnsi="宋体" w:eastAsia="宋体" w:cs="宋体"/>
          <w:b/>
          <w:bCs w:val="0"/>
          <w:color w:val="auto"/>
          <w:sz w:val="36"/>
          <w:highlight w:val="none"/>
          <w:lang w:val="en-US" w:eastAsia="zh-CN"/>
        </w:rPr>
        <w:t>月</w:t>
      </w:r>
    </w:p>
    <w:p w14:paraId="3E52D93D">
      <w:pPr>
        <w:tabs>
          <w:tab w:val="left" w:pos="4620"/>
        </w:tabs>
        <w:spacing w:line="440" w:lineRule="exact"/>
        <w:jc w:val="center"/>
        <w:rPr>
          <w:rFonts w:hint="eastAsia" w:eastAsia="幼圆"/>
          <w:bCs/>
          <w:color w:val="auto"/>
          <w:sz w:val="36"/>
          <w:highlight w:val="none"/>
          <w:lang w:val="en-US" w:eastAsia="zh-CN"/>
        </w:rPr>
      </w:pPr>
    </w:p>
    <w:p w14:paraId="3744797D">
      <w:pPr>
        <w:tabs>
          <w:tab w:val="left" w:pos="4620"/>
        </w:tabs>
        <w:spacing w:line="440" w:lineRule="exact"/>
        <w:jc w:val="center"/>
        <w:rPr>
          <w:rFonts w:hint="eastAsia" w:eastAsia="幼圆"/>
          <w:bCs/>
          <w:color w:val="auto"/>
          <w:sz w:val="36"/>
          <w:highlight w:val="none"/>
          <w:lang w:val="en-US" w:eastAsia="zh-CN"/>
        </w:rPr>
      </w:pPr>
    </w:p>
    <w:p w14:paraId="3FA67E0D">
      <w:pPr>
        <w:tabs>
          <w:tab w:val="left" w:pos="4620"/>
        </w:tabs>
        <w:spacing w:line="440" w:lineRule="exact"/>
        <w:jc w:val="center"/>
        <w:rPr>
          <w:rFonts w:hint="eastAsia" w:eastAsia="幼圆"/>
          <w:bCs/>
          <w:color w:val="auto"/>
          <w:sz w:val="36"/>
          <w:highlight w:val="none"/>
          <w:lang w:val="en-US" w:eastAsia="zh-CN"/>
        </w:rPr>
      </w:pPr>
    </w:p>
    <w:bookmarkEnd w:id="0"/>
    <w:bookmarkEnd w:id="1"/>
    <w:p w14:paraId="1368302C">
      <w:pPr>
        <w:pStyle w:val="3"/>
        <w:keepNext/>
        <w:keepLines/>
        <w:pageBreakBefore/>
        <w:widowControl w:val="0"/>
        <w:kinsoku/>
        <w:wordWrap/>
        <w:overflowPunct/>
        <w:topLinePunct w:val="0"/>
        <w:autoSpaceDE/>
        <w:autoSpaceDN/>
        <w:bidi w:val="0"/>
        <w:adjustRightInd/>
        <w:snapToGrid/>
        <w:spacing w:before="0" w:after="0" w:line="240" w:lineRule="auto"/>
        <w:ind w:firstLine="0"/>
        <w:textAlignment w:val="auto"/>
        <w:rPr>
          <w:rFonts w:hint="eastAsia"/>
          <w:color w:val="auto"/>
          <w:highlight w:val="none"/>
        </w:rPr>
      </w:pPr>
      <w:bookmarkStart w:id="2" w:name="_Hlt533241375"/>
      <w:bookmarkEnd w:id="2"/>
      <w:bookmarkStart w:id="3" w:name="_Hlt526418134"/>
      <w:bookmarkEnd w:id="3"/>
      <w:bookmarkStart w:id="4" w:name="_Hlt519045295"/>
      <w:bookmarkEnd w:id="4"/>
      <w:bookmarkStart w:id="5" w:name="_Toc273602339"/>
      <w:bookmarkStart w:id="6" w:name="_Toc245092759"/>
      <w:bookmarkStart w:id="7" w:name="_Toc328559326"/>
      <w:r>
        <w:rPr>
          <w:rFonts w:hint="eastAsia" w:ascii="宋体" w:hAnsi="宋体" w:eastAsia="宋体"/>
          <w:color w:val="auto"/>
          <w:highlight w:val="none"/>
        </w:rPr>
        <w:t xml:space="preserve">第一章 </w:t>
      </w:r>
      <w:bookmarkEnd w:id="5"/>
      <w:bookmarkEnd w:id="6"/>
      <w:bookmarkEnd w:id="7"/>
      <w:r>
        <w:rPr>
          <w:rFonts w:hint="eastAsia" w:ascii="宋体" w:hAnsi="宋体" w:eastAsia="宋体"/>
          <w:color w:val="auto"/>
          <w:highlight w:val="none"/>
        </w:rPr>
        <w:t>招标公告</w:t>
      </w:r>
    </w:p>
    <w:p w14:paraId="152DB51B">
      <w:pPr>
        <w:autoSpaceDE w:val="0"/>
        <w:autoSpaceDN w:val="0"/>
        <w:adjustRightInd w:val="0"/>
        <w:spacing w:line="360" w:lineRule="auto"/>
        <w:ind w:firstLine="200"/>
        <w:jc w:val="left"/>
        <w:rPr>
          <w:rFonts w:hint="eastAsia" w:ascii="宋体" w:hAnsi="宋体"/>
          <w:color w:val="auto"/>
          <w:sz w:val="24"/>
          <w:szCs w:val="18"/>
          <w:highlight w:val="none"/>
        </w:rPr>
      </w:pPr>
      <w:r>
        <w:rPr>
          <w:rFonts w:hint="eastAsia" w:ascii="宋体" w:hAnsi="宋体"/>
          <w:color w:val="auto"/>
          <w:sz w:val="24"/>
          <w:szCs w:val="18"/>
          <w:highlight w:val="none"/>
        </w:rPr>
        <w:t xml:space="preserve">  </w:t>
      </w:r>
      <w:r>
        <w:rPr>
          <w:rFonts w:hint="eastAsia" w:ascii="宋体" w:hAnsi="宋体"/>
          <w:color w:val="auto"/>
          <w:sz w:val="24"/>
          <w:szCs w:val="18"/>
          <w:highlight w:val="none"/>
          <w:lang w:eastAsia="zh-CN"/>
        </w:rPr>
        <w:t>合肥市包河区乡村振兴投资有限公司</w:t>
      </w:r>
      <w:r>
        <w:rPr>
          <w:rFonts w:hint="eastAsia" w:ascii="宋体" w:hAnsi="宋体"/>
          <w:color w:val="auto"/>
          <w:sz w:val="24"/>
          <w:szCs w:val="18"/>
          <w:highlight w:val="none"/>
        </w:rPr>
        <w:t>拟对“</w:t>
      </w:r>
      <w:r>
        <w:rPr>
          <w:rFonts w:hint="eastAsia" w:ascii="宋体" w:hAnsi="宋体"/>
          <w:color w:val="auto"/>
          <w:kern w:val="0"/>
          <w:sz w:val="24"/>
          <w:highlight w:val="none"/>
          <w:u w:val="single"/>
          <w:lang w:val="en-US" w:eastAsia="zh-CN"/>
        </w:rPr>
        <w:t>磨滩旅游度假区游客服务中心西广场电动遮阳天幕工程</w:t>
      </w:r>
      <w:r>
        <w:rPr>
          <w:rFonts w:hint="eastAsia" w:ascii="宋体" w:hAnsi="宋体"/>
          <w:color w:val="auto"/>
          <w:sz w:val="24"/>
          <w:szCs w:val="18"/>
          <w:highlight w:val="none"/>
          <w:u w:val="single"/>
          <w:lang w:val="en-US" w:eastAsia="zh-CN"/>
        </w:rPr>
        <w:t xml:space="preserve"> </w:t>
      </w:r>
      <w:r>
        <w:rPr>
          <w:rFonts w:hint="eastAsia" w:ascii="宋体" w:hAnsi="宋体"/>
          <w:color w:val="auto"/>
          <w:sz w:val="24"/>
          <w:szCs w:val="18"/>
          <w:highlight w:val="none"/>
        </w:rPr>
        <w:t>”项目进行国内公开招标，欢迎具备条件的国内投标人参加投标。</w:t>
      </w:r>
    </w:p>
    <w:p w14:paraId="4902CDD2">
      <w:pPr>
        <w:autoSpaceDE w:val="0"/>
        <w:autoSpaceDN w:val="0"/>
        <w:adjustRightInd w:val="0"/>
        <w:spacing w:before="120" w:beforeLines="50" w:line="360" w:lineRule="auto"/>
        <w:ind w:firstLine="200"/>
        <w:jc w:val="left"/>
        <w:rPr>
          <w:rFonts w:hint="eastAsia" w:ascii="宋体" w:hAnsi="宋体"/>
          <w:b/>
          <w:color w:val="auto"/>
          <w:kern w:val="0"/>
          <w:sz w:val="24"/>
          <w:highlight w:val="none"/>
          <w:lang w:val="zh-CN"/>
        </w:rPr>
      </w:pPr>
      <w:r>
        <w:rPr>
          <w:rFonts w:hint="eastAsia" w:ascii="宋体" w:hAnsi="宋体"/>
          <w:b/>
          <w:color w:val="auto"/>
          <w:kern w:val="0"/>
          <w:sz w:val="24"/>
          <w:highlight w:val="none"/>
          <w:lang w:val="zh-CN"/>
        </w:rPr>
        <w:t>一、项目名称及内容：</w:t>
      </w:r>
    </w:p>
    <w:p w14:paraId="5F810975">
      <w:pPr>
        <w:autoSpaceDE w:val="0"/>
        <w:autoSpaceDN w:val="0"/>
        <w:adjustRightInd w:val="0"/>
        <w:spacing w:line="360" w:lineRule="auto"/>
        <w:ind w:firstLine="200"/>
        <w:jc w:val="left"/>
        <w:rPr>
          <w:rFonts w:hint="eastAsia" w:ascii="宋体" w:hAnsi="宋体" w:eastAsia="宋体"/>
          <w:color w:val="auto"/>
          <w:kern w:val="0"/>
          <w:sz w:val="24"/>
          <w:highlight w:val="none"/>
          <w:lang w:val="en-US" w:eastAsia="zh-CN"/>
        </w:rPr>
      </w:pPr>
      <w:r>
        <w:rPr>
          <w:rFonts w:hint="eastAsia" w:ascii="宋体" w:hAnsi="宋体"/>
          <w:color w:val="auto"/>
          <w:kern w:val="0"/>
          <w:sz w:val="24"/>
          <w:highlight w:val="none"/>
          <w:lang w:val="zh-CN"/>
        </w:rPr>
        <w:t>1、项目编号：</w:t>
      </w:r>
      <w:r>
        <w:rPr>
          <w:rFonts w:hint="eastAsia" w:ascii="宋体" w:hAnsi="宋体"/>
          <w:color w:val="auto"/>
          <w:kern w:val="0"/>
          <w:sz w:val="24"/>
          <w:highlight w:val="none"/>
          <w:lang w:val="en-US" w:eastAsia="zh-CN"/>
        </w:rPr>
        <w:t>/</w:t>
      </w:r>
    </w:p>
    <w:p w14:paraId="20A13A2D">
      <w:pPr>
        <w:autoSpaceDE w:val="0"/>
        <w:autoSpaceDN w:val="0"/>
        <w:adjustRightInd w:val="0"/>
        <w:spacing w:line="360" w:lineRule="auto"/>
        <w:ind w:firstLine="200"/>
        <w:jc w:val="left"/>
        <w:rPr>
          <w:rFonts w:hint="eastAsia" w:ascii="宋体" w:hAnsi="宋体"/>
          <w:color w:val="auto"/>
          <w:kern w:val="0"/>
          <w:sz w:val="24"/>
          <w:highlight w:val="none"/>
          <w:u w:val="single"/>
          <w:lang w:val="en-US" w:eastAsia="zh-CN"/>
        </w:rPr>
      </w:pPr>
      <w:r>
        <w:rPr>
          <w:rFonts w:hint="eastAsia" w:ascii="宋体" w:hAnsi="宋体"/>
          <w:color w:val="auto"/>
          <w:kern w:val="0"/>
          <w:sz w:val="24"/>
          <w:highlight w:val="none"/>
          <w:lang w:val="zh-CN"/>
        </w:rPr>
        <w:t>2、项目名称：</w:t>
      </w:r>
      <w:r>
        <w:rPr>
          <w:rFonts w:hint="eastAsia" w:ascii="宋体" w:hAnsi="宋体"/>
          <w:color w:val="auto"/>
          <w:kern w:val="0"/>
          <w:sz w:val="24"/>
          <w:highlight w:val="none"/>
          <w:u w:val="single"/>
          <w:lang w:val="en-US" w:eastAsia="zh-CN"/>
        </w:rPr>
        <w:t>磨滩旅游度假区游客服务中心西广场电动遮阳天幕工程</w:t>
      </w:r>
    </w:p>
    <w:p w14:paraId="47ABFB3E">
      <w:pPr>
        <w:autoSpaceDE w:val="0"/>
        <w:autoSpaceDN w:val="0"/>
        <w:adjustRightInd w:val="0"/>
        <w:spacing w:line="360" w:lineRule="auto"/>
        <w:ind w:firstLine="200"/>
        <w:jc w:val="left"/>
        <w:rPr>
          <w:rFonts w:hint="default" w:ascii="宋体" w:hAnsi="宋体"/>
          <w:b w:val="0"/>
          <w:bCs/>
          <w:color w:val="auto"/>
          <w:sz w:val="24"/>
          <w:szCs w:val="18"/>
          <w:highlight w:val="none"/>
          <w:lang w:val="en-US" w:eastAsia="zh-CN"/>
        </w:rPr>
      </w:pPr>
      <w:r>
        <w:rPr>
          <w:rFonts w:hint="eastAsia" w:ascii="宋体" w:hAnsi="宋体"/>
          <w:b w:val="0"/>
          <w:bCs/>
          <w:color w:val="auto"/>
          <w:sz w:val="24"/>
          <w:szCs w:val="18"/>
          <w:highlight w:val="none"/>
          <w:lang w:val="en-US" w:eastAsia="zh-CN"/>
        </w:rPr>
        <w:t>3、项目地点：合肥市包河区磨滩旅游度假区</w:t>
      </w:r>
    </w:p>
    <w:p w14:paraId="74E2911A">
      <w:pPr>
        <w:autoSpaceDE w:val="0"/>
        <w:autoSpaceDN w:val="0"/>
        <w:adjustRightInd w:val="0"/>
        <w:spacing w:line="360" w:lineRule="auto"/>
        <w:ind w:firstLine="200"/>
        <w:jc w:val="left"/>
        <w:rPr>
          <w:rFonts w:hint="default" w:ascii="宋体" w:hAnsi="宋体" w:eastAsia="宋体"/>
          <w:color w:val="auto"/>
          <w:sz w:val="24"/>
          <w:szCs w:val="18"/>
          <w:highlight w:val="none"/>
          <w:lang w:val="en-US" w:eastAsia="zh-CN"/>
        </w:rPr>
      </w:pPr>
      <w:r>
        <w:rPr>
          <w:rFonts w:hint="eastAsia" w:ascii="宋体" w:hAnsi="宋体"/>
          <w:color w:val="auto"/>
          <w:sz w:val="24"/>
          <w:szCs w:val="18"/>
          <w:highlight w:val="none"/>
          <w:lang w:val="en-US" w:eastAsia="zh-CN"/>
        </w:rPr>
        <w:t>4</w:t>
      </w:r>
      <w:r>
        <w:rPr>
          <w:rFonts w:hint="eastAsia" w:ascii="宋体" w:hAnsi="宋体"/>
          <w:color w:val="auto"/>
          <w:sz w:val="24"/>
          <w:szCs w:val="18"/>
          <w:highlight w:val="none"/>
        </w:rPr>
        <w:t>、招标</w:t>
      </w:r>
      <w:r>
        <w:rPr>
          <w:rFonts w:hint="eastAsia" w:ascii="宋体" w:hAnsi="宋体"/>
          <w:color w:val="auto"/>
          <w:sz w:val="24"/>
          <w:szCs w:val="18"/>
          <w:highlight w:val="none"/>
          <w:lang w:eastAsia="zh-CN"/>
        </w:rPr>
        <w:t>人</w:t>
      </w:r>
      <w:r>
        <w:rPr>
          <w:rFonts w:hint="eastAsia" w:ascii="宋体" w:hAnsi="宋体"/>
          <w:color w:val="auto"/>
          <w:sz w:val="24"/>
          <w:szCs w:val="18"/>
          <w:highlight w:val="none"/>
        </w:rPr>
        <w:t>：合肥市包河区乡村振兴投资有限公司</w:t>
      </w:r>
    </w:p>
    <w:p w14:paraId="2DE152E7">
      <w:pPr>
        <w:autoSpaceDE w:val="0"/>
        <w:autoSpaceDN w:val="0"/>
        <w:adjustRightInd w:val="0"/>
        <w:spacing w:line="360" w:lineRule="auto"/>
        <w:ind w:firstLine="200"/>
        <w:jc w:val="left"/>
        <w:rPr>
          <w:rFonts w:hint="eastAsia" w:ascii="宋体" w:hAnsi="宋体"/>
          <w:color w:val="auto"/>
          <w:kern w:val="0"/>
          <w:sz w:val="24"/>
          <w:highlight w:val="none"/>
          <w:lang w:val="zh-CN"/>
        </w:rPr>
      </w:pPr>
      <w:r>
        <w:rPr>
          <w:rFonts w:hint="eastAsia" w:ascii="宋体" w:hAnsi="宋体"/>
          <w:color w:val="auto"/>
          <w:kern w:val="0"/>
          <w:sz w:val="24"/>
          <w:highlight w:val="none"/>
          <w:lang w:val="en-US" w:eastAsia="zh-CN"/>
        </w:rPr>
        <w:t>5</w:t>
      </w:r>
      <w:r>
        <w:rPr>
          <w:rFonts w:hint="eastAsia" w:ascii="宋体" w:hAnsi="宋体"/>
          <w:color w:val="auto"/>
          <w:kern w:val="0"/>
          <w:sz w:val="24"/>
          <w:highlight w:val="none"/>
          <w:lang w:val="zh-CN"/>
        </w:rPr>
        <w:t>、项目业主：</w:t>
      </w:r>
      <w:r>
        <w:rPr>
          <w:rFonts w:hint="eastAsia" w:ascii="宋体" w:hAnsi="宋体"/>
          <w:color w:val="auto"/>
          <w:sz w:val="24"/>
          <w:szCs w:val="18"/>
          <w:highlight w:val="none"/>
        </w:rPr>
        <w:t>合肥市包河区乡村振兴投资有限公司</w:t>
      </w:r>
    </w:p>
    <w:p w14:paraId="39D62EBD">
      <w:pPr>
        <w:autoSpaceDE w:val="0"/>
        <w:autoSpaceDN w:val="0"/>
        <w:adjustRightInd w:val="0"/>
        <w:spacing w:line="360" w:lineRule="auto"/>
        <w:ind w:firstLine="240" w:firstLineChars="100"/>
        <w:jc w:val="left"/>
        <w:rPr>
          <w:rFonts w:hint="eastAsia" w:ascii="宋体" w:hAnsi="宋体" w:eastAsia="宋体"/>
          <w:color w:val="auto"/>
          <w:sz w:val="24"/>
          <w:szCs w:val="18"/>
          <w:highlight w:val="none"/>
          <w:lang w:eastAsia="zh-CN"/>
        </w:rPr>
      </w:pPr>
      <w:r>
        <w:rPr>
          <w:rFonts w:hint="eastAsia" w:ascii="宋体" w:hAnsi="宋体"/>
          <w:color w:val="auto"/>
          <w:kern w:val="0"/>
          <w:sz w:val="24"/>
          <w:highlight w:val="none"/>
          <w:lang w:val="en-US" w:eastAsia="zh-CN"/>
        </w:rPr>
        <w:t>6</w:t>
      </w:r>
      <w:r>
        <w:rPr>
          <w:rFonts w:hint="eastAsia" w:ascii="宋体" w:hAnsi="宋体"/>
          <w:color w:val="auto"/>
          <w:kern w:val="0"/>
          <w:sz w:val="24"/>
          <w:highlight w:val="none"/>
          <w:lang w:val="zh-CN"/>
        </w:rPr>
        <w:t>、</w:t>
      </w:r>
      <w:r>
        <w:rPr>
          <w:rFonts w:hint="eastAsia" w:ascii="宋体" w:hAnsi="宋体"/>
          <w:color w:val="auto"/>
          <w:sz w:val="24"/>
          <w:szCs w:val="18"/>
          <w:highlight w:val="none"/>
        </w:rPr>
        <w:t>项目</w:t>
      </w:r>
      <w:r>
        <w:rPr>
          <w:rFonts w:hint="eastAsia" w:ascii="宋体" w:hAnsi="宋体" w:eastAsia="宋体" w:cs="Times New Roman"/>
          <w:color w:val="auto"/>
          <w:sz w:val="24"/>
          <w:szCs w:val="18"/>
          <w:highlight w:val="none"/>
          <w:lang w:eastAsia="zh-CN"/>
        </w:rPr>
        <w:t>概况：</w:t>
      </w:r>
      <w:r>
        <w:rPr>
          <w:rFonts w:hint="eastAsia" w:ascii="宋体" w:hAnsi="宋体" w:cs="Times New Roman"/>
          <w:color w:val="auto"/>
          <w:sz w:val="24"/>
          <w:szCs w:val="18"/>
          <w:highlight w:val="none"/>
          <w:lang w:val="en-US" w:eastAsia="zh-CN"/>
        </w:rPr>
        <w:t>磨滩旅游度假区游客服务中心西广场电动遮阳天幕工程</w:t>
      </w:r>
      <w:r>
        <w:rPr>
          <w:rFonts w:hint="eastAsia" w:ascii="宋体" w:hAnsi="宋体" w:eastAsia="宋体" w:cs="Times New Roman"/>
          <w:color w:val="auto"/>
          <w:sz w:val="24"/>
          <w:szCs w:val="18"/>
          <w:highlight w:val="none"/>
          <w:lang w:val="en-US" w:eastAsia="zh-CN"/>
        </w:rPr>
        <w:t>位于磨滩</w:t>
      </w:r>
      <w:r>
        <w:rPr>
          <w:rFonts w:hint="eastAsia" w:ascii="宋体" w:hAnsi="宋体" w:cs="Times New Roman"/>
          <w:color w:val="auto"/>
          <w:sz w:val="24"/>
          <w:szCs w:val="18"/>
          <w:highlight w:val="none"/>
          <w:lang w:val="en-US" w:eastAsia="zh-CN"/>
        </w:rPr>
        <w:t>旅游度假区P1停车场入口处</w:t>
      </w:r>
      <w:r>
        <w:rPr>
          <w:rFonts w:hint="eastAsia" w:ascii="宋体" w:hAnsi="宋体" w:eastAsia="宋体" w:cs="Times New Roman"/>
          <w:color w:val="auto"/>
          <w:sz w:val="24"/>
          <w:szCs w:val="18"/>
          <w:highlight w:val="none"/>
          <w:lang w:val="en-US" w:eastAsia="zh-CN"/>
        </w:rPr>
        <w:t>区域，项目占地面积约530平方米，天幕安装高度约7米。主要采购并安装电动遮阳天幕系统，包含天幕主体结构、电机驱动装置、智能控制系统、配套辅材及现场安装调试等内容。项目建成后可优化广场休憩环境，提升游客体验及度假区服务品质。本次招标范围含设备采购、运输、安装、调试、验收及质保期服务，现公开招标择优确定供货及安装单位。</w:t>
      </w:r>
      <w:r>
        <w:rPr>
          <w:rFonts w:hint="eastAsia" w:ascii="宋体" w:hAnsi="宋体"/>
          <w:color w:val="auto"/>
          <w:sz w:val="24"/>
          <w:szCs w:val="18"/>
          <w:highlight w:val="none"/>
          <w:lang w:eastAsia="zh-CN"/>
        </w:rPr>
        <w:t>具体招标范围详见招标文件、施工图、招标补疑等文件。</w:t>
      </w:r>
    </w:p>
    <w:p w14:paraId="75477B7B">
      <w:pPr>
        <w:autoSpaceDE w:val="0"/>
        <w:autoSpaceDN w:val="0"/>
        <w:adjustRightInd w:val="0"/>
        <w:spacing w:line="360" w:lineRule="auto"/>
        <w:ind w:left="210" w:leftChars="100"/>
        <w:jc w:val="left"/>
        <w:rPr>
          <w:rFonts w:hint="default" w:ascii="宋体" w:hAnsi="宋体"/>
          <w:color w:val="auto"/>
          <w:sz w:val="24"/>
          <w:szCs w:val="18"/>
          <w:highlight w:val="none"/>
          <w:lang w:val="en-US" w:eastAsia="zh-CN"/>
        </w:rPr>
      </w:pPr>
      <w:r>
        <w:rPr>
          <w:rFonts w:hint="eastAsia" w:ascii="宋体" w:hAnsi="宋体"/>
          <w:color w:val="auto"/>
          <w:sz w:val="24"/>
          <w:szCs w:val="18"/>
          <w:highlight w:val="none"/>
          <w:lang w:val="en-US" w:eastAsia="zh-CN"/>
        </w:rPr>
        <w:t>7、项目概算：14万元</w:t>
      </w:r>
    </w:p>
    <w:p w14:paraId="003370DB">
      <w:pPr>
        <w:autoSpaceDE w:val="0"/>
        <w:autoSpaceDN w:val="0"/>
        <w:adjustRightInd w:val="0"/>
        <w:spacing w:line="360" w:lineRule="auto"/>
        <w:ind w:left="210" w:leftChars="100"/>
        <w:jc w:val="left"/>
        <w:rPr>
          <w:rFonts w:hint="eastAsia" w:ascii="宋体" w:hAnsi="宋体"/>
          <w:color w:val="auto"/>
          <w:sz w:val="24"/>
          <w:szCs w:val="18"/>
          <w:highlight w:val="none"/>
          <w:lang w:val="en-US" w:eastAsia="zh-CN"/>
        </w:rPr>
      </w:pPr>
      <w:r>
        <w:rPr>
          <w:rFonts w:hint="eastAsia" w:ascii="宋体" w:hAnsi="宋体"/>
          <w:color w:val="auto"/>
          <w:sz w:val="24"/>
          <w:szCs w:val="18"/>
          <w:highlight w:val="none"/>
          <w:lang w:val="en-US" w:eastAsia="zh-CN"/>
        </w:rPr>
        <w:t>8、项目类别：工程施工类</w:t>
      </w:r>
    </w:p>
    <w:p w14:paraId="23E44AF0">
      <w:pPr>
        <w:autoSpaceDE w:val="0"/>
        <w:autoSpaceDN w:val="0"/>
        <w:adjustRightInd w:val="0"/>
        <w:spacing w:line="360" w:lineRule="auto"/>
        <w:ind w:left="210" w:leftChars="100"/>
        <w:jc w:val="left"/>
        <w:rPr>
          <w:rFonts w:hint="default" w:ascii="宋体" w:hAnsi="宋体"/>
          <w:color w:val="auto"/>
          <w:sz w:val="24"/>
          <w:szCs w:val="18"/>
          <w:highlight w:val="none"/>
          <w:u w:val="none"/>
          <w:lang w:val="en-US" w:eastAsia="zh-CN"/>
        </w:rPr>
      </w:pPr>
      <w:r>
        <w:rPr>
          <w:rFonts w:hint="eastAsia" w:ascii="宋体" w:hAnsi="宋体"/>
          <w:color w:val="auto"/>
          <w:sz w:val="24"/>
          <w:szCs w:val="18"/>
          <w:highlight w:val="none"/>
          <w:lang w:val="en-US" w:eastAsia="zh-CN"/>
        </w:rPr>
        <w:t>9、标段划分：本项目共划分</w:t>
      </w:r>
      <w:r>
        <w:rPr>
          <w:rFonts w:hint="eastAsia" w:ascii="宋体" w:hAnsi="宋体"/>
          <w:color w:val="auto"/>
          <w:sz w:val="24"/>
          <w:szCs w:val="18"/>
          <w:highlight w:val="none"/>
          <w:u w:val="single"/>
          <w:lang w:val="en-US" w:eastAsia="zh-CN"/>
        </w:rPr>
        <w:t>1</w:t>
      </w:r>
      <w:r>
        <w:rPr>
          <w:rFonts w:hint="eastAsia" w:ascii="宋体" w:hAnsi="宋体"/>
          <w:color w:val="auto"/>
          <w:sz w:val="24"/>
          <w:szCs w:val="18"/>
          <w:highlight w:val="none"/>
          <w:u w:val="none"/>
          <w:lang w:val="en-US" w:eastAsia="zh-CN"/>
        </w:rPr>
        <w:t>个标段</w:t>
      </w:r>
    </w:p>
    <w:p w14:paraId="7B89D595">
      <w:pPr>
        <w:autoSpaceDE w:val="0"/>
        <w:autoSpaceDN w:val="0"/>
        <w:adjustRightInd w:val="0"/>
        <w:spacing w:line="360" w:lineRule="auto"/>
        <w:ind w:firstLine="200"/>
        <w:jc w:val="left"/>
        <w:rPr>
          <w:rFonts w:hint="eastAsia" w:ascii="宋体" w:hAnsi="宋体"/>
          <w:b/>
          <w:bCs/>
          <w:color w:val="auto"/>
          <w:sz w:val="24"/>
          <w:szCs w:val="24"/>
          <w:highlight w:val="none"/>
        </w:rPr>
      </w:pPr>
      <w:r>
        <w:rPr>
          <w:rFonts w:hint="eastAsia" w:ascii="宋体" w:hAnsi="宋体"/>
          <w:b/>
          <w:bCs/>
          <w:color w:val="auto"/>
          <w:sz w:val="24"/>
          <w:szCs w:val="24"/>
          <w:highlight w:val="none"/>
        </w:rPr>
        <w:t>二、投标人资格</w:t>
      </w:r>
    </w:p>
    <w:p w14:paraId="1A8A56FF">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eastAsia" w:ascii="宋体" w:hAnsi="宋体"/>
          <w:color w:val="auto"/>
          <w:sz w:val="24"/>
          <w:szCs w:val="24"/>
        </w:rPr>
      </w:pPr>
      <w:r>
        <w:rPr>
          <w:rFonts w:hint="eastAsia" w:ascii="宋体" w:hAnsi="宋体"/>
          <w:color w:val="auto"/>
          <w:sz w:val="24"/>
          <w:szCs w:val="24"/>
        </w:rPr>
        <w:t>1.投标人须满足以下资质：</w:t>
      </w:r>
    </w:p>
    <w:p w14:paraId="6B6F388B">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eastAsia" w:ascii="宋体" w:hAnsi="宋体"/>
          <w:color w:val="auto"/>
          <w:sz w:val="24"/>
          <w:szCs w:val="24"/>
        </w:rPr>
      </w:pPr>
      <w:r>
        <w:rPr>
          <w:rFonts w:hint="eastAsia" w:ascii="宋体" w:hAnsi="宋体"/>
          <w:color w:val="auto"/>
          <w:sz w:val="24"/>
          <w:szCs w:val="24"/>
        </w:rPr>
        <w:t>（1）具有独立承担民事责任的能力；</w:t>
      </w:r>
    </w:p>
    <w:p w14:paraId="11FC5EF0">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宋体" w:hAnsi="宋体" w:eastAsia="宋体"/>
          <w:color w:val="auto"/>
          <w:sz w:val="24"/>
          <w:szCs w:val="24"/>
          <w:lang w:val="en-US" w:eastAsia="zh-CN"/>
        </w:rPr>
      </w:pPr>
      <w:r>
        <w:rPr>
          <w:rFonts w:hint="eastAsia"/>
          <w:color w:val="auto"/>
          <w:sz w:val="24"/>
          <w:szCs w:val="24"/>
          <w:lang w:val="en-US" w:eastAsia="zh-CN"/>
        </w:rPr>
        <w:t>2.项目负责人要求：具有机电专业中级职称；</w:t>
      </w:r>
    </w:p>
    <w:p w14:paraId="3593DD8E">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eastAsia" w:ascii="宋体" w:hAnsi="宋体"/>
          <w:color w:val="auto"/>
          <w:sz w:val="24"/>
          <w:szCs w:val="24"/>
        </w:rPr>
      </w:pPr>
      <w:r>
        <w:rPr>
          <w:rFonts w:hint="eastAsia"/>
          <w:color w:val="auto"/>
          <w:sz w:val="24"/>
          <w:szCs w:val="24"/>
          <w:lang w:val="en-US" w:eastAsia="zh-CN"/>
        </w:rPr>
        <w:t>3</w:t>
      </w:r>
      <w:r>
        <w:rPr>
          <w:rFonts w:hint="eastAsia" w:ascii="宋体" w:hAnsi="宋体"/>
          <w:color w:val="auto"/>
          <w:sz w:val="24"/>
          <w:szCs w:val="24"/>
        </w:rPr>
        <w:t>.投标人业绩要求：自202</w:t>
      </w:r>
      <w:r>
        <w:rPr>
          <w:rFonts w:hint="eastAsia"/>
          <w:color w:val="auto"/>
          <w:sz w:val="24"/>
          <w:szCs w:val="24"/>
          <w:lang w:val="en-US" w:eastAsia="zh-CN"/>
        </w:rPr>
        <w:t>1</w:t>
      </w:r>
      <w:r>
        <w:rPr>
          <w:rFonts w:hint="eastAsia" w:ascii="宋体" w:hAnsi="宋体"/>
          <w:color w:val="auto"/>
          <w:sz w:val="24"/>
          <w:szCs w:val="24"/>
        </w:rPr>
        <w:t>年1月1日以来（以竣工验收时间为准），投标人在中华人民共和国境内（不含港澳台）须具备单个合同金额不低于</w:t>
      </w:r>
      <w:r>
        <w:rPr>
          <w:rFonts w:hint="eastAsia"/>
          <w:color w:val="auto"/>
          <w:sz w:val="24"/>
          <w:szCs w:val="24"/>
          <w:lang w:val="en-US" w:eastAsia="zh-CN"/>
        </w:rPr>
        <w:t>13</w:t>
      </w:r>
      <w:r>
        <w:rPr>
          <w:rFonts w:hint="eastAsia" w:ascii="宋体" w:hAnsi="宋体"/>
          <w:color w:val="auto"/>
          <w:sz w:val="24"/>
          <w:szCs w:val="24"/>
        </w:rPr>
        <w:t>万元的</w:t>
      </w:r>
      <w:r>
        <w:rPr>
          <w:rFonts w:hint="eastAsia"/>
          <w:color w:val="auto"/>
          <w:sz w:val="24"/>
          <w:szCs w:val="24"/>
          <w:lang w:val="en-US" w:eastAsia="zh-CN"/>
        </w:rPr>
        <w:t>工程货物</w:t>
      </w:r>
      <w:r>
        <w:rPr>
          <w:rFonts w:hint="eastAsia" w:ascii="宋体" w:hAnsi="宋体"/>
          <w:color w:val="auto"/>
          <w:sz w:val="24"/>
          <w:szCs w:val="24"/>
        </w:rPr>
        <w:t>施工业绩。</w:t>
      </w:r>
    </w:p>
    <w:p w14:paraId="5DB2033E">
      <w:pPr>
        <w:autoSpaceDE w:val="0"/>
        <w:autoSpaceDN w:val="0"/>
        <w:adjustRightInd w:val="0"/>
        <w:spacing w:line="360" w:lineRule="auto"/>
        <w:ind w:firstLine="200"/>
        <w:jc w:val="left"/>
        <w:rPr>
          <w:rFonts w:hint="eastAsia" w:ascii="宋体" w:hAnsi="宋体"/>
          <w:color w:val="auto"/>
          <w:sz w:val="24"/>
          <w:szCs w:val="24"/>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本项目</w:t>
      </w:r>
      <w:r>
        <w:rPr>
          <w:rFonts w:hint="eastAsia" w:ascii="宋体" w:hAnsi="宋体"/>
          <w:color w:val="auto"/>
          <w:sz w:val="24"/>
          <w:szCs w:val="24"/>
          <w:highlight w:val="none"/>
          <w:u w:val="none"/>
          <w:lang w:val="en-US" w:eastAsia="zh-CN"/>
        </w:rPr>
        <w:t>不</w:t>
      </w:r>
      <w:r>
        <w:rPr>
          <w:rFonts w:hint="eastAsia" w:ascii="宋体" w:hAnsi="宋体"/>
          <w:color w:val="auto"/>
          <w:sz w:val="24"/>
          <w:szCs w:val="24"/>
          <w:highlight w:val="none"/>
        </w:rPr>
        <w:t>接受联合体投标；</w:t>
      </w:r>
    </w:p>
    <w:p w14:paraId="3899D665">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Arial" w:hAnsi="Arial" w:cs="Arial"/>
          <w:i w:val="0"/>
          <w:iCs w:val="0"/>
          <w:caps w:val="0"/>
          <w:color w:val="auto"/>
          <w:spacing w:val="0"/>
          <w:sz w:val="27"/>
          <w:szCs w:val="27"/>
        </w:rPr>
      </w:pPr>
      <w:r>
        <w:rPr>
          <w:rFonts w:hint="eastAsia" w:cs="宋体"/>
          <w:i w:val="0"/>
          <w:iCs w:val="0"/>
          <w:caps w:val="0"/>
          <w:color w:val="auto"/>
          <w:spacing w:val="0"/>
          <w:sz w:val="24"/>
          <w:szCs w:val="24"/>
          <w:lang w:val="en-US" w:eastAsia="zh-CN"/>
        </w:rPr>
        <w:t>5</w:t>
      </w:r>
      <w:r>
        <w:rPr>
          <w:rFonts w:hint="eastAsia" w:ascii="宋体" w:hAnsi="宋体" w:eastAsia="宋体" w:cs="宋体"/>
          <w:i w:val="0"/>
          <w:iCs w:val="0"/>
          <w:caps w:val="0"/>
          <w:color w:val="auto"/>
          <w:spacing w:val="0"/>
          <w:sz w:val="24"/>
          <w:szCs w:val="24"/>
        </w:rPr>
        <w:t>.投标人存在以下不良信用记录情形之一的，不得推荐为中标候选人，不得确定为中标人：</w:t>
      </w:r>
    </w:p>
    <w:p w14:paraId="6B5205DD">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1）投标人被人民法院列入失信被执行人的；</w:t>
      </w:r>
    </w:p>
    <w:p w14:paraId="6A7C6200">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 xml:space="preserve">2）投标人或其法定代表人被人民检察院列入行贿犯罪档案的； </w:t>
      </w:r>
    </w:p>
    <w:p w14:paraId="2CBA1DD6">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3）投标人被工商行政管理部门列入企业经营异常名录的；</w:t>
      </w:r>
    </w:p>
    <w:p w14:paraId="747EA170">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4）投标人被税务部门列入重大税收违法案件当事人名单的；</w:t>
      </w:r>
    </w:p>
    <w:p w14:paraId="02322890">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18"/>
          <w:highlight w:val="none"/>
        </w:rPr>
        <w:t>5）投标人被合肥市人社部门列入拖欠农民工工资黑名单的；</w:t>
      </w:r>
    </w:p>
    <w:p w14:paraId="678DDB9A">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6) 投标人被合肥市城乡建设局因安全生产责任事故限制在合肥行政区域内承接新的工程项目且在限制期内的。</w:t>
      </w:r>
    </w:p>
    <w:p w14:paraId="1DE9E5AF">
      <w:pPr>
        <w:autoSpaceDE w:val="0"/>
        <w:autoSpaceDN w:val="0"/>
        <w:adjustRightInd w:val="0"/>
        <w:spacing w:line="360" w:lineRule="auto"/>
        <w:ind w:firstLine="200"/>
        <w:jc w:val="left"/>
        <w:rPr>
          <w:rFonts w:ascii="宋体" w:hAnsi="宋体"/>
          <w:b/>
          <w:bCs/>
          <w:color w:val="auto"/>
          <w:sz w:val="24"/>
          <w:szCs w:val="24"/>
          <w:highlight w:val="none"/>
        </w:rPr>
      </w:pPr>
      <w:r>
        <w:rPr>
          <w:rFonts w:hint="eastAsia" w:ascii="宋体" w:hAnsi="宋体"/>
          <w:b/>
          <w:bCs/>
          <w:color w:val="auto"/>
          <w:sz w:val="24"/>
          <w:szCs w:val="24"/>
          <w:highlight w:val="none"/>
        </w:rPr>
        <w:t>三、招标文件的获取及招标文件发售办法</w:t>
      </w:r>
    </w:p>
    <w:p w14:paraId="0AD0B472">
      <w:pPr>
        <w:autoSpaceDE w:val="0"/>
        <w:autoSpaceDN w:val="0"/>
        <w:adjustRightInd w:val="0"/>
        <w:spacing w:line="360" w:lineRule="auto"/>
        <w:ind w:firstLine="200"/>
        <w:jc w:val="left"/>
        <w:rPr>
          <w:rFonts w:ascii="宋体" w:hAnsi="宋体"/>
          <w:bCs/>
          <w:color w:val="auto"/>
          <w:sz w:val="24"/>
          <w:szCs w:val="24"/>
          <w:highlight w:val="none"/>
        </w:rPr>
      </w:pPr>
      <w:r>
        <w:rPr>
          <w:rFonts w:hint="eastAsia" w:ascii="宋体" w:hAnsi="宋体"/>
          <w:bCs/>
          <w:color w:val="auto"/>
          <w:sz w:val="24"/>
          <w:szCs w:val="24"/>
          <w:highlight w:val="none"/>
        </w:rPr>
        <w:t>1.获取时间：</w:t>
      </w:r>
      <w:r>
        <w:rPr>
          <w:rFonts w:hint="eastAsia" w:ascii="宋体" w:hAnsi="宋体"/>
          <w:bCs/>
          <w:color w:val="auto"/>
          <w:sz w:val="24"/>
          <w:szCs w:val="24"/>
          <w:highlight w:val="none"/>
          <w:u w:val="single"/>
        </w:rPr>
        <w:t>自本公告发布之日至投标截止时间</w:t>
      </w:r>
    </w:p>
    <w:p w14:paraId="17BA4B24">
      <w:pPr>
        <w:autoSpaceDE w:val="0"/>
        <w:autoSpaceDN w:val="0"/>
        <w:adjustRightInd w:val="0"/>
        <w:spacing w:line="360" w:lineRule="auto"/>
        <w:ind w:firstLine="200"/>
        <w:jc w:val="left"/>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2</w:t>
      </w:r>
      <w:r>
        <w:rPr>
          <w:rFonts w:hint="eastAsia" w:ascii="宋体" w:hAnsi="宋体"/>
          <w:bCs/>
          <w:color w:val="auto"/>
          <w:sz w:val="24"/>
          <w:szCs w:val="24"/>
          <w:highlight w:val="none"/>
        </w:rPr>
        <w:t>.获取方式：潜在投标人须登录</w:t>
      </w:r>
      <w:r>
        <w:rPr>
          <w:rFonts w:hint="eastAsia" w:ascii="宋体" w:hAnsi="宋体"/>
          <w:bCs/>
          <w:color w:val="auto"/>
          <w:sz w:val="24"/>
          <w:szCs w:val="24"/>
          <w:highlight w:val="none"/>
          <w:lang w:eastAsia="zh-CN"/>
        </w:rPr>
        <w:t>合肥滨湖投资控股集团有限公司官网自行下载</w:t>
      </w:r>
      <w:r>
        <w:rPr>
          <w:rFonts w:hint="eastAsia" w:ascii="宋体" w:hAnsi="宋体"/>
          <w:bCs/>
          <w:color w:val="auto"/>
          <w:sz w:val="24"/>
          <w:szCs w:val="24"/>
          <w:highlight w:val="none"/>
        </w:rPr>
        <w:t>招标文件。</w:t>
      </w:r>
    </w:p>
    <w:p w14:paraId="41998DD5">
      <w:pPr>
        <w:autoSpaceDE w:val="0"/>
        <w:autoSpaceDN w:val="0"/>
        <w:adjustRightInd w:val="0"/>
        <w:spacing w:line="360" w:lineRule="auto"/>
        <w:ind w:firstLine="200"/>
        <w:jc w:val="left"/>
        <w:rPr>
          <w:rFonts w:hint="eastAsia" w:ascii="宋体" w:hAnsi="宋体"/>
          <w:b/>
          <w:bCs/>
          <w:color w:val="auto"/>
          <w:sz w:val="24"/>
          <w:szCs w:val="18"/>
          <w:highlight w:val="none"/>
        </w:rPr>
      </w:pPr>
      <w:r>
        <w:rPr>
          <w:rFonts w:hint="eastAsia" w:ascii="宋体" w:hAnsi="宋体"/>
          <w:b/>
          <w:bCs/>
          <w:color w:val="auto"/>
          <w:sz w:val="24"/>
          <w:szCs w:val="18"/>
          <w:highlight w:val="none"/>
          <w:lang w:val="en-US" w:eastAsia="zh-CN"/>
        </w:rPr>
        <w:t>四</w:t>
      </w:r>
      <w:r>
        <w:rPr>
          <w:rFonts w:hint="eastAsia" w:ascii="宋体" w:hAnsi="宋体"/>
          <w:b/>
          <w:bCs/>
          <w:color w:val="auto"/>
          <w:sz w:val="24"/>
          <w:szCs w:val="18"/>
          <w:highlight w:val="none"/>
        </w:rPr>
        <w:t>、开标时间及地点</w:t>
      </w:r>
    </w:p>
    <w:p w14:paraId="3204E82A">
      <w:pPr>
        <w:autoSpaceDE w:val="0"/>
        <w:autoSpaceDN w:val="0"/>
        <w:adjustRightInd w:val="0"/>
        <w:spacing w:line="360" w:lineRule="auto"/>
        <w:ind w:firstLine="200"/>
        <w:jc w:val="left"/>
        <w:rPr>
          <w:rFonts w:hint="default" w:ascii="宋体" w:hAnsi="宋体"/>
          <w:bCs/>
          <w:color w:val="auto"/>
          <w:sz w:val="24"/>
          <w:highlight w:val="none"/>
          <w:u w:val="single"/>
          <w:lang w:val="en-US"/>
        </w:rPr>
      </w:pPr>
      <w:r>
        <w:rPr>
          <w:rFonts w:hint="eastAsia" w:ascii="宋体" w:hAnsi="宋体"/>
          <w:bCs/>
          <w:color w:val="auto"/>
          <w:sz w:val="24"/>
          <w:szCs w:val="18"/>
          <w:highlight w:val="none"/>
        </w:rPr>
        <w:t>1.开标时间：</w:t>
      </w: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 xml:space="preserve">26 </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15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00 </w:t>
      </w:r>
    </w:p>
    <w:p w14:paraId="74ED86B6">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宋体" w:hAnsi="宋体" w:cs="宋体"/>
          <w:i w:val="0"/>
          <w:iCs w:val="0"/>
          <w:caps w:val="0"/>
          <w:color w:val="auto"/>
          <w:spacing w:val="0"/>
          <w:sz w:val="24"/>
          <w:szCs w:val="24"/>
          <w:highlight w:val="none"/>
          <w:lang w:val="en-US" w:eastAsia="zh-CN"/>
        </w:rPr>
      </w:pPr>
      <w:r>
        <w:rPr>
          <w:rFonts w:hint="eastAsia" w:ascii="宋体" w:hAnsi="宋体"/>
          <w:bCs/>
          <w:color w:val="auto"/>
          <w:sz w:val="24"/>
          <w:szCs w:val="18"/>
          <w:highlight w:val="none"/>
        </w:rPr>
        <w:t>2.开标地点：</w:t>
      </w:r>
      <w:r>
        <w:rPr>
          <w:rFonts w:hint="eastAsia" w:ascii="宋体" w:hAnsi="宋体" w:eastAsia="宋体" w:cs="宋体"/>
          <w:i w:val="0"/>
          <w:iCs w:val="0"/>
          <w:caps w:val="0"/>
          <w:color w:val="auto"/>
          <w:spacing w:val="0"/>
          <w:sz w:val="24"/>
          <w:szCs w:val="24"/>
          <w:highlight w:val="none"/>
        </w:rPr>
        <w:t>合肥市包河区大圩镇磨滩</w:t>
      </w:r>
      <w:r>
        <w:rPr>
          <w:rFonts w:hint="eastAsia" w:cs="宋体"/>
          <w:i w:val="0"/>
          <w:iCs w:val="0"/>
          <w:caps w:val="0"/>
          <w:color w:val="auto"/>
          <w:spacing w:val="0"/>
          <w:sz w:val="24"/>
          <w:szCs w:val="24"/>
          <w:highlight w:val="none"/>
          <w:lang w:val="en-US" w:eastAsia="zh-CN"/>
        </w:rPr>
        <w:t>旅游度假区办公楼三楼会议室</w:t>
      </w:r>
    </w:p>
    <w:p w14:paraId="273066C1">
      <w:pPr>
        <w:autoSpaceDE w:val="0"/>
        <w:autoSpaceDN w:val="0"/>
        <w:adjustRightInd w:val="0"/>
        <w:spacing w:line="360" w:lineRule="auto"/>
        <w:ind w:firstLine="200"/>
        <w:jc w:val="left"/>
        <w:rPr>
          <w:rFonts w:hint="eastAsia" w:ascii="宋体" w:hAnsi="宋体"/>
          <w:b/>
          <w:bCs/>
          <w:color w:val="auto"/>
          <w:sz w:val="24"/>
          <w:szCs w:val="18"/>
          <w:highlight w:val="none"/>
        </w:rPr>
      </w:pPr>
      <w:r>
        <w:rPr>
          <w:rFonts w:hint="eastAsia" w:ascii="宋体" w:hAnsi="宋体"/>
          <w:b/>
          <w:bCs/>
          <w:color w:val="auto"/>
          <w:sz w:val="24"/>
          <w:szCs w:val="18"/>
          <w:highlight w:val="none"/>
          <w:lang w:val="en-US" w:eastAsia="zh-CN"/>
        </w:rPr>
        <w:t>五</w:t>
      </w:r>
      <w:r>
        <w:rPr>
          <w:rFonts w:hint="eastAsia" w:ascii="宋体" w:hAnsi="宋体"/>
          <w:b/>
          <w:bCs/>
          <w:color w:val="auto"/>
          <w:sz w:val="24"/>
          <w:szCs w:val="18"/>
          <w:highlight w:val="none"/>
        </w:rPr>
        <w:t>、投标截止时间</w:t>
      </w:r>
    </w:p>
    <w:p w14:paraId="4CE06610">
      <w:pPr>
        <w:autoSpaceDE w:val="0"/>
        <w:autoSpaceDN w:val="0"/>
        <w:adjustRightInd w:val="0"/>
        <w:spacing w:line="360" w:lineRule="auto"/>
        <w:ind w:firstLine="200"/>
        <w:jc w:val="left"/>
        <w:rPr>
          <w:rFonts w:hint="default" w:ascii="宋体" w:hAnsi="宋体"/>
          <w:bCs/>
          <w:color w:val="auto"/>
          <w:sz w:val="24"/>
          <w:highlight w:val="none"/>
          <w:u w:val="single"/>
          <w:lang w:val="en-US" w:eastAsia="zh-CN"/>
        </w:rPr>
      </w:pP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 xml:space="preserve">26 </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15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00 </w:t>
      </w:r>
    </w:p>
    <w:p w14:paraId="1F9F8E86">
      <w:pPr>
        <w:autoSpaceDE w:val="0"/>
        <w:autoSpaceDN w:val="0"/>
        <w:adjustRightInd w:val="0"/>
        <w:spacing w:line="360" w:lineRule="auto"/>
        <w:ind w:firstLine="200"/>
        <w:jc w:val="left"/>
        <w:rPr>
          <w:rFonts w:hint="eastAsia" w:ascii="宋体" w:hAnsi="宋体"/>
          <w:b/>
          <w:bCs/>
          <w:color w:val="auto"/>
          <w:sz w:val="24"/>
          <w:szCs w:val="18"/>
          <w:highlight w:val="none"/>
        </w:rPr>
      </w:pPr>
      <w:r>
        <w:rPr>
          <w:rFonts w:hint="eastAsia" w:ascii="宋体" w:hAnsi="宋体"/>
          <w:b/>
          <w:bCs/>
          <w:color w:val="auto"/>
          <w:sz w:val="24"/>
          <w:szCs w:val="18"/>
          <w:highlight w:val="none"/>
          <w:lang w:val="en-US" w:eastAsia="zh-CN"/>
        </w:rPr>
        <w:t>六</w:t>
      </w:r>
      <w:r>
        <w:rPr>
          <w:rFonts w:hint="eastAsia" w:ascii="宋体" w:hAnsi="宋体"/>
          <w:b/>
          <w:bCs/>
          <w:color w:val="auto"/>
          <w:sz w:val="24"/>
          <w:szCs w:val="18"/>
          <w:highlight w:val="none"/>
        </w:rPr>
        <w:t>、联系方法</w:t>
      </w:r>
    </w:p>
    <w:p w14:paraId="1822469B">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ascii="Arial" w:hAnsi="Arial" w:cs="Arial"/>
          <w:i w:val="0"/>
          <w:iCs w:val="0"/>
          <w:caps w:val="0"/>
          <w:color w:val="auto"/>
          <w:spacing w:val="0"/>
          <w:sz w:val="27"/>
          <w:szCs w:val="27"/>
        </w:rPr>
      </w:pPr>
      <w:r>
        <w:rPr>
          <w:rFonts w:hint="eastAsia" w:ascii="宋体" w:hAnsi="宋体" w:eastAsia="宋体" w:cs="宋体"/>
          <w:i w:val="0"/>
          <w:iCs w:val="0"/>
          <w:caps w:val="0"/>
          <w:color w:val="auto"/>
          <w:spacing w:val="0"/>
          <w:sz w:val="24"/>
          <w:szCs w:val="24"/>
        </w:rPr>
        <w:t>招标单位：合肥市包河区</w:t>
      </w:r>
      <w:r>
        <w:rPr>
          <w:rFonts w:hint="eastAsia" w:ascii="宋体" w:hAnsi="宋体" w:cs="宋体"/>
          <w:i w:val="0"/>
          <w:iCs w:val="0"/>
          <w:caps w:val="0"/>
          <w:color w:val="auto"/>
          <w:spacing w:val="0"/>
          <w:sz w:val="24"/>
          <w:szCs w:val="24"/>
          <w:lang w:val="en-US" w:eastAsia="zh-CN"/>
        </w:rPr>
        <w:t>乡村振兴投资有限公司</w:t>
      </w:r>
    </w:p>
    <w:p w14:paraId="4FF82380">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Arial" w:hAnsi="Arial" w:eastAsia="宋体" w:cs="Arial"/>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4"/>
          <w:szCs w:val="24"/>
        </w:rPr>
        <w:t>地址：合肥市包河区大圩镇磨滩</w:t>
      </w:r>
      <w:r>
        <w:rPr>
          <w:rFonts w:hint="eastAsia" w:cs="宋体"/>
          <w:i w:val="0"/>
          <w:iCs w:val="0"/>
          <w:caps w:val="0"/>
          <w:color w:val="auto"/>
          <w:spacing w:val="0"/>
          <w:sz w:val="24"/>
          <w:szCs w:val="24"/>
          <w:lang w:val="en-US" w:eastAsia="zh-CN"/>
        </w:rPr>
        <w:t>旅游度假区</w:t>
      </w:r>
    </w:p>
    <w:p w14:paraId="7BF28E9B">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Arial" w:hAnsi="Arial" w:cs="Arial"/>
          <w:i w:val="0"/>
          <w:iCs w:val="0"/>
          <w:caps w:val="0"/>
          <w:color w:val="auto"/>
          <w:spacing w:val="0"/>
          <w:sz w:val="27"/>
          <w:szCs w:val="27"/>
        </w:rPr>
      </w:pPr>
      <w:r>
        <w:rPr>
          <w:rFonts w:hint="eastAsia" w:ascii="宋体" w:hAnsi="宋体" w:eastAsia="宋体" w:cs="宋体"/>
          <w:i w:val="0"/>
          <w:iCs w:val="0"/>
          <w:caps w:val="0"/>
          <w:color w:val="auto"/>
          <w:spacing w:val="0"/>
          <w:sz w:val="24"/>
          <w:szCs w:val="24"/>
        </w:rPr>
        <w:t>联系人：</w:t>
      </w:r>
      <w:r>
        <w:rPr>
          <w:rFonts w:hint="eastAsia" w:cs="宋体"/>
          <w:i w:val="0"/>
          <w:iCs w:val="0"/>
          <w:caps w:val="0"/>
          <w:color w:val="auto"/>
          <w:spacing w:val="0"/>
          <w:sz w:val="24"/>
          <w:szCs w:val="24"/>
          <w:lang w:val="en-US" w:eastAsia="zh-CN"/>
        </w:rPr>
        <w:t>汪工</w:t>
      </w:r>
      <w:r>
        <w:rPr>
          <w:rFonts w:hint="eastAsia" w:ascii="宋体" w:hAnsi="宋体" w:eastAsia="宋体" w:cs="宋体"/>
          <w:i w:val="0"/>
          <w:iCs w:val="0"/>
          <w:caps w:val="0"/>
          <w:color w:val="auto"/>
          <w:spacing w:val="0"/>
          <w:sz w:val="24"/>
          <w:szCs w:val="24"/>
        </w:rPr>
        <w:t> </w:t>
      </w:r>
    </w:p>
    <w:p w14:paraId="6067748E">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Arial" w:hAnsi="Arial" w:eastAsia="宋体" w:cs="Arial"/>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4"/>
          <w:szCs w:val="24"/>
        </w:rPr>
        <w:t>电话：</w:t>
      </w:r>
      <w:r>
        <w:rPr>
          <w:rFonts w:hint="eastAsia" w:cs="宋体"/>
          <w:i w:val="0"/>
          <w:iCs w:val="0"/>
          <w:caps w:val="0"/>
          <w:color w:val="auto"/>
          <w:spacing w:val="0"/>
          <w:sz w:val="24"/>
          <w:szCs w:val="24"/>
          <w:lang w:val="en-US" w:eastAsia="zh-CN"/>
        </w:rPr>
        <w:t>18100519055</w:t>
      </w:r>
    </w:p>
    <w:p w14:paraId="72695006">
      <w:pPr>
        <w:autoSpaceDE w:val="0"/>
        <w:autoSpaceDN w:val="0"/>
        <w:adjustRightInd w:val="0"/>
        <w:spacing w:line="360" w:lineRule="auto"/>
        <w:jc w:val="left"/>
        <w:rPr>
          <w:rFonts w:hint="eastAsia" w:ascii="宋体" w:hAnsi="宋体"/>
          <w:color w:val="auto"/>
          <w:kern w:val="0"/>
          <w:sz w:val="24"/>
          <w:highlight w:val="none"/>
          <w:lang w:val="zh-CN"/>
        </w:rPr>
      </w:pPr>
    </w:p>
    <w:p w14:paraId="7CE89A70">
      <w:pPr>
        <w:autoSpaceDE w:val="0"/>
        <w:autoSpaceDN w:val="0"/>
        <w:adjustRightInd w:val="0"/>
        <w:spacing w:line="360" w:lineRule="auto"/>
        <w:jc w:val="left"/>
        <w:rPr>
          <w:rFonts w:hint="eastAsia" w:ascii="宋体" w:hAnsi="宋体"/>
          <w:color w:val="auto"/>
          <w:kern w:val="0"/>
          <w:sz w:val="24"/>
          <w:highlight w:val="none"/>
          <w:lang w:val="zh-CN"/>
        </w:rPr>
      </w:pPr>
    </w:p>
    <w:p w14:paraId="66BE3F45">
      <w:pPr>
        <w:autoSpaceDE w:val="0"/>
        <w:autoSpaceDN w:val="0"/>
        <w:adjustRightInd w:val="0"/>
        <w:spacing w:line="360" w:lineRule="auto"/>
        <w:jc w:val="left"/>
        <w:rPr>
          <w:rFonts w:hint="eastAsia" w:ascii="宋体" w:hAnsi="宋体"/>
          <w:bCs/>
          <w:color w:val="auto"/>
          <w:sz w:val="24"/>
          <w:highlight w:val="none"/>
        </w:rPr>
      </w:pPr>
    </w:p>
    <w:p w14:paraId="7D758BE2">
      <w:pPr>
        <w:pStyle w:val="3"/>
        <w:spacing w:line="500" w:lineRule="exact"/>
        <w:rPr>
          <w:rFonts w:hint="eastAsia" w:ascii="宋体" w:hAnsi="宋体" w:eastAsia="宋体"/>
          <w:color w:val="auto"/>
          <w:highlight w:val="none"/>
        </w:rPr>
      </w:pPr>
      <w:bookmarkStart w:id="8" w:name="_Hlt510343011"/>
      <w:bookmarkStart w:id="9" w:name="_Hlt510342998"/>
      <w:bookmarkStart w:id="10" w:name="_Toc273602340"/>
      <w:bookmarkStart w:id="11" w:name="_Toc245092760"/>
      <w:bookmarkStart w:id="12" w:name="_Toc328559327"/>
      <w:bookmarkStart w:id="13" w:name="_Toc229413619"/>
    </w:p>
    <w:p w14:paraId="2DD30002">
      <w:pPr>
        <w:rPr>
          <w:rFonts w:hint="eastAsia" w:ascii="宋体" w:hAnsi="宋体" w:eastAsia="宋体"/>
          <w:color w:val="auto"/>
          <w:highlight w:val="none"/>
        </w:rPr>
      </w:pPr>
    </w:p>
    <w:p w14:paraId="73E40F8F">
      <w:pPr>
        <w:pStyle w:val="52"/>
        <w:rPr>
          <w:rFonts w:hint="eastAsia" w:ascii="宋体" w:hAnsi="宋体" w:eastAsia="宋体"/>
          <w:color w:val="auto"/>
          <w:highlight w:val="none"/>
        </w:rPr>
      </w:pPr>
    </w:p>
    <w:p w14:paraId="4125A3A0">
      <w:pPr>
        <w:pStyle w:val="39"/>
        <w:rPr>
          <w:rFonts w:hint="eastAsia" w:ascii="宋体" w:hAnsi="宋体" w:eastAsia="宋体"/>
          <w:color w:val="auto"/>
          <w:highlight w:val="none"/>
        </w:rPr>
      </w:pPr>
    </w:p>
    <w:p w14:paraId="7601D5F5">
      <w:pPr>
        <w:pStyle w:val="39"/>
        <w:rPr>
          <w:rFonts w:hint="eastAsia" w:ascii="宋体" w:hAnsi="宋体" w:eastAsia="宋体"/>
          <w:color w:val="auto"/>
          <w:highlight w:val="none"/>
        </w:rPr>
      </w:pPr>
    </w:p>
    <w:p w14:paraId="10CF44E5">
      <w:pPr>
        <w:rPr>
          <w:rFonts w:hint="eastAsia" w:ascii="宋体" w:hAnsi="宋体" w:eastAsia="宋体"/>
          <w:color w:val="auto"/>
          <w:highlight w:val="none"/>
        </w:rPr>
      </w:pPr>
    </w:p>
    <w:p w14:paraId="51F96FFE">
      <w:pPr>
        <w:pStyle w:val="3"/>
        <w:spacing w:before="0" w:after="0" w:line="240" w:lineRule="auto"/>
        <w:ind w:firstLine="0"/>
        <w:rPr>
          <w:rFonts w:hint="eastAsia" w:ascii="宋体" w:hAnsi="宋体" w:eastAsia="宋体"/>
          <w:b w:val="0"/>
          <w:color w:val="auto"/>
          <w:highlight w:val="none"/>
        </w:rPr>
      </w:pPr>
      <w:r>
        <w:rPr>
          <w:rFonts w:hint="eastAsia" w:ascii="宋体" w:hAnsi="宋体" w:eastAsia="宋体"/>
          <w:color w:val="auto"/>
          <w:highlight w:val="none"/>
        </w:rPr>
        <w:br w:type="page"/>
      </w:r>
      <w:r>
        <w:rPr>
          <w:rFonts w:hint="eastAsia" w:ascii="宋体" w:hAnsi="宋体" w:eastAsia="宋体"/>
          <w:color w:val="auto"/>
          <w:highlight w:val="none"/>
        </w:rPr>
        <w:t>第二章 投标人须</w:t>
      </w:r>
      <w:bookmarkEnd w:id="8"/>
      <w:r>
        <w:rPr>
          <w:rFonts w:hint="eastAsia" w:ascii="宋体" w:hAnsi="宋体" w:eastAsia="宋体"/>
          <w:color w:val="auto"/>
          <w:highlight w:val="none"/>
        </w:rPr>
        <w:t>知前</w:t>
      </w:r>
      <w:bookmarkEnd w:id="9"/>
      <w:r>
        <w:rPr>
          <w:rFonts w:hint="eastAsia" w:ascii="宋体" w:hAnsi="宋体" w:eastAsia="宋体"/>
          <w:color w:val="auto"/>
          <w:highlight w:val="none"/>
        </w:rPr>
        <w:t>附表</w:t>
      </w:r>
      <w:bookmarkEnd w:id="10"/>
      <w:bookmarkEnd w:id="11"/>
      <w:bookmarkEnd w:id="12"/>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910"/>
        <w:gridCol w:w="6569"/>
      </w:tblGrid>
      <w:tr w14:paraId="6843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448165F0">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910" w:type="dxa"/>
            <w:noWrap w:val="0"/>
            <w:vAlign w:val="center"/>
          </w:tcPr>
          <w:p w14:paraId="39488059">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内容</w:t>
            </w:r>
          </w:p>
        </w:tc>
        <w:tc>
          <w:tcPr>
            <w:tcW w:w="6569" w:type="dxa"/>
            <w:noWrap w:val="0"/>
            <w:vAlign w:val="center"/>
          </w:tcPr>
          <w:p w14:paraId="184FCF13">
            <w:pPr>
              <w:pStyle w:val="102"/>
              <w:widowControl w:val="0"/>
              <w:spacing w:before="0" w:beforeAutospacing="0" w:after="0" w:afterAutospacing="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说明与要求</w:t>
            </w:r>
          </w:p>
        </w:tc>
      </w:tr>
      <w:tr w14:paraId="025AF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1A215A9F">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c>
          <w:tcPr>
            <w:tcW w:w="1910" w:type="dxa"/>
            <w:noWrap w:val="0"/>
            <w:vAlign w:val="center"/>
          </w:tcPr>
          <w:p w14:paraId="6EA76886">
            <w:pPr>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招标人</w:t>
            </w:r>
          </w:p>
        </w:tc>
        <w:tc>
          <w:tcPr>
            <w:tcW w:w="6569" w:type="dxa"/>
            <w:noWrap w:val="0"/>
            <w:vAlign w:val="center"/>
          </w:tcPr>
          <w:p w14:paraId="2BFBEDE2">
            <w:pPr>
              <w:pStyle w:val="102"/>
              <w:widowControl w:val="0"/>
              <w:spacing w:before="0" w:beforeAutospacing="0" w:after="0" w:afterAutospacing="0"/>
              <w:jc w:val="both"/>
              <w:rPr>
                <w:rFonts w:hint="eastAsia" w:ascii="宋体" w:hAnsi="宋体" w:eastAsia="宋体" w:cs="宋体"/>
                <w:b w:val="0"/>
                <w:color w:val="auto"/>
                <w:kern w:val="2"/>
                <w:sz w:val="24"/>
                <w:szCs w:val="24"/>
                <w:highlight w:val="none"/>
                <w:lang w:val="zh-CN"/>
              </w:rPr>
            </w:pPr>
            <w:r>
              <w:rPr>
                <w:rFonts w:hint="eastAsia" w:ascii="宋体" w:hAnsi="宋体"/>
                <w:color w:val="auto"/>
                <w:sz w:val="24"/>
                <w:szCs w:val="18"/>
                <w:highlight w:val="none"/>
              </w:rPr>
              <w:t>合肥市包河区乡村振兴投资有限公司</w:t>
            </w:r>
          </w:p>
        </w:tc>
      </w:tr>
      <w:tr w14:paraId="0BCFD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56247CE6">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c>
          <w:tcPr>
            <w:tcW w:w="1910" w:type="dxa"/>
            <w:noWrap w:val="0"/>
            <w:vAlign w:val="center"/>
          </w:tcPr>
          <w:p w14:paraId="1FEDC323">
            <w:pPr>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项目业主</w:t>
            </w:r>
          </w:p>
        </w:tc>
        <w:tc>
          <w:tcPr>
            <w:tcW w:w="6569" w:type="dxa"/>
            <w:noWrap w:val="0"/>
            <w:vAlign w:val="center"/>
          </w:tcPr>
          <w:p w14:paraId="3FC55987">
            <w:pPr>
              <w:pStyle w:val="102"/>
              <w:widowControl w:val="0"/>
              <w:spacing w:before="0" w:beforeAutospacing="0" w:after="0" w:afterAutospacing="0"/>
              <w:jc w:val="both"/>
              <w:rPr>
                <w:rFonts w:hint="eastAsia" w:ascii="宋体" w:hAnsi="宋体" w:eastAsia="宋体" w:cs="宋体"/>
                <w:b w:val="0"/>
                <w:bCs/>
                <w:color w:val="auto"/>
                <w:sz w:val="24"/>
                <w:szCs w:val="24"/>
                <w:highlight w:val="none"/>
                <w:lang w:eastAsia="zh-CN"/>
              </w:rPr>
            </w:pPr>
            <w:r>
              <w:rPr>
                <w:rFonts w:hint="eastAsia" w:ascii="宋体" w:hAnsi="宋体"/>
                <w:color w:val="auto"/>
                <w:sz w:val="24"/>
                <w:szCs w:val="18"/>
                <w:highlight w:val="none"/>
              </w:rPr>
              <w:t>合肥市包河区乡村振兴投资有限公司</w:t>
            </w:r>
          </w:p>
        </w:tc>
      </w:tr>
      <w:tr w14:paraId="6CE5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40EC5572">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c>
          <w:tcPr>
            <w:tcW w:w="1910" w:type="dxa"/>
            <w:noWrap w:val="0"/>
            <w:vAlign w:val="center"/>
          </w:tcPr>
          <w:p w14:paraId="0B3BAA1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69" w:type="dxa"/>
            <w:noWrap w:val="0"/>
            <w:vAlign w:val="center"/>
          </w:tcPr>
          <w:p w14:paraId="071C57F1">
            <w:pPr>
              <w:rPr>
                <w:rFonts w:hint="eastAsia" w:ascii="宋体" w:hAnsi="宋体" w:eastAsia="宋体" w:cs="宋体"/>
                <w:color w:val="auto"/>
                <w:sz w:val="24"/>
                <w:szCs w:val="24"/>
                <w:highlight w:val="none"/>
                <w:u w:val="none"/>
                <w:lang w:eastAsia="zh-CN"/>
              </w:rPr>
            </w:pPr>
            <w:r>
              <w:rPr>
                <w:rFonts w:hint="eastAsia" w:ascii="宋体" w:hAnsi="宋体"/>
                <w:color w:val="auto"/>
                <w:kern w:val="0"/>
                <w:sz w:val="24"/>
                <w:highlight w:val="none"/>
                <w:u w:val="none"/>
                <w:lang w:val="en-US" w:eastAsia="zh-CN"/>
              </w:rPr>
              <w:t>磨滩旅游度假区游客服务中心西广场电动遮阳天幕工程</w:t>
            </w:r>
          </w:p>
        </w:tc>
      </w:tr>
      <w:tr w14:paraId="24E2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60FBAC4B">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p>
        </w:tc>
        <w:tc>
          <w:tcPr>
            <w:tcW w:w="1910" w:type="dxa"/>
            <w:noWrap w:val="0"/>
            <w:vAlign w:val="center"/>
          </w:tcPr>
          <w:p w14:paraId="67F3FBA2">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项目编号</w:t>
            </w:r>
          </w:p>
        </w:tc>
        <w:tc>
          <w:tcPr>
            <w:tcW w:w="6569" w:type="dxa"/>
            <w:noWrap w:val="0"/>
            <w:vAlign w:val="center"/>
          </w:tcPr>
          <w:p w14:paraId="44313DA9">
            <w:pPr>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p>
        </w:tc>
      </w:tr>
      <w:tr w14:paraId="1050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518D5E53">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p>
        </w:tc>
        <w:tc>
          <w:tcPr>
            <w:tcW w:w="1910" w:type="dxa"/>
            <w:noWrap w:val="0"/>
            <w:vAlign w:val="center"/>
          </w:tcPr>
          <w:p w14:paraId="182B202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项目预算</w:t>
            </w:r>
          </w:p>
        </w:tc>
        <w:tc>
          <w:tcPr>
            <w:tcW w:w="6569" w:type="dxa"/>
            <w:noWrap w:val="0"/>
            <w:vAlign w:val="center"/>
          </w:tcPr>
          <w:p w14:paraId="4E865459">
            <w:pPr>
              <w:rPr>
                <w:rFonts w:hint="default"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14万元</w:t>
            </w:r>
            <w:r>
              <w:rPr>
                <w:rFonts w:hint="eastAsia" w:ascii="宋体" w:hAnsi="宋体" w:eastAsia="宋体" w:cs="宋体"/>
                <w:b/>
                <w:color w:val="auto"/>
                <w:sz w:val="24"/>
                <w:szCs w:val="24"/>
                <w:highlight w:val="none"/>
                <w:lang w:val="en-US" w:eastAsia="zh-CN"/>
              </w:rPr>
              <w:t>（含税）</w:t>
            </w:r>
          </w:p>
        </w:tc>
      </w:tr>
      <w:tr w14:paraId="353B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79C1EFB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910" w:type="dxa"/>
            <w:noWrap w:val="0"/>
            <w:vAlign w:val="center"/>
          </w:tcPr>
          <w:p w14:paraId="1B23DD37">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包别划分</w:t>
            </w:r>
          </w:p>
        </w:tc>
        <w:tc>
          <w:tcPr>
            <w:tcW w:w="6569" w:type="dxa"/>
            <w:noWrap w:val="0"/>
            <w:vAlign w:val="center"/>
          </w:tcPr>
          <w:p w14:paraId="6ECCE4B4">
            <w:pPr>
              <w:ind w:left="841" w:hanging="841"/>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sym w:font="Wingdings" w:char="F0FE"/>
            </w:r>
            <w:r>
              <w:rPr>
                <w:rFonts w:hint="eastAsia" w:ascii="宋体" w:hAnsi="宋体" w:eastAsia="宋体" w:cs="宋体"/>
                <w:color w:val="auto"/>
                <w:sz w:val="24"/>
                <w:szCs w:val="24"/>
                <w:highlight w:val="none"/>
              </w:rPr>
              <w:t xml:space="preserve">不分包     </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分为  包</w:t>
            </w:r>
          </w:p>
        </w:tc>
      </w:tr>
      <w:tr w14:paraId="2AAB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3CFD4A1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910" w:type="dxa"/>
            <w:noWrap w:val="0"/>
            <w:vAlign w:val="center"/>
          </w:tcPr>
          <w:p w14:paraId="713F1EE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69" w:type="dxa"/>
            <w:noWrap w:val="0"/>
            <w:vAlign w:val="center"/>
          </w:tcPr>
          <w:p w14:paraId="05569E39">
            <w:pPr>
              <w:ind w:left="841" w:hanging="84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工程施工</w:t>
            </w:r>
            <w:r>
              <w:rPr>
                <w:rFonts w:hint="eastAsia" w:ascii="宋体" w:hAnsi="宋体" w:eastAsia="宋体" w:cs="宋体"/>
                <w:color w:val="auto"/>
                <w:sz w:val="24"/>
                <w:szCs w:val="24"/>
                <w:highlight w:val="none"/>
              </w:rPr>
              <w:t>类</w:t>
            </w:r>
          </w:p>
        </w:tc>
      </w:tr>
      <w:tr w14:paraId="3B79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17E8545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910" w:type="dxa"/>
            <w:noWrap w:val="0"/>
            <w:vAlign w:val="center"/>
          </w:tcPr>
          <w:p w14:paraId="1CDA3BE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形式</w:t>
            </w:r>
          </w:p>
        </w:tc>
        <w:tc>
          <w:tcPr>
            <w:tcW w:w="6569" w:type="dxa"/>
            <w:noWrap w:val="0"/>
            <w:vAlign w:val="center"/>
          </w:tcPr>
          <w:p w14:paraId="2C26B4E1">
            <w:pPr>
              <w:ind w:left="841" w:hanging="84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公开招标</w:t>
            </w:r>
          </w:p>
        </w:tc>
      </w:tr>
      <w:tr w14:paraId="20B7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866" w:type="dxa"/>
            <w:noWrap w:val="0"/>
            <w:vAlign w:val="center"/>
          </w:tcPr>
          <w:p w14:paraId="4E4E5B40">
            <w:pPr>
              <w:ind w:right="102"/>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w:t>
            </w:r>
          </w:p>
        </w:tc>
        <w:tc>
          <w:tcPr>
            <w:tcW w:w="1910" w:type="dxa"/>
            <w:noWrap w:val="0"/>
            <w:vAlign w:val="center"/>
          </w:tcPr>
          <w:p w14:paraId="24F565A9">
            <w:pPr>
              <w:pStyle w:val="102"/>
              <w:widowControl w:val="0"/>
              <w:spacing w:before="0" w:beforeAutospacing="0" w:after="0" w:afterAutospacing="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付款方式</w:t>
            </w:r>
          </w:p>
        </w:tc>
        <w:tc>
          <w:tcPr>
            <w:tcW w:w="6569" w:type="dxa"/>
            <w:noWrap w:val="0"/>
            <w:vAlign w:val="center"/>
          </w:tcPr>
          <w:p w14:paraId="538A4B61">
            <w:pPr>
              <w:pStyle w:val="102"/>
              <w:widowControl w:val="0"/>
              <w:spacing w:before="0" w:beforeAutospacing="0" w:after="0" w:afterAutospacing="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合同签订后，甲方支付40%预付款，乙方安排材料采购及工厂预制加工；钢结构及膜布全部进场，完成主体安装后，甲方支付45%进度款；整体工程完工、验收合格后，甲方支付12%竣工款；剩余3%作为质保金，</w:t>
            </w:r>
            <w:r>
              <w:rPr>
                <w:rFonts w:hint="eastAsia" w:ascii="宋体" w:hAnsi="宋体" w:eastAsia="宋体" w:cs="宋体"/>
                <w:b w:val="0"/>
                <w:bCs/>
                <w:color w:val="auto"/>
                <w:sz w:val="24"/>
                <w:szCs w:val="24"/>
                <w:highlight w:val="none"/>
              </w:rPr>
              <w:t>待质量缺陷责任期（2年）满且中标人完全履行了保修义务后一次付清(无息)。</w:t>
            </w:r>
          </w:p>
          <w:p w14:paraId="252394FA">
            <w:pPr>
              <w:pStyle w:val="102"/>
              <w:widowControl w:val="0"/>
              <w:spacing w:before="0" w:beforeAutospacing="0" w:after="0" w:afterAutospacing="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开票要求：在付款前承包人须按照一般计税方法提供增值税专用发票（税率9%），如未按约定开具增值税专用发票或实际开具的增值税专用发票税率低于合同中约定税率的，承包人应向发包人支付无法抵扣部分的税款金额。</w:t>
            </w:r>
          </w:p>
          <w:p w14:paraId="0FF16D73">
            <w:pPr>
              <w:pStyle w:val="102"/>
              <w:widowControl w:val="0"/>
              <w:spacing w:before="0" w:beforeAutospacing="0" w:after="0" w:afterAutospacing="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投标人提交的投标文件中如有关于付款条件的表述与招标文件规定不符，将被视为实质性不响应，将导致投标无效。</w:t>
            </w:r>
          </w:p>
        </w:tc>
      </w:tr>
      <w:tr w14:paraId="36C0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6" w:type="dxa"/>
            <w:noWrap w:val="0"/>
            <w:vAlign w:val="center"/>
          </w:tcPr>
          <w:p w14:paraId="1C171727">
            <w:pPr>
              <w:ind w:right="102"/>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10</w:t>
            </w:r>
          </w:p>
        </w:tc>
        <w:tc>
          <w:tcPr>
            <w:tcW w:w="1910" w:type="dxa"/>
            <w:noWrap w:val="0"/>
            <w:vAlign w:val="center"/>
          </w:tcPr>
          <w:p w14:paraId="249CD78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69" w:type="dxa"/>
            <w:noWrap w:val="0"/>
            <w:vAlign w:val="center"/>
          </w:tcPr>
          <w:p w14:paraId="397219A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 xml:space="preserve">允许   </w:t>
            </w:r>
            <w:r>
              <w:rPr>
                <w:rFonts w:hint="eastAsia" w:ascii="宋体" w:hAnsi="宋体" w:eastAsia="宋体" w:cs="宋体"/>
                <w:b/>
                <w:bCs/>
                <w:color w:val="auto"/>
                <w:sz w:val="24"/>
                <w:szCs w:val="24"/>
                <w:highlight w:val="none"/>
              </w:rPr>
              <w:sym w:font="Wingdings" w:char="F0FE"/>
            </w:r>
            <w:r>
              <w:rPr>
                <w:rFonts w:hint="eastAsia" w:ascii="宋体" w:hAnsi="宋体" w:eastAsia="宋体" w:cs="宋体"/>
                <w:color w:val="auto"/>
                <w:sz w:val="24"/>
                <w:szCs w:val="24"/>
                <w:highlight w:val="none"/>
              </w:rPr>
              <w:t>不允许</w:t>
            </w:r>
          </w:p>
        </w:tc>
      </w:tr>
      <w:tr w14:paraId="1419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6" w:type="dxa"/>
            <w:noWrap w:val="0"/>
            <w:vAlign w:val="center"/>
          </w:tcPr>
          <w:p w14:paraId="15FD4CA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910" w:type="dxa"/>
            <w:noWrap w:val="0"/>
            <w:vAlign w:val="center"/>
          </w:tcPr>
          <w:p w14:paraId="084625C4">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投标有效期</w:t>
            </w:r>
          </w:p>
        </w:tc>
        <w:tc>
          <w:tcPr>
            <w:tcW w:w="6569" w:type="dxa"/>
            <w:noWrap w:val="0"/>
            <w:vAlign w:val="center"/>
          </w:tcPr>
          <w:p w14:paraId="21226C29">
            <w:pP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开标后</w:t>
            </w:r>
            <w:r>
              <w:rPr>
                <w:rFonts w:hint="eastAsia" w:ascii="宋体" w:hAnsi="宋体" w:eastAsia="宋体" w:cs="宋体"/>
                <w:bCs/>
                <w:color w:val="auto"/>
                <w:sz w:val="24"/>
                <w:szCs w:val="24"/>
                <w:highlight w:val="none"/>
                <w:u w:val="single"/>
              </w:rPr>
              <w:t>30</w:t>
            </w:r>
            <w:r>
              <w:rPr>
                <w:rFonts w:hint="eastAsia" w:ascii="宋体" w:hAnsi="宋体" w:eastAsia="宋体" w:cs="宋体"/>
                <w:bCs/>
                <w:color w:val="auto"/>
                <w:sz w:val="24"/>
                <w:szCs w:val="24"/>
                <w:highlight w:val="none"/>
              </w:rPr>
              <w:t>天</w:t>
            </w:r>
          </w:p>
        </w:tc>
      </w:tr>
      <w:tr w14:paraId="64A6F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866" w:type="dxa"/>
            <w:noWrap w:val="0"/>
            <w:vAlign w:val="center"/>
          </w:tcPr>
          <w:p w14:paraId="351DFE2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910" w:type="dxa"/>
            <w:noWrap w:val="0"/>
            <w:vAlign w:val="center"/>
          </w:tcPr>
          <w:p w14:paraId="6178346F">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工期</w:t>
            </w:r>
          </w:p>
        </w:tc>
        <w:tc>
          <w:tcPr>
            <w:tcW w:w="6569" w:type="dxa"/>
            <w:noWrap w:val="0"/>
            <w:vAlign w:val="center"/>
          </w:tcPr>
          <w:p w14:paraId="64344210">
            <w:pP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r>
              <w:rPr>
                <w:rFonts w:hint="eastAsia" w:ascii="宋体" w:hAnsi="宋体" w:eastAsia="宋体" w:cs="宋体"/>
                <w:color w:val="auto"/>
                <w:sz w:val="24"/>
                <w:szCs w:val="24"/>
                <w:highlight w:val="none"/>
                <w:lang w:val="en-US" w:eastAsia="zh-CN"/>
              </w:rPr>
              <w:t>日历天</w:t>
            </w:r>
          </w:p>
        </w:tc>
      </w:tr>
      <w:tr w14:paraId="1E26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866" w:type="dxa"/>
            <w:noWrap w:val="0"/>
            <w:vAlign w:val="center"/>
          </w:tcPr>
          <w:p w14:paraId="635B502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910" w:type="dxa"/>
            <w:noWrap w:val="0"/>
            <w:vAlign w:val="center"/>
          </w:tcPr>
          <w:p w14:paraId="17202254">
            <w:pPr>
              <w:pStyle w:val="84"/>
              <w:pBdr>
                <w:bottom w:val="none" w:color="auto" w:sz="0" w:space="0"/>
              </w:pBdr>
              <w:tabs>
                <w:tab w:val="clear" w:pos="4153"/>
                <w:tab w:val="clear" w:pos="8306"/>
              </w:tabs>
              <w:adjustRightInd/>
              <w:spacing w:line="240" w:lineRule="auto"/>
              <w:textAlignment w:val="auto"/>
              <w:rPr>
                <w:rFonts w:hint="eastAsia" w:ascii="宋体" w:hAnsi="宋体" w:eastAsia="宋体" w:cs="宋体"/>
                <w:b/>
                <w:bCs/>
                <w:color w:val="auto"/>
                <w:kern w:val="2"/>
                <w:sz w:val="24"/>
                <w:szCs w:val="24"/>
                <w:highlight w:val="none"/>
                <w:lang w:val="zh-CN" w:eastAsia="zh-CN"/>
              </w:rPr>
            </w:pPr>
            <w:r>
              <w:rPr>
                <w:rFonts w:hint="eastAsia" w:ascii="宋体" w:hAnsi="宋体" w:eastAsia="宋体" w:cs="宋体"/>
                <w:b/>
                <w:bCs/>
                <w:color w:val="auto"/>
                <w:kern w:val="2"/>
                <w:sz w:val="24"/>
                <w:szCs w:val="24"/>
                <w:highlight w:val="none"/>
                <w:lang w:val="en-US" w:eastAsia="zh-CN"/>
              </w:rPr>
              <w:t>投标保证金</w:t>
            </w:r>
          </w:p>
        </w:tc>
        <w:tc>
          <w:tcPr>
            <w:tcW w:w="6569" w:type="dxa"/>
            <w:noWrap w:val="0"/>
            <w:vAlign w:val="center"/>
          </w:tcPr>
          <w:p w14:paraId="68E1E41A">
            <w:pPr>
              <w:snapToGrid w:val="0"/>
              <w:rPr>
                <w:rFonts w:hint="eastAsia"/>
                <w:color w:val="auto"/>
                <w:highlight w:val="none"/>
              </w:rPr>
            </w:pPr>
            <w:r>
              <w:rPr>
                <w:rFonts w:hint="eastAsia"/>
                <w:color w:val="auto"/>
                <w:highlight w:val="none"/>
              </w:rPr>
              <w:t>是否要求投标人递交投标保证金：</w:t>
            </w:r>
          </w:p>
          <w:p w14:paraId="068F785F">
            <w:pPr>
              <w:snapToGrid w:val="0"/>
              <w:rPr>
                <w:rFonts w:hint="eastAsia"/>
                <w:color w:val="auto"/>
                <w:highlight w:val="none"/>
              </w:rPr>
            </w:pPr>
            <w:r>
              <w:rPr>
                <w:rFonts w:hint="eastAsia"/>
                <w:color w:val="auto"/>
                <w:highlight w:val="none"/>
              </w:rPr>
              <w:sym w:font="Wingdings 2" w:char="0052"/>
            </w:r>
            <w:r>
              <w:rPr>
                <w:rFonts w:hint="eastAsia"/>
                <w:color w:val="auto"/>
                <w:highlight w:val="none"/>
                <w:lang w:val="en-US" w:eastAsia="zh-CN"/>
              </w:rPr>
              <w:t>不</w:t>
            </w:r>
            <w:r>
              <w:rPr>
                <w:rFonts w:hint="eastAsia"/>
                <w:color w:val="auto"/>
                <w:highlight w:val="none"/>
              </w:rPr>
              <w:t>要求</w:t>
            </w:r>
          </w:p>
          <w:p w14:paraId="061B0798">
            <w:pPr>
              <w:pStyle w:val="52"/>
              <w:ind w:left="0" w:leftChars="0" w:firstLine="0" w:firstLineChars="0"/>
              <w:rPr>
                <w:rFonts w:hint="eastAsia" w:eastAsia="宋体"/>
                <w:color w:val="auto"/>
                <w:highlight w:val="none"/>
                <w:lang w:eastAsia="zh-CN"/>
              </w:rPr>
            </w:pPr>
            <w:bookmarkStart w:id="543" w:name="_GoBack"/>
            <w:bookmarkEnd w:id="543"/>
          </w:p>
        </w:tc>
      </w:tr>
      <w:tr w14:paraId="0DBE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66" w:type="dxa"/>
            <w:noWrap w:val="0"/>
            <w:vAlign w:val="center"/>
          </w:tcPr>
          <w:p w14:paraId="643E5BC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910" w:type="dxa"/>
            <w:noWrap w:val="0"/>
            <w:vAlign w:val="center"/>
          </w:tcPr>
          <w:p w14:paraId="3C22E98D">
            <w:pPr>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答疑</w:t>
            </w:r>
          </w:p>
        </w:tc>
        <w:tc>
          <w:tcPr>
            <w:tcW w:w="6569" w:type="dxa"/>
            <w:noWrap w:val="0"/>
            <w:vAlign w:val="center"/>
          </w:tcPr>
          <w:p w14:paraId="280F9C61">
            <w:pPr>
              <w:rPr>
                <w:rFonts w:hint="default" w:ascii="宋体" w:hAnsi="宋体" w:eastAsia="宋体" w:cs="宋体"/>
                <w:color w:val="auto"/>
                <w:sz w:val="24"/>
                <w:szCs w:val="24"/>
                <w:highlight w:val="none"/>
                <w:lang w:val="en-US"/>
              </w:rPr>
            </w:pP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26</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15 </w:t>
            </w:r>
            <w:r>
              <w:rPr>
                <w:rFonts w:hint="eastAsia" w:ascii="宋体" w:hAnsi="宋体"/>
                <w:bCs/>
                <w:color w:val="auto"/>
                <w:sz w:val="24"/>
                <w:highlight w:val="none"/>
              </w:rPr>
              <w:t>:</w:t>
            </w:r>
            <w:r>
              <w:rPr>
                <w:rFonts w:hint="eastAsia" w:ascii="宋体" w:hAnsi="宋体"/>
                <w:bCs/>
                <w:color w:val="auto"/>
                <w:sz w:val="24"/>
                <w:highlight w:val="none"/>
                <w:u w:val="single"/>
                <w:lang w:val="en-US" w:eastAsia="zh-CN"/>
              </w:rPr>
              <w:t xml:space="preserve"> 00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现场答疑</w:t>
            </w:r>
            <w:r>
              <w:rPr>
                <w:rFonts w:hint="eastAsia"/>
                <w:bCs/>
                <w:color w:val="auto"/>
                <w:sz w:val="24"/>
                <w:szCs w:val="24"/>
                <w:highlight w:val="none"/>
                <w:lang w:eastAsia="zh-CN"/>
              </w:rPr>
              <w:t>。</w:t>
            </w:r>
            <w:r>
              <w:rPr>
                <w:rFonts w:hint="eastAsia"/>
                <w:bCs/>
                <w:color w:val="auto"/>
                <w:sz w:val="24"/>
                <w:szCs w:val="24"/>
                <w:highlight w:val="none"/>
                <w:lang w:val="en-US" w:eastAsia="zh-CN"/>
              </w:rPr>
              <w:t xml:space="preserve"> </w:t>
            </w:r>
          </w:p>
        </w:tc>
      </w:tr>
      <w:tr w14:paraId="7DD7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7410FCB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1910" w:type="dxa"/>
            <w:noWrap w:val="0"/>
            <w:vAlign w:val="center"/>
          </w:tcPr>
          <w:p w14:paraId="5365EB81">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勘察现场</w:t>
            </w:r>
          </w:p>
        </w:tc>
        <w:tc>
          <w:tcPr>
            <w:tcW w:w="6569" w:type="dxa"/>
            <w:noWrap w:val="0"/>
            <w:vAlign w:val="center"/>
          </w:tcPr>
          <w:p w14:paraId="7B5D7DDE">
            <w:pPr>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sym w:font="Wingdings" w:char="F0FE"/>
            </w:r>
            <w:r>
              <w:rPr>
                <w:rFonts w:hint="eastAsia" w:ascii="宋体" w:hAnsi="宋体" w:eastAsia="宋体" w:cs="宋体"/>
                <w:bCs/>
                <w:color w:val="auto"/>
                <w:sz w:val="24"/>
                <w:szCs w:val="24"/>
                <w:highlight w:val="none"/>
              </w:rPr>
              <w:t xml:space="preserve">自行勘察  </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 xml:space="preserve"> 统一组织</w:t>
            </w:r>
          </w:p>
        </w:tc>
      </w:tr>
      <w:tr w14:paraId="13EF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5FE820E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1910" w:type="dxa"/>
            <w:noWrap w:val="0"/>
            <w:vAlign w:val="center"/>
          </w:tcPr>
          <w:p w14:paraId="13614E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标书份数及封装</w:t>
            </w:r>
          </w:p>
        </w:tc>
        <w:tc>
          <w:tcPr>
            <w:tcW w:w="6569" w:type="dxa"/>
            <w:noWrap w:val="0"/>
            <w:vAlign w:val="center"/>
          </w:tcPr>
          <w:p w14:paraId="6CC85BFC">
            <w:pPr>
              <w:pStyle w:val="79"/>
              <w:contextualSpacing/>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1、商务标文件：1份正本，</w:t>
            </w:r>
            <w:r>
              <w:rPr>
                <w:rFonts w:hint="eastAsia" w:ascii="宋体" w:hAnsi="宋体" w:eastAsia="宋体" w:cs="宋体"/>
                <w:color w:val="auto"/>
                <w:sz w:val="24"/>
                <w:szCs w:val="24"/>
                <w:highlight w:val="none"/>
                <w:lang w:val="en-US" w:eastAsia="zh-CN"/>
              </w:rPr>
              <w:t>1分副本。</w:t>
            </w:r>
          </w:p>
          <w:p w14:paraId="6139FB0D">
            <w:pPr>
              <w:pStyle w:val="7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2、技术标文件：1份正本，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份副本。</w:t>
            </w:r>
          </w:p>
          <w:p w14:paraId="601A9F25">
            <w:pPr>
              <w:pStyle w:val="21"/>
              <w:rPr>
                <w:rFonts w:hint="eastAsia" w:ascii="宋体" w:hAnsi="宋体" w:eastAsia="宋体" w:cs="宋体"/>
                <w:b/>
                <w:bCs/>
                <w:color w:val="auto"/>
                <w:sz w:val="24"/>
                <w:szCs w:val="24"/>
                <w:highlight w:val="none"/>
              </w:rPr>
            </w:pP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、技术标、商务标必须分别封装,密封提交。</w:t>
            </w:r>
          </w:p>
        </w:tc>
      </w:tr>
      <w:tr w14:paraId="4256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7CDB27D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1910" w:type="dxa"/>
            <w:noWrap w:val="0"/>
            <w:vAlign w:val="center"/>
          </w:tcPr>
          <w:p w14:paraId="3DDB4443">
            <w:pPr>
              <w:ind w:left="841" w:hanging="84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69" w:type="dxa"/>
            <w:noWrap w:val="0"/>
            <w:vAlign w:val="center"/>
          </w:tcPr>
          <w:p w14:paraId="2675085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投标截止时间：同开标时间</w:t>
            </w:r>
          </w:p>
          <w:p w14:paraId="3A7832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标书递交地点：同开标地点</w:t>
            </w:r>
          </w:p>
          <w:p w14:paraId="74DBB530">
            <w:pPr>
              <w:ind w:left="-3" w:firstLine="3"/>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投标文件接收时间：北京时间</w:t>
            </w: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26</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2</w:t>
            </w:r>
            <w:r>
              <w:rPr>
                <w:rFonts w:hint="eastAsia" w:ascii="宋体" w:hAnsi="宋体"/>
                <w:bCs/>
                <w:color w:val="auto"/>
                <w:sz w:val="24"/>
                <w:highlight w:val="none"/>
              </w:rPr>
              <w:t>日</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 </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 xml:space="preserve"> 至北京时间</w:t>
            </w: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26</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15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00</w:t>
            </w:r>
          </w:p>
        </w:tc>
      </w:tr>
      <w:tr w14:paraId="68D7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866" w:type="dxa"/>
            <w:noWrap w:val="0"/>
            <w:vAlign w:val="center"/>
          </w:tcPr>
          <w:p w14:paraId="74BA164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1910" w:type="dxa"/>
            <w:noWrap w:val="0"/>
            <w:vAlign w:val="center"/>
          </w:tcPr>
          <w:p w14:paraId="223646AA">
            <w:pPr>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开标时间及地点</w:t>
            </w:r>
          </w:p>
        </w:tc>
        <w:tc>
          <w:tcPr>
            <w:tcW w:w="6569" w:type="dxa"/>
            <w:noWrap w:val="0"/>
            <w:vAlign w:val="center"/>
          </w:tcPr>
          <w:p w14:paraId="2101EAFB">
            <w:pPr>
              <w:rPr>
                <w:rFonts w:hint="default" w:ascii="宋体" w:hAnsi="宋体" w:eastAsia="宋体" w:cs="宋体"/>
                <w:color w:val="auto"/>
                <w:sz w:val="24"/>
                <w:szCs w:val="24"/>
                <w:highlight w:val="none"/>
                <w:u w:val="single"/>
                <w:lang w:val="en-US"/>
              </w:rPr>
            </w:pPr>
            <w:r>
              <w:rPr>
                <w:rFonts w:hint="eastAsia" w:ascii="宋体" w:hAnsi="宋体" w:eastAsia="宋体" w:cs="宋体"/>
                <w:color w:val="auto"/>
                <w:sz w:val="24"/>
                <w:szCs w:val="24"/>
                <w:highlight w:val="none"/>
              </w:rPr>
              <w:t>开标时间：</w:t>
            </w: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26</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15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00 </w:t>
            </w:r>
          </w:p>
          <w:p w14:paraId="63D8FE49">
            <w:pP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开标地点：</w:t>
            </w:r>
            <w:r>
              <w:rPr>
                <w:rFonts w:hint="eastAsia" w:ascii="宋体" w:hAnsi="宋体" w:eastAsia="宋体" w:cs="宋体"/>
                <w:i w:val="0"/>
                <w:iCs w:val="0"/>
                <w:caps w:val="0"/>
                <w:color w:val="auto"/>
                <w:spacing w:val="0"/>
                <w:sz w:val="24"/>
                <w:szCs w:val="24"/>
                <w:highlight w:val="none"/>
              </w:rPr>
              <w:t>合肥市包河区大圩镇磨滩</w:t>
            </w:r>
            <w:r>
              <w:rPr>
                <w:rFonts w:hint="eastAsia" w:cs="宋体"/>
                <w:i w:val="0"/>
                <w:iCs w:val="0"/>
                <w:caps w:val="0"/>
                <w:color w:val="auto"/>
                <w:spacing w:val="0"/>
                <w:sz w:val="24"/>
                <w:szCs w:val="24"/>
                <w:highlight w:val="none"/>
                <w:lang w:val="en-US" w:eastAsia="zh-CN"/>
              </w:rPr>
              <w:t>旅游度假区办公楼三楼会议室</w:t>
            </w:r>
            <w:r>
              <w:rPr>
                <w:rFonts w:hint="eastAsia" w:ascii="宋体" w:hAnsi="宋体" w:eastAsia="宋体" w:cs="宋体"/>
                <w:color w:val="auto"/>
                <w:kern w:val="0"/>
                <w:sz w:val="24"/>
                <w:szCs w:val="24"/>
                <w:highlight w:val="none"/>
                <w:lang w:val="zh-CN"/>
              </w:rPr>
              <w:t xml:space="preserve">                                                                                                                                                                                                                                                                                                                                                                                                                                                                                                                                                                                                                                                                                                                                                                                                                                                                                                                                                                                                                                                                                                                                                                                                                                                                                                                                                                                                                                                                                                                                                                                                                                                                                                                                                                                                                                                                                                                                                                                                                                                                                                                                                                                                                                                                                                                                                                                                                                                                                                                                                                                                                                                                                                                                                                                                                                                                                                                                                                                                                                                                                                                                                                                                                            </w:t>
            </w:r>
          </w:p>
        </w:tc>
      </w:tr>
      <w:tr w14:paraId="30BD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66" w:type="dxa"/>
            <w:noWrap w:val="0"/>
            <w:vAlign w:val="center"/>
          </w:tcPr>
          <w:p w14:paraId="2A904A3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1910" w:type="dxa"/>
            <w:noWrap w:val="0"/>
            <w:vAlign w:val="center"/>
          </w:tcPr>
          <w:p w14:paraId="0A3CEF1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69" w:type="dxa"/>
            <w:noWrap w:val="0"/>
            <w:vAlign w:val="center"/>
          </w:tcPr>
          <w:p w14:paraId="26361458">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简易中位值法</w:t>
            </w:r>
            <w:r>
              <w:rPr>
                <w:rFonts w:hint="eastAsia" w:ascii="宋体" w:hAnsi="宋体" w:eastAsia="宋体" w:cs="宋体"/>
                <w:color w:val="auto"/>
                <w:sz w:val="24"/>
                <w:szCs w:val="24"/>
                <w:highlight w:val="none"/>
              </w:rPr>
              <w:t>，详见招标文件第一部分第</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章评标办法。</w:t>
            </w:r>
          </w:p>
        </w:tc>
      </w:tr>
      <w:tr w14:paraId="63B8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7C9B019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1910" w:type="dxa"/>
            <w:noWrap w:val="0"/>
            <w:vAlign w:val="center"/>
          </w:tcPr>
          <w:p w14:paraId="5D57FF89">
            <w:pPr>
              <w:jc w:val="center"/>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履约保证金</w:t>
            </w:r>
          </w:p>
        </w:tc>
        <w:tc>
          <w:tcPr>
            <w:tcW w:w="6569" w:type="dxa"/>
            <w:noWrap w:val="0"/>
            <w:vAlign w:val="center"/>
          </w:tcPr>
          <w:p w14:paraId="0E3076EA">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（1）金额：中标合同价的2% </w:t>
            </w:r>
          </w:p>
          <w:p w14:paraId="1EFB612E">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（2）缴纳形式：</w:t>
            </w:r>
            <w:r>
              <w:rPr>
                <w:rFonts w:ascii="Wingdings 2" w:hAnsi="Wingdings 2" w:eastAsia="Wingdings 2" w:cs="Wingdings 2"/>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银行转账 </w:t>
            </w:r>
            <w:r>
              <w:rPr>
                <w:rFonts w:hint="default" w:ascii="Wingdings 2" w:hAnsi="Wingdings 2" w:eastAsia="Wingdings 2" w:cs="Wingdings 2"/>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银行电汇 </w:t>
            </w:r>
            <w:r>
              <w:rPr>
                <w:rFonts w:hint="default" w:ascii="Wingdings 2" w:hAnsi="Wingdings 2" w:eastAsia="Wingdings 2" w:cs="Wingdings 2"/>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银行保函 </w:t>
            </w:r>
          </w:p>
          <w:p w14:paraId="60935C0D">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（3）具体要求：采用银行保函的，应为不可撤销、不可转让的见索即付独立保函。 </w:t>
            </w:r>
          </w:p>
          <w:p w14:paraId="38ACA3D5">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（4）收受人：合肥市包河区乡村振兴投资有限公司 </w:t>
            </w:r>
          </w:p>
          <w:p w14:paraId="1E34865D">
            <w:pPr>
              <w:keepNext w:val="0"/>
              <w:keepLines w:val="0"/>
              <w:widowControl/>
              <w:suppressLineNumbers w:val="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kern w:val="0"/>
                <w:sz w:val="24"/>
                <w:szCs w:val="24"/>
                <w:lang w:val="en-US" w:eastAsia="zh-CN" w:bidi="ar"/>
              </w:rPr>
              <w:t>（5）其他要求：本项目工程验收合格后 30 日内退还</w:t>
            </w:r>
          </w:p>
        </w:tc>
      </w:tr>
      <w:tr w14:paraId="40D2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3B7C308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1910" w:type="dxa"/>
            <w:noWrap w:val="0"/>
            <w:vAlign w:val="center"/>
          </w:tcPr>
          <w:p w14:paraId="21AA96D4">
            <w:pPr>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投标人信用记录</w:t>
            </w:r>
          </w:p>
        </w:tc>
        <w:tc>
          <w:tcPr>
            <w:tcW w:w="6569" w:type="dxa"/>
            <w:shd w:val="clear" w:color="auto" w:fill="auto"/>
            <w:noWrap w:val="0"/>
            <w:vAlign w:val="center"/>
          </w:tcPr>
          <w:p w14:paraId="06E8D825">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投标文件中须提供投标人信用承诺（格式见第</w:t>
            </w:r>
            <w:r>
              <w:rPr>
                <w:rFonts w:hint="eastAsia" w:ascii="宋体" w:hAnsi="宋体" w:eastAsia="宋体" w:cs="宋体"/>
                <w:color w:val="auto"/>
                <w:sz w:val="24"/>
                <w:szCs w:val="24"/>
                <w:highlight w:val="none"/>
                <w:lang w:eastAsia="zh-CN"/>
              </w:rPr>
              <w:t>八</w:t>
            </w:r>
            <w:r>
              <w:rPr>
                <w:rFonts w:hint="eastAsia" w:ascii="宋体" w:hAnsi="宋体" w:eastAsia="宋体" w:cs="宋体"/>
                <w:color w:val="auto"/>
                <w:sz w:val="24"/>
                <w:szCs w:val="24"/>
                <w:highlight w:val="none"/>
              </w:rPr>
              <w:t>章“投标人信用承诺”）【“投标人信用承诺”须盖投标人公章（或投标人电子签章）】。</w:t>
            </w:r>
            <w:r>
              <w:rPr>
                <w:rFonts w:hint="eastAsia" w:ascii="宋体" w:hAnsi="宋体" w:eastAsia="宋体" w:cs="宋体"/>
                <w:b/>
                <w:color w:val="auto"/>
                <w:sz w:val="24"/>
                <w:szCs w:val="24"/>
                <w:highlight w:val="none"/>
              </w:rPr>
              <w:t>（未提供或提供不符合的，投标无效）</w:t>
            </w:r>
          </w:p>
        </w:tc>
      </w:tr>
      <w:tr w14:paraId="563D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379CB4A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1910" w:type="dxa"/>
            <w:noWrap w:val="0"/>
            <w:vAlign w:val="center"/>
          </w:tcPr>
          <w:p w14:paraId="65573D1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资格审查方式</w:t>
            </w:r>
          </w:p>
        </w:tc>
        <w:tc>
          <w:tcPr>
            <w:tcW w:w="6569" w:type="dxa"/>
            <w:noWrap w:val="0"/>
            <w:vAlign w:val="center"/>
          </w:tcPr>
          <w:p w14:paraId="7337D06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w:t>
            </w:r>
            <w:r>
              <w:rPr>
                <w:rFonts w:hint="eastAsia" w:ascii="宋体" w:hAnsi="宋体" w:cs="宋体"/>
                <w:color w:val="auto"/>
                <w:sz w:val="24"/>
                <w:szCs w:val="24"/>
                <w:highlight w:val="none"/>
                <w:lang w:val="en-US" w:eastAsia="zh-CN"/>
              </w:rPr>
              <w:t>后</w:t>
            </w:r>
            <w:r>
              <w:rPr>
                <w:rFonts w:hint="eastAsia" w:ascii="宋体" w:hAnsi="宋体" w:eastAsia="宋体" w:cs="宋体"/>
                <w:color w:val="auto"/>
                <w:sz w:val="24"/>
                <w:szCs w:val="24"/>
                <w:highlight w:val="none"/>
              </w:rPr>
              <w:t>审。</w:t>
            </w:r>
          </w:p>
        </w:tc>
      </w:tr>
      <w:tr w14:paraId="5256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jc w:val="center"/>
        </w:trPr>
        <w:tc>
          <w:tcPr>
            <w:tcW w:w="866" w:type="dxa"/>
            <w:noWrap w:val="0"/>
            <w:vAlign w:val="center"/>
          </w:tcPr>
          <w:p w14:paraId="73EB8BFD">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p>
        </w:tc>
        <w:tc>
          <w:tcPr>
            <w:tcW w:w="1910" w:type="dxa"/>
            <w:noWrap w:val="0"/>
            <w:vAlign w:val="center"/>
          </w:tcPr>
          <w:p w14:paraId="27F8009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本项目提供除电子版招标文件以外的其他资料</w:t>
            </w:r>
          </w:p>
        </w:tc>
        <w:tc>
          <w:tcPr>
            <w:tcW w:w="6569" w:type="dxa"/>
            <w:noWrap w:val="0"/>
            <w:vAlign w:val="center"/>
          </w:tcPr>
          <w:p w14:paraId="38A5A9C2">
            <w:pP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sym w:font="Wingdings" w:char="00A8"/>
            </w:r>
            <w:r>
              <w:rPr>
                <w:rFonts w:hint="eastAsia" w:ascii="宋体" w:hAnsi="宋体" w:eastAsia="宋体" w:cs="宋体"/>
                <w:bCs/>
                <w:color w:val="auto"/>
                <w:sz w:val="24"/>
                <w:szCs w:val="24"/>
                <w:highlight w:val="none"/>
              </w:rPr>
              <w:t xml:space="preserve">无   </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rPr>
              <w:t xml:space="preserve">电子版图纸   </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rPr>
              <w:t>光盘</w:t>
            </w:r>
          </w:p>
        </w:tc>
      </w:tr>
      <w:tr w14:paraId="7F4D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66" w:type="dxa"/>
            <w:noWrap w:val="0"/>
            <w:vAlign w:val="center"/>
          </w:tcPr>
          <w:p w14:paraId="41F27820">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4</w:t>
            </w:r>
          </w:p>
        </w:tc>
        <w:tc>
          <w:tcPr>
            <w:tcW w:w="1910" w:type="dxa"/>
            <w:noWrap w:val="0"/>
            <w:vAlign w:val="center"/>
          </w:tcPr>
          <w:p w14:paraId="3385137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工程重难点</w:t>
            </w:r>
          </w:p>
        </w:tc>
        <w:tc>
          <w:tcPr>
            <w:tcW w:w="6569" w:type="dxa"/>
            <w:noWrap w:val="0"/>
            <w:vAlign w:val="center"/>
          </w:tcPr>
          <w:p w14:paraId="45BE554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中标人在工程施工中必须严格执行本项目招标文件中要求的技术标准和要求，遵守发包人制定的项目管理相关制度规定，满足发包人的各项管理规定要求。本项目工程管理严格按照招标人《滨湖集团安全生产管理办法》《滨湖集团工程管理检查制度》《滨湖集团建设工程合约单位违约行为违约金支付标准管理办法》《滨湖集团工程变更及签证管理办法》《滨湖集团工程款支付申请管理办法》《滨湖集团工程结算管理办法》等相关制度执行；</w:t>
            </w:r>
          </w:p>
          <w:p w14:paraId="5415AAC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该项目任务重、工期紧，中标人需合理布置施工进度计划，提前做好材料采购计划。承包人在收到发包人发出的开工令后，须严格按照合同工期要求，保质保量按期完成工程全部内容，并通过竣工验收。每延期竣工一天，承包人支付发包人</w:t>
            </w: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000元/天的违约金；延期竣工15日以上的，发包人有权解除合同，并追究连带损失（因非承包人原因引起的逾期除外）</w:t>
            </w:r>
            <w:r>
              <w:rPr>
                <w:rFonts w:hint="eastAsia" w:ascii="宋体" w:hAnsi="宋体" w:cs="宋体"/>
                <w:bCs/>
                <w:color w:val="auto"/>
                <w:sz w:val="24"/>
                <w:szCs w:val="24"/>
                <w:lang w:eastAsia="zh-CN"/>
              </w:rPr>
              <w:t>；</w:t>
            </w:r>
          </w:p>
          <w:p w14:paraId="678FC224">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cs="宋体"/>
                <w:bCs/>
                <w:color w:val="auto"/>
                <w:sz w:val="24"/>
                <w:szCs w:val="24"/>
                <w:lang w:val="en-US" w:eastAsia="zh-CN"/>
              </w:rPr>
            </w:pPr>
            <w:r>
              <w:rPr>
                <w:rFonts w:hint="eastAsia" w:ascii="宋体" w:hAnsi="宋体" w:eastAsia="宋体" w:cs="宋体"/>
                <w:bCs/>
                <w:color w:val="auto"/>
                <w:sz w:val="24"/>
                <w:szCs w:val="24"/>
                <w:lang w:val="en-US" w:eastAsia="zh-CN"/>
              </w:rPr>
              <w:t>3、施工过程注意成品保护，因成品保护措施不到位造成的相应损失，由投标人自行承担。</w:t>
            </w:r>
          </w:p>
        </w:tc>
      </w:tr>
      <w:bookmarkEnd w:id="13"/>
    </w:tbl>
    <w:p w14:paraId="23DFBB71">
      <w:pPr>
        <w:pStyle w:val="3"/>
        <w:keepNext/>
        <w:keepLines/>
        <w:pageBreakBefore/>
        <w:widowControl w:val="0"/>
        <w:kinsoku/>
        <w:wordWrap/>
        <w:overflowPunct/>
        <w:topLinePunct w:val="0"/>
        <w:autoSpaceDE/>
        <w:autoSpaceDN/>
        <w:bidi w:val="0"/>
        <w:adjustRightInd/>
        <w:snapToGrid/>
        <w:spacing w:line="500" w:lineRule="exact"/>
        <w:ind w:firstLine="629"/>
        <w:textAlignment w:val="auto"/>
        <w:rPr>
          <w:rFonts w:hint="eastAsia" w:ascii="黑体"/>
          <w:color w:val="auto"/>
          <w:highlight w:val="none"/>
        </w:rPr>
      </w:pPr>
      <w:bookmarkStart w:id="14" w:name="_Hlt509650027"/>
      <w:bookmarkEnd w:id="14"/>
      <w:bookmarkStart w:id="15" w:name="_Hlt519045778"/>
      <w:bookmarkEnd w:id="15"/>
      <w:r>
        <w:rPr>
          <w:rFonts w:hint="eastAsia" w:ascii="宋体" w:hAnsi="宋体" w:eastAsia="宋体"/>
          <w:color w:val="auto"/>
          <w:highlight w:val="none"/>
        </w:rPr>
        <w:t>第</w:t>
      </w:r>
      <w:bookmarkStart w:id="16" w:name="_Hlt240110027"/>
      <w:bookmarkEnd w:id="16"/>
      <w:r>
        <w:rPr>
          <w:rFonts w:hint="eastAsia" w:ascii="宋体" w:hAnsi="宋体" w:eastAsia="宋体"/>
          <w:color w:val="auto"/>
          <w:highlight w:val="none"/>
          <w:lang w:val="en-US" w:eastAsia="zh-CN"/>
        </w:rPr>
        <w:t>三</w:t>
      </w:r>
      <w:r>
        <w:rPr>
          <w:rFonts w:hint="eastAsia" w:ascii="宋体" w:hAnsi="宋体" w:eastAsia="宋体"/>
          <w:color w:val="auto"/>
          <w:highlight w:val="none"/>
        </w:rPr>
        <w:t>章 评标办法</w:t>
      </w:r>
    </w:p>
    <w:p w14:paraId="211D6698">
      <w:pPr>
        <w:tabs>
          <w:tab w:val="left" w:pos="360"/>
          <w:tab w:val="left" w:pos="540"/>
          <w:tab w:val="left" w:pos="3600"/>
          <w:tab w:val="left" w:pos="3780"/>
          <w:tab w:val="left" w:pos="8460"/>
          <w:tab w:val="left" w:pos="9180"/>
        </w:tabs>
        <w:adjustRightInd w:val="0"/>
        <w:snapToGrid w:val="0"/>
        <w:spacing w:line="360" w:lineRule="auto"/>
        <w:ind w:right="-21" w:rightChars="-10" w:firstLine="361" w:firstLineChars="150"/>
        <w:jc w:val="center"/>
        <w:rPr>
          <w:rFonts w:hint="eastAsia" w:ascii="宋体" w:hAnsi="宋体"/>
          <w:b/>
          <w:color w:val="auto"/>
          <w:sz w:val="24"/>
          <w:highlight w:val="none"/>
        </w:rPr>
      </w:pPr>
      <w:r>
        <w:rPr>
          <w:rFonts w:hint="eastAsia" w:ascii="宋体" w:hAnsi="宋体"/>
          <w:b/>
          <w:color w:val="auto"/>
          <w:sz w:val="24"/>
          <w:highlight w:val="none"/>
        </w:rPr>
        <w:t>第一章    总  则</w:t>
      </w:r>
    </w:p>
    <w:p w14:paraId="1957BC07">
      <w:pPr>
        <w:adjustRightInd w:val="0"/>
        <w:snapToGrid w:val="0"/>
        <w:spacing w:line="360" w:lineRule="auto"/>
        <w:ind w:right="-10" w:firstLine="482" w:firstLineChars="200"/>
        <w:rPr>
          <w:rFonts w:hint="eastAsia" w:ascii="宋体" w:hAnsi="宋体"/>
          <w:color w:val="auto"/>
          <w:sz w:val="24"/>
          <w:highlight w:val="none"/>
        </w:rPr>
      </w:pPr>
      <w:r>
        <w:rPr>
          <w:rFonts w:hint="eastAsia" w:ascii="宋体" w:hAnsi="宋体"/>
          <w:b/>
          <w:bCs/>
          <w:color w:val="auto"/>
          <w:sz w:val="24"/>
          <w:highlight w:val="none"/>
        </w:rPr>
        <w:t xml:space="preserve">第二条 </w:t>
      </w:r>
      <w:r>
        <w:rPr>
          <w:rFonts w:hint="eastAsia" w:ascii="宋体" w:hAnsi="宋体"/>
          <w:color w:val="auto"/>
          <w:sz w:val="24"/>
          <w:highlight w:val="none"/>
        </w:rPr>
        <w:t>本次项目评标采用</w:t>
      </w:r>
      <w:r>
        <w:rPr>
          <w:rFonts w:hint="eastAsia" w:ascii="宋体" w:hAnsi="宋体"/>
          <w:b/>
          <w:color w:val="auto"/>
          <w:sz w:val="24"/>
          <w:highlight w:val="none"/>
          <w:lang w:eastAsia="zh-CN"/>
        </w:rPr>
        <w:t>简易中位值</w:t>
      </w:r>
      <w:r>
        <w:rPr>
          <w:rFonts w:hint="eastAsia" w:ascii="宋体" w:hAnsi="宋体"/>
          <w:b/>
          <w:color w:val="auto"/>
          <w:sz w:val="24"/>
          <w:highlight w:val="none"/>
        </w:rPr>
        <w:t>法</w:t>
      </w:r>
      <w:r>
        <w:rPr>
          <w:rFonts w:hint="eastAsia" w:ascii="宋体" w:hAnsi="宋体"/>
          <w:color w:val="auto"/>
          <w:sz w:val="24"/>
          <w:highlight w:val="none"/>
        </w:rPr>
        <w:t>作为对投标人标书的比较方法</w:t>
      </w:r>
      <w:r>
        <w:rPr>
          <w:rFonts w:hint="eastAsia" w:ascii="宋体" w:hAnsi="宋体" w:cs="宋体-18030"/>
          <w:color w:val="auto"/>
          <w:sz w:val="24"/>
          <w:highlight w:val="none"/>
        </w:rPr>
        <w:t>。</w:t>
      </w:r>
    </w:p>
    <w:p w14:paraId="48C752EA">
      <w:pPr>
        <w:adjustRightInd w:val="0"/>
        <w:snapToGrid w:val="0"/>
        <w:spacing w:line="360" w:lineRule="auto"/>
        <w:ind w:left="-61" w:leftChars="-29" w:right="-10" w:firstLine="602" w:firstLineChars="250"/>
        <w:rPr>
          <w:rFonts w:hint="eastAsia" w:ascii="宋体" w:hAnsi="宋体"/>
          <w:color w:val="auto"/>
          <w:sz w:val="24"/>
          <w:highlight w:val="none"/>
        </w:rPr>
      </w:pPr>
      <w:r>
        <w:rPr>
          <w:rFonts w:hint="eastAsia" w:ascii="宋体" w:hAnsi="宋体"/>
          <w:b/>
          <w:color w:val="auto"/>
          <w:sz w:val="24"/>
          <w:highlight w:val="none"/>
        </w:rPr>
        <w:t xml:space="preserve">第三条 </w:t>
      </w:r>
      <w:r>
        <w:rPr>
          <w:rFonts w:hint="eastAsia" w:ascii="宋体" w:hAnsi="宋体"/>
          <w:color w:val="auto"/>
          <w:sz w:val="24"/>
          <w:highlight w:val="none"/>
        </w:rPr>
        <w:t>招标人将</w:t>
      </w:r>
      <w:r>
        <w:rPr>
          <w:rFonts w:hint="eastAsia" w:ascii="宋体" w:hAnsi="宋体"/>
          <w:bCs/>
          <w:color w:val="auto"/>
          <w:sz w:val="24"/>
          <w:highlight w:val="none"/>
        </w:rPr>
        <w:t>组织</w:t>
      </w:r>
      <w:r>
        <w:rPr>
          <w:rFonts w:hint="eastAsia" w:ascii="宋体" w:hAnsi="宋体"/>
          <w:color w:val="auto"/>
          <w:sz w:val="24"/>
          <w:highlight w:val="none"/>
        </w:rPr>
        <w:t>不少于</w:t>
      </w:r>
      <w:r>
        <w:rPr>
          <w:rFonts w:hint="eastAsia" w:ascii="宋体" w:hAnsi="宋体"/>
          <w:b/>
          <w:color w:val="auto"/>
          <w:sz w:val="24"/>
          <w:highlight w:val="none"/>
          <w:u w:val="single"/>
        </w:rPr>
        <w:t>3</w:t>
      </w:r>
      <w:r>
        <w:rPr>
          <w:rFonts w:hint="eastAsia" w:ascii="宋体" w:hAnsi="宋体"/>
          <w:color w:val="auto"/>
          <w:sz w:val="24"/>
          <w:highlight w:val="none"/>
        </w:rPr>
        <w:t>人组成的评标委员会（以下简称评委会），负责本项目的评标工作。招标人内部监督小组，负责评标过程中的记录、联络及评委会交办的其他工作。</w:t>
      </w:r>
    </w:p>
    <w:p w14:paraId="615C2551">
      <w:pPr>
        <w:adjustRightInd w:val="0"/>
        <w:snapToGrid w:val="0"/>
        <w:spacing w:line="360" w:lineRule="auto"/>
        <w:ind w:right="-10" w:firstLine="482" w:firstLineChars="200"/>
        <w:rPr>
          <w:rFonts w:hint="eastAsia" w:ascii="宋体" w:hAnsi="宋体"/>
          <w:color w:val="auto"/>
          <w:sz w:val="24"/>
          <w:highlight w:val="none"/>
        </w:rPr>
      </w:pPr>
      <w:r>
        <w:rPr>
          <w:rFonts w:hint="eastAsia" w:ascii="宋体" w:hAnsi="宋体"/>
          <w:b/>
          <w:color w:val="auto"/>
          <w:sz w:val="24"/>
          <w:highlight w:val="none"/>
        </w:rPr>
        <w:t xml:space="preserve">第四条 </w:t>
      </w:r>
      <w:r>
        <w:rPr>
          <w:rFonts w:hint="eastAsia" w:ascii="宋体" w:hAnsi="宋体"/>
          <w:color w:val="auto"/>
          <w:sz w:val="24"/>
          <w:highlight w:val="none"/>
        </w:rPr>
        <w:t>评委会按照“客观公正，实事求是”的原则，评价参加本次招标的投标人所提供的服务对招标文件的符合性及响应性。</w:t>
      </w:r>
    </w:p>
    <w:p w14:paraId="174D167D">
      <w:pPr>
        <w:adjustRightInd w:val="0"/>
        <w:snapToGrid w:val="0"/>
        <w:spacing w:line="360" w:lineRule="auto"/>
        <w:ind w:right="-10"/>
        <w:jc w:val="center"/>
        <w:rPr>
          <w:rFonts w:hint="eastAsia" w:ascii="宋体" w:hAnsi="宋体"/>
          <w:color w:val="auto"/>
          <w:sz w:val="24"/>
          <w:highlight w:val="none"/>
        </w:rPr>
      </w:pPr>
      <w:r>
        <w:rPr>
          <w:rFonts w:hint="eastAsia" w:ascii="宋体" w:hAnsi="宋体"/>
          <w:b/>
          <w:color w:val="auto"/>
          <w:sz w:val="24"/>
          <w:highlight w:val="none"/>
        </w:rPr>
        <w:t>二、  评标程序及评审细则</w:t>
      </w:r>
    </w:p>
    <w:p w14:paraId="528B87FF">
      <w:pPr>
        <w:adjustRightInd w:val="0"/>
        <w:snapToGrid w:val="0"/>
        <w:spacing w:line="360" w:lineRule="auto"/>
        <w:ind w:right="-10" w:firstLine="480"/>
        <w:rPr>
          <w:rFonts w:hint="eastAsia" w:ascii="宋体" w:hAnsi="宋体"/>
          <w:color w:val="auto"/>
          <w:sz w:val="24"/>
          <w:highlight w:val="none"/>
        </w:rPr>
      </w:pPr>
      <w:r>
        <w:rPr>
          <w:rFonts w:hint="eastAsia" w:ascii="宋体" w:hAnsi="宋体"/>
          <w:b/>
          <w:color w:val="auto"/>
          <w:sz w:val="24"/>
          <w:highlight w:val="none"/>
        </w:rPr>
        <w:t>第五条</w:t>
      </w:r>
      <w:r>
        <w:rPr>
          <w:rFonts w:hint="eastAsia" w:ascii="宋体" w:hAnsi="宋体"/>
          <w:color w:val="auto"/>
          <w:sz w:val="24"/>
          <w:highlight w:val="none"/>
        </w:rPr>
        <w:t xml:space="preserve"> 评标工作于开标后进行。评委会应认真研究招标文件，至少应了解和熟悉以下内容：</w:t>
      </w:r>
    </w:p>
    <w:p w14:paraId="20FB7C3F">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（一）招标的目标；</w:t>
      </w:r>
    </w:p>
    <w:p w14:paraId="077F8C78">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（二）招标项目的范围和性质；</w:t>
      </w:r>
    </w:p>
    <w:p w14:paraId="6C0A6478">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（三）招标文件中规定的主要服务要求、标准和商务条款；</w:t>
      </w:r>
    </w:p>
    <w:p w14:paraId="644CBB3A">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（四）招标文件规定的评标标准、评标方法和在评标过程中考虑的相关因素。</w:t>
      </w:r>
    </w:p>
    <w:p w14:paraId="339D0F5E">
      <w:pPr>
        <w:adjustRightInd w:val="0"/>
        <w:snapToGrid w:val="0"/>
        <w:spacing w:line="360" w:lineRule="auto"/>
        <w:ind w:right="-10" w:firstLine="482" w:firstLineChars="200"/>
        <w:rPr>
          <w:rFonts w:hint="eastAsia" w:ascii="宋体" w:hAnsi="宋体"/>
          <w:color w:val="auto"/>
          <w:sz w:val="24"/>
          <w:highlight w:val="none"/>
        </w:rPr>
      </w:pPr>
      <w:r>
        <w:rPr>
          <w:rFonts w:hint="eastAsia" w:ascii="宋体" w:hAnsi="宋体"/>
          <w:b/>
          <w:color w:val="auto"/>
          <w:sz w:val="24"/>
          <w:highlight w:val="none"/>
        </w:rPr>
        <w:t>第六条</w:t>
      </w:r>
      <w:r>
        <w:rPr>
          <w:rFonts w:hint="eastAsia" w:ascii="宋体" w:hAnsi="宋体"/>
          <w:color w:val="auto"/>
          <w:sz w:val="24"/>
          <w:highlight w:val="none"/>
        </w:rPr>
        <w:t xml:space="preserve"> 有效投标应符合以下原则：</w:t>
      </w:r>
    </w:p>
    <w:p w14:paraId="53EB59BC">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（一）满足招标文件的实质性要求；</w:t>
      </w:r>
    </w:p>
    <w:p w14:paraId="52D680FF">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（二）无重大偏离、保留或招标人不能接受的附加条件；</w:t>
      </w:r>
    </w:p>
    <w:p w14:paraId="43AA2BFB">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（三）通过投标初审；</w:t>
      </w:r>
    </w:p>
    <w:p w14:paraId="0B331061">
      <w:pPr>
        <w:adjustRightInd w:val="0"/>
        <w:snapToGrid w:val="0"/>
        <w:spacing w:line="360" w:lineRule="auto"/>
        <w:ind w:right="-10" w:firstLine="480" w:firstLineChars="200"/>
        <w:rPr>
          <w:rFonts w:hint="eastAsia" w:ascii="宋体" w:hAnsi="宋体"/>
          <w:color w:val="auto"/>
          <w:sz w:val="24"/>
          <w:highlight w:val="none"/>
        </w:rPr>
      </w:pPr>
      <w:r>
        <w:rPr>
          <w:rFonts w:hint="eastAsia" w:ascii="宋体" w:hAnsi="宋体"/>
          <w:color w:val="auto"/>
          <w:sz w:val="24"/>
          <w:highlight w:val="none"/>
        </w:rPr>
        <w:t>（四）报价不低于投标成本；</w:t>
      </w:r>
    </w:p>
    <w:p w14:paraId="5B909241">
      <w:pPr>
        <w:adjustRightInd w:val="0"/>
        <w:snapToGrid w:val="0"/>
        <w:spacing w:line="360" w:lineRule="auto"/>
        <w:ind w:right="-10" w:firstLine="480" w:firstLineChars="200"/>
        <w:rPr>
          <w:rFonts w:hint="eastAsia" w:ascii="宋体" w:hAnsi="宋体"/>
          <w:color w:val="auto"/>
          <w:sz w:val="24"/>
          <w:highlight w:val="none"/>
        </w:rPr>
      </w:pPr>
      <w:r>
        <w:rPr>
          <w:rFonts w:hint="eastAsia" w:ascii="宋体" w:hAnsi="宋体"/>
          <w:color w:val="auto"/>
          <w:sz w:val="24"/>
          <w:highlight w:val="none"/>
        </w:rPr>
        <w:t>（五）评委会依据招标文件认定的其他原则。</w:t>
      </w:r>
    </w:p>
    <w:p w14:paraId="6EB6210B">
      <w:pPr>
        <w:adjustRightInd w:val="0"/>
        <w:snapToGrid w:val="0"/>
        <w:spacing w:line="360" w:lineRule="auto"/>
        <w:ind w:right="-10" w:firstLine="482" w:firstLineChars="200"/>
        <w:rPr>
          <w:rFonts w:hint="eastAsia" w:ascii="宋体" w:hAnsi="宋体"/>
          <w:color w:val="auto"/>
          <w:sz w:val="24"/>
          <w:highlight w:val="none"/>
        </w:rPr>
      </w:pPr>
      <w:r>
        <w:rPr>
          <w:rFonts w:hint="eastAsia" w:ascii="宋体" w:hAnsi="宋体"/>
          <w:b/>
          <w:color w:val="auto"/>
          <w:sz w:val="24"/>
          <w:highlight w:val="none"/>
        </w:rPr>
        <w:t xml:space="preserve">第七条 </w:t>
      </w:r>
      <w:r>
        <w:rPr>
          <w:rFonts w:hint="eastAsia" w:ascii="宋体" w:hAnsi="宋体" w:cs="宋体-18030"/>
          <w:color w:val="auto"/>
          <w:sz w:val="24"/>
          <w:highlight w:val="none"/>
        </w:rPr>
        <w:t>评委会遵循公开、公平、公正和科学诚信的原则，对所有投标文件均采用相同程序和标准，进行评定。</w:t>
      </w:r>
    </w:p>
    <w:p w14:paraId="0717010A">
      <w:pPr>
        <w:adjustRightInd w:val="0"/>
        <w:snapToGrid w:val="0"/>
        <w:spacing w:line="360" w:lineRule="auto"/>
        <w:ind w:right="-10" w:firstLine="482" w:firstLineChars="200"/>
        <w:rPr>
          <w:rFonts w:hint="eastAsia" w:ascii="宋体" w:hAnsi="宋体" w:cs="宋体-18030"/>
          <w:color w:val="auto"/>
          <w:sz w:val="24"/>
          <w:szCs w:val="22"/>
          <w:highlight w:val="none"/>
        </w:rPr>
      </w:pPr>
      <w:r>
        <w:rPr>
          <w:rFonts w:hint="eastAsia" w:ascii="宋体" w:hAnsi="宋体"/>
          <w:b/>
          <w:color w:val="auto"/>
          <w:sz w:val="24"/>
          <w:highlight w:val="none"/>
        </w:rPr>
        <w:t>第八条</w:t>
      </w:r>
      <w:r>
        <w:rPr>
          <w:rFonts w:hint="eastAsia" w:ascii="宋体" w:hAnsi="宋体" w:cs="宋体-18030"/>
          <w:color w:val="auto"/>
          <w:sz w:val="24"/>
          <w:highlight w:val="none"/>
        </w:rPr>
        <w:t xml:space="preserve"> 评审</w:t>
      </w:r>
      <w:r>
        <w:rPr>
          <w:rFonts w:hint="eastAsia" w:ascii="宋体" w:hAnsi="宋体" w:cs="宋体-18030"/>
          <w:color w:val="auto"/>
          <w:sz w:val="24"/>
          <w:szCs w:val="22"/>
          <w:highlight w:val="none"/>
        </w:rPr>
        <w:t>程序</w:t>
      </w:r>
    </w:p>
    <w:p w14:paraId="37D0079C">
      <w:pPr>
        <w:spacing w:line="360" w:lineRule="auto"/>
        <w:ind w:firstLine="480" w:firstLineChars="200"/>
        <w:rPr>
          <w:rFonts w:hint="eastAsia" w:ascii="宋体" w:hAnsi="宋体"/>
          <w:color w:val="auto"/>
          <w:sz w:val="24"/>
          <w:szCs w:val="24"/>
          <w:highlight w:val="none"/>
        </w:rPr>
      </w:pPr>
      <w:r>
        <w:rPr>
          <w:rFonts w:hint="eastAsia" w:ascii="宋体" w:hAnsi="宋体" w:cs="宋体-18030"/>
          <w:color w:val="auto"/>
          <w:sz w:val="24"/>
          <w:szCs w:val="22"/>
          <w:highlight w:val="none"/>
        </w:rPr>
        <w:t>1、本次评标采用</w:t>
      </w:r>
      <w:r>
        <w:rPr>
          <w:rFonts w:hint="eastAsia" w:ascii="宋体" w:hAnsi="宋体" w:cs="宋体-18030"/>
          <w:color w:val="auto"/>
          <w:sz w:val="24"/>
          <w:szCs w:val="22"/>
          <w:highlight w:val="none"/>
          <w:lang w:eastAsia="zh-CN"/>
        </w:rPr>
        <w:t>简易中位值</w:t>
      </w:r>
      <w:r>
        <w:rPr>
          <w:rFonts w:hint="eastAsia" w:ascii="宋体" w:hAnsi="宋体"/>
          <w:color w:val="auto"/>
          <w:sz w:val="24"/>
          <w:szCs w:val="22"/>
          <w:highlight w:val="none"/>
        </w:rPr>
        <w:t>评审法，</w:t>
      </w:r>
      <w:r>
        <w:rPr>
          <w:rFonts w:hint="eastAsia" w:ascii="宋体" w:hAnsi="宋体"/>
          <w:color w:val="auto"/>
          <w:sz w:val="24"/>
          <w:szCs w:val="24"/>
          <w:highlight w:val="none"/>
        </w:rPr>
        <w:t>即评标委员会遵循规定评标原则，对通过初步筛查的投标人的投标报价，按规定计算办法计算出有效值后，对高于或等于有效值的投标报价从低到高（不高于控制价）依次进行资格后审申请评审、商务标评审和技术标评审，评审均通过的即为第一中标候选人。如投标人资格后审申请评审、商务标和技术标评审中任一项被判定为未通过评审，再按报价由低到高依次进行递补，按顺序依次评出第一中标候选人、第二中标候选人（如有）。</w:t>
      </w:r>
    </w:p>
    <w:p w14:paraId="6687A6B1">
      <w:pPr>
        <w:pStyle w:val="10"/>
        <w:rPr>
          <w:rFonts w:hint="eastAsia"/>
          <w:color w:val="auto"/>
          <w:sz w:val="24"/>
          <w:szCs w:val="24"/>
          <w:highlight w:val="none"/>
        </w:rPr>
      </w:pPr>
      <w:bookmarkStart w:id="17" w:name="_Toc460660143"/>
      <w:bookmarkStart w:id="18" w:name="_Toc471820133"/>
      <w:bookmarkStart w:id="19" w:name="_Toc471819760"/>
      <w:r>
        <w:rPr>
          <w:rFonts w:hint="eastAsia"/>
          <w:color w:val="auto"/>
          <w:sz w:val="24"/>
          <w:szCs w:val="24"/>
          <w:highlight w:val="none"/>
        </w:rPr>
        <w:t>一、初步筛查评审表</w:t>
      </w:r>
      <w:bookmarkEnd w:id="17"/>
      <w:bookmarkEnd w:id="18"/>
      <w:bookmarkEnd w:id="19"/>
    </w:p>
    <w:tbl>
      <w:tblPr>
        <w:tblStyle w:val="53"/>
        <w:tblW w:w="4703" w:type="pct"/>
        <w:jc w:val="center"/>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1438"/>
        <w:gridCol w:w="7643"/>
      </w:tblGrid>
      <w:tr w14:paraId="25B6212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829" w:hRule="atLeast"/>
          <w:jc w:val="center"/>
        </w:trPr>
        <w:tc>
          <w:tcPr>
            <w:tcW w:w="791" w:type="pct"/>
            <w:tcBorders>
              <w:top w:val="outset" w:color="auto" w:sz="6" w:space="0"/>
              <w:left w:val="outset" w:color="auto" w:sz="6" w:space="0"/>
              <w:bottom w:val="outset" w:color="auto" w:sz="6" w:space="0"/>
              <w:right w:val="outset" w:color="auto" w:sz="6" w:space="0"/>
            </w:tcBorders>
            <w:noWrap w:val="0"/>
            <w:vAlign w:val="center"/>
          </w:tcPr>
          <w:p w14:paraId="58A4AF06">
            <w:pPr>
              <w:pStyle w:val="104"/>
              <w:adjustRightInd w:val="0"/>
              <w:snapToGrid w:val="0"/>
              <w:spacing w:line="360" w:lineRule="auto"/>
              <w:ind w:firstLine="120" w:firstLineChars="50"/>
              <w:jc w:val="center"/>
              <w:rPr>
                <w:rFonts w:ascii="宋体" w:hAnsi="宋体" w:eastAsia="宋体"/>
                <w:color w:val="auto"/>
                <w:highlight w:val="none"/>
              </w:rPr>
            </w:pPr>
            <w:r>
              <w:rPr>
                <w:rFonts w:ascii="宋体" w:hAnsi="宋体" w:eastAsia="宋体"/>
                <w:bCs/>
                <w:color w:val="auto"/>
                <w:highlight w:val="none"/>
              </w:rPr>
              <w:t>评审因素</w:t>
            </w:r>
          </w:p>
        </w:tc>
        <w:tc>
          <w:tcPr>
            <w:tcW w:w="4208" w:type="pct"/>
            <w:tcBorders>
              <w:top w:val="outset" w:color="auto" w:sz="6" w:space="0"/>
              <w:left w:val="outset" w:color="auto" w:sz="6" w:space="0"/>
              <w:bottom w:val="outset" w:color="auto" w:sz="6" w:space="0"/>
              <w:right w:val="outset" w:color="auto" w:sz="6" w:space="0"/>
            </w:tcBorders>
            <w:noWrap w:val="0"/>
            <w:vAlign w:val="center"/>
          </w:tcPr>
          <w:p w14:paraId="5C7FE5B4">
            <w:pPr>
              <w:pStyle w:val="104"/>
              <w:adjustRightInd w:val="0"/>
              <w:snapToGrid w:val="0"/>
              <w:spacing w:line="360" w:lineRule="auto"/>
              <w:ind w:firstLine="120" w:firstLineChars="50"/>
              <w:jc w:val="center"/>
              <w:rPr>
                <w:rFonts w:ascii="宋体" w:hAnsi="宋体" w:eastAsia="宋体"/>
                <w:color w:val="auto"/>
                <w:highlight w:val="none"/>
              </w:rPr>
            </w:pPr>
            <w:r>
              <w:rPr>
                <w:rFonts w:ascii="宋体" w:hAnsi="宋体" w:eastAsia="宋体"/>
                <w:bCs/>
                <w:color w:val="auto"/>
                <w:highlight w:val="none"/>
              </w:rPr>
              <w:t>评审标准</w:t>
            </w:r>
          </w:p>
        </w:tc>
      </w:tr>
      <w:tr w14:paraId="3DE8803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restart"/>
            <w:tcBorders>
              <w:top w:val="outset" w:color="auto" w:sz="6" w:space="0"/>
              <w:left w:val="outset" w:color="auto" w:sz="6" w:space="0"/>
              <w:right w:val="outset" w:color="auto" w:sz="6" w:space="0"/>
            </w:tcBorders>
            <w:noWrap w:val="0"/>
            <w:vAlign w:val="center"/>
          </w:tcPr>
          <w:p w14:paraId="49E744A3">
            <w:pPr>
              <w:pStyle w:val="104"/>
              <w:adjustRightInd w:val="0"/>
              <w:snapToGrid w:val="0"/>
              <w:spacing w:line="360" w:lineRule="auto"/>
              <w:jc w:val="center"/>
              <w:rPr>
                <w:rFonts w:hint="eastAsia" w:ascii="宋体" w:hAnsi="宋体" w:eastAsia="宋体"/>
                <w:bCs/>
                <w:color w:val="auto"/>
                <w:highlight w:val="none"/>
                <w:lang w:eastAsia="zh-CN"/>
              </w:rPr>
            </w:pPr>
            <w:r>
              <w:rPr>
                <w:rFonts w:hint="eastAsia" w:ascii="宋体" w:hAnsi="宋体" w:eastAsia="宋体"/>
                <w:bCs/>
                <w:color w:val="auto"/>
                <w:highlight w:val="none"/>
                <w:lang w:eastAsia="zh-CN"/>
              </w:rPr>
              <w:t>初步筛查</w:t>
            </w:r>
          </w:p>
          <w:p w14:paraId="4631CB2A">
            <w:pPr>
              <w:pStyle w:val="104"/>
              <w:adjustRightInd w:val="0"/>
              <w:snapToGrid w:val="0"/>
              <w:spacing w:line="360" w:lineRule="auto"/>
              <w:jc w:val="center"/>
              <w:rPr>
                <w:rFonts w:hint="eastAsia" w:ascii="宋体" w:hAnsi="宋体" w:eastAsia="宋体"/>
                <w:color w:val="auto"/>
                <w:highlight w:val="none"/>
                <w:lang w:eastAsia="zh-CN"/>
              </w:rPr>
            </w:pPr>
            <w:r>
              <w:rPr>
                <w:rFonts w:ascii="宋体" w:hAnsi="宋体" w:eastAsia="宋体"/>
                <w:bCs/>
                <w:color w:val="auto"/>
                <w:highlight w:val="none"/>
              </w:rPr>
              <w:t>评审标准</w:t>
            </w: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54847EAB">
            <w:pPr>
              <w:pStyle w:val="104"/>
              <w:adjustRightInd w:val="0"/>
              <w:snapToGrid w:val="0"/>
              <w:spacing w:line="360" w:lineRule="auto"/>
              <w:rPr>
                <w:rFonts w:ascii="宋体" w:hAnsi="宋体" w:eastAsia="宋体"/>
                <w:color w:val="auto"/>
                <w:highlight w:val="none"/>
                <w:lang w:eastAsia="zh-CN"/>
              </w:rPr>
            </w:pPr>
            <w:r>
              <w:rPr>
                <w:rFonts w:hint="eastAsia" w:ascii="宋体" w:hAnsi="宋体"/>
                <w:color w:val="auto"/>
                <w:highlight w:val="none"/>
              </w:rPr>
              <w:t>投标报价高于或等于控制价的</w:t>
            </w:r>
          </w:p>
        </w:tc>
      </w:tr>
      <w:tr w14:paraId="1CAFB7B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32A544D4">
            <w:pPr>
              <w:pStyle w:val="104"/>
              <w:adjustRightInd w:val="0"/>
              <w:snapToGrid w:val="0"/>
              <w:spacing w:line="360" w:lineRule="auto"/>
              <w:jc w:val="center"/>
              <w:rPr>
                <w:rFonts w:hint="eastAsia" w:ascii="宋体" w:hAnsi="宋体" w:eastAsia="宋体"/>
                <w:color w:val="auto"/>
                <w:highlight w:val="none"/>
                <w:lang w:eastAsia="zh-CN"/>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31E04798">
            <w:pPr>
              <w:pStyle w:val="104"/>
              <w:adjustRightInd w:val="0"/>
              <w:snapToGrid w:val="0"/>
              <w:spacing w:line="360" w:lineRule="auto"/>
              <w:rPr>
                <w:rFonts w:ascii="宋体" w:hAnsi="宋体" w:eastAsia="宋体"/>
                <w:color w:val="auto"/>
                <w:highlight w:val="none"/>
                <w:lang w:eastAsia="zh-CN"/>
              </w:rPr>
            </w:pPr>
            <w:r>
              <w:rPr>
                <w:rFonts w:hint="eastAsia" w:ascii="宋体" w:hAnsi="宋体"/>
                <w:color w:val="auto"/>
                <w:highlight w:val="none"/>
              </w:rPr>
              <w:t>报名不通过的投标单位</w:t>
            </w:r>
          </w:p>
        </w:tc>
      </w:tr>
      <w:tr w14:paraId="7AA7335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646FE20B">
            <w:pPr>
              <w:pStyle w:val="104"/>
              <w:adjustRightInd w:val="0"/>
              <w:snapToGrid w:val="0"/>
              <w:spacing w:line="360" w:lineRule="auto"/>
              <w:jc w:val="center"/>
              <w:rPr>
                <w:rFonts w:ascii="宋体" w:hAnsi="宋体" w:eastAsia="宋体"/>
                <w:color w:val="auto"/>
                <w:highlight w:val="none"/>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14AC99ED">
            <w:pPr>
              <w:pStyle w:val="104"/>
              <w:adjustRightInd w:val="0"/>
              <w:snapToGrid w:val="0"/>
              <w:spacing w:line="360" w:lineRule="auto"/>
              <w:rPr>
                <w:rFonts w:ascii="宋体" w:hAnsi="宋体" w:eastAsia="宋体"/>
                <w:color w:val="auto"/>
                <w:highlight w:val="none"/>
              </w:rPr>
            </w:pPr>
            <w:r>
              <w:rPr>
                <w:rFonts w:hint="eastAsia" w:ascii="宋体" w:hAnsi="宋体"/>
                <w:color w:val="auto"/>
                <w:highlight w:val="none"/>
              </w:rPr>
              <w:t>投标保证金不通过的投标单位</w:t>
            </w:r>
          </w:p>
        </w:tc>
      </w:tr>
      <w:tr w14:paraId="740DB23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3C58D3C5">
            <w:pPr>
              <w:pStyle w:val="104"/>
              <w:adjustRightInd w:val="0"/>
              <w:snapToGrid w:val="0"/>
              <w:spacing w:line="360" w:lineRule="auto"/>
              <w:jc w:val="center"/>
              <w:rPr>
                <w:rFonts w:ascii="宋体" w:hAnsi="宋体" w:eastAsia="宋体"/>
                <w:color w:val="auto"/>
                <w:highlight w:val="none"/>
                <w:lang w:eastAsia="zh-CN"/>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3E2F6E97">
            <w:pPr>
              <w:pStyle w:val="104"/>
              <w:adjustRightInd w:val="0"/>
              <w:snapToGrid w:val="0"/>
              <w:spacing w:line="360" w:lineRule="auto"/>
              <w:rPr>
                <w:rFonts w:hint="eastAsia" w:ascii="宋体" w:hAnsi="宋体" w:eastAsia="宋体"/>
                <w:color w:val="auto"/>
                <w:highlight w:val="none"/>
                <w:lang w:eastAsia="zh-CN"/>
              </w:rPr>
            </w:pPr>
            <w:r>
              <w:rPr>
                <w:rFonts w:hint="eastAsia" w:ascii="宋体" w:hAnsi="宋体" w:eastAsia="宋体" w:cs="宋体"/>
                <w:color w:val="auto"/>
                <w:sz w:val="24"/>
                <w:szCs w:val="24"/>
                <w:highlight w:val="none"/>
              </w:rPr>
              <w:t>标书份数及封装</w:t>
            </w:r>
            <w:r>
              <w:rPr>
                <w:rFonts w:hint="eastAsia" w:ascii="宋体" w:hAnsi="宋体" w:eastAsia="宋体" w:cs="宋体"/>
                <w:color w:val="auto"/>
                <w:sz w:val="24"/>
                <w:szCs w:val="24"/>
                <w:highlight w:val="none"/>
                <w:lang w:eastAsia="zh-CN"/>
              </w:rPr>
              <w:t>不符合招标文件要求的</w:t>
            </w:r>
          </w:p>
        </w:tc>
      </w:tr>
      <w:tr w14:paraId="318D4EA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4797D1CA">
            <w:pPr>
              <w:pStyle w:val="104"/>
              <w:adjustRightInd w:val="0"/>
              <w:snapToGrid w:val="0"/>
              <w:spacing w:line="360" w:lineRule="auto"/>
              <w:jc w:val="center"/>
              <w:rPr>
                <w:rFonts w:ascii="宋体" w:hAnsi="宋体" w:eastAsia="宋体"/>
                <w:color w:val="auto"/>
                <w:highlight w:val="none"/>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4719F07C">
            <w:pPr>
              <w:pStyle w:val="104"/>
              <w:adjustRightInd w:val="0"/>
              <w:snapToGrid w:val="0"/>
              <w:spacing w:line="360" w:lineRule="auto"/>
              <w:rPr>
                <w:rFonts w:ascii="宋体" w:hAnsi="宋体" w:eastAsia="宋体"/>
                <w:color w:val="auto"/>
                <w:highlight w:val="none"/>
                <w:lang w:val="en-US" w:eastAsia="zh-CN"/>
              </w:rPr>
            </w:pPr>
            <w:r>
              <w:rPr>
                <w:rFonts w:hint="eastAsia" w:ascii="宋体" w:hAnsi="宋体"/>
                <w:color w:val="auto"/>
                <w:highlight w:val="none"/>
              </w:rPr>
              <w:t>总价明显失误经评委会重点评审不通过的，如数量级错误、报价金额单位错误等；</w:t>
            </w:r>
          </w:p>
        </w:tc>
      </w:tr>
    </w:tbl>
    <w:p w14:paraId="72D1D3D7">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有以上情况的作无效标判定，不再参与后续评审。</w:t>
      </w:r>
    </w:p>
    <w:p w14:paraId="1A1541D9">
      <w:pPr>
        <w:keepNext/>
        <w:keepLines/>
        <w:spacing w:before="260" w:after="260" w:line="416" w:lineRule="auto"/>
        <w:jc w:val="center"/>
        <w:outlineLvl w:val="1"/>
        <w:rPr>
          <w:rFonts w:hint="eastAsia" w:ascii="宋体" w:hAnsi="宋体"/>
          <w:bCs/>
          <w:color w:val="auto"/>
          <w:sz w:val="32"/>
          <w:szCs w:val="21"/>
          <w:highlight w:val="none"/>
        </w:rPr>
      </w:pPr>
      <w:r>
        <w:rPr>
          <w:rFonts w:hint="eastAsia" w:ascii="黑体" w:hAnsi="黑体" w:eastAsia="黑体"/>
          <w:bCs/>
          <w:color w:val="auto"/>
          <w:sz w:val="32"/>
          <w:szCs w:val="32"/>
          <w:highlight w:val="none"/>
          <w:lang w:eastAsia="zh-CN"/>
        </w:rPr>
        <w:t>二、</w:t>
      </w:r>
      <w:r>
        <w:rPr>
          <w:rFonts w:hint="eastAsia" w:ascii="黑体" w:hAnsi="黑体" w:eastAsia="黑体"/>
          <w:bCs/>
          <w:color w:val="auto"/>
          <w:sz w:val="32"/>
          <w:szCs w:val="32"/>
          <w:highlight w:val="none"/>
        </w:rPr>
        <w:t>有效值计算方法</w:t>
      </w:r>
    </w:p>
    <w:p w14:paraId="095A1FED">
      <w:pPr>
        <w:keepNext/>
        <w:keepLines/>
        <w:spacing w:before="100" w:line="400" w:lineRule="exact"/>
        <w:outlineLvl w:val="1"/>
        <w:rPr>
          <w:rFonts w:hint="eastAsia" w:eastAsia="黑体" w:cs="宋体"/>
          <w:color w:val="auto"/>
          <w:sz w:val="28"/>
          <w:szCs w:val="20"/>
          <w:highlight w:val="none"/>
        </w:rPr>
      </w:pPr>
      <w:bookmarkStart w:id="20" w:name="_Toc43725783"/>
      <w:bookmarkStart w:id="21" w:name="_Toc11078185"/>
      <w:r>
        <w:rPr>
          <w:rFonts w:hint="eastAsia" w:eastAsia="黑体" w:cs="宋体"/>
          <w:color w:val="auto"/>
          <w:sz w:val="28"/>
          <w:szCs w:val="20"/>
          <w:highlight w:val="none"/>
        </w:rPr>
        <w:t>1. 评审系数一览表</w:t>
      </w:r>
      <w:bookmarkEnd w:id="20"/>
      <w:bookmarkEnd w:id="21"/>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07"/>
        <w:gridCol w:w="2907"/>
      </w:tblGrid>
      <w:tr w14:paraId="20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0FB887A5">
            <w:pPr>
              <w:jc w:val="center"/>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eastAsia="zh-CN"/>
              </w:rPr>
              <w:t>序号</w:t>
            </w:r>
          </w:p>
        </w:tc>
        <w:tc>
          <w:tcPr>
            <w:tcW w:w="2907" w:type="dxa"/>
            <w:noWrap w:val="0"/>
            <w:vAlign w:val="center"/>
          </w:tcPr>
          <w:p w14:paraId="06BE45E2">
            <w:pPr>
              <w:jc w:val="center"/>
              <w:rPr>
                <w:rFonts w:hint="eastAsia" w:ascii="宋体" w:hAnsi="宋体"/>
                <w:color w:val="auto"/>
                <w:sz w:val="24"/>
                <w:szCs w:val="24"/>
                <w:highlight w:val="none"/>
              </w:rPr>
            </w:pPr>
            <w:r>
              <w:rPr>
                <w:rFonts w:hint="eastAsia" w:ascii="宋体" w:hAnsi="宋体"/>
                <w:color w:val="auto"/>
                <w:sz w:val="24"/>
                <w:szCs w:val="24"/>
                <w:highlight w:val="none"/>
              </w:rPr>
              <w:t>系数名称</w:t>
            </w:r>
          </w:p>
        </w:tc>
        <w:tc>
          <w:tcPr>
            <w:tcW w:w="2907" w:type="dxa"/>
            <w:noWrap w:val="0"/>
            <w:vAlign w:val="center"/>
          </w:tcPr>
          <w:p w14:paraId="35DA4E21">
            <w:pPr>
              <w:jc w:val="center"/>
              <w:rPr>
                <w:rFonts w:hint="eastAsia" w:ascii="宋体" w:hAnsi="宋体"/>
                <w:color w:val="auto"/>
                <w:sz w:val="24"/>
                <w:szCs w:val="24"/>
                <w:highlight w:val="none"/>
              </w:rPr>
            </w:pPr>
            <w:r>
              <w:rPr>
                <w:rFonts w:hint="eastAsia" w:ascii="宋体" w:hAnsi="宋体"/>
                <w:color w:val="auto"/>
                <w:sz w:val="24"/>
                <w:szCs w:val="24"/>
                <w:highlight w:val="none"/>
              </w:rPr>
              <w:t>系数取值</w:t>
            </w:r>
          </w:p>
        </w:tc>
      </w:tr>
      <w:tr w14:paraId="6A0E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63A5D032">
            <w:pPr>
              <w:jc w:val="center"/>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1</w:t>
            </w:r>
          </w:p>
        </w:tc>
        <w:tc>
          <w:tcPr>
            <w:tcW w:w="2907" w:type="dxa"/>
            <w:noWrap w:val="0"/>
            <w:vAlign w:val="center"/>
          </w:tcPr>
          <w:p w14:paraId="3DFA7A80">
            <w:pPr>
              <w:jc w:val="center"/>
              <w:rPr>
                <w:rFonts w:ascii="宋体" w:hAnsi="宋体"/>
                <w:color w:val="auto"/>
                <w:sz w:val="24"/>
                <w:szCs w:val="24"/>
                <w:highlight w:val="none"/>
              </w:rPr>
            </w:pPr>
            <w:r>
              <w:rPr>
                <w:rFonts w:hint="eastAsia" w:ascii="宋体" w:hAnsi="宋体"/>
                <w:color w:val="auto"/>
                <w:sz w:val="24"/>
                <w:szCs w:val="24"/>
                <w:highlight w:val="none"/>
              </w:rPr>
              <w:t>K</w:t>
            </w:r>
          </w:p>
        </w:tc>
        <w:tc>
          <w:tcPr>
            <w:tcW w:w="2907" w:type="dxa"/>
            <w:noWrap w:val="0"/>
            <w:vAlign w:val="center"/>
          </w:tcPr>
          <w:p w14:paraId="1725A3FC">
            <w:pPr>
              <w:jc w:val="center"/>
              <w:rPr>
                <w:rFonts w:ascii="宋体" w:hAnsi="宋体"/>
                <w:b/>
                <w:color w:val="auto"/>
                <w:sz w:val="24"/>
                <w:szCs w:val="24"/>
                <w:highlight w:val="none"/>
              </w:rPr>
            </w:pPr>
            <w:r>
              <w:rPr>
                <w:rFonts w:hint="eastAsia" w:ascii="宋体" w:hAnsi="宋体"/>
                <w:b/>
                <w:color w:val="auto"/>
                <w:sz w:val="24"/>
                <w:szCs w:val="24"/>
                <w:highlight w:val="none"/>
                <w:u w:val="single"/>
                <w:lang w:val="en-US" w:eastAsia="zh-CN"/>
              </w:rPr>
              <w:t xml:space="preserve"> 10</w:t>
            </w:r>
            <w:r>
              <w:rPr>
                <w:rFonts w:hint="eastAsia" w:ascii="宋体" w:hAnsi="宋体"/>
                <w:b/>
                <w:color w:val="auto"/>
                <w:sz w:val="24"/>
                <w:szCs w:val="24"/>
                <w:highlight w:val="none"/>
              </w:rPr>
              <w:t>%</w:t>
            </w:r>
          </w:p>
        </w:tc>
      </w:tr>
      <w:tr w14:paraId="235B2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43849ECF">
            <w:pPr>
              <w:jc w:val="center"/>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2</w:t>
            </w:r>
          </w:p>
        </w:tc>
        <w:tc>
          <w:tcPr>
            <w:tcW w:w="2907" w:type="dxa"/>
            <w:noWrap w:val="0"/>
            <w:vAlign w:val="center"/>
          </w:tcPr>
          <w:p w14:paraId="5193FEA9">
            <w:pPr>
              <w:jc w:val="center"/>
              <w:rPr>
                <w:rFonts w:hint="eastAsia" w:ascii="宋体" w:hAnsi="宋体"/>
                <w:color w:val="auto"/>
                <w:sz w:val="24"/>
                <w:szCs w:val="24"/>
                <w:highlight w:val="none"/>
              </w:rPr>
            </w:pPr>
            <w:r>
              <w:rPr>
                <w:rFonts w:hint="eastAsia" w:ascii="宋体" w:hAnsi="宋体"/>
                <w:color w:val="auto"/>
                <w:sz w:val="24"/>
                <w:szCs w:val="24"/>
                <w:highlight w:val="none"/>
              </w:rPr>
              <w:t>M</w:t>
            </w:r>
          </w:p>
        </w:tc>
        <w:tc>
          <w:tcPr>
            <w:tcW w:w="2907" w:type="dxa"/>
            <w:noWrap w:val="0"/>
            <w:vAlign w:val="center"/>
          </w:tcPr>
          <w:p w14:paraId="405147D3">
            <w:pPr>
              <w:jc w:val="center"/>
              <w:rPr>
                <w:rFonts w:hint="eastAsia" w:ascii="宋体" w:hAnsi="宋体"/>
                <w:b/>
                <w:color w:val="auto"/>
                <w:sz w:val="24"/>
                <w:szCs w:val="24"/>
                <w:highlight w:val="none"/>
              </w:rPr>
            </w:pPr>
            <w:r>
              <w:rPr>
                <w:rFonts w:hint="eastAsia" w:ascii="宋体" w:hAnsi="宋体"/>
                <w:b/>
                <w:color w:val="auto"/>
                <w:sz w:val="24"/>
                <w:szCs w:val="24"/>
                <w:highlight w:val="none"/>
                <w:u w:val="single"/>
                <w:lang w:val="en-US" w:eastAsia="zh-CN"/>
              </w:rPr>
              <w:t xml:space="preserve"> 10</w:t>
            </w:r>
            <w:r>
              <w:rPr>
                <w:rFonts w:hint="eastAsia" w:ascii="宋体" w:hAnsi="宋体"/>
                <w:b/>
                <w:color w:val="auto"/>
                <w:sz w:val="24"/>
                <w:szCs w:val="24"/>
                <w:highlight w:val="none"/>
              </w:rPr>
              <w:t>%</w:t>
            </w:r>
          </w:p>
        </w:tc>
      </w:tr>
    </w:tbl>
    <w:p w14:paraId="49E1DACA">
      <w:pPr>
        <w:keepNext/>
        <w:keepLines/>
        <w:spacing w:before="100" w:line="400" w:lineRule="exact"/>
        <w:outlineLvl w:val="1"/>
        <w:rPr>
          <w:rFonts w:hint="default" w:eastAsia="黑体" w:cs="宋体"/>
          <w:color w:val="auto"/>
          <w:sz w:val="28"/>
          <w:szCs w:val="20"/>
          <w:highlight w:val="none"/>
          <w:lang w:val="en-US" w:eastAsia="zh-CN"/>
        </w:rPr>
      </w:pPr>
      <w:bookmarkStart w:id="22" w:name="_Toc43725784"/>
      <w:bookmarkStart w:id="23" w:name="_Toc11078186"/>
    </w:p>
    <w:p w14:paraId="39AB84A5">
      <w:pPr>
        <w:keepNext/>
        <w:keepLines/>
        <w:spacing w:before="100" w:line="400" w:lineRule="exact"/>
        <w:outlineLvl w:val="1"/>
        <w:rPr>
          <w:rFonts w:hint="eastAsia" w:eastAsia="黑体" w:cs="宋体"/>
          <w:color w:val="auto"/>
          <w:sz w:val="28"/>
          <w:szCs w:val="20"/>
          <w:highlight w:val="none"/>
          <w:lang w:val="en-US" w:eastAsia="zh-CN"/>
        </w:rPr>
      </w:pPr>
      <w:r>
        <w:rPr>
          <w:rFonts w:hint="eastAsia" w:eastAsia="黑体" w:cs="宋体"/>
          <w:color w:val="auto"/>
          <w:sz w:val="28"/>
          <w:szCs w:val="20"/>
          <w:highlight w:val="none"/>
        </w:rPr>
        <w:t xml:space="preserve">2. </w:t>
      </w:r>
      <w:bookmarkEnd w:id="22"/>
      <w:bookmarkEnd w:id="23"/>
      <w:r>
        <w:rPr>
          <w:rFonts w:hint="eastAsia" w:eastAsia="黑体" w:cs="宋体"/>
          <w:color w:val="auto"/>
          <w:sz w:val="28"/>
          <w:szCs w:val="20"/>
          <w:highlight w:val="none"/>
          <w:lang w:eastAsia="zh-CN"/>
        </w:rPr>
        <w:t>计算平均值</w:t>
      </w:r>
    </w:p>
    <w:p w14:paraId="596325D1">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对通过初步筛查的投标报价，</w:t>
      </w:r>
      <w:r>
        <w:rPr>
          <w:rFonts w:hint="eastAsia" w:ascii="宋体" w:hAnsi="宋体"/>
          <w:color w:val="auto"/>
          <w:sz w:val="24"/>
          <w:szCs w:val="24"/>
          <w:highlight w:val="none"/>
          <w:lang w:eastAsia="zh-CN"/>
        </w:rPr>
        <w:t>即作为有效评标价，</w:t>
      </w:r>
      <w:r>
        <w:rPr>
          <w:rFonts w:hint="eastAsia" w:ascii="宋体" w:hAnsi="宋体"/>
          <w:color w:val="auto"/>
          <w:sz w:val="24"/>
          <w:szCs w:val="24"/>
          <w:highlight w:val="none"/>
        </w:rPr>
        <w:t>按以下规定确定纳入计算</w:t>
      </w:r>
      <w:r>
        <w:rPr>
          <w:rFonts w:hint="eastAsia" w:ascii="宋体" w:hAnsi="宋体"/>
          <w:color w:val="auto"/>
          <w:sz w:val="24"/>
          <w:szCs w:val="24"/>
          <w:highlight w:val="none"/>
          <w:lang w:eastAsia="zh-CN"/>
        </w:rPr>
        <w:t>平均值</w:t>
      </w:r>
      <w:r>
        <w:rPr>
          <w:rFonts w:hint="eastAsia" w:ascii="宋体" w:hAnsi="宋体"/>
          <w:color w:val="auto"/>
          <w:sz w:val="24"/>
          <w:szCs w:val="24"/>
          <w:highlight w:val="none"/>
        </w:rPr>
        <w:t>计算范围：</w:t>
      </w:r>
    </w:p>
    <w:p w14:paraId="7990CDD5">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计算</w:t>
      </w:r>
      <w:r>
        <w:rPr>
          <w:rFonts w:hint="eastAsia" w:ascii="宋体" w:hAnsi="宋体"/>
          <w:color w:val="auto"/>
          <w:sz w:val="24"/>
          <w:szCs w:val="24"/>
          <w:highlight w:val="none"/>
          <w:lang w:eastAsia="zh-CN"/>
        </w:rPr>
        <w:t>有效评标价</w:t>
      </w:r>
      <w:r>
        <w:rPr>
          <w:rFonts w:hint="eastAsia" w:ascii="宋体" w:hAnsi="宋体"/>
          <w:color w:val="auto"/>
          <w:sz w:val="24"/>
          <w:szCs w:val="24"/>
          <w:highlight w:val="none"/>
        </w:rPr>
        <w:t>较最高投标限价的降幅。降幅小于K</w:t>
      </w:r>
      <w:r>
        <w:rPr>
          <w:rFonts w:hint="eastAsia" w:ascii="宋体" w:hAnsi="宋体"/>
          <w:color w:val="auto"/>
          <w:sz w:val="24"/>
          <w:szCs w:val="24"/>
          <w:highlight w:val="none"/>
          <w:lang w:eastAsia="zh-CN"/>
        </w:rPr>
        <w:t>（</w:t>
      </w:r>
      <w:r>
        <w:rPr>
          <w:rFonts w:hint="eastAsia" w:ascii="宋体" w:hAnsi="宋体"/>
          <w:color w:val="auto"/>
          <w:sz w:val="24"/>
          <w:szCs w:val="24"/>
          <w:highlight w:val="none"/>
          <w:u w:val="single"/>
          <w:lang w:val="en-US" w:eastAsia="zh-CN"/>
        </w:rPr>
        <w:t>10%</w:t>
      </w:r>
      <w:r>
        <w:rPr>
          <w:rFonts w:hint="eastAsia" w:ascii="宋体" w:hAnsi="宋体"/>
          <w:color w:val="auto"/>
          <w:sz w:val="24"/>
          <w:szCs w:val="24"/>
          <w:highlight w:val="none"/>
          <w:lang w:eastAsia="zh-CN"/>
        </w:rPr>
        <w:t>）</w:t>
      </w:r>
      <w:r>
        <w:rPr>
          <w:rFonts w:hint="eastAsia" w:ascii="宋体" w:hAnsi="宋体"/>
          <w:color w:val="auto"/>
          <w:sz w:val="24"/>
          <w:szCs w:val="24"/>
          <w:highlight w:val="none"/>
        </w:rPr>
        <w:t>值的</w:t>
      </w:r>
      <w:r>
        <w:rPr>
          <w:rFonts w:hint="eastAsia" w:ascii="宋体" w:hAnsi="宋体"/>
          <w:color w:val="auto"/>
          <w:sz w:val="24"/>
          <w:szCs w:val="24"/>
          <w:highlight w:val="none"/>
          <w:lang w:eastAsia="zh-CN"/>
        </w:rPr>
        <w:t>有效评标价</w:t>
      </w:r>
      <w:r>
        <w:rPr>
          <w:rFonts w:hint="eastAsia" w:ascii="宋体" w:hAnsi="宋体"/>
          <w:color w:val="auto"/>
          <w:sz w:val="24"/>
          <w:szCs w:val="24"/>
          <w:highlight w:val="none"/>
        </w:rPr>
        <w:t>作为A系列，降幅不小于K值的</w:t>
      </w:r>
      <w:r>
        <w:rPr>
          <w:rFonts w:hint="eastAsia" w:ascii="宋体" w:hAnsi="宋体"/>
          <w:color w:val="auto"/>
          <w:sz w:val="24"/>
          <w:szCs w:val="24"/>
          <w:highlight w:val="none"/>
          <w:lang w:eastAsia="zh-CN"/>
        </w:rPr>
        <w:t>有效评标价</w:t>
      </w:r>
      <w:r>
        <w:rPr>
          <w:rFonts w:hint="eastAsia" w:ascii="宋体" w:hAnsi="宋体"/>
          <w:color w:val="auto"/>
          <w:sz w:val="24"/>
          <w:szCs w:val="24"/>
          <w:highlight w:val="none"/>
        </w:rPr>
        <w:t>作为B系列。A系列数据不参与平均数计算。</w:t>
      </w:r>
    </w:p>
    <w:p w14:paraId="0AB063C3">
      <w:pPr>
        <w:spacing w:line="400" w:lineRule="exact"/>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对于B系列的各</w:t>
      </w:r>
      <w:r>
        <w:rPr>
          <w:rFonts w:hint="eastAsia" w:ascii="宋体" w:hAnsi="宋体"/>
          <w:color w:val="auto"/>
          <w:sz w:val="24"/>
          <w:szCs w:val="24"/>
          <w:highlight w:val="none"/>
          <w:lang w:eastAsia="zh-CN"/>
        </w:rPr>
        <w:t>有效评标价，按照下列要求计算平均值：</w:t>
      </w:r>
    </w:p>
    <w:p w14:paraId="735F36B0">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a)当</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X</w:t>
      </w:r>
      <w:r>
        <w:rPr>
          <w:rFonts w:hint="eastAsia" w:ascii="宋体" w:hAnsi="宋体"/>
          <w:color w:val="auto"/>
          <w:sz w:val="24"/>
          <w:szCs w:val="24"/>
          <w:highlight w:val="none"/>
        </w:rPr>
        <w:t>（有效评标价对应的投标人数量，下同）≤5、n=0，有效评标价全部进行算术平均；5＜</w:t>
      </w:r>
      <w:r>
        <w:rPr>
          <w:rFonts w:hint="eastAsia" w:ascii="宋体" w:hAnsi="宋体"/>
          <w:color w:val="auto"/>
          <w:sz w:val="24"/>
          <w:szCs w:val="24"/>
          <w:highlight w:val="none"/>
          <w:lang w:val="en-US" w:eastAsia="zh-CN"/>
        </w:rPr>
        <w:t>X</w:t>
      </w:r>
      <w:r>
        <w:rPr>
          <w:rFonts w:hint="eastAsia" w:ascii="宋体" w:hAnsi="宋体"/>
          <w:color w:val="auto"/>
          <w:sz w:val="24"/>
          <w:szCs w:val="24"/>
          <w:highlight w:val="none"/>
        </w:rPr>
        <w:t>≤10、n=1，现场去掉1个最高和1个最低有效评标价，其他有效评标价进行算术平均；</w:t>
      </w:r>
    </w:p>
    <w:p w14:paraId="1B0039A3">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b)当10＜</w:t>
      </w:r>
      <w:r>
        <w:rPr>
          <w:rFonts w:hint="eastAsia" w:ascii="宋体" w:hAnsi="宋体"/>
          <w:color w:val="auto"/>
          <w:sz w:val="24"/>
          <w:szCs w:val="24"/>
          <w:highlight w:val="none"/>
          <w:lang w:val="en-US" w:eastAsia="zh-CN"/>
        </w:rPr>
        <w:t>X</w:t>
      </w:r>
      <w:r>
        <w:rPr>
          <w:rFonts w:hint="eastAsia" w:ascii="宋体" w:hAnsi="宋体"/>
          <w:color w:val="auto"/>
          <w:sz w:val="24"/>
          <w:szCs w:val="24"/>
          <w:highlight w:val="none"/>
        </w:rPr>
        <w:t>≤20、n=2，现场去掉2个最高和2个最低有效评标价，其他有效评标价进行算术平均；20＜</w:t>
      </w:r>
      <w:r>
        <w:rPr>
          <w:rFonts w:hint="eastAsia" w:ascii="宋体" w:hAnsi="宋体"/>
          <w:color w:val="auto"/>
          <w:sz w:val="24"/>
          <w:szCs w:val="24"/>
          <w:highlight w:val="none"/>
          <w:lang w:val="en-US" w:eastAsia="zh-CN"/>
        </w:rPr>
        <w:t>X</w:t>
      </w:r>
      <w:r>
        <w:rPr>
          <w:rFonts w:hint="eastAsia" w:ascii="宋体" w:hAnsi="宋体"/>
          <w:color w:val="auto"/>
          <w:sz w:val="24"/>
          <w:szCs w:val="24"/>
          <w:highlight w:val="none"/>
        </w:rPr>
        <w:t>≤30、n=3，现场去掉3个最高和3个最低有效评标价，其他有效评标价进行算术平均；以此类推。</w:t>
      </w:r>
    </w:p>
    <w:p w14:paraId="1CFDE4C1">
      <w:pPr>
        <w:spacing w:line="400" w:lineRule="exact"/>
        <w:ind w:firstLine="482" w:firstLineChars="200"/>
        <w:rPr>
          <w:rFonts w:hint="eastAsia" w:ascii="宋体" w:hAnsi="宋体" w:eastAsia="宋体"/>
          <w:b/>
          <w:bCs/>
          <w:color w:val="auto"/>
          <w:sz w:val="24"/>
          <w:szCs w:val="24"/>
          <w:highlight w:val="none"/>
          <w:lang w:eastAsia="zh-CN"/>
        </w:rPr>
      </w:pPr>
      <w:r>
        <w:rPr>
          <w:rFonts w:hint="eastAsia" w:ascii="宋体" w:hAnsi="宋体"/>
          <w:b/>
          <w:bCs/>
          <w:color w:val="auto"/>
          <w:sz w:val="24"/>
          <w:szCs w:val="24"/>
          <w:highlight w:val="none"/>
          <w:lang w:eastAsia="zh-CN"/>
        </w:rPr>
        <w:t>注：</w:t>
      </w:r>
      <w:r>
        <w:rPr>
          <w:rFonts w:hint="eastAsia" w:ascii="宋体" w:hAnsi="宋体"/>
          <w:b/>
          <w:bCs/>
          <w:color w:val="auto"/>
          <w:sz w:val="24"/>
          <w:szCs w:val="24"/>
          <w:highlight w:val="none"/>
        </w:rPr>
        <w:t>若</w:t>
      </w:r>
      <w:r>
        <w:rPr>
          <w:rFonts w:hint="eastAsia" w:ascii="宋体" w:hAnsi="宋体"/>
          <w:b/>
          <w:bCs/>
          <w:color w:val="auto"/>
          <w:sz w:val="24"/>
          <w:szCs w:val="24"/>
          <w:highlight w:val="none"/>
          <w:lang w:val="en-US" w:eastAsia="zh-CN"/>
        </w:rPr>
        <w:t>B系列投标人数量少于3家，则不再进行后续平均值、有效值等计算，直接采用有效最低价进行评审。有效最低价评审规则：按照</w:t>
      </w:r>
      <w:r>
        <w:rPr>
          <w:rFonts w:hint="eastAsia"/>
          <w:b/>
          <w:bCs/>
          <w:color w:val="auto"/>
          <w:sz w:val="24"/>
          <w:szCs w:val="24"/>
          <w:highlight w:val="none"/>
          <w:lang w:eastAsia="zh-CN"/>
        </w:rPr>
        <w:t>有效</w:t>
      </w:r>
      <w:r>
        <w:rPr>
          <w:rFonts w:hint="eastAsia"/>
          <w:b/>
          <w:bCs/>
          <w:color w:val="auto"/>
          <w:sz w:val="24"/>
          <w:szCs w:val="24"/>
          <w:highlight w:val="none"/>
        </w:rPr>
        <w:t>投标报价由低到高依次进行</w:t>
      </w:r>
      <w:r>
        <w:rPr>
          <w:rFonts w:hint="eastAsia"/>
          <w:b/>
          <w:bCs/>
          <w:color w:val="auto"/>
          <w:sz w:val="24"/>
          <w:szCs w:val="24"/>
          <w:highlight w:val="none"/>
          <w:lang w:eastAsia="zh-CN"/>
        </w:rPr>
        <w:t>资格审查评审、商务标详评、技术标评审</w:t>
      </w:r>
      <w:r>
        <w:rPr>
          <w:rFonts w:hint="eastAsia"/>
          <w:b/>
          <w:bCs/>
          <w:color w:val="auto"/>
          <w:sz w:val="24"/>
          <w:szCs w:val="24"/>
          <w:highlight w:val="none"/>
        </w:rPr>
        <w:t>，对评审通过的投标人，按照投标报价由低到高依次推荐中标候选人。如投标人未通过评审，则按照投标报价由低到高依次进行递补，直至评出中标候选人。</w:t>
      </w:r>
    </w:p>
    <w:p w14:paraId="3C6E692E">
      <w:pPr>
        <w:keepNext/>
        <w:keepLines/>
        <w:spacing w:before="100" w:line="400" w:lineRule="exact"/>
        <w:outlineLvl w:val="1"/>
        <w:rPr>
          <w:rFonts w:hint="eastAsia" w:eastAsia="黑体" w:cs="宋体"/>
          <w:color w:val="auto"/>
          <w:sz w:val="28"/>
          <w:szCs w:val="20"/>
          <w:highlight w:val="none"/>
        </w:rPr>
      </w:pPr>
      <w:r>
        <w:rPr>
          <w:rFonts w:hint="eastAsia" w:eastAsia="黑体" w:cs="宋体"/>
          <w:color w:val="auto"/>
          <w:sz w:val="28"/>
          <w:szCs w:val="20"/>
          <w:highlight w:val="none"/>
          <w:lang w:val="en-US" w:eastAsia="zh-CN"/>
        </w:rPr>
        <w:t>3</w:t>
      </w:r>
      <w:r>
        <w:rPr>
          <w:rFonts w:hint="eastAsia" w:eastAsia="黑体" w:cs="宋体"/>
          <w:color w:val="auto"/>
          <w:sz w:val="28"/>
          <w:szCs w:val="20"/>
          <w:highlight w:val="none"/>
        </w:rPr>
        <w:t>. 计算有效值</w:t>
      </w:r>
    </w:p>
    <w:p w14:paraId="1BFBAB42">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.1以最高投标限价乘以(1-下浮系数M)为参考价，即参考价=最高投标限价*（1-M）。</w:t>
      </w:r>
    </w:p>
    <w:p w14:paraId="6BDA4AD1">
      <w:pPr>
        <w:spacing w:line="400" w:lineRule="exact"/>
        <w:ind w:firstLine="480" w:firstLineChars="200"/>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.2 取</w:t>
      </w:r>
      <w:r>
        <w:rPr>
          <w:rFonts w:hint="eastAsia" w:ascii="宋体" w:hAnsi="宋体"/>
          <w:color w:val="auto"/>
          <w:sz w:val="24"/>
          <w:szCs w:val="24"/>
          <w:highlight w:val="none"/>
          <w:lang w:eastAsia="zh-CN"/>
        </w:rPr>
        <w:t>平均</w:t>
      </w:r>
      <w:r>
        <w:rPr>
          <w:rFonts w:hint="eastAsia" w:ascii="宋体" w:hAnsi="宋体"/>
          <w:color w:val="auto"/>
          <w:sz w:val="24"/>
          <w:szCs w:val="24"/>
          <w:highlight w:val="none"/>
        </w:rPr>
        <w:t>值与参考价中的低值为基准价D</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基准价即为有效值。</w:t>
      </w:r>
    </w:p>
    <w:p w14:paraId="373D1B3B">
      <w:pPr>
        <w:keepNext/>
        <w:keepLines/>
        <w:spacing w:before="100" w:line="400" w:lineRule="exact"/>
        <w:outlineLvl w:val="1"/>
        <w:rPr>
          <w:rFonts w:hint="default" w:eastAsia="黑体" w:cs="宋体"/>
          <w:color w:val="auto"/>
          <w:sz w:val="28"/>
          <w:szCs w:val="20"/>
          <w:highlight w:val="none"/>
          <w:lang w:val="en-US" w:eastAsia="zh-CN"/>
        </w:rPr>
      </w:pPr>
      <w:r>
        <w:rPr>
          <w:rFonts w:hint="eastAsia" w:eastAsia="黑体" w:cs="宋体"/>
          <w:color w:val="auto"/>
          <w:sz w:val="28"/>
          <w:szCs w:val="20"/>
          <w:highlight w:val="none"/>
          <w:lang w:val="en-US" w:eastAsia="zh-CN"/>
        </w:rPr>
        <w:t>4.确定中标候选人</w:t>
      </w:r>
    </w:p>
    <w:p w14:paraId="1D26C177">
      <w:pPr>
        <w:spacing w:line="400" w:lineRule="exact"/>
        <w:ind w:firstLine="480" w:firstLineChars="200"/>
        <w:rPr>
          <w:rFonts w:hint="eastAsia"/>
          <w:color w:val="auto"/>
          <w:sz w:val="24"/>
          <w:szCs w:val="24"/>
          <w:highlight w:val="none"/>
        </w:rPr>
      </w:pPr>
      <w:r>
        <w:rPr>
          <w:rFonts w:hint="eastAsia"/>
          <w:color w:val="auto"/>
          <w:sz w:val="24"/>
          <w:szCs w:val="24"/>
          <w:highlight w:val="none"/>
        </w:rPr>
        <w:t>评标委员会对不低于有效值的</w:t>
      </w:r>
      <w:r>
        <w:rPr>
          <w:rFonts w:hint="eastAsia"/>
          <w:color w:val="auto"/>
          <w:sz w:val="24"/>
          <w:szCs w:val="24"/>
          <w:highlight w:val="none"/>
          <w:lang w:eastAsia="zh-CN"/>
        </w:rPr>
        <w:t>有效</w:t>
      </w:r>
      <w:r>
        <w:rPr>
          <w:rFonts w:hint="eastAsia"/>
          <w:color w:val="auto"/>
          <w:sz w:val="24"/>
          <w:szCs w:val="24"/>
          <w:highlight w:val="none"/>
        </w:rPr>
        <w:t>投标报价由低到高依次进行</w:t>
      </w:r>
      <w:r>
        <w:rPr>
          <w:rFonts w:hint="eastAsia" w:ascii="宋体" w:hAnsi="宋体"/>
          <w:color w:val="auto"/>
          <w:sz w:val="24"/>
          <w:szCs w:val="24"/>
          <w:highlight w:val="none"/>
        </w:rPr>
        <w:t>资格后审申请评审、商务标评审和技术标评审</w:t>
      </w:r>
      <w:r>
        <w:rPr>
          <w:rFonts w:hint="eastAsia"/>
          <w:color w:val="auto"/>
          <w:sz w:val="24"/>
          <w:szCs w:val="24"/>
          <w:highlight w:val="none"/>
        </w:rPr>
        <w:t>，</w:t>
      </w:r>
      <w:r>
        <w:rPr>
          <w:rFonts w:hint="eastAsia" w:ascii="宋体" w:hAnsi="宋体"/>
          <w:color w:val="auto"/>
          <w:sz w:val="24"/>
          <w:szCs w:val="24"/>
          <w:highlight w:val="none"/>
        </w:rPr>
        <w:t>评审均通过的即为第一中标候选人</w:t>
      </w:r>
      <w:r>
        <w:rPr>
          <w:rFonts w:hint="eastAsia"/>
          <w:color w:val="auto"/>
          <w:sz w:val="24"/>
          <w:szCs w:val="24"/>
          <w:highlight w:val="none"/>
        </w:rPr>
        <w:t>。</w:t>
      </w:r>
      <w:r>
        <w:rPr>
          <w:rFonts w:hint="eastAsia" w:ascii="宋体" w:hAnsi="宋体"/>
          <w:color w:val="auto"/>
          <w:sz w:val="24"/>
          <w:szCs w:val="24"/>
          <w:highlight w:val="none"/>
        </w:rPr>
        <w:t>如投标人资格后审申请评审、商务标和技术标评审中任一项被判定为未通过评审，再按报价由低到高依次进行递补，按顺序依次评出第一中标候选人、第二中标候选人（如有）。</w:t>
      </w:r>
    </w:p>
    <w:p w14:paraId="25AD36CC">
      <w:pPr>
        <w:keepNext/>
        <w:keepLines/>
        <w:spacing w:before="260" w:after="260" w:line="416" w:lineRule="auto"/>
        <w:jc w:val="center"/>
        <w:outlineLvl w:val="1"/>
        <w:rPr>
          <w:rFonts w:hint="eastAsia" w:ascii="黑体" w:hAnsi="黑体" w:eastAsia="黑体" w:cs="Times New Roman"/>
          <w:bCs/>
          <w:color w:val="auto"/>
          <w:sz w:val="32"/>
          <w:szCs w:val="32"/>
          <w:highlight w:val="none"/>
          <w:lang w:eastAsia="zh-CN"/>
        </w:rPr>
      </w:pPr>
      <w:r>
        <w:rPr>
          <w:rFonts w:hint="eastAsia" w:ascii="黑体" w:hAnsi="黑体" w:eastAsia="黑体" w:cs="Times New Roman"/>
          <w:bCs/>
          <w:color w:val="auto"/>
          <w:sz w:val="32"/>
          <w:szCs w:val="32"/>
          <w:highlight w:val="none"/>
          <w:lang w:eastAsia="zh-CN"/>
        </w:rPr>
        <w:t>三、资格审查评审表</w:t>
      </w:r>
    </w:p>
    <w:tbl>
      <w:tblPr>
        <w:tblStyle w:val="53"/>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97"/>
        <w:gridCol w:w="3008"/>
        <w:gridCol w:w="819"/>
        <w:gridCol w:w="3080"/>
      </w:tblGrid>
      <w:tr w14:paraId="3155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9524" w:type="dxa"/>
            <w:gridSpan w:val="5"/>
            <w:noWrap w:val="0"/>
            <w:vAlign w:val="center"/>
          </w:tcPr>
          <w:p w14:paraId="3E1B41D9">
            <w:pPr>
              <w:pStyle w:val="84"/>
              <w:pBdr>
                <w:bottom w:val="none" w:color="auto" w:sz="0" w:space="0"/>
              </w:pBdr>
              <w:tabs>
                <w:tab w:val="clear" w:pos="4153"/>
                <w:tab w:val="clear" w:pos="8306"/>
              </w:tabs>
              <w:snapToGrid w:val="0"/>
              <w:spacing w:line="360" w:lineRule="auto"/>
              <w:ind w:right="-10"/>
              <w:textAlignment w:val="auto"/>
              <w:rPr>
                <w:rFonts w:hint="eastAsia" w:ascii="宋体" w:hAnsi="宋体"/>
                <w:color w:val="auto"/>
                <w:kern w:val="2"/>
                <w:szCs w:val="24"/>
                <w:highlight w:val="none"/>
              </w:rPr>
            </w:pPr>
            <w:r>
              <w:rPr>
                <w:rFonts w:hint="eastAsia" w:ascii="宋体" w:hAnsi="宋体"/>
                <w:b/>
                <w:color w:val="auto"/>
                <w:highlight w:val="none"/>
                <w:lang w:eastAsia="zh-CN"/>
              </w:rPr>
              <w:t>资格审查评审</w:t>
            </w:r>
            <w:r>
              <w:rPr>
                <w:rFonts w:hint="eastAsia" w:ascii="宋体" w:hAnsi="宋体"/>
                <w:b/>
                <w:color w:val="auto"/>
                <w:highlight w:val="none"/>
              </w:rPr>
              <w:t>表（废标指标一览表）</w:t>
            </w:r>
          </w:p>
        </w:tc>
      </w:tr>
      <w:tr w14:paraId="364C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0" w:type="dxa"/>
            <w:tcBorders>
              <w:bottom w:val="single" w:color="auto" w:sz="4" w:space="0"/>
            </w:tcBorders>
            <w:noWrap w:val="0"/>
            <w:vAlign w:val="center"/>
          </w:tcPr>
          <w:p w14:paraId="0B05B550">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序号</w:t>
            </w:r>
          </w:p>
        </w:tc>
        <w:tc>
          <w:tcPr>
            <w:tcW w:w="1897" w:type="dxa"/>
            <w:tcBorders>
              <w:bottom w:val="single" w:color="auto" w:sz="4" w:space="0"/>
            </w:tcBorders>
            <w:noWrap w:val="0"/>
            <w:vAlign w:val="center"/>
          </w:tcPr>
          <w:p w14:paraId="02789899">
            <w:pPr>
              <w:pStyle w:val="84"/>
              <w:pBdr>
                <w:bottom w:val="none" w:color="auto" w:sz="0" w:space="0"/>
              </w:pBdr>
              <w:tabs>
                <w:tab w:val="clear" w:pos="4153"/>
                <w:tab w:val="clear" w:pos="8306"/>
              </w:tabs>
              <w:snapToGrid w:val="0"/>
              <w:spacing w:line="420" w:lineRule="exact"/>
              <w:ind w:right="-11"/>
              <w:textAlignment w:val="auto"/>
              <w:rPr>
                <w:rFonts w:hint="eastAsia" w:ascii="宋体" w:hAnsi="宋体"/>
                <w:color w:val="auto"/>
                <w:kern w:val="2"/>
                <w:szCs w:val="24"/>
                <w:highlight w:val="none"/>
              </w:rPr>
            </w:pPr>
            <w:r>
              <w:rPr>
                <w:rFonts w:hint="eastAsia" w:ascii="宋体" w:hAnsi="宋体"/>
                <w:color w:val="auto"/>
                <w:kern w:val="2"/>
                <w:szCs w:val="24"/>
                <w:highlight w:val="none"/>
              </w:rPr>
              <w:t>指标名称</w:t>
            </w:r>
          </w:p>
        </w:tc>
        <w:tc>
          <w:tcPr>
            <w:tcW w:w="3008" w:type="dxa"/>
            <w:tcBorders>
              <w:bottom w:val="single" w:color="auto" w:sz="4" w:space="0"/>
            </w:tcBorders>
            <w:noWrap w:val="0"/>
            <w:vAlign w:val="center"/>
          </w:tcPr>
          <w:p w14:paraId="3460FB3B">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指标要求</w:t>
            </w:r>
          </w:p>
        </w:tc>
        <w:tc>
          <w:tcPr>
            <w:tcW w:w="819" w:type="dxa"/>
            <w:tcBorders>
              <w:bottom w:val="single" w:color="auto" w:sz="4" w:space="0"/>
            </w:tcBorders>
            <w:noWrap w:val="0"/>
            <w:vAlign w:val="center"/>
          </w:tcPr>
          <w:p w14:paraId="0BB09A41">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是否通过</w:t>
            </w:r>
          </w:p>
        </w:tc>
        <w:tc>
          <w:tcPr>
            <w:tcW w:w="3080" w:type="dxa"/>
            <w:tcBorders>
              <w:bottom w:val="single" w:color="auto" w:sz="4" w:space="0"/>
            </w:tcBorders>
            <w:noWrap w:val="0"/>
            <w:vAlign w:val="center"/>
          </w:tcPr>
          <w:p w14:paraId="07670145">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投标文件格式及提交资料要求</w:t>
            </w:r>
          </w:p>
        </w:tc>
      </w:tr>
      <w:tr w14:paraId="4779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0" w:type="dxa"/>
            <w:tcBorders>
              <w:bottom w:val="single" w:color="auto" w:sz="4" w:space="0"/>
            </w:tcBorders>
            <w:noWrap w:val="0"/>
            <w:vAlign w:val="center"/>
          </w:tcPr>
          <w:p w14:paraId="2FF49FCD">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1</w:t>
            </w:r>
          </w:p>
        </w:tc>
        <w:tc>
          <w:tcPr>
            <w:tcW w:w="1897" w:type="dxa"/>
            <w:tcBorders>
              <w:bottom w:val="single" w:color="auto" w:sz="4" w:space="0"/>
            </w:tcBorders>
            <w:noWrap w:val="0"/>
            <w:vAlign w:val="center"/>
          </w:tcPr>
          <w:p w14:paraId="3FE54277">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营业执照或事业单位法人证书</w:t>
            </w:r>
          </w:p>
        </w:tc>
        <w:tc>
          <w:tcPr>
            <w:tcW w:w="3008" w:type="dxa"/>
            <w:tcBorders>
              <w:bottom w:val="single" w:color="auto" w:sz="4" w:space="0"/>
            </w:tcBorders>
            <w:noWrap w:val="0"/>
            <w:vAlign w:val="center"/>
          </w:tcPr>
          <w:p w14:paraId="629CFB61">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合法有效</w:t>
            </w:r>
          </w:p>
        </w:tc>
        <w:tc>
          <w:tcPr>
            <w:tcW w:w="819" w:type="dxa"/>
            <w:tcBorders>
              <w:bottom w:val="single" w:color="auto" w:sz="4" w:space="0"/>
            </w:tcBorders>
            <w:noWrap w:val="0"/>
            <w:vAlign w:val="center"/>
          </w:tcPr>
          <w:p w14:paraId="266C6B62">
            <w:pPr>
              <w:adjustRightInd w:val="0"/>
              <w:snapToGrid w:val="0"/>
              <w:spacing w:line="420" w:lineRule="exact"/>
              <w:ind w:right="-11"/>
              <w:jc w:val="center"/>
              <w:rPr>
                <w:rFonts w:hint="eastAsia" w:ascii="宋体" w:hAnsi="宋体"/>
                <w:color w:val="auto"/>
                <w:sz w:val="24"/>
                <w:szCs w:val="24"/>
                <w:highlight w:val="none"/>
              </w:rPr>
            </w:pPr>
          </w:p>
        </w:tc>
        <w:tc>
          <w:tcPr>
            <w:tcW w:w="3080" w:type="dxa"/>
            <w:tcBorders>
              <w:bottom w:val="single" w:color="auto" w:sz="4" w:space="0"/>
            </w:tcBorders>
            <w:noWrap w:val="0"/>
            <w:vAlign w:val="center"/>
          </w:tcPr>
          <w:p w14:paraId="319BA07A">
            <w:pPr>
              <w:adjustRightInd w:val="0"/>
              <w:snapToGrid w:val="0"/>
              <w:spacing w:line="420" w:lineRule="exact"/>
              <w:ind w:right="-11"/>
              <w:jc w:val="center"/>
              <w:rPr>
                <w:rFonts w:hint="eastAsia" w:ascii="宋体" w:hAnsi="宋体"/>
                <w:color w:val="auto"/>
                <w:sz w:val="24"/>
                <w:szCs w:val="24"/>
                <w:highlight w:val="none"/>
              </w:rPr>
            </w:pPr>
            <w:r>
              <w:rPr>
                <w:rFonts w:hint="eastAsia" w:ascii="宋体" w:hAnsi="宋体"/>
                <w:color w:val="auto"/>
                <w:sz w:val="24"/>
                <w:szCs w:val="24"/>
                <w:highlight w:val="none"/>
              </w:rPr>
              <w:t>提供有效的营业执照（或事业单位法人证书）的扫描件</w:t>
            </w:r>
            <w:r>
              <w:rPr>
                <w:rFonts w:hint="eastAsia" w:ascii="宋体" w:hAnsi="宋体"/>
                <w:b/>
                <w:bCs/>
                <w:color w:val="auto"/>
                <w:sz w:val="24"/>
                <w:szCs w:val="24"/>
                <w:highlight w:val="none"/>
              </w:rPr>
              <w:t>，应完整的体现出营业执照</w:t>
            </w:r>
            <w:r>
              <w:rPr>
                <w:rFonts w:hint="eastAsia" w:ascii="宋体" w:hAnsi="宋体"/>
                <w:b/>
                <w:color w:val="auto"/>
                <w:sz w:val="24"/>
                <w:szCs w:val="24"/>
                <w:highlight w:val="none"/>
              </w:rPr>
              <w:t>（或事业单位法人证书）</w:t>
            </w:r>
            <w:r>
              <w:rPr>
                <w:rFonts w:hint="eastAsia" w:ascii="宋体" w:hAnsi="宋体"/>
                <w:b/>
                <w:bCs/>
                <w:color w:val="auto"/>
                <w:sz w:val="24"/>
                <w:szCs w:val="24"/>
                <w:highlight w:val="none"/>
              </w:rPr>
              <w:t>的全部内容。</w:t>
            </w:r>
            <w:r>
              <w:rPr>
                <w:rFonts w:hint="eastAsia" w:ascii="宋体" w:hAnsi="宋体"/>
                <w:bCs/>
                <w:color w:val="auto"/>
                <w:sz w:val="24"/>
                <w:szCs w:val="24"/>
                <w:highlight w:val="none"/>
              </w:rPr>
              <w:t>联合体投标的，联合体各方均须提供。</w:t>
            </w:r>
          </w:p>
        </w:tc>
      </w:tr>
      <w:tr w14:paraId="28333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0" w:type="dxa"/>
            <w:tcBorders>
              <w:bottom w:val="single" w:color="auto" w:sz="4" w:space="0"/>
            </w:tcBorders>
            <w:noWrap w:val="0"/>
            <w:vAlign w:val="center"/>
          </w:tcPr>
          <w:p w14:paraId="071CDC63">
            <w:pPr>
              <w:adjustRightInd w:val="0"/>
              <w:snapToGrid w:val="0"/>
              <w:spacing w:line="360" w:lineRule="auto"/>
              <w:ind w:right="-10"/>
              <w:jc w:val="center"/>
              <w:rPr>
                <w:rFonts w:hint="eastAsia" w:ascii="宋体" w:hAnsi="宋体"/>
                <w:color w:val="auto"/>
                <w:sz w:val="24"/>
                <w:szCs w:val="24"/>
                <w:highlight w:val="none"/>
              </w:rPr>
            </w:pPr>
            <w:r>
              <w:rPr>
                <w:rFonts w:hint="eastAsia" w:ascii="宋体" w:hAnsi="宋体"/>
                <w:color w:val="auto"/>
                <w:sz w:val="24"/>
                <w:szCs w:val="24"/>
                <w:highlight w:val="none"/>
              </w:rPr>
              <w:t>2</w:t>
            </w:r>
          </w:p>
        </w:tc>
        <w:tc>
          <w:tcPr>
            <w:tcW w:w="1897" w:type="dxa"/>
            <w:tcBorders>
              <w:bottom w:val="single" w:color="auto" w:sz="4" w:space="0"/>
            </w:tcBorders>
            <w:noWrap w:val="0"/>
            <w:vAlign w:val="center"/>
          </w:tcPr>
          <w:p w14:paraId="63E72A99">
            <w:pPr>
              <w:spacing w:line="420" w:lineRule="exact"/>
              <w:ind w:right="-11"/>
              <w:jc w:val="center"/>
              <w:rPr>
                <w:rFonts w:hint="eastAsia" w:ascii="宋体" w:hAnsi="宋体"/>
                <w:color w:val="auto"/>
                <w:sz w:val="24"/>
                <w:szCs w:val="24"/>
                <w:highlight w:val="none"/>
              </w:rPr>
            </w:pPr>
            <w:r>
              <w:rPr>
                <w:rFonts w:hint="eastAsia" w:ascii="宋体" w:hAnsi="宋体"/>
                <w:color w:val="auto"/>
                <w:sz w:val="24"/>
                <w:szCs w:val="24"/>
                <w:highlight w:val="none"/>
              </w:rPr>
              <w:t>安全生产许可证</w:t>
            </w:r>
          </w:p>
        </w:tc>
        <w:tc>
          <w:tcPr>
            <w:tcW w:w="3008" w:type="dxa"/>
            <w:tcBorders>
              <w:bottom w:val="single" w:color="auto" w:sz="4" w:space="0"/>
            </w:tcBorders>
            <w:noWrap w:val="0"/>
            <w:vAlign w:val="center"/>
          </w:tcPr>
          <w:p w14:paraId="3956849B">
            <w:pPr>
              <w:spacing w:line="420" w:lineRule="exact"/>
              <w:ind w:right="-11"/>
              <w:jc w:val="center"/>
              <w:rPr>
                <w:rFonts w:hint="eastAsia" w:ascii="宋体" w:hAnsi="宋体"/>
                <w:color w:val="auto"/>
                <w:sz w:val="24"/>
                <w:szCs w:val="24"/>
                <w:highlight w:val="none"/>
              </w:rPr>
            </w:pPr>
            <w:r>
              <w:rPr>
                <w:rFonts w:hint="eastAsia" w:ascii="宋体" w:hAnsi="宋体"/>
                <w:color w:val="auto"/>
                <w:sz w:val="24"/>
                <w:szCs w:val="24"/>
                <w:highlight w:val="none"/>
              </w:rPr>
              <w:t>合法有效</w:t>
            </w:r>
          </w:p>
        </w:tc>
        <w:tc>
          <w:tcPr>
            <w:tcW w:w="819" w:type="dxa"/>
            <w:tcBorders>
              <w:bottom w:val="single" w:color="auto" w:sz="4" w:space="0"/>
            </w:tcBorders>
            <w:noWrap w:val="0"/>
            <w:vAlign w:val="center"/>
          </w:tcPr>
          <w:p w14:paraId="1A1025A6">
            <w:pPr>
              <w:adjustRightInd w:val="0"/>
              <w:snapToGrid w:val="0"/>
              <w:spacing w:line="420" w:lineRule="exact"/>
              <w:ind w:right="-11"/>
              <w:jc w:val="center"/>
              <w:rPr>
                <w:rFonts w:hint="eastAsia" w:ascii="宋体" w:hAnsi="宋体"/>
                <w:color w:val="auto"/>
                <w:sz w:val="24"/>
                <w:szCs w:val="24"/>
                <w:highlight w:val="none"/>
              </w:rPr>
            </w:pPr>
          </w:p>
        </w:tc>
        <w:tc>
          <w:tcPr>
            <w:tcW w:w="3080" w:type="dxa"/>
            <w:tcBorders>
              <w:bottom w:val="single" w:color="auto" w:sz="4" w:space="0"/>
            </w:tcBorders>
            <w:noWrap w:val="0"/>
            <w:vAlign w:val="center"/>
          </w:tcPr>
          <w:p w14:paraId="3A7EA015">
            <w:pPr>
              <w:adjustRightInd w:val="0"/>
              <w:snapToGrid w:val="0"/>
              <w:spacing w:line="420" w:lineRule="exact"/>
              <w:ind w:right="-11"/>
              <w:jc w:val="center"/>
              <w:rPr>
                <w:rFonts w:hint="eastAsia" w:ascii="宋体" w:hAnsi="宋体"/>
                <w:color w:val="auto"/>
                <w:sz w:val="24"/>
                <w:szCs w:val="24"/>
                <w:highlight w:val="none"/>
              </w:rPr>
            </w:pPr>
          </w:p>
        </w:tc>
      </w:tr>
      <w:tr w14:paraId="712F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720" w:type="dxa"/>
            <w:noWrap w:val="0"/>
            <w:vAlign w:val="center"/>
          </w:tcPr>
          <w:p w14:paraId="5740148C">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3</w:t>
            </w:r>
          </w:p>
        </w:tc>
        <w:tc>
          <w:tcPr>
            <w:tcW w:w="1897" w:type="dxa"/>
            <w:noWrap w:val="0"/>
            <w:vAlign w:val="center"/>
          </w:tcPr>
          <w:p w14:paraId="3C35A67B">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投标函</w:t>
            </w:r>
          </w:p>
        </w:tc>
        <w:tc>
          <w:tcPr>
            <w:tcW w:w="3008" w:type="dxa"/>
            <w:noWrap w:val="0"/>
            <w:vAlign w:val="center"/>
          </w:tcPr>
          <w:p w14:paraId="2AEE3114">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符合招标文件要求</w:t>
            </w:r>
          </w:p>
        </w:tc>
        <w:tc>
          <w:tcPr>
            <w:tcW w:w="819" w:type="dxa"/>
            <w:noWrap w:val="0"/>
            <w:vAlign w:val="center"/>
          </w:tcPr>
          <w:p w14:paraId="0C951894">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7B113164">
            <w:pPr>
              <w:adjustRightInd w:val="0"/>
              <w:snapToGrid w:val="0"/>
              <w:spacing w:line="420" w:lineRule="exact"/>
              <w:ind w:right="-11"/>
              <w:jc w:val="center"/>
              <w:rPr>
                <w:rFonts w:hint="eastAsia" w:ascii="宋体" w:hAnsi="宋体"/>
                <w:color w:val="auto"/>
                <w:sz w:val="24"/>
                <w:highlight w:val="none"/>
              </w:rPr>
            </w:pPr>
          </w:p>
        </w:tc>
      </w:tr>
      <w:tr w14:paraId="2172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1176BA00">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4</w:t>
            </w:r>
          </w:p>
        </w:tc>
        <w:tc>
          <w:tcPr>
            <w:tcW w:w="1897" w:type="dxa"/>
            <w:noWrap w:val="0"/>
            <w:vAlign w:val="center"/>
          </w:tcPr>
          <w:p w14:paraId="1DE65077">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投标授权书</w:t>
            </w:r>
          </w:p>
        </w:tc>
        <w:tc>
          <w:tcPr>
            <w:tcW w:w="3008" w:type="dxa"/>
            <w:noWrap w:val="0"/>
            <w:vAlign w:val="center"/>
          </w:tcPr>
          <w:p w14:paraId="677D143C">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符合招标文件要求</w:t>
            </w:r>
          </w:p>
        </w:tc>
        <w:tc>
          <w:tcPr>
            <w:tcW w:w="819" w:type="dxa"/>
            <w:noWrap w:val="0"/>
            <w:vAlign w:val="center"/>
          </w:tcPr>
          <w:p w14:paraId="6E74ED66">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0BEDDE76">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详见第七章投标文件格式“投标授权书”</w:t>
            </w:r>
          </w:p>
        </w:tc>
      </w:tr>
      <w:tr w14:paraId="53BAD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7E7A02A8">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5</w:t>
            </w:r>
          </w:p>
        </w:tc>
        <w:tc>
          <w:tcPr>
            <w:tcW w:w="1897" w:type="dxa"/>
            <w:noWrap w:val="0"/>
            <w:vAlign w:val="center"/>
          </w:tcPr>
          <w:p w14:paraId="46FE932F">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投标保证金</w:t>
            </w:r>
          </w:p>
        </w:tc>
        <w:tc>
          <w:tcPr>
            <w:tcW w:w="3008" w:type="dxa"/>
            <w:noWrap w:val="0"/>
            <w:vAlign w:val="center"/>
          </w:tcPr>
          <w:p w14:paraId="5054CAE5">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符合招标文件要求</w:t>
            </w:r>
          </w:p>
        </w:tc>
        <w:tc>
          <w:tcPr>
            <w:tcW w:w="819" w:type="dxa"/>
            <w:noWrap w:val="0"/>
            <w:vAlign w:val="center"/>
          </w:tcPr>
          <w:p w14:paraId="1AA2FFC2">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5662D7BB">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第二章投标人须知21条</w:t>
            </w:r>
          </w:p>
        </w:tc>
      </w:tr>
      <w:tr w14:paraId="1CDB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20" w:type="dxa"/>
            <w:noWrap w:val="0"/>
            <w:vAlign w:val="center"/>
          </w:tcPr>
          <w:p w14:paraId="1C47C3F0">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6</w:t>
            </w:r>
          </w:p>
        </w:tc>
        <w:tc>
          <w:tcPr>
            <w:tcW w:w="1897" w:type="dxa"/>
            <w:noWrap w:val="0"/>
            <w:vAlign w:val="center"/>
          </w:tcPr>
          <w:p w14:paraId="16E747DB">
            <w:pPr>
              <w:spacing w:after="50" w:line="360" w:lineRule="auto"/>
              <w:ind w:right="-10"/>
              <w:jc w:val="center"/>
              <w:rPr>
                <w:rFonts w:ascii="宋体" w:hAnsi="宋体"/>
                <w:color w:val="auto"/>
                <w:sz w:val="24"/>
                <w:szCs w:val="28"/>
                <w:highlight w:val="none"/>
              </w:rPr>
            </w:pPr>
            <w:r>
              <w:rPr>
                <w:rFonts w:hint="eastAsia" w:ascii="宋体" w:hAnsi="宋体"/>
                <w:color w:val="auto"/>
                <w:sz w:val="24"/>
                <w:szCs w:val="24"/>
                <w:highlight w:val="none"/>
              </w:rPr>
              <w:t>投标人信用承诺</w:t>
            </w:r>
          </w:p>
        </w:tc>
        <w:tc>
          <w:tcPr>
            <w:tcW w:w="3008" w:type="dxa"/>
            <w:noWrap w:val="0"/>
            <w:vAlign w:val="center"/>
          </w:tcPr>
          <w:p w14:paraId="0B1BFD53">
            <w:pPr>
              <w:spacing w:after="50" w:line="360" w:lineRule="auto"/>
              <w:ind w:right="-10"/>
              <w:jc w:val="center"/>
              <w:rPr>
                <w:rFonts w:ascii="宋体" w:hAnsi="宋体"/>
                <w:color w:val="auto"/>
                <w:sz w:val="24"/>
                <w:szCs w:val="28"/>
                <w:highlight w:val="none"/>
              </w:rPr>
            </w:pPr>
            <w:r>
              <w:rPr>
                <w:rFonts w:hint="eastAsia" w:ascii="宋体" w:hAnsi="宋体"/>
                <w:color w:val="auto"/>
                <w:sz w:val="24"/>
                <w:szCs w:val="28"/>
                <w:highlight w:val="none"/>
              </w:rPr>
              <w:t>符合招标文件要求</w:t>
            </w:r>
          </w:p>
        </w:tc>
        <w:tc>
          <w:tcPr>
            <w:tcW w:w="819" w:type="dxa"/>
            <w:noWrap w:val="0"/>
            <w:vAlign w:val="center"/>
          </w:tcPr>
          <w:p w14:paraId="12A7EDFF">
            <w:pPr>
              <w:adjustRightInd w:val="0"/>
              <w:snapToGrid w:val="0"/>
              <w:spacing w:line="360" w:lineRule="auto"/>
              <w:ind w:right="-10"/>
              <w:jc w:val="center"/>
              <w:rPr>
                <w:rFonts w:ascii="宋体" w:hAnsi="宋体"/>
                <w:color w:val="auto"/>
                <w:sz w:val="24"/>
                <w:highlight w:val="none"/>
              </w:rPr>
            </w:pPr>
          </w:p>
        </w:tc>
        <w:tc>
          <w:tcPr>
            <w:tcW w:w="3080" w:type="dxa"/>
            <w:noWrap w:val="0"/>
            <w:vAlign w:val="center"/>
          </w:tcPr>
          <w:p w14:paraId="1CCF2A56">
            <w:pPr>
              <w:adjustRightInd w:val="0"/>
              <w:snapToGrid w:val="0"/>
              <w:spacing w:line="360" w:lineRule="auto"/>
              <w:ind w:right="-10"/>
              <w:jc w:val="center"/>
              <w:rPr>
                <w:rFonts w:ascii="宋体" w:hAnsi="宋体"/>
                <w:color w:val="auto"/>
                <w:sz w:val="24"/>
                <w:highlight w:val="none"/>
              </w:rPr>
            </w:pPr>
            <w:r>
              <w:rPr>
                <w:rFonts w:hint="eastAsia" w:ascii="宋体" w:hAnsi="宋体"/>
                <w:color w:val="auto"/>
                <w:sz w:val="24"/>
                <w:szCs w:val="24"/>
                <w:highlight w:val="none"/>
              </w:rPr>
              <w:t>详见第七章投标文件格式</w:t>
            </w:r>
            <w:r>
              <w:rPr>
                <w:rFonts w:hint="eastAsia" w:ascii="宋体" w:hAnsi="宋体"/>
                <w:color w:val="auto"/>
                <w:sz w:val="24"/>
                <w:highlight w:val="none"/>
              </w:rPr>
              <w:t>“</w:t>
            </w:r>
            <w:r>
              <w:rPr>
                <w:rFonts w:hint="eastAsia" w:ascii="宋体" w:hAnsi="宋体"/>
                <w:color w:val="auto"/>
                <w:sz w:val="24"/>
                <w:szCs w:val="24"/>
                <w:highlight w:val="none"/>
              </w:rPr>
              <w:t>投标人信用承诺</w:t>
            </w:r>
            <w:r>
              <w:rPr>
                <w:rFonts w:hint="eastAsia" w:ascii="宋体" w:hAnsi="宋体"/>
                <w:color w:val="auto"/>
                <w:sz w:val="24"/>
                <w:highlight w:val="none"/>
              </w:rPr>
              <w:t>”，</w:t>
            </w:r>
            <w:r>
              <w:rPr>
                <w:rFonts w:hint="eastAsia" w:ascii="宋体" w:hAnsi="宋体"/>
                <w:bCs/>
                <w:color w:val="auto"/>
                <w:sz w:val="24"/>
                <w:szCs w:val="24"/>
                <w:highlight w:val="none"/>
              </w:rPr>
              <w:t>联合体投标的，联合体各方均须承诺。</w:t>
            </w:r>
          </w:p>
        </w:tc>
      </w:tr>
      <w:tr w14:paraId="17D74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1353C681">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7</w:t>
            </w:r>
          </w:p>
        </w:tc>
        <w:tc>
          <w:tcPr>
            <w:tcW w:w="1897" w:type="dxa"/>
            <w:noWrap w:val="0"/>
            <w:vAlign w:val="center"/>
          </w:tcPr>
          <w:p w14:paraId="7E765564">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投标人资质</w:t>
            </w:r>
          </w:p>
        </w:tc>
        <w:tc>
          <w:tcPr>
            <w:tcW w:w="3008" w:type="dxa"/>
            <w:noWrap w:val="0"/>
            <w:vAlign w:val="center"/>
          </w:tcPr>
          <w:p w14:paraId="0322B77A">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符合招标公告要求</w:t>
            </w:r>
          </w:p>
        </w:tc>
        <w:tc>
          <w:tcPr>
            <w:tcW w:w="819" w:type="dxa"/>
            <w:noWrap w:val="0"/>
            <w:vAlign w:val="center"/>
          </w:tcPr>
          <w:p w14:paraId="63FC5C35">
            <w:pPr>
              <w:adjustRightInd w:val="0"/>
              <w:snapToGrid w:val="0"/>
              <w:spacing w:line="420" w:lineRule="exact"/>
              <w:ind w:right="-11"/>
              <w:jc w:val="center"/>
              <w:rPr>
                <w:rFonts w:ascii="宋体" w:hAnsi="宋体"/>
                <w:color w:val="auto"/>
                <w:sz w:val="24"/>
                <w:szCs w:val="24"/>
                <w:highlight w:val="none"/>
              </w:rPr>
            </w:pPr>
          </w:p>
        </w:tc>
        <w:tc>
          <w:tcPr>
            <w:tcW w:w="3080" w:type="dxa"/>
            <w:noWrap w:val="0"/>
            <w:vAlign w:val="center"/>
          </w:tcPr>
          <w:p w14:paraId="1C7366D0">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提供资质证书扫描件</w:t>
            </w:r>
          </w:p>
        </w:tc>
      </w:tr>
      <w:tr w14:paraId="31E9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35EE49CA">
            <w:pPr>
              <w:adjustRightInd w:val="0"/>
              <w:snapToGrid w:val="0"/>
              <w:spacing w:line="360" w:lineRule="auto"/>
              <w:ind w:right="-10"/>
              <w:jc w:val="center"/>
              <w:rPr>
                <w:rFonts w:ascii="宋体" w:hAnsi="宋体"/>
                <w:color w:val="auto"/>
                <w:sz w:val="24"/>
                <w:highlight w:val="none"/>
              </w:rPr>
            </w:pPr>
            <w:r>
              <w:rPr>
                <w:rFonts w:hint="eastAsia" w:ascii="宋体" w:hAnsi="宋体"/>
                <w:color w:val="auto"/>
                <w:sz w:val="24"/>
                <w:highlight w:val="none"/>
              </w:rPr>
              <w:t>8</w:t>
            </w:r>
          </w:p>
        </w:tc>
        <w:tc>
          <w:tcPr>
            <w:tcW w:w="1897" w:type="dxa"/>
            <w:noWrap w:val="0"/>
            <w:vAlign w:val="center"/>
          </w:tcPr>
          <w:p w14:paraId="65E877C4">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业绩</w:t>
            </w:r>
          </w:p>
        </w:tc>
        <w:tc>
          <w:tcPr>
            <w:tcW w:w="3008" w:type="dxa"/>
            <w:noWrap w:val="0"/>
            <w:vAlign w:val="center"/>
          </w:tcPr>
          <w:p w14:paraId="43AC3798">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符合招标公告要求</w:t>
            </w:r>
          </w:p>
        </w:tc>
        <w:tc>
          <w:tcPr>
            <w:tcW w:w="819" w:type="dxa"/>
            <w:noWrap w:val="0"/>
            <w:vAlign w:val="center"/>
          </w:tcPr>
          <w:p w14:paraId="4F9A1A5C">
            <w:pPr>
              <w:adjustRightInd w:val="0"/>
              <w:snapToGrid w:val="0"/>
              <w:spacing w:line="420" w:lineRule="exact"/>
              <w:ind w:right="-11"/>
              <w:jc w:val="center"/>
              <w:rPr>
                <w:rFonts w:ascii="宋体" w:hAnsi="宋体"/>
                <w:color w:val="auto"/>
                <w:sz w:val="24"/>
                <w:szCs w:val="24"/>
                <w:highlight w:val="none"/>
              </w:rPr>
            </w:pPr>
          </w:p>
        </w:tc>
        <w:tc>
          <w:tcPr>
            <w:tcW w:w="3080" w:type="dxa"/>
            <w:noWrap w:val="0"/>
            <w:vAlign w:val="center"/>
          </w:tcPr>
          <w:p w14:paraId="02078719">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详见投标人须知前附表</w:t>
            </w:r>
          </w:p>
        </w:tc>
      </w:tr>
      <w:tr w14:paraId="6185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0B41822C">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9</w:t>
            </w:r>
          </w:p>
        </w:tc>
        <w:tc>
          <w:tcPr>
            <w:tcW w:w="1897" w:type="dxa"/>
            <w:noWrap w:val="0"/>
            <w:vAlign w:val="center"/>
          </w:tcPr>
          <w:p w14:paraId="146755DA">
            <w:pPr>
              <w:spacing w:line="420" w:lineRule="exact"/>
              <w:ind w:right="-11"/>
              <w:jc w:val="center"/>
              <w:rPr>
                <w:rFonts w:hint="eastAsia" w:ascii="宋体" w:hAnsi="宋体"/>
                <w:color w:val="auto"/>
                <w:sz w:val="24"/>
                <w:szCs w:val="24"/>
                <w:highlight w:val="none"/>
              </w:rPr>
            </w:pPr>
            <w:r>
              <w:rPr>
                <w:rFonts w:hint="eastAsia" w:ascii="宋体" w:hAnsi="宋体"/>
                <w:color w:val="auto"/>
                <w:sz w:val="24"/>
                <w:szCs w:val="24"/>
                <w:highlight w:val="none"/>
              </w:rPr>
              <w:t>拟任项目经理资格</w:t>
            </w:r>
          </w:p>
        </w:tc>
        <w:tc>
          <w:tcPr>
            <w:tcW w:w="3008" w:type="dxa"/>
            <w:noWrap w:val="0"/>
            <w:vAlign w:val="center"/>
          </w:tcPr>
          <w:p w14:paraId="33D036D9">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符合招标文件要求</w:t>
            </w:r>
          </w:p>
        </w:tc>
        <w:tc>
          <w:tcPr>
            <w:tcW w:w="819" w:type="dxa"/>
            <w:noWrap w:val="0"/>
            <w:vAlign w:val="center"/>
          </w:tcPr>
          <w:p w14:paraId="3BE68CE7">
            <w:pPr>
              <w:adjustRightInd w:val="0"/>
              <w:snapToGrid w:val="0"/>
              <w:spacing w:line="420" w:lineRule="exact"/>
              <w:ind w:right="-11"/>
              <w:jc w:val="center"/>
              <w:rPr>
                <w:rFonts w:ascii="宋体" w:hAnsi="宋体"/>
                <w:color w:val="auto"/>
                <w:sz w:val="24"/>
                <w:szCs w:val="24"/>
                <w:highlight w:val="none"/>
              </w:rPr>
            </w:pPr>
          </w:p>
        </w:tc>
        <w:tc>
          <w:tcPr>
            <w:tcW w:w="3080" w:type="dxa"/>
            <w:noWrap w:val="0"/>
            <w:vAlign w:val="center"/>
          </w:tcPr>
          <w:p w14:paraId="1F9BE38F">
            <w:pPr>
              <w:pStyle w:val="67"/>
              <w:widowControl/>
              <w:jc w:val="left"/>
              <w:rPr>
                <w:rFonts w:hint="eastAsia" w:ascii="宋体" w:hAnsi="宋体"/>
                <w:color w:val="auto"/>
                <w:sz w:val="24"/>
                <w:szCs w:val="24"/>
                <w:highlight w:val="none"/>
              </w:rPr>
            </w:pPr>
            <w:r>
              <w:rPr>
                <w:rFonts w:hint="eastAsia" w:ascii="宋体" w:hAnsi="宋体"/>
                <w:color w:val="auto"/>
                <w:sz w:val="24"/>
                <w:szCs w:val="24"/>
                <w:highlight w:val="none"/>
              </w:rPr>
              <w:t>（1）项目经理资格条件见招标公告要求，且必须是本单位人员（招标公告中要求的注册证书注册单位应当与投标人名称一致，提供投标人所属社保机构出具的拟委任的项目经理开标之日前半年内连续三个月（社保时间要求）社保缴费证明或其他能够证明拟委任的项目经理参加社保的有效证明材料，项目经理的社会保险的缴纳单位应当是投标人或者投标人不具备独立法人资格的分支机构）。</w:t>
            </w:r>
          </w:p>
          <w:p w14:paraId="5C148581">
            <w:pPr>
              <w:widowControl/>
              <w:jc w:val="left"/>
              <w:rPr>
                <w:rFonts w:hint="eastAsia" w:ascii="宋体" w:hAnsi="宋体"/>
                <w:color w:val="auto"/>
                <w:sz w:val="24"/>
                <w:szCs w:val="24"/>
                <w:highlight w:val="none"/>
              </w:rPr>
            </w:pPr>
            <w:r>
              <w:rPr>
                <w:rFonts w:hint="eastAsia" w:ascii="宋体" w:hAnsi="宋体"/>
                <w:color w:val="auto"/>
                <w:sz w:val="24"/>
                <w:szCs w:val="24"/>
                <w:highlight w:val="none"/>
              </w:rPr>
              <w:t>（2）项目经理业绩具体要求见招标公告。</w:t>
            </w:r>
          </w:p>
          <w:p w14:paraId="14FF9899">
            <w:pPr>
              <w:widowControl/>
              <w:jc w:val="left"/>
              <w:rPr>
                <w:rFonts w:hint="eastAsia" w:ascii="宋体" w:hAnsi="宋体"/>
                <w:color w:val="auto"/>
                <w:sz w:val="24"/>
                <w:szCs w:val="24"/>
                <w:highlight w:val="none"/>
              </w:rPr>
            </w:pPr>
            <w:r>
              <w:rPr>
                <w:rFonts w:hint="eastAsia" w:ascii="宋体" w:hAnsi="宋体"/>
                <w:color w:val="auto"/>
                <w:sz w:val="24"/>
                <w:szCs w:val="24"/>
                <w:highlight w:val="none"/>
              </w:rPr>
              <w:t>（3）项目经理不得同时担任两个及以上建设工程施工项目负责人，以下情形除外：</w:t>
            </w:r>
          </w:p>
          <w:p w14:paraId="5FC8F42E">
            <w:pPr>
              <w:widowControl/>
              <w:jc w:val="left"/>
              <w:rPr>
                <w:rFonts w:hint="eastAsia" w:ascii="宋体" w:hAnsi="宋体"/>
                <w:color w:val="auto"/>
                <w:sz w:val="24"/>
                <w:szCs w:val="24"/>
                <w:highlight w:val="none"/>
              </w:rPr>
            </w:pPr>
            <w:r>
              <w:rPr>
                <w:rFonts w:hint="eastAsia" w:ascii="宋体" w:hAnsi="宋体"/>
                <w:color w:val="auto"/>
                <w:sz w:val="24"/>
                <w:szCs w:val="24"/>
                <w:highlight w:val="none"/>
              </w:rPr>
              <w:t>①法定情形；</w:t>
            </w:r>
          </w:p>
          <w:p w14:paraId="26863C74">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②虽在其他项目上担任项目经理岗位，但承诺在本项目中标后合同签订前能够从其他项目变更至本项目并全面履约。</w:t>
            </w:r>
          </w:p>
        </w:tc>
      </w:tr>
      <w:tr w14:paraId="2204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41C0B790">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10</w:t>
            </w:r>
          </w:p>
        </w:tc>
        <w:tc>
          <w:tcPr>
            <w:tcW w:w="1897" w:type="dxa"/>
            <w:noWrap w:val="0"/>
            <w:vAlign w:val="center"/>
          </w:tcPr>
          <w:p w14:paraId="7DC2A526">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联合体协议</w:t>
            </w:r>
          </w:p>
        </w:tc>
        <w:tc>
          <w:tcPr>
            <w:tcW w:w="3008" w:type="dxa"/>
            <w:noWrap w:val="0"/>
            <w:vAlign w:val="center"/>
          </w:tcPr>
          <w:p w14:paraId="7DE7DED2">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符合招标文件要求</w:t>
            </w:r>
          </w:p>
        </w:tc>
        <w:tc>
          <w:tcPr>
            <w:tcW w:w="819" w:type="dxa"/>
            <w:noWrap w:val="0"/>
            <w:vAlign w:val="center"/>
          </w:tcPr>
          <w:p w14:paraId="5FFEAB6F">
            <w:pPr>
              <w:adjustRightInd w:val="0"/>
              <w:snapToGrid w:val="0"/>
              <w:spacing w:line="420" w:lineRule="exact"/>
              <w:ind w:right="-11"/>
              <w:jc w:val="center"/>
              <w:rPr>
                <w:rFonts w:ascii="宋体" w:hAnsi="宋体"/>
                <w:color w:val="auto"/>
                <w:sz w:val="24"/>
                <w:szCs w:val="24"/>
                <w:highlight w:val="none"/>
              </w:rPr>
            </w:pPr>
          </w:p>
        </w:tc>
        <w:tc>
          <w:tcPr>
            <w:tcW w:w="3080" w:type="dxa"/>
            <w:noWrap w:val="0"/>
            <w:vAlign w:val="center"/>
          </w:tcPr>
          <w:p w14:paraId="4A15A571">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联合体投标的须提供；未组成联合体投标的无需提供</w:t>
            </w:r>
          </w:p>
        </w:tc>
      </w:tr>
      <w:tr w14:paraId="0BB7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274F0BE4">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11</w:t>
            </w:r>
          </w:p>
        </w:tc>
        <w:tc>
          <w:tcPr>
            <w:tcW w:w="1897" w:type="dxa"/>
            <w:noWrap w:val="0"/>
            <w:vAlign w:val="center"/>
          </w:tcPr>
          <w:p w14:paraId="547DE3B3">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标书响应情况</w:t>
            </w:r>
          </w:p>
        </w:tc>
        <w:tc>
          <w:tcPr>
            <w:tcW w:w="3008" w:type="dxa"/>
            <w:noWrap w:val="0"/>
            <w:vAlign w:val="center"/>
          </w:tcPr>
          <w:p w14:paraId="10206AC8">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付款响应、服务期限响应</w:t>
            </w:r>
          </w:p>
        </w:tc>
        <w:tc>
          <w:tcPr>
            <w:tcW w:w="819" w:type="dxa"/>
            <w:noWrap w:val="0"/>
            <w:vAlign w:val="center"/>
          </w:tcPr>
          <w:p w14:paraId="48060F45">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6196DD84">
            <w:pPr>
              <w:adjustRightInd w:val="0"/>
              <w:snapToGrid w:val="0"/>
              <w:spacing w:line="420" w:lineRule="exact"/>
              <w:ind w:right="-11"/>
              <w:jc w:val="center"/>
              <w:rPr>
                <w:rFonts w:hint="eastAsia" w:ascii="宋体" w:hAnsi="宋体"/>
                <w:color w:val="auto"/>
                <w:sz w:val="24"/>
                <w:highlight w:val="none"/>
              </w:rPr>
            </w:pPr>
          </w:p>
        </w:tc>
      </w:tr>
      <w:tr w14:paraId="0877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0C0B09EF">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12</w:t>
            </w:r>
          </w:p>
        </w:tc>
        <w:tc>
          <w:tcPr>
            <w:tcW w:w="1897" w:type="dxa"/>
            <w:noWrap w:val="0"/>
            <w:vAlign w:val="center"/>
          </w:tcPr>
          <w:p w14:paraId="55F0975F">
            <w:pPr>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标书规范性</w:t>
            </w:r>
          </w:p>
        </w:tc>
        <w:tc>
          <w:tcPr>
            <w:tcW w:w="3008" w:type="dxa"/>
            <w:noWrap w:val="0"/>
            <w:vAlign w:val="center"/>
          </w:tcPr>
          <w:p w14:paraId="52C632FF">
            <w:pPr>
              <w:pStyle w:val="84"/>
              <w:pBdr>
                <w:bottom w:val="none" w:color="auto" w:sz="0" w:space="0"/>
              </w:pBdr>
              <w:tabs>
                <w:tab w:val="clear" w:pos="4153"/>
                <w:tab w:val="clear" w:pos="8306"/>
              </w:tabs>
              <w:adjustRightInd/>
              <w:spacing w:line="420" w:lineRule="exact"/>
              <w:ind w:right="-11"/>
              <w:jc w:val="both"/>
              <w:textAlignment w:val="auto"/>
              <w:rPr>
                <w:rFonts w:hint="eastAsia" w:ascii="宋体" w:hAnsi="宋体"/>
                <w:color w:val="auto"/>
                <w:kern w:val="2"/>
                <w:highlight w:val="none"/>
              </w:rPr>
            </w:pPr>
            <w:r>
              <w:rPr>
                <w:rFonts w:hint="eastAsia" w:ascii="宋体" w:hAnsi="宋体"/>
                <w:color w:val="auto"/>
                <w:highlight w:val="none"/>
              </w:rPr>
              <w:t>无严重的编排混乱、内容不全或字迹模糊辨认不清、前后矛盾情况，对评标无实质性影响的</w:t>
            </w:r>
          </w:p>
        </w:tc>
        <w:tc>
          <w:tcPr>
            <w:tcW w:w="819" w:type="dxa"/>
            <w:noWrap w:val="0"/>
            <w:vAlign w:val="center"/>
          </w:tcPr>
          <w:p w14:paraId="7ED29BCE">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3C10ACB1">
            <w:pPr>
              <w:adjustRightInd w:val="0"/>
              <w:snapToGrid w:val="0"/>
              <w:spacing w:line="420" w:lineRule="exact"/>
              <w:ind w:right="-11"/>
              <w:jc w:val="center"/>
              <w:rPr>
                <w:rFonts w:hint="eastAsia" w:ascii="宋体" w:hAnsi="宋体"/>
                <w:color w:val="auto"/>
                <w:sz w:val="24"/>
                <w:highlight w:val="none"/>
              </w:rPr>
            </w:pPr>
          </w:p>
        </w:tc>
      </w:tr>
      <w:tr w14:paraId="28BB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271A9BE7">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13</w:t>
            </w:r>
          </w:p>
        </w:tc>
        <w:tc>
          <w:tcPr>
            <w:tcW w:w="1897" w:type="dxa"/>
            <w:noWrap w:val="0"/>
            <w:vAlign w:val="center"/>
          </w:tcPr>
          <w:p w14:paraId="2F915FEF">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其他要求</w:t>
            </w:r>
          </w:p>
        </w:tc>
        <w:tc>
          <w:tcPr>
            <w:tcW w:w="3008" w:type="dxa"/>
            <w:noWrap w:val="0"/>
            <w:vAlign w:val="center"/>
          </w:tcPr>
          <w:p w14:paraId="3C5A952E">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上述指标中未列出，但国家相关法律法规或招标文件有明确规定的</w:t>
            </w:r>
          </w:p>
        </w:tc>
        <w:tc>
          <w:tcPr>
            <w:tcW w:w="819" w:type="dxa"/>
            <w:noWrap w:val="0"/>
            <w:vAlign w:val="center"/>
          </w:tcPr>
          <w:p w14:paraId="60506F78">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3F71E7AE">
            <w:pPr>
              <w:adjustRightInd w:val="0"/>
              <w:snapToGrid w:val="0"/>
              <w:spacing w:line="420" w:lineRule="exact"/>
              <w:ind w:right="-11"/>
              <w:jc w:val="center"/>
              <w:rPr>
                <w:rFonts w:hint="eastAsia" w:ascii="宋体" w:hAnsi="宋体"/>
                <w:color w:val="auto"/>
                <w:sz w:val="24"/>
                <w:highlight w:val="none"/>
              </w:rPr>
            </w:pPr>
          </w:p>
        </w:tc>
      </w:tr>
      <w:tr w14:paraId="7EB4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4" w:type="dxa"/>
            <w:gridSpan w:val="5"/>
            <w:noWrap w:val="0"/>
            <w:vAlign w:val="center"/>
          </w:tcPr>
          <w:p w14:paraId="6D8F1B3E">
            <w:pPr>
              <w:adjustRightInd w:val="0"/>
              <w:snapToGrid w:val="0"/>
              <w:spacing w:line="360" w:lineRule="auto"/>
              <w:ind w:right="-10"/>
              <w:jc w:val="left"/>
              <w:rPr>
                <w:rFonts w:hint="eastAsia" w:ascii="宋体" w:hAnsi="宋体"/>
                <w:color w:val="auto"/>
                <w:sz w:val="24"/>
                <w:highlight w:val="none"/>
              </w:rPr>
            </w:pPr>
            <w:r>
              <w:rPr>
                <w:rFonts w:hint="eastAsia" w:ascii="宋体" w:hAnsi="宋体"/>
                <w:color w:val="auto"/>
                <w:sz w:val="24"/>
                <w:highlight w:val="none"/>
                <w:lang w:eastAsia="zh-CN"/>
              </w:rPr>
              <w:t>资格审核</w:t>
            </w:r>
            <w:r>
              <w:rPr>
                <w:rFonts w:hint="eastAsia" w:ascii="宋体" w:hAnsi="宋体"/>
                <w:color w:val="auto"/>
                <w:sz w:val="24"/>
                <w:highlight w:val="none"/>
              </w:rPr>
              <w:t>指标通过标准：投标人必须通过上述全部指标。</w:t>
            </w:r>
          </w:p>
          <w:p w14:paraId="15C0DE39">
            <w:pPr>
              <w:adjustRightInd w:val="0"/>
              <w:snapToGrid w:val="0"/>
              <w:spacing w:line="420" w:lineRule="exact"/>
              <w:ind w:right="-11"/>
              <w:jc w:val="left"/>
              <w:rPr>
                <w:rFonts w:hint="eastAsia" w:ascii="宋体" w:hAnsi="宋体"/>
                <w:color w:val="auto"/>
                <w:sz w:val="24"/>
                <w:highlight w:val="none"/>
              </w:rPr>
            </w:pPr>
            <w:r>
              <w:rPr>
                <w:rFonts w:hint="eastAsia" w:ascii="宋体" w:hAnsi="宋体"/>
                <w:color w:val="auto"/>
                <w:sz w:val="24"/>
                <w:highlight w:val="none"/>
              </w:rPr>
              <w:t>评标委员会根据表中所列各项指标对投标人是否为有效标进行评审，未列入上表中的指标不得作为废标依据。</w:t>
            </w:r>
          </w:p>
        </w:tc>
      </w:tr>
    </w:tbl>
    <w:p w14:paraId="3E1A92F0">
      <w:pPr>
        <w:widowControl w:val="0"/>
        <w:numPr>
          <w:ilvl w:val="0"/>
          <w:numId w:val="0"/>
        </w:numPr>
        <w:adjustRightInd w:val="0"/>
        <w:snapToGrid w:val="0"/>
        <w:spacing w:line="360" w:lineRule="auto"/>
        <w:ind w:right="-10" w:rightChars="0"/>
        <w:jc w:val="center"/>
        <w:rPr>
          <w:rFonts w:hint="eastAsia" w:ascii="宋体" w:hAnsi="宋体"/>
          <w:color w:val="auto"/>
          <w:sz w:val="24"/>
          <w:szCs w:val="22"/>
          <w:highlight w:val="none"/>
          <w:lang w:eastAsia="zh-CN"/>
        </w:rPr>
      </w:pPr>
    </w:p>
    <w:p w14:paraId="7229F177">
      <w:pPr>
        <w:keepNext/>
        <w:keepLines/>
        <w:spacing w:before="260" w:after="260" w:line="416" w:lineRule="auto"/>
        <w:jc w:val="center"/>
        <w:outlineLvl w:val="1"/>
        <w:rPr>
          <w:rFonts w:hint="eastAsia" w:ascii="黑体" w:hAnsi="黑体" w:eastAsia="黑体" w:cs="Times New Roman"/>
          <w:bCs/>
          <w:color w:val="auto"/>
          <w:sz w:val="32"/>
          <w:szCs w:val="32"/>
          <w:highlight w:val="none"/>
          <w:lang w:eastAsia="zh-CN"/>
        </w:rPr>
      </w:pPr>
      <w:r>
        <w:rPr>
          <w:rFonts w:hint="eastAsia" w:ascii="黑体" w:hAnsi="黑体" w:eastAsia="黑体" w:cs="Times New Roman"/>
          <w:bCs/>
          <w:color w:val="auto"/>
          <w:sz w:val="32"/>
          <w:szCs w:val="32"/>
          <w:highlight w:val="none"/>
          <w:lang w:eastAsia="zh-CN"/>
        </w:rPr>
        <w:t>四、商务标评审</w:t>
      </w:r>
    </w:p>
    <w:tbl>
      <w:tblPr>
        <w:tblStyle w:val="53"/>
        <w:tblW w:w="9663" w:type="dxa"/>
        <w:tblInd w:w="-8"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2210"/>
        <w:gridCol w:w="7453"/>
      </w:tblGrid>
      <w:tr w14:paraId="27DAFDC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40" w:hRule="atLeast"/>
          <w:tblHeader/>
        </w:trPr>
        <w:tc>
          <w:tcPr>
            <w:tcW w:w="2210" w:type="dxa"/>
            <w:tcBorders>
              <w:top w:val="outset" w:color="auto" w:sz="6" w:space="0"/>
              <w:left w:val="single" w:color="auto" w:sz="4" w:space="0"/>
              <w:bottom w:val="outset" w:color="auto" w:sz="6" w:space="0"/>
              <w:right w:val="single" w:color="auto" w:sz="4" w:space="0"/>
            </w:tcBorders>
            <w:noWrap w:val="0"/>
            <w:vAlign w:val="center"/>
          </w:tcPr>
          <w:p w14:paraId="1E666CA6">
            <w:pPr>
              <w:widowControl/>
              <w:ind w:firstLine="105" w:firstLineChars="50"/>
              <w:jc w:val="center"/>
              <w:rPr>
                <w:color w:val="auto"/>
                <w:kern w:val="0"/>
                <w:szCs w:val="21"/>
                <w:highlight w:val="none"/>
              </w:rPr>
            </w:pPr>
            <w:r>
              <w:rPr>
                <w:b/>
                <w:bCs/>
                <w:color w:val="auto"/>
                <w:kern w:val="0"/>
                <w:szCs w:val="21"/>
                <w:highlight w:val="none"/>
              </w:rPr>
              <w:t>评审因素</w:t>
            </w:r>
          </w:p>
        </w:tc>
        <w:tc>
          <w:tcPr>
            <w:tcW w:w="7453" w:type="dxa"/>
            <w:tcBorders>
              <w:top w:val="outset" w:color="auto" w:sz="6" w:space="0"/>
              <w:left w:val="single" w:color="auto" w:sz="4" w:space="0"/>
              <w:bottom w:val="outset" w:color="auto" w:sz="6" w:space="0"/>
              <w:right w:val="outset" w:color="auto" w:sz="6" w:space="0"/>
            </w:tcBorders>
            <w:noWrap w:val="0"/>
            <w:vAlign w:val="center"/>
          </w:tcPr>
          <w:p w14:paraId="17B83FC1">
            <w:pPr>
              <w:widowControl/>
              <w:ind w:firstLine="105" w:firstLineChars="50"/>
              <w:jc w:val="center"/>
              <w:rPr>
                <w:rFonts w:hint="eastAsia"/>
                <w:color w:val="auto"/>
                <w:kern w:val="0"/>
                <w:szCs w:val="21"/>
                <w:highlight w:val="none"/>
              </w:rPr>
            </w:pPr>
            <w:r>
              <w:rPr>
                <w:rFonts w:hint="eastAsia"/>
                <w:b/>
                <w:bCs/>
                <w:color w:val="auto"/>
                <w:kern w:val="0"/>
                <w:szCs w:val="21"/>
                <w:highlight w:val="none"/>
              </w:rPr>
              <w:t>评审标准</w:t>
            </w:r>
          </w:p>
        </w:tc>
      </w:tr>
      <w:tr w14:paraId="1E261E3C">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221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2D5B5A33">
            <w:pPr>
              <w:widowControl/>
              <w:jc w:val="center"/>
              <w:rPr>
                <w:color w:val="auto"/>
                <w:kern w:val="0"/>
                <w:sz w:val="24"/>
                <w:szCs w:val="24"/>
                <w:highlight w:val="none"/>
              </w:rPr>
            </w:pPr>
            <w:r>
              <w:rPr>
                <w:color w:val="auto"/>
                <w:kern w:val="0"/>
                <w:sz w:val="24"/>
                <w:szCs w:val="24"/>
                <w:highlight w:val="none"/>
              </w:rPr>
              <w:t>报价规范性评审</w:t>
            </w:r>
          </w:p>
        </w:tc>
        <w:tc>
          <w:tcPr>
            <w:tcW w:w="7453"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766A28F7">
            <w:pPr>
              <w:widowControl/>
              <w:rPr>
                <w:rFonts w:hint="eastAsia"/>
                <w:color w:val="auto"/>
                <w:kern w:val="0"/>
                <w:sz w:val="24"/>
                <w:szCs w:val="24"/>
                <w:highlight w:val="none"/>
              </w:rPr>
            </w:pPr>
            <w:r>
              <w:rPr>
                <w:color w:val="auto"/>
                <w:kern w:val="0"/>
                <w:sz w:val="24"/>
                <w:szCs w:val="24"/>
                <w:highlight w:val="none"/>
              </w:rPr>
              <w:t>对</w:t>
            </w:r>
            <w:r>
              <w:rPr>
                <w:rFonts w:hint="eastAsia"/>
                <w:color w:val="auto"/>
                <w:kern w:val="0"/>
                <w:sz w:val="24"/>
                <w:szCs w:val="24"/>
                <w:highlight w:val="none"/>
              </w:rPr>
              <w:t>已标价的工程量清单报价书“分部分项工程量清单综合单价分析表”</w:t>
            </w:r>
            <w:r>
              <w:rPr>
                <w:color w:val="auto"/>
                <w:kern w:val="0"/>
                <w:sz w:val="24"/>
                <w:szCs w:val="24"/>
                <w:highlight w:val="none"/>
              </w:rPr>
              <w:t>中</w:t>
            </w:r>
            <w:r>
              <w:rPr>
                <w:rFonts w:hint="eastAsia"/>
                <w:color w:val="auto"/>
                <w:kern w:val="0"/>
                <w:sz w:val="24"/>
                <w:szCs w:val="24"/>
                <w:highlight w:val="none"/>
              </w:rPr>
              <w:t>的</w:t>
            </w:r>
            <w:r>
              <w:rPr>
                <w:color w:val="auto"/>
                <w:kern w:val="0"/>
                <w:sz w:val="24"/>
                <w:szCs w:val="24"/>
                <w:highlight w:val="none"/>
              </w:rPr>
              <w:t>综合单价、主要材料价格、人工费（含工日数量及工日单价）、机械费</w:t>
            </w:r>
            <w:r>
              <w:rPr>
                <w:rFonts w:hint="eastAsia"/>
                <w:color w:val="auto"/>
                <w:kern w:val="0"/>
                <w:sz w:val="24"/>
                <w:szCs w:val="24"/>
                <w:highlight w:val="none"/>
              </w:rPr>
              <w:t>，“措施项目清单与计价表”中的措施费及“不可竞争项目清单与计价表”的不可竞争费</w:t>
            </w:r>
            <w:r>
              <w:rPr>
                <w:color w:val="auto"/>
                <w:kern w:val="0"/>
                <w:sz w:val="24"/>
                <w:szCs w:val="24"/>
                <w:highlight w:val="none"/>
              </w:rPr>
              <w:t>等进行规范性评审，对明显相互冲突、自相矛盾或不合理的，</w:t>
            </w:r>
            <w:r>
              <w:rPr>
                <w:rFonts w:hint="eastAsia"/>
                <w:color w:val="auto"/>
                <w:kern w:val="0"/>
                <w:sz w:val="24"/>
                <w:szCs w:val="24"/>
                <w:highlight w:val="none"/>
              </w:rPr>
              <w:t>或</w:t>
            </w:r>
            <w:r>
              <w:rPr>
                <w:color w:val="auto"/>
                <w:kern w:val="0"/>
                <w:sz w:val="24"/>
                <w:szCs w:val="24"/>
                <w:highlight w:val="none"/>
              </w:rPr>
              <w:t>未按照工程量清单计价规范要求计价的，可</w:t>
            </w:r>
            <w:r>
              <w:rPr>
                <w:rFonts w:hint="eastAsia"/>
                <w:color w:val="auto"/>
                <w:kern w:val="0"/>
                <w:sz w:val="24"/>
                <w:szCs w:val="24"/>
                <w:highlight w:val="none"/>
              </w:rPr>
              <w:t>否决其投标</w:t>
            </w:r>
            <w:r>
              <w:rPr>
                <w:color w:val="auto"/>
                <w:kern w:val="0"/>
                <w:sz w:val="24"/>
                <w:szCs w:val="24"/>
                <w:highlight w:val="none"/>
              </w:rPr>
              <w:t>（如：</w:t>
            </w:r>
            <w:r>
              <w:rPr>
                <w:rFonts w:hint="eastAsia"/>
                <w:color w:val="auto"/>
                <w:kern w:val="0"/>
                <w:sz w:val="24"/>
                <w:szCs w:val="24"/>
                <w:highlight w:val="none"/>
              </w:rPr>
              <w:t>“分部分项工程量清单综合单价分析表”</w:t>
            </w:r>
            <w:r>
              <w:rPr>
                <w:color w:val="auto"/>
                <w:kern w:val="0"/>
                <w:sz w:val="24"/>
                <w:szCs w:val="24"/>
                <w:highlight w:val="none"/>
              </w:rPr>
              <w:t>中</w:t>
            </w:r>
            <w:r>
              <w:rPr>
                <w:rFonts w:hint="eastAsia"/>
                <w:color w:val="auto"/>
                <w:kern w:val="0"/>
                <w:sz w:val="24"/>
                <w:szCs w:val="24"/>
                <w:highlight w:val="none"/>
              </w:rPr>
              <w:t>的</w:t>
            </w:r>
            <w:r>
              <w:rPr>
                <w:color w:val="auto"/>
                <w:kern w:val="0"/>
                <w:sz w:val="24"/>
                <w:szCs w:val="24"/>
                <w:highlight w:val="none"/>
              </w:rPr>
              <w:t>综合单价低于主材价格等情况）。</w:t>
            </w:r>
          </w:p>
        </w:tc>
      </w:tr>
      <w:tr w14:paraId="29F8DFB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221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6BEC5C19">
            <w:pPr>
              <w:widowControl/>
              <w:ind w:left="105" w:hanging="120" w:hangingChars="50"/>
              <w:jc w:val="center"/>
              <w:rPr>
                <w:color w:val="auto"/>
                <w:kern w:val="0"/>
                <w:sz w:val="24"/>
                <w:szCs w:val="24"/>
                <w:highlight w:val="none"/>
              </w:rPr>
            </w:pPr>
            <w:r>
              <w:rPr>
                <w:color w:val="auto"/>
                <w:kern w:val="0"/>
                <w:sz w:val="24"/>
                <w:szCs w:val="24"/>
                <w:highlight w:val="none"/>
              </w:rPr>
              <w:t>不平衡报价评审</w:t>
            </w:r>
          </w:p>
        </w:tc>
        <w:tc>
          <w:tcPr>
            <w:tcW w:w="7453"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439C1C6D">
            <w:pPr>
              <w:widowControl/>
              <w:jc w:val="left"/>
              <w:rPr>
                <w:rFonts w:hint="eastAsia"/>
                <w:color w:val="auto"/>
                <w:kern w:val="0"/>
                <w:sz w:val="24"/>
                <w:szCs w:val="24"/>
                <w:highlight w:val="none"/>
              </w:rPr>
            </w:pPr>
            <w:r>
              <w:rPr>
                <w:color w:val="auto"/>
                <w:kern w:val="0"/>
                <w:sz w:val="24"/>
                <w:szCs w:val="24"/>
                <w:highlight w:val="none"/>
              </w:rPr>
              <w:t>对</w:t>
            </w:r>
            <w:r>
              <w:rPr>
                <w:rFonts w:hint="eastAsia"/>
                <w:color w:val="auto"/>
                <w:kern w:val="0"/>
                <w:sz w:val="24"/>
                <w:szCs w:val="24"/>
                <w:highlight w:val="none"/>
              </w:rPr>
              <w:t>已标价的工程量清单报价书“分部分项工程量清单综合单价分析表”</w:t>
            </w:r>
            <w:r>
              <w:rPr>
                <w:color w:val="auto"/>
                <w:kern w:val="0"/>
                <w:sz w:val="24"/>
                <w:szCs w:val="24"/>
                <w:highlight w:val="none"/>
              </w:rPr>
              <w:t>中</w:t>
            </w:r>
            <w:r>
              <w:rPr>
                <w:rFonts w:hint="eastAsia"/>
                <w:color w:val="auto"/>
                <w:kern w:val="0"/>
                <w:sz w:val="24"/>
                <w:szCs w:val="24"/>
                <w:highlight w:val="none"/>
              </w:rPr>
              <w:t>的</w:t>
            </w:r>
            <w:r>
              <w:rPr>
                <w:color w:val="auto"/>
                <w:kern w:val="0"/>
                <w:sz w:val="24"/>
                <w:szCs w:val="24"/>
                <w:highlight w:val="none"/>
              </w:rPr>
              <w:t>综合单价、主要材料价格、人工费（含工日数量及工日单价）、机械费</w:t>
            </w:r>
            <w:r>
              <w:rPr>
                <w:rFonts w:hint="eastAsia"/>
                <w:color w:val="auto"/>
                <w:kern w:val="0"/>
                <w:sz w:val="24"/>
                <w:szCs w:val="24"/>
                <w:highlight w:val="none"/>
              </w:rPr>
              <w:t>，“措施项目清单与计价表”中的措施费明显高出最高投标限价（招标控制价）对应部分，或与最高投标限价（招标控制价）对应部分相比明显降幅过大的情况，评标委员会可认定为恶意不平衡报价，否决其投标。</w:t>
            </w:r>
          </w:p>
        </w:tc>
      </w:tr>
      <w:tr w14:paraId="1D31E52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221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01396F12">
            <w:pPr>
              <w:pStyle w:val="78"/>
              <w:spacing w:line="360" w:lineRule="auto"/>
              <w:jc w:val="center"/>
              <w:rPr>
                <w:color w:val="auto"/>
                <w:kern w:val="0"/>
                <w:sz w:val="24"/>
                <w:szCs w:val="24"/>
                <w:highlight w:val="none"/>
              </w:rPr>
            </w:pPr>
            <w:r>
              <w:rPr>
                <w:rFonts w:ascii="宋体" w:hAnsi="宋体" w:eastAsia="宋体"/>
                <w:b w:val="0"/>
                <w:bCs/>
                <w:color w:val="auto"/>
                <w:sz w:val="24"/>
                <w:szCs w:val="24"/>
                <w:highlight w:val="none"/>
              </w:rPr>
              <w:t>不可竞争费</w:t>
            </w:r>
          </w:p>
        </w:tc>
        <w:tc>
          <w:tcPr>
            <w:tcW w:w="7453"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13F4588A">
            <w:pPr>
              <w:pStyle w:val="78"/>
              <w:spacing w:line="360" w:lineRule="auto"/>
              <w:rPr>
                <w:rFonts w:hint="eastAsia" w:ascii="宋体" w:hAnsi="宋体" w:eastAsia="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单位工程</w:t>
            </w:r>
            <w:r>
              <w:rPr>
                <w:rFonts w:ascii="宋体" w:hAnsi="宋体" w:eastAsia="宋体"/>
                <w:b w:val="0"/>
                <w:bCs/>
                <w:color w:val="auto"/>
                <w:sz w:val="24"/>
                <w:szCs w:val="24"/>
                <w:highlight w:val="none"/>
              </w:rPr>
              <w:t>环境保护、文明施工、安全施工、临时设施费</w:t>
            </w:r>
            <w:r>
              <w:rPr>
                <w:rFonts w:hint="eastAsia" w:ascii="宋体" w:hAnsi="宋体" w:eastAsia="宋体"/>
                <w:b w:val="0"/>
                <w:bCs/>
                <w:color w:val="auto"/>
                <w:sz w:val="24"/>
                <w:szCs w:val="24"/>
                <w:highlight w:val="none"/>
                <w:lang w:eastAsia="zh-CN"/>
              </w:rPr>
              <w:t>、扬尘防治增加费</w:t>
            </w:r>
            <w:r>
              <w:rPr>
                <w:rFonts w:ascii="宋体" w:hAnsi="宋体" w:eastAsia="宋体"/>
                <w:b w:val="0"/>
                <w:bCs/>
                <w:color w:val="auto"/>
                <w:sz w:val="24"/>
                <w:szCs w:val="24"/>
                <w:highlight w:val="none"/>
              </w:rPr>
              <w:t>报价</w:t>
            </w:r>
            <w:r>
              <w:rPr>
                <w:rFonts w:hint="eastAsia" w:ascii="宋体" w:hAnsi="宋体" w:eastAsia="宋体"/>
                <w:b w:val="0"/>
                <w:bCs/>
                <w:color w:val="auto"/>
                <w:sz w:val="24"/>
                <w:szCs w:val="24"/>
                <w:highlight w:val="none"/>
                <w:lang w:eastAsia="zh-CN"/>
              </w:rPr>
              <w:t>费</w:t>
            </w:r>
            <w:r>
              <w:rPr>
                <w:rFonts w:hint="eastAsia" w:ascii="宋体" w:hAnsi="宋体" w:eastAsia="宋体" w:cs="宋体"/>
                <w:b w:val="0"/>
                <w:bCs/>
                <w:color w:val="auto"/>
                <w:sz w:val="24"/>
                <w:szCs w:val="24"/>
                <w:highlight w:val="none"/>
              </w:rPr>
              <w:t>率低于招标文件规定的；</w:t>
            </w:r>
          </w:p>
          <w:p w14:paraId="17A9B802">
            <w:pPr>
              <w:pStyle w:val="78"/>
              <w:spacing w:line="360" w:lineRule="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2.</w:t>
            </w:r>
            <w:r>
              <w:rPr>
                <w:rFonts w:ascii="宋体" w:hAnsi="宋体" w:eastAsia="宋体"/>
                <w:color w:val="auto"/>
                <w:sz w:val="24"/>
                <w:szCs w:val="24"/>
                <w:highlight w:val="none"/>
              </w:rPr>
              <w:t xml:space="preserve">投标人工费工日单价低于招标文件规定的； </w:t>
            </w:r>
          </w:p>
          <w:p w14:paraId="4C6840C9">
            <w:pPr>
              <w:widowControl/>
              <w:jc w:val="left"/>
              <w:rPr>
                <w:color w:val="auto"/>
                <w:kern w:val="0"/>
                <w:sz w:val="24"/>
                <w:szCs w:val="24"/>
                <w:highlight w:val="none"/>
              </w:rPr>
            </w:pPr>
            <w:r>
              <w:rPr>
                <w:rFonts w:hint="eastAsia" w:ascii="宋体" w:hAnsi="宋体"/>
                <w:color w:val="auto"/>
                <w:sz w:val="24"/>
                <w:szCs w:val="24"/>
                <w:highlight w:val="none"/>
                <w:lang w:val="en-US" w:eastAsia="zh-CN"/>
              </w:rPr>
              <w:t>3.</w:t>
            </w:r>
            <w:r>
              <w:rPr>
                <w:rFonts w:ascii="宋体" w:hAnsi="宋体" w:eastAsia="宋体"/>
                <w:color w:val="auto"/>
                <w:sz w:val="24"/>
                <w:szCs w:val="24"/>
                <w:highlight w:val="none"/>
              </w:rPr>
              <w:t>投标报价中变更暂列金额</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预留金</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招标人提供的暂估价的。</w:t>
            </w:r>
          </w:p>
        </w:tc>
      </w:tr>
      <w:tr w14:paraId="3D93E12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221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6C041952">
            <w:pPr>
              <w:widowControl/>
              <w:ind w:left="105" w:hanging="120" w:hangingChars="50"/>
              <w:jc w:val="center"/>
              <w:rPr>
                <w:rFonts w:hint="eastAsia" w:ascii="宋体" w:hAnsi="宋体" w:eastAsia="宋体"/>
                <w:b w:val="0"/>
                <w:bCs/>
                <w:color w:val="auto"/>
                <w:sz w:val="24"/>
                <w:szCs w:val="24"/>
                <w:highlight w:val="none"/>
                <w:lang w:eastAsia="zh-CN"/>
              </w:rPr>
            </w:pPr>
            <w:r>
              <w:rPr>
                <w:rFonts w:hint="eastAsia" w:ascii="宋体" w:hAnsi="宋体" w:eastAsia="宋体"/>
                <w:b w:val="0"/>
                <w:bCs/>
                <w:color w:val="auto"/>
                <w:sz w:val="24"/>
                <w:szCs w:val="24"/>
                <w:highlight w:val="none"/>
                <w:lang w:val="en-US" w:eastAsia="zh-CN"/>
              </w:rPr>
              <w:t>投标函</w:t>
            </w:r>
          </w:p>
        </w:tc>
        <w:tc>
          <w:tcPr>
            <w:tcW w:w="7453"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3365A90C">
            <w:pPr>
              <w:widowControl/>
              <w:jc w:val="left"/>
              <w:rPr>
                <w:rFonts w:hint="eastAsia" w:ascii="宋体" w:hAnsi="宋体"/>
                <w:color w:val="auto"/>
                <w:sz w:val="24"/>
                <w:szCs w:val="24"/>
                <w:highlight w:val="none"/>
                <w:lang w:val="en-US" w:eastAsia="zh-CN"/>
              </w:rPr>
            </w:pPr>
          </w:p>
        </w:tc>
      </w:tr>
    </w:tbl>
    <w:p w14:paraId="3BA2B2D7">
      <w:pPr>
        <w:pStyle w:val="95"/>
        <w:widowControl w:val="0"/>
        <w:tabs>
          <w:tab w:val="left" w:pos="3960"/>
        </w:tabs>
        <w:spacing w:before="0" w:beforeAutospacing="0" w:after="0" w:afterAutospacing="0" w:line="360" w:lineRule="auto"/>
        <w:rPr>
          <w:rFonts w:hint="eastAsia"/>
          <w:bCs/>
          <w:color w:val="auto"/>
          <w:szCs w:val="24"/>
          <w:highlight w:val="none"/>
        </w:rPr>
      </w:pPr>
      <w:r>
        <w:rPr>
          <w:rFonts w:hint="eastAsia"/>
          <w:bCs/>
          <w:color w:val="auto"/>
          <w:szCs w:val="24"/>
          <w:highlight w:val="none"/>
        </w:rPr>
        <w:t>说明：</w:t>
      </w:r>
    </w:p>
    <w:p w14:paraId="00BC0CC4">
      <w:pPr>
        <w:pStyle w:val="95"/>
        <w:widowControl w:val="0"/>
        <w:tabs>
          <w:tab w:val="left" w:pos="3960"/>
        </w:tabs>
        <w:spacing w:before="0" w:beforeAutospacing="0" w:after="0" w:afterAutospacing="0" w:line="360" w:lineRule="auto"/>
        <w:rPr>
          <w:rFonts w:hint="eastAsia"/>
          <w:bCs/>
          <w:color w:val="auto"/>
          <w:szCs w:val="24"/>
          <w:highlight w:val="none"/>
        </w:rPr>
      </w:pPr>
      <w:r>
        <w:rPr>
          <w:rFonts w:hint="eastAsia"/>
          <w:bCs/>
          <w:color w:val="auto"/>
          <w:szCs w:val="24"/>
          <w:highlight w:val="none"/>
        </w:rPr>
        <w:t>1.商务标评审采用定性方法。</w:t>
      </w:r>
    </w:p>
    <w:p w14:paraId="0618C9CD">
      <w:pPr>
        <w:pStyle w:val="95"/>
        <w:widowControl w:val="0"/>
        <w:tabs>
          <w:tab w:val="left" w:pos="3960"/>
        </w:tabs>
        <w:spacing w:before="0" w:beforeAutospacing="0" w:after="0" w:afterAutospacing="0" w:line="360" w:lineRule="auto"/>
        <w:rPr>
          <w:rFonts w:hint="eastAsia"/>
          <w:bCs/>
          <w:color w:val="auto"/>
          <w:szCs w:val="24"/>
          <w:highlight w:val="none"/>
        </w:rPr>
      </w:pPr>
      <w:r>
        <w:rPr>
          <w:rFonts w:hint="eastAsia"/>
          <w:bCs/>
          <w:color w:val="auto"/>
          <w:szCs w:val="24"/>
          <w:highlight w:val="none"/>
        </w:rPr>
        <w:t>2.评标专家根据评审要求判断每项评审内容是否合格，并在投标人评审用“</w:t>
      </w:r>
      <w:r>
        <w:rPr>
          <w:rFonts w:hint="eastAsia"/>
          <w:bCs/>
          <w:color w:val="auto"/>
          <w:szCs w:val="24"/>
          <w:highlight w:val="none"/>
          <w:lang w:val="en-US" w:eastAsia="zh-CN"/>
        </w:rPr>
        <w:t>通过</w:t>
      </w:r>
      <w:r>
        <w:rPr>
          <w:rFonts w:hint="eastAsia"/>
          <w:bCs/>
          <w:color w:val="auto"/>
          <w:szCs w:val="24"/>
          <w:highlight w:val="none"/>
        </w:rPr>
        <w:t>”、“</w:t>
      </w:r>
      <w:r>
        <w:rPr>
          <w:rFonts w:hint="eastAsia"/>
          <w:bCs/>
          <w:color w:val="auto"/>
          <w:szCs w:val="24"/>
          <w:highlight w:val="none"/>
          <w:lang w:val="en-US" w:eastAsia="zh-CN"/>
        </w:rPr>
        <w:t>不通过</w:t>
      </w:r>
      <w:r>
        <w:rPr>
          <w:rFonts w:hint="eastAsia"/>
          <w:bCs/>
          <w:color w:val="auto"/>
          <w:szCs w:val="24"/>
          <w:highlight w:val="none"/>
        </w:rPr>
        <w:t>”表示。</w:t>
      </w:r>
    </w:p>
    <w:p w14:paraId="0ECB1DD0">
      <w:pPr>
        <w:pStyle w:val="95"/>
        <w:widowControl w:val="0"/>
        <w:tabs>
          <w:tab w:val="left" w:pos="3960"/>
        </w:tabs>
        <w:spacing w:before="0" w:beforeAutospacing="0" w:after="0" w:afterAutospacing="0" w:line="360" w:lineRule="auto"/>
        <w:rPr>
          <w:rFonts w:hint="eastAsia"/>
          <w:bCs/>
          <w:color w:val="auto"/>
          <w:szCs w:val="24"/>
          <w:highlight w:val="none"/>
        </w:rPr>
      </w:pPr>
      <w:r>
        <w:rPr>
          <w:rFonts w:hint="eastAsia"/>
          <w:bCs/>
          <w:color w:val="auto"/>
          <w:szCs w:val="24"/>
          <w:highlight w:val="none"/>
        </w:rPr>
        <w:t>3.</w:t>
      </w:r>
      <w:r>
        <w:rPr>
          <w:rFonts w:hint="eastAsia"/>
          <w:color w:val="auto"/>
          <w:szCs w:val="24"/>
          <w:highlight w:val="none"/>
        </w:rPr>
        <w:t xml:space="preserve"> </w:t>
      </w:r>
      <w:r>
        <w:rPr>
          <w:rFonts w:hint="eastAsia"/>
          <w:bCs/>
          <w:color w:val="auto"/>
          <w:szCs w:val="24"/>
          <w:highlight w:val="none"/>
        </w:rPr>
        <w:t>所有商务标详细评审选项必须全部通过方为合格。</w:t>
      </w:r>
    </w:p>
    <w:p w14:paraId="0DFD203E">
      <w:pPr>
        <w:keepNext/>
        <w:keepLines/>
        <w:spacing w:before="260" w:after="260" w:line="416" w:lineRule="auto"/>
        <w:jc w:val="center"/>
        <w:outlineLvl w:val="1"/>
        <w:rPr>
          <w:rFonts w:hint="eastAsia" w:ascii="黑体" w:hAnsi="黑体" w:eastAsia="黑体" w:cs="Times New Roman"/>
          <w:bCs/>
          <w:color w:val="auto"/>
          <w:sz w:val="32"/>
          <w:szCs w:val="32"/>
          <w:highlight w:val="none"/>
          <w:lang w:eastAsia="zh-CN"/>
        </w:rPr>
      </w:pPr>
      <w:bookmarkStart w:id="24" w:name="_Toc390411611"/>
      <w:bookmarkStart w:id="25" w:name="_Toc421916991"/>
      <w:bookmarkStart w:id="26" w:name="_Toc460660146"/>
      <w:bookmarkStart w:id="27" w:name="_Toc460226788"/>
      <w:bookmarkStart w:id="28" w:name="_Toc460227057"/>
      <w:r>
        <w:rPr>
          <w:rFonts w:hint="eastAsia" w:ascii="黑体" w:hAnsi="黑体" w:eastAsia="黑体" w:cs="Times New Roman"/>
          <w:bCs/>
          <w:color w:val="auto"/>
          <w:sz w:val="32"/>
          <w:szCs w:val="32"/>
          <w:highlight w:val="none"/>
          <w:lang w:eastAsia="zh-CN"/>
        </w:rPr>
        <w:t>五、技术标评审</w:t>
      </w:r>
      <w:bookmarkEnd w:id="24"/>
      <w:bookmarkEnd w:id="25"/>
      <w:bookmarkEnd w:id="26"/>
      <w:bookmarkEnd w:id="27"/>
      <w:bookmarkEnd w:id="28"/>
      <w:bookmarkStart w:id="29" w:name="EB681719b034a741018f7c8d35e4b33163"/>
    </w:p>
    <w:tbl>
      <w:tblPr>
        <w:tblStyle w:val="53"/>
        <w:tblW w:w="5142" w:type="pct"/>
        <w:tblInd w:w="-142"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706"/>
        <w:gridCol w:w="618"/>
        <w:gridCol w:w="1446"/>
        <w:gridCol w:w="123"/>
        <w:gridCol w:w="6429"/>
        <w:gridCol w:w="606"/>
      </w:tblGrid>
      <w:tr w14:paraId="6CB0849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40" w:hRule="atLeast"/>
        </w:trPr>
        <w:tc>
          <w:tcPr>
            <w:tcW w:w="356" w:type="pct"/>
            <w:tcBorders>
              <w:top w:val="outset" w:color="auto" w:sz="6" w:space="0"/>
              <w:left w:val="outset" w:color="auto" w:sz="6" w:space="0"/>
              <w:bottom w:val="outset" w:color="auto" w:sz="6" w:space="0"/>
              <w:right w:val="outset" w:color="auto" w:sz="6" w:space="0"/>
            </w:tcBorders>
            <w:noWrap w:val="0"/>
            <w:vAlign w:val="center"/>
          </w:tcPr>
          <w:p w14:paraId="15A1D079">
            <w:pPr>
              <w:pStyle w:val="105"/>
              <w:spacing w:line="360" w:lineRule="auto"/>
              <w:jc w:val="center"/>
              <w:rPr>
                <w:rFonts w:ascii="宋体" w:hAnsi="宋体" w:eastAsia="宋体"/>
                <w:color w:val="auto"/>
                <w:sz w:val="21"/>
                <w:szCs w:val="21"/>
                <w:highlight w:val="none"/>
              </w:rPr>
            </w:pPr>
            <w:r>
              <w:rPr>
                <w:rFonts w:ascii="宋体" w:hAnsi="宋体" w:eastAsia="宋体"/>
                <w:b/>
                <w:bCs/>
                <w:color w:val="auto"/>
                <w:sz w:val="21"/>
                <w:szCs w:val="21"/>
                <w:highlight w:val="none"/>
              </w:rPr>
              <w:t>条款号</w:t>
            </w:r>
          </w:p>
        </w:tc>
        <w:tc>
          <w:tcPr>
            <w:tcW w:w="1039" w:type="pct"/>
            <w:gridSpan w:val="2"/>
            <w:tcBorders>
              <w:top w:val="outset" w:color="auto" w:sz="6" w:space="0"/>
              <w:left w:val="outset" w:color="auto" w:sz="6" w:space="0"/>
              <w:bottom w:val="outset" w:color="auto" w:sz="6" w:space="0"/>
              <w:right w:val="outset" w:color="auto" w:sz="6" w:space="0"/>
            </w:tcBorders>
            <w:noWrap w:val="0"/>
            <w:vAlign w:val="center"/>
          </w:tcPr>
          <w:p w14:paraId="4DF066ED">
            <w:pPr>
              <w:pStyle w:val="105"/>
              <w:spacing w:line="360" w:lineRule="auto"/>
              <w:jc w:val="center"/>
              <w:rPr>
                <w:rFonts w:ascii="宋体" w:hAnsi="宋体" w:eastAsia="宋体"/>
                <w:color w:val="auto"/>
                <w:sz w:val="21"/>
                <w:szCs w:val="21"/>
                <w:highlight w:val="none"/>
              </w:rPr>
            </w:pPr>
            <w:r>
              <w:rPr>
                <w:rFonts w:ascii="宋体" w:hAnsi="宋体" w:eastAsia="宋体"/>
                <w:b/>
                <w:bCs/>
                <w:color w:val="auto"/>
                <w:sz w:val="21"/>
                <w:szCs w:val="21"/>
                <w:highlight w:val="none"/>
              </w:rPr>
              <w:t>评审因素</w:t>
            </w:r>
          </w:p>
        </w:tc>
        <w:tc>
          <w:tcPr>
            <w:tcW w:w="3299" w:type="pct"/>
            <w:gridSpan w:val="2"/>
            <w:tcBorders>
              <w:top w:val="outset" w:color="auto" w:sz="6" w:space="0"/>
              <w:left w:val="outset" w:color="auto" w:sz="6" w:space="0"/>
              <w:bottom w:val="outset" w:color="auto" w:sz="6" w:space="0"/>
              <w:right w:val="outset" w:color="auto" w:sz="6" w:space="0"/>
            </w:tcBorders>
            <w:noWrap w:val="0"/>
            <w:vAlign w:val="center"/>
          </w:tcPr>
          <w:p w14:paraId="7E4B1215">
            <w:pPr>
              <w:pStyle w:val="105"/>
              <w:spacing w:line="360" w:lineRule="auto"/>
              <w:jc w:val="center"/>
              <w:rPr>
                <w:rFonts w:ascii="宋体" w:hAnsi="宋体" w:eastAsia="宋体"/>
                <w:color w:val="auto"/>
                <w:sz w:val="21"/>
                <w:szCs w:val="21"/>
                <w:highlight w:val="none"/>
              </w:rPr>
            </w:pPr>
            <w:r>
              <w:rPr>
                <w:rFonts w:ascii="宋体" w:hAnsi="宋体" w:eastAsia="宋体"/>
                <w:b/>
                <w:bCs/>
                <w:color w:val="auto"/>
                <w:sz w:val="21"/>
                <w:szCs w:val="21"/>
                <w:highlight w:val="none"/>
              </w:rPr>
              <w:t>评审标准</w:t>
            </w:r>
          </w:p>
        </w:tc>
        <w:tc>
          <w:tcPr>
            <w:tcW w:w="304" w:type="pct"/>
            <w:tcBorders>
              <w:top w:val="outset" w:color="auto" w:sz="6" w:space="0"/>
              <w:left w:val="outset" w:color="auto" w:sz="6" w:space="0"/>
              <w:bottom w:val="outset" w:color="auto" w:sz="6" w:space="0"/>
              <w:right w:val="outset" w:color="auto" w:sz="6" w:space="0"/>
            </w:tcBorders>
            <w:noWrap w:val="0"/>
            <w:vAlign w:val="center"/>
          </w:tcPr>
          <w:p w14:paraId="17F21CC4">
            <w:pPr>
              <w:pStyle w:val="105"/>
              <w:spacing w:line="360" w:lineRule="auto"/>
              <w:jc w:val="center"/>
              <w:rPr>
                <w:rFonts w:ascii="宋体" w:hAnsi="宋体" w:eastAsia="宋体"/>
                <w:color w:val="auto"/>
                <w:highlight w:val="none"/>
              </w:rPr>
            </w:pPr>
          </w:p>
        </w:tc>
      </w:tr>
      <w:tr w14:paraId="68DE9DB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restart"/>
            <w:tcBorders>
              <w:top w:val="outset" w:color="auto" w:sz="6" w:space="0"/>
              <w:left w:val="outset" w:color="auto" w:sz="6" w:space="0"/>
              <w:bottom w:val="outset" w:color="auto" w:sz="6" w:space="0"/>
              <w:right w:val="outset" w:color="auto" w:sz="6" w:space="0"/>
            </w:tcBorders>
            <w:noWrap w:val="0"/>
            <w:vAlign w:val="top"/>
          </w:tcPr>
          <w:p w14:paraId="22DA20A9">
            <w:pPr>
              <w:pStyle w:val="105"/>
              <w:spacing w:line="240" w:lineRule="auto"/>
              <w:jc w:val="both"/>
              <w:rPr>
                <w:rFonts w:hint="eastAsia" w:ascii="宋体" w:hAnsi="宋体" w:eastAsia="宋体"/>
                <w:b/>
                <w:bCs/>
                <w:color w:val="auto"/>
                <w:highlight w:val="none"/>
                <w:lang w:eastAsia="zh-CN"/>
              </w:rPr>
            </w:pPr>
          </w:p>
          <w:p w14:paraId="6EFFB790">
            <w:pPr>
              <w:pStyle w:val="105"/>
              <w:spacing w:line="240" w:lineRule="auto"/>
              <w:jc w:val="both"/>
              <w:rPr>
                <w:rFonts w:hint="eastAsia" w:ascii="宋体" w:hAnsi="宋体" w:eastAsia="宋体"/>
                <w:b/>
                <w:bCs/>
                <w:color w:val="auto"/>
                <w:highlight w:val="none"/>
                <w:lang w:eastAsia="zh-CN"/>
              </w:rPr>
            </w:pPr>
          </w:p>
          <w:p w14:paraId="57D8CEA7">
            <w:pPr>
              <w:pStyle w:val="105"/>
              <w:spacing w:line="240" w:lineRule="auto"/>
              <w:jc w:val="both"/>
              <w:rPr>
                <w:rFonts w:hint="eastAsia" w:ascii="宋体" w:hAnsi="宋体" w:eastAsia="宋体"/>
                <w:b/>
                <w:bCs/>
                <w:color w:val="auto"/>
                <w:highlight w:val="none"/>
                <w:lang w:eastAsia="zh-CN"/>
              </w:rPr>
            </w:pPr>
          </w:p>
          <w:p w14:paraId="54428A7D">
            <w:pPr>
              <w:pStyle w:val="105"/>
              <w:spacing w:line="240" w:lineRule="auto"/>
              <w:jc w:val="both"/>
              <w:rPr>
                <w:rFonts w:hint="eastAsia" w:ascii="宋体" w:hAnsi="宋体" w:eastAsia="宋体"/>
                <w:b/>
                <w:bCs/>
                <w:color w:val="auto"/>
                <w:highlight w:val="none"/>
                <w:lang w:eastAsia="zh-CN"/>
              </w:rPr>
            </w:pPr>
          </w:p>
          <w:p w14:paraId="4BDF3B6B">
            <w:pPr>
              <w:pStyle w:val="105"/>
              <w:spacing w:line="240" w:lineRule="auto"/>
              <w:jc w:val="both"/>
              <w:rPr>
                <w:rFonts w:hint="eastAsia" w:ascii="宋体" w:hAnsi="宋体" w:eastAsia="宋体"/>
                <w:b/>
                <w:bCs/>
                <w:color w:val="auto"/>
                <w:highlight w:val="none"/>
                <w:lang w:eastAsia="zh-CN"/>
              </w:rPr>
            </w:pPr>
          </w:p>
          <w:p w14:paraId="2E6442EB">
            <w:pPr>
              <w:pStyle w:val="105"/>
              <w:spacing w:line="240" w:lineRule="auto"/>
              <w:jc w:val="both"/>
              <w:rPr>
                <w:rFonts w:hint="eastAsia" w:ascii="宋体" w:hAnsi="宋体" w:eastAsia="宋体"/>
                <w:b/>
                <w:bCs/>
                <w:color w:val="auto"/>
                <w:highlight w:val="none"/>
                <w:lang w:eastAsia="zh-CN"/>
              </w:rPr>
            </w:pPr>
          </w:p>
          <w:p w14:paraId="7D3E3C07">
            <w:pPr>
              <w:pStyle w:val="105"/>
              <w:spacing w:line="240" w:lineRule="auto"/>
              <w:jc w:val="both"/>
              <w:rPr>
                <w:rFonts w:hint="eastAsia" w:ascii="宋体" w:hAnsi="宋体" w:eastAsia="宋体"/>
                <w:b/>
                <w:bCs/>
                <w:color w:val="auto"/>
                <w:highlight w:val="none"/>
                <w:lang w:eastAsia="zh-CN"/>
              </w:rPr>
            </w:pPr>
          </w:p>
          <w:p w14:paraId="5BE0800F">
            <w:pPr>
              <w:pStyle w:val="105"/>
              <w:spacing w:line="240" w:lineRule="auto"/>
              <w:jc w:val="both"/>
              <w:rPr>
                <w:rFonts w:hint="eastAsia" w:ascii="宋体" w:hAnsi="宋体" w:eastAsia="宋体"/>
                <w:b/>
                <w:bCs/>
                <w:color w:val="auto"/>
                <w:highlight w:val="none"/>
                <w:lang w:eastAsia="zh-CN"/>
              </w:rPr>
            </w:pPr>
          </w:p>
          <w:p w14:paraId="5839D074">
            <w:pPr>
              <w:pStyle w:val="105"/>
              <w:spacing w:line="240" w:lineRule="auto"/>
              <w:ind w:firstLine="120" w:firstLineChars="50"/>
              <w:jc w:val="both"/>
              <w:rPr>
                <w:rFonts w:ascii="宋体" w:hAnsi="宋体" w:eastAsia="宋体"/>
                <w:color w:val="auto"/>
                <w:highlight w:val="none"/>
              </w:rPr>
            </w:pPr>
            <w:r>
              <w:rPr>
                <w:rFonts w:ascii="宋体" w:hAnsi="宋体" w:eastAsia="宋体"/>
                <w:b/>
                <w:bCs/>
                <w:color w:val="auto"/>
                <w:highlight w:val="none"/>
              </w:rPr>
              <w:t>5.</w:t>
            </w:r>
            <w:r>
              <w:rPr>
                <w:rFonts w:hint="eastAsia" w:ascii="宋体" w:hAnsi="宋体" w:eastAsia="宋体"/>
                <w:b/>
                <w:bCs/>
                <w:color w:val="auto"/>
                <w:highlight w:val="none"/>
                <w:lang w:eastAsia="zh-CN"/>
              </w:rPr>
              <w:t>4</w:t>
            </w:r>
          </w:p>
        </w:tc>
        <w:tc>
          <w:tcPr>
            <w:tcW w:w="311" w:type="pct"/>
            <w:vMerge w:val="restart"/>
            <w:tcBorders>
              <w:top w:val="outset" w:color="auto" w:sz="6" w:space="0"/>
              <w:left w:val="outset" w:color="auto" w:sz="6" w:space="0"/>
              <w:bottom w:val="outset" w:color="auto" w:sz="6" w:space="0"/>
              <w:right w:val="outset" w:color="auto" w:sz="6" w:space="0"/>
            </w:tcBorders>
            <w:noWrap w:val="0"/>
            <w:vAlign w:val="top"/>
          </w:tcPr>
          <w:p w14:paraId="428B9E6E">
            <w:pPr>
              <w:pStyle w:val="105"/>
              <w:spacing w:line="240" w:lineRule="auto"/>
              <w:jc w:val="center"/>
              <w:rPr>
                <w:rFonts w:hint="eastAsia" w:ascii="宋体" w:hAnsi="宋体" w:eastAsia="宋体"/>
                <w:b/>
                <w:bCs/>
                <w:color w:val="auto"/>
                <w:highlight w:val="none"/>
                <w:lang w:eastAsia="zh-CN"/>
              </w:rPr>
            </w:pPr>
          </w:p>
          <w:p w14:paraId="18AC18E6">
            <w:pPr>
              <w:pStyle w:val="105"/>
              <w:spacing w:line="240" w:lineRule="auto"/>
              <w:jc w:val="center"/>
              <w:rPr>
                <w:rFonts w:hint="eastAsia" w:ascii="宋体" w:hAnsi="宋体" w:eastAsia="宋体"/>
                <w:b/>
                <w:bCs/>
                <w:color w:val="auto"/>
                <w:highlight w:val="none"/>
                <w:lang w:eastAsia="zh-CN"/>
              </w:rPr>
            </w:pPr>
          </w:p>
          <w:p w14:paraId="5EA86F37">
            <w:pPr>
              <w:pStyle w:val="105"/>
              <w:spacing w:line="240" w:lineRule="auto"/>
              <w:jc w:val="center"/>
              <w:rPr>
                <w:rFonts w:hint="eastAsia" w:ascii="宋体" w:hAnsi="宋体" w:eastAsia="宋体"/>
                <w:b/>
                <w:bCs/>
                <w:color w:val="auto"/>
                <w:highlight w:val="none"/>
                <w:lang w:eastAsia="zh-CN"/>
              </w:rPr>
            </w:pPr>
          </w:p>
          <w:p w14:paraId="1AA9AEED">
            <w:pPr>
              <w:pStyle w:val="105"/>
              <w:spacing w:line="240" w:lineRule="auto"/>
              <w:jc w:val="center"/>
              <w:rPr>
                <w:rFonts w:hint="eastAsia" w:ascii="宋体" w:hAnsi="宋体" w:eastAsia="宋体"/>
                <w:b/>
                <w:bCs/>
                <w:color w:val="auto"/>
                <w:highlight w:val="none"/>
                <w:lang w:eastAsia="zh-CN"/>
              </w:rPr>
            </w:pPr>
          </w:p>
          <w:p w14:paraId="563AE083">
            <w:pPr>
              <w:pStyle w:val="105"/>
              <w:spacing w:line="240" w:lineRule="auto"/>
              <w:jc w:val="center"/>
              <w:rPr>
                <w:rFonts w:hint="eastAsia" w:ascii="宋体" w:hAnsi="宋体" w:eastAsia="宋体"/>
                <w:b/>
                <w:bCs/>
                <w:color w:val="auto"/>
                <w:highlight w:val="none"/>
                <w:lang w:eastAsia="zh-CN"/>
              </w:rPr>
            </w:pPr>
          </w:p>
          <w:p w14:paraId="7918DD49">
            <w:pPr>
              <w:pStyle w:val="105"/>
              <w:spacing w:line="240" w:lineRule="auto"/>
              <w:jc w:val="center"/>
              <w:rPr>
                <w:rFonts w:hint="eastAsia" w:ascii="宋体" w:hAnsi="宋体" w:eastAsia="宋体"/>
                <w:b/>
                <w:bCs/>
                <w:color w:val="auto"/>
                <w:highlight w:val="none"/>
                <w:lang w:eastAsia="zh-CN"/>
              </w:rPr>
            </w:pPr>
          </w:p>
          <w:p w14:paraId="17728AF3">
            <w:pPr>
              <w:pStyle w:val="105"/>
              <w:spacing w:line="240" w:lineRule="auto"/>
              <w:jc w:val="center"/>
              <w:rPr>
                <w:rFonts w:hint="eastAsia" w:ascii="宋体" w:hAnsi="宋体" w:eastAsia="宋体"/>
                <w:b/>
                <w:bCs/>
                <w:color w:val="auto"/>
                <w:highlight w:val="none"/>
                <w:lang w:eastAsia="zh-CN"/>
              </w:rPr>
            </w:pPr>
          </w:p>
          <w:p w14:paraId="1CE82A1C">
            <w:pPr>
              <w:pStyle w:val="105"/>
              <w:spacing w:line="240" w:lineRule="auto"/>
              <w:jc w:val="center"/>
              <w:rPr>
                <w:rFonts w:hint="eastAsia" w:ascii="宋体" w:hAnsi="宋体" w:eastAsia="宋体"/>
                <w:b/>
                <w:bCs/>
                <w:color w:val="auto"/>
                <w:highlight w:val="none"/>
                <w:lang w:eastAsia="zh-CN"/>
              </w:rPr>
            </w:pPr>
          </w:p>
          <w:p w14:paraId="7674D8FC">
            <w:pPr>
              <w:pStyle w:val="105"/>
              <w:spacing w:line="240" w:lineRule="auto"/>
              <w:jc w:val="center"/>
              <w:rPr>
                <w:rFonts w:hint="eastAsia" w:ascii="宋体" w:hAnsi="宋体" w:eastAsia="宋体"/>
                <w:b/>
                <w:bCs/>
                <w:color w:val="auto"/>
                <w:highlight w:val="none"/>
                <w:lang w:eastAsia="zh-CN"/>
              </w:rPr>
            </w:pPr>
          </w:p>
          <w:p w14:paraId="25A32EB1">
            <w:pPr>
              <w:pStyle w:val="105"/>
              <w:spacing w:line="240" w:lineRule="auto"/>
              <w:jc w:val="center"/>
              <w:rPr>
                <w:rFonts w:hint="eastAsia" w:ascii="宋体" w:hAnsi="宋体" w:eastAsia="宋体"/>
                <w:b/>
                <w:bCs/>
                <w:color w:val="auto"/>
                <w:highlight w:val="none"/>
                <w:lang w:eastAsia="zh-CN"/>
              </w:rPr>
            </w:pPr>
          </w:p>
          <w:p w14:paraId="3BA943DB">
            <w:pPr>
              <w:pStyle w:val="105"/>
              <w:spacing w:line="240" w:lineRule="auto"/>
              <w:jc w:val="center"/>
              <w:rPr>
                <w:rFonts w:ascii="宋体" w:hAnsi="宋体" w:eastAsia="宋体"/>
                <w:color w:val="auto"/>
                <w:highlight w:val="none"/>
              </w:rPr>
            </w:pPr>
            <w:r>
              <w:rPr>
                <w:rFonts w:ascii="宋体" w:hAnsi="宋体" w:eastAsia="宋体"/>
                <w:b/>
                <w:bCs/>
                <w:color w:val="auto"/>
                <w:highlight w:val="none"/>
              </w:rPr>
              <w:t>技术详评标准</w:t>
            </w:r>
          </w:p>
        </w:tc>
        <w:tc>
          <w:tcPr>
            <w:tcW w:w="4332" w:type="pct"/>
            <w:gridSpan w:val="4"/>
            <w:tcBorders>
              <w:top w:val="outset" w:color="auto" w:sz="6" w:space="0"/>
              <w:left w:val="outset" w:color="auto" w:sz="6" w:space="0"/>
              <w:bottom w:val="outset" w:color="auto" w:sz="6" w:space="0"/>
              <w:right w:val="outset" w:color="auto" w:sz="6" w:space="0"/>
            </w:tcBorders>
            <w:noWrap w:val="0"/>
            <w:tcMar>
              <w:left w:w="75" w:type="dxa"/>
            </w:tcMar>
            <w:vAlign w:val="top"/>
          </w:tcPr>
          <w:p w14:paraId="1BC2F309">
            <w:pPr>
              <w:pStyle w:val="105"/>
              <w:spacing w:line="240" w:lineRule="auto"/>
              <w:jc w:val="center"/>
              <w:rPr>
                <w:rFonts w:ascii="宋体" w:hAnsi="宋体" w:eastAsia="宋体"/>
                <w:color w:val="auto"/>
                <w:highlight w:val="none"/>
              </w:rPr>
            </w:pPr>
            <w:r>
              <w:rPr>
                <w:rFonts w:hint="eastAsia" w:ascii="宋体" w:hAnsi="宋体"/>
                <w:color w:val="auto"/>
                <w:highlight w:val="none"/>
              </w:rPr>
              <w:t>施工组织设计</w:t>
            </w:r>
          </w:p>
        </w:tc>
      </w:tr>
      <w:tr w14:paraId="62734CC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963"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35FAE75C">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3B44C455">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1EB4C243">
            <w:pPr>
              <w:pStyle w:val="105"/>
              <w:spacing w:line="240" w:lineRule="auto"/>
              <w:jc w:val="center"/>
              <w:rPr>
                <w:rFonts w:ascii="宋体" w:hAnsi="宋体" w:eastAsia="宋体"/>
                <w:color w:val="auto"/>
                <w:highlight w:val="none"/>
              </w:rPr>
            </w:pPr>
            <w:r>
              <w:rPr>
                <w:rFonts w:hint="eastAsia" w:ascii="宋体" w:hAnsi="宋体" w:eastAsia="宋体"/>
                <w:color w:val="auto"/>
                <w:highlight w:val="none"/>
              </w:rPr>
              <w:t>天幕整体方案合理性</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27932D2F">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方案针对530㎡广场、7米安装高度进行专项设计，结构布局合理、抗风防雨</w:t>
            </w:r>
            <w:r>
              <w:rPr>
                <w:rFonts w:hint="eastAsia" w:ascii="宋体" w:hAnsi="宋体" w:eastAsia="宋体"/>
                <w:color w:val="auto"/>
                <w:highlight w:val="none"/>
                <w:lang w:val="en-US" w:eastAsia="zh-CN"/>
              </w:rPr>
              <w:t>防晒</w:t>
            </w:r>
            <w:r>
              <w:rPr>
                <w:rFonts w:hint="eastAsia" w:ascii="宋体" w:hAnsi="宋体" w:eastAsia="宋体"/>
                <w:color w:val="auto"/>
                <w:highlight w:val="none"/>
              </w:rPr>
              <w:t>设计符合户外使用要求得满分；设计存在明显缺陷酌情扣分。</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7D72A31D">
            <w:pPr>
              <w:pStyle w:val="105"/>
              <w:spacing w:line="360" w:lineRule="auto"/>
              <w:jc w:val="center"/>
              <w:rPr>
                <w:rFonts w:ascii="宋体" w:hAnsi="宋体" w:eastAsia="宋体"/>
                <w:color w:val="auto"/>
                <w:highlight w:val="none"/>
              </w:rPr>
            </w:pPr>
          </w:p>
        </w:tc>
      </w:tr>
      <w:tr w14:paraId="6071568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597533D7">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66A493EF">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3A5D2CDF">
            <w:pPr>
              <w:pStyle w:val="105"/>
              <w:spacing w:line="240" w:lineRule="auto"/>
              <w:jc w:val="center"/>
              <w:rPr>
                <w:rFonts w:hint="default" w:ascii="宋体" w:hAnsi="宋体" w:eastAsia="宋体"/>
                <w:color w:val="auto"/>
                <w:highlight w:val="none"/>
                <w:lang w:val="en-US" w:eastAsia="zh-CN"/>
              </w:rPr>
            </w:pPr>
            <w:r>
              <w:rPr>
                <w:rFonts w:hint="eastAsia" w:ascii="宋体" w:hAnsi="宋体" w:eastAsia="宋体"/>
                <w:color w:val="auto"/>
                <w:highlight w:val="none"/>
                <w:lang w:val="en-US" w:eastAsia="zh-CN"/>
              </w:rPr>
              <w:t>天幕面料技术参数</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589B304D">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 xml:space="preserve">面料抗拉强度、抗紫外线、耐候性、防水阻燃等关键参数满足招标文件要求，提供权威检测报告得满分，参数不满足或缺报告不予得分。 </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57841C09">
            <w:pPr>
              <w:pStyle w:val="105"/>
              <w:spacing w:line="360" w:lineRule="auto"/>
              <w:jc w:val="center"/>
              <w:rPr>
                <w:rFonts w:ascii="宋体" w:hAnsi="宋体" w:eastAsia="宋体"/>
                <w:color w:val="auto"/>
                <w:highlight w:val="none"/>
              </w:rPr>
            </w:pPr>
          </w:p>
        </w:tc>
      </w:tr>
      <w:tr w14:paraId="023CC84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79495377">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553870D3">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7F7A318B">
            <w:pPr>
              <w:pStyle w:val="105"/>
              <w:spacing w:line="240" w:lineRule="auto"/>
              <w:jc w:val="center"/>
              <w:rPr>
                <w:rFonts w:hint="default" w:ascii="宋体" w:hAnsi="宋体" w:eastAsia="宋体"/>
                <w:color w:val="auto"/>
                <w:highlight w:val="none"/>
                <w:lang w:val="en-US" w:eastAsia="zh-CN"/>
              </w:rPr>
            </w:pPr>
            <w:r>
              <w:rPr>
                <w:rFonts w:hint="eastAsia" w:ascii="宋体" w:hAnsi="宋体" w:eastAsia="宋体"/>
                <w:color w:val="auto"/>
                <w:highlight w:val="none"/>
                <w:lang w:val="en-US" w:eastAsia="zh-CN"/>
              </w:rPr>
              <w:t>支撑结构材质及工艺</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065E4EB8">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主体钢结构材质规格、防腐处理、焊接工艺、承载力设计符合户外长期使用标准，计算书完整规范得满分，结构设计不合理扣分。</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7D01701C">
            <w:pPr>
              <w:pStyle w:val="105"/>
              <w:spacing w:line="360" w:lineRule="auto"/>
              <w:jc w:val="center"/>
              <w:rPr>
                <w:rFonts w:ascii="宋体" w:hAnsi="宋体" w:eastAsia="宋体"/>
                <w:color w:val="auto"/>
                <w:highlight w:val="none"/>
              </w:rPr>
            </w:pPr>
          </w:p>
        </w:tc>
      </w:tr>
      <w:tr w14:paraId="10433A1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0C1FAB17">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7FF7965A">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615F6BF7">
            <w:pPr>
              <w:pStyle w:val="105"/>
              <w:spacing w:line="240" w:lineRule="auto"/>
              <w:jc w:val="center"/>
              <w:rPr>
                <w:rFonts w:ascii="宋体" w:hAnsi="宋体" w:eastAsia="宋体"/>
                <w:color w:val="auto"/>
                <w:highlight w:val="none"/>
              </w:rPr>
            </w:pPr>
            <w:r>
              <w:rPr>
                <w:rFonts w:hint="eastAsia" w:ascii="宋体" w:hAnsi="宋体" w:eastAsia="宋体"/>
                <w:color w:val="auto"/>
                <w:highlight w:val="none"/>
              </w:rPr>
              <w:t>驱动电机性能配置</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3CAC92E5">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电机功率、防护等级、运行噪音、使用寿命、过载保护等指标满足7米高空大跨度天幕运行需求，品牌及配置优越得高分</w:t>
            </w:r>
            <w:r>
              <w:rPr>
                <w:rFonts w:ascii="宋体" w:hAnsi="宋体" w:eastAsia="宋体"/>
                <w:color w:val="auto"/>
                <w:highlight w:val="none"/>
              </w:rPr>
              <w:t>。</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09EA258C">
            <w:pPr>
              <w:pStyle w:val="105"/>
              <w:spacing w:line="360" w:lineRule="auto"/>
              <w:jc w:val="center"/>
              <w:rPr>
                <w:rFonts w:ascii="宋体" w:hAnsi="宋体" w:eastAsia="宋体"/>
                <w:color w:val="auto"/>
                <w:highlight w:val="none"/>
              </w:rPr>
            </w:pPr>
          </w:p>
        </w:tc>
      </w:tr>
      <w:tr w14:paraId="0181263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23B101D0">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3BEA5FB8">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204D0CD1">
            <w:pPr>
              <w:pStyle w:val="105"/>
              <w:spacing w:line="240" w:lineRule="auto"/>
              <w:jc w:val="both"/>
              <w:rPr>
                <w:rFonts w:hint="default" w:ascii="宋体" w:hAnsi="宋体" w:eastAsia="宋体"/>
                <w:color w:val="auto"/>
                <w:highlight w:val="none"/>
                <w:lang w:val="en-US" w:eastAsia="zh-CN"/>
              </w:rPr>
            </w:pPr>
            <w:r>
              <w:rPr>
                <w:rFonts w:hint="eastAsia" w:ascii="宋体" w:hAnsi="宋体" w:eastAsia="宋体"/>
                <w:color w:val="auto"/>
                <w:highlight w:val="none"/>
                <w:lang w:val="en-US" w:eastAsia="zh-CN"/>
              </w:rPr>
              <w:t>智能控制系统功能</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0D50D2D1">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具备远程控制、分组启停、遇障停机、风速联动、应急关闭等功能，控制逻辑完善、操作便捷得满分，功能缺失逐项扣分</w:t>
            </w:r>
            <w:r>
              <w:rPr>
                <w:rFonts w:ascii="宋体" w:hAnsi="宋体" w:eastAsia="宋体"/>
                <w:color w:val="auto"/>
                <w:highlight w:val="none"/>
              </w:rPr>
              <w:t>。</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353935E2">
            <w:pPr>
              <w:pStyle w:val="105"/>
              <w:spacing w:line="360" w:lineRule="auto"/>
              <w:jc w:val="center"/>
              <w:rPr>
                <w:rFonts w:ascii="宋体" w:hAnsi="宋体" w:eastAsia="宋体"/>
                <w:color w:val="auto"/>
                <w:highlight w:val="none"/>
              </w:rPr>
            </w:pPr>
          </w:p>
        </w:tc>
      </w:tr>
      <w:tr w14:paraId="21ECDEE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23723D52">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30B3FDE8">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2ECBA869">
            <w:pPr>
              <w:pStyle w:val="105"/>
              <w:spacing w:line="240" w:lineRule="auto"/>
              <w:jc w:val="center"/>
              <w:rPr>
                <w:rFonts w:ascii="宋体" w:hAnsi="宋体" w:eastAsia="宋体"/>
                <w:color w:val="auto"/>
                <w:highlight w:val="none"/>
              </w:rPr>
            </w:pPr>
            <w:r>
              <w:rPr>
                <w:rFonts w:hint="eastAsia"/>
              </w:rPr>
              <w:t>安装施工组织方案</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75F514DA">
            <w:pPr>
              <w:pStyle w:val="105"/>
              <w:spacing w:line="240" w:lineRule="auto"/>
              <w:jc w:val="both"/>
              <w:rPr>
                <w:rFonts w:ascii="宋体" w:hAnsi="宋体" w:eastAsia="宋体"/>
                <w:color w:val="auto"/>
                <w:highlight w:val="none"/>
              </w:rPr>
            </w:pPr>
            <w:r>
              <w:rPr>
                <w:rFonts w:hint="eastAsia"/>
              </w:rPr>
              <w:t xml:space="preserve">针对广场现场施工条件制定专项方案，含基础处理、吊装作业、高空作业、成品保护等内容，方案详实可行得高分，方案简略扣分。 </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17185A0C">
            <w:pPr>
              <w:pStyle w:val="105"/>
              <w:spacing w:line="360" w:lineRule="auto"/>
              <w:jc w:val="center"/>
              <w:rPr>
                <w:rFonts w:ascii="宋体" w:hAnsi="宋体" w:eastAsia="宋体"/>
                <w:color w:val="auto"/>
                <w:highlight w:val="none"/>
              </w:rPr>
            </w:pPr>
          </w:p>
        </w:tc>
      </w:tr>
      <w:tr w14:paraId="46288C78">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742"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43035BBF">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2EFA1D7C">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6A150E68">
            <w:pPr>
              <w:pStyle w:val="105"/>
              <w:spacing w:line="240" w:lineRule="auto"/>
              <w:jc w:val="center"/>
              <w:rPr>
                <w:rFonts w:ascii="宋体" w:hAnsi="宋体" w:eastAsia="宋体"/>
                <w:color w:val="auto"/>
                <w:highlight w:val="none"/>
              </w:rPr>
            </w:pPr>
            <w:r>
              <w:rPr>
                <w:rFonts w:hint="eastAsia" w:ascii="宋体" w:hAnsi="宋体" w:eastAsia="宋体"/>
                <w:color w:val="auto"/>
                <w:highlight w:val="none"/>
              </w:rPr>
              <w:t xml:space="preserve">施工进度计划安排 </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7B2B1C60">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结合项目特点制定科学合理的工期计划，工序衔接紧凑，保障按期完工，进度安排不合理、无保障措施酌情扣分。</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765278E6">
            <w:pPr>
              <w:pStyle w:val="105"/>
              <w:spacing w:line="360" w:lineRule="auto"/>
              <w:jc w:val="center"/>
              <w:rPr>
                <w:rFonts w:ascii="宋体" w:hAnsi="宋体" w:eastAsia="宋体"/>
                <w:color w:val="auto"/>
                <w:highlight w:val="none"/>
              </w:rPr>
            </w:pPr>
          </w:p>
        </w:tc>
      </w:tr>
      <w:tr w14:paraId="327FE09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1DB7BE01">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73C6F053">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442B9709">
            <w:pPr>
              <w:pStyle w:val="105"/>
              <w:spacing w:line="240" w:lineRule="auto"/>
              <w:jc w:val="center"/>
              <w:rPr>
                <w:rFonts w:ascii="宋体" w:hAnsi="宋体" w:eastAsia="宋体"/>
                <w:color w:val="auto"/>
                <w:highlight w:val="none"/>
              </w:rPr>
            </w:pPr>
            <w:r>
              <w:rPr>
                <w:rFonts w:hint="eastAsia" w:ascii="宋体" w:hAnsi="宋体" w:eastAsia="宋体"/>
                <w:color w:val="auto"/>
                <w:highlight w:val="none"/>
              </w:rPr>
              <w:t>安全文明施工措施</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597048B4">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制定高空作业、用电安全、设备吊装、现场围挡、游客疏导等安全保障措施，措施完善、可落地得满分，措施缺失扣分。</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01D29FBC">
            <w:pPr>
              <w:pStyle w:val="105"/>
              <w:spacing w:line="360" w:lineRule="auto"/>
              <w:jc w:val="center"/>
              <w:rPr>
                <w:rFonts w:ascii="宋体" w:hAnsi="宋体" w:eastAsia="宋体"/>
                <w:color w:val="auto"/>
                <w:highlight w:val="none"/>
              </w:rPr>
            </w:pPr>
          </w:p>
        </w:tc>
      </w:tr>
      <w:tr w14:paraId="435C476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782671E5">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0B5F2B1F">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0DA2593D">
            <w:pPr>
              <w:pStyle w:val="105"/>
              <w:spacing w:line="240" w:lineRule="auto"/>
              <w:jc w:val="center"/>
              <w:rPr>
                <w:rFonts w:ascii="宋体" w:hAnsi="宋体" w:eastAsia="宋体"/>
                <w:color w:val="auto"/>
                <w:highlight w:val="none"/>
              </w:rPr>
            </w:pPr>
            <w:r>
              <w:rPr>
                <w:rFonts w:hint="eastAsia" w:ascii="宋体" w:hAnsi="宋体" w:eastAsia="宋体"/>
                <w:color w:val="auto"/>
                <w:highlight w:val="none"/>
              </w:rPr>
              <w:t>质量保障及检测方案</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67EE4B01">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建立全过程质量管控体系，明确材料进场、安装调试、竣工验收等环节检测要求，质量管控体系完善得高分。</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77B6A330">
            <w:pPr>
              <w:pStyle w:val="105"/>
              <w:spacing w:line="360" w:lineRule="auto"/>
              <w:jc w:val="center"/>
              <w:rPr>
                <w:rFonts w:ascii="宋体" w:hAnsi="宋体" w:eastAsia="宋体"/>
                <w:color w:val="auto"/>
                <w:highlight w:val="none"/>
              </w:rPr>
            </w:pPr>
          </w:p>
        </w:tc>
      </w:tr>
      <w:tr w14:paraId="38C46AF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5E2899CE">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3100BC6D">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1E2AE3DB">
            <w:pPr>
              <w:pStyle w:val="105"/>
              <w:spacing w:line="240" w:lineRule="auto"/>
              <w:jc w:val="center"/>
              <w:rPr>
                <w:rFonts w:ascii="宋体" w:hAnsi="宋体" w:eastAsia="宋体"/>
                <w:color w:val="auto"/>
                <w:highlight w:val="none"/>
              </w:rPr>
            </w:pPr>
            <w:r>
              <w:rPr>
                <w:rFonts w:hint="eastAsia" w:ascii="宋体" w:hAnsi="宋体" w:eastAsia="宋体"/>
                <w:color w:val="auto"/>
                <w:highlight w:val="none"/>
              </w:rPr>
              <w:t>售后服务及质保方案</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25D65052">
            <w:pPr>
              <w:pStyle w:val="105"/>
              <w:spacing w:line="240" w:lineRule="auto"/>
              <w:jc w:val="both"/>
              <w:rPr>
                <w:rFonts w:ascii="宋体" w:hAnsi="宋体" w:eastAsia="宋体"/>
                <w:color w:val="auto"/>
                <w:highlight w:val="none"/>
              </w:rPr>
            </w:pPr>
            <w:r>
              <w:rPr>
                <w:rFonts w:hint="eastAsia" w:ascii="宋体" w:hAnsi="宋体" w:eastAsia="宋体"/>
                <w:color w:val="auto"/>
                <w:highlight w:val="none"/>
              </w:rPr>
              <w:t xml:space="preserve"> 明确质保期限、故障响应时间、维修更换流程、定期巡检等服务内容，服务体系完善、响应高效得高分。</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3C2815E9">
            <w:pPr>
              <w:pStyle w:val="105"/>
              <w:spacing w:line="360" w:lineRule="auto"/>
              <w:jc w:val="center"/>
              <w:rPr>
                <w:rFonts w:ascii="宋体" w:hAnsi="宋体" w:eastAsia="宋体"/>
                <w:color w:val="auto"/>
                <w:highlight w:val="none"/>
              </w:rPr>
            </w:pPr>
          </w:p>
        </w:tc>
      </w:tr>
      <w:tr w14:paraId="71FD221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57325F35">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5AF35EAA">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74861EC7">
            <w:pPr>
              <w:pStyle w:val="105"/>
              <w:spacing w:line="240" w:lineRule="auto"/>
              <w:jc w:val="center"/>
              <w:rPr>
                <w:rFonts w:ascii="宋体" w:hAnsi="宋体" w:eastAsia="宋体"/>
                <w:color w:val="auto"/>
                <w:highlight w:val="none"/>
              </w:rPr>
            </w:pPr>
            <w:r>
              <w:rPr>
                <w:rFonts w:ascii="宋体" w:hAnsi="宋体" w:eastAsia="宋体"/>
                <w:color w:val="auto"/>
                <w:highlight w:val="none"/>
              </w:rPr>
              <w:t>重点、难点</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163FF234">
            <w:pPr>
              <w:pStyle w:val="105"/>
              <w:spacing w:line="240" w:lineRule="auto"/>
              <w:jc w:val="both"/>
              <w:rPr>
                <w:rFonts w:ascii="宋体" w:hAnsi="宋体" w:eastAsia="宋体"/>
                <w:color w:val="auto"/>
                <w:highlight w:val="none"/>
              </w:rPr>
            </w:pPr>
            <w:r>
              <w:rPr>
                <w:rFonts w:ascii="宋体" w:hAnsi="宋体" w:eastAsia="宋体"/>
                <w:color w:val="auto"/>
                <w:highlight w:val="none"/>
              </w:rPr>
              <w:t>满足招标文件前附表重难点要求，应单独成章，可以根据投标人理解另行增加内容。</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2332B0BD">
            <w:pPr>
              <w:pStyle w:val="105"/>
              <w:spacing w:line="360" w:lineRule="auto"/>
              <w:jc w:val="center"/>
              <w:rPr>
                <w:rFonts w:ascii="宋体" w:hAnsi="宋体" w:eastAsia="宋体"/>
                <w:color w:val="auto"/>
                <w:highlight w:val="none"/>
              </w:rPr>
            </w:pPr>
          </w:p>
        </w:tc>
      </w:tr>
      <w:tr w14:paraId="6DFF68F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28D725AF">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5F3F054E">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center"/>
          </w:tcPr>
          <w:p w14:paraId="05CDB52C">
            <w:pPr>
              <w:pStyle w:val="105"/>
              <w:adjustRightInd w:val="0"/>
              <w:snapToGrid w:val="0"/>
              <w:spacing w:line="240" w:lineRule="auto"/>
              <w:jc w:val="center"/>
              <w:rPr>
                <w:rFonts w:ascii="宋体" w:hAnsi="宋体" w:eastAsia="宋体"/>
                <w:color w:val="auto"/>
                <w:highlight w:val="none"/>
              </w:rPr>
            </w:pPr>
            <w:r>
              <w:rPr>
                <w:rFonts w:hint="eastAsia" w:ascii="宋体" w:hAnsi="宋体" w:eastAsia="宋体"/>
                <w:color w:val="auto"/>
                <w:highlight w:val="none"/>
              </w:rPr>
              <w:t xml:space="preserve">类似项目业绩情况 </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05F4BE95">
            <w:pPr>
              <w:pStyle w:val="105"/>
              <w:adjustRightInd w:val="0"/>
              <w:snapToGrid w:val="0"/>
              <w:spacing w:line="240" w:lineRule="auto"/>
              <w:jc w:val="both"/>
              <w:rPr>
                <w:rFonts w:hint="eastAsia" w:ascii="宋体" w:hAnsi="宋体" w:eastAsia="宋体"/>
                <w:color w:val="auto"/>
                <w:highlight w:val="none"/>
                <w:lang w:eastAsia="zh-CN"/>
              </w:rPr>
            </w:pPr>
            <w:r>
              <w:rPr>
                <w:rFonts w:hint="eastAsia" w:ascii="宋体" w:hAnsi="宋体" w:eastAsia="宋体"/>
                <w:color w:val="auto"/>
                <w:highlight w:val="none"/>
              </w:rPr>
              <w:t>近三年具有户外大跨度电动遮阳天幕、文旅广场天幕同类项目业绩，业绩数量多、规模大、口碑好得高分，无相关业绩不得分。</w:t>
            </w: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68989DDA">
            <w:pPr>
              <w:pStyle w:val="105"/>
              <w:spacing w:line="360" w:lineRule="auto"/>
              <w:jc w:val="center"/>
              <w:rPr>
                <w:rFonts w:ascii="宋体" w:hAnsi="宋体" w:eastAsia="宋体"/>
                <w:color w:val="auto"/>
                <w:highlight w:val="none"/>
              </w:rPr>
            </w:pPr>
          </w:p>
        </w:tc>
      </w:tr>
      <w:tr w14:paraId="7F5641B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trPr>
        <w:tc>
          <w:tcPr>
            <w:tcW w:w="356" w:type="pct"/>
            <w:vMerge w:val="continue"/>
            <w:tcBorders>
              <w:top w:val="outset" w:color="auto" w:sz="6" w:space="0"/>
              <w:left w:val="outset" w:color="auto" w:sz="6" w:space="0"/>
              <w:bottom w:val="outset" w:color="auto" w:sz="6" w:space="0"/>
              <w:right w:val="outset" w:color="auto" w:sz="6" w:space="0"/>
            </w:tcBorders>
            <w:noWrap w:val="0"/>
            <w:vAlign w:val="top"/>
          </w:tcPr>
          <w:p w14:paraId="4D007C65">
            <w:pPr>
              <w:pStyle w:val="105"/>
              <w:spacing w:line="240" w:lineRule="auto"/>
              <w:jc w:val="both"/>
              <w:rPr>
                <w:rFonts w:ascii="宋体" w:hAnsi="宋体" w:eastAsia="宋体"/>
                <w:color w:val="auto"/>
                <w:highlight w:val="none"/>
              </w:rPr>
            </w:pPr>
          </w:p>
        </w:tc>
        <w:tc>
          <w:tcPr>
            <w:tcW w:w="311" w:type="pct"/>
            <w:vMerge w:val="continue"/>
            <w:tcBorders>
              <w:top w:val="outset" w:color="auto" w:sz="6" w:space="0"/>
              <w:left w:val="outset" w:color="auto" w:sz="6" w:space="0"/>
              <w:bottom w:val="outset" w:color="auto" w:sz="6" w:space="0"/>
              <w:right w:val="outset" w:color="auto" w:sz="6" w:space="0"/>
            </w:tcBorders>
            <w:noWrap w:val="0"/>
            <w:vAlign w:val="top"/>
          </w:tcPr>
          <w:p w14:paraId="470BC6E3">
            <w:pPr>
              <w:pStyle w:val="105"/>
              <w:spacing w:line="240" w:lineRule="auto"/>
              <w:jc w:val="center"/>
              <w:rPr>
                <w:rFonts w:ascii="宋体" w:hAnsi="宋体" w:eastAsia="宋体"/>
                <w:color w:val="auto"/>
                <w:highlight w:val="none"/>
              </w:rPr>
            </w:pPr>
          </w:p>
        </w:tc>
        <w:tc>
          <w:tcPr>
            <w:tcW w:w="790" w:type="pct"/>
            <w:gridSpan w:val="2"/>
            <w:tcBorders>
              <w:top w:val="outset" w:color="auto" w:sz="6" w:space="0"/>
              <w:left w:val="outset" w:color="auto" w:sz="6" w:space="0"/>
              <w:bottom w:val="outset" w:color="auto" w:sz="6" w:space="0"/>
              <w:right w:val="outset" w:color="auto" w:sz="6" w:space="0"/>
            </w:tcBorders>
            <w:noWrap w:val="0"/>
            <w:tcMar>
              <w:left w:w="75" w:type="dxa"/>
            </w:tcMar>
            <w:vAlign w:val="top"/>
          </w:tcPr>
          <w:p w14:paraId="0FBD24A5">
            <w:pPr>
              <w:pStyle w:val="105"/>
              <w:spacing w:line="240" w:lineRule="auto"/>
              <w:ind w:firstLine="240" w:firstLineChars="100"/>
              <w:jc w:val="center"/>
              <w:rPr>
                <w:rFonts w:ascii="宋体" w:hAnsi="宋体" w:eastAsia="宋体"/>
                <w:color w:val="auto"/>
                <w:highlight w:val="none"/>
              </w:rPr>
            </w:pPr>
            <w:r>
              <w:rPr>
                <w:rFonts w:ascii="宋体" w:hAnsi="宋体" w:eastAsia="宋体"/>
                <w:color w:val="auto"/>
                <w:highlight w:val="none"/>
              </w:rPr>
              <w:t>其它</w:t>
            </w:r>
          </w:p>
        </w:tc>
        <w:tc>
          <w:tcPr>
            <w:tcW w:w="3237" w:type="pct"/>
            <w:tcBorders>
              <w:top w:val="outset" w:color="auto" w:sz="6" w:space="0"/>
              <w:left w:val="outset" w:color="auto" w:sz="6" w:space="0"/>
              <w:bottom w:val="outset" w:color="auto" w:sz="6" w:space="0"/>
              <w:right w:val="outset" w:color="auto" w:sz="6" w:space="0"/>
            </w:tcBorders>
            <w:noWrap w:val="0"/>
            <w:tcMar>
              <w:left w:w="75" w:type="dxa"/>
            </w:tcMar>
            <w:vAlign w:val="top"/>
          </w:tcPr>
          <w:p w14:paraId="0AB50F5B">
            <w:pPr>
              <w:pStyle w:val="105"/>
              <w:spacing w:line="240" w:lineRule="auto"/>
              <w:jc w:val="both"/>
              <w:rPr>
                <w:rFonts w:ascii="宋体" w:hAnsi="宋体" w:eastAsia="宋体"/>
                <w:color w:val="auto"/>
                <w:highlight w:val="none"/>
              </w:rPr>
            </w:pPr>
          </w:p>
        </w:tc>
        <w:tc>
          <w:tcPr>
            <w:tcW w:w="304"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2B51E6C6">
            <w:pPr>
              <w:pStyle w:val="105"/>
              <w:spacing w:line="360" w:lineRule="auto"/>
              <w:jc w:val="center"/>
              <w:rPr>
                <w:rFonts w:ascii="宋体" w:hAnsi="宋体" w:eastAsia="宋体"/>
                <w:color w:val="auto"/>
                <w:highlight w:val="none"/>
              </w:rPr>
            </w:pPr>
          </w:p>
        </w:tc>
      </w:tr>
    </w:tbl>
    <w:p w14:paraId="3CFB9C34">
      <w:pPr>
        <w:rPr>
          <w:rFonts w:ascii="宋体" w:hAnsi="宋体"/>
          <w:color w:val="auto"/>
          <w:highlight w:val="none"/>
        </w:rPr>
      </w:pPr>
      <w:r>
        <w:rPr>
          <w:rFonts w:ascii="宋体" w:hAnsi="宋体"/>
          <w:color w:val="auto"/>
          <w:highlight w:val="none"/>
        </w:rPr>
        <w:t xml:space="preserve"> </w:t>
      </w:r>
      <w:bookmarkEnd w:id="29"/>
    </w:p>
    <w:p w14:paraId="46F77F16">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说明：</w:t>
      </w:r>
    </w:p>
    <w:p w14:paraId="086CECC6">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1.技术标评审采用定性方法。</w:t>
      </w:r>
    </w:p>
    <w:p w14:paraId="01E8CA99">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2.评标专家根据评审要求判断每项评审内容是否合格，并在投标人评审空格内用</w:t>
      </w:r>
      <w:r>
        <w:rPr>
          <w:rFonts w:hint="eastAsia"/>
          <w:bCs/>
          <w:color w:val="auto"/>
          <w:szCs w:val="24"/>
          <w:highlight w:val="none"/>
        </w:rPr>
        <w:t>“</w:t>
      </w:r>
      <w:r>
        <w:rPr>
          <w:rFonts w:hint="eastAsia"/>
          <w:bCs/>
          <w:color w:val="auto"/>
          <w:szCs w:val="24"/>
          <w:highlight w:val="none"/>
          <w:lang w:val="en-US" w:eastAsia="zh-CN"/>
        </w:rPr>
        <w:t>通过</w:t>
      </w:r>
      <w:r>
        <w:rPr>
          <w:rFonts w:hint="eastAsia"/>
          <w:bCs/>
          <w:color w:val="auto"/>
          <w:szCs w:val="24"/>
          <w:highlight w:val="none"/>
        </w:rPr>
        <w:t>”、“</w:t>
      </w:r>
      <w:r>
        <w:rPr>
          <w:rFonts w:hint="eastAsia"/>
          <w:bCs/>
          <w:color w:val="auto"/>
          <w:szCs w:val="24"/>
          <w:highlight w:val="none"/>
          <w:lang w:val="en-US" w:eastAsia="zh-CN"/>
        </w:rPr>
        <w:t>不通过</w:t>
      </w:r>
      <w:r>
        <w:rPr>
          <w:rFonts w:hint="eastAsia"/>
          <w:bCs/>
          <w:color w:val="auto"/>
          <w:szCs w:val="24"/>
          <w:highlight w:val="none"/>
        </w:rPr>
        <w:t>”</w:t>
      </w:r>
      <w:r>
        <w:rPr>
          <w:rFonts w:hint="eastAsia" w:ascii="宋体" w:hAnsi="宋体"/>
          <w:color w:val="auto"/>
          <w:sz w:val="24"/>
          <w:szCs w:val="24"/>
          <w:highlight w:val="none"/>
        </w:rPr>
        <w:t>表示。</w:t>
      </w:r>
    </w:p>
    <w:p w14:paraId="4D99258F">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3.所有选项必须通过</w:t>
      </w:r>
      <w:r>
        <w:rPr>
          <w:rFonts w:hint="eastAsia" w:ascii="宋体" w:hAnsi="宋体"/>
          <w:color w:val="auto"/>
          <w:sz w:val="24"/>
          <w:szCs w:val="24"/>
          <w:highlight w:val="none"/>
          <w:lang w:val="en-US" w:eastAsia="zh-CN"/>
        </w:rPr>
        <w:t>100</w:t>
      </w:r>
      <w:r>
        <w:rPr>
          <w:rFonts w:hint="eastAsia" w:ascii="宋体" w:hAnsi="宋体"/>
          <w:color w:val="auto"/>
          <w:sz w:val="24"/>
          <w:szCs w:val="24"/>
          <w:highlight w:val="none"/>
        </w:rPr>
        <w:t>%以上，技术标方为通过。</w:t>
      </w:r>
    </w:p>
    <w:p w14:paraId="667E480F">
      <w:pPr>
        <w:pStyle w:val="95"/>
        <w:widowControl w:val="0"/>
        <w:spacing w:before="0" w:beforeAutospacing="0" w:after="0" w:afterAutospacing="0" w:line="360" w:lineRule="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4、对否定的技术标，评委要提出充足的否定理由，并填写在技术标评标记录上。</w:t>
      </w:r>
    </w:p>
    <w:p w14:paraId="6ED86A3B">
      <w:pPr>
        <w:spacing w:line="360" w:lineRule="auto"/>
        <w:rPr>
          <w:rFonts w:hint="eastAsia" w:ascii="宋体" w:hAnsi="宋体"/>
          <w:color w:val="auto"/>
          <w:sz w:val="24"/>
          <w:szCs w:val="24"/>
          <w:highlight w:val="none"/>
        </w:rPr>
      </w:pPr>
    </w:p>
    <w:p w14:paraId="14126318">
      <w:pPr>
        <w:adjustRightInd w:val="0"/>
        <w:snapToGrid w:val="0"/>
        <w:spacing w:line="360" w:lineRule="auto"/>
        <w:ind w:right="-10" w:firstLine="422" w:firstLineChars="175"/>
        <w:rPr>
          <w:rFonts w:hint="eastAsia" w:ascii="宋体" w:hAnsi="宋体"/>
          <w:bCs/>
          <w:color w:val="auto"/>
          <w:sz w:val="24"/>
          <w:highlight w:val="none"/>
        </w:rPr>
      </w:pPr>
      <w:r>
        <w:rPr>
          <w:rFonts w:hint="eastAsia" w:ascii="宋体" w:hAnsi="宋体"/>
          <w:b/>
          <w:color w:val="auto"/>
          <w:sz w:val="24"/>
          <w:highlight w:val="none"/>
        </w:rPr>
        <w:t>第九条</w:t>
      </w:r>
      <w:r>
        <w:rPr>
          <w:rFonts w:hint="eastAsia" w:ascii="宋体" w:hAnsi="宋体"/>
          <w:bCs/>
          <w:color w:val="auto"/>
          <w:sz w:val="24"/>
          <w:highlight w:val="none"/>
        </w:rPr>
        <w:t xml:space="preserve"> 评标委员会在评标过程中发现的问题，应当及时作出处理或者向招标人提出处理建议，并作书面记录。</w:t>
      </w:r>
    </w:p>
    <w:p w14:paraId="30FF3C6A">
      <w:pPr>
        <w:adjustRightInd w:val="0"/>
        <w:snapToGrid w:val="0"/>
        <w:spacing w:line="360" w:lineRule="auto"/>
        <w:ind w:right="-10" w:firstLine="422" w:firstLineChars="175"/>
        <w:rPr>
          <w:rFonts w:hint="eastAsia" w:ascii="宋体" w:hAnsi="宋体"/>
          <w:bCs/>
          <w:color w:val="auto"/>
          <w:sz w:val="24"/>
          <w:highlight w:val="none"/>
        </w:rPr>
      </w:pPr>
      <w:r>
        <w:rPr>
          <w:rFonts w:hint="eastAsia" w:ascii="宋体" w:hAnsi="宋体"/>
          <w:b/>
          <w:color w:val="auto"/>
          <w:sz w:val="24"/>
          <w:highlight w:val="none"/>
        </w:rPr>
        <w:t>第十条</w:t>
      </w:r>
      <w:r>
        <w:rPr>
          <w:rFonts w:hint="eastAsia" w:ascii="宋体" w:hAnsi="宋体"/>
          <w:bCs/>
          <w:color w:val="auto"/>
          <w:sz w:val="24"/>
          <w:highlight w:val="none"/>
        </w:rPr>
        <w:t xml:space="preserve"> 评标后，评标委员会应写出评标报告并签字。评标报告是评标委员会根据全体评标成员签字的原始评标记录和评标结果编写的报告，评标委员会全体成员及监督员均须在评标报告上签字。评标报告应如实记录本次评标的主要过程，全面反映评标过程中的各种不同的意见，以及其他澄清、说明、补正事项。</w:t>
      </w:r>
    </w:p>
    <w:p w14:paraId="36181EED">
      <w:pPr>
        <w:adjustRightInd w:val="0"/>
        <w:snapToGrid w:val="0"/>
        <w:spacing w:line="360" w:lineRule="auto"/>
        <w:ind w:right="-10" w:firstLine="422" w:firstLineChars="175"/>
        <w:rPr>
          <w:rFonts w:ascii="宋体" w:hAnsi="宋体"/>
          <w:bCs/>
          <w:color w:val="auto"/>
          <w:sz w:val="24"/>
          <w:highlight w:val="none"/>
        </w:rPr>
      </w:pPr>
      <w:r>
        <w:rPr>
          <w:rFonts w:hint="eastAsia" w:ascii="宋体" w:hAnsi="宋体"/>
          <w:b/>
          <w:color w:val="auto"/>
          <w:sz w:val="24"/>
          <w:highlight w:val="none"/>
        </w:rPr>
        <w:t>第十一条</w:t>
      </w:r>
      <w:r>
        <w:rPr>
          <w:rFonts w:hint="eastAsia" w:ascii="宋体" w:hAnsi="宋体"/>
          <w:bCs/>
          <w:color w:val="auto"/>
          <w:sz w:val="24"/>
          <w:highlight w:val="none"/>
        </w:rPr>
        <w:t xml:space="preserve"> 评标委员会和评标工作人员应严格遵守国家的法律、法规和规章制度；严格按照本次招标文件进行评标；公正廉洁、不徇私情，不得损害国家利益；保护招、投标人的合法权益。</w:t>
      </w:r>
    </w:p>
    <w:p w14:paraId="17A62F63">
      <w:pPr>
        <w:pStyle w:val="22"/>
        <w:spacing w:line="360" w:lineRule="auto"/>
        <w:ind w:right="-10" w:firstLine="482"/>
        <w:rPr>
          <w:rFonts w:hint="eastAsia" w:ascii="宋体" w:hAnsi="宋体" w:eastAsia="宋体"/>
          <w:bCs/>
          <w:color w:val="auto"/>
          <w:sz w:val="24"/>
          <w:highlight w:val="none"/>
        </w:rPr>
      </w:pPr>
      <w:r>
        <w:rPr>
          <w:rFonts w:hint="eastAsia" w:ascii="宋体" w:hAnsi="宋体" w:eastAsia="宋体"/>
          <w:b/>
          <w:color w:val="auto"/>
          <w:sz w:val="24"/>
          <w:highlight w:val="none"/>
        </w:rPr>
        <w:t>第十二条</w:t>
      </w:r>
      <w:r>
        <w:rPr>
          <w:rFonts w:hint="eastAsia" w:ascii="宋体" w:hAnsi="宋体" w:eastAsia="宋体"/>
          <w:bCs/>
          <w:color w:val="auto"/>
          <w:sz w:val="24"/>
          <w:highlight w:val="none"/>
        </w:rPr>
        <w:t xml:space="preserve"> 在评标过程中，评委及其他评标工作人员必须对评标情况严格保密，任何人不得将评标情况透露给与投标人有关的单位和个人。如有违反评标纪律的情况发生，将依据《中华人民共和国招标投标法》、《中华人民共和国招标投标法实施条例》及其他有关法律法规的规定，追究有关当事人的责任。</w:t>
      </w:r>
    </w:p>
    <w:p w14:paraId="7E382C32">
      <w:pPr>
        <w:snapToGrid w:val="0"/>
        <w:spacing w:line="560" w:lineRule="exact"/>
        <w:rPr>
          <w:rFonts w:hint="eastAsia"/>
          <w:b/>
          <w:color w:val="auto"/>
          <w:sz w:val="28"/>
          <w:szCs w:val="28"/>
          <w:highlight w:val="none"/>
        </w:rPr>
      </w:pPr>
    </w:p>
    <w:p w14:paraId="7FFFF179">
      <w:pPr>
        <w:pStyle w:val="35"/>
        <w:rPr>
          <w:color w:val="auto"/>
          <w:highlight w:val="none"/>
        </w:rPr>
      </w:pPr>
    </w:p>
    <w:p w14:paraId="6B439766">
      <w:pPr>
        <w:pStyle w:val="35"/>
        <w:rPr>
          <w:rFonts w:hint="eastAsia"/>
          <w:color w:val="auto"/>
          <w:highlight w:val="none"/>
        </w:rPr>
      </w:pPr>
    </w:p>
    <w:p w14:paraId="4831AFF7">
      <w:pPr>
        <w:rPr>
          <w:rFonts w:hint="eastAsia" w:hAnsi="宋体"/>
          <w:color w:val="auto"/>
          <w:sz w:val="24"/>
          <w:szCs w:val="24"/>
          <w:highlight w:val="none"/>
        </w:rPr>
      </w:pPr>
      <w:bookmarkStart w:id="30" w:name="_Toc328559330"/>
      <w:bookmarkStart w:id="31" w:name="_Toc297563647"/>
      <w:bookmarkStart w:id="32" w:name="_Toc245714167"/>
      <w:bookmarkStart w:id="33" w:name="_Toc232819544"/>
      <w:bookmarkStart w:id="34" w:name="_Toc273602349"/>
      <w:r>
        <w:rPr>
          <w:rFonts w:hint="eastAsia" w:hAnsi="宋体"/>
          <w:color w:val="auto"/>
          <w:sz w:val="24"/>
          <w:szCs w:val="24"/>
          <w:highlight w:val="none"/>
        </w:rPr>
        <w:br w:type="page"/>
      </w:r>
    </w:p>
    <w:p w14:paraId="7BE72A3E">
      <w:pPr>
        <w:pStyle w:val="4"/>
        <w:spacing w:before="0" w:after="0" w:line="360" w:lineRule="auto"/>
        <w:ind w:firstLine="482" w:firstLineChars="200"/>
        <w:rPr>
          <w:rFonts w:hint="eastAsia" w:hAnsi="宋体"/>
          <w:color w:val="auto"/>
          <w:sz w:val="24"/>
          <w:szCs w:val="24"/>
          <w:highlight w:val="none"/>
        </w:rPr>
      </w:pPr>
      <w:r>
        <w:rPr>
          <w:rFonts w:hint="eastAsia" w:hAnsi="宋体"/>
          <w:color w:val="auto"/>
          <w:sz w:val="24"/>
          <w:szCs w:val="24"/>
          <w:highlight w:val="none"/>
        </w:rPr>
        <w:t>第</w:t>
      </w:r>
      <w:r>
        <w:rPr>
          <w:rFonts w:hint="eastAsia" w:hAnsi="宋体"/>
          <w:color w:val="auto"/>
          <w:sz w:val="24"/>
          <w:szCs w:val="24"/>
          <w:highlight w:val="none"/>
          <w:lang w:eastAsia="zh-CN"/>
        </w:rPr>
        <w:t>四</w:t>
      </w:r>
      <w:r>
        <w:rPr>
          <w:rFonts w:hint="eastAsia" w:hAnsi="宋体"/>
          <w:color w:val="auto"/>
          <w:sz w:val="24"/>
          <w:szCs w:val="24"/>
          <w:highlight w:val="none"/>
        </w:rPr>
        <w:t>章 开标与评标</w:t>
      </w:r>
      <w:bookmarkEnd w:id="30"/>
      <w:bookmarkEnd w:id="31"/>
      <w:bookmarkEnd w:id="32"/>
      <w:bookmarkEnd w:id="33"/>
      <w:bookmarkEnd w:id="34"/>
    </w:p>
    <w:p w14:paraId="0B45EE55">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一、开标</w:t>
      </w:r>
    </w:p>
    <w:p w14:paraId="166F945D">
      <w:pPr>
        <w:spacing w:line="440" w:lineRule="exact"/>
        <w:ind w:firstLine="550"/>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招标人</w:t>
      </w:r>
      <w:r>
        <w:rPr>
          <w:rFonts w:hint="eastAsia" w:ascii="宋体" w:hAnsi="宋体"/>
          <w:color w:val="auto"/>
          <w:sz w:val="24"/>
          <w:highlight w:val="none"/>
        </w:rPr>
        <w:t>将在投标</w:t>
      </w:r>
      <w:bookmarkStart w:id="35" w:name="_Hlt509649432"/>
      <w:bookmarkEnd w:id="35"/>
      <w:r>
        <w:rPr>
          <w:rFonts w:hint="eastAsia" w:ascii="宋体" w:hAnsi="宋体"/>
          <w:color w:val="auto"/>
          <w:sz w:val="24"/>
          <w:highlight w:val="none"/>
        </w:rPr>
        <w:t>人须知前附表规定的时间和地点组织公开开标。投标人授权代表应携带身份证明参加并签到。</w:t>
      </w:r>
    </w:p>
    <w:p w14:paraId="04C194DA">
      <w:pPr>
        <w:spacing w:line="440" w:lineRule="exact"/>
        <w:ind w:firstLine="550"/>
        <w:rPr>
          <w:rFonts w:hint="eastAsia" w:ascii="宋体" w:hAnsi="宋体"/>
          <w:bCs/>
          <w:color w:val="auto"/>
          <w:sz w:val="24"/>
          <w:highlight w:val="none"/>
        </w:rPr>
      </w:pPr>
      <w:r>
        <w:rPr>
          <w:rFonts w:hint="eastAsia" w:ascii="宋体" w:hAnsi="宋体"/>
          <w:bCs/>
          <w:color w:val="auto"/>
          <w:sz w:val="24"/>
          <w:highlight w:val="none"/>
        </w:rPr>
        <w:t>2、开标前，</w:t>
      </w:r>
      <w:r>
        <w:rPr>
          <w:rFonts w:hint="eastAsia" w:ascii="宋体" w:hAnsi="宋体"/>
          <w:bCs/>
          <w:color w:val="auto"/>
          <w:sz w:val="24"/>
          <w:highlight w:val="none"/>
          <w:lang w:eastAsia="zh-CN"/>
        </w:rPr>
        <w:t>招标人</w:t>
      </w:r>
      <w:r>
        <w:rPr>
          <w:rFonts w:hint="eastAsia" w:ascii="宋体" w:hAnsi="宋体"/>
          <w:bCs/>
          <w:color w:val="auto"/>
          <w:sz w:val="24"/>
          <w:highlight w:val="none"/>
        </w:rPr>
        <w:t>将会同监督人员或公证人员进行验标（检查投标文件密封情况），并宣布检查结果。确认无误后开标。</w:t>
      </w:r>
    </w:p>
    <w:p w14:paraId="4EA6FB1D">
      <w:pPr>
        <w:spacing w:line="360" w:lineRule="auto"/>
        <w:ind w:firstLine="480" w:firstLineChars="200"/>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3</w:t>
      </w:r>
      <w:r>
        <w:rPr>
          <w:rFonts w:hint="eastAsia" w:ascii="宋体" w:hAnsi="宋体"/>
          <w:bCs/>
          <w:color w:val="auto"/>
          <w:sz w:val="24"/>
          <w:szCs w:val="24"/>
          <w:highlight w:val="none"/>
        </w:rPr>
        <w:t>、商务标开标时，</w:t>
      </w:r>
      <w:r>
        <w:rPr>
          <w:rFonts w:hint="eastAsia" w:ascii="宋体" w:hAnsi="宋体"/>
          <w:bCs/>
          <w:color w:val="auto"/>
          <w:sz w:val="24"/>
          <w:szCs w:val="24"/>
          <w:highlight w:val="none"/>
          <w:lang w:eastAsia="zh-CN"/>
        </w:rPr>
        <w:t>招标人</w:t>
      </w:r>
      <w:r>
        <w:rPr>
          <w:rFonts w:hint="eastAsia" w:ascii="宋体" w:hAnsi="宋体"/>
          <w:bCs/>
          <w:color w:val="auto"/>
          <w:sz w:val="24"/>
          <w:szCs w:val="24"/>
          <w:highlight w:val="none"/>
        </w:rPr>
        <w:t>将当众宣读投标人名称、投标价格、书面修改和撤回投标的通知，以及</w:t>
      </w:r>
      <w:r>
        <w:rPr>
          <w:rFonts w:hint="eastAsia" w:ascii="宋体" w:hAnsi="宋体"/>
          <w:bCs/>
          <w:color w:val="auto"/>
          <w:sz w:val="24"/>
          <w:szCs w:val="24"/>
          <w:highlight w:val="none"/>
          <w:lang w:eastAsia="zh-CN"/>
        </w:rPr>
        <w:t>招标人</w:t>
      </w:r>
      <w:r>
        <w:rPr>
          <w:rFonts w:hint="eastAsia" w:ascii="宋体" w:hAnsi="宋体"/>
          <w:bCs/>
          <w:color w:val="auto"/>
          <w:sz w:val="24"/>
          <w:szCs w:val="24"/>
          <w:highlight w:val="none"/>
        </w:rPr>
        <w:t>认为合适的其它详细内容。只有在开标时唱出的优惠，评标时才予以考虑。</w:t>
      </w:r>
    </w:p>
    <w:p w14:paraId="399A6915">
      <w:pPr>
        <w:spacing w:line="360" w:lineRule="auto"/>
        <w:ind w:firstLine="480" w:firstLineChars="200"/>
        <w:rPr>
          <w:rFonts w:hint="eastAsia" w:ascii="宋体" w:hAnsi="宋体"/>
          <w:color w:val="auto"/>
          <w:sz w:val="24"/>
          <w:szCs w:val="24"/>
          <w:highlight w:val="none"/>
        </w:rPr>
      </w:pPr>
      <w:r>
        <w:rPr>
          <w:rFonts w:hint="eastAsia" w:ascii="宋体" w:hAnsi="宋体"/>
          <w:bCs/>
          <w:color w:val="auto"/>
          <w:sz w:val="24"/>
          <w:szCs w:val="24"/>
          <w:highlight w:val="none"/>
          <w:lang w:val="en-US" w:eastAsia="zh-CN"/>
        </w:rPr>
        <w:t>4</w:t>
      </w:r>
      <w:r>
        <w:rPr>
          <w:rFonts w:hint="eastAsia" w:ascii="宋体" w:hAnsi="宋体"/>
          <w:bCs/>
          <w:color w:val="auto"/>
          <w:sz w:val="24"/>
          <w:szCs w:val="24"/>
          <w:highlight w:val="none"/>
        </w:rPr>
        <w:t>、在评审结束前，未得到</w:t>
      </w:r>
      <w:r>
        <w:rPr>
          <w:rFonts w:hint="eastAsia" w:ascii="宋体" w:hAnsi="宋体"/>
          <w:bCs/>
          <w:color w:val="auto"/>
          <w:sz w:val="24"/>
          <w:szCs w:val="24"/>
          <w:highlight w:val="none"/>
          <w:lang w:eastAsia="zh-CN"/>
        </w:rPr>
        <w:t>招标人</w:t>
      </w:r>
      <w:r>
        <w:rPr>
          <w:rFonts w:hint="eastAsia" w:ascii="宋体" w:hAnsi="宋体"/>
          <w:bCs/>
          <w:color w:val="auto"/>
          <w:sz w:val="24"/>
          <w:szCs w:val="24"/>
          <w:highlight w:val="none"/>
        </w:rPr>
        <w:t>允许，投标人授权代表不得离开开标现场。</w:t>
      </w:r>
    </w:p>
    <w:p w14:paraId="62CE2B16">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二、投标文件的澄清、说明或补正</w:t>
      </w:r>
    </w:p>
    <w:p w14:paraId="2217E3D4">
      <w:pPr>
        <w:spacing w:line="360" w:lineRule="auto"/>
        <w:ind w:firstLine="480" w:firstLineChars="200"/>
        <w:rPr>
          <w:rFonts w:hint="eastAsia" w:ascii="宋体" w:hAnsi="宋体"/>
          <w:bCs/>
          <w:color w:val="auto"/>
          <w:sz w:val="24"/>
          <w:szCs w:val="24"/>
          <w:highlight w:val="none"/>
        </w:rPr>
      </w:pPr>
      <w:r>
        <w:rPr>
          <w:rFonts w:hint="eastAsia" w:ascii="宋体" w:hAnsi="宋体"/>
          <w:bCs/>
          <w:color w:val="auto"/>
          <w:sz w:val="24"/>
          <w:szCs w:val="24"/>
          <w:highlight w:val="none"/>
        </w:rPr>
        <w:t>1、为有助于投标的审查、评价和比较，评标委员会可以书面方式要求投标人对投标文件中含义不明确、对同类问题表述不一致或者有明显文字和计算错误的内容作必要的澄清、说明或补正。澄清、说明或补正应以书面方式进行并不得超出投标文件的范围或改变投标文件的实质性内容。</w:t>
      </w:r>
    </w:p>
    <w:p w14:paraId="0AF1179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2、投标文件中大写金额和小写金额不一致的，以大写金额为准；总价金额与按单价汇总金额不一致的，以单价金额计算结果为准；单价金额小数点有明显错位的，应以总价为准，并修改单价。</w:t>
      </w:r>
    </w:p>
    <w:p w14:paraId="4A2A50F0">
      <w:pPr>
        <w:spacing w:line="360" w:lineRule="auto"/>
        <w:ind w:firstLine="480" w:firstLineChars="200"/>
        <w:rPr>
          <w:rFonts w:hint="eastAsia" w:ascii="宋体" w:hAnsi="宋体"/>
          <w:bCs/>
          <w:color w:val="auto"/>
          <w:sz w:val="24"/>
          <w:szCs w:val="24"/>
          <w:highlight w:val="none"/>
        </w:rPr>
      </w:pPr>
      <w:r>
        <w:rPr>
          <w:rFonts w:hint="eastAsia" w:ascii="宋体" w:hAnsi="宋体"/>
          <w:color w:val="auto"/>
          <w:sz w:val="24"/>
          <w:szCs w:val="24"/>
          <w:highlight w:val="none"/>
        </w:rPr>
        <w:t>3、</w:t>
      </w:r>
      <w:r>
        <w:rPr>
          <w:rFonts w:hint="eastAsia" w:ascii="宋体" w:hAnsi="宋体"/>
          <w:bCs/>
          <w:color w:val="auto"/>
          <w:sz w:val="24"/>
          <w:szCs w:val="24"/>
          <w:highlight w:val="none"/>
        </w:rPr>
        <w:t>开标一览表内容与投标文件中明细表内容不一致的，以开标一览表为准。</w:t>
      </w:r>
    </w:p>
    <w:p w14:paraId="24E362E0">
      <w:pPr>
        <w:spacing w:line="360" w:lineRule="auto"/>
        <w:ind w:firstLine="482" w:firstLineChars="200"/>
        <w:rPr>
          <w:rFonts w:hint="eastAsia" w:ascii="宋体" w:hAnsi="宋体"/>
          <w:color w:val="auto"/>
          <w:sz w:val="24"/>
          <w:szCs w:val="24"/>
          <w:highlight w:val="none"/>
        </w:rPr>
      </w:pPr>
      <w:r>
        <w:rPr>
          <w:rFonts w:hint="eastAsia" w:ascii="宋体" w:hAnsi="宋体"/>
          <w:b/>
          <w:color w:val="auto"/>
          <w:sz w:val="24"/>
          <w:szCs w:val="24"/>
          <w:highlight w:val="none"/>
        </w:rPr>
        <w:t>三、评标</w:t>
      </w:r>
    </w:p>
    <w:p w14:paraId="7588267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1、评委会将按照招标文件规定的评标办法对投标人进行评审。</w:t>
      </w:r>
    </w:p>
    <w:p w14:paraId="1948AA53">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w:t>
      </w:r>
      <w:r>
        <w:rPr>
          <w:rFonts w:hint="eastAsia" w:ascii="宋体" w:hAnsi="宋体"/>
          <w:color w:val="auto"/>
          <w:sz w:val="24"/>
          <w:highlight w:val="none"/>
          <w:lang w:eastAsia="zh-CN"/>
        </w:rPr>
        <w:t>资格审核</w:t>
      </w:r>
      <w:r>
        <w:rPr>
          <w:rFonts w:hint="eastAsia" w:ascii="宋体" w:hAnsi="宋体"/>
          <w:color w:val="auto"/>
          <w:sz w:val="24"/>
          <w:highlight w:val="none"/>
        </w:rPr>
        <w:t>时，评委会将首先审查投标文件是否实质上响应招标文件的</w:t>
      </w:r>
      <w:r>
        <w:rPr>
          <w:rFonts w:hint="eastAsia" w:ascii="宋体" w:hAnsi="宋体"/>
          <w:color w:val="auto"/>
          <w:sz w:val="24"/>
          <w:highlight w:val="none"/>
          <w:lang w:eastAsia="zh-CN"/>
        </w:rPr>
        <w:t>资格审核</w:t>
      </w:r>
      <w:r>
        <w:rPr>
          <w:rFonts w:hint="eastAsia" w:ascii="宋体" w:hAnsi="宋体"/>
          <w:color w:val="auto"/>
          <w:sz w:val="24"/>
          <w:highlight w:val="none"/>
        </w:rPr>
        <w:t>指标要求。实质上响应的投标应与招标文件的全部条款、条件相符，没有重大偏离或保留。所谓重大偏离或保留是指影响合同的质量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82100F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3、如果投标文件未通过</w:t>
      </w:r>
      <w:r>
        <w:rPr>
          <w:rFonts w:hint="eastAsia" w:ascii="宋体" w:hAnsi="宋体"/>
          <w:color w:val="auto"/>
          <w:sz w:val="24"/>
          <w:highlight w:val="none"/>
          <w:lang w:eastAsia="zh-CN"/>
        </w:rPr>
        <w:t>资格审核</w:t>
      </w:r>
      <w:r>
        <w:rPr>
          <w:rFonts w:hint="eastAsia" w:ascii="宋体" w:hAnsi="宋体"/>
          <w:color w:val="auto"/>
          <w:sz w:val="24"/>
          <w:highlight w:val="none"/>
        </w:rPr>
        <w:t>，投标无效。</w:t>
      </w:r>
    </w:p>
    <w:p w14:paraId="3B933BCA">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4、评委会决定投标文件的响应性及符合性只根据投标文件本身的内容，而不寻求其他外部证据。</w:t>
      </w:r>
    </w:p>
    <w:p w14:paraId="3205C89E">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四、有下列情况之一者，投标文件无效</w:t>
      </w:r>
    </w:p>
    <w:p w14:paraId="782ACFC7">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延期送达标书的；</w:t>
      </w:r>
    </w:p>
    <w:p w14:paraId="6E6A572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商务报价文件有2个或以上报价的；</w:t>
      </w:r>
    </w:p>
    <w:p w14:paraId="7C0A08D5">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投标报价高于控制价的；</w:t>
      </w:r>
    </w:p>
    <w:p w14:paraId="643692C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企业资质条件或建造师（或相关专业项目经理）资质条件不符合招标文件要求的；</w:t>
      </w:r>
    </w:p>
    <w:p w14:paraId="070C149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明显低价又未能给出合理说明的；</w:t>
      </w:r>
    </w:p>
    <w:p w14:paraId="1B5A26C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未实质性响应招标文件要求的（包括工期、质量和质保期等重要条件）；</w:t>
      </w:r>
    </w:p>
    <w:p w14:paraId="349F1795">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未提供规范合理的施工组织设计；</w:t>
      </w:r>
    </w:p>
    <w:p w14:paraId="118F518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发现提供虚假资料、虚假承诺的一切弄虚作假行为的。</w:t>
      </w:r>
    </w:p>
    <w:p w14:paraId="2E5AB7D4">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其他未能实质性响应招标文件的。</w:t>
      </w:r>
    </w:p>
    <w:p w14:paraId="474D3395">
      <w:pPr>
        <w:spacing w:line="360" w:lineRule="auto"/>
        <w:ind w:firstLine="482" w:firstLineChars="200"/>
        <w:rPr>
          <w:rFonts w:hint="eastAsia" w:ascii="宋体" w:hAnsi="宋体"/>
          <w:b/>
          <w:bCs/>
          <w:color w:val="auto"/>
          <w:sz w:val="24"/>
          <w:szCs w:val="24"/>
          <w:highlight w:val="none"/>
        </w:rPr>
      </w:pPr>
      <w:r>
        <w:rPr>
          <w:rFonts w:hint="eastAsia" w:ascii="宋体" w:hAnsi="宋体"/>
          <w:b/>
          <w:bCs/>
          <w:color w:val="auto"/>
          <w:sz w:val="24"/>
          <w:szCs w:val="24"/>
          <w:highlight w:val="none"/>
        </w:rPr>
        <w:t>五、废标处理</w:t>
      </w:r>
    </w:p>
    <w:p w14:paraId="7F38747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在招标采购中，出现下列情形之一的，</w:t>
      </w:r>
      <w:r>
        <w:rPr>
          <w:rFonts w:hint="eastAsia" w:ascii="宋体" w:hAnsi="宋体"/>
          <w:color w:val="auto"/>
          <w:sz w:val="24"/>
          <w:szCs w:val="24"/>
          <w:highlight w:val="none"/>
          <w:lang w:eastAsia="zh-CN"/>
        </w:rPr>
        <w:t>招标人</w:t>
      </w:r>
      <w:r>
        <w:rPr>
          <w:rFonts w:hint="eastAsia" w:ascii="宋体" w:hAnsi="宋体"/>
          <w:color w:val="auto"/>
          <w:sz w:val="24"/>
          <w:szCs w:val="24"/>
          <w:highlight w:val="none"/>
        </w:rPr>
        <w:t>有权宣布废标：</w:t>
      </w:r>
    </w:p>
    <w:p w14:paraId="56A3AE5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1、符合专业条件的投标人或对招标文件作实质响应的投标人不足三家的；</w:t>
      </w:r>
    </w:p>
    <w:p w14:paraId="56EB555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2、投标人的报价均超过</w:t>
      </w:r>
      <w:r>
        <w:rPr>
          <w:rFonts w:hint="eastAsia" w:ascii="宋体" w:hAnsi="宋体"/>
          <w:color w:val="auto"/>
          <w:sz w:val="24"/>
          <w:szCs w:val="24"/>
          <w:highlight w:val="none"/>
          <w:lang w:eastAsia="zh-CN"/>
        </w:rPr>
        <w:t>招标</w:t>
      </w:r>
      <w:r>
        <w:rPr>
          <w:rFonts w:hint="eastAsia" w:ascii="宋体" w:hAnsi="宋体"/>
          <w:color w:val="auto"/>
          <w:sz w:val="24"/>
          <w:szCs w:val="24"/>
          <w:highlight w:val="none"/>
        </w:rPr>
        <w:t>预算，招标人不能支付的；</w:t>
      </w:r>
    </w:p>
    <w:p w14:paraId="73B7CD3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3、出现影响采购公正的违法、违规行为的；</w:t>
      </w:r>
    </w:p>
    <w:p w14:paraId="0D25B37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4、因重大变故，</w:t>
      </w:r>
      <w:r>
        <w:rPr>
          <w:rFonts w:hint="eastAsia" w:ascii="宋体" w:hAnsi="宋体"/>
          <w:color w:val="auto"/>
          <w:sz w:val="24"/>
          <w:szCs w:val="24"/>
          <w:highlight w:val="none"/>
          <w:lang w:eastAsia="zh-CN"/>
        </w:rPr>
        <w:t>招标</w:t>
      </w:r>
      <w:r>
        <w:rPr>
          <w:rFonts w:hint="eastAsia" w:ascii="宋体" w:hAnsi="宋体"/>
          <w:color w:val="auto"/>
          <w:sz w:val="24"/>
          <w:szCs w:val="24"/>
          <w:highlight w:val="none"/>
        </w:rPr>
        <w:t>任务取消的。</w:t>
      </w:r>
    </w:p>
    <w:p w14:paraId="5C811EAA">
      <w:pPr>
        <w:spacing w:line="360" w:lineRule="auto"/>
        <w:ind w:firstLine="480" w:firstLineChars="200"/>
        <w:rPr>
          <w:rFonts w:hint="eastAsia" w:ascii="宋体" w:hAnsi="宋体"/>
          <w:color w:val="auto"/>
          <w:sz w:val="24"/>
          <w:szCs w:val="24"/>
          <w:highlight w:val="none"/>
        </w:rPr>
      </w:pPr>
    </w:p>
    <w:p w14:paraId="52885047">
      <w:pPr>
        <w:rPr>
          <w:rFonts w:hint="eastAsia" w:hAnsi="宋体"/>
          <w:color w:val="auto"/>
          <w:sz w:val="24"/>
          <w:szCs w:val="24"/>
          <w:highlight w:val="none"/>
        </w:rPr>
      </w:pPr>
      <w:bookmarkStart w:id="36" w:name="_Toc232819545"/>
      <w:bookmarkStart w:id="37" w:name="_Toc273602350"/>
      <w:bookmarkStart w:id="38" w:name="_Toc297563648"/>
      <w:bookmarkStart w:id="39" w:name="_Toc516969091"/>
      <w:bookmarkStart w:id="40" w:name="_Toc245714168"/>
      <w:bookmarkStart w:id="41" w:name="_Toc328559331"/>
      <w:r>
        <w:rPr>
          <w:rFonts w:hint="eastAsia" w:hAnsi="宋体"/>
          <w:color w:val="auto"/>
          <w:sz w:val="24"/>
          <w:szCs w:val="24"/>
          <w:highlight w:val="none"/>
        </w:rPr>
        <w:br w:type="page"/>
      </w:r>
    </w:p>
    <w:p w14:paraId="5C0BCA7D">
      <w:pPr>
        <w:pStyle w:val="4"/>
        <w:spacing w:before="0" w:after="0" w:line="360" w:lineRule="auto"/>
        <w:ind w:firstLine="482" w:firstLineChars="200"/>
        <w:rPr>
          <w:rFonts w:hint="eastAsia" w:hAnsi="宋体"/>
          <w:color w:val="auto"/>
          <w:sz w:val="24"/>
          <w:szCs w:val="24"/>
          <w:highlight w:val="none"/>
        </w:rPr>
      </w:pPr>
      <w:r>
        <w:rPr>
          <w:rFonts w:hint="eastAsia" w:hAnsi="宋体"/>
          <w:color w:val="auto"/>
          <w:sz w:val="24"/>
          <w:szCs w:val="24"/>
          <w:highlight w:val="none"/>
        </w:rPr>
        <w:t>第</w:t>
      </w:r>
      <w:r>
        <w:rPr>
          <w:rFonts w:hint="eastAsia" w:hAnsi="宋体"/>
          <w:color w:val="auto"/>
          <w:sz w:val="24"/>
          <w:szCs w:val="24"/>
          <w:highlight w:val="none"/>
          <w:lang w:eastAsia="zh-CN"/>
        </w:rPr>
        <w:t>五</w:t>
      </w:r>
      <w:r>
        <w:rPr>
          <w:rFonts w:hint="eastAsia" w:hAnsi="宋体"/>
          <w:color w:val="auto"/>
          <w:sz w:val="24"/>
          <w:szCs w:val="24"/>
          <w:highlight w:val="none"/>
        </w:rPr>
        <w:t>章 定标与签订合同</w:t>
      </w:r>
      <w:bookmarkEnd w:id="36"/>
      <w:bookmarkEnd w:id="37"/>
      <w:bookmarkEnd w:id="38"/>
      <w:bookmarkEnd w:id="39"/>
      <w:bookmarkEnd w:id="40"/>
      <w:bookmarkEnd w:id="41"/>
    </w:p>
    <w:p w14:paraId="10A29471">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一、定标</w:t>
      </w:r>
    </w:p>
    <w:p w14:paraId="0A3B683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1、评委会按招标文件规定的评标办法排出中标候选人。</w:t>
      </w:r>
    </w:p>
    <w:p w14:paraId="43209F8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如评委会认为有必要，首先对第一中标候选人就投标文件所提供的内容进行资格审查。资格审查视为本项目采购活动的延续，以书面报告作为最终审查的结果。如果确定第一中标候选人无法履行合同，将按排名依次对其余中标候选人进行类似的审查。</w:t>
      </w:r>
    </w:p>
    <w:p w14:paraId="476EC38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3、原则上把合同授予实质上响应招标文件要求的排名最前的中标候选人或通过上条资格审查的中标候选人。</w:t>
      </w:r>
    </w:p>
    <w:p w14:paraId="48C2563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 最低报价并不是被授予合同的保证。</w:t>
      </w:r>
    </w:p>
    <w:p w14:paraId="4F55156F">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二、中标通知书</w:t>
      </w:r>
    </w:p>
    <w:p w14:paraId="5A7C298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招标人</w:t>
      </w:r>
      <w:r>
        <w:rPr>
          <w:rFonts w:hint="eastAsia" w:ascii="宋体" w:hAnsi="宋体"/>
          <w:color w:val="auto"/>
          <w:sz w:val="24"/>
          <w:szCs w:val="24"/>
          <w:highlight w:val="none"/>
        </w:rPr>
        <w:t>将以中标通知书形式通知中标人，其投标已被接受。</w:t>
      </w:r>
    </w:p>
    <w:p w14:paraId="178F2BF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招标人</w:t>
      </w:r>
      <w:r>
        <w:rPr>
          <w:rFonts w:hint="eastAsia" w:ascii="宋体" w:hAnsi="宋体"/>
          <w:color w:val="auto"/>
          <w:sz w:val="24"/>
          <w:szCs w:val="24"/>
          <w:highlight w:val="none"/>
        </w:rPr>
        <w:t>对未中标的投标人不做未中标原因的解释。</w:t>
      </w:r>
    </w:p>
    <w:p w14:paraId="204C1498">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三、签订合同</w:t>
      </w:r>
    </w:p>
    <w:p w14:paraId="07AB2A7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1、中标人应在中标通知书发出之日起三</w:t>
      </w:r>
      <w:r>
        <w:rPr>
          <w:rFonts w:hint="eastAsia" w:ascii="宋体" w:hAnsi="宋体"/>
          <w:color w:val="auto"/>
          <w:sz w:val="24"/>
          <w:szCs w:val="24"/>
          <w:highlight w:val="none"/>
          <w:lang w:eastAsia="zh-CN"/>
        </w:rPr>
        <w:t>十</w:t>
      </w:r>
      <w:r>
        <w:rPr>
          <w:rFonts w:hint="eastAsia" w:ascii="宋体" w:hAnsi="宋体"/>
          <w:color w:val="auto"/>
          <w:sz w:val="24"/>
          <w:szCs w:val="24"/>
          <w:highlight w:val="none"/>
        </w:rPr>
        <w:t>日内（具体时间、地点见中标通知书）与委托人签订合同。招标文件、中标人的投标文件及澄清文件等，均作为合同的附件。</w:t>
      </w:r>
    </w:p>
    <w:p w14:paraId="61F4C618">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2、招标人保留以书面形式要求合同的卖方对其所投服务的地点及服务细则等作适当调整的权利。</w:t>
      </w:r>
    </w:p>
    <w:p w14:paraId="1E26B86B">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四、未尽事宜</w:t>
      </w:r>
    </w:p>
    <w:p w14:paraId="36E3C3AC">
      <w:pPr>
        <w:spacing w:line="360" w:lineRule="auto"/>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按</w:t>
      </w:r>
      <w:r>
        <w:rPr>
          <w:rFonts w:hint="eastAsia" w:ascii="宋体" w:hAnsi="宋体" w:eastAsia="宋体"/>
          <w:bCs/>
          <w:color w:val="auto"/>
          <w:sz w:val="24"/>
          <w:highlight w:val="none"/>
        </w:rPr>
        <w:t>《中华人民共和国招标投标法》</w:t>
      </w:r>
      <w:r>
        <w:rPr>
          <w:rFonts w:hint="eastAsia" w:ascii="宋体" w:hAnsi="宋体" w:eastAsia="宋体"/>
          <w:bCs/>
          <w:color w:val="auto"/>
          <w:sz w:val="24"/>
          <w:highlight w:val="none"/>
          <w:lang w:eastAsia="zh-CN"/>
        </w:rPr>
        <w:t>、</w:t>
      </w:r>
      <w:r>
        <w:rPr>
          <w:rFonts w:hint="eastAsia" w:ascii="宋体" w:hAnsi="宋体"/>
          <w:color w:val="auto"/>
          <w:sz w:val="24"/>
          <w:szCs w:val="24"/>
          <w:highlight w:val="none"/>
        </w:rPr>
        <w:t>《中华人民共和国政府采购法》及其他有关法律法规的规定执行。</w:t>
      </w:r>
    </w:p>
    <w:p w14:paraId="7BCD78BF">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五、解释权</w:t>
      </w:r>
    </w:p>
    <w:p w14:paraId="45708DF6">
      <w:pPr>
        <w:spacing w:line="360" w:lineRule="auto"/>
        <w:ind w:firstLine="480" w:firstLineChars="200"/>
        <w:rPr>
          <w:rFonts w:hint="default" w:ascii="宋体" w:hAnsi="宋体"/>
          <w:bCs/>
          <w:color w:val="auto"/>
          <w:sz w:val="24"/>
          <w:szCs w:val="24"/>
          <w:highlight w:val="none"/>
          <w:lang w:val="en-US"/>
        </w:rPr>
      </w:pPr>
      <w:r>
        <w:rPr>
          <w:rFonts w:hint="eastAsia" w:ascii="宋体" w:hAnsi="宋体"/>
          <w:bCs/>
          <w:color w:val="auto"/>
          <w:sz w:val="24"/>
          <w:szCs w:val="24"/>
          <w:highlight w:val="none"/>
        </w:rPr>
        <w:t>本招标文件的解释权属于</w:t>
      </w:r>
      <w:r>
        <w:rPr>
          <w:rFonts w:hint="eastAsia" w:ascii="宋体" w:hAnsi="宋体"/>
          <w:bCs/>
          <w:color w:val="auto"/>
          <w:sz w:val="24"/>
          <w:szCs w:val="24"/>
          <w:highlight w:val="none"/>
          <w:lang w:val="en-US" w:eastAsia="zh-CN"/>
        </w:rPr>
        <w:t>合肥市包河区乡村振兴投资有限公司。</w:t>
      </w:r>
    </w:p>
    <w:p w14:paraId="09AC05E5">
      <w:pPr>
        <w:rPr>
          <w:rFonts w:hint="eastAsia" w:ascii="宋体" w:hAnsi="宋体" w:eastAsia="宋体"/>
          <w:color w:val="auto"/>
          <w:szCs w:val="36"/>
          <w:highlight w:val="none"/>
        </w:rPr>
      </w:pPr>
      <w:bookmarkStart w:id="42" w:name="_Toc236562395"/>
      <w:bookmarkStart w:id="43" w:name="_Toc328559332"/>
      <w:bookmarkStart w:id="44" w:name="_Toc220232392"/>
      <w:r>
        <w:rPr>
          <w:rFonts w:hint="eastAsia" w:ascii="宋体" w:hAnsi="宋体" w:eastAsia="宋体"/>
          <w:color w:val="auto"/>
          <w:szCs w:val="36"/>
          <w:highlight w:val="none"/>
        </w:rPr>
        <w:br w:type="page"/>
      </w:r>
    </w:p>
    <w:p w14:paraId="30111E23">
      <w:pPr>
        <w:pStyle w:val="3"/>
        <w:keepNext/>
        <w:keepLines/>
        <w:pageBreakBefore/>
        <w:widowControl w:val="0"/>
        <w:kinsoku/>
        <w:wordWrap/>
        <w:overflowPunct/>
        <w:topLinePunct w:val="0"/>
        <w:autoSpaceDE/>
        <w:autoSpaceDN/>
        <w:bidi w:val="0"/>
        <w:adjustRightInd/>
        <w:snapToGrid/>
        <w:spacing w:before="0" w:after="0" w:line="240" w:lineRule="auto"/>
        <w:ind w:firstLine="0"/>
        <w:textAlignment w:val="auto"/>
        <w:outlineLvl w:val="0"/>
        <w:rPr>
          <w:rFonts w:hint="eastAsia" w:ascii="宋体" w:hAnsi="宋体" w:eastAsia="宋体"/>
          <w:color w:val="auto"/>
          <w:szCs w:val="36"/>
        </w:rPr>
      </w:pPr>
      <w:r>
        <w:rPr>
          <w:rFonts w:hint="eastAsia" w:ascii="宋体" w:hAnsi="宋体" w:eastAsia="宋体"/>
          <w:color w:val="auto"/>
          <w:szCs w:val="36"/>
        </w:rPr>
        <w:t>第</w:t>
      </w:r>
      <w:r>
        <w:rPr>
          <w:rFonts w:hint="eastAsia" w:ascii="宋体" w:hAnsi="宋体" w:eastAsia="宋体"/>
          <w:color w:val="auto"/>
          <w:szCs w:val="36"/>
          <w:lang w:eastAsia="zh-CN"/>
        </w:rPr>
        <w:t>六</w:t>
      </w:r>
      <w:r>
        <w:rPr>
          <w:rFonts w:hint="eastAsia" w:ascii="宋体" w:hAnsi="宋体" w:eastAsia="宋体"/>
          <w:color w:val="auto"/>
          <w:szCs w:val="36"/>
        </w:rPr>
        <w:t xml:space="preserve">章 </w:t>
      </w:r>
      <w:r>
        <w:rPr>
          <w:rFonts w:ascii="宋体" w:hAnsi="宋体" w:eastAsia="宋体"/>
          <w:color w:val="auto"/>
          <w:szCs w:val="36"/>
        </w:rPr>
        <w:t>合同</w:t>
      </w:r>
      <w:r>
        <w:rPr>
          <w:rFonts w:hint="eastAsia" w:ascii="宋体" w:hAnsi="宋体" w:eastAsia="宋体"/>
          <w:color w:val="auto"/>
          <w:szCs w:val="36"/>
        </w:rPr>
        <w:t>文本及主要条款</w:t>
      </w:r>
    </w:p>
    <w:p w14:paraId="2D0ECDA3">
      <w:pPr>
        <w:pStyle w:val="96"/>
        <w:numPr>
          <w:ilvl w:val="0"/>
          <w:numId w:val="0"/>
        </w:numPr>
        <w:ind w:firstLine="3120" w:firstLineChars="1300"/>
        <w:jc w:val="both"/>
        <w:outlineLvl w:val="1"/>
        <w:rPr>
          <w:rFonts w:hint="eastAsia" w:ascii="宋体" w:hAnsi="宋体"/>
          <w:b w:val="0"/>
          <w:color w:val="auto"/>
          <w:sz w:val="24"/>
          <w:szCs w:val="24"/>
        </w:rPr>
      </w:pPr>
      <w:bookmarkStart w:id="45" w:name="_Toc460660194"/>
      <w:bookmarkStart w:id="46" w:name="_Toc460227079"/>
      <w:bookmarkStart w:id="47" w:name="_Toc273602352"/>
      <w:bookmarkStart w:id="48" w:name="_Toc245714170"/>
      <w:bookmarkStart w:id="49" w:name="_Toc245028818"/>
      <w:r>
        <w:rPr>
          <w:rFonts w:hint="eastAsia" w:ascii="宋体" w:hAnsi="宋体"/>
          <w:b w:val="0"/>
          <w:color w:val="auto"/>
          <w:sz w:val="24"/>
          <w:szCs w:val="24"/>
        </w:rPr>
        <w:t>第一部分  合同协议书</w:t>
      </w:r>
      <w:bookmarkEnd w:id="45"/>
      <w:bookmarkEnd w:id="46"/>
    </w:p>
    <w:p w14:paraId="21D78B1F">
      <w:pPr>
        <w:pStyle w:val="73"/>
        <w:spacing w:line="360" w:lineRule="auto"/>
        <w:ind w:firstLine="482" w:firstLineChars="200"/>
        <w:rPr>
          <w:rFonts w:hint="eastAsia" w:ascii="宋体" w:hAnsi="宋体"/>
          <w:b/>
          <w:color w:val="auto"/>
          <w:sz w:val="24"/>
          <w:u w:val="single"/>
        </w:rPr>
      </w:pPr>
      <w:r>
        <w:rPr>
          <w:rFonts w:hint="eastAsia" w:ascii="宋体" w:hAnsi="宋体"/>
          <w:b/>
          <w:color w:val="auto"/>
          <w:sz w:val="24"/>
        </w:rPr>
        <w:t>发包人（全称）：</w:t>
      </w:r>
      <w:r>
        <w:rPr>
          <w:rFonts w:hint="eastAsia" w:ascii="宋体" w:hAnsi="宋体"/>
          <w:b/>
          <w:color w:val="auto"/>
          <w:sz w:val="24"/>
          <w:u w:val="single"/>
          <w:lang w:val="en-US" w:eastAsia="zh-CN"/>
        </w:rPr>
        <w:t xml:space="preserve">                                   </w:t>
      </w:r>
      <w:r>
        <w:rPr>
          <w:rFonts w:ascii="宋体" w:hAnsi="宋体" w:cs="宋体"/>
          <w:b/>
          <w:color w:val="auto"/>
          <w:sz w:val="24"/>
          <w:u w:val="single"/>
        </w:rPr>
        <w:t></w:t>
      </w:r>
    </w:p>
    <w:p w14:paraId="232CED4F">
      <w:pPr>
        <w:pStyle w:val="73"/>
        <w:spacing w:line="360" w:lineRule="auto"/>
        <w:ind w:firstLine="482" w:firstLineChars="200"/>
        <w:rPr>
          <w:rFonts w:hint="eastAsia" w:ascii="宋体" w:hAnsi="宋体"/>
          <w:b/>
          <w:color w:val="auto"/>
          <w:sz w:val="24"/>
          <w:u w:val="single"/>
        </w:rPr>
      </w:pPr>
      <w:r>
        <w:rPr>
          <w:rFonts w:hint="eastAsia" w:ascii="宋体" w:hAnsi="宋体"/>
          <w:b/>
          <w:color w:val="auto"/>
          <w:sz w:val="24"/>
        </w:rPr>
        <w:t>承包人（全称）：</w:t>
      </w:r>
      <w:r>
        <w:rPr>
          <w:rFonts w:ascii="宋体" w:hAnsi="宋体" w:cs="宋体"/>
          <w:b/>
          <w:color w:val="auto"/>
          <w:sz w:val="24"/>
          <w:u w:val="single"/>
        </w:rPr>
        <w:t></w:t>
      </w:r>
      <w:r>
        <w:rPr>
          <w:rFonts w:hint="eastAsia" w:ascii="宋体" w:hAnsi="宋体"/>
          <w:b/>
          <w:color w:val="auto"/>
          <w:sz w:val="24"/>
          <w:u w:val="single"/>
        </w:rPr>
        <w:t xml:space="preserve">              </w:t>
      </w:r>
      <w:r>
        <w:rPr>
          <w:rFonts w:ascii="宋体" w:hAnsi="宋体" w:cs="宋体"/>
          <w:b/>
          <w:color w:val="auto"/>
          <w:sz w:val="24"/>
          <w:u w:val="single"/>
        </w:rPr>
        <w:t></w:t>
      </w:r>
      <w:r>
        <w:rPr>
          <w:rFonts w:hint="eastAsia" w:ascii="宋体" w:hAnsi="宋体"/>
          <w:b/>
          <w:color w:val="auto"/>
          <w:sz w:val="24"/>
          <w:u w:val="single"/>
        </w:rPr>
        <w:t xml:space="preserve">      </w:t>
      </w:r>
      <w:r>
        <w:rPr>
          <w:rFonts w:ascii="宋体" w:hAnsi="宋体" w:cs="宋体"/>
          <w:b/>
          <w:color w:val="auto"/>
          <w:sz w:val="24"/>
          <w:u w:val="single"/>
        </w:rPr>
        <w:t></w:t>
      </w:r>
      <w:r>
        <w:rPr>
          <w:rFonts w:hint="eastAsia" w:ascii="宋体" w:hAnsi="宋体"/>
          <w:b/>
          <w:color w:val="auto"/>
          <w:sz w:val="24"/>
          <w:u w:val="single"/>
        </w:rPr>
        <w:t xml:space="preserve">  </w:t>
      </w:r>
      <w:r>
        <w:rPr>
          <w:rFonts w:ascii="宋体" w:hAnsi="宋体" w:cs="宋体"/>
          <w:b/>
          <w:color w:val="auto"/>
          <w:sz w:val="24"/>
          <w:u w:val="single"/>
        </w:rPr>
        <w:t></w:t>
      </w:r>
    </w:p>
    <w:p w14:paraId="1BC1CE96">
      <w:pPr>
        <w:pStyle w:val="73"/>
        <w:spacing w:line="360" w:lineRule="auto"/>
        <w:ind w:firstLine="480" w:firstLineChars="200"/>
        <w:rPr>
          <w:rFonts w:hint="eastAsia" w:ascii="宋体" w:hAnsi="宋体"/>
          <w:color w:val="auto"/>
          <w:sz w:val="24"/>
        </w:rPr>
      </w:pPr>
      <w:r>
        <w:rPr>
          <w:rFonts w:hint="eastAsia" w:ascii="宋体" w:hAnsi="宋体"/>
          <w:color w:val="auto"/>
          <w:sz w:val="24"/>
        </w:rPr>
        <w:t>根据《中华人民共和国合同法》、《中华人民共和国建筑法》及有关法律规定，遵循平等、自愿、公平和诚实信用的原则，双方就</w:t>
      </w:r>
      <w:r>
        <w:rPr>
          <w:rFonts w:hint="eastAsia" w:ascii="宋体" w:hAnsi="宋体"/>
          <w:color w:val="auto"/>
          <w:sz w:val="24"/>
          <w:u w:val="single"/>
          <w:lang w:val="en-US" w:eastAsia="zh-CN"/>
        </w:rPr>
        <w:t xml:space="preserve">                       </w:t>
      </w:r>
      <w:r>
        <w:rPr>
          <w:rFonts w:hint="eastAsia" w:ascii="宋体" w:hAnsi="宋体"/>
          <w:color w:val="auto"/>
          <w:sz w:val="24"/>
        </w:rPr>
        <w:t>工程施工及有关事项协商一致，共同达成如下协议：</w:t>
      </w:r>
    </w:p>
    <w:p w14:paraId="11D2AB14">
      <w:pPr>
        <w:pStyle w:val="73"/>
        <w:spacing w:line="360" w:lineRule="auto"/>
        <w:ind w:firstLine="480" w:firstLineChars="200"/>
        <w:outlineLvl w:val="2"/>
        <w:rPr>
          <w:rFonts w:hint="eastAsia" w:ascii="宋体" w:hAnsi="宋体"/>
          <w:b/>
          <w:color w:val="auto"/>
          <w:sz w:val="24"/>
        </w:rPr>
      </w:pPr>
      <w:bookmarkStart w:id="50" w:name="_Toc351203481"/>
      <w:r>
        <w:rPr>
          <w:rFonts w:hint="eastAsia" w:ascii="宋体" w:hAnsi="宋体"/>
          <w:bCs/>
          <w:color w:val="auto"/>
          <w:sz w:val="24"/>
        </w:rPr>
        <w:t>一、工程概况</w:t>
      </w:r>
      <w:bookmarkEnd w:id="50"/>
    </w:p>
    <w:p w14:paraId="006D346D">
      <w:pPr>
        <w:pStyle w:val="73"/>
        <w:spacing w:line="360" w:lineRule="auto"/>
        <w:ind w:firstLine="480" w:firstLineChars="200"/>
        <w:rPr>
          <w:rFonts w:hint="eastAsia" w:ascii="宋体" w:hAnsi="宋体"/>
          <w:color w:val="auto"/>
          <w:sz w:val="24"/>
          <w:u w:val="single"/>
        </w:rPr>
      </w:pPr>
      <w:r>
        <w:rPr>
          <w:rFonts w:hint="eastAsia" w:ascii="宋体" w:hAnsi="宋体"/>
          <w:bCs/>
          <w:color w:val="auto"/>
          <w:sz w:val="24"/>
        </w:rPr>
        <w:t>1.工程名称</w:t>
      </w:r>
      <w:r>
        <w:rPr>
          <w:rFonts w:hint="eastAsia" w:ascii="宋体" w:hAnsi="宋体"/>
          <w:color w:val="auto"/>
          <w:sz w:val="24"/>
        </w:rPr>
        <w:t>：</w:t>
      </w:r>
      <w:r>
        <w:rPr>
          <w:rFonts w:hint="eastAsia" w:ascii="宋体" w:hAnsi="宋体" w:cs="宋体"/>
          <w:color w:val="auto"/>
          <w:sz w:val="24"/>
          <w:u w:val="single"/>
          <w:lang w:val="en-US" w:eastAsia="zh-CN"/>
        </w:rPr>
        <w:t xml:space="preserve">                        </w:t>
      </w:r>
      <w:r>
        <w:rPr>
          <w:rFonts w:hint="eastAsia" w:ascii="宋体" w:hAnsi="宋体"/>
          <w:color w:val="auto"/>
          <w:sz w:val="24"/>
        </w:rPr>
        <w:t>。</w:t>
      </w:r>
    </w:p>
    <w:p w14:paraId="25E75154">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2.工程地点：</w:t>
      </w:r>
      <w:r>
        <w:rPr>
          <w:rFonts w:hint="eastAsia" w:ascii="宋体" w:hAnsi="宋体"/>
          <w:bCs/>
          <w:color w:val="auto"/>
          <w:sz w:val="24"/>
          <w:u w:val="single"/>
          <w:lang w:val="en-US" w:eastAsia="zh-CN"/>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w:t>
      </w:r>
    </w:p>
    <w:p w14:paraId="4A7B58D8">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3.工程立项批准文号：</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bCs/>
          <w:color w:val="auto"/>
          <w:sz w:val="24"/>
        </w:rPr>
        <w:t>。</w:t>
      </w:r>
    </w:p>
    <w:p w14:paraId="5FB061B8">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4.资金来源：</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bCs/>
          <w:color w:val="auto"/>
          <w:sz w:val="24"/>
        </w:rPr>
        <w:t>。</w:t>
      </w:r>
    </w:p>
    <w:p w14:paraId="2ED3EA22">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5.工程内容：</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bCs/>
          <w:color w:val="auto"/>
          <w:sz w:val="24"/>
        </w:rPr>
        <w:t>。</w:t>
      </w:r>
    </w:p>
    <w:p w14:paraId="2F6EFA4A">
      <w:pPr>
        <w:pStyle w:val="73"/>
        <w:spacing w:line="360" w:lineRule="auto"/>
        <w:ind w:firstLine="480" w:firstLineChars="200"/>
        <w:rPr>
          <w:rFonts w:hint="eastAsia" w:ascii="宋体" w:hAnsi="宋体"/>
          <w:bCs/>
          <w:color w:val="auto"/>
          <w:sz w:val="24"/>
        </w:rPr>
      </w:pPr>
      <w:r>
        <w:rPr>
          <w:rFonts w:hint="eastAsia" w:ascii="宋体" w:hAnsi="宋体"/>
          <w:color w:val="auto"/>
          <w:sz w:val="24"/>
        </w:rPr>
        <w:t>群体工程应附《承包人承揽工程项目一览表》（附件1）。</w:t>
      </w:r>
    </w:p>
    <w:p w14:paraId="16D02D14">
      <w:pPr>
        <w:pStyle w:val="73"/>
        <w:spacing w:line="360" w:lineRule="auto"/>
        <w:ind w:firstLine="480" w:firstLineChars="200"/>
        <w:outlineLvl w:val="3"/>
        <w:rPr>
          <w:rFonts w:hint="eastAsia" w:ascii="宋体" w:hAnsi="宋体"/>
          <w:color w:val="auto"/>
          <w:sz w:val="24"/>
        </w:rPr>
      </w:pPr>
      <w:r>
        <w:rPr>
          <w:rFonts w:hint="eastAsia" w:ascii="宋体" w:hAnsi="宋体"/>
          <w:bCs/>
          <w:color w:val="auto"/>
          <w:sz w:val="24"/>
        </w:rPr>
        <w:t>6.工程承包范围：</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p>
    <w:p w14:paraId="4ABB9DAE">
      <w:pPr>
        <w:pStyle w:val="73"/>
        <w:spacing w:line="360" w:lineRule="auto"/>
        <w:ind w:firstLine="480" w:firstLineChars="200"/>
        <w:outlineLvl w:val="2"/>
        <w:rPr>
          <w:rFonts w:hint="eastAsia" w:ascii="宋体" w:hAnsi="宋体"/>
          <w:bCs/>
          <w:color w:val="auto"/>
          <w:sz w:val="24"/>
        </w:rPr>
      </w:pPr>
      <w:bookmarkStart w:id="51" w:name="_Toc351203482"/>
      <w:r>
        <w:rPr>
          <w:rFonts w:hint="eastAsia" w:ascii="宋体" w:hAnsi="宋体"/>
          <w:bCs/>
          <w:color w:val="auto"/>
          <w:sz w:val="24"/>
        </w:rPr>
        <w:t>二、合同工期</w:t>
      </w:r>
      <w:bookmarkEnd w:id="51"/>
    </w:p>
    <w:p w14:paraId="0A8044BD">
      <w:pPr>
        <w:pStyle w:val="73"/>
        <w:spacing w:line="360" w:lineRule="auto"/>
        <w:ind w:firstLine="480" w:firstLineChars="200"/>
        <w:rPr>
          <w:rFonts w:hint="eastAsia" w:ascii="宋体" w:hAnsi="宋体"/>
          <w:color w:val="auto"/>
          <w:sz w:val="24"/>
        </w:rPr>
      </w:pPr>
      <w:r>
        <w:rPr>
          <w:rFonts w:hint="eastAsia" w:ascii="宋体" w:hAnsi="宋体"/>
          <w:color w:val="auto"/>
          <w:sz w:val="24"/>
        </w:rPr>
        <w:t>计划开工日期：</w:t>
      </w:r>
      <w:r>
        <w:rPr>
          <w:rFonts w:ascii="宋体" w:hAnsi="宋体" w:cs="宋体"/>
          <w:color w:val="auto"/>
          <w:sz w:val="24"/>
          <w:u w:val="single"/>
        </w:rPr>
        <w:t></w:t>
      </w:r>
      <w:r>
        <w:rPr>
          <w:rFonts w:hint="eastAsia" w:ascii="宋体" w:hAnsi="宋体"/>
          <w:color w:val="auto"/>
          <w:sz w:val="24"/>
        </w:rPr>
        <w:t>年</w:t>
      </w:r>
      <w:r>
        <w:rPr>
          <w:rFonts w:ascii="宋体" w:hAnsi="宋体" w:cs="宋体"/>
          <w:color w:val="auto"/>
          <w:sz w:val="24"/>
          <w:u w:val="single"/>
        </w:rPr>
        <w:t></w:t>
      </w:r>
      <w:r>
        <w:rPr>
          <w:rFonts w:hint="eastAsia" w:ascii="宋体" w:hAnsi="宋体"/>
          <w:color w:val="auto"/>
          <w:sz w:val="24"/>
        </w:rPr>
        <w:t>月</w:t>
      </w:r>
      <w:r>
        <w:rPr>
          <w:rFonts w:ascii="宋体" w:hAnsi="宋体" w:cs="宋体"/>
          <w:color w:val="auto"/>
          <w:sz w:val="24"/>
          <w:u w:val="single"/>
        </w:rPr>
        <w:t></w:t>
      </w:r>
      <w:r>
        <w:rPr>
          <w:rFonts w:hint="eastAsia" w:ascii="宋体" w:hAnsi="宋体"/>
          <w:color w:val="auto"/>
          <w:sz w:val="24"/>
        </w:rPr>
        <w:t>日。</w:t>
      </w:r>
    </w:p>
    <w:p w14:paraId="59C6BC2B">
      <w:pPr>
        <w:pStyle w:val="73"/>
        <w:spacing w:line="360" w:lineRule="auto"/>
        <w:ind w:firstLine="480" w:firstLineChars="200"/>
        <w:rPr>
          <w:rFonts w:hint="eastAsia" w:ascii="宋体" w:hAnsi="宋体"/>
          <w:color w:val="auto"/>
          <w:sz w:val="24"/>
        </w:rPr>
      </w:pPr>
      <w:r>
        <w:rPr>
          <w:rFonts w:hint="eastAsia" w:ascii="宋体" w:hAnsi="宋体"/>
          <w:color w:val="auto"/>
          <w:sz w:val="24"/>
        </w:rPr>
        <w:t>计划竣工日期：</w:t>
      </w:r>
      <w:r>
        <w:rPr>
          <w:rFonts w:ascii="宋体" w:hAnsi="宋体" w:cs="宋体"/>
          <w:color w:val="auto"/>
          <w:sz w:val="24"/>
          <w:u w:val="single"/>
        </w:rPr>
        <w:t></w:t>
      </w:r>
      <w:r>
        <w:rPr>
          <w:rFonts w:hint="eastAsia" w:ascii="宋体" w:hAnsi="宋体"/>
          <w:color w:val="auto"/>
          <w:sz w:val="24"/>
        </w:rPr>
        <w:t>年</w:t>
      </w:r>
      <w:r>
        <w:rPr>
          <w:rFonts w:ascii="宋体" w:hAnsi="宋体" w:cs="宋体"/>
          <w:color w:val="auto"/>
          <w:sz w:val="24"/>
          <w:u w:val="single"/>
        </w:rPr>
        <w:t></w:t>
      </w:r>
      <w:r>
        <w:rPr>
          <w:rFonts w:hint="eastAsia" w:ascii="宋体" w:hAnsi="宋体"/>
          <w:color w:val="auto"/>
          <w:sz w:val="24"/>
        </w:rPr>
        <w:t>月</w:t>
      </w:r>
      <w:r>
        <w:rPr>
          <w:rFonts w:ascii="宋体" w:hAnsi="宋体" w:cs="宋体"/>
          <w:color w:val="auto"/>
          <w:sz w:val="24"/>
          <w:u w:val="single"/>
        </w:rPr>
        <w:t></w:t>
      </w:r>
      <w:r>
        <w:rPr>
          <w:rFonts w:hint="eastAsia" w:ascii="宋体" w:hAnsi="宋体"/>
          <w:color w:val="auto"/>
          <w:sz w:val="24"/>
        </w:rPr>
        <w:t>日。</w:t>
      </w:r>
    </w:p>
    <w:p w14:paraId="30EA3D1D">
      <w:pPr>
        <w:pStyle w:val="73"/>
        <w:spacing w:line="360" w:lineRule="auto"/>
        <w:ind w:firstLine="480" w:firstLineChars="200"/>
        <w:rPr>
          <w:rFonts w:hint="eastAsia" w:ascii="宋体" w:hAnsi="宋体"/>
          <w:color w:val="auto"/>
          <w:sz w:val="24"/>
        </w:rPr>
      </w:pPr>
      <w:r>
        <w:rPr>
          <w:rFonts w:hint="eastAsia" w:ascii="宋体" w:hAnsi="宋体"/>
          <w:color w:val="auto"/>
          <w:sz w:val="24"/>
        </w:rPr>
        <w:t>工期总日历天数：</w:t>
      </w:r>
      <w:r>
        <w:rPr>
          <w:rFonts w:ascii="宋体" w:hAnsi="宋体" w:cs="宋体"/>
          <w:color w:val="auto"/>
          <w:sz w:val="24"/>
          <w:u w:val="single"/>
        </w:rPr>
        <w:t></w:t>
      </w:r>
      <w:r>
        <w:rPr>
          <w:rFonts w:hint="eastAsia" w:ascii="宋体" w:hAnsi="宋体"/>
          <w:color w:val="auto"/>
          <w:sz w:val="24"/>
        </w:rPr>
        <w:t>天。</w:t>
      </w:r>
    </w:p>
    <w:p w14:paraId="0D9459A3">
      <w:pPr>
        <w:pStyle w:val="73"/>
        <w:spacing w:line="360" w:lineRule="auto"/>
        <w:ind w:firstLine="480" w:firstLineChars="200"/>
        <w:rPr>
          <w:rFonts w:hint="eastAsia" w:ascii="宋体" w:hAnsi="宋体"/>
          <w:color w:val="auto"/>
          <w:sz w:val="24"/>
        </w:rPr>
      </w:pPr>
      <w:r>
        <w:rPr>
          <w:rFonts w:hint="eastAsia" w:ascii="宋体" w:hAnsi="宋体"/>
          <w:color w:val="auto"/>
          <w:sz w:val="24"/>
        </w:rPr>
        <w:t>工期总日历天数与根据前述计划开竣工日期计算的工期天数不一致的，以工期总日历天数为准。</w:t>
      </w:r>
    </w:p>
    <w:p w14:paraId="459CE7FC">
      <w:pPr>
        <w:pStyle w:val="73"/>
        <w:spacing w:line="360" w:lineRule="auto"/>
        <w:ind w:firstLine="480" w:firstLineChars="200"/>
        <w:outlineLvl w:val="2"/>
        <w:rPr>
          <w:rFonts w:hint="eastAsia" w:ascii="宋体" w:hAnsi="宋体"/>
          <w:b/>
          <w:color w:val="auto"/>
          <w:sz w:val="24"/>
        </w:rPr>
      </w:pPr>
      <w:bookmarkStart w:id="52" w:name="_Toc351203483"/>
      <w:r>
        <w:rPr>
          <w:rFonts w:hint="eastAsia" w:ascii="宋体" w:hAnsi="宋体"/>
          <w:bCs/>
          <w:color w:val="auto"/>
          <w:sz w:val="24"/>
        </w:rPr>
        <w:t>三、质量标准</w:t>
      </w:r>
      <w:bookmarkEnd w:id="52"/>
    </w:p>
    <w:p w14:paraId="6B80CD32">
      <w:pPr>
        <w:pStyle w:val="73"/>
        <w:spacing w:line="360" w:lineRule="auto"/>
        <w:ind w:firstLine="480" w:firstLineChars="200"/>
        <w:rPr>
          <w:rFonts w:hint="eastAsia" w:ascii="宋体" w:hAnsi="宋体"/>
          <w:color w:val="auto"/>
          <w:sz w:val="24"/>
        </w:rPr>
      </w:pPr>
      <w:r>
        <w:rPr>
          <w:rFonts w:hint="eastAsia" w:ascii="宋体" w:hAnsi="宋体"/>
          <w:color w:val="auto"/>
          <w:sz w:val="24"/>
        </w:rPr>
        <w:t>工程质量符合</w:t>
      </w:r>
      <w:r>
        <w:rPr>
          <w:rFonts w:ascii="宋体" w:hAnsi="宋体" w:cs="宋体"/>
          <w:color w:val="auto"/>
          <w:sz w:val="24"/>
          <w:u w:val="single"/>
        </w:rPr>
        <w:t></w:t>
      </w:r>
      <w:r>
        <w:rPr>
          <w:rFonts w:hint="eastAsia" w:ascii="宋体" w:hAnsi="宋体"/>
          <w:color w:val="auto"/>
          <w:sz w:val="24"/>
        </w:rPr>
        <w:t>标准。</w:t>
      </w:r>
    </w:p>
    <w:p w14:paraId="6E96D062">
      <w:pPr>
        <w:pStyle w:val="73"/>
        <w:spacing w:line="360" w:lineRule="auto"/>
        <w:ind w:firstLine="480" w:firstLineChars="200"/>
        <w:outlineLvl w:val="2"/>
        <w:rPr>
          <w:rFonts w:hint="eastAsia" w:ascii="宋体" w:hAnsi="宋体"/>
          <w:b/>
          <w:color w:val="auto"/>
          <w:sz w:val="24"/>
        </w:rPr>
      </w:pPr>
      <w:bookmarkStart w:id="53" w:name="_Toc351203484"/>
      <w:r>
        <w:rPr>
          <w:rFonts w:hint="eastAsia" w:ascii="宋体" w:hAnsi="宋体"/>
          <w:bCs/>
          <w:color w:val="auto"/>
          <w:sz w:val="24"/>
        </w:rPr>
        <w:t>四、签约合同价与合同价格形式</w:t>
      </w:r>
      <w:bookmarkEnd w:id="53"/>
    </w:p>
    <w:p w14:paraId="5033B0B5">
      <w:pPr>
        <w:pStyle w:val="73"/>
        <w:spacing w:line="360" w:lineRule="auto"/>
        <w:ind w:firstLine="480" w:firstLineChars="200"/>
        <w:outlineLvl w:val="3"/>
        <w:rPr>
          <w:rFonts w:hint="eastAsia" w:ascii="宋体" w:hAnsi="宋体"/>
          <w:color w:val="auto"/>
          <w:sz w:val="24"/>
        </w:rPr>
      </w:pPr>
      <w:r>
        <w:rPr>
          <w:rFonts w:hint="eastAsia" w:ascii="宋体" w:hAnsi="宋体"/>
          <w:color w:val="auto"/>
          <w:sz w:val="24"/>
        </w:rPr>
        <w:t>1.签约合同价为：</w:t>
      </w:r>
    </w:p>
    <w:p w14:paraId="1447A2DC">
      <w:pPr>
        <w:pStyle w:val="73"/>
        <w:spacing w:line="360" w:lineRule="auto"/>
        <w:ind w:firstLine="480" w:firstLineChars="200"/>
        <w:rPr>
          <w:rFonts w:hint="eastAsia" w:ascii="宋体" w:hAnsi="宋体"/>
          <w:color w:val="auto"/>
          <w:sz w:val="24"/>
        </w:rPr>
      </w:pPr>
      <w:r>
        <w:rPr>
          <w:rFonts w:hint="eastAsia" w:ascii="宋体" w:hAnsi="宋体"/>
          <w:color w:val="auto"/>
          <w:sz w:val="24"/>
        </w:rPr>
        <w:t>人民币（大写）</w:t>
      </w:r>
      <w:r>
        <w:rPr>
          <w:rFonts w:hint="eastAsia" w:ascii="宋体" w:hAnsi="宋体"/>
          <w:color w:val="auto"/>
          <w:sz w:val="24"/>
          <w:u w:val="single"/>
        </w:rPr>
        <w:t xml:space="preserve">                 </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color w:val="auto"/>
          <w:sz w:val="24"/>
        </w:rPr>
        <w:t>元)；</w:t>
      </w:r>
    </w:p>
    <w:p w14:paraId="46C42F0F">
      <w:pPr>
        <w:pStyle w:val="73"/>
        <w:spacing w:line="360" w:lineRule="auto"/>
        <w:ind w:firstLine="480" w:firstLineChars="200"/>
        <w:rPr>
          <w:rFonts w:hint="eastAsia" w:ascii="宋体" w:hAnsi="宋体"/>
          <w:color w:val="auto"/>
          <w:sz w:val="24"/>
        </w:rPr>
      </w:pPr>
      <w:r>
        <w:rPr>
          <w:rFonts w:hint="eastAsia" w:ascii="宋体" w:hAnsi="宋体"/>
          <w:color w:val="auto"/>
          <w:sz w:val="24"/>
        </w:rPr>
        <w:t>其中：</w:t>
      </w:r>
    </w:p>
    <w:p w14:paraId="2102EF4A">
      <w:pPr>
        <w:pStyle w:val="73"/>
        <w:spacing w:line="360" w:lineRule="auto"/>
        <w:ind w:firstLine="480" w:firstLineChars="200"/>
        <w:outlineLvl w:val="4"/>
        <w:rPr>
          <w:rFonts w:hint="eastAsia" w:ascii="宋体" w:hAnsi="宋体"/>
          <w:color w:val="auto"/>
          <w:sz w:val="24"/>
        </w:rPr>
      </w:pPr>
      <w:r>
        <w:rPr>
          <w:rFonts w:hint="eastAsia" w:ascii="宋体" w:hAnsi="宋体"/>
          <w:color w:val="auto"/>
          <w:sz w:val="24"/>
        </w:rPr>
        <w:t>（1）安全文明施工费：</w:t>
      </w:r>
    </w:p>
    <w:p w14:paraId="6AD31D1D">
      <w:pPr>
        <w:pStyle w:val="73"/>
        <w:spacing w:line="360" w:lineRule="auto"/>
        <w:ind w:firstLine="480" w:firstLineChars="200"/>
        <w:rPr>
          <w:rFonts w:hint="eastAsia" w:ascii="宋体" w:hAnsi="宋体"/>
          <w:color w:val="auto"/>
          <w:sz w:val="24"/>
        </w:rPr>
      </w:pPr>
      <w:r>
        <w:rPr>
          <w:rFonts w:hint="eastAsia" w:ascii="宋体" w:hAnsi="宋体"/>
          <w:color w:val="auto"/>
          <w:sz w:val="24"/>
        </w:rPr>
        <w:t>人民币（大写）</w:t>
      </w:r>
      <w:r>
        <w:rPr>
          <w:rFonts w:hint="eastAsia" w:ascii="宋体" w:hAnsi="宋体"/>
          <w:color w:val="auto"/>
          <w:sz w:val="24"/>
          <w:u w:val="single"/>
        </w:rPr>
        <w:t xml:space="preserve">              </w:t>
      </w: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元)；</w:t>
      </w:r>
    </w:p>
    <w:p w14:paraId="5FF969D8">
      <w:pPr>
        <w:pStyle w:val="73"/>
        <w:spacing w:line="360" w:lineRule="auto"/>
        <w:ind w:firstLine="480" w:firstLineChars="200"/>
        <w:outlineLvl w:val="4"/>
        <w:rPr>
          <w:rFonts w:hint="eastAsia" w:ascii="宋体" w:hAnsi="宋体"/>
          <w:color w:val="auto"/>
          <w:sz w:val="24"/>
        </w:rPr>
      </w:pPr>
      <w:r>
        <w:rPr>
          <w:rFonts w:hint="eastAsia" w:ascii="宋体" w:hAnsi="宋体"/>
          <w:color w:val="auto"/>
          <w:sz w:val="24"/>
        </w:rPr>
        <w:t>（2）材料和工程设备暂估价金额：</w:t>
      </w:r>
    </w:p>
    <w:p w14:paraId="48DE00F8">
      <w:pPr>
        <w:pStyle w:val="73"/>
        <w:spacing w:line="360" w:lineRule="auto"/>
        <w:ind w:firstLine="480" w:firstLineChars="200"/>
        <w:rPr>
          <w:rFonts w:hint="eastAsia" w:ascii="宋体" w:hAnsi="宋体"/>
          <w:color w:val="auto"/>
          <w:sz w:val="24"/>
        </w:rPr>
      </w:pPr>
      <w:r>
        <w:rPr>
          <w:rFonts w:hint="eastAsia" w:ascii="宋体" w:hAnsi="宋体"/>
          <w:color w:val="auto"/>
          <w:sz w:val="24"/>
        </w:rPr>
        <w:t>人民币（大写）</w:t>
      </w:r>
      <w:r>
        <w:rPr>
          <w:rFonts w:hint="eastAsia" w:ascii="宋体" w:hAnsi="宋体"/>
          <w:color w:val="auto"/>
          <w:sz w:val="24"/>
          <w:u w:val="single"/>
        </w:rPr>
        <w:t xml:space="preserve">              </w:t>
      </w: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元)；</w:t>
      </w:r>
    </w:p>
    <w:p w14:paraId="0D204931">
      <w:pPr>
        <w:pStyle w:val="73"/>
        <w:spacing w:line="360" w:lineRule="auto"/>
        <w:ind w:firstLine="480" w:firstLineChars="200"/>
        <w:outlineLvl w:val="4"/>
        <w:rPr>
          <w:rFonts w:hint="eastAsia" w:ascii="宋体" w:hAnsi="宋体"/>
          <w:color w:val="auto"/>
          <w:sz w:val="24"/>
        </w:rPr>
      </w:pPr>
      <w:r>
        <w:rPr>
          <w:rFonts w:hint="eastAsia" w:ascii="宋体" w:hAnsi="宋体"/>
          <w:color w:val="auto"/>
          <w:sz w:val="24"/>
        </w:rPr>
        <w:t>（3）专业工程暂估价金额：</w:t>
      </w:r>
    </w:p>
    <w:p w14:paraId="72D5FAC0">
      <w:pPr>
        <w:pStyle w:val="73"/>
        <w:spacing w:line="360" w:lineRule="auto"/>
        <w:ind w:firstLine="480" w:firstLineChars="200"/>
        <w:rPr>
          <w:rFonts w:hint="eastAsia" w:ascii="宋体" w:hAnsi="宋体"/>
          <w:color w:val="auto"/>
          <w:sz w:val="24"/>
        </w:rPr>
      </w:pPr>
      <w:r>
        <w:rPr>
          <w:rFonts w:hint="eastAsia" w:ascii="宋体" w:hAnsi="宋体"/>
          <w:color w:val="auto"/>
          <w:sz w:val="24"/>
        </w:rPr>
        <w:t>人民币（大写）</w:t>
      </w:r>
      <w:r>
        <w:rPr>
          <w:rFonts w:hint="eastAsia" w:ascii="宋体" w:hAnsi="宋体"/>
          <w:color w:val="auto"/>
          <w:sz w:val="24"/>
          <w:u w:val="single"/>
        </w:rPr>
        <w:t xml:space="preserve">              </w:t>
      </w: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元)；</w:t>
      </w:r>
    </w:p>
    <w:p w14:paraId="0A1974D9">
      <w:pPr>
        <w:pStyle w:val="73"/>
        <w:spacing w:line="360" w:lineRule="auto"/>
        <w:ind w:firstLine="480" w:firstLineChars="200"/>
        <w:outlineLvl w:val="4"/>
        <w:rPr>
          <w:rFonts w:hint="eastAsia" w:ascii="宋体" w:hAnsi="宋体"/>
          <w:color w:val="auto"/>
          <w:sz w:val="24"/>
        </w:rPr>
      </w:pPr>
      <w:r>
        <w:rPr>
          <w:rFonts w:hint="eastAsia" w:ascii="宋体" w:hAnsi="宋体"/>
          <w:color w:val="auto"/>
          <w:sz w:val="24"/>
        </w:rPr>
        <w:t>（4）暂列金额：</w:t>
      </w:r>
    </w:p>
    <w:p w14:paraId="3C6440CD">
      <w:pPr>
        <w:pStyle w:val="73"/>
        <w:spacing w:line="360" w:lineRule="auto"/>
        <w:ind w:firstLine="480" w:firstLineChars="200"/>
        <w:rPr>
          <w:rFonts w:hint="eastAsia" w:ascii="宋体" w:hAnsi="宋体"/>
          <w:color w:val="auto"/>
          <w:sz w:val="24"/>
        </w:rPr>
      </w:pPr>
      <w:r>
        <w:rPr>
          <w:rFonts w:hint="eastAsia" w:ascii="宋体" w:hAnsi="宋体"/>
          <w:color w:val="auto"/>
          <w:sz w:val="24"/>
        </w:rPr>
        <w:t>人民币（大写）</w:t>
      </w:r>
      <w:r>
        <w:rPr>
          <w:rFonts w:hint="eastAsia" w:ascii="宋体" w:hAnsi="宋体"/>
          <w:color w:val="auto"/>
          <w:sz w:val="24"/>
          <w:u w:val="single"/>
        </w:rPr>
        <w:t xml:space="preserve">              </w:t>
      </w: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元)。</w:t>
      </w:r>
    </w:p>
    <w:p w14:paraId="7B3ED3EE">
      <w:pPr>
        <w:pStyle w:val="73"/>
        <w:spacing w:line="360" w:lineRule="auto"/>
        <w:ind w:firstLine="480" w:firstLineChars="200"/>
        <w:outlineLvl w:val="3"/>
        <w:rPr>
          <w:rFonts w:hint="eastAsia" w:ascii="宋体" w:hAnsi="宋体"/>
          <w:color w:val="auto"/>
          <w:sz w:val="24"/>
        </w:rPr>
      </w:pPr>
      <w:r>
        <w:rPr>
          <w:rFonts w:hint="eastAsia" w:ascii="宋体" w:hAnsi="宋体"/>
          <w:color w:val="auto"/>
          <w:sz w:val="24"/>
        </w:rPr>
        <w:t>2.合同价格形式：</w:t>
      </w:r>
      <w:r>
        <w:rPr>
          <w:rFonts w:ascii="宋体" w:hAnsi="宋体" w:cs="宋体"/>
          <w:b/>
          <w:color w:val="auto"/>
          <w:sz w:val="24"/>
          <w:u w:val="single"/>
        </w:rPr>
        <w:t></w:t>
      </w:r>
      <w:r>
        <w:rPr>
          <w:rFonts w:hint="eastAsia" w:ascii="宋体" w:hAnsi="宋体"/>
          <w:b/>
          <w:color w:val="auto"/>
          <w:sz w:val="24"/>
          <w:u w:val="single"/>
        </w:rPr>
        <w:t xml:space="preserve">总价合同       </w:t>
      </w:r>
      <w:r>
        <w:rPr>
          <w:rFonts w:ascii="宋体" w:hAnsi="宋体" w:cs="宋体"/>
          <w:b/>
          <w:color w:val="auto"/>
          <w:sz w:val="24"/>
          <w:u w:val="single"/>
        </w:rPr>
        <w:t></w:t>
      </w:r>
      <w:r>
        <w:rPr>
          <w:rFonts w:hint="eastAsia" w:ascii="宋体" w:hAnsi="宋体"/>
          <w:color w:val="auto"/>
          <w:sz w:val="24"/>
        </w:rPr>
        <w:t>。</w:t>
      </w:r>
    </w:p>
    <w:p w14:paraId="199C6586">
      <w:pPr>
        <w:pStyle w:val="73"/>
        <w:spacing w:line="360" w:lineRule="auto"/>
        <w:ind w:firstLine="480" w:firstLineChars="200"/>
        <w:outlineLvl w:val="2"/>
        <w:rPr>
          <w:rFonts w:hint="eastAsia" w:ascii="宋体" w:hAnsi="宋体"/>
          <w:bCs/>
          <w:color w:val="auto"/>
          <w:sz w:val="24"/>
        </w:rPr>
      </w:pPr>
      <w:bookmarkStart w:id="54" w:name="_Toc351203485"/>
      <w:r>
        <w:rPr>
          <w:rFonts w:hint="eastAsia" w:ascii="宋体" w:hAnsi="宋体"/>
          <w:bCs/>
          <w:color w:val="auto"/>
          <w:sz w:val="24"/>
        </w:rPr>
        <w:t>五、</w:t>
      </w:r>
      <w:bookmarkEnd w:id="54"/>
      <w:r>
        <w:rPr>
          <w:rFonts w:hint="eastAsia" w:ascii="宋体" w:hAnsi="宋体"/>
          <w:bCs/>
          <w:color w:val="auto"/>
          <w:sz w:val="24"/>
        </w:rPr>
        <w:t>项目经理</w:t>
      </w:r>
    </w:p>
    <w:p w14:paraId="4DA9D49E">
      <w:pPr>
        <w:pStyle w:val="73"/>
        <w:spacing w:line="360" w:lineRule="auto"/>
        <w:ind w:firstLine="480" w:firstLineChars="200"/>
        <w:rPr>
          <w:rFonts w:hint="eastAsia" w:ascii="宋体" w:hAnsi="宋体"/>
          <w:color w:val="auto"/>
          <w:sz w:val="24"/>
        </w:rPr>
      </w:pPr>
      <w:r>
        <w:rPr>
          <w:rFonts w:hint="eastAsia" w:ascii="宋体" w:hAnsi="宋体"/>
          <w:color w:val="auto"/>
          <w:sz w:val="24"/>
        </w:rPr>
        <w:t>承包人项目经理：</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rPr>
        <w:t>。</w:t>
      </w:r>
    </w:p>
    <w:p w14:paraId="19A4EF26">
      <w:pPr>
        <w:pStyle w:val="73"/>
        <w:spacing w:line="360" w:lineRule="auto"/>
        <w:ind w:firstLine="480" w:firstLineChars="200"/>
        <w:outlineLvl w:val="2"/>
        <w:rPr>
          <w:rFonts w:hint="eastAsia" w:ascii="宋体" w:hAnsi="宋体"/>
          <w:b/>
          <w:color w:val="auto"/>
          <w:sz w:val="24"/>
        </w:rPr>
      </w:pPr>
      <w:bookmarkStart w:id="55" w:name="_Toc351203486"/>
      <w:r>
        <w:rPr>
          <w:rFonts w:hint="eastAsia" w:ascii="宋体" w:hAnsi="宋体"/>
          <w:bCs/>
          <w:color w:val="auto"/>
          <w:sz w:val="24"/>
        </w:rPr>
        <w:t>六、合同文件构成</w:t>
      </w:r>
      <w:bookmarkEnd w:id="55"/>
    </w:p>
    <w:p w14:paraId="6385AA53">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本协议书与下列文件一起构成合同文件：</w:t>
      </w:r>
    </w:p>
    <w:p w14:paraId="127A7169">
      <w:pPr>
        <w:pStyle w:val="73"/>
        <w:spacing w:line="360" w:lineRule="auto"/>
        <w:ind w:firstLine="480" w:firstLineChars="200"/>
        <w:rPr>
          <w:rFonts w:hint="eastAsia" w:ascii="宋体" w:hAnsi="宋体"/>
          <w:color w:val="auto"/>
          <w:sz w:val="24"/>
        </w:rPr>
      </w:pPr>
      <w:r>
        <w:rPr>
          <w:rFonts w:hint="eastAsia" w:ascii="宋体" w:hAnsi="宋体"/>
          <w:color w:val="auto"/>
          <w:sz w:val="24"/>
        </w:rPr>
        <w:t>（1）中标通知书（如果有）；</w:t>
      </w:r>
    </w:p>
    <w:p w14:paraId="4D963A48">
      <w:pPr>
        <w:pStyle w:val="73"/>
        <w:spacing w:line="360" w:lineRule="auto"/>
        <w:ind w:firstLine="480" w:firstLineChars="200"/>
        <w:rPr>
          <w:rFonts w:hint="eastAsia" w:ascii="宋体" w:hAnsi="宋体"/>
          <w:color w:val="auto"/>
          <w:sz w:val="24"/>
        </w:rPr>
      </w:pPr>
      <w:r>
        <w:rPr>
          <w:rFonts w:hint="eastAsia" w:ascii="宋体" w:hAnsi="宋体"/>
          <w:color w:val="auto"/>
          <w:sz w:val="24"/>
        </w:rPr>
        <w:t xml:space="preserve">（2）投标函及其附录（如果有）； </w:t>
      </w:r>
    </w:p>
    <w:p w14:paraId="4A06089A">
      <w:pPr>
        <w:pStyle w:val="73"/>
        <w:spacing w:line="360" w:lineRule="auto"/>
        <w:ind w:firstLine="480" w:firstLineChars="200"/>
        <w:rPr>
          <w:rFonts w:hint="eastAsia" w:ascii="宋体" w:hAnsi="宋体"/>
          <w:color w:val="auto"/>
          <w:sz w:val="24"/>
        </w:rPr>
      </w:pPr>
      <w:r>
        <w:rPr>
          <w:rFonts w:hint="eastAsia" w:ascii="宋体" w:hAnsi="宋体"/>
          <w:color w:val="auto"/>
          <w:sz w:val="24"/>
        </w:rPr>
        <w:t>（3）专用合同条款及其附件；</w:t>
      </w:r>
    </w:p>
    <w:p w14:paraId="01791789">
      <w:pPr>
        <w:pStyle w:val="73"/>
        <w:spacing w:line="360" w:lineRule="auto"/>
        <w:ind w:firstLine="480" w:firstLineChars="200"/>
        <w:rPr>
          <w:rFonts w:hint="eastAsia" w:ascii="宋体" w:hAnsi="宋体"/>
          <w:color w:val="auto"/>
          <w:sz w:val="24"/>
        </w:rPr>
      </w:pPr>
      <w:r>
        <w:rPr>
          <w:rFonts w:hint="eastAsia" w:ascii="宋体" w:hAnsi="宋体"/>
          <w:color w:val="auto"/>
          <w:sz w:val="24"/>
        </w:rPr>
        <w:t>（4）通用合同条款；</w:t>
      </w:r>
    </w:p>
    <w:p w14:paraId="17DFE927">
      <w:pPr>
        <w:pStyle w:val="73"/>
        <w:spacing w:line="360" w:lineRule="auto"/>
        <w:ind w:firstLine="480" w:firstLineChars="200"/>
        <w:rPr>
          <w:rFonts w:hint="eastAsia" w:ascii="宋体" w:hAnsi="宋体"/>
          <w:color w:val="auto"/>
          <w:sz w:val="24"/>
        </w:rPr>
      </w:pPr>
      <w:r>
        <w:rPr>
          <w:rFonts w:hint="eastAsia" w:ascii="宋体" w:hAnsi="宋体"/>
          <w:color w:val="auto"/>
          <w:sz w:val="24"/>
        </w:rPr>
        <w:t>（5）技术标准和要求；</w:t>
      </w:r>
    </w:p>
    <w:p w14:paraId="75C3E3DA">
      <w:pPr>
        <w:pStyle w:val="73"/>
        <w:spacing w:line="360" w:lineRule="auto"/>
        <w:ind w:firstLine="480" w:firstLineChars="200"/>
        <w:rPr>
          <w:rFonts w:hint="eastAsia" w:ascii="宋体" w:hAnsi="宋体"/>
          <w:color w:val="auto"/>
          <w:sz w:val="24"/>
        </w:rPr>
      </w:pPr>
      <w:r>
        <w:rPr>
          <w:rFonts w:hint="eastAsia" w:ascii="宋体" w:hAnsi="宋体"/>
          <w:color w:val="auto"/>
          <w:sz w:val="24"/>
        </w:rPr>
        <w:t>（6）图纸；</w:t>
      </w:r>
    </w:p>
    <w:p w14:paraId="117B8E0F">
      <w:pPr>
        <w:pStyle w:val="73"/>
        <w:spacing w:line="360" w:lineRule="auto"/>
        <w:ind w:firstLine="480" w:firstLineChars="200"/>
        <w:rPr>
          <w:rFonts w:hint="eastAsia" w:ascii="宋体" w:hAnsi="宋体"/>
          <w:color w:val="auto"/>
          <w:sz w:val="24"/>
        </w:rPr>
      </w:pPr>
      <w:r>
        <w:rPr>
          <w:rFonts w:hint="eastAsia" w:ascii="宋体" w:hAnsi="宋体"/>
          <w:color w:val="auto"/>
          <w:sz w:val="24"/>
        </w:rPr>
        <w:t>（7）已标价工程量清单或预算书；</w:t>
      </w:r>
    </w:p>
    <w:p w14:paraId="04606EBD">
      <w:pPr>
        <w:pStyle w:val="73"/>
        <w:spacing w:line="360" w:lineRule="auto"/>
        <w:ind w:firstLine="480" w:firstLineChars="200"/>
        <w:rPr>
          <w:rFonts w:hint="eastAsia" w:ascii="宋体" w:hAnsi="宋体"/>
          <w:color w:val="auto"/>
          <w:sz w:val="24"/>
        </w:rPr>
      </w:pPr>
      <w:r>
        <w:rPr>
          <w:rFonts w:hint="eastAsia" w:ascii="宋体" w:hAnsi="宋体"/>
          <w:color w:val="auto"/>
          <w:sz w:val="24"/>
        </w:rPr>
        <w:t>（8）其他合同文件。</w:t>
      </w:r>
    </w:p>
    <w:p w14:paraId="398A04C2">
      <w:pPr>
        <w:pStyle w:val="73"/>
        <w:spacing w:line="360" w:lineRule="auto"/>
        <w:ind w:firstLine="480" w:firstLineChars="200"/>
        <w:rPr>
          <w:rFonts w:hint="eastAsia" w:ascii="宋体" w:hAnsi="宋体"/>
          <w:color w:val="auto"/>
          <w:sz w:val="24"/>
        </w:rPr>
      </w:pPr>
      <w:r>
        <w:rPr>
          <w:rFonts w:hint="eastAsia" w:ascii="宋体" w:hAnsi="宋体"/>
          <w:color w:val="auto"/>
          <w:sz w:val="24"/>
        </w:rPr>
        <w:t>在合同订立及履行过程中形成的与合同有关的文件均构成合同文件组成部分。</w:t>
      </w:r>
    </w:p>
    <w:p w14:paraId="280842DD">
      <w:pPr>
        <w:pStyle w:val="73"/>
        <w:spacing w:line="360" w:lineRule="auto"/>
        <w:ind w:firstLine="480" w:firstLineChars="200"/>
        <w:rPr>
          <w:rFonts w:hint="eastAsia" w:ascii="宋体" w:hAnsi="宋体"/>
          <w:color w:val="auto"/>
          <w:sz w:val="24"/>
        </w:rPr>
      </w:pPr>
      <w:r>
        <w:rPr>
          <w:rFonts w:hint="eastAsia" w:ascii="宋体" w:hAnsi="宋体"/>
          <w:color w:val="auto"/>
          <w:sz w:val="24"/>
        </w:rPr>
        <w:t>上述各项合同文件包括合同当事人就该项合同文件所作出的补充和修改，属于同一类内容的文件，应以最新签署的为准。专用合同条款及其附件须经合同当事人签字或盖章。</w:t>
      </w:r>
    </w:p>
    <w:p w14:paraId="3C10A254">
      <w:pPr>
        <w:pStyle w:val="73"/>
        <w:spacing w:line="360" w:lineRule="auto"/>
        <w:ind w:firstLine="480" w:firstLineChars="200"/>
        <w:outlineLvl w:val="2"/>
        <w:rPr>
          <w:rFonts w:hint="eastAsia" w:ascii="宋体" w:hAnsi="宋体"/>
          <w:color w:val="auto"/>
          <w:sz w:val="24"/>
        </w:rPr>
      </w:pPr>
      <w:bookmarkStart w:id="56" w:name="_Toc351203487"/>
      <w:r>
        <w:rPr>
          <w:rFonts w:hint="eastAsia" w:ascii="宋体" w:hAnsi="宋体"/>
          <w:bCs/>
          <w:color w:val="auto"/>
          <w:sz w:val="24"/>
        </w:rPr>
        <w:t>七、承诺</w:t>
      </w:r>
      <w:bookmarkEnd w:id="56"/>
    </w:p>
    <w:p w14:paraId="19108EA5">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1.发包人承诺按照法律规定履行项目审批手续、筹集工程建设资金并按照合同约定的期限和方式支付合同价款。</w:t>
      </w:r>
    </w:p>
    <w:p w14:paraId="48B0A915">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2.承包人承诺按照法律规定及合同约定组织完成工程施工，确保工程质量和安全，不进行转包及违法分包，并在缺陷责任期及保修期内承担相应的工程维修责任。</w:t>
      </w:r>
    </w:p>
    <w:p w14:paraId="7567EB43">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3.发包人和承包人通过招投标形式签订合同的，双方理解并承诺不再就同一工程另行签订与合同实质性内容相背离的协议。</w:t>
      </w:r>
    </w:p>
    <w:p w14:paraId="1F01585D">
      <w:pPr>
        <w:pStyle w:val="73"/>
        <w:spacing w:line="360" w:lineRule="auto"/>
        <w:ind w:firstLine="482" w:firstLineChars="200"/>
        <w:outlineLvl w:val="2"/>
        <w:rPr>
          <w:rFonts w:hint="eastAsia" w:ascii="宋体" w:hAnsi="宋体"/>
          <w:bCs/>
          <w:color w:val="auto"/>
          <w:sz w:val="24"/>
        </w:rPr>
      </w:pPr>
      <w:bookmarkStart w:id="57" w:name="_Toc351203488"/>
      <w:r>
        <w:rPr>
          <w:rFonts w:hint="eastAsia" w:ascii="宋体" w:hAnsi="宋体"/>
          <w:b/>
          <w:color w:val="auto"/>
          <w:sz w:val="24"/>
        </w:rPr>
        <w:t>八、词语含义</w:t>
      </w:r>
      <w:bookmarkEnd w:id="57"/>
    </w:p>
    <w:p w14:paraId="42C27179">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本协议书中词语含义与第二部分通用合同条款中赋予的含义相同。</w:t>
      </w:r>
    </w:p>
    <w:p w14:paraId="030B1E54">
      <w:pPr>
        <w:pStyle w:val="73"/>
        <w:spacing w:line="360" w:lineRule="auto"/>
        <w:ind w:firstLine="480" w:firstLineChars="200"/>
        <w:outlineLvl w:val="2"/>
        <w:rPr>
          <w:rFonts w:hint="eastAsia" w:ascii="宋体" w:hAnsi="宋体"/>
          <w:b/>
          <w:color w:val="auto"/>
          <w:sz w:val="24"/>
        </w:rPr>
      </w:pPr>
      <w:bookmarkStart w:id="58" w:name="_Toc351203489"/>
      <w:r>
        <w:rPr>
          <w:rFonts w:hint="eastAsia" w:ascii="宋体" w:hAnsi="宋体"/>
          <w:bCs/>
          <w:color w:val="auto"/>
          <w:sz w:val="24"/>
        </w:rPr>
        <w:t>九、签订时间</w:t>
      </w:r>
      <w:bookmarkEnd w:id="58"/>
    </w:p>
    <w:p w14:paraId="05072E42">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本合同于</w:t>
      </w:r>
      <w:r>
        <w:rPr>
          <w:rFonts w:hint="eastAsia" w:ascii="宋体" w:hAnsi="宋体"/>
          <w:bCs/>
          <w:color w:val="auto"/>
          <w:sz w:val="24"/>
          <w:u w:val="single"/>
        </w:rPr>
        <w:t xml:space="preserve">         </w:t>
      </w:r>
      <w:r>
        <w:rPr>
          <w:rFonts w:hint="eastAsia" w:ascii="宋体" w:hAnsi="宋体"/>
          <w:bCs/>
          <w:color w:val="auto"/>
          <w:sz w:val="24"/>
        </w:rPr>
        <w:t>年</w:t>
      </w:r>
      <w:r>
        <w:rPr>
          <w:rFonts w:hint="eastAsia" w:ascii="宋体" w:hAnsi="宋体"/>
          <w:bCs/>
          <w:color w:val="auto"/>
          <w:sz w:val="24"/>
          <w:u w:val="single"/>
        </w:rPr>
        <w:t xml:space="preserve">    </w:t>
      </w:r>
      <w:r>
        <w:rPr>
          <w:rFonts w:hint="eastAsia" w:ascii="宋体" w:hAnsi="宋体"/>
          <w:bCs/>
          <w:color w:val="auto"/>
          <w:sz w:val="24"/>
        </w:rPr>
        <w:t>月</w:t>
      </w:r>
      <w:r>
        <w:rPr>
          <w:rFonts w:hint="eastAsia" w:ascii="宋体" w:hAnsi="宋体"/>
          <w:bCs/>
          <w:color w:val="auto"/>
          <w:sz w:val="24"/>
          <w:u w:val="single"/>
        </w:rPr>
        <w:t xml:space="preserve">    </w:t>
      </w:r>
      <w:r>
        <w:rPr>
          <w:rFonts w:hint="eastAsia" w:ascii="宋体" w:hAnsi="宋体"/>
          <w:bCs/>
          <w:color w:val="auto"/>
          <w:sz w:val="24"/>
        </w:rPr>
        <w:t>日签订。</w:t>
      </w:r>
    </w:p>
    <w:p w14:paraId="19E1BA80">
      <w:pPr>
        <w:pStyle w:val="73"/>
        <w:spacing w:line="360" w:lineRule="auto"/>
        <w:ind w:firstLine="480" w:firstLineChars="200"/>
        <w:outlineLvl w:val="2"/>
        <w:rPr>
          <w:rFonts w:hint="eastAsia" w:ascii="宋体" w:hAnsi="宋体"/>
          <w:b/>
          <w:color w:val="auto"/>
          <w:sz w:val="24"/>
        </w:rPr>
      </w:pPr>
      <w:bookmarkStart w:id="59" w:name="_Toc351203490"/>
      <w:r>
        <w:rPr>
          <w:rFonts w:hint="eastAsia" w:ascii="宋体" w:hAnsi="宋体"/>
          <w:bCs/>
          <w:color w:val="auto"/>
          <w:sz w:val="24"/>
        </w:rPr>
        <w:t>十、签订地点</w:t>
      </w:r>
      <w:bookmarkEnd w:id="59"/>
    </w:p>
    <w:p w14:paraId="7B1EEEF4">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本合同在</w:t>
      </w:r>
      <w:r>
        <w:rPr>
          <w:rFonts w:hint="eastAsia" w:ascii="宋体" w:hAnsi="宋体"/>
          <w:bCs/>
          <w:color w:val="auto"/>
          <w:sz w:val="24"/>
          <w:u w:val="single"/>
        </w:rPr>
        <w:t xml:space="preserve">                                    </w:t>
      </w:r>
      <w:r>
        <w:rPr>
          <w:rFonts w:hint="eastAsia" w:ascii="宋体" w:hAnsi="宋体"/>
          <w:bCs/>
          <w:color w:val="auto"/>
          <w:sz w:val="24"/>
        </w:rPr>
        <w:t>签订。</w:t>
      </w:r>
    </w:p>
    <w:p w14:paraId="2BE10328">
      <w:pPr>
        <w:pStyle w:val="73"/>
        <w:spacing w:line="360" w:lineRule="auto"/>
        <w:ind w:firstLine="480" w:firstLineChars="200"/>
        <w:outlineLvl w:val="2"/>
        <w:rPr>
          <w:rFonts w:hint="eastAsia" w:ascii="宋体" w:hAnsi="宋体"/>
          <w:b/>
          <w:color w:val="auto"/>
          <w:sz w:val="24"/>
        </w:rPr>
      </w:pPr>
      <w:bookmarkStart w:id="60" w:name="_Toc351203491"/>
      <w:r>
        <w:rPr>
          <w:rFonts w:hint="eastAsia" w:ascii="宋体" w:hAnsi="宋体"/>
          <w:bCs/>
          <w:color w:val="auto"/>
          <w:sz w:val="24"/>
        </w:rPr>
        <w:t>十一、补充协议</w:t>
      </w:r>
      <w:bookmarkEnd w:id="60"/>
    </w:p>
    <w:p w14:paraId="33479EF1">
      <w:pPr>
        <w:pStyle w:val="73"/>
        <w:spacing w:line="360" w:lineRule="auto"/>
        <w:ind w:firstLine="480" w:firstLineChars="200"/>
        <w:rPr>
          <w:rFonts w:hint="eastAsia" w:ascii="宋体" w:hAnsi="宋体"/>
          <w:b/>
          <w:bCs/>
          <w:color w:val="auto"/>
          <w:sz w:val="24"/>
        </w:rPr>
      </w:pPr>
      <w:r>
        <w:rPr>
          <w:rFonts w:hint="eastAsia" w:ascii="宋体" w:hAnsi="宋体"/>
          <w:bCs/>
          <w:color w:val="auto"/>
          <w:sz w:val="24"/>
        </w:rPr>
        <w:t>合同未尽事宜，合同当事人另行签订补充协议，补充协议是合同的组成部分。</w:t>
      </w:r>
    </w:p>
    <w:p w14:paraId="6659CEAF">
      <w:pPr>
        <w:pStyle w:val="73"/>
        <w:spacing w:line="360" w:lineRule="auto"/>
        <w:ind w:firstLine="480" w:firstLineChars="200"/>
        <w:outlineLvl w:val="2"/>
        <w:rPr>
          <w:rFonts w:hint="eastAsia" w:ascii="宋体" w:hAnsi="宋体"/>
          <w:b/>
          <w:color w:val="auto"/>
          <w:sz w:val="24"/>
        </w:rPr>
      </w:pPr>
      <w:bookmarkStart w:id="61" w:name="_Toc351203492"/>
      <w:r>
        <w:rPr>
          <w:rFonts w:hint="eastAsia" w:ascii="宋体" w:hAnsi="宋体"/>
          <w:bCs/>
          <w:color w:val="auto"/>
          <w:sz w:val="24"/>
        </w:rPr>
        <w:t>十二、合同生效</w:t>
      </w:r>
      <w:bookmarkEnd w:id="61"/>
    </w:p>
    <w:p w14:paraId="34E8875C">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本合同自</w:t>
      </w:r>
      <w:r>
        <w:rPr>
          <w:rFonts w:hint="eastAsia" w:ascii="宋体" w:hAnsi="宋体"/>
          <w:bCs/>
          <w:color w:val="auto"/>
          <w:sz w:val="24"/>
          <w:u w:val="single"/>
        </w:rPr>
        <w:t xml:space="preserve">                                   </w:t>
      </w:r>
      <w:r>
        <w:rPr>
          <w:rFonts w:hint="eastAsia" w:ascii="宋体" w:hAnsi="宋体"/>
          <w:bCs/>
          <w:color w:val="auto"/>
          <w:sz w:val="24"/>
        </w:rPr>
        <w:t>生效。</w:t>
      </w:r>
    </w:p>
    <w:p w14:paraId="375B6BBF">
      <w:pPr>
        <w:pStyle w:val="73"/>
        <w:spacing w:line="360" w:lineRule="auto"/>
        <w:ind w:firstLine="480" w:firstLineChars="200"/>
        <w:outlineLvl w:val="2"/>
        <w:rPr>
          <w:rFonts w:hint="eastAsia" w:ascii="宋体" w:hAnsi="宋体"/>
          <w:b/>
          <w:color w:val="auto"/>
          <w:sz w:val="24"/>
        </w:rPr>
      </w:pPr>
      <w:bookmarkStart w:id="62" w:name="_Toc351203493"/>
      <w:r>
        <w:rPr>
          <w:rFonts w:hint="eastAsia" w:ascii="宋体" w:hAnsi="宋体"/>
          <w:bCs/>
          <w:color w:val="auto"/>
          <w:sz w:val="24"/>
        </w:rPr>
        <w:t>十三、合同份数</w:t>
      </w:r>
      <w:bookmarkEnd w:id="62"/>
    </w:p>
    <w:p w14:paraId="49E1C591">
      <w:pPr>
        <w:pStyle w:val="73"/>
        <w:spacing w:line="360" w:lineRule="auto"/>
        <w:ind w:firstLine="480" w:firstLineChars="200"/>
        <w:rPr>
          <w:rFonts w:hint="eastAsia" w:ascii="宋体" w:hAnsi="宋体"/>
          <w:bCs/>
          <w:color w:val="auto"/>
          <w:sz w:val="24"/>
        </w:rPr>
      </w:pPr>
      <w:r>
        <w:rPr>
          <w:rFonts w:hint="eastAsia" w:ascii="宋体" w:hAnsi="宋体"/>
          <w:bCs/>
          <w:color w:val="auto"/>
          <w:sz w:val="24"/>
        </w:rPr>
        <w:t>本合同一式</w:t>
      </w:r>
      <w:r>
        <w:rPr>
          <w:rFonts w:hint="eastAsia" w:ascii="宋体" w:hAnsi="宋体"/>
          <w:bCs/>
          <w:color w:val="auto"/>
          <w:sz w:val="24"/>
          <w:u w:val="single"/>
        </w:rPr>
        <w:t xml:space="preserve">  </w:t>
      </w:r>
      <w:r>
        <w:rPr>
          <w:rFonts w:hint="eastAsia" w:ascii="宋体" w:hAnsi="宋体"/>
          <w:bCs/>
          <w:color w:val="auto"/>
          <w:sz w:val="24"/>
          <w:u w:val="single"/>
          <w:lang w:val="en-US" w:eastAsia="zh-CN"/>
        </w:rPr>
        <w:t xml:space="preserve"> </w:t>
      </w:r>
      <w:r>
        <w:rPr>
          <w:rFonts w:hint="eastAsia" w:ascii="宋体" w:hAnsi="宋体"/>
          <w:bCs/>
          <w:color w:val="auto"/>
          <w:sz w:val="24"/>
          <w:u w:val="single"/>
        </w:rPr>
        <w:t xml:space="preserve">   </w:t>
      </w:r>
      <w:r>
        <w:rPr>
          <w:rFonts w:hint="eastAsia" w:ascii="宋体" w:hAnsi="宋体"/>
          <w:bCs/>
          <w:color w:val="auto"/>
          <w:sz w:val="24"/>
        </w:rPr>
        <w:t>份，均具有同等法律效力，发包人执</w:t>
      </w:r>
      <w:r>
        <w:rPr>
          <w:rFonts w:hint="eastAsia" w:ascii="宋体" w:hAnsi="宋体"/>
          <w:bCs/>
          <w:color w:val="auto"/>
          <w:sz w:val="24"/>
          <w:u w:val="single"/>
        </w:rPr>
        <w:t xml:space="preserve">  </w:t>
      </w:r>
      <w:r>
        <w:rPr>
          <w:rFonts w:hint="eastAsia" w:ascii="宋体" w:hAnsi="宋体"/>
          <w:bCs/>
          <w:color w:val="auto"/>
          <w:sz w:val="24"/>
          <w:u w:val="single"/>
          <w:lang w:val="en-US" w:eastAsia="zh-CN"/>
        </w:rPr>
        <w:t xml:space="preserve"> </w:t>
      </w:r>
      <w:r>
        <w:rPr>
          <w:rFonts w:hint="eastAsia" w:ascii="宋体" w:hAnsi="宋体"/>
          <w:bCs/>
          <w:color w:val="auto"/>
          <w:sz w:val="24"/>
          <w:u w:val="single"/>
        </w:rPr>
        <w:t xml:space="preserve"> </w:t>
      </w:r>
      <w:r>
        <w:rPr>
          <w:rFonts w:hint="eastAsia" w:ascii="宋体" w:hAnsi="宋体"/>
          <w:bCs/>
          <w:color w:val="auto"/>
          <w:sz w:val="24"/>
        </w:rPr>
        <w:t>份，承包人执</w:t>
      </w:r>
      <w:r>
        <w:rPr>
          <w:rFonts w:hint="eastAsia" w:ascii="宋体" w:hAnsi="宋体"/>
          <w:bCs/>
          <w:color w:val="auto"/>
          <w:sz w:val="24"/>
          <w:u w:val="single"/>
        </w:rPr>
        <w:t xml:space="preserve">  </w:t>
      </w:r>
      <w:r>
        <w:rPr>
          <w:rFonts w:hint="eastAsia" w:ascii="宋体" w:hAnsi="宋体"/>
          <w:bCs/>
          <w:color w:val="auto"/>
          <w:sz w:val="24"/>
          <w:u w:val="single"/>
          <w:lang w:val="en-US" w:eastAsia="zh-CN"/>
        </w:rPr>
        <w:t xml:space="preserve"> </w:t>
      </w:r>
      <w:r>
        <w:rPr>
          <w:rFonts w:hint="eastAsia" w:ascii="宋体" w:hAnsi="宋体"/>
          <w:bCs/>
          <w:color w:val="auto"/>
          <w:sz w:val="24"/>
          <w:u w:val="single"/>
        </w:rPr>
        <w:t xml:space="preserve">  </w:t>
      </w:r>
      <w:r>
        <w:rPr>
          <w:rFonts w:hint="eastAsia" w:ascii="宋体" w:hAnsi="宋体"/>
          <w:bCs/>
          <w:color w:val="auto"/>
          <w:sz w:val="24"/>
        </w:rPr>
        <w:t>份。</w:t>
      </w:r>
    </w:p>
    <w:p w14:paraId="4F0328E5">
      <w:pPr>
        <w:pStyle w:val="73"/>
        <w:spacing w:line="360" w:lineRule="auto"/>
        <w:rPr>
          <w:rFonts w:hint="eastAsia" w:ascii="宋体" w:hAnsi="宋体"/>
          <w:color w:val="auto"/>
          <w:sz w:val="24"/>
        </w:rPr>
      </w:pPr>
      <w:r>
        <w:rPr>
          <w:rFonts w:hint="eastAsia" w:ascii="宋体" w:hAnsi="宋体"/>
          <w:color w:val="auto"/>
          <w:sz w:val="24"/>
        </w:rPr>
        <w:t>发包人：  (公章)                           承包人：  (公章)</w:t>
      </w:r>
    </w:p>
    <w:p w14:paraId="7B0C9360">
      <w:pPr>
        <w:pStyle w:val="73"/>
        <w:spacing w:line="360" w:lineRule="auto"/>
        <w:rPr>
          <w:rFonts w:hint="eastAsia" w:ascii="宋体" w:hAnsi="宋体"/>
          <w:color w:val="auto"/>
          <w:sz w:val="24"/>
        </w:rPr>
      </w:pPr>
      <w:r>
        <w:rPr>
          <w:rFonts w:hint="eastAsia" w:ascii="宋体" w:hAnsi="宋体"/>
          <w:color w:val="auto"/>
          <w:sz w:val="24"/>
        </w:rPr>
        <w:t>法定代表人或其委托代理人：                 法定代表人或其委托代理人：</w:t>
      </w:r>
    </w:p>
    <w:p w14:paraId="46370D28">
      <w:pPr>
        <w:pStyle w:val="73"/>
        <w:spacing w:line="360" w:lineRule="auto"/>
        <w:rPr>
          <w:rFonts w:hint="eastAsia" w:ascii="宋体" w:hAnsi="宋体"/>
          <w:color w:val="auto"/>
          <w:sz w:val="24"/>
        </w:rPr>
      </w:pPr>
      <w:r>
        <w:rPr>
          <w:rFonts w:hint="eastAsia" w:ascii="宋体" w:hAnsi="宋体"/>
          <w:color w:val="auto"/>
          <w:sz w:val="24"/>
        </w:rPr>
        <w:t>（签字）                                  （签字）</w:t>
      </w:r>
    </w:p>
    <w:p w14:paraId="717A4E18">
      <w:pPr>
        <w:pStyle w:val="73"/>
        <w:spacing w:line="360" w:lineRule="auto"/>
        <w:rPr>
          <w:rFonts w:hint="eastAsia" w:ascii="宋体" w:hAnsi="宋体"/>
          <w:color w:val="auto"/>
          <w:sz w:val="24"/>
        </w:rPr>
      </w:pPr>
      <w:r>
        <w:rPr>
          <w:rFonts w:hint="eastAsia" w:ascii="宋体" w:hAnsi="宋体"/>
          <w:color w:val="auto"/>
          <w:sz w:val="24"/>
        </w:rPr>
        <w:t>组织机构代码：</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组织机构代码：</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w:t>
      </w:r>
    </w:p>
    <w:p w14:paraId="17DAFCDC">
      <w:pPr>
        <w:pStyle w:val="73"/>
        <w:spacing w:line="360" w:lineRule="auto"/>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地  址：</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p>
    <w:p w14:paraId="211CDCF4">
      <w:pPr>
        <w:pStyle w:val="73"/>
        <w:spacing w:line="360" w:lineRule="auto"/>
        <w:rPr>
          <w:rFonts w:hint="eastAsia" w:ascii="宋体" w:hAnsi="宋体"/>
          <w:color w:val="auto"/>
          <w:sz w:val="24"/>
        </w:rPr>
      </w:pPr>
      <w:r>
        <w:rPr>
          <w:rFonts w:hint="eastAsia" w:ascii="宋体" w:hAnsi="宋体"/>
          <w:color w:val="auto"/>
          <w:sz w:val="24"/>
        </w:rPr>
        <w:t>邮政编码：</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邮政编码：</w:t>
      </w:r>
      <w:r>
        <w:rPr>
          <w:rFonts w:ascii="宋体" w:hAnsi="宋体" w:cs="宋体"/>
          <w:color w:val="auto"/>
          <w:sz w:val="24"/>
          <w:u w:val="single"/>
        </w:rPr>
        <w:t></w:t>
      </w:r>
      <w:r>
        <w:rPr>
          <w:rFonts w:hint="eastAsia" w:ascii="宋体" w:hAnsi="宋体"/>
          <w:color w:val="auto"/>
          <w:sz w:val="24"/>
          <w:u w:val="single"/>
        </w:rPr>
        <w:t xml:space="preserve">   </w:t>
      </w:r>
    </w:p>
    <w:p w14:paraId="24899C10">
      <w:pPr>
        <w:pStyle w:val="73"/>
        <w:spacing w:line="360" w:lineRule="auto"/>
        <w:rPr>
          <w:rFonts w:hint="eastAsia" w:ascii="宋体" w:hAnsi="宋体"/>
          <w:color w:val="auto"/>
          <w:sz w:val="24"/>
        </w:rPr>
      </w:pPr>
      <w:r>
        <w:rPr>
          <w:rFonts w:hint="eastAsia" w:ascii="宋体" w:hAnsi="宋体"/>
          <w:color w:val="auto"/>
          <w:sz w:val="24"/>
        </w:rPr>
        <w:t>法定代表人：</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法定代表人：</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p>
    <w:p w14:paraId="0566BE7A">
      <w:pPr>
        <w:pStyle w:val="73"/>
        <w:spacing w:line="360" w:lineRule="auto"/>
        <w:rPr>
          <w:rFonts w:hint="eastAsia" w:ascii="宋体" w:hAnsi="宋体"/>
          <w:color w:val="auto"/>
          <w:sz w:val="24"/>
        </w:rPr>
      </w:pPr>
      <w:r>
        <w:rPr>
          <w:rFonts w:hint="eastAsia" w:ascii="宋体" w:hAnsi="宋体"/>
          <w:color w:val="auto"/>
          <w:sz w:val="24"/>
        </w:rPr>
        <w:t>委托代理人：</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委托代理人：</w:t>
      </w:r>
      <w:r>
        <w:rPr>
          <w:rFonts w:ascii="宋体" w:hAnsi="宋体" w:cs="宋体"/>
          <w:color w:val="auto"/>
          <w:sz w:val="24"/>
          <w:u w:val="single"/>
        </w:rPr>
        <w:t></w:t>
      </w:r>
      <w:r>
        <w:rPr>
          <w:rFonts w:hint="eastAsia" w:ascii="宋体" w:hAnsi="宋体"/>
          <w:color w:val="auto"/>
          <w:sz w:val="24"/>
          <w:u w:val="single"/>
        </w:rPr>
        <w:t xml:space="preserve">             </w:t>
      </w:r>
    </w:p>
    <w:p w14:paraId="2F0E8F06">
      <w:pPr>
        <w:pStyle w:val="73"/>
        <w:spacing w:line="360" w:lineRule="auto"/>
        <w:rPr>
          <w:rFonts w:hint="eastAsia" w:ascii="宋体" w:hAnsi="宋体"/>
          <w:color w:val="auto"/>
          <w:sz w:val="24"/>
        </w:rPr>
      </w:pPr>
      <w:r>
        <w:rPr>
          <w:rFonts w:hint="eastAsia" w:ascii="宋体" w:hAnsi="宋体"/>
          <w:color w:val="auto"/>
          <w:sz w:val="24"/>
        </w:rPr>
        <w:t>电  话：</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电  话：</w:t>
      </w:r>
      <w:r>
        <w:rPr>
          <w:rFonts w:ascii="宋体" w:hAnsi="宋体" w:cs="宋体"/>
          <w:color w:val="auto"/>
          <w:sz w:val="24"/>
          <w:u w:val="single"/>
        </w:rPr>
        <w:t></w:t>
      </w:r>
      <w:r>
        <w:rPr>
          <w:rFonts w:hint="eastAsia" w:ascii="宋体" w:hAnsi="宋体"/>
          <w:color w:val="auto"/>
          <w:sz w:val="24"/>
          <w:u w:val="single"/>
        </w:rPr>
        <w:t xml:space="preserve">     </w:t>
      </w:r>
    </w:p>
    <w:p w14:paraId="603FE592">
      <w:pPr>
        <w:pStyle w:val="73"/>
        <w:spacing w:line="360" w:lineRule="auto"/>
        <w:rPr>
          <w:rFonts w:hint="eastAsia" w:ascii="宋体" w:hAnsi="宋体"/>
          <w:color w:val="auto"/>
          <w:sz w:val="24"/>
        </w:rPr>
      </w:pPr>
      <w:r>
        <w:rPr>
          <w:rFonts w:hint="eastAsia" w:ascii="宋体" w:hAnsi="宋体"/>
          <w:color w:val="auto"/>
          <w:sz w:val="24"/>
        </w:rPr>
        <w:t>传  真：</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传  真：</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p>
    <w:p w14:paraId="2F824BE4">
      <w:pPr>
        <w:pStyle w:val="73"/>
        <w:spacing w:line="360" w:lineRule="auto"/>
        <w:rPr>
          <w:rFonts w:hint="eastAsia" w:ascii="宋体" w:hAnsi="宋体"/>
          <w:color w:val="auto"/>
          <w:sz w:val="24"/>
        </w:rPr>
      </w:pPr>
      <w:r>
        <w:rPr>
          <w:rFonts w:hint="eastAsia" w:ascii="宋体" w:hAnsi="宋体"/>
          <w:color w:val="auto"/>
          <w:sz w:val="24"/>
        </w:rPr>
        <w:t>电子信箱：</w:t>
      </w:r>
      <w:r>
        <w:rPr>
          <w:rFonts w:hint="eastAsia" w:ascii="宋体" w:hAnsi="宋体"/>
          <w:color w:val="auto"/>
          <w:sz w:val="24"/>
          <w:u w:val="single"/>
        </w:rPr>
        <w:t xml:space="preserve">                 </w:t>
      </w:r>
      <w:r>
        <w:rPr>
          <w:rFonts w:hint="eastAsia" w:ascii="宋体" w:hAnsi="宋体"/>
          <w:color w:val="auto"/>
          <w:sz w:val="24"/>
        </w:rPr>
        <w:t xml:space="preserve">                电子信箱：</w:t>
      </w:r>
      <w:r>
        <w:rPr>
          <w:rFonts w:ascii="宋体" w:hAnsi="宋体" w:cs="宋体"/>
          <w:color w:val="auto"/>
          <w:sz w:val="24"/>
          <w:u w:val="single"/>
        </w:rPr>
        <w:t></w:t>
      </w:r>
      <w:r>
        <w:rPr>
          <w:rFonts w:hint="eastAsia" w:ascii="宋体" w:hAnsi="宋体"/>
          <w:color w:val="auto"/>
          <w:sz w:val="24"/>
          <w:u w:val="single"/>
        </w:rPr>
        <w:t xml:space="preserve">   </w:t>
      </w:r>
    </w:p>
    <w:p w14:paraId="101EE213">
      <w:pPr>
        <w:pStyle w:val="73"/>
        <w:spacing w:line="360" w:lineRule="auto"/>
        <w:rPr>
          <w:rFonts w:hint="eastAsia" w:ascii="宋体" w:hAnsi="宋体"/>
          <w:color w:val="auto"/>
          <w:sz w:val="24"/>
        </w:rPr>
      </w:pPr>
      <w:r>
        <w:rPr>
          <w:rFonts w:hint="eastAsia" w:ascii="宋体" w:hAnsi="宋体"/>
          <w:color w:val="auto"/>
          <w:sz w:val="24"/>
        </w:rPr>
        <w:t>开户银行：</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开户银行：</w:t>
      </w:r>
      <w:r>
        <w:rPr>
          <w:rFonts w:ascii="宋体" w:hAnsi="宋体" w:cs="宋体"/>
          <w:color w:val="auto"/>
          <w:sz w:val="24"/>
          <w:u w:val="single"/>
        </w:rPr>
        <w:t></w:t>
      </w:r>
      <w:r>
        <w:rPr>
          <w:rFonts w:hint="eastAsia" w:ascii="宋体" w:hAnsi="宋体"/>
          <w:color w:val="auto"/>
          <w:sz w:val="24"/>
          <w:u w:val="single"/>
        </w:rPr>
        <w:t xml:space="preserve">   </w:t>
      </w:r>
    </w:p>
    <w:p w14:paraId="03AEDFBC">
      <w:pPr>
        <w:pStyle w:val="73"/>
        <w:spacing w:line="360" w:lineRule="auto"/>
        <w:rPr>
          <w:rFonts w:hint="eastAsia" w:ascii="宋体" w:hAnsi="宋体"/>
          <w:color w:val="auto"/>
          <w:sz w:val="24"/>
        </w:rPr>
      </w:pPr>
      <w:r>
        <w:rPr>
          <w:rFonts w:hint="eastAsia" w:ascii="宋体" w:hAnsi="宋体"/>
          <w:color w:val="auto"/>
          <w:sz w:val="24"/>
        </w:rPr>
        <w:t>账  号：</w:t>
      </w:r>
      <w:r>
        <w:rPr>
          <w:rFonts w:ascii="宋体" w:hAnsi="宋体" w:cs="宋体"/>
          <w:color w:val="auto"/>
          <w:sz w:val="24"/>
          <w:u w:val="single"/>
        </w:rPr>
        <w:t></w:t>
      </w:r>
      <w:r>
        <w:rPr>
          <w:rFonts w:hint="eastAsia" w:ascii="宋体" w:hAnsi="宋体"/>
          <w:color w:val="auto"/>
          <w:sz w:val="24"/>
          <w:u w:val="single"/>
        </w:rPr>
        <w:t xml:space="preserve"> </w:t>
      </w:r>
      <w:r>
        <w:rPr>
          <w:rFonts w:ascii="宋体" w:hAnsi="宋体" w:cs="宋体"/>
          <w:color w:val="auto"/>
          <w:sz w:val="24"/>
          <w:u w:val="single"/>
        </w:rPr>
        <w:t></w:t>
      </w:r>
      <w:r>
        <w:rPr>
          <w:rFonts w:hint="eastAsia" w:ascii="宋体" w:hAnsi="宋体"/>
          <w:color w:val="auto"/>
          <w:sz w:val="24"/>
          <w:u w:val="single"/>
        </w:rPr>
        <w:t xml:space="preserve">      </w:t>
      </w:r>
      <w:r>
        <w:rPr>
          <w:rFonts w:hint="eastAsia" w:ascii="宋体" w:hAnsi="宋体"/>
          <w:color w:val="auto"/>
          <w:sz w:val="24"/>
        </w:rPr>
        <w:t xml:space="preserve">                账  号：</w:t>
      </w:r>
      <w:r>
        <w:rPr>
          <w:rFonts w:ascii="宋体" w:hAnsi="宋体" w:cs="宋体"/>
          <w:color w:val="auto"/>
          <w:sz w:val="24"/>
          <w:u w:val="single"/>
        </w:rPr>
        <w:t></w:t>
      </w:r>
      <w:r>
        <w:rPr>
          <w:rFonts w:hint="eastAsia" w:ascii="宋体" w:hAnsi="宋体"/>
          <w:color w:val="auto"/>
          <w:sz w:val="24"/>
          <w:u w:val="single"/>
        </w:rPr>
        <w:t xml:space="preserve">     </w:t>
      </w:r>
    </w:p>
    <w:p w14:paraId="52FF4DED">
      <w:pPr>
        <w:pStyle w:val="72"/>
        <w:spacing w:line="360" w:lineRule="auto"/>
        <w:ind w:left="250" w:right="0"/>
        <w:rPr>
          <w:rFonts w:hint="eastAsia" w:ascii="宋体" w:hAnsi="宋体"/>
          <w:color w:val="auto"/>
          <w:szCs w:val="24"/>
        </w:rPr>
      </w:pPr>
    </w:p>
    <w:p w14:paraId="7ADAB7FB">
      <w:pPr>
        <w:pStyle w:val="72"/>
        <w:spacing w:line="360" w:lineRule="auto"/>
        <w:ind w:left="0" w:right="0"/>
        <w:rPr>
          <w:rFonts w:hint="eastAsia" w:ascii="宋体" w:hAnsi="宋体"/>
          <w:color w:val="auto"/>
          <w:szCs w:val="24"/>
          <w:lang w:eastAsia="zh-CN"/>
        </w:rPr>
      </w:pPr>
    </w:p>
    <w:p w14:paraId="4A6262F0">
      <w:pPr>
        <w:pStyle w:val="72"/>
        <w:spacing w:line="360" w:lineRule="auto"/>
        <w:ind w:left="0" w:right="0"/>
        <w:rPr>
          <w:rFonts w:hint="eastAsia" w:ascii="宋体" w:hAnsi="宋体"/>
          <w:color w:val="auto"/>
          <w:szCs w:val="24"/>
          <w:lang w:eastAsia="zh-CN"/>
        </w:rPr>
      </w:pPr>
    </w:p>
    <w:p w14:paraId="6CF5C4CD">
      <w:pPr>
        <w:pStyle w:val="72"/>
        <w:spacing w:line="360" w:lineRule="auto"/>
        <w:ind w:left="0" w:right="0"/>
        <w:rPr>
          <w:rFonts w:hint="eastAsia" w:ascii="宋体" w:hAnsi="宋体"/>
          <w:color w:val="auto"/>
          <w:szCs w:val="24"/>
          <w:lang w:eastAsia="zh-CN"/>
        </w:rPr>
      </w:pPr>
    </w:p>
    <w:p w14:paraId="2C12FCF5">
      <w:pPr>
        <w:pStyle w:val="96"/>
        <w:numPr>
          <w:ilvl w:val="0"/>
          <w:numId w:val="0"/>
        </w:numPr>
        <w:outlineLvl w:val="1"/>
        <w:rPr>
          <w:rFonts w:hint="eastAsia" w:ascii="宋体" w:hAnsi="宋体"/>
          <w:b w:val="0"/>
          <w:color w:val="auto"/>
          <w:sz w:val="24"/>
          <w:szCs w:val="24"/>
        </w:rPr>
      </w:pPr>
      <w:bookmarkStart w:id="63" w:name="_Toc460660195"/>
      <w:bookmarkStart w:id="64" w:name="_Toc460227080"/>
      <w:bookmarkStart w:id="65" w:name="_Toc460226810"/>
      <w:bookmarkStart w:id="66" w:name="_Toc351203494"/>
      <w:bookmarkStart w:id="67" w:name="_Toc416787470"/>
      <w:r>
        <w:rPr>
          <w:rFonts w:hint="eastAsia" w:ascii="宋体" w:hAnsi="宋体"/>
          <w:b w:val="0"/>
          <w:color w:val="auto"/>
          <w:sz w:val="24"/>
          <w:szCs w:val="24"/>
        </w:rPr>
        <w:t>第二部分  通用合同条款</w:t>
      </w:r>
      <w:bookmarkEnd w:id="63"/>
      <w:bookmarkEnd w:id="64"/>
      <w:bookmarkEnd w:id="65"/>
      <w:bookmarkEnd w:id="66"/>
      <w:bookmarkEnd w:id="67"/>
      <w:bookmarkStart w:id="68" w:name="_Toc337558727"/>
    </w:p>
    <w:p w14:paraId="3375B1E9">
      <w:pPr>
        <w:pStyle w:val="80"/>
        <w:spacing w:line="360" w:lineRule="auto"/>
        <w:ind w:firstLine="1320" w:firstLineChars="550"/>
        <w:rPr>
          <w:rFonts w:hint="eastAsia" w:ascii="宋体" w:hAnsi="宋体"/>
          <w:color w:val="auto"/>
          <w:sz w:val="24"/>
          <w:szCs w:val="24"/>
        </w:rPr>
      </w:pPr>
      <w:r>
        <w:rPr>
          <w:rFonts w:hint="eastAsia" w:ascii="宋体" w:hAnsi="宋体"/>
          <w:color w:val="auto"/>
          <w:sz w:val="24"/>
          <w:szCs w:val="24"/>
        </w:rPr>
        <w:t>详见《建设工程施工合同(示范文本) 》(GF-2013-0201)中通用合同条款</w:t>
      </w:r>
      <w:bookmarkEnd w:id="68"/>
    </w:p>
    <w:p w14:paraId="5A979760">
      <w:pPr>
        <w:pStyle w:val="96"/>
        <w:numPr>
          <w:ilvl w:val="0"/>
          <w:numId w:val="0"/>
        </w:numPr>
        <w:outlineLvl w:val="1"/>
        <w:rPr>
          <w:rFonts w:hint="eastAsia" w:ascii="宋体" w:hAnsi="宋体"/>
          <w:b w:val="0"/>
          <w:color w:val="auto"/>
          <w:sz w:val="24"/>
          <w:szCs w:val="24"/>
          <w:lang w:eastAsia="zh-CN"/>
        </w:rPr>
      </w:pPr>
      <w:bookmarkStart w:id="69" w:name="_Toc416787471"/>
      <w:bookmarkStart w:id="70" w:name="_Toc460660196"/>
      <w:bookmarkStart w:id="71" w:name="_Toc460226811"/>
      <w:bookmarkStart w:id="72" w:name="_Toc460227081"/>
      <w:r>
        <w:rPr>
          <w:rFonts w:hint="eastAsia" w:ascii="宋体" w:hAnsi="宋体"/>
          <w:b w:val="0"/>
          <w:color w:val="auto"/>
          <w:sz w:val="24"/>
          <w:szCs w:val="24"/>
        </w:rPr>
        <w:t>第三部分　专用合同条款</w:t>
      </w:r>
      <w:bookmarkEnd w:id="69"/>
      <w:bookmarkEnd w:id="70"/>
      <w:bookmarkEnd w:id="71"/>
      <w:bookmarkEnd w:id="72"/>
    </w:p>
    <w:p w14:paraId="28931ADC">
      <w:pPr>
        <w:pStyle w:val="5"/>
        <w:adjustRightInd w:val="0"/>
        <w:snapToGrid w:val="0"/>
        <w:spacing w:before="0" w:after="0" w:line="360" w:lineRule="auto"/>
        <w:outlineLvl w:val="2"/>
        <w:rPr>
          <w:rFonts w:ascii="宋体" w:hAnsi="宋体" w:eastAsia="宋体"/>
          <w:b w:val="0"/>
          <w:color w:val="auto"/>
          <w:sz w:val="24"/>
          <w:szCs w:val="24"/>
        </w:rPr>
      </w:pPr>
      <w:bookmarkStart w:id="73" w:name="_Toc460227082"/>
      <w:bookmarkStart w:id="74" w:name="_Toc460660197"/>
      <w:bookmarkStart w:id="75" w:name="_Toc460226812"/>
      <w:r>
        <w:rPr>
          <w:rFonts w:ascii="宋体" w:hAnsi="宋体" w:eastAsia="宋体"/>
          <w:b w:val="0"/>
          <w:color w:val="auto"/>
          <w:sz w:val="24"/>
          <w:szCs w:val="24"/>
        </w:rPr>
        <w:t>1. 一般约定</w:t>
      </w:r>
      <w:bookmarkEnd w:id="73"/>
      <w:bookmarkEnd w:id="74"/>
      <w:bookmarkEnd w:id="75"/>
    </w:p>
    <w:p w14:paraId="5AADB212">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bookmarkStart w:id="76" w:name="_Toc351203633"/>
      <w:bookmarkStart w:id="77" w:name="_Toc351203652"/>
      <w:r>
        <w:rPr>
          <w:rFonts w:hint="eastAsia" w:ascii="宋体" w:hAnsi="宋体"/>
          <w:color w:val="auto"/>
          <w:sz w:val="24"/>
        </w:rPr>
        <w:t>1.1 词语定义</w:t>
      </w:r>
    </w:p>
    <w:p w14:paraId="35880AD4">
      <w:pPr>
        <w:pStyle w:val="77"/>
        <w:tabs>
          <w:tab w:val="left" w:pos="360"/>
        </w:tabs>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1.1.1合同</w:t>
      </w:r>
    </w:p>
    <w:p w14:paraId="08624774">
      <w:pPr>
        <w:pStyle w:val="91"/>
        <w:tabs>
          <w:tab w:val="left" w:pos="360"/>
        </w:tabs>
        <w:snapToGrid w:val="0"/>
        <w:spacing w:before="0" w:after="0" w:line="360" w:lineRule="auto"/>
        <w:ind w:left="250" w:leftChars="119" w:right="178" w:rightChars="85" w:firstLine="480" w:firstLineChars="200"/>
        <w:rPr>
          <w:rFonts w:hint="eastAsia" w:ascii="宋体" w:hAnsi="宋体"/>
          <w:color w:val="auto"/>
          <w:szCs w:val="24"/>
        </w:rPr>
      </w:pPr>
      <w:r>
        <w:rPr>
          <w:rFonts w:hint="eastAsia" w:ascii="宋体" w:hAnsi="宋体"/>
          <w:color w:val="auto"/>
          <w:szCs w:val="24"/>
        </w:rPr>
        <w:t>1.1.1.10其他合同文件包括：</w:t>
      </w:r>
      <w:r>
        <w:rPr>
          <w:rFonts w:hint="eastAsia" w:ascii="宋体" w:hAnsi="宋体"/>
          <w:color w:val="auto"/>
          <w:szCs w:val="24"/>
          <w:u w:val="single"/>
        </w:rPr>
        <w:t>合同履行过程中双方就有关工程的洽商、变更等书面协议或文件视为本合同的组成部分。</w:t>
      </w:r>
    </w:p>
    <w:p w14:paraId="55AF8D84">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1.1.2 合同当事人及其他相关方</w:t>
      </w:r>
    </w:p>
    <w:p w14:paraId="136DC18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1.1.2.4监理人：</w:t>
      </w:r>
    </w:p>
    <w:p w14:paraId="4ABDCE9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名称：</w:t>
      </w:r>
      <w:r>
        <w:rPr>
          <w:rFonts w:hint="eastAsia" w:ascii="宋体" w:hAnsi="宋体"/>
          <w:color w:val="auto"/>
          <w:sz w:val="24"/>
          <w:u w:val="single"/>
        </w:rPr>
        <w:t xml:space="preserve">            </w:t>
      </w:r>
      <w:r>
        <w:rPr>
          <w:rFonts w:hint="eastAsia" w:ascii="宋体" w:hAnsi="宋体"/>
          <w:color w:val="auto"/>
          <w:sz w:val="24"/>
        </w:rPr>
        <w:t>；</w:t>
      </w:r>
    </w:p>
    <w:p w14:paraId="24387FC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资质类别和等级：</w:t>
      </w:r>
      <w:r>
        <w:rPr>
          <w:rFonts w:hint="eastAsia" w:ascii="宋体" w:hAnsi="宋体"/>
          <w:color w:val="auto"/>
          <w:sz w:val="24"/>
          <w:u w:val="single"/>
        </w:rPr>
        <w:t>            </w:t>
      </w:r>
      <w:r>
        <w:rPr>
          <w:rFonts w:hint="eastAsia" w:ascii="宋体" w:hAnsi="宋体"/>
          <w:color w:val="auto"/>
          <w:sz w:val="24"/>
        </w:rPr>
        <w:t>；</w:t>
      </w:r>
    </w:p>
    <w:p w14:paraId="65B0DB5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联系电话：</w:t>
      </w:r>
      <w:r>
        <w:rPr>
          <w:rFonts w:hint="eastAsia" w:ascii="宋体" w:hAnsi="宋体"/>
          <w:color w:val="auto"/>
          <w:sz w:val="24"/>
          <w:u w:val="single"/>
        </w:rPr>
        <w:t> /</w:t>
      </w:r>
      <w:r>
        <w:rPr>
          <w:rFonts w:hint="eastAsia" w:ascii="宋体" w:hAnsi="宋体"/>
          <w:color w:val="auto"/>
          <w:sz w:val="24"/>
        </w:rPr>
        <w:t>；电子信箱：</w:t>
      </w:r>
      <w:r>
        <w:rPr>
          <w:rFonts w:hint="eastAsia" w:ascii="宋体" w:hAnsi="宋体"/>
          <w:color w:val="auto"/>
          <w:sz w:val="24"/>
          <w:u w:val="single"/>
        </w:rPr>
        <w:t> /</w:t>
      </w:r>
      <w:r>
        <w:rPr>
          <w:rFonts w:hint="eastAsia" w:ascii="宋体" w:hAnsi="宋体"/>
          <w:color w:val="auto"/>
          <w:sz w:val="24"/>
        </w:rPr>
        <w:t>；通信地址：</w:t>
      </w:r>
      <w:r>
        <w:rPr>
          <w:rFonts w:hint="eastAsia" w:ascii="宋体" w:hAnsi="宋体"/>
          <w:color w:val="auto"/>
          <w:sz w:val="24"/>
          <w:u w:val="single"/>
        </w:rPr>
        <w:t> /</w:t>
      </w:r>
      <w:r>
        <w:rPr>
          <w:rFonts w:hint="eastAsia" w:ascii="宋体" w:hAnsi="宋体"/>
          <w:color w:val="auto"/>
          <w:sz w:val="24"/>
        </w:rPr>
        <w:t>；</w:t>
      </w:r>
    </w:p>
    <w:p w14:paraId="3DCCE61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1.1.2.5 设计人：</w:t>
      </w:r>
    </w:p>
    <w:p w14:paraId="5E64DF7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名称：</w:t>
      </w:r>
      <w:r>
        <w:rPr>
          <w:rFonts w:hint="eastAsia" w:ascii="宋体" w:hAnsi="宋体"/>
          <w:color w:val="auto"/>
          <w:sz w:val="24"/>
          <w:u w:val="single"/>
        </w:rPr>
        <w:t xml:space="preserve">                </w:t>
      </w:r>
      <w:r>
        <w:rPr>
          <w:rFonts w:hint="eastAsia" w:ascii="宋体" w:hAnsi="宋体"/>
          <w:color w:val="auto"/>
          <w:sz w:val="24"/>
        </w:rPr>
        <w:t>；</w:t>
      </w:r>
    </w:p>
    <w:p w14:paraId="262069C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资质类别和等级：</w:t>
      </w:r>
      <w:r>
        <w:rPr>
          <w:rFonts w:hint="eastAsia" w:ascii="宋体" w:hAnsi="宋体"/>
          <w:color w:val="auto"/>
          <w:sz w:val="24"/>
          <w:u w:val="single"/>
        </w:rPr>
        <w:t>        </w:t>
      </w:r>
      <w:r>
        <w:rPr>
          <w:rFonts w:hint="eastAsia" w:ascii="宋体" w:hAnsi="宋体"/>
          <w:color w:val="auto"/>
          <w:sz w:val="24"/>
        </w:rPr>
        <w:t>；</w:t>
      </w:r>
    </w:p>
    <w:p w14:paraId="698F28C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联系电话：</w:t>
      </w:r>
      <w:r>
        <w:rPr>
          <w:rFonts w:hint="eastAsia" w:ascii="宋体" w:hAnsi="宋体"/>
          <w:color w:val="auto"/>
          <w:sz w:val="24"/>
          <w:u w:val="single"/>
        </w:rPr>
        <w:t> /</w:t>
      </w:r>
      <w:r>
        <w:rPr>
          <w:rFonts w:hint="eastAsia" w:ascii="宋体" w:hAnsi="宋体"/>
          <w:color w:val="auto"/>
          <w:sz w:val="24"/>
        </w:rPr>
        <w:t>；电子信箱：</w:t>
      </w:r>
      <w:r>
        <w:rPr>
          <w:rFonts w:hint="eastAsia" w:ascii="宋体" w:hAnsi="宋体"/>
          <w:color w:val="auto"/>
          <w:sz w:val="24"/>
          <w:u w:val="single"/>
        </w:rPr>
        <w:t> /</w:t>
      </w:r>
      <w:r>
        <w:rPr>
          <w:rFonts w:hint="eastAsia" w:ascii="宋体" w:hAnsi="宋体"/>
          <w:color w:val="auto"/>
          <w:sz w:val="24"/>
        </w:rPr>
        <w:t>；通信地址：</w:t>
      </w:r>
      <w:r>
        <w:rPr>
          <w:rFonts w:hint="eastAsia" w:ascii="宋体" w:hAnsi="宋体"/>
          <w:color w:val="auto"/>
          <w:sz w:val="24"/>
          <w:u w:val="single"/>
        </w:rPr>
        <w:t> /</w:t>
      </w:r>
      <w:r>
        <w:rPr>
          <w:rFonts w:hint="eastAsia" w:ascii="宋体" w:hAnsi="宋体"/>
          <w:color w:val="auto"/>
          <w:sz w:val="24"/>
        </w:rPr>
        <w:t>；</w:t>
      </w:r>
    </w:p>
    <w:p w14:paraId="1C6723FE">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1.1.3 工程和设备</w:t>
      </w:r>
    </w:p>
    <w:p w14:paraId="15B35267">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1.1.3.7 作为施工现场组成部分的其他场所包括：</w:t>
      </w:r>
      <w:r>
        <w:rPr>
          <w:rFonts w:hint="eastAsia" w:ascii="宋体" w:hAnsi="宋体"/>
          <w:color w:val="auto"/>
          <w:sz w:val="24"/>
          <w:u w:val="single"/>
        </w:rPr>
        <w:t> /</w:t>
      </w:r>
    </w:p>
    <w:p w14:paraId="6483FA8E">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1.1.3.9 永久占地包括：</w:t>
      </w:r>
      <w:r>
        <w:rPr>
          <w:rFonts w:hint="eastAsia" w:ascii="宋体" w:hAnsi="宋体"/>
          <w:color w:val="auto"/>
          <w:sz w:val="24"/>
          <w:u w:val="single"/>
        </w:rPr>
        <w:t xml:space="preserve"> / </w:t>
      </w:r>
    </w:p>
    <w:p w14:paraId="199F459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1.1.3.10 临时占地包括：</w:t>
      </w:r>
      <w:r>
        <w:rPr>
          <w:rFonts w:hint="eastAsia" w:ascii="宋体" w:hAnsi="宋体"/>
          <w:color w:val="auto"/>
          <w:sz w:val="24"/>
          <w:u w:val="single"/>
        </w:rPr>
        <w:t> /</w:t>
      </w:r>
    </w:p>
    <w:p w14:paraId="5DD23DF5">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 xml:space="preserve">1.3法律 </w:t>
      </w:r>
    </w:p>
    <w:p w14:paraId="03124E5F">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适用于合同的其他规范性文件：</w:t>
      </w:r>
      <w:r>
        <w:rPr>
          <w:rFonts w:hint="eastAsia" w:ascii="宋体" w:hAnsi="宋体"/>
          <w:color w:val="auto"/>
          <w:sz w:val="24"/>
          <w:u w:val="single"/>
        </w:rPr>
        <w:t xml:space="preserve">  《中华人民共和国合同法》、《中华人民共和国建筑法》、《中华人民共和国招标投标法》、《建设工程质量管理条例》、《建设工程安全生产管理条例》、《合肥市公共资源交易条例》等国家及工程所在地现行有效的法律法规和规章。  </w:t>
      </w:r>
    </w:p>
    <w:p w14:paraId="47C5D801">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1.4 标准和规范</w:t>
      </w:r>
    </w:p>
    <w:p w14:paraId="615DFBF8">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1.4.1适用于工程的标准规范包括：</w:t>
      </w:r>
      <w:r>
        <w:rPr>
          <w:rFonts w:hint="eastAsia" w:ascii="宋体" w:hAnsi="宋体"/>
          <w:color w:val="auto"/>
          <w:sz w:val="24"/>
          <w:u w:val="single"/>
        </w:rPr>
        <w:t>执行通用条款。</w:t>
      </w:r>
    </w:p>
    <w:p w14:paraId="62B6B7A2">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1.4.2 发包人提供国外标准、规范的名称：</w:t>
      </w:r>
      <w:r>
        <w:rPr>
          <w:rFonts w:hint="eastAsia" w:ascii="宋体" w:hAnsi="宋体"/>
          <w:color w:val="auto"/>
          <w:kern w:val="0"/>
          <w:sz w:val="24"/>
          <w:u w:val="single"/>
        </w:rPr>
        <w:t xml:space="preserve">  不采用。   </w:t>
      </w:r>
      <w:r>
        <w:rPr>
          <w:rFonts w:hint="eastAsia" w:ascii="宋体" w:hAnsi="宋体"/>
          <w:color w:val="auto"/>
          <w:kern w:val="0"/>
          <w:sz w:val="24"/>
        </w:rPr>
        <w:t xml:space="preserve"> </w:t>
      </w:r>
    </w:p>
    <w:p w14:paraId="05C50FD5">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发包人提供国外标准、规范的份数：</w:t>
      </w:r>
      <w:r>
        <w:rPr>
          <w:rFonts w:hint="eastAsia" w:ascii="宋体" w:hAnsi="宋体"/>
          <w:color w:val="auto"/>
          <w:kern w:val="0"/>
          <w:sz w:val="24"/>
          <w:u w:val="single"/>
        </w:rPr>
        <w:t xml:space="preserve">  不采用。  </w:t>
      </w:r>
    </w:p>
    <w:p w14:paraId="546F82A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发包人提供国外标准、规范的名称：</w:t>
      </w:r>
      <w:r>
        <w:rPr>
          <w:rFonts w:hint="eastAsia" w:ascii="宋体" w:hAnsi="宋体"/>
          <w:color w:val="auto"/>
          <w:kern w:val="0"/>
          <w:sz w:val="24"/>
          <w:u w:val="single"/>
        </w:rPr>
        <w:t xml:space="preserve"> 不采用。  </w:t>
      </w:r>
    </w:p>
    <w:p w14:paraId="4F1ABFFE">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1.4.3发包人对工程的技术标准和功能要求的特殊要求：</w:t>
      </w:r>
      <w:r>
        <w:rPr>
          <w:rFonts w:hint="eastAsia" w:ascii="宋体" w:hAnsi="宋体"/>
          <w:color w:val="auto"/>
          <w:sz w:val="24"/>
          <w:u w:val="single"/>
        </w:rPr>
        <w:t> /</w:t>
      </w:r>
    </w:p>
    <w:p w14:paraId="0179EEAF">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1.5 合同文件的优先顺序</w:t>
      </w:r>
    </w:p>
    <w:p w14:paraId="23268067">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合同文件组成及优先顺序为：</w:t>
      </w:r>
      <w:r>
        <w:rPr>
          <w:rFonts w:hint="eastAsia" w:ascii="宋体" w:hAnsi="宋体"/>
          <w:color w:val="auto"/>
          <w:sz w:val="24"/>
          <w:u w:val="single"/>
        </w:rPr>
        <w:t xml:space="preserve">本合同协议书→中标通知书→投标书及其附件→本合同专用条款→本合同通用条款→技术标准和要求→图纸→已标价工程量清单→其他合同文件。 </w:t>
      </w:r>
    </w:p>
    <w:p w14:paraId="7DB8E96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1.6 图纸和承包人文件</w:t>
      </w:r>
    </w:p>
    <w:p w14:paraId="43DB3AA4">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1.6.1 图纸的提供</w:t>
      </w:r>
    </w:p>
    <w:p w14:paraId="6D696E1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发包人向承包人提供图纸的期限：</w:t>
      </w:r>
      <w:r>
        <w:rPr>
          <w:rFonts w:hint="eastAsia" w:ascii="宋体" w:hAnsi="宋体"/>
          <w:color w:val="auto"/>
          <w:sz w:val="24"/>
          <w:u w:val="single"/>
        </w:rPr>
        <w:t>执行通用条款。</w:t>
      </w:r>
    </w:p>
    <w:p w14:paraId="48CF196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发包人向承包人提供图纸的数量：</w:t>
      </w:r>
      <w:r>
        <w:rPr>
          <w:rFonts w:hint="eastAsia" w:ascii="宋体" w:hAnsi="宋体"/>
          <w:color w:val="auto"/>
          <w:sz w:val="24"/>
          <w:u w:val="single"/>
        </w:rPr>
        <w:t>提供 五套施工图蓝图（含竣工图两套），不足的由承包人自行复制，费用自理。</w:t>
      </w:r>
    </w:p>
    <w:p w14:paraId="119D4F1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发包人向承包人提供图纸的内容：</w:t>
      </w:r>
      <w:r>
        <w:rPr>
          <w:rFonts w:hint="eastAsia" w:ascii="宋体" w:hAnsi="宋体"/>
          <w:color w:val="auto"/>
          <w:sz w:val="24"/>
          <w:u w:val="single"/>
        </w:rPr>
        <w:t> 设计施工图、施工图审查资料、施工图消防专项审查资料、人防施工图审查资料、在本项目投标截止日期之前的所有施工图设计变更资料、岩土工程勘察报告等。</w:t>
      </w:r>
    </w:p>
    <w:p w14:paraId="2C04CB29">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1.6.4 承包人文件</w:t>
      </w:r>
    </w:p>
    <w:p w14:paraId="6A4C44D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需要由承包人提供的文件，包括：</w:t>
      </w:r>
      <w:r>
        <w:rPr>
          <w:rFonts w:hint="eastAsia" w:ascii="宋体" w:hAnsi="宋体"/>
          <w:color w:val="auto"/>
          <w:sz w:val="24"/>
          <w:u w:val="single"/>
        </w:rPr>
        <w:t>执行通用条款。</w:t>
      </w:r>
    </w:p>
    <w:p w14:paraId="647EAF2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承包人提供的文件的期限为：</w:t>
      </w:r>
      <w:r>
        <w:rPr>
          <w:rFonts w:hint="eastAsia" w:ascii="宋体" w:hAnsi="宋体"/>
          <w:color w:val="auto"/>
          <w:sz w:val="24"/>
          <w:u w:val="single"/>
        </w:rPr>
        <w:t>执行通用条款。</w:t>
      </w:r>
    </w:p>
    <w:p w14:paraId="45C33A4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承包人提供的文件的数量为：</w:t>
      </w:r>
      <w:r>
        <w:rPr>
          <w:rFonts w:hint="eastAsia" w:ascii="宋体" w:hAnsi="宋体"/>
          <w:color w:val="auto"/>
          <w:sz w:val="24"/>
          <w:u w:val="single"/>
        </w:rPr>
        <w:t>执行通用条款。</w:t>
      </w:r>
    </w:p>
    <w:p w14:paraId="785C935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承包人提供的文件的形式为：</w:t>
      </w:r>
      <w:r>
        <w:rPr>
          <w:rFonts w:hint="eastAsia" w:ascii="宋体" w:hAnsi="宋体"/>
          <w:color w:val="auto"/>
          <w:sz w:val="24"/>
          <w:u w:val="single"/>
        </w:rPr>
        <w:t>执行通用条款。</w:t>
      </w:r>
    </w:p>
    <w:p w14:paraId="093B2A1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发包人审批承包人文件的期限：</w:t>
      </w:r>
      <w:r>
        <w:rPr>
          <w:rFonts w:hint="eastAsia" w:ascii="宋体" w:hAnsi="宋体"/>
          <w:color w:val="auto"/>
          <w:sz w:val="24"/>
          <w:u w:val="single"/>
        </w:rPr>
        <w:t>执行通用条款。</w:t>
      </w:r>
    </w:p>
    <w:p w14:paraId="414CB185">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1.6.5 现场图纸准备</w:t>
      </w:r>
    </w:p>
    <w:p w14:paraId="1B2BE4D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关于现场图纸准备的约定：</w:t>
      </w:r>
      <w:r>
        <w:rPr>
          <w:rFonts w:hint="eastAsia" w:ascii="宋体" w:hAnsi="宋体"/>
          <w:color w:val="auto"/>
          <w:sz w:val="24"/>
          <w:u w:val="single"/>
        </w:rPr>
        <w:t>执行通用条款。</w:t>
      </w:r>
    </w:p>
    <w:p w14:paraId="7DD6C3C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1.7 联络</w:t>
      </w:r>
    </w:p>
    <w:p w14:paraId="79C672A7">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1.7.1发包人和承包人应当在</w:t>
      </w:r>
      <w:r>
        <w:rPr>
          <w:rFonts w:hint="eastAsia" w:ascii="宋体" w:hAnsi="宋体"/>
          <w:color w:val="auto"/>
          <w:sz w:val="24"/>
          <w:u w:val="single"/>
        </w:rPr>
        <w:t xml:space="preserve"> 7  </w:t>
      </w:r>
      <w:r>
        <w:rPr>
          <w:rFonts w:hint="eastAsia" w:ascii="宋体" w:hAnsi="宋体"/>
          <w:color w:val="auto"/>
          <w:kern w:val="0"/>
          <w:sz w:val="24"/>
        </w:rPr>
        <w:t>天内将与合同有关的通知、批准、证明、证书、指示、指令、要求、请求、同意、意见、确定和决定等书面函件送达对方当事人。</w:t>
      </w:r>
    </w:p>
    <w:p w14:paraId="46939BA2">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1.7.2 发包人接收文件的地点、发包人指定的接收人为、承包人接收文件的地点、</w:t>
      </w:r>
    </w:p>
    <w:p w14:paraId="22672209">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承包人指定的接收人为、监理人接收文件的地点、监理人指定的接收人为：</w:t>
      </w:r>
      <w:r>
        <w:rPr>
          <w:rFonts w:hint="eastAsia" w:ascii="宋体" w:hAnsi="宋体"/>
          <w:color w:val="auto"/>
          <w:sz w:val="24"/>
          <w:u w:val="single"/>
        </w:rPr>
        <w:t>履行约定。</w:t>
      </w:r>
    </w:p>
    <w:p w14:paraId="4E2D687F">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1.10 交通运输</w:t>
      </w:r>
    </w:p>
    <w:p w14:paraId="585DE259">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w:t>
      </w:r>
      <w:bookmarkStart w:id="78" w:name="_Toc312677986"/>
      <w:bookmarkStart w:id="79" w:name="_Toc318581155"/>
      <w:bookmarkStart w:id="80" w:name="_Toc300934943"/>
      <w:bookmarkStart w:id="81" w:name="_Toc303539100"/>
      <w:bookmarkStart w:id="82" w:name="_Toc304295521"/>
      <w:r>
        <w:rPr>
          <w:rFonts w:hint="eastAsia" w:ascii="宋体" w:hAnsi="宋体"/>
          <w:color w:val="auto"/>
          <w:sz w:val="24"/>
        </w:rPr>
        <w:t>.10.1 出入现场的权利</w:t>
      </w:r>
    </w:p>
    <w:p w14:paraId="1D4F730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关于出入现场的权利的约定：</w:t>
      </w:r>
      <w:r>
        <w:rPr>
          <w:rFonts w:hint="eastAsia" w:ascii="宋体" w:hAnsi="宋体"/>
          <w:color w:val="auto"/>
          <w:sz w:val="24"/>
          <w:u w:val="single"/>
        </w:rPr>
        <w:t></w:t>
      </w:r>
      <w:r>
        <w:rPr>
          <w:rFonts w:hint="eastAsia" w:ascii="宋体" w:hAnsi="宋体"/>
          <w:color w:val="auto"/>
          <w:kern w:val="0"/>
          <w:sz w:val="24"/>
          <w:u w:val="single"/>
        </w:rPr>
        <w:t>执行通用条款</w:t>
      </w:r>
      <w:r>
        <w:rPr>
          <w:rFonts w:hint="eastAsia" w:ascii="宋体" w:hAnsi="宋体"/>
          <w:color w:val="auto"/>
          <w:sz w:val="24"/>
          <w:u w:val="single"/>
        </w:rPr>
        <w:t></w:t>
      </w:r>
      <w:r>
        <w:rPr>
          <w:rFonts w:hint="eastAsia" w:ascii="宋体" w:hAnsi="宋体"/>
          <w:color w:val="auto"/>
          <w:sz w:val="24"/>
        </w:rPr>
        <w:t>。</w:t>
      </w:r>
    </w:p>
    <w:bookmarkEnd w:id="78"/>
    <w:bookmarkEnd w:id="79"/>
    <w:bookmarkEnd w:id="80"/>
    <w:bookmarkEnd w:id="81"/>
    <w:bookmarkEnd w:id="82"/>
    <w:p w14:paraId="3C1F4DDA">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w:t>
      </w:r>
      <w:bookmarkStart w:id="83" w:name="_Toc318581156"/>
      <w:bookmarkStart w:id="84" w:name="_Toc300934944"/>
      <w:bookmarkStart w:id="85" w:name="_Toc304295522"/>
      <w:bookmarkStart w:id="86" w:name="_Toc303539101"/>
      <w:bookmarkStart w:id="87" w:name="_Toc312677987"/>
      <w:r>
        <w:rPr>
          <w:rFonts w:hint="eastAsia" w:ascii="宋体" w:hAnsi="宋体"/>
          <w:color w:val="auto"/>
          <w:sz w:val="24"/>
        </w:rPr>
        <w:t>.10.3 场内交通</w:t>
      </w:r>
    </w:p>
    <w:p w14:paraId="41416145">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关于场外交通和场内交通的边界的约定：</w:t>
      </w:r>
      <w:r>
        <w:rPr>
          <w:rFonts w:hint="eastAsia" w:ascii="宋体" w:hAnsi="宋体"/>
          <w:color w:val="auto"/>
          <w:sz w:val="24"/>
          <w:u w:val="single"/>
        </w:rPr>
        <w:t xml:space="preserve"> </w:t>
      </w:r>
      <w:r>
        <w:rPr>
          <w:rFonts w:hint="eastAsia" w:ascii="宋体" w:hAnsi="宋体"/>
          <w:color w:val="auto"/>
          <w:kern w:val="0"/>
          <w:sz w:val="24"/>
          <w:u w:val="single"/>
        </w:rPr>
        <w:t xml:space="preserve">以本项目用地红线作为场内外交通边界线。   </w:t>
      </w:r>
    </w:p>
    <w:p w14:paraId="33D185E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关于发包人向承包人免费提供满足工程施工需要的场内道路和交通设施的约定：</w:t>
      </w:r>
      <w:r>
        <w:rPr>
          <w:rFonts w:hint="eastAsia" w:ascii="宋体" w:hAnsi="宋体"/>
          <w:color w:val="auto"/>
          <w:sz w:val="24"/>
          <w:u w:val="single"/>
        </w:rPr>
        <w:t></w:t>
      </w:r>
      <w:r>
        <w:rPr>
          <w:rFonts w:hint="eastAsia" w:ascii="宋体" w:hAnsi="宋体"/>
          <w:color w:val="auto"/>
          <w:kern w:val="0"/>
          <w:sz w:val="24"/>
          <w:u w:val="single"/>
        </w:rPr>
        <w:t>执行通用条款。</w:t>
      </w:r>
      <w:r>
        <w:rPr>
          <w:rFonts w:hint="eastAsia" w:ascii="宋体" w:hAnsi="宋体"/>
          <w:color w:val="auto"/>
          <w:sz w:val="24"/>
          <w:u w:val="single"/>
        </w:rPr>
        <w:t xml:space="preserve"> </w:t>
      </w:r>
      <w:bookmarkEnd w:id="83"/>
      <w:bookmarkEnd w:id="84"/>
      <w:bookmarkEnd w:id="85"/>
      <w:bookmarkEnd w:id="86"/>
      <w:bookmarkEnd w:id="87"/>
      <w:bookmarkStart w:id="88" w:name="_Toc318581157"/>
    </w:p>
    <w:p w14:paraId="57A687A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1.10.4超大件和超重件的运输运输超大件或超重件所需的道路和桥梁临时加固改造费用和其他有关费用由</w:t>
      </w:r>
      <w:r>
        <w:rPr>
          <w:rFonts w:hint="eastAsia" w:ascii="宋体" w:hAnsi="宋体"/>
          <w:color w:val="auto"/>
          <w:sz w:val="24"/>
          <w:u w:val="single"/>
        </w:rPr>
        <w:t xml:space="preserve">  /</w:t>
      </w:r>
      <w:r>
        <w:rPr>
          <w:rFonts w:hint="eastAsia" w:ascii="宋体" w:hAnsi="宋体"/>
          <w:color w:val="auto"/>
          <w:sz w:val="24"/>
        </w:rPr>
        <w:t>承担。</w:t>
      </w:r>
    </w:p>
    <w:bookmarkEnd w:id="88"/>
    <w:p w14:paraId="3634E8F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1.11 知识产权</w:t>
      </w:r>
    </w:p>
    <w:p w14:paraId="04DBFEC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olor w:val="auto"/>
          <w:sz w:val="24"/>
          <w:u w:val="single"/>
        </w:rPr>
        <w:t xml:space="preserve">发包人。 </w:t>
      </w:r>
    </w:p>
    <w:p w14:paraId="516F602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关于发包人提供的上述文件的使用限制的要求：</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4D4FEDBF">
      <w:pPr>
        <w:pStyle w:val="77"/>
        <w:tabs>
          <w:tab w:val="left" w:pos="360"/>
        </w:tabs>
        <w:adjustRightInd w:val="0"/>
        <w:snapToGrid w:val="0"/>
        <w:spacing w:line="360" w:lineRule="auto"/>
        <w:ind w:right="178" w:rightChars="85"/>
        <w:rPr>
          <w:rFonts w:hint="eastAsia" w:ascii="宋体" w:hAnsi="宋体"/>
          <w:color w:val="auto"/>
          <w:sz w:val="24"/>
        </w:rPr>
      </w:pPr>
      <w:r>
        <w:rPr>
          <w:rFonts w:hint="eastAsia" w:ascii="宋体" w:hAnsi="宋体"/>
          <w:color w:val="auto"/>
          <w:sz w:val="24"/>
        </w:rPr>
        <w:t>1.11.2 关于承包人为实施工程所编制文件的著作权的归属：</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33C819C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关于承包人提供的上述文件的使用限制的要求：</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6D05ACA5">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sz w:val="24"/>
        </w:rPr>
        <w:t>1.11.4 承包人在施工过程中所采用的专利、专有技术、技术秘密的使用费的承担方式：</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339C356C">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1.13工程量清单错误的修正</w:t>
      </w:r>
    </w:p>
    <w:p w14:paraId="53B1693A">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出现工程量清单错误时，是否调整合同价格：</w:t>
      </w:r>
      <w:r>
        <w:rPr>
          <w:rFonts w:hint="eastAsia" w:ascii="宋体" w:hAnsi="宋体"/>
          <w:color w:val="auto"/>
          <w:sz w:val="24"/>
          <w:u w:val="single"/>
        </w:rPr>
        <w:t xml:space="preserve">  不采用通用条款，按下列规定办理：</w:t>
      </w:r>
      <w:r>
        <w:rPr>
          <w:rFonts w:hint="eastAsia" w:ascii="宋体" w:hAnsi="宋体" w:cs="Courier New"/>
          <w:color w:val="auto"/>
          <w:sz w:val="24"/>
          <w:u w:val="single"/>
        </w:rPr>
        <w:t xml:space="preserve">除本补充条款另有规定外，工程总造价在招标范围内一次性包死。  </w:t>
      </w:r>
    </w:p>
    <w:p w14:paraId="1C638AA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允许调整合同价格的工程量偏差范围：</w:t>
      </w:r>
      <w:r>
        <w:rPr>
          <w:rFonts w:hint="eastAsia" w:ascii="宋体" w:hAnsi="宋体"/>
          <w:color w:val="auto"/>
          <w:sz w:val="24"/>
          <w:u w:val="single"/>
        </w:rPr>
        <w:t> /</w:t>
      </w:r>
    </w:p>
    <w:p w14:paraId="07713152">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r>
        <w:rPr>
          <w:rFonts w:hint="eastAsia" w:ascii="宋体" w:hAnsi="宋体"/>
          <w:color w:val="auto"/>
          <w:kern w:val="0"/>
          <w:sz w:val="24"/>
        </w:rPr>
        <w:t>2. 发包人</w:t>
      </w:r>
    </w:p>
    <w:p w14:paraId="61883457">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2.2 发包人代表</w:t>
      </w:r>
    </w:p>
    <w:p w14:paraId="4286D03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发包人代表：</w:t>
      </w:r>
    </w:p>
    <w:p w14:paraId="4C73F33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姓名：</w:t>
      </w:r>
      <w:r>
        <w:rPr>
          <w:rFonts w:hint="eastAsia" w:ascii="宋体" w:hAnsi="宋体"/>
          <w:color w:val="auto"/>
          <w:sz w:val="24"/>
          <w:u w:val="single"/>
        </w:rPr>
        <w:t>    </w:t>
      </w:r>
      <w:r>
        <w:rPr>
          <w:rFonts w:hint="eastAsia" w:ascii="宋体" w:hAnsi="宋体"/>
          <w:color w:val="auto"/>
          <w:sz w:val="24"/>
        </w:rPr>
        <w:t xml:space="preserve">； </w:t>
      </w:r>
    </w:p>
    <w:p w14:paraId="07CAA96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发包人对发包人代表的授权范围如下：</w:t>
      </w:r>
      <w:r>
        <w:rPr>
          <w:rFonts w:hint="eastAsia" w:ascii="宋体" w:hAnsi="宋体"/>
          <w:color w:val="auto"/>
          <w:sz w:val="24"/>
          <w:u w:val="single"/>
        </w:rPr>
        <w:t></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56C2C80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2.4 施工现场、施工条件和基础资料的提供</w:t>
      </w:r>
    </w:p>
    <w:p w14:paraId="6426F5D5">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2.4.1 提供施工现场</w:t>
      </w:r>
    </w:p>
    <w:p w14:paraId="685B29C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关于发包人移交施工现场的期限要求：</w:t>
      </w:r>
      <w:r>
        <w:rPr>
          <w:rFonts w:hint="eastAsia" w:ascii="宋体" w:hAnsi="宋体"/>
          <w:color w:val="auto"/>
          <w:sz w:val="24"/>
          <w:u w:val="single"/>
        </w:rPr>
        <w:t>开工日期7天前（</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41C6544B">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2.4.2 提供施工条件</w:t>
      </w:r>
    </w:p>
    <w:p w14:paraId="600A4160">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关于发包人应负责提供施工所需要的条件，包括：</w:t>
      </w:r>
      <w:r>
        <w:rPr>
          <w:rFonts w:hint="eastAsia" w:ascii="宋体" w:hAnsi="宋体"/>
          <w:color w:val="auto"/>
          <w:sz w:val="24"/>
          <w:u w:val="single"/>
        </w:rPr>
        <w:t xml:space="preserve">  执行通用条款。  </w:t>
      </w:r>
    </w:p>
    <w:p w14:paraId="70B9015F">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2.5 资金来源证明及支付担保</w:t>
      </w:r>
    </w:p>
    <w:p w14:paraId="29BCAA8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发包人提供资金来源证明的期限要求：</w:t>
      </w:r>
      <w:r>
        <w:rPr>
          <w:rFonts w:hint="eastAsia" w:ascii="宋体" w:hAnsi="宋体"/>
          <w:color w:val="auto"/>
          <w:sz w:val="24"/>
          <w:u w:val="single"/>
        </w:rPr>
        <w:t xml:space="preserve">不采用。   </w:t>
      </w:r>
    </w:p>
    <w:p w14:paraId="4FFCC0E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发包人是否提供支付担保：</w:t>
      </w:r>
      <w:r>
        <w:rPr>
          <w:rFonts w:hint="eastAsia" w:ascii="宋体" w:hAnsi="宋体"/>
          <w:color w:val="auto"/>
          <w:sz w:val="24"/>
          <w:u w:val="single"/>
        </w:rPr>
        <w:t xml:space="preserve">不采用。   </w:t>
      </w:r>
    </w:p>
    <w:p w14:paraId="1B8A2673">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发包人提供支付担保的形式：</w:t>
      </w:r>
      <w:r>
        <w:rPr>
          <w:rFonts w:hint="eastAsia" w:ascii="宋体" w:hAnsi="宋体"/>
          <w:color w:val="auto"/>
          <w:sz w:val="24"/>
          <w:u w:val="single"/>
        </w:rPr>
        <w:t xml:space="preserve">不采用。   </w:t>
      </w:r>
    </w:p>
    <w:p w14:paraId="7B07A63D">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89" w:name="_Toc351203635"/>
      <w:r>
        <w:rPr>
          <w:rFonts w:hint="eastAsia" w:ascii="宋体" w:hAnsi="宋体"/>
          <w:color w:val="auto"/>
          <w:kern w:val="0"/>
          <w:sz w:val="24"/>
        </w:rPr>
        <w:t>3</w:t>
      </w:r>
      <w:bookmarkStart w:id="90" w:name="_Toc296891198"/>
      <w:bookmarkStart w:id="91" w:name="_Toc296347157"/>
      <w:bookmarkStart w:id="92" w:name="_Toc296346659"/>
      <w:bookmarkStart w:id="93" w:name="_Toc292559868"/>
      <w:bookmarkStart w:id="94" w:name="_Toc296503158"/>
      <w:bookmarkStart w:id="95" w:name="_Toc292559363"/>
      <w:bookmarkStart w:id="96" w:name="_Toc297048344"/>
      <w:bookmarkStart w:id="97" w:name="_Toc297120458"/>
      <w:bookmarkStart w:id="98" w:name="_Toc296890986"/>
      <w:bookmarkStart w:id="99" w:name="_Toc296944497"/>
      <w:r>
        <w:rPr>
          <w:rFonts w:hint="eastAsia" w:ascii="宋体" w:hAnsi="宋体"/>
          <w:color w:val="auto"/>
          <w:kern w:val="0"/>
          <w:sz w:val="24"/>
        </w:rPr>
        <w:t>. 承包人</w:t>
      </w:r>
      <w:bookmarkEnd w:id="89"/>
    </w:p>
    <w:bookmarkEnd w:id="90"/>
    <w:bookmarkEnd w:id="91"/>
    <w:bookmarkEnd w:id="92"/>
    <w:bookmarkEnd w:id="93"/>
    <w:bookmarkEnd w:id="94"/>
    <w:bookmarkEnd w:id="95"/>
    <w:bookmarkEnd w:id="96"/>
    <w:bookmarkEnd w:id="97"/>
    <w:bookmarkEnd w:id="98"/>
    <w:bookmarkEnd w:id="99"/>
    <w:p w14:paraId="1C357CB0">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3.1 承包人的一般义务</w:t>
      </w:r>
    </w:p>
    <w:p w14:paraId="3F007D87">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（5）</w:t>
      </w:r>
      <w:r>
        <w:rPr>
          <w:rFonts w:hint="eastAsia" w:ascii="宋体" w:hAnsi="宋体"/>
          <w:color w:val="auto"/>
          <w:sz w:val="24"/>
        </w:rPr>
        <w:t>承包人提交的竣工资料的内容：</w:t>
      </w:r>
      <w:r>
        <w:rPr>
          <w:rFonts w:hint="eastAsia" w:ascii="宋体" w:hAnsi="宋体"/>
          <w:color w:val="auto"/>
          <w:sz w:val="24"/>
          <w:u w:val="single"/>
        </w:rPr>
        <w:t xml:space="preserve">   承包人提供全套竣工图，所有竣工图应为新晒蓝图。  </w:t>
      </w:r>
    </w:p>
    <w:p w14:paraId="0018595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承包人需要提交的竣工资料套数：</w:t>
      </w:r>
      <w:r>
        <w:rPr>
          <w:rFonts w:hint="eastAsia" w:ascii="宋体" w:hAnsi="宋体"/>
          <w:color w:val="auto"/>
          <w:sz w:val="24"/>
          <w:u w:val="single"/>
        </w:rPr>
        <w:t xml:space="preserve">    两套。  </w:t>
      </w:r>
    </w:p>
    <w:p w14:paraId="1EECA8A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承包人提交的竣工资料的费用承担：</w:t>
      </w:r>
      <w:r>
        <w:rPr>
          <w:rFonts w:hint="eastAsia" w:ascii="宋体" w:hAnsi="宋体"/>
          <w:color w:val="auto"/>
          <w:sz w:val="24"/>
          <w:u w:val="single"/>
        </w:rPr>
        <w:t xml:space="preserve">  此项费用由承包人承担。   </w:t>
      </w:r>
    </w:p>
    <w:p w14:paraId="60BDC51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承包人提交的竣工资料移交时间：</w:t>
      </w:r>
      <w:r>
        <w:rPr>
          <w:rFonts w:hint="eastAsia" w:ascii="宋体" w:hAnsi="宋体"/>
          <w:color w:val="auto"/>
          <w:sz w:val="24"/>
          <w:u w:val="single"/>
        </w:rPr>
        <w:t xml:space="preserve">  单位工程办理竣工初验之前两周内。   </w:t>
      </w:r>
    </w:p>
    <w:p w14:paraId="1360091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承包人提交的竣工资料形式要求：</w:t>
      </w:r>
      <w:r>
        <w:rPr>
          <w:rFonts w:hint="eastAsia" w:ascii="宋体" w:hAnsi="宋体"/>
          <w:color w:val="auto"/>
          <w:sz w:val="24"/>
          <w:u w:val="single"/>
        </w:rPr>
        <w:t xml:space="preserve">  纸介版及其电子版。   </w:t>
      </w:r>
    </w:p>
    <w:p w14:paraId="682A77A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（6）承包人应履行的其他义务：</w:t>
      </w:r>
      <w:r>
        <w:rPr>
          <w:rFonts w:hint="eastAsia" w:ascii="宋体" w:hAnsi="宋体"/>
          <w:color w:val="auto"/>
          <w:sz w:val="24"/>
          <w:u w:val="single"/>
        </w:rPr>
        <w:t xml:space="preserve"> 每月25日提交本月工程报表和下月工程计划表，（报表和计划表应包括质量、进度、安全、投资、材料计划等内容，反映存在的问题和应对措施；一式叁份提交发包人)。  </w:t>
      </w:r>
    </w:p>
    <w:p w14:paraId="43483A4C">
      <w:pPr>
        <w:pStyle w:val="77"/>
        <w:tabs>
          <w:tab w:val="left" w:pos="360"/>
        </w:tabs>
        <w:adjustRightInd w:val="0"/>
        <w:snapToGrid w:val="0"/>
        <w:spacing w:line="360" w:lineRule="auto"/>
        <w:ind w:right="178" w:rightChars="85" w:firstLine="480" w:firstLineChars="200"/>
        <w:rPr>
          <w:rFonts w:hint="eastAsia" w:ascii="宋体" w:hAnsi="宋体"/>
          <w:bCs/>
          <w:color w:val="auto"/>
          <w:sz w:val="24"/>
          <w:u w:val="single"/>
        </w:rPr>
      </w:pPr>
      <w:r>
        <w:rPr>
          <w:rFonts w:hint="eastAsia" w:ascii="宋体" w:hAnsi="宋体"/>
          <w:color w:val="auto"/>
          <w:sz w:val="24"/>
        </w:rPr>
        <w:t>承包人向发包人提供办公和生活房屋及设施的要求：</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bCs/>
          <w:color w:val="auto"/>
          <w:sz w:val="24"/>
          <w:u w:val="single"/>
        </w:rPr>
        <w:t xml:space="preserve">。 </w:t>
      </w:r>
    </w:p>
    <w:p w14:paraId="5B5E5C7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施工现场清洁卫生的要求：</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p>
    <w:p w14:paraId="273F25E0">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3.2 项目经理</w:t>
      </w:r>
    </w:p>
    <w:p w14:paraId="29B18B69">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kern w:val="0"/>
          <w:sz w:val="24"/>
        </w:rPr>
        <w:t xml:space="preserve">3.2.1 </w:t>
      </w:r>
      <w:r>
        <w:rPr>
          <w:rFonts w:hint="eastAsia" w:ascii="宋体" w:hAnsi="宋体"/>
          <w:color w:val="auto"/>
          <w:sz w:val="24"/>
        </w:rPr>
        <w:t>项目经理：</w:t>
      </w:r>
    </w:p>
    <w:p w14:paraId="22A07CF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姓名：</w:t>
      </w:r>
      <w:r>
        <w:rPr>
          <w:rFonts w:hint="eastAsia" w:ascii="宋体" w:hAnsi="宋体"/>
          <w:color w:val="auto"/>
          <w:sz w:val="24"/>
          <w:u w:val="single"/>
        </w:rPr>
        <w:t> </w:t>
      </w:r>
      <w:r>
        <w:rPr>
          <w:rFonts w:hint="eastAsia" w:ascii="宋体" w:hAnsi="宋体"/>
          <w:color w:val="auto"/>
          <w:sz w:val="24"/>
        </w:rPr>
        <w:t>；</w:t>
      </w:r>
    </w:p>
    <w:p w14:paraId="7B30156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身份证号：</w:t>
      </w:r>
      <w:r>
        <w:rPr>
          <w:rFonts w:hint="eastAsia" w:ascii="宋体" w:hAnsi="宋体"/>
          <w:color w:val="auto"/>
          <w:sz w:val="24"/>
          <w:u w:val="single"/>
        </w:rPr>
        <w:t>    </w:t>
      </w:r>
      <w:r>
        <w:rPr>
          <w:rFonts w:hint="eastAsia" w:ascii="宋体" w:hAnsi="宋体"/>
          <w:color w:val="auto"/>
          <w:sz w:val="24"/>
        </w:rPr>
        <w:t>；</w:t>
      </w:r>
    </w:p>
    <w:p w14:paraId="2E05D9E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建造师执业资格等级：</w:t>
      </w:r>
      <w:r>
        <w:rPr>
          <w:rFonts w:hint="eastAsia" w:ascii="宋体" w:hAnsi="宋体"/>
          <w:color w:val="auto"/>
          <w:sz w:val="24"/>
          <w:u w:val="single"/>
        </w:rPr>
        <w:t> </w:t>
      </w:r>
      <w:r>
        <w:rPr>
          <w:rFonts w:hint="eastAsia" w:ascii="宋体" w:hAnsi="宋体"/>
          <w:color w:val="auto"/>
          <w:sz w:val="24"/>
        </w:rPr>
        <w:t>；</w:t>
      </w:r>
    </w:p>
    <w:p w14:paraId="29E98F2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建造师注册证书号：</w:t>
      </w:r>
      <w:r>
        <w:rPr>
          <w:rFonts w:hint="eastAsia" w:ascii="宋体" w:hAnsi="宋体"/>
          <w:color w:val="auto"/>
          <w:sz w:val="24"/>
          <w:u w:val="single"/>
        </w:rPr>
        <w:t>  </w:t>
      </w:r>
      <w:r>
        <w:rPr>
          <w:rFonts w:hint="eastAsia" w:ascii="宋体" w:hAnsi="宋体"/>
          <w:color w:val="auto"/>
          <w:sz w:val="24"/>
        </w:rPr>
        <w:t xml:space="preserve">； </w:t>
      </w:r>
    </w:p>
    <w:p w14:paraId="50E446F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承包人对项目经理的授权范围如下：</w:t>
      </w:r>
      <w:r>
        <w:rPr>
          <w:rFonts w:hint="eastAsia" w:ascii="宋体" w:hAnsi="宋体"/>
          <w:color w:val="auto"/>
          <w:sz w:val="24"/>
          <w:u w:val="single"/>
        </w:rPr>
        <w:t xml:space="preserve">   详见承包人对本工程项目经理授权委托书。   </w:t>
      </w:r>
    </w:p>
    <w:p w14:paraId="485DFC4E">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关于项目经理每月在施工现场的时间要求：</w:t>
      </w:r>
      <w:r>
        <w:rPr>
          <w:rFonts w:hint="eastAsia" w:ascii="宋体" w:hAnsi="宋体"/>
          <w:color w:val="auto"/>
          <w:sz w:val="24"/>
          <w:u w:val="single"/>
        </w:rPr>
        <w:t xml:space="preserve">   驻场时间每月不少于 25天，每天在岗工作时间不得少于8小时。 </w:t>
      </w:r>
    </w:p>
    <w:p w14:paraId="64DF755B">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承包人未提交劳动合同，以及没有为项目经理缴纳社会保险证明的违约责任：</w:t>
      </w:r>
      <w:r>
        <w:rPr>
          <w:rFonts w:hint="eastAsia" w:ascii="宋体" w:hAnsi="宋体"/>
          <w:color w:val="auto"/>
          <w:kern w:val="0"/>
          <w:sz w:val="24"/>
          <w:u w:val="single"/>
        </w:rPr>
        <w:t xml:space="preserve">   </w:t>
      </w:r>
      <w:r>
        <w:rPr>
          <w:rFonts w:hint="eastAsia" w:ascii="宋体" w:hAnsi="宋体"/>
          <w:color w:val="auto"/>
          <w:sz w:val="24"/>
          <w:u w:val="single"/>
        </w:rPr>
        <w:t xml:space="preserve">执行行业管理有关处罚规定。   </w:t>
      </w:r>
    </w:p>
    <w:p w14:paraId="555E1ACD">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kern w:val="0"/>
          <w:sz w:val="24"/>
        </w:rPr>
        <w:t>项目经理未经批准，擅自离开施工现场的违约责任：</w:t>
      </w:r>
      <w:r>
        <w:rPr>
          <w:rFonts w:hint="eastAsia" w:ascii="宋体" w:hAnsi="宋体"/>
          <w:color w:val="auto"/>
          <w:sz w:val="24"/>
          <w:u w:val="single"/>
        </w:rPr>
        <w:t xml:space="preserve">   责令改正，并承包人须支付发包人每天￥0.</w:t>
      </w:r>
      <w:r>
        <w:rPr>
          <w:rFonts w:hint="eastAsia" w:ascii="宋体" w:hAnsi="宋体"/>
          <w:color w:val="auto"/>
          <w:sz w:val="24"/>
          <w:u w:val="single"/>
          <w:lang w:val="en-US" w:eastAsia="zh-CN"/>
        </w:rPr>
        <w:t>0</w:t>
      </w:r>
      <w:r>
        <w:rPr>
          <w:rFonts w:hint="eastAsia" w:ascii="宋体" w:hAnsi="宋体"/>
          <w:color w:val="auto"/>
          <w:sz w:val="24"/>
          <w:u w:val="single"/>
        </w:rPr>
        <w:t xml:space="preserve">5万元/人次违约金。    </w:t>
      </w:r>
    </w:p>
    <w:p w14:paraId="48FAD67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3.2.3 承包人擅自更换项目经理的违约责任：</w:t>
      </w:r>
      <w:r>
        <w:rPr>
          <w:rFonts w:hint="eastAsia" w:ascii="宋体" w:hAnsi="宋体"/>
          <w:color w:val="auto"/>
          <w:sz w:val="24"/>
          <w:u w:val="single"/>
        </w:rPr>
        <w:t xml:space="preserve">   承包人须支付发包人￥</w:t>
      </w:r>
      <w:r>
        <w:rPr>
          <w:rFonts w:hint="eastAsia" w:ascii="宋体" w:hAnsi="宋体"/>
          <w:color w:val="auto"/>
          <w:sz w:val="24"/>
          <w:u w:val="single"/>
          <w:lang w:val="en-US" w:eastAsia="zh-CN"/>
        </w:rPr>
        <w:t>1</w:t>
      </w:r>
      <w:r>
        <w:rPr>
          <w:rFonts w:hint="eastAsia" w:ascii="宋体" w:hAnsi="宋体"/>
          <w:color w:val="auto"/>
          <w:sz w:val="24"/>
          <w:u w:val="single"/>
        </w:rPr>
        <w:t xml:space="preserve">.00万元违约金，并且更换后的项目经理资历、业务水平不得降低。   </w:t>
      </w:r>
    </w:p>
    <w:p w14:paraId="2901426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3.2.4 承包人无正当理由拒绝更换项目经理的违约责任：</w:t>
      </w:r>
      <w:r>
        <w:rPr>
          <w:rFonts w:hint="eastAsia" w:ascii="宋体" w:hAnsi="宋体"/>
          <w:color w:val="auto"/>
          <w:sz w:val="24"/>
          <w:u w:val="single"/>
        </w:rPr>
        <w:t xml:space="preserve">   责令改正，并承包人须支付发包人￥</w:t>
      </w:r>
      <w:r>
        <w:rPr>
          <w:rFonts w:hint="eastAsia" w:ascii="宋体" w:hAnsi="宋体"/>
          <w:color w:val="auto"/>
          <w:sz w:val="24"/>
          <w:u w:val="single"/>
          <w:lang w:val="en-US" w:eastAsia="zh-CN"/>
        </w:rPr>
        <w:t>1</w:t>
      </w:r>
      <w:r>
        <w:rPr>
          <w:rFonts w:hint="eastAsia" w:ascii="宋体" w:hAnsi="宋体"/>
          <w:color w:val="auto"/>
          <w:sz w:val="24"/>
          <w:u w:val="single"/>
        </w:rPr>
        <w:t xml:space="preserve">.00万元违约金。   </w:t>
      </w:r>
    </w:p>
    <w:p w14:paraId="5FB356DD">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3.3 承包人人员</w:t>
      </w:r>
    </w:p>
    <w:p w14:paraId="664587B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3.3.1 承包人提交项目管理机构及施工现场管理人员名单的期限：</w:t>
      </w:r>
      <w:r>
        <w:rPr>
          <w:rFonts w:hint="eastAsia" w:ascii="宋体" w:hAnsi="宋体"/>
          <w:color w:val="auto"/>
          <w:sz w:val="24"/>
          <w:u w:val="single"/>
        </w:rPr>
        <w:t xml:space="preserve">  执行通用条款。 </w:t>
      </w:r>
    </w:p>
    <w:p w14:paraId="541AF1D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3.3.3 承包人无正当理由拒绝撤换主要施工管理人员的违约责任：</w:t>
      </w:r>
      <w:r>
        <w:rPr>
          <w:rFonts w:hint="eastAsia" w:ascii="宋体" w:hAnsi="宋体"/>
          <w:color w:val="auto"/>
          <w:sz w:val="24"/>
          <w:u w:val="single"/>
        </w:rPr>
        <w:t xml:space="preserve">   责令改正，并承包人须支付发包人￥</w:t>
      </w:r>
      <w:r>
        <w:rPr>
          <w:rFonts w:hint="eastAsia" w:ascii="宋体" w:hAnsi="宋体"/>
          <w:color w:val="auto"/>
          <w:sz w:val="24"/>
          <w:u w:val="single"/>
          <w:lang w:val="en-US" w:eastAsia="zh-CN"/>
        </w:rPr>
        <w:t>0</w:t>
      </w:r>
      <w:r>
        <w:rPr>
          <w:rFonts w:hint="eastAsia" w:ascii="宋体" w:hAnsi="宋体"/>
          <w:color w:val="auto"/>
          <w:sz w:val="24"/>
          <w:u w:val="single"/>
        </w:rPr>
        <w:t>.</w:t>
      </w:r>
      <w:r>
        <w:rPr>
          <w:rFonts w:hint="eastAsia" w:ascii="宋体" w:hAnsi="宋体"/>
          <w:color w:val="auto"/>
          <w:sz w:val="24"/>
          <w:u w:val="single"/>
          <w:lang w:val="en-US" w:eastAsia="zh-CN"/>
        </w:rPr>
        <w:t>5</w:t>
      </w:r>
      <w:r>
        <w:rPr>
          <w:rFonts w:hint="eastAsia" w:ascii="宋体" w:hAnsi="宋体"/>
          <w:color w:val="auto"/>
          <w:sz w:val="24"/>
          <w:u w:val="single"/>
        </w:rPr>
        <w:t xml:space="preserve">0万元/人次违约金。   </w:t>
      </w:r>
    </w:p>
    <w:p w14:paraId="64711B0D">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3.3.4 承包人主要施工管理人员离开施工现场的批准要求：</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036BB15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3.3.5承包人擅自更换主要施工管理人员的违约责任：</w:t>
      </w:r>
      <w:r>
        <w:rPr>
          <w:rFonts w:hint="eastAsia" w:ascii="宋体" w:hAnsi="宋体"/>
          <w:color w:val="auto"/>
          <w:sz w:val="24"/>
          <w:u w:val="single"/>
        </w:rPr>
        <w:t xml:space="preserve">    责令改正，并承包人须支付发包人￥</w:t>
      </w:r>
      <w:r>
        <w:rPr>
          <w:rFonts w:hint="eastAsia" w:ascii="宋体" w:hAnsi="宋体"/>
          <w:color w:val="auto"/>
          <w:sz w:val="24"/>
          <w:u w:val="single"/>
          <w:lang w:val="en-US" w:eastAsia="zh-CN"/>
        </w:rPr>
        <w:t>0</w:t>
      </w:r>
      <w:r>
        <w:rPr>
          <w:rFonts w:hint="eastAsia" w:ascii="宋体" w:hAnsi="宋体"/>
          <w:color w:val="auto"/>
          <w:sz w:val="24"/>
          <w:u w:val="single"/>
        </w:rPr>
        <w:t>.</w:t>
      </w:r>
      <w:r>
        <w:rPr>
          <w:rFonts w:hint="eastAsia" w:ascii="宋体" w:hAnsi="宋体"/>
          <w:color w:val="auto"/>
          <w:sz w:val="24"/>
          <w:u w:val="single"/>
          <w:lang w:val="en-US" w:eastAsia="zh-CN"/>
        </w:rPr>
        <w:t>5</w:t>
      </w:r>
      <w:r>
        <w:rPr>
          <w:rFonts w:hint="eastAsia" w:ascii="宋体" w:hAnsi="宋体"/>
          <w:color w:val="auto"/>
          <w:sz w:val="24"/>
          <w:u w:val="single"/>
        </w:rPr>
        <w:t xml:space="preserve">0万元/人次违约金。   </w:t>
      </w:r>
    </w:p>
    <w:p w14:paraId="587AB32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承包人主要施工管理人员擅自离开施工现场的违约责任：</w:t>
      </w:r>
      <w:r>
        <w:rPr>
          <w:rFonts w:hint="eastAsia" w:ascii="宋体" w:hAnsi="宋体"/>
          <w:color w:val="auto"/>
          <w:sz w:val="24"/>
          <w:u w:val="single"/>
        </w:rPr>
        <w:t xml:space="preserve">   责令改正，并承包人须支付发包人每天￥0.20万元/人次违约金。  </w:t>
      </w:r>
    </w:p>
    <w:p w14:paraId="6FFD4E65">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3</w:t>
      </w:r>
      <w:bookmarkStart w:id="100" w:name="_Toc297216151"/>
      <w:bookmarkStart w:id="101" w:name="_Toc296346660"/>
      <w:bookmarkStart w:id="102" w:name="_Toc292559869"/>
      <w:bookmarkStart w:id="103" w:name="_Toc296891199"/>
      <w:bookmarkStart w:id="104" w:name="_Toc300934945"/>
      <w:bookmarkStart w:id="105" w:name="_Toc297120459"/>
      <w:bookmarkStart w:id="106" w:name="_Toc303539102"/>
      <w:bookmarkStart w:id="107" w:name="_Toc296890987"/>
      <w:bookmarkStart w:id="108" w:name="_Toc297123492"/>
      <w:bookmarkStart w:id="109" w:name="_Toc304295523"/>
      <w:bookmarkStart w:id="110" w:name="_Toc296503159"/>
      <w:bookmarkStart w:id="111" w:name="_Toc296347158"/>
      <w:bookmarkStart w:id="112" w:name="_Toc312677988"/>
      <w:bookmarkStart w:id="113" w:name="_Toc297048345"/>
      <w:bookmarkStart w:id="114" w:name="_Toc292559364"/>
      <w:bookmarkStart w:id="115" w:name="_Toc296944498"/>
      <w:r>
        <w:rPr>
          <w:rFonts w:hint="eastAsia" w:ascii="宋体" w:hAnsi="宋体"/>
          <w:color w:val="auto"/>
          <w:sz w:val="24"/>
        </w:rPr>
        <w:t>.5 分包</w:t>
      </w: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0FCBA86D">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3.5.1 分包的一般约定</w:t>
      </w:r>
    </w:p>
    <w:p w14:paraId="6093DF53">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禁止分包的工程包括：</w:t>
      </w:r>
      <w:r>
        <w:rPr>
          <w:rFonts w:hint="eastAsia" w:ascii="宋体" w:hAnsi="宋体"/>
          <w:color w:val="auto"/>
          <w:sz w:val="24"/>
          <w:u w:val="single"/>
        </w:rPr>
        <w:t xml:space="preserve">执行通用条款。    </w:t>
      </w:r>
    </w:p>
    <w:p w14:paraId="3CC2060D">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主体结构、关键性工作的范围：</w:t>
      </w:r>
      <w:r>
        <w:rPr>
          <w:rFonts w:hint="eastAsia" w:ascii="宋体" w:hAnsi="宋体"/>
          <w:color w:val="auto"/>
          <w:sz w:val="24"/>
          <w:u w:val="single"/>
        </w:rPr>
        <w:t xml:space="preserve"> 执行通用条款。   </w:t>
      </w:r>
      <w:bookmarkStart w:id="116" w:name="_Toc297120461"/>
      <w:bookmarkStart w:id="117" w:name="_Toc297123494"/>
      <w:bookmarkStart w:id="118" w:name="_Toc296503161"/>
      <w:bookmarkStart w:id="119" w:name="_Toc296890989"/>
      <w:bookmarkStart w:id="120" w:name="_Toc297216153"/>
      <w:bookmarkStart w:id="121" w:name="_Toc296346662"/>
      <w:bookmarkStart w:id="122" w:name="_Toc303539104"/>
      <w:bookmarkStart w:id="123" w:name="_Toc300934947"/>
      <w:bookmarkStart w:id="124" w:name="_Toc304295525"/>
      <w:bookmarkStart w:id="125" w:name="_Toc297048347"/>
      <w:bookmarkStart w:id="126" w:name="_Toc296891201"/>
      <w:bookmarkStart w:id="127" w:name="_Toc296347160"/>
      <w:bookmarkStart w:id="128" w:name="_Toc296944500"/>
    </w:p>
    <w:bookmarkEnd w:id="116"/>
    <w:bookmarkEnd w:id="117"/>
    <w:bookmarkEnd w:id="118"/>
    <w:bookmarkEnd w:id="119"/>
    <w:bookmarkEnd w:id="120"/>
    <w:bookmarkEnd w:id="121"/>
    <w:bookmarkEnd w:id="122"/>
    <w:bookmarkEnd w:id="123"/>
    <w:bookmarkEnd w:id="124"/>
    <w:bookmarkEnd w:id="125"/>
    <w:bookmarkEnd w:id="126"/>
    <w:bookmarkEnd w:id="127"/>
    <w:bookmarkEnd w:id="128"/>
    <w:p w14:paraId="6506BACF">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 xml:space="preserve">    3</w:t>
      </w:r>
      <w:bookmarkStart w:id="129" w:name="_Toc318581159"/>
      <w:bookmarkStart w:id="130" w:name="_Toc312677990"/>
      <w:r>
        <w:rPr>
          <w:rFonts w:hint="eastAsia" w:ascii="宋体" w:hAnsi="宋体"/>
          <w:color w:val="auto"/>
          <w:sz w:val="24"/>
        </w:rPr>
        <w:t>.5.2分包的确定</w:t>
      </w:r>
    </w:p>
    <w:p w14:paraId="08149F23">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允许分包的专业工程包括：</w:t>
      </w:r>
      <w:r>
        <w:rPr>
          <w:rFonts w:hint="eastAsia" w:ascii="宋体" w:hAnsi="宋体"/>
          <w:color w:val="auto"/>
          <w:sz w:val="24"/>
          <w:u w:val="single"/>
        </w:rPr>
        <w:t xml:space="preserve">执行通用条款，并且按照投标文件有关承诺确定。   </w:t>
      </w:r>
    </w:p>
    <w:p w14:paraId="25625807">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其他关于分包的约定：</w:t>
      </w:r>
      <w:r>
        <w:rPr>
          <w:rFonts w:hint="eastAsia" w:ascii="宋体" w:hAnsi="宋体"/>
          <w:color w:val="auto"/>
          <w:sz w:val="24"/>
          <w:u w:val="single"/>
        </w:rPr>
        <w:t xml:space="preserve">  / </w:t>
      </w:r>
    </w:p>
    <w:p w14:paraId="58B96F1F">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3.5.4 分包合同价款</w:t>
      </w:r>
    </w:p>
    <w:p w14:paraId="1F856843">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关于分包合同价款支付的约定：</w:t>
      </w:r>
      <w:r>
        <w:rPr>
          <w:rFonts w:hint="eastAsia" w:ascii="宋体" w:hAnsi="宋体"/>
          <w:color w:val="auto"/>
          <w:sz w:val="24"/>
          <w:u w:val="single"/>
        </w:rPr>
        <w:t></w:t>
      </w:r>
      <w:r>
        <w:rPr>
          <w:rFonts w:hint="eastAsia" w:ascii="宋体" w:hAnsi="宋体"/>
          <w:color w:val="auto"/>
          <w:kern w:val="0"/>
          <w:sz w:val="24"/>
          <w:u w:val="single"/>
        </w:rPr>
        <w:t>执行通用条款。</w:t>
      </w:r>
      <w:r>
        <w:rPr>
          <w:rFonts w:hint="eastAsia" w:ascii="宋体" w:hAnsi="宋体"/>
          <w:color w:val="auto"/>
          <w:sz w:val="24"/>
          <w:u w:val="single"/>
        </w:rPr>
        <w:t xml:space="preserve">    </w:t>
      </w:r>
    </w:p>
    <w:bookmarkEnd w:id="129"/>
    <w:bookmarkEnd w:id="130"/>
    <w:p w14:paraId="431FB223">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3.6 工程照管与成品、半成品保护</w:t>
      </w:r>
    </w:p>
    <w:p w14:paraId="644516F3">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u w:val="single"/>
        </w:rPr>
      </w:pPr>
      <w:r>
        <w:rPr>
          <w:rFonts w:hint="eastAsia" w:ascii="宋体" w:hAnsi="宋体"/>
          <w:color w:val="auto"/>
          <w:kern w:val="0"/>
          <w:sz w:val="24"/>
        </w:rPr>
        <w:t>承包人负责照管工程及工程相关的材料、工程设备的起始时间：</w:t>
      </w:r>
      <w:r>
        <w:rPr>
          <w:rFonts w:hint="eastAsia" w:ascii="宋体" w:hAnsi="宋体"/>
          <w:color w:val="auto"/>
          <w:kern w:val="0"/>
          <w:sz w:val="24"/>
          <w:u w:val="single"/>
        </w:rPr>
        <w:t xml:space="preserve">  自发包人向承包人移交施工现场之日起，承包人应负责照管工程及工程相关的材料、工程设备，直到颁发工程接收证书之日止。    </w:t>
      </w:r>
    </w:p>
    <w:p w14:paraId="5FBDDE71">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3.7 履约担保</w:t>
      </w:r>
    </w:p>
    <w:p w14:paraId="0426B417">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承包人是否提供履约担保：</w:t>
      </w:r>
      <w:r>
        <w:rPr>
          <w:rFonts w:hint="eastAsia" w:ascii="宋体" w:hAnsi="宋体"/>
          <w:color w:val="auto"/>
          <w:sz w:val="24"/>
          <w:u w:val="single"/>
        </w:rPr>
        <w:t xml:space="preserve">  见第二章投标人须知前附表  </w:t>
      </w:r>
    </w:p>
    <w:p w14:paraId="18546974">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131" w:name="_Toc351203636"/>
      <w:r>
        <w:rPr>
          <w:rFonts w:hint="eastAsia" w:ascii="宋体" w:hAnsi="宋体"/>
          <w:color w:val="auto"/>
          <w:kern w:val="0"/>
          <w:sz w:val="24"/>
        </w:rPr>
        <w:t>4</w:t>
      </w:r>
      <w:bookmarkStart w:id="132" w:name="_Toc296944501"/>
      <w:bookmarkStart w:id="133" w:name="_Toc297048348"/>
      <w:bookmarkStart w:id="134" w:name="_Toc296346663"/>
      <w:bookmarkStart w:id="135" w:name="_Toc297120462"/>
      <w:bookmarkStart w:id="136" w:name="_Toc267251413"/>
      <w:bookmarkStart w:id="137" w:name="_Toc292559366"/>
      <w:bookmarkStart w:id="138" w:name="_Toc296890990"/>
      <w:bookmarkStart w:id="139" w:name="_Toc292559871"/>
      <w:bookmarkStart w:id="140" w:name="_Toc296891202"/>
      <w:bookmarkStart w:id="141" w:name="_Toc296503162"/>
      <w:bookmarkStart w:id="142" w:name="_Toc296347161"/>
      <w:r>
        <w:rPr>
          <w:rFonts w:hint="eastAsia" w:ascii="宋体" w:hAnsi="宋体"/>
          <w:color w:val="auto"/>
          <w:kern w:val="0"/>
          <w:sz w:val="24"/>
        </w:rPr>
        <w:t>. 监</w:t>
      </w:r>
      <w:bookmarkEnd w:id="132"/>
      <w:bookmarkEnd w:id="133"/>
      <w:bookmarkEnd w:id="134"/>
      <w:bookmarkEnd w:id="135"/>
      <w:bookmarkEnd w:id="136"/>
      <w:bookmarkEnd w:id="137"/>
      <w:bookmarkEnd w:id="138"/>
      <w:bookmarkEnd w:id="139"/>
      <w:bookmarkEnd w:id="140"/>
      <w:bookmarkEnd w:id="141"/>
      <w:bookmarkEnd w:id="142"/>
      <w:r>
        <w:rPr>
          <w:rFonts w:hint="eastAsia" w:ascii="宋体" w:hAnsi="宋体"/>
          <w:color w:val="auto"/>
          <w:kern w:val="0"/>
          <w:sz w:val="24"/>
        </w:rPr>
        <w:t>理人</w:t>
      </w:r>
      <w:bookmarkEnd w:id="131"/>
    </w:p>
    <w:p w14:paraId="028C9507">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4.1监理人的一般规定</w:t>
      </w:r>
    </w:p>
    <w:p w14:paraId="57F54E5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关于监理人的监理内容：</w:t>
      </w:r>
      <w:r>
        <w:rPr>
          <w:rFonts w:hint="eastAsia" w:ascii="宋体" w:hAnsi="宋体"/>
          <w:color w:val="auto"/>
          <w:sz w:val="24"/>
          <w:u w:val="single"/>
        </w:rPr>
        <w:t xml:space="preserve">   </w:t>
      </w:r>
      <w:r>
        <w:rPr>
          <w:rFonts w:hint="eastAsia" w:ascii="宋体" w:hAnsi="宋体"/>
          <w:color w:val="auto"/>
          <w:kern w:val="0"/>
          <w:sz w:val="24"/>
          <w:u w:val="single"/>
        </w:rPr>
        <w:t>执行监理合同。</w:t>
      </w:r>
      <w:r>
        <w:rPr>
          <w:rFonts w:hint="eastAsia" w:ascii="宋体" w:hAnsi="宋体"/>
          <w:color w:val="auto"/>
          <w:sz w:val="24"/>
          <w:u w:val="single"/>
        </w:rPr>
        <w:t xml:space="preserve">   </w:t>
      </w:r>
    </w:p>
    <w:p w14:paraId="5D88B77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关于监理人的监理权限：</w:t>
      </w:r>
      <w:r>
        <w:rPr>
          <w:rFonts w:hint="eastAsia" w:ascii="宋体" w:hAnsi="宋体"/>
          <w:color w:val="auto"/>
          <w:sz w:val="24"/>
          <w:u w:val="single"/>
        </w:rPr>
        <w:t xml:space="preserve">   </w:t>
      </w:r>
      <w:r>
        <w:rPr>
          <w:rFonts w:hint="eastAsia" w:ascii="宋体" w:hAnsi="宋体"/>
          <w:color w:val="auto"/>
          <w:kern w:val="0"/>
          <w:sz w:val="24"/>
          <w:u w:val="single"/>
        </w:rPr>
        <w:t>执行监理合同。</w:t>
      </w:r>
      <w:r>
        <w:rPr>
          <w:rFonts w:hint="eastAsia" w:ascii="宋体" w:hAnsi="宋体"/>
          <w:color w:val="auto"/>
          <w:sz w:val="24"/>
          <w:u w:val="single"/>
        </w:rPr>
        <w:t xml:space="preserve">   </w:t>
      </w:r>
    </w:p>
    <w:p w14:paraId="6E35020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关于监理人在施工现场的办公场所、生活场所的提供和费用承担的约定：</w:t>
      </w:r>
      <w:r>
        <w:rPr>
          <w:rFonts w:hint="eastAsia" w:ascii="宋体" w:hAnsi="宋体"/>
          <w:color w:val="auto"/>
          <w:kern w:val="0"/>
          <w:sz w:val="24"/>
          <w:u w:val="single"/>
        </w:rPr>
        <w:t>执行监理合同。</w:t>
      </w:r>
      <w:r>
        <w:rPr>
          <w:rFonts w:hint="eastAsia" w:ascii="宋体" w:hAnsi="宋体"/>
          <w:color w:val="auto"/>
          <w:sz w:val="24"/>
          <w:u w:val="single"/>
        </w:rPr>
        <w:t xml:space="preserve"> </w:t>
      </w:r>
    </w:p>
    <w:p w14:paraId="55B03275">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4.2 监理人员</w:t>
      </w:r>
    </w:p>
    <w:p w14:paraId="6F698BC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总监理工程师：</w:t>
      </w:r>
    </w:p>
    <w:p w14:paraId="1A92D9B7">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姓名：</w:t>
      </w:r>
      <w:r>
        <w:rPr>
          <w:rFonts w:hint="eastAsia" w:ascii="宋体" w:hAnsi="宋体"/>
          <w:color w:val="auto"/>
          <w:sz w:val="24"/>
          <w:u w:val="single"/>
        </w:rPr>
        <w:t>   </w:t>
      </w:r>
      <w:r>
        <w:rPr>
          <w:rFonts w:hint="eastAsia" w:ascii="宋体" w:hAnsi="宋体"/>
          <w:color w:val="auto"/>
          <w:sz w:val="24"/>
        </w:rPr>
        <w:t>；</w:t>
      </w:r>
    </w:p>
    <w:p w14:paraId="7D28B4E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职务：</w:t>
      </w:r>
      <w:r>
        <w:rPr>
          <w:rFonts w:hint="eastAsia" w:ascii="宋体" w:hAnsi="宋体"/>
          <w:color w:val="auto"/>
          <w:sz w:val="24"/>
          <w:u w:val="single"/>
        </w:rPr>
        <w:t xml:space="preserve">       </w:t>
      </w:r>
      <w:r>
        <w:rPr>
          <w:rFonts w:hint="eastAsia" w:ascii="宋体" w:hAnsi="宋体"/>
          <w:color w:val="auto"/>
          <w:sz w:val="24"/>
        </w:rPr>
        <w:t>；</w:t>
      </w:r>
    </w:p>
    <w:p w14:paraId="5DD0314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监理工程师执业资格证书号：</w:t>
      </w:r>
      <w:r>
        <w:rPr>
          <w:rFonts w:hint="eastAsia" w:ascii="宋体" w:hAnsi="宋体"/>
          <w:color w:val="auto"/>
          <w:sz w:val="24"/>
          <w:u w:val="single"/>
        </w:rPr>
        <w:t>   </w:t>
      </w:r>
      <w:r>
        <w:rPr>
          <w:rFonts w:hint="eastAsia" w:ascii="宋体" w:hAnsi="宋体"/>
          <w:color w:val="auto"/>
          <w:sz w:val="24"/>
        </w:rPr>
        <w:t>；</w:t>
      </w:r>
    </w:p>
    <w:p w14:paraId="1835BF8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联系电话：</w:t>
      </w:r>
      <w:r>
        <w:rPr>
          <w:rFonts w:hint="eastAsia" w:ascii="宋体" w:hAnsi="宋体"/>
          <w:color w:val="auto"/>
          <w:sz w:val="24"/>
          <w:u w:val="single"/>
        </w:rPr>
        <w:t>  </w:t>
      </w:r>
      <w:r>
        <w:rPr>
          <w:rFonts w:hint="eastAsia" w:ascii="宋体" w:hAnsi="宋体"/>
          <w:color w:val="auto"/>
          <w:sz w:val="24"/>
        </w:rPr>
        <w:t>；</w:t>
      </w:r>
    </w:p>
    <w:p w14:paraId="2687BE6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电子信箱：</w:t>
      </w:r>
      <w:r>
        <w:rPr>
          <w:rFonts w:hint="eastAsia" w:ascii="宋体" w:hAnsi="宋体"/>
          <w:color w:val="auto"/>
          <w:sz w:val="24"/>
          <w:u w:val="single"/>
        </w:rPr>
        <w:t xml:space="preserve">        </w:t>
      </w:r>
      <w:r>
        <w:rPr>
          <w:rFonts w:hint="eastAsia" w:ascii="宋体" w:hAnsi="宋体"/>
          <w:color w:val="auto"/>
          <w:sz w:val="24"/>
        </w:rPr>
        <w:t>；</w:t>
      </w:r>
    </w:p>
    <w:p w14:paraId="1544EA5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通信地址：</w:t>
      </w:r>
      <w:r>
        <w:rPr>
          <w:rFonts w:hint="eastAsia" w:ascii="宋体" w:hAnsi="宋体"/>
          <w:color w:val="auto"/>
          <w:sz w:val="24"/>
          <w:u w:val="single"/>
        </w:rPr>
        <w:t xml:space="preserve">        </w:t>
      </w:r>
      <w:r>
        <w:rPr>
          <w:rFonts w:hint="eastAsia" w:ascii="宋体" w:hAnsi="宋体"/>
          <w:color w:val="auto"/>
          <w:sz w:val="24"/>
        </w:rPr>
        <w:t>；</w:t>
      </w:r>
    </w:p>
    <w:p w14:paraId="07A2B9E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关于监理人的其他约定：</w:t>
      </w:r>
      <w:r>
        <w:rPr>
          <w:rFonts w:hint="eastAsia" w:ascii="宋体" w:hAnsi="宋体"/>
          <w:color w:val="auto"/>
          <w:sz w:val="24"/>
          <w:u w:val="single"/>
        </w:rPr>
        <w:t xml:space="preserve">        </w:t>
      </w:r>
      <w:r>
        <w:rPr>
          <w:rFonts w:hint="eastAsia" w:ascii="宋体" w:hAnsi="宋体"/>
          <w:color w:val="auto"/>
          <w:sz w:val="24"/>
        </w:rPr>
        <w:t>。</w:t>
      </w:r>
    </w:p>
    <w:p w14:paraId="0738EEB0">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4.4 商定或确定</w:t>
      </w:r>
    </w:p>
    <w:p w14:paraId="26E2D646">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bookmarkStart w:id="143" w:name="_Toc267251418"/>
      <w:r>
        <w:rPr>
          <w:rFonts w:hint="eastAsia" w:ascii="宋体" w:hAnsi="宋体"/>
          <w:color w:val="auto"/>
          <w:sz w:val="24"/>
        </w:rPr>
        <w:t>在发包人和承包人不能通过协商达成一致意见时，发包人授权监理人对以下事项进行确定：</w:t>
      </w:r>
      <w:r>
        <w:rPr>
          <w:rFonts w:hint="eastAsia" w:ascii="宋体" w:hAnsi="宋体"/>
          <w:color w:val="auto"/>
          <w:sz w:val="24"/>
          <w:u w:val="single"/>
        </w:rPr>
        <w:t xml:space="preserve">  若在本合同履行过程中发生此类情况时，双方就具体争议事项另行委托监理人协助解决，如仍不能达成一致意见，则按照本专用条款第20条（争议解决条款）执行。  </w:t>
      </w:r>
    </w:p>
    <w:p w14:paraId="4CAF5CB3">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r>
        <w:rPr>
          <w:rFonts w:hint="eastAsia" w:ascii="宋体" w:hAnsi="宋体"/>
          <w:color w:val="auto"/>
          <w:kern w:val="0"/>
          <w:sz w:val="24"/>
        </w:rPr>
        <w:t>5</w:t>
      </w:r>
      <w:bookmarkEnd w:id="143"/>
      <w:bookmarkStart w:id="144" w:name="_Toc296944502"/>
      <w:bookmarkStart w:id="145" w:name="_Toc296503163"/>
      <w:bookmarkStart w:id="146" w:name="_Toc297120463"/>
      <w:bookmarkStart w:id="147" w:name="_Toc296346664"/>
      <w:bookmarkStart w:id="148" w:name="_Toc292559367"/>
      <w:bookmarkStart w:id="149" w:name="_Toc296347162"/>
      <w:bookmarkStart w:id="150" w:name="_Toc296891203"/>
      <w:bookmarkStart w:id="151" w:name="_Toc297048349"/>
      <w:bookmarkStart w:id="152" w:name="_Toc296890991"/>
      <w:bookmarkStart w:id="153" w:name="_Toc292559872"/>
      <w:r>
        <w:rPr>
          <w:rFonts w:hint="eastAsia" w:ascii="宋体" w:hAnsi="宋体"/>
          <w:color w:val="auto"/>
          <w:kern w:val="0"/>
          <w:sz w:val="24"/>
        </w:rPr>
        <w:t>. 工程质量</w:t>
      </w:r>
    </w:p>
    <w:p w14:paraId="21FCB2C2">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5.1 质量要求</w:t>
      </w:r>
    </w:p>
    <w:p w14:paraId="5C3C1616">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5</w:t>
      </w:r>
      <w:bookmarkStart w:id="154" w:name="_Toc297123496"/>
      <w:bookmarkStart w:id="155" w:name="_Toc312677997"/>
      <w:bookmarkStart w:id="156" w:name="_Toc297216155"/>
      <w:bookmarkStart w:id="157" w:name="_Toc304295527"/>
      <w:bookmarkStart w:id="158" w:name="_Toc303539106"/>
      <w:bookmarkStart w:id="159" w:name="_Toc300934949"/>
      <w:bookmarkStart w:id="160" w:name="_Toc318581164"/>
      <w:r>
        <w:rPr>
          <w:rFonts w:hint="eastAsia" w:ascii="宋体" w:hAnsi="宋体"/>
          <w:color w:val="auto"/>
          <w:sz w:val="24"/>
        </w:rPr>
        <w:t>.1.1 特殊质量标准和要求：</w:t>
      </w:r>
      <w:r>
        <w:rPr>
          <w:rFonts w:hint="eastAsia" w:ascii="宋体" w:hAnsi="宋体"/>
          <w:color w:val="auto"/>
          <w:sz w:val="24"/>
          <w:u w:val="single"/>
        </w:rPr>
        <w:t xml:space="preserve">  不采用。  </w:t>
      </w:r>
    </w:p>
    <w:p w14:paraId="69CA88CD">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关于工程奖项的约定：</w:t>
      </w:r>
      <w:r>
        <w:rPr>
          <w:rFonts w:hint="eastAsia" w:ascii="宋体" w:hAnsi="宋体"/>
          <w:color w:val="auto"/>
          <w:sz w:val="24"/>
          <w:u w:val="single"/>
        </w:rPr>
        <w:t xml:space="preserve">  不采用。  </w:t>
      </w:r>
    </w:p>
    <w:p w14:paraId="13061612">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5.3 隐蔽工程检查</w:t>
      </w:r>
    </w:p>
    <w:p w14:paraId="431264A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5.3.2承包人提前通知监理人隐蔽工程检查的期限的约定：</w:t>
      </w:r>
      <w:r>
        <w:rPr>
          <w:rFonts w:hint="eastAsia" w:ascii="宋体" w:hAnsi="宋体"/>
          <w:color w:val="auto"/>
          <w:sz w:val="24"/>
          <w:u w:val="single"/>
        </w:rPr>
        <w:t xml:space="preserve">   共同检查前48小时（</w:t>
      </w:r>
      <w:r>
        <w:rPr>
          <w:rFonts w:hint="eastAsia" w:ascii="宋体" w:hAnsi="宋体"/>
          <w:color w:val="auto"/>
          <w:kern w:val="0"/>
          <w:sz w:val="24"/>
          <w:u w:val="single"/>
        </w:rPr>
        <w:t xml:space="preserve">执行通用条款）。   </w:t>
      </w:r>
    </w:p>
    <w:p w14:paraId="06421D8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监理人不能按时进行检查时，应提前</w:t>
      </w:r>
      <w:r>
        <w:rPr>
          <w:rFonts w:hint="eastAsia" w:ascii="宋体" w:hAnsi="宋体"/>
          <w:color w:val="auto"/>
          <w:sz w:val="24"/>
          <w:u w:val="single"/>
        </w:rPr>
        <w:t xml:space="preserve">   24小时（</w:t>
      </w:r>
      <w:r>
        <w:rPr>
          <w:rFonts w:hint="eastAsia" w:ascii="宋体" w:hAnsi="宋体"/>
          <w:color w:val="auto"/>
          <w:kern w:val="0"/>
          <w:sz w:val="24"/>
          <w:u w:val="single"/>
        </w:rPr>
        <w:t>执行通用条款）</w:t>
      </w:r>
      <w:r>
        <w:rPr>
          <w:rFonts w:hint="eastAsia" w:ascii="宋体" w:hAnsi="宋体"/>
          <w:color w:val="auto"/>
          <w:sz w:val="24"/>
          <w:u w:val="single"/>
        </w:rPr>
        <w:t xml:space="preserve">  </w:t>
      </w:r>
      <w:r>
        <w:rPr>
          <w:rFonts w:hint="eastAsia" w:ascii="宋体" w:hAnsi="宋体"/>
          <w:color w:val="auto"/>
          <w:sz w:val="24"/>
        </w:rPr>
        <w:t>小时提交书面延期要求。</w:t>
      </w:r>
    </w:p>
    <w:p w14:paraId="2152AFC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关于延期最长不得超过：</w:t>
      </w:r>
      <w:r>
        <w:rPr>
          <w:rFonts w:hint="eastAsia" w:ascii="宋体" w:hAnsi="宋体"/>
          <w:color w:val="auto"/>
          <w:sz w:val="24"/>
          <w:u w:val="single"/>
        </w:rPr>
        <w:t xml:space="preserve">  48（</w:t>
      </w:r>
      <w:r>
        <w:rPr>
          <w:rFonts w:hint="eastAsia" w:ascii="宋体" w:hAnsi="宋体"/>
          <w:color w:val="auto"/>
          <w:kern w:val="0"/>
          <w:sz w:val="24"/>
          <w:u w:val="single"/>
        </w:rPr>
        <w:t>执行通用条款）</w:t>
      </w:r>
      <w:r>
        <w:rPr>
          <w:rFonts w:hint="eastAsia" w:ascii="宋体" w:hAnsi="宋体"/>
          <w:color w:val="auto"/>
          <w:sz w:val="24"/>
          <w:u w:val="single"/>
        </w:rPr>
        <w:t xml:space="preserve">   </w:t>
      </w:r>
      <w:r>
        <w:rPr>
          <w:rFonts w:hint="eastAsia" w:ascii="宋体" w:hAnsi="宋体"/>
          <w:color w:val="auto"/>
          <w:sz w:val="24"/>
        </w:rPr>
        <w:t>小时。</w:t>
      </w:r>
    </w:p>
    <w:p w14:paraId="02E2CAA0">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161" w:name="_Toc351203638"/>
      <w:r>
        <w:rPr>
          <w:rFonts w:hint="eastAsia" w:ascii="宋体" w:hAnsi="宋体"/>
          <w:color w:val="auto"/>
          <w:kern w:val="0"/>
          <w:sz w:val="24"/>
        </w:rPr>
        <w:t>6. 安全文明施工与环境保护</w:t>
      </w:r>
      <w:bookmarkEnd w:id="161"/>
    </w:p>
    <w:p w14:paraId="13D0E5C0">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6.1安全文明施工</w:t>
      </w:r>
    </w:p>
    <w:p w14:paraId="277A2061">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6.1.1 项目安全生产的达标目标及相应事项的约定：</w:t>
      </w:r>
      <w:r>
        <w:rPr>
          <w:rFonts w:hint="eastAsia" w:ascii="宋体" w:hAnsi="宋体"/>
          <w:color w:val="auto"/>
          <w:sz w:val="24"/>
          <w:u w:val="single"/>
        </w:rPr>
        <w:t xml:space="preserve"> 应通过合肥市建筑业协会依照《建筑施工安全检查标准》（JGJ59-2011）检查验评得分为85分及以上，综合验评为合格。  </w:t>
      </w:r>
    </w:p>
    <w:p w14:paraId="356BC2C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6.1.4 关于治安保卫的特别约定：</w:t>
      </w:r>
      <w:r>
        <w:rPr>
          <w:rFonts w:hint="eastAsia" w:ascii="宋体" w:hAnsi="宋体"/>
          <w:color w:val="auto"/>
          <w:sz w:val="24"/>
          <w:u w:val="single"/>
        </w:rPr>
        <w:t xml:space="preserve">  </w:t>
      </w:r>
      <w:r>
        <w:rPr>
          <w:rFonts w:hint="eastAsia" w:ascii="宋体" w:hAnsi="宋体"/>
          <w:color w:val="auto"/>
          <w:kern w:val="0"/>
          <w:sz w:val="24"/>
          <w:u w:val="single"/>
        </w:rPr>
        <w:t>执行通用条款及</w:t>
      </w:r>
      <w:r>
        <w:rPr>
          <w:rFonts w:hint="eastAsia" w:ascii="宋体" w:hAnsi="宋体"/>
          <w:color w:val="auto"/>
          <w:sz w:val="24"/>
          <w:u w:val="single"/>
        </w:rPr>
        <w:t>满足合肥市相关行业管理部门相关规定</w:t>
      </w:r>
      <w:r>
        <w:rPr>
          <w:rFonts w:hint="eastAsia" w:ascii="宋体" w:hAnsi="宋体"/>
          <w:color w:val="auto"/>
          <w:kern w:val="0"/>
          <w:sz w:val="24"/>
          <w:u w:val="single"/>
        </w:rPr>
        <w:t xml:space="preserve">。 </w:t>
      </w:r>
    </w:p>
    <w:p w14:paraId="77FFB66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关于编制施工场地治安管理计划的约定：</w:t>
      </w:r>
      <w:r>
        <w:rPr>
          <w:rFonts w:hint="eastAsia" w:ascii="宋体" w:hAnsi="宋体"/>
          <w:color w:val="auto"/>
          <w:sz w:val="24"/>
          <w:u w:val="single"/>
        </w:rPr>
        <w:t xml:space="preserve">  </w:t>
      </w:r>
      <w:r>
        <w:rPr>
          <w:rFonts w:hint="eastAsia" w:ascii="宋体" w:hAnsi="宋体"/>
          <w:color w:val="auto"/>
          <w:kern w:val="0"/>
          <w:sz w:val="24"/>
          <w:u w:val="single"/>
        </w:rPr>
        <w:t xml:space="preserve">执行通用条款。 </w:t>
      </w:r>
      <w:r>
        <w:rPr>
          <w:rFonts w:hint="eastAsia" w:ascii="宋体" w:hAnsi="宋体"/>
          <w:color w:val="auto"/>
          <w:sz w:val="24"/>
          <w:u w:val="single"/>
        </w:rPr>
        <w:t xml:space="preserve">   </w:t>
      </w:r>
    </w:p>
    <w:p w14:paraId="7300FFFA">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6.1.5 文明施工</w:t>
      </w:r>
    </w:p>
    <w:p w14:paraId="59D97F8D">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合同当事人对文明施工的要求：</w:t>
      </w:r>
      <w:r>
        <w:rPr>
          <w:rFonts w:hint="eastAsia" w:ascii="宋体" w:hAnsi="宋体"/>
          <w:color w:val="auto"/>
          <w:sz w:val="24"/>
          <w:u w:val="single"/>
        </w:rPr>
        <w:t xml:space="preserve">  </w:t>
      </w:r>
      <w:r>
        <w:rPr>
          <w:rFonts w:hint="eastAsia" w:ascii="宋体" w:hAnsi="宋体"/>
          <w:color w:val="auto"/>
          <w:kern w:val="0"/>
          <w:sz w:val="24"/>
          <w:u w:val="single"/>
        </w:rPr>
        <w:t>执行通用条款及</w:t>
      </w:r>
      <w:r>
        <w:rPr>
          <w:rFonts w:hint="eastAsia" w:ascii="宋体" w:hAnsi="宋体"/>
          <w:color w:val="auto"/>
          <w:sz w:val="24"/>
          <w:u w:val="single"/>
        </w:rPr>
        <w:t xml:space="preserve">满足合肥市相关行业管理部门相关规定。  </w:t>
      </w:r>
    </w:p>
    <w:p w14:paraId="4C3859E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6.1.6 关于安全文明施工费支付比例和支付期限的约定：</w:t>
      </w:r>
      <w:r>
        <w:rPr>
          <w:rFonts w:hint="eastAsia" w:ascii="宋体" w:hAnsi="宋体"/>
          <w:color w:val="auto"/>
          <w:sz w:val="24"/>
          <w:u w:val="single"/>
        </w:rPr>
        <w:t xml:space="preserve">  参照本专用条款第12条第4款（工程进度款支付）执行。   </w:t>
      </w:r>
    </w:p>
    <w:bookmarkEnd w:id="154"/>
    <w:bookmarkEnd w:id="155"/>
    <w:bookmarkEnd w:id="156"/>
    <w:bookmarkEnd w:id="157"/>
    <w:bookmarkEnd w:id="158"/>
    <w:bookmarkEnd w:id="159"/>
    <w:bookmarkEnd w:id="160"/>
    <w:p w14:paraId="18E99A9A">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162" w:name="_Toc351203639"/>
      <w:r>
        <w:rPr>
          <w:rFonts w:hint="eastAsia" w:ascii="宋体" w:hAnsi="宋体"/>
          <w:color w:val="auto"/>
          <w:kern w:val="0"/>
          <w:sz w:val="24"/>
        </w:rPr>
        <w:t>7. 工期和进度</w:t>
      </w:r>
      <w:bookmarkEnd w:id="162"/>
    </w:p>
    <w:p w14:paraId="4EA78EB5">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7.1 施工组织设计</w:t>
      </w:r>
    </w:p>
    <w:p w14:paraId="5E8D178C">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eastAsia="宋体"/>
          <w:color w:val="auto"/>
          <w:kern w:val="0"/>
          <w:sz w:val="24"/>
          <w:lang w:eastAsia="zh-CN"/>
        </w:rPr>
      </w:pPr>
      <w:r>
        <w:rPr>
          <w:rFonts w:hint="eastAsia" w:ascii="宋体" w:hAnsi="宋体"/>
          <w:color w:val="auto"/>
          <w:sz w:val="24"/>
        </w:rPr>
        <w:t>7.1.1 合</w:t>
      </w:r>
      <w:r>
        <w:rPr>
          <w:rFonts w:hint="eastAsia" w:ascii="宋体" w:hAnsi="宋体"/>
          <w:color w:val="auto"/>
          <w:kern w:val="0"/>
          <w:sz w:val="24"/>
        </w:rPr>
        <w:t>同当事人约定的施工组织设计应包括的其他内容：</w:t>
      </w:r>
      <w:r>
        <w:rPr>
          <w:rFonts w:hint="eastAsia" w:ascii="宋体" w:hAnsi="宋体"/>
          <w:color w:val="auto"/>
          <w:kern w:val="0"/>
          <w:sz w:val="24"/>
          <w:u w:val="single"/>
        </w:rPr>
        <w:t xml:space="preserve">  </w:t>
      </w:r>
      <w:r>
        <w:rPr>
          <w:rFonts w:hint="eastAsia" w:ascii="宋体" w:hAnsi="宋体"/>
          <w:color w:val="auto"/>
          <w:sz w:val="24"/>
          <w:u w:val="single"/>
        </w:rPr>
        <w:t xml:space="preserve">总进度计划需包含网络图、横道图。  </w:t>
      </w:r>
    </w:p>
    <w:p w14:paraId="52F9BABF">
      <w:pPr>
        <w:pStyle w:val="77"/>
        <w:tabs>
          <w:tab w:val="left" w:pos="360"/>
        </w:tabs>
        <w:autoSpaceDE w:val="0"/>
        <w:autoSpaceDN w:val="0"/>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sz w:val="24"/>
        </w:rPr>
        <w:t xml:space="preserve">7.1.2 </w:t>
      </w:r>
      <w:r>
        <w:rPr>
          <w:rFonts w:hint="eastAsia" w:ascii="宋体" w:hAnsi="宋体"/>
          <w:color w:val="auto"/>
          <w:kern w:val="0"/>
          <w:sz w:val="24"/>
        </w:rPr>
        <w:t>施工组织设计的提交和修改</w:t>
      </w:r>
    </w:p>
    <w:p w14:paraId="6E0E796D">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承包人提交详细施工组织设计的期限的约定：</w:t>
      </w:r>
      <w:r>
        <w:rPr>
          <w:rFonts w:hint="eastAsia" w:ascii="宋体" w:hAnsi="宋体"/>
          <w:color w:val="auto"/>
          <w:sz w:val="24"/>
          <w:u w:val="single"/>
        </w:rPr>
        <w:t xml:space="preserve">  合同签订后14天内，并不得迟于第7.3.2项〔开工通知〕载明的开工日期前7天</w:t>
      </w:r>
      <w:r>
        <w:rPr>
          <w:rFonts w:hint="eastAsia" w:ascii="宋体" w:hAnsi="宋体"/>
          <w:color w:val="auto"/>
          <w:kern w:val="0"/>
          <w:sz w:val="24"/>
          <w:u w:val="single"/>
        </w:rPr>
        <w:t xml:space="preserve">(执行通用条款)。 </w:t>
      </w:r>
      <w:r>
        <w:rPr>
          <w:rFonts w:hint="eastAsia" w:ascii="宋体" w:hAnsi="宋体"/>
          <w:color w:val="auto"/>
          <w:sz w:val="24"/>
          <w:u w:val="single"/>
        </w:rPr>
        <w:t xml:space="preserve">  </w:t>
      </w:r>
    </w:p>
    <w:p w14:paraId="0F7196D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发包人和监理人在收到详细的施工组织设计后确认或提出修改意见的期限：</w:t>
      </w:r>
      <w:r>
        <w:rPr>
          <w:rFonts w:hint="eastAsia" w:ascii="宋体" w:hAnsi="宋体"/>
          <w:color w:val="auto"/>
          <w:sz w:val="24"/>
          <w:u w:val="single"/>
        </w:rPr>
        <w:t xml:space="preserve">  收到施工组织设计后7天内（</w:t>
      </w:r>
      <w:r>
        <w:rPr>
          <w:rFonts w:hint="eastAsia" w:ascii="宋体" w:hAnsi="宋体"/>
          <w:color w:val="auto"/>
          <w:kern w:val="0"/>
          <w:sz w:val="24"/>
          <w:u w:val="single"/>
        </w:rPr>
        <w:t xml:space="preserve">执行通用条款）。 </w:t>
      </w:r>
      <w:r>
        <w:rPr>
          <w:rFonts w:hint="eastAsia" w:ascii="宋体" w:hAnsi="宋体"/>
          <w:color w:val="auto"/>
          <w:sz w:val="24"/>
          <w:u w:val="single"/>
        </w:rPr>
        <w:t xml:space="preserve">  </w:t>
      </w:r>
    </w:p>
    <w:p w14:paraId="606D4D2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7</w:t>
      </w:r>
      <w:bookmarkStart w:id="163" w:name="_Toc304295541"/>
      <w:bookmarkStart w:id="164" w:name="_Toc297216173"/>
      <w:bookmarkStart w:id="165" w:name="_Toc303539123"/>
      <w:bookmarkStart w:id="166" w:name="_Toc312678005"/>
      <w:bookmarkStart w:id="167" w:name="_Toc312677479"/>
      <w:bookmarkStart w:id="168" w:name="_Toc297123514"/>
      <w:bookmarkStart w:id="169" w:name="_Toc300934966"/>
      <w:r>
        <w:rPr>
          <w:rFonts w:hint="eastAsia" w:ascii="宋体" w:hAnsi="宋体"/>
          <w:color w:val="auto"/>
          <w:sz w:val="24"/>
        </w:rPr>
        <w:t>.2 施工进度计划</w:t>
      </w:r>
    </w:p>
    <w:p w14:paraId="31A7A0D0">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7.2.2 施工进度计划的修订</w:t>
      </w:r>
    </w:p>
    <w:p w14:paraId="26A875E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发包人和监理人在收到修订的施工进度计划后确认或提出修改意见的期限：</w:t>
      </w:r>
      <w:r>
        <w:rPr>
          <w:rFonts w:hint="eastAsia" w:ascii="宋体" w:hAnsi="宋体"/>
          <w:color w:val="auto"/>
          <w:sz w:val="24"/>
          <w:u w:val="single"/>
        </w:rPr>
        <w:t xml:space="preserve">  收到修订的施工进度计划后7天内(</w:t>
      </w:r>
      <w:r>
        <w:rPr>
          <w:rFonts w:hint="eastAsia" w:ascii="宋体" w:hAnsi="宋体"/>
          <w:color w:val="auto"/>
          <w:kern w:val="0"/>
          <w:sz w:val="24"/>
          <w:u w:val="single"/>
        </w:rPr>
        <w:t>执行通用条款)</w:t>
      </w:r>
      <w:r>
        <w:rPr>
          <w:rFonts w:hint="eastAsia" w:ascii="宋体" w:hAnsi="宋体"/>
          <w:color w:val="auto"/>
          <w:kern w:val="0"/>
          <w:sz w:val="24"/>
        </w:rPr>
        <w:t xml:space="preserve">。 </w:t>
      </w:r>
      <w:r>
        <w:rPr>
          <w:rFonts w:hint="eastAsia" w:ascii="宋体" w:hAnsi="宋体"/>
          <w:color w:val="auto"/>
          <w:sz w:val="24"/>
        </w:rPr>
        <w:t xml:space="preserve">   </w:t>
      </w:r>
    </w:p>
    <w:p w14:paraId="1AA300A4">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7.3 开工</w:t>
      </w:r>
    </w:p>
    <w:p w14:paraId="0D510DD7">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7.3.1 开工准备</w:t>
      </w:r>
    </w:p>
    <w:p w14:paraId="4BED7814">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关于承包人提交</w:t>
      </w:r>
      <w:r>
        <w:rPr>
          <w:rFonts w:hint="eastAsia" w:ascii="宋体" w:hAnsi="宋体"/>
          <w:color w:val="auto"/>
          <w:kern w:val="0"/>
          <w:sz w:val="24"/>
        </w:rPr>
        <w:t>工程开工报审表的期限：</w:t>
      </w:r>
      <w:r>
        <w:rPr>
          <w:rFonts w:hint="eastAsia" w:ascii="宋体" w:hAnsi="宋体"/>
          <w:color w:val="auto"/>
          <w:sz w:val="24"/>
          <w:u w:val="single"/>
        </w:rPr>
        <w:t xml:space="preserve">  开工前7天内。   </w:t>
      </w:r>
    </w:p>
    <w:p w14:paraId="7968900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关于发包人应完成的其他开工准备工作及期限：</w:t>
      </w:r>
      <w:r>
        <w:rPr>
          <w:rFonts w:hint="eastAsia" w:ascii="宋体" w:hAnsi="宋体"/>
          <w:color w:val="auto"/>
          <w:sz w:val="24"/>
          <w:u w:val="single"/>
        </w:rPr>
        <w:t xml:space="preserve">  开工前7天内。    </w:t>
      </w:r>
    </w:p>
    <w:p w14:paraId="62263F4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关于承包人应完成的其他开工准备工作及期限：</w:t>
      </w:r>
      <w:r>
        <w:rPr>
          <w:rFonts w:hint="eastAsia" w:ascii="宋体" w:hAnsi="宋体"/>
          <w:color w:val="auto"/>
          <w:sz w:val="24"/>
          <w:u w:val="single"/>
        </w:rPr>
        <w:t xml:space="preserve">  开工前7天内。</w:t>
      </w:r>
      <w:r>
        <w:rPr>
          <w:rFonts w:hint="eastAsia" w:ascii="宋体" w:hAnsi="宋体"/>
          <w:color w:val="auto"/>
          <w:kern w:val="0"/>
          <w:sz w:val="24"/>
          <w:u w:val="single"/>
        </w:rPr>
        <w:t xml:space="preserve"> </w:t>
      </w:r>
      <w:r>
        <w:rPr>
          <w:rFonts w:hint="eastAsia" w:ascii="宋体" w:hAnsi="宋体"/>
          <w:color w:val="auto"/>
          <w:sz w:val="24"/>
          <w:u w:val="single"/>
        </w:rPr>
        <w:t xml:space="preserve">   </w:t>
      </w:r>
    </w:p>
    <w:p w14:paraId="56E579C7">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7.3.2开工通知</w:t>
      </w:r>
    </w:p>
    <w:p w14:paraId="0F2410E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因发包人原因造成监理人未能在计划开工日期之日起</w:t>
      </w:r>
      <w:r>
        <w:rPr>
          <w:rFonts w:hint="eastAsia" w:ascii="宋体" w:hAnsi="宋体"/>
          <w:color w:val="auto"/>
          <w:sz w:val="24"/>
          <w:u w:val="single"/>
        </w:rPr>
        <w:t xml:space="preserve">  90（</w:t>
      </w:r>
      <w:r>
        <w:rPr>
          <w:rFonts w:hint="eastAsia" w:ascii="宋体" w:hAnsi="宋体"/>
          <w:color w:val="auto"/>
          <w:kern w:val="0"/>
          <w:sz w:val="24"/>
          <w:u w:val="single"/>
        </w:rPr>
        <w:t xml:space="preserve">执行通用条款） </w:t>
      </w:r>
      <w:r>
        <w:rPr>
          <w:rFonts w:hint="eastAsia" w:ascii="宋体" w:hAnsi="宋体"/>
          <w:color w:val="auto"/>
          <w:sz w:val="24"/>
          <w:u w:val="single"/>
        </w:rPr>
        <w:t xml:space="preserve"> </w:t>
      </w:r>
      <w:r>
        <w:rPr>
          <w:rFonts w:hint="eastAsia" w:ascii="宋体" w:hAnsi="宋体"/>
          <w:color w:val="auto"/>
          <w:sz w:val="24"/>
        </w:rPr>
        <w:t>天内发出开工通知的，承包人有权提出价格调整要求，或者解除合同。</w:t>
      </w:r>
    </w:p>
    <w:bookmarkEnd w:id="163"/>
    <w:bookmarkEnd w:id="164"/>
    <w:bookmarkEnd w:id="165"/>
    <w:bookmarkEnd w:id="166"/>
    <w:bookmarkEnd w:id="167"/>
    <w:bookmarkEnd w:id="168"/>
    <w:bookmarkEnd w:id="169"/>
    <w:p w14:paraId="6F4F2F8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7.4 测量放线</w:t>
      </w:r>
    </w:p>
    <w:p w14:paraId="6943AA21">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7.4.1发包人通过监理人向承包人提供测量基准点、基准线和水准点及其书面资料的期限：</w:t>
      </w:r>
      <w:r>
        <w:rPr>
          <w:rFonts w:hint="eastAsia" w:ascii="宋体" w:hAnsi="宋体"/>
          <w:color w:val="auto"/>
          <w:sz w:val="24"/>
          <w:u w:val="single"/>
        </w:rPr>
        <w:t xml:space="preserve">  开工前21天内</w:t>
      </w:r>
      <w:r>
        <w:rPr>
          <w:rFonts w:hint="eastAsia" w:ascii="宋体" w:hAnsi="宋体"/>
          <w:color w:val="auto"/>
          <w:kern w:val="0"/>
          <w:sz w:val="24"/>
          <w:u w:val="single"/>
        </w:rPr>
        <w:t xml:space="preserve">(执行通用条款)。 </w:t>
      </w:r>
      <w:r>
        <w:rPr>
          <w:rFonts w:hint="eastAsia" w:ascii="宋体" w:hAnsi="宋体"/>
          <w:color w:val="auto"/>
          <w:sz w:val="24"/>
          <w:u w:val="single"/>
        </w:rPr>
        <w:t xml:space="preserve">  </w:t>
      </w:r>
    </w:p>
    <w:p w14:paraId="706ED69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7</w:t>
      </w:r>
      <w:bookmarkStart w:id="170" w:name="_Toc297123516"/>
      <w:bookmarkStart w:id="171" w:name="_Toc297216175"/>
      <w:bookmarkStart w:id="172" w:name="_Toc312677484"/>
      <w:bookmarkStart w:id="173" w:name="_Toc304295546"/>
      <w:bookmarkStart w:id="174" w:name="_Toc303539125"/>
      <w:bookmarkStart w:id="175" w:name="_Toc300934968"/>
      <w:bookmarkStart w:id="176" w:name="_Toc312678010"/>
      <w:r>
        <w:rPr>
          <w:rFonts w:hint="eastAsia" w:ascii="宋体" w:hAnsi="宋体"/>
          <w:color w:val="auto"/>
          <w:sz w:val="24"/>
        </w:rPr>
        <w:t>.5 工期延误</w:t>
      </w:r>
    </w:p>
    <w:bookmarkEnd w:id="170"/>
    <w:bookmarkEnd w:id="171"/>
    <w:bookmarkEnd w:id="172"/>
    <w:bookmarkEnd w:id="173"/>
    <w:bookmarkEnd w:id="174"/>
    <w:bookmarkEnd w:id="175"/>
    <w:bookmarkEnd w:id="176"/>
    <w:p w14:paraId="49911673">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7.5.1 因发包人原因导致工期延误</w:t>
      </w:r>
    </w:p>
    <w:p w14:paraId="747855D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（7）因发包人原因导致工期延误的其他情形：</w:t>
      </w:r>
      <w:r>
        <w:rPr>
          <w:rFonts w:hint="eastAsia" w:ascii="宋体" w:hAnsi="宋体"/>
          <w:color w:val="auto"/>
          <w:sz w:val="24"/>
          <w:u w:val="single"/>
        </w:rPr>
        <w:t xml:space="preserve">   /     </w:t>
      </w:r>
    </w:p>
    <w:p w14:paraId="238A86B9">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7.5.2 因承包人原因导致工期延误</w:t>
      </w:r>
    </w:p>
    <w:p w14:paraId="55F45916">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因承包人原因造成工期延误，逾期竣工违约金的计算方法为：</w:t>
      </w:r>
      <w:r>
        <w:rPr>
          <w:rFonts w:hint="eastAsia" w:ascii="宋体" w:hAnsi="宋体"/>
          <w:color w:val="auto"/>
          <w:sz w:val="24"/>
          <w:u w:val="single"/>
        </w:rPr>
        <w:t xml:space="preserve"> 按照本合同协议书约定施工总工期或者按照本招标文件规定阶段节点施工工期发生施工工期延期的，每延期竣工一天，承包人支付发包人合同价款的万分之二的违约金；工程延期28天以上的，每天按合同价款万分之五向发包人支付违约金；延期竣工56天以上的，每天按合同价款万分之五向发包人支付违约金，并且发包人有权解除合同，并追究连带损失。   </w:t>
      </w:r>
    </w:p>
    <w:p w14:paraId="00D5E361">
      <w:pPr>
        <w:adjustRightInd w:val="0"/>
        <w:snapToGrid w:val="0"/>
        <w:spacing w:line="360" w:lineRule="auto"/>
        <w:ind w:firstLine="480" w:firstLineChars="200"/>
        <w:rPr>
          <w:rFonts w:hint="eastAsia" w:ascii="宋体" w:hAnsi="宋体"/>
          <w:color w:val="auto"/>
          <w:sz w:val="24"/>
          <w:szCs w:val="24"/>
          <w:u w:val="single"/>
        </w:rPr>
      </w:pPr>
      <w:r>
        <w:rPr>
          <w:rFonts w:hint="eastAsia" w:ascii="宋体" w:hAnsi="宋体"/>
          <w:color w:val="auto"/>
          <w:sz w:val="24"/>
          <w:szCs w:val="24"/>
        </w:rPr>
        <w:t>因承包人原因造成工期延误，逾期竣工违约金的上限：</w:t>
      </w:r>
      <w:r>
        <w:rPr>
          <w:rFonts w:hint="eastAsia" w:ascii="宋体" w:hAnsi="宋体"/>
          <w:color w:val="auto"/>
          <w:sz w:val="24"/>
          <w:szCs w:val="24"/>
          <w:u w:val="single"/>
        </w:rPr>
        <w:t xml:space="preserve">  违约金最高限额为合同价款的4% 。</w:t>
      </w:r>
    </w:p>
    <w:p w14:paraId="2A7892FC">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7.6 不利物质条件</w:t>
      </w:r>
    </w:p>
    <w:p w14:paraId="026EAAC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不利物质条件的其他情形和有关约定：</w:t>
      </w:r>
      <w:r>
        <w:rPr>
          <w:rFonts w:hint="eastAsia" w:ascii="宋体" w:hAnsi="宋体"/>
          <w:color w:val="auto"/>
          <w:sz w:val="24"/>
          <w:u w:val="single"/>
        </w:rPr>
        <w:t xml:space="preserve">  </w:t>
      </w:r>
      <w:r>
        <w:rPr>
          <w:rFonts w:hint="eastAsia" w:ascii="宋体" w:hAnsi="宋体"/>
          <w:color w:val="auto"/>
          <w:kern w:val="0"/>
          <w:sz w:val="24"/>
          <w:u w:val="single"/>
        </w:rPr>
        <w:t xml:space="preserve">执行通用条款。 </w:t>
      </w:r>
      <w:r>
        <w:rPr>
          <w:rFonts w:hint="eastAsia" w:ascii="宋体" w:hAnsi="宋体"/>
          <w:color w:val="auto"/>
          <w:sz w:val="24"/>
          <w:u w:val="single"/>
        </w:rPr>
        <w:t xml:space="preserve">   </w:t>
      </w:r>
    </w:p>
    <w:p w14:paraId="1059C49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7.7异常恶劣的气候条件</w:t>
      </w:r>
    </w:p>
    <w:p w14:paraId="0AFE1EA3">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发包人和承包人同意以下情形视为异常恶劣的气候条件：</w:t>
      </w:r>
      <w:r>
        <w:rPr>
          <w:rFonts w:hint="eastAsia" w:ascii="宋体" w:hAnsi="宋体"/>
          <w:color w:val="auto"/>
          <w:sz w:val="24"/>
          <w:u w:val="single"/>
        </w:rPr>
        <w:t xml:space="preserve">  执行通用条款。   </w:t>
      </w:r>
    </w:p>
    <w:p w14:paraId="511336D0">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7.9 提前竣工的奖励</w:t>
      </w:r>
    </w:p>
    <w:p w14:paraId="7CE14520">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7.9.2提前竣工的奖励：</w:t>
      </w:r>
      <w:r>
        <w:rPr>
          <w:rFonts w:hint="eastAsia" w:ascii="宋体" w:hAnsi="宋体"/>
          <w:color w:val="auto"/>
          <w:sz w:val="24"/>
          <w:u w:val="single"/>
        </w:rPr>
        <w:t xml:space="preserve">  不采用。    </w:t>
      </w:r>
    </w:p>
    <w:p w14:paraId="5C2F6E59">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177" w:name="_Toc351203640"/>
      <w:r>
        <w:rPr>
          <w:rFonts w:hint="eastAsia" w:ascii="宋体" w:hAnsi="宋体"/>
          <w:color w:val="auto"/>
          <w:kern w:val="0"/>
          <w:sz w:val="24"/>
        </w:rPr>
        <w:t>8. 材料与设备</w:t>
      </w:r>
      <w:bookmarkEnd w:id="177"/>
    </w:p>
    <w:bookmarkEnd w:id="144"/>
    <w:bookmarkEnd w:id="145"/>
    <w:bookmarkEnd w:id="146"/>
    <w:bookmarkEnd w:id="147"/>
    <w:bookmarkEnd w:id="148"/>
    <w:bookmarkEnd w:id="149"/>
    <w:bookmarkEnd w:id="150"/>
    <w:bookmarkEnd w:id="151"/>
    <w:bookmarkEnd w:id="152"/>
    <w:bookmarkEnd w:id="153"/>
    <w:p w14:paraId="52F19A46">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8</w:t>
      </w:r>
      <w:bookmarkStart w:id="178" w:name="_Toc280868655"/>
      <w:bookmarkStart w:id="179" w:name="_Toc267251424"/>
      <w:bookmarkStart w:id="180" w:name="_Toc280868656"/>
      <w:r>
        <w:rPr>
          <w:rFonts w:hint="eastAsia" w:ascii="宋体" w:hAnsi="宋体"/>
          <w:color w:val="auto"/>
          <w:sz w:val="24"/>
        </w:rPr>
        <w:t>.4材料与工程设备的保管与使用</w:t>
      </w:r>
    </w:p>
    <w:p w14:paraId="1958C919">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8</w:t>
      </w:r>
      <w:bookmarkStart w:id="181" w:name="_Toc312678020"/>
      <w:bookmarkStart w:id="182" w:name="_Toc297123528"/>
      <w:bookmarkStart w:id="183" w:name="_Toc296347167"/>
      <w:bookmarkStart w:id="184" w:name="_Toc318581173"/>
      <w:bookmarkStart w:id="185" w:name="_Toc296890996"/>
      <w:bookmarkStart w:id="186" w:name="_Toc296346669"/>
      <w:bookmarkStart w:id="187" w:name="_Toc304295557"/>
      <w:bookmarkStart w:id="188" w:name="_Toc296891208"/>
      <w:bookmarkStart w:id="189" w:name="_Toc296944507"/>
      <w:bookmarkStart w:id="190" w:name="_Toc297048354"/>
      <w:bookmarkStart w:id="191" w:name="_Toc296503168"/>
      <w:bookmarkStart w:id="192" w:name="_Toc312677494"/>
      <w:bookmarkStart w:id="193" w:name="_Toc300934980"/>
      <w:bookmarkStart w:id="194" w:name="_Toc297216187"/>
      <w:bookmarkStart w:id="195" w:name="_Toc297120468"/>
      <w:bookmarkStart w:id="196" w:name="_Toc303539137"/>
      <w:r>
        <w:rPr>
          <w:rFonts w:hint="eastAsia" w:ascii="宋体" w:hAnsi="宋体"/>
          <w:color w:val="auto"/>
          <w:sz w:val="24"/>
        </w:rPr>
        <w:t>.4.1发包人供应的材料设备的保管费用的承担：</w:t>
      </w:r>
    </w:p>
    <w:p w14:paraId="542C49B7">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 xml:space="preserve"> 1）</w:t>
      </w:r>
      <w:r>
        <w:rPr>
          <w:rFonts w:hint="eastAsia" w:ascii="宋体" w:hAnsi="宋体"/>
          <w:color w:val="auto"/>
          <w:sz w:val="24"/>
          <w:u w:val="single"/>
        </w:rPr>
        <w:t>材料按照总价</w:t>
      </w:r>
      <w:r>
        <w:rPr>
          <w:rFonts w:hint="eastAsia" w:ascii="宋体" w:hAnsi="宋体"/>
          <w:color w:val="auto"/>
          <w:sz w:val="24"/>
          <w:u w:val="single"/>
          <w:lang w:val="en-US" w:eastAsia="zh-CN"/>
        </w:rPr>
        <w:t xml:space="preserve">   </w:t>
      </w:r>
      <w:r>
        <w:rPr>
          <w:rFonts w:hint="eastAsia" w:ascii="宋体" w:hAnsi="宋体"/>
          <w:color w:val="auto"/>
          <w:sz w:val="24"/>
          <w:u w:val="single"/>
        </w:rPr>
        <w:t>%计取保管费（材料数量最多不超过设计文件的用量（可以计算定额损耗））；设备按照总价</w:t>
      </w:r>
      <w:r>
        <w:rPr>
          <w:rFonts w:hint="eastAsia" w:ascii="宋体" w:hAnsi="宋体"/>
          <w:color w:val="auto"/>
          <w:sz w:val="24"/>
          <w:u w:val="single"/>
          <w:lang w:val="en-US" w:eastAsia="zh-CN"/>
        </w:rPr>
        <w:t xml:space="preserve">   </w:t>
      </w:r>
      <w:r>
        <w:rPr>
          <w:rFonts w:hint="eastAsia" w:ascii="宋体" w:hAnsi="宋体"/>
          <w:color w:val="auto"/>
          <w:sz w:val="24"/>
          <w:u w:val="single"/>
        </w:rPr>
        <w:t>%计取保管费；此费用仅计取税金。</w:t>
      </w:r>
    </w:p>
    <w:p w14:paraId="723B0E28">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2）</w:t>
      </w:r>
      <w:r>
        <w:rPr>
          <w:rFonts w:hint="eastAsia" w:ascii="宋体" w:hAnsi="宋体"/>
          <w:color w:val="auto"/>
          <w:sz w:val="24"/>
          <w:u w:val="single"/>
        </w:rPr>
        <w:t xml:space="preserve">到货时间与《发包人供应材料设备一览表》不一致的，保管费用不予调整。  </w:t>
      </w:r>
    </w:p>
    <w:p w14:paraId="4B736EF3">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3）</w:t>
      </w:r>
      <w:r>
        <w:rPr>
          <w:rFonts w:hint="eastAsia" w:ascii="宋体" w:hAnsi="宋体"/>
          <w:color w:val="auto"/>
          <w:sz w:val="24"/>
          <w:u w:val="single"/>
        </w:rPr>
        <w:t>开工前承包人提交材料需求明细计划；每种材料进场批次不超过2批。</w:t>
      </w:r>
    </w:p>
    <w:p w14:paraId="4EB6AD33">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4）</w:t>
      </w:r>
      <w:r>
        <w:rPr>
          <w:rFonts w:hint="eastAsia" w:ascii="宋体" w:hAnsi="宋体"/>
          <w:color w:val="auto"/>
          <w:sz w:val="24"/>
          <w:u w:val="single"/>
        </w:rPr>
        <w:t xml:space="preserve">发包人按照承包人提交的计划供应材料；当材料出现短缺时，承包人必须至少提前一周以书面通知发包人； </w:t>
      </w:r>
    </w:p>
    <w:p w14:paraId="37226A39">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5）</w:t>
      </w:r>
      <w:r>
        <w:rPr>
          <w:rFonts w:hint="eastAsia" w:ascii="宋体" w:hAnsi="宋体"/>
          <w:color w:val="auto"/>
          <w:sz w:val="24"/>
          <w:u w:val="single"/>
        </w:rPr>
        <w:t>发包人供应的材料由承包人负责按相关规定检验，合格后方可用于工程；承包人未按规定检验造成的后果由承包人负责。</w:t>
      </w:r>
    </w:p>
    <w:p w14:paraId="608F9B26">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6）</w:t>
      </w:r>
      <w:r>
        <w:rPr>
          <w:rFonts w:hint="eastAsia" w:ascii="宋体" w:hAnsi="宋体"/>
          <w:color w:val="auto"/>
          <w:sz w:val="24"/>
          <w:u w:val="single"/>
        </w:rPr>
        <w:t xml:space="preserve">发包人供应材料的检验检测费用由承包人在合同价款的投标报价中考虑，不再另行计取。若发包人自行检验的，须提供检验报告，检验费用从合同价款中扣除。 </w:t>
      </w:r>
    </w:p>
    <w:p w14:paraId="07D25E7A">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7）</w:t>
      </w:r>
      <w:r>
        <w:rPr>
          <w:rFonts w:hint="eastAsia" w:ascii="宋体" w:hAnsi="宋体"/>
          <w:color w:val="auto"/>
          <w:sz w:val="24"/>
          <w:u w:val="single"/>
        </w:rPr>
        <w:t>因承包人计划不周造成增加费用由承包人承担，工期不予顺延。</w:t>
      </w:r>
    </w:p>
    <w:p w14:paraId="2BBFB48B">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8）</w:t>
      </w:r>
      <w:r>
        <w:rPr>
          <w:rFonts w:hint="eastAsia" w:ascii="宋体" w:hAnsi="宋体"/>
          <w:color w:val="auto"/>
          <w:sz w:val="24"/>
          <w:u w:val="single"/>
        </w:rPr>
        <w:t xml:space="preserve">因承包人原因造成发包人供应材料超供的，如不能退货，该部分材料归承包人所有，其价款由发包人直接从工程款中扣除，承包人另赔偿发包人材料价款1.2%作为管理费用；可以退货的，退货产生的费用由承包人承担，承包人另赔偿发包人材料价款1.2%作为管理费用。 </w:t>
      </w:r>
    </w:p>
    <w:p w14:paraId="631CEB72">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9）</w:t>
      </w:r>
      <w:r>
        <w:rPr>
          <w:rFonts w:hint="eastAsia" w:ascii="宋体" w:hAnsi="宋体"/>
          <w:color w:val="auto"/>
          <w:sz w:val="24"/>
          <w:u w:val="single"/>
        </w:rPr>
        <w:t>发包人供应的材料数量为图纸用量。</w:t>
      </w:r>
    </w:p>
    <w:p w14:paraId="1746F699">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10）</w:t>
      </w:r>
      <w:r>
        <w:rPr>
          <w:rFonts w:hint="eastAsia" w:ascii="宋体" w:hAnsi="宋体"/>
          <w:color w:val="auto"/>
          <w:sz w:val="24"/>
          <w:u w:val="single"/>
        </w:rPr>
        <w:t>发包人材料供应不及时影响关键线路工程施工的，工期顺延。</w:t>
      </w:r>
    </w:p>
    <w:p w14:paraId="70DD247A">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11）</w:t>
      </w:r>
      <w:r>
        <w:rPr>
          <w:rFonts w:hint="eastAsia" w:ascii="宋体" w:hAnsi="宋体"/>
          <w:color w:val="auto"/>
          <w:sz w:val="24"/>
          <w:u w:val="single"/>
        </w:rPr>
        <w:t>发包人供应的材料进入现场即视为供应到位，由承包人负责卸货入库等其他工作，费用由承包人在合同价款中考虑，不再另行计取。</w:t>
      </w:r>
    </w:p>
    <w:p w14:paraId="0D60CCC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8.6 样品</w:t>
      </w:r>
    </w:p>
    <w:p w14:paraId="7E86335B">
      <w:pPr>
        <w:pStyle w:val="77"/>
        <w:tabs>
          <w:tab w:val="left" w:pos="360"/>
        </w:tabs>
        <w:autoSpaceDE w:val="0"/>
        <w:autoSpaceDN w:val="0"/>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8.6.1样品的报送与封存</w:t>
      </w:r>
    </w:p>
    <w:p w14:paraId="343C71E6">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需要承包人报送样品的材料或工程设备，样品的种类、名称、规格、数量要求：</w:t>
      </w:r>
      <w:r>
        <w:rPr>
          <w:rFonts w:hint="eastAsia" w:ascii="宋体" w:hAnsi="宋体"/>
          <w:color w:val="auto"/>
          <w:sz w:val="24"/>
          <w:u w:val="single"/>
        </w:rPr>
        <w:t xml:space="preserve"> 承包人在签订本工程主要材料或设备采购合同前，需向发包人报送拟购材料设备样品，其报送材料设备样品须经发包人、监理单位共同确认并封样后，承包人方可签订主要材料或设备采购合同。</w:t>
      </w:r>
      <w:r>
        <w:rPr>
          <w:rFonts w:hint="eastAsia" w:ascii="宋体" w:hAnsi="宋体"/>
          <w:color w:val="auto"/>
          <w:kern w:val="0"/>
          <w:sz w:val="24"/>
          <w:u w:val="single"/>
        </w:rPr>
        <w:t>承包人报送给发包人本工程所用主要材料或工程设备样品的具体种类、名称、规格、数量，在工程开工前</w:t>
      </w:r>
      <w:r>
        <w:rPr>
          <w:rFonts w:hint="eastAsia" w:ascii="宋体" w:hAnsi="宋体"/>
          <w:color w:val="auto"/>
          <w:sz w:val="24"/>
          <w:u w:val="single"/>
        </w:rPr>
        <w:t xml:space="preserve">由发包人、承包人与监理人另行商定确定。   </w:t>
      </w:r>
    </w:p>
    <w:p w14:paraId="4E1B9158">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8.8 施工设备和临时设施</w:t>
      </w:r>
    </w:p>
    <w:p w14:paraId="0406ED4B">
      <w:pPr>
        <w:pStyle w:val="77"/>
        <w:tabs>
          <w:tab w:val="left" w:pos="360"/>
        </w:tabs>
        <w:autoSpaceDE w:val="0"/>
        <w:autoSpaceDN w:val="0"/>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8.8.1 承包人提供的施工设备和临时设施</w:t>
      </w:r>
    </w:p>
    <w:p w14:paraId="7D223006">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关于修建临时设施费用承担的约定：</w:t>
      </w:r>
      <w:r>
        <w:rPr>
          <w:rFonts w:hint="eastAsia" w:ascii="宋体" w:hAnsi="宋体"/>
          <w:color w:val="auto"/>
          <w:sz w:val="24"/>
          <w:u w:val="single"/>
        </w:rPr>
        <w:t xml:space="preserve">  承包人承担此费用，该费用已包含在投标报价</w:t>
      </w:r>
      <w:r>
        <w:rPr>
          <w:rFonts w:hint="eastAsia" w:ascii="宋体" w:hAnsi="宋体"/>
          <w:color w:val="auto"/>
          <w:kern w:val="0"/>
          <w:sz w:val="24"/>
          <w:u w:val="single"/>
        </w:rPr>
        <w:t>。</w:t>
      </w:r>
      <w:r>
        <w:rPr>
          <w:rFonts w:hint="eastAsia" w:ascii="宋体" w:hAnsi="宋体"/>
          <w:color w:val="auto"/>
          <w:sz w:val="24"/>
          <w:u w:val="single"/>
        </w:rPr>
        <w:t xml:space="preserve">   </w:t>
      </w: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14F149A8">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197" w:name="_Toc351203641"/>
      <w:r>
        <w:rPr>
          <w:rFonts w:hint="eastAsia" w:ascii="宋体" w:hAnsi="宋体"/>
          <w:color w:val="auto"/>
          <w:kern w:val="0"/>
          <w:sz w:val="24"/>
        </w:rPr>
        <w:t>9</w:t>
      </w:r>
      <w:bookmarkEnd w:id="178"/>
      <w:bookmarkEnd w:id="179"/>
      <w:bookmarkEnd w:id="180"/>
      <w:bookmarkStart w:id="198" w:name="_Toc303539139"/>
      <w:bookmarkStart w:id="199" w:name="_Toc304295559"/>
      <w:bookmarkStart w:id="200" w:name="_Toc300934982"/>
      <w:bookmarkStart w:id="201" w:name="_Toc297123533"/>
      <w:bookmarkStart w:id="202" w:name="_Toc312678021"/>
      <w:bookmarkStart w:id="203" w:name="_Toc312677495"/>
      <w:bookmarkStart w:id="204" w:name="_Toc297216192"/>
      <w:bookmarkStart w:id="205" w:name="_Toc292559883"/>
      <w:bookmarkStart w:id="206" w:name="_Toc296891213"/>
      <w:bookmarkStart w:id="207" w:name="_Toc296503173"/>
      <w:bookmarkStart w:id="208" w:name="_Toc296944512"/>
      <w:bookmarkStart w:id="209" w:name="_Toc296347172"/>
      <w:bookmarkStart w:id="210" w:name="_Toc292559378"/>
      <w:bookmarkStart w:id="211" w:name="_Toc267251427"/>
      <w:bookmarkStart w:id="212" w:name="_Toc297048359"/>
      <w:bookmarkStart w:id="213" w:name="_Toc296346674"/>
      <w:bookmarkStart w:id="214" w:name="_Toc297120473"/>
      <w:bookmarkStart w:id="215" w:name="_Toc267251428"/>
      <w:bookmarkStart w:id="216" w:name="_Toc296891001"/>
      <w:r>
        <w:rPr>
          <w:rFonts w:hint="eastAsia" w:ascii="宋体" w:hAnsi="宋体"/>
          <w:color w:val="auto"/>
          <w:kern w:val="0"/>
          <w:sz w:val="24"/>
        </w:rPr>
        <w:t>. 试验与检验</w:t>
      </w:r>
      <w:bookmarkEnd w:id="197"/>
    </w:p>
    <w:bookmarkEnd w:id="198"/>
    <w:bookmarkEnd w:id="199"/>
    <w:bookmarkEnd w:id="200"/>
    <w:bookmarkEnd w:id="201"/>
    <w:bookmarkEnd w:id="202"/>
    <w:bookmarkEnd w:id="203"/>
    <w:bookmarkEnd w:id="204"/>
    <w:p w14:paraId="260E9458">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9</w:t>
      </w:r>
      <w:bookmarkStart w:id="217" w:name="_Toc300934983"/>
      <w:bookmarkStart w:id="218" w:name="_Toc303539140"/>
      <w:bookmarkStart w:id="219" w:name="_Toc297216193"/>
      <w:bookmarkStart w:id="220" w:name="_Toc304295560"/>
      <w:bookmarkStart w:id="221" w:name="_Toc312677496"/>
      <w:bookmarkStart w:id="222" w:name="_Toc297123534"/>
      <w:bookmarkStart w:id="223" w:name="_Toc312678022"/>
      <w:r>
        <w:rPr>
          <w:rFonts w:hint="eastAsia" w:ascii="宋体" w:hAnsi="宋体"/>
          <w:color w:val="auto"/>
          <w:sz w:val="24"/>
        </w:rPr>
        <w:t>.1试验设备与试验人员</w:t>
      </w:r>
    </w:p>
    <w:bookmarkEnd w:id="217"/>
    <w:bookmarkEnd w:id="218"/>
    <w:bookmarkEnd w:id="219"/>
    <w:bookmarkEnd w:id="220"/>
    <w:bookmarkEnd w:id="221"/>
    <w:bookmarkEnd w:id="222"/>
    <w:bookmarkEnd w:id="223"/>
    <w:p w14:paraId="5D74B15B">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9</w:t>
      </w:r>
      <w:bookmarkStart w:id="224" w:name="_Toc318581174"/>
      <w:r>
        <w:rPr>
          <w:rFonts w:hint="eastAsia" w:ascii="宋体" w:hAnsi="宋体"/>
          <w:color w:val="auto"/>
          <w:sz w:val="24"/>
        </w:rPr>
        <w:t>.1.2 试验设备</w:t>
      </w:r>
    </w:p>
    <w:p w14:paraId="5383437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施工现场需要配置的试验场所：</w:t>
      </w:r>
      <w:bookmarkStart w:id="225" w:name="_Toc312677498"/>
      <w:bookmarkStart w:id="226" w:name="_Toc304295562"/>
      <w:bookmarkStart w:id="227" w:name="_Toc300934985"/>
      <w:bookmarkStart w:id="228" w:name="_Toc312678024"/>
      <w:bookmarkStart w:id="229" w:name="_Toc297123536"/>
      <w:bookmarkStart w:id="230" w:name="_Toc303539142"/>
      <w:bookmarkStart w:id="231" w:name="_Toc297216195"/>
      <w:r>
        <w:rPr>
          <w:rFonts w:hint="eastAsia" w:ascii="宋体" w:hAnsi="宋体"/>
          <w:color w:val="auto"/>
          <w:sz w:val="24"/>
          <w:u w:val="single"/>
        </w:rPr>
        <w:t xml:space="preserve">  满足现场施工质量检验要求。    </w:t>
      </w:r>
    </w:p>
    <w:p w14:paraId="15AE109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施工现场需要配备的试验设备：</w:t>
      </w:r>
      <w:r>
        <w:rPr>
          <w:rFonts w:hint="eastAsia" w:ascii="宋体" w:hAnsi="宋体"/>
          <w:color w:val="auto"/>
          <w:sz w:val="24"/>
          <w:u w:val="single"/>
        </w:rPr>
        <w:t xml:space="preserve">  满足现场施工质量检验要求。    </w:t>
      </w:r>
    </w:p>
    <w:p w14:paraId="6C2DAB53">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施工现场需要具备的其他试验条件：</w:t>
      </w:r>
      <w:r>
        <w:rPr>
          <w:rFonts w:hint="eastAsia" w:ascii="宋体" w:hAnsi="宋体"/>
          <w:color w:val="auto"/>
          <w:sz w:val="24"/>
          <w:u w:val="single"/>
        </w:rPr>
        <w:t xml:space="preserve">  满足现场施工质量检验要求。    </w:t>
      </w:r>
    </w:p>
    <w:p w14:paraId="6612FA73">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 xml:space="preserve">9.4 现场工艺试验 </w:t>
      </w:r>
    </w:p>
    <w:p w14:paraId="3ED53132">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现场工艺试验的有关约定：</w:t>
      </w:r>
    </w:p>
    <w:p w14:paraId="705F14A3">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highlight w:val="none"/>
          <w:u w:val="single"/>
          <w:lang w:val="en-US" w:eastAsia="zh-CN"/>
        </w:rPr>
        <w:t xml:space="preserve">     </w:t>
      </w:r>
      <w:r>
        <w:rPr>
          <w:rFonts w:hint="eastAsia" w:ascii="宋体" w:hAnsi="宋体"/>
          <w:color w:val="auto"/>
          <w:kern w:val="0"/>
          <w:sz w:val="24"/>
          <w:highlight w:val="none"/>
          <w:u w:val="single"/>
        </w:rPr>
        <w:t xml:space="preserve">  </w:t>
      </w:r>
      <w:r>
        <w:rPr>
          <w:rFonts w:hint="eastAsia" w:ascii="宋体" w:hAnsi="宋体"/>
          <w:color w:val="auto"/>
          <w:kern w:val="0"/>
          <w:sz w:val="24"/>
          <w:u w:val="single"/>
        </w:rPr>
        <w:t xml:space="preserve"> </w:t>
      </w:r>
    </w:p>
    <w:bookmarkEnd w:id="224"/>
    <w:bookmarkEnd w:id="225"/>
    <w:bookmarkEnd w:id="226"/>
    <w:bookmarkEnd w:id="227"/>
    <w:bookmarkEnd w:id="228"/>
    <w:bookmarkEnd w:id="229"/>
    <w:bookmarkEnd w:id="230"/>
    <w:bookmarkEnd w:id="231"/>
    <w:p w14:paraId="1F3BA285">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232" w:name="_Toc351203642"/>
      <w:r>
        <w:rPr>
          <w:rFonts w:hint="eastAsia" w:ascii="宋体" w:hAnsi="宋体"/>
          <w:color w:val="auto"/>
          <w:kern w:val="0"/>
          <w:sz w:val="24"/>
        </w:rPr>
        <w:t>1</w:t>
      </w:r>
      <w:bookmarkEnd w:id="205"/>
      <w:bookmarkEnd w:id="206"/>
      <w:bookmarkEnd w:id="207"/>
      <w:bookmarkEnd w:id="208"/>
      <w:bookmarkEnd w:id="209"/>
      <w:bookmarkEnd w:id="210"/>
      <w:bookmarkEnd w:id="211"/>
      <w:bookmarkEnd w:id="212"/>
      <w:bookmarkEnd w:id="213"/>
      <w:bookmarkEnd w:id="214"/>
      <w:bookmarkEnd w:id="215"/>
      <w:bookmarkEnd w:id="216"/>
      <w:bookmarkStart w:id="233" w:name="_Toc296346694"/>
      <w:bookmarkStart w:id="234" w:name="_Toc292559398"/>
      <w:bookmarkStart w:id="235" w:name="_Toc303539146"/>
      <w:bookmarkStart w:id="236" w:name="_Toc296347192"/>
      <w:bookmarkStart w:id="237" w:name="_Toc297216199"/>
      <w:bookmarkStart w:id="238" w:name="_Toc297123540"/>
      <w:bookmarkStart w:id="239" w:name="_Toc296944532"/>
      <w:bookmarkStart w:id="240" w:name="_Toc297120493"/>
      <w:bookmarkStart w:id="241" w:name="_Toc304295566"/>
      <w:bookmarkStart w:id="242" w:name="_Toc292559903"/>
      <w:bookmarkStart w:id="243" w:name="_Toc296891233"/>
      <w:bookmarkStart w:id="244" w:name="_Toc297048379"/>
      <w:bookmarkStart w:id="245" w:name="_Toc296503193"/>
      <w:bookmarkStart w:id="246" w:name="_Toc296891021"/>
      <w:bookmarkStart w:id="247" w:name="_Toc300934989"/>
      <w:bookmarkStart w:id="248" w:name="_Toc312678025"/>
      <w:bookmarkStart w:id="249" w:name="_Toc312677499"/>
      <w:bookmarkStart w:id="250" w:name="_Toc267251439"/>
      <w:bookmarkStart w:id="251" w:name="_Toc267251441"/>
      <w:bookmarkStart w:id="252" w:name="_Toc267251433"/>
      <w:bookmarkStart w:id="253" w:name="_Toc267251440"/>
      <w:bookmarkStart w:id="254" w:name="_Toc267251435"/>
      <w:bookmarkStart w:id="255" w:name="_Toc267251437"/>
      <w:bookmarkStart w:id="256" w:name="_Toc267251442"/>
      <w:r>
        <w:rPr>
          <w:rFonts w:hint="eastAsia" w:ascii="宋体" w:hAnsi="宋体"/>
          <w:color w:val="auto"/>
          <w:kern w:val="0"/>
          <w:sz w:val="24"/>
        </w:rPr>
        <w:t>0. 变更</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bookmarkEnd w:id="248"/>
    <w:bookmarkEnd w:id="249"/>
    <w:p w14:paraId="73356CB9">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w:t>
      </w:r>
      <w:bookmarkStart w:id="257" w:name="_Toc296346695"/>
      <w:bookmarkStart w:id="258" w:name="_Toc296503194"/>
      <w:bookmarkStart w:id="259" w:name="_Toc303539147"/>
      <w:bookmarkStart w:id="260" w:name="_Toc312677500"/>
      <w:bookmarkStart w:id="261" w:name="_Toc297123541"/>
      <w:bookmarkStart w:id="262" w:name="_Toc312678026"/>
      <w:bookmarkStart w:id="263" w:name="_Toc297048380"/>
      <w:bookmarkStart w:id="264" w:name="_Toc296944533"/>
      <w:bookmarkStart w:id="265" w:name="_Toc292559399"/>
      <w:bookmarkStart w:id="266" w:name="_Toc296891022"/>
      <w:bookmarkStart w:id="267" w:name="_Toc297216200"/>
      <w:bookmarkStart w:id="268" w:name="_Toc304295567"/>
      <w:bookmarkStart w:id="269" w:name="_Toc292559904"/>
      <w:bookmarkStart w:id="270" w:name="_Toc297120494"/>
      <w:bookmarkStart w:id="271" w:name="_Toc300934990"/>
      <w:bookmarkStart w:id="272" w:name="_Toc296347193"/>
      <w:bookmarkStart w:id="273" w:name="_Toc296891234"/>
      <w:r>
        <w:rPr>
          <w:rFonts w:hint="eastAsia" w:ascii="宋体" w:hAnsi="宋体"/>
          <w:color w:val="auto"/>
          <w:sz w:val="24"/>
        </w:rPr>
        <w:t>0.1变更的范围</w:t>
      </w:r>
    </w:p>
    <w:p w14:paraId="66DD6DB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关于变更的范围的约定：</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1931749F">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10.4 变更估价</w:t>
      </w:r>
    </w:p>
    <w:p w14:paraId="27158721">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10.4.1 变更估价原则</w:t>
      </w:r>
    </w:p>
    <w:p w14:paraId="4786167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 xml:space="preserve">关于变更估价的约定: </w:t>
      </w:r>
    </w:p>
    <w:p w14:paraId="7AF946FD">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10.4.1.1因工程变更引起已标价工程量清单项目或其工程数量发生变化时，按下列规定调整：</w:t>
      </w:r>
    </w:p>
    <w:p w14:paraId="08DCB5C5">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 xml:space="preserve">  1）</w:t>
      </w:r>
      <w:r>
        <w:rPr>
          <w:rFonts w:hint="eastAsia" w:ascii="宋体" w:hAnsi="宋体"/>
          <w:color w:val="auto"/>
          <w:sz w:val="24"/>
          <w:u w:val="single"/>
        </w:rPr>
        <w:t>已标价工程量清单中有适用于变更工程项目的，采用该项目的单价；但对于分部分项工程项目的单价投标报价高于控制价相应子目的单价的清单项目，工程量增加幅度超过本项目工程数量15%（不含15%）的，超过15%的增加部分工程量的单价按控制价相应子目的单价与投标总价降幅同比下浮标准，作为结算的依据；对于分部分项的单价投标报价降幅低于控制价相应子目的单价30%以上的清单项目，工程量减少幅度超过本项目工程数量15%（不含15%）的，超过15%的减少部分工程量的单价按控制价相应子目的单价与投标总价降幅同比下浮标准，提出变更工程项目的单价，作为结算的依据。</w:t>
      </w:r>
    </w:p>
    <w:p w14:paraId="579E3FB5">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 xml:space="preserve">  2）</w:t>
      </w:r>
      <w:r>
        <w:rPr>
          <w:rFonts w:hint="eastAsia" w:ascii="宋体" w:hAnsi="宋体"/>
          <w:color w:val="auto"/>
          <w:sz w:val="24"/>
          <w:u w:val="single"/>
        </w:rPr>
        <w:t>已标价工程量清单中没有适用但有类似于变更工程项目的，可在合理范围内参照类似项目的单价。</w:t>
      </w:r>
    </w:p>
    <w:p w14:paraId="7B975AC4">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 xml:space="preserve">  3）</w:t>
      </w:r>
      <w:r>
        <w:rPr>
          <w:rFonts w:hint="eastAsia" w:ascii="宋体" w:hAnsi="宋体"/>
          <w:color w:val="auto"/>
          <w:sz w:val="24"/>
          <w:u w:val="single"/>
        </w:rPr>
        <w:t>已标价工程量清单中没有适用也没有类似于变更工程项目的，由承包人根据变更工程资料、招标时的计量规则和计价办法、当期的工程造价管理机构发布的信息价格和承包人投标总价降幅同比下浮标准，提出变更工程项目的单价。</w:t>
      </w:r>
    </w:p>
    <w:p w14:paraId="25D7623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 xml:space="preserve">  4）</w:t>
      </w:r>
      <w:r>
        <w:rPr>
          <w:rFonts w:hint="eastAsia" w:ascii="宋体" w:hAnsi="宋体"/>
          <w:color w:val="auto"/>
          <w:sz w:val="24"/>
          <w:u w:val="single"/>
        </w:rPr>
        <w:t>已标价工程量清单中没有适用也没有类似于变更工程项目的，且工程造价管理机构发布的信息价缺价的，应由承包人根据变更工程资料、招标时的计量规则和计价办法和通过市场调查等取得有合法依据的市场价格和承包人投标总价降幅同比下浮标准，提出变更工程项目的单价，作为结算的依据。</w:t>
      </w:r>
    </w:p>
    <w:p w14:paraId="3F3BDB47">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10.4.1.2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p>
    <w:p w14:paraId="31E76C4C">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 xml:space="preserve"> 1）</w:t>
      </w:r>
      <w:r>
        <w:rPr>
          <w:rFonts w:hint="eastAsia" w:ascii="宋体" w:hAnsi="宋体"/>
          <w:color w:val="auto"/>
          <w:sz w:val="24"/>
          <w:u w:val="single"/>
        </w:rPr>
        <w:t xml:space="preserve">安全文明施工费应按照实际发生变化的措施项目依据原招标文件规定的费率计算；  </w:t>
      </w:r>
    </w:p>
    <w:p w14:paraId="5E84E159">
      <w:pPr>
        <w:pStyle w:val="77"/>
        <w:tabs>
          <w:tab w:val="left" w:pos="360"/>
        </w:tabs>
        <w:adjustRightInd w:val="0"/>
        <w:snapToGrid w:val="0"/>
        <w:spacing w:line="360" w:lineRule="auto"/>
        <w:ind w:right="178" w:rightChars="85" w:firstLine="480" w:firstLineChars="200"/>
        <w:jc w:val="left"/>
        <w:rPr>
          <w:rFonts w:hint="eastAsia" w:ascii="宋体" w:hAnsi="宋体"/>
          <w:color w:val="auto"/>
          <w:sz w:val="24"/>
          <w:u w:val="single"/>
        </w:rPr>
      </w:pPr>
      <w:r>
        <w:rPr>
          <w:rFonts w:hint="eastAsia" w:ascii="宋体" w:hAnsi="宋体"/>
          <w:color w:val="auto"/>
          <w:sz w:val="24"/>
        </w:rPr>
        <w:t xml:space="preserve"> 2）</w:t>
      </w:r>
      <w:r>
        <w:rPr>
          <w:rFonts w:hint="eastAsia" w:ascii="宋体" w:hAnsi="宋体"/>
          <w:color w:val="auto"/>
          <w:sz w:val="24"/>
          <w:u w:val="single"/>
        </w:rPr>
        <w:t>按照单价计算的措施项目费，应按照实际发生变化的措施项目，按本合同专业条款第</w:t>
      </w:r>
      <w:r>
        <w:rPr>
          <w:rFonts w:hint="eastAsia" w:ascii="宋体" w:hAnsi="宋体"/>
          <w:color w:val="auto"/>
          <w:kern w:val="0"/>
          <w:sz w:val="24"/>
          <w:u w:val="single"/>
        </w:rPr>
        <w:t xml:space="preserve">10.4.1.1条计算；   </w:t>
      </w:r>
    </w:p>
    <w:p w14:paraId="0F726F1E">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u w:val="single"/>
        </w:rPr>
        <w:t xml:space="preserve"> 3）按总价（或系数）计算的措施项目费，应按照实际发生变化的措施项目和承包人投标总价降幅同比下浮标准，提出新的措施项目费，作为结算的依据；  </w:t>
      </w:r>
    </w:p>
    <w:p w14:paraId="5D2B1BEF">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u w:val="single"/>
        </w:rPr>
        <w:t xml:space="preserve"> 4）如果承包人未事前将拟实施的方案提交给发包人确认，则应视为工程变更不引起措施项目费的调整或承包人放弃调整措施项目费的权利。  </w:t>
      </w:r>
    </w:p>
    <w:p w14:paraId="7CCC0534">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hint="eastAsia" w:ascii="宋体" w:hAnsi="宋体"/>
          <w:color w:val="auto"/>
          <w:sz w:val="24"/>
        </w:rPr>
        <w:t>0.5承包人的合理化建议</w:t>
      </w:r>
    </w:p>
    <w:p w14:paraId="1D22BD4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监理人审查承包人合理化建议的期限：</w:t>
      </w:r>
      <w:r>
        <w:rPr>
          <w:rFonts w:hint="eastAsia" w:ascii="宋体" w:hAnsi="宋体"/>
          <w:color w:val="auto"/>
          <w:sz w:val="24"/>
          <w:u w:val="single"/>
        </w:rPr>
        <w:t xml:space="preserve">   收到承包人提交的合理化建议后7天内审查完毕(</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795860A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发包人审批承包人合理化建议的期限：</w:t>
      </w:r>
      <w:r>
        <w:rPr>
          <w:rFonts w:hint="eastAsia" w:ascii="宋体" w:hAnsi="宋体"/>
          <w:color w:val="auto"/>
          <w:sz w:val="24"/>
          <w:u w:val="single"/>
        </w:rPr>
        <w:t xml:space="preserve">   收到监理人报送的合理化建议后7天内审批完毕(</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7C506D9D">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承</w:t>
      </w:r>
      <w:bookmarkStart w:id="274" w:name="_Toc296891032"/>
      <w:bookmarkStart w:id="275" w:name="_Toc300934995"/>
      <w:bookmarkStart w:id="276" w:name="_Toc296347203"/>
      <w:bookmarkStart w:id="277" w:name="_Toc304295571"/>
      <w:bookmarkStart w:id="278" w:name="_Toc296891244"/>
      <w:bookmarkStart w:id="279" w:name="_Toc318581175"/>
      <w:bookmarkStart w:id="280" w:name="_Toc297216205"/>
      <w:bookmarkStart w:id="281" w:name="_Toc292559409"/>
      <w:bookmarkStart w:id="282" w:name="_Toc312677504"/>
      <w:bookmarkStart w:id="283" w:name="_Toc297048390"/>
      <w:bookmarkStart w:id="284" w:name="_Toc303539152"/>
      <w:bookmarkStart w:id="285" w:name="_Toc312678030"/>
      <w:bookmarkStart w:id="286" w:name="_Toc297120504"/>
      <w:bookmarkStart w:id="287" w:name="_Toc297123546"/>
      <w:bookmarkStart w:id="288" w:name="_Toc296503204"/>
      <w:bookmarkStart w:id="289" w:name="_Toc296944543"/>
      <w:bookmarkStart w:id="290" w:name="_Toc292559914"/>
      <w:bookmarkStart w:id="291" w:name="_Toc296346705"/>
      <w:r>
        <w:rPr>
          <w:rFonts w:hint="eastAsia" w:ascii="宋体" w:hAnsi="宋体"/>
          <w:color w:val="auto"/>
          <w:sz w:val="24"/>
        </w:rPr>
        <w:t>包人提出的合理化建议降低了合同价格或者提高了工程经济效益的奖励的方法和金额为：</w:t>
      </w:r>
      <w:r>
        <w:rPr>
          <w:rFonts w:hint="eastAsia" w:ascii="宋体" w:hAnsi="宋体"/>
          <w:color w:val="auto"/>
          <w:sz w:val="24"/>
          <w:u w:val="single"/>
        </w:rPr>
        <w:t xml:space="preserve">  /   </w:t>
      </w:r>
    </w:p>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32A8332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w:t>
      </w:r>
      <w:bookmarkStart w:id="292" w:name="_Toc296503199"/>
      <w:bookmarkStart w:id="293" w:name="_Toc296944538"/>
      <w:bookmarkStart w:id="294" w:name="_Toc296347198"/>
      <w:bookmarkStart w:id="295" w:name="_Toc304295574"/>
      <w:bookmarkStart w:id="296" w:name="_Toc297048385"/>
      <w:bookmarkStart w:id="297" w:name="_Toc297120499"/>
      <w:bookmarkStart w:id="298" w:name="_Toc300934997"/>
      <w:bookmarkStart w:id="299" w:name="_Toc296891239"/>
      <w:bookmarkStart w:id="300" w:name="_Toc296891027"/>
      <w:bookmarkStart w:id="301" w:name="_Toc303539154"/>
      <w:bookmarkStart w:id="302" w:name="_Toc296346700"/>
      <w:bookmarkStart w:id="303" w:name="_Toc292559404"/>
      <w:bookmarkStart w:id="304" w:name="_Toc312677507"/>
      <w:bookmarkStart w:id="305" w:name="_Toc312678033"/>
      <w:bookmarkStart w:id="306" w:name="_Toc297216207"/>
      <w:bookmarkStart w:id="307" w:name="_Toc292559909"/>
      <w:bookmarkStart w:id="308" w:name="_Toc297123548"/>
      <w:r>
        <w:rPr>
          <w:rFonts w:hint="eastAsia" w:ascii="宋体" w:hAnsi="宋体"/>
          <w:color w:val="auto"/>
          <w:sz w:val="24"/>
        </w:rPr>
        <w:t>0.7 暂估价</w:t>
      </w:r>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14:paraId="7F249D66">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暂</w:t>
      </w:r>
      <w:bookmarkStart w:id="309" w:name="_Toc318581176"/>
      <w:bookmarkStart w:id="310" w:name="_Toc312678034"/>
      <w:bookmarkStart w:id="311" w:name="_Toc312677508"/>
      <w:r>
        <w:rPr>
          <w:rFonts w:hint="eastAsia" w:ascii="宋体" w:hAnsi="宋体"/>
          <w:color w:val="auto"/>
          <w:kern w:val="0"/>
          <w:sz w:val="24"/>
        </w:rPr>
        <w:t>估价材料和工程设备的明细详见附件11：《</w:t>
      </w:r>
      <w:r>
        <w:rPr>
          <w:rFonts w:hint="eastAsia" w:ascii="宋体" w:hAnsi="宋体"/>
          <w:color w:val="auto"/>
          <w:sz w:val="24"/>
        </w:rPr>
        <w:t>暂估价一览表》</w:t>
      </w:r>
      <w:r>
        <w:rPr>
          <w:rFonts w:hint="eastAsia" w:ascii="宋体" w:hAnsi="宋体"/>
          <w:color w:val="auto"/>
          <w:kern w:val="0"/>
          <w:sz w:val="24"/>
        </w:rPr>
        <w:t>。</w:t>
      </w:r>
    </w:p>
    <w:bookmarkEnd w:id="309"/>
    <w:bookmarkEnd w:id="310"/>
    <w:bookmarkEnd w:id="311"/>
    <w:p w14:paraId="163F7EC3">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10.7.1 依法必须招标的暂估价项目</w:t>
      </w:r>
    </w:p>
    <w:p w14:paraId="23A5414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对于依法必须招标的暂估价项目的确认和批准采取第</w:t>
      </w:r>
      <w:r>
        <w:rPr>
          <w:rFonts w:hint="eastAsia" w:ascii="宋体" w:hAnsi="宋体"/>
          <w:color w:val="auto"/>
          <w:sz w:val="24"/>
          <w:u w:val="single"/>
        </w:rPr>
        <w:t xml:space="preserve">  2  </w:t>
      </w:r>
      <w:r>
        <w:rPr>
          <w:rFonts w:hint="eastAsia" w:ascii="宋体" w:hAnsi="宋体"/>
          <w:color w:val="auto"/>
          <w:sz w:val="24"/>
        </w:rPr>
        <w:t>种方式确定,</w:t>
      </w:r>
      <w:r>
        <w:rPr>
          <w:rFonts w:hint="eastAsia" w:ascii="宋体" w:hAnsi="宋体"/>
          <w:color w:val="auto"/>
          <w:sz w:val="24"/>
          <w:u w:val="single"/>
        </w:rPr>
        <w:t xml:space="preserve">并应按相关规定在安徽合肥公共资源交易中心进行二次招标。    </w:t>
      </w:r>
    </w:p>
    <w:p w14:paraId="164AC1B4">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10.7.2 不属于依法必须招标的暂估价项目</w:t>
      </w:r>
    </w:p>
    <w:p w14:paraId="4567B30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对于不属于依法必须招标的暂估价项目的确认和批准采取第</w:t>
      </w:r>
      <w:r>
        <w:rPr>
          <w:rFonts w:hint="eastAsia" w:ascii="宋体" w:hAnsi="宋体"/>
          <w:color w:val="auto"/>
          <w:sz w:val="24"/>
          <w:u w:val="single"/>
        </w:rPr>
        <w:t xml:space="preserve">  1 </w:t>
      </w:r>
      <w:r>
        <w:rPr>
          <w:rFonts w:hint="eastAsia" w:ascii="宋体" w:hAnsi="宋体"/>
          <w:color w:val="auto"/>
          <w:sz w:val="24"/>
        </w:rPr>
        <w:t xml:space="preserve"> 种方式确定。</w:t>
      </w:r>
    </w:p>
    <w:p w14:paraId="3DFC07E4">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sz w:val="24"/>
        </w:rPr>
        <w:t>第3种方式：</w:t>
      </w:r>
      <w:r>
        <w:rPr>
          <w:rFonts w:hint="eastAsia" w:ascii="宋体" w:hAnsi="宋体"/>
          <w:color w:val="auto"/>
          <w:kern w:val="0"/>
          <w:sz w:val="24"/>
        </w:rPr>
        <w:t>承包人直接实施的暂估价项目</w:t>
      </w:r>
    </w:p>
    <w:p w14:paraId="32E313C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承包人直接实施的暂估价项目的约定：</w:t>
      </w:r>
      <w:r>
        <w:rPr>
          <w:rFonts w:hint="eastAsia" w:ascii="宋体" w:hAnsi="宋体"/>
          <w:color w:val="auto"/>
          <w:sz w:val="24"/>
          <w:u w:val="single"/>
        </w:rPr>
        <w:t xml:space="preserve">    /    </w:t>
      </w:r>
    </w:p>
    <w:p w14:paraId="54E81CCD">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10.8 暂列金额</w:t>
      </w:r>
    </w:p>
    <w:p w14:paraId="54E21DF3">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合同当事人关于暂列金额使用的约定：</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7BD115C8">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312" w:name="_Toc351203643"/>
      <w:r>
        <w:rPr>
          <w:rFonts w:hint="eastAsia" w:ascii="宋体" w:hAnsi="宋体"/>
          <w:color w:val="auto"/>
          <w:kern w:val="0"/>
          <w:sz w:val="24"/>
        </w:rPr>
        <w:t>11. 价格调整</w:t>
      </w:r>
      <w:bookmarkEnd w:id="312"/>
    </w:p>
    <w:p w14:paraId="6D3815E0">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11.1 市场价格波动引起的调整</w:t>
      </w:r>
    </w:p>
    <w:p w14:paraId="04AD1356">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kern w:val="0"/>
          <w:sz w:val="24"/>
        </w:rPr>
        <w:t>市场价格波动是否调整合同价格的约定：</w:t>
      </w:r>
      <w:r>
        <w:rPr>
          <w:rFonts w:hint="eastAsia" w:ascii="宋体" w:hAnsi="宋体"/>
          <w:color w:val="auto"/>
          <w:sz w:val="24"/>
          <w:u w:val="single"/>
        </w:rPr>
        <w:t xml:space="preserve">  在本合同履行期间，</w:t>
      </w:r>
      <w:r>
        <w:rPr>
          <w:rFonts w:hint="eastAsia" w:ascii="宋体" w:hAnsi="宋体"/>
          <w:color w:val="auto"/>
          <w:kern w:val="0"/>
          <w:sz w:val="24"/>
          <w:u w:val="single"/>
        </w:rPr>
        <w:t>市场价格波动时合同价格</w:t>
      </w:r>
      <w:r>
        <w:rPr>
          <w:rFonts w:hint="eastAsia" w:ascii="宋体" w:hAnsi="宋体"/>
          <w:color w:val="auto"/>
          <w:sz w:val="24"/>
          <w:u w:val="single"/>
        </w:rPr>
        <w:t xml:space="preserve">不予调整。  </w:t>
      </w:r>
    </w:p>
    <w:p w14:paraId="0CFA8D7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因市场价格波动调整合同价格，采用以下第</w:t>
      </w:r>
      <w:r>
        <w:rPr>
          <w:rFonts w:hint="eastAsia" w:ascii="宋体" w:hAnsi="宋体"/>
          <w:color w:val="auto"/>
          <w:sz w:val="24"/>
          <w:u w:val="single"/>
        </w:rPr>
        <w:t xml:space="preserve">  不采用  </w:t>
      </w:r>
      <w:r>
        <w:rPr>
          <w:rFonts w:hint="eastAsia" w:ascii="宋体" w:hAnsi="宋体"/>
          <w:color w:val="auto"/>
          <w:sz w:val="24"/>
        </w:rPr>
        <w:t>种方式对合同价格进行调整：</w:t>
      </w:r>
    </w:p>
    <w:p w14:paraId="6703E384">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第1种方式：采用价格指数进行价格调整。</w:t>
      </w:r>
    </w:p>
    <w:p w14:paraId="1A02EBCA">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关于各可调因子、定值和变值权重，以及基本价格指数及其来源的约定：</w:t>
      </w:r>
      <w:r>
        <w:rPr>
          <w:rFonts w:hint="eastAsia" w:ascii="宋体" w:hAnsi="宋体"/>
          <w:color w:val="auto"/>
          <w:sz w:val="24"/>
          <w:u w:val="single"/>
        </w:rPr>
        <w:t xml:space="preserve">  不采用。 </w:t>
      </w:r>
    </w:p>
    <w:p w14:paraId="43D6E68F">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第2种方式：采用造价信息进行价格调整。</w:t>
      </w:r>
    </w:p>
    <w:p w14:paraId="54FC8CC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（2）关于基准价格的约定：</w:t>
      </w:r>
      <w:r>
        <w:rPr>
          <w:rFonts w:hint="eastAsia" w:ascii="宋体" w:hAnsi="宋体"/>
          <w:color w:val="auto"/>
          <w:sz w:val="24"/>
          <w:u w:val="single"/>
        </w:rPr>
        <w:t xml:space="preserve">  不采用。   </w:t>
      </w:r>
    </w:p>
    <w:p w14:paraId="564EA42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专用合同条款</w:t>
      </w:r>
      <w:r>
        <w:rPr>
          <w:rFonts w:hint="eastAsia" w:ascii="宋体" w:hAnsi="宋体" w:cs="宋体"/>
          <w:color w:val="auto"/>
          <w:sz w:val="24"/>
        </w:rPr>
        <w:t>①</w:t>
      </w:r>
      <w:r>
        <w:rPr>
          <w:rFonts w:hint="eastAsia" w:ascii="宋体" w:hAnsi="宋体"/>
          <w:color w:val="auto"/>
          <w:sz w:val="24"/>
        </w:rPr>
        <w:t>承包人在已标价工程量清单或预算书中载明的材料单价低于基准价格的：专用合同条款合同履行期间材料单价涨幅以基准价格为基础超过</w:t>
      </w:r>
      <w:r>
        <w:rPr>
          <w:rFonts w:hint="eastAsia" w:ascii="宋体" w:hAnsi="宋体"/>
          <w:color w:val="auto"/>
          <w:sz w:val="24"/>
          <w:u w:val="single"/>
        </w:rPr>
        <w:t xml:space="preserve">   </w:t>
      </w:r>
      <w:r>
        <w:rPr>
          <w:rFonts w:hint="eastAsia" w:ascii="宋体" w:hAnsi="宋体"/>
          <w:color w:val="auto"/>
          <w:sz w:val="24"/>
        </w:rPr>
        <w:t>%时，或材料单价跌幅以已标价工程量清单或预算书中载明材料单价为基础超过</w:t>
      </w:r>
      <w:r>
        <w:rPr>
          <w:rFonts w:hint="eastAsia" w:ascii="宋体" w:hAnsi="宋体"/>
          <w:color w:val="auto"/>
          <w:sz w:val="24"/>
          <w:u w:val="single"/>
        </w:rPr>
        <w:t xml:space="preserve">   </w:t>
      </w:r>
      <w:r>
        <w:rPr>
          <w:rFonts w:hint="eastAsia" w:ascii="宋体" w:hAnsi="宋体"/>
          <w:color w:val="auto"/>
          <w:sz w:val="24"/>
        </w:rPr>
        <w:t>%时，其超过部分据实调整。</w:t>
      </w:r>
    </w:p>
    <w:p w14:paraId="102752B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s="宋体"/>
          <w:color w:val="auto"/>
          <w:sz w:val="24"/>
        </w:rPr>
        <w:t>②</w:t>
      </w:r>
      <w:r>
        <w:rPr>
          <w:rFonts w:hint="eastAsia" w:ascii="宋体" w:hAnsi="宋体"/>
          <w:color w:val="auto"/>
          <w:sz w:val="24"/>
        </w:rPr>
        <w:t>承包人在已标价工程量清单或预算书中载明的材料单价高于基准价格的：专用合同条款合同履行期间材料单价跌幅以基准价格为基础超过</w:t>
      </w:r>
      <w:r>
        <w:rPr>
          <w:rFonts w:hint="eastAsia" w:ascii="宋体" w:hAnsi="宋体"/>
          <w:color w:val="auto"/>
          <w:sz w:val="24"/>
          <w:u w:val="single"/>
        </w:rPr>
        <w:t xml:space="preserve">   </w:t>
      </w:r>
      <w:r>
        <w:rPr>
          <w:rFonts w:hint="eastAsia" w:ascii="宋体" w:hAnsi="宋体"/>
          <w:color w:val="auto"/>
          <w:sz w:val="24"/>
        </w:rPr>
        <w:t>%时，材料单价涨幅以已标价工程量清单或预算书中载明材料单价为基础超过</w:t>
      </w:r>
      <w:r>
        <w:rPr>
          <w:rFonts w:hint="eastAsia" w:ascii="宋体" w:hAnsi="宋体"/>
          <w:color w:val="auto"/>
          <w:sz w:val="24"/>
          <w:u w:val="single"/>
        </w:rPr>
        <w:t xml:space="preserve">   </w:t>
      </w:r>
      <w:r>
        <w:rPr>
          <w:rFonts w:hint="eastAsia" w:ascii="宋体" w:hAnsi="宋体"/>
          <w:color w:val="auto"/>
          <w:sz w:val="24"/>
        </w:rPr>
        <w:t>%时，其超过部分据实调整。</w:t>
      </w:r>
    </w:p>
    <w:p w14:paraId="03618A5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s="宋体"/>
          <w:color w:val="auto"/>
          <w:sz w:val="24"/>
        </w:rPr>
        <w:t>③</w:t>
      </w:r>
      <w:r>
        <w:rPr>
          <w:rFonts w:hint="eastAsia" w:ascii="宋体" w:hAnsi="宋体"/>
          <w:color w:val="auto"/>
          <w:sz w:val="24"/>
        </w:rPr>
        <w:t>承包人在已标价工程量清单或预算书中载明的材料单价等于基准单价的：专用合同条款合同履行期间材料单价涨跌幅以基准单价为基础超过±</w:t>
      </w:r>
      <w:r>
        <w:rPr>
          <w:rFonts w:hint="eastAsia" w:ascii="宋体" w:hAnsi="宋体"/>
          <w:color w:val="auto"/>
          <w:sz w:val="24"/>
          <w:u w:val="single"/>
        </w:rPr>
        <w:t xml:space="preserve">   </w:t>
      </w:r>
      <w:r>
        <w:rPr>
          <w:rFonts w:hint="eastAsia" w:ascii="宋体" w:hAnsi="宋体"/>
          <w:color w:val="auto"/>
          <w:sz w:val="24"/>
        </w:rPr>
        <w:t>%时，其超过部分据实调整。</w:t>
      </w:r>
    </w:p>
    <w:p w14:paraId="364E70E9">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第3种方式：其他价格调整方式：</w:t>
      </w:r>
      <w:r>
        <w:rPr>
          <w:rFonts w:hint="eastAsia" w:ascii="宋体" w:hAnsi="宋体"/>
          <w:color w:val="auto"/>
          <w:sz w:val="24"/>
          <w:u w:val="single"/>
        </w:rPr>
        <w:t xml:space="preserve">  /     </w:t>
      </w:r>
    </w:p>
    <w:bookmarkEnd w:id="250"/>
    <w:bookmarkEnd w:id="251"/>
    <w:bookmarkEnd w:id="252"/>
    <w:bookmarkEnd w:id="253"/>
    <w:bookmarkEnd w:id="254"/>
    <w:bookmarkEnd w:id="255"/>
    <w:p w14:paraId="126E559F">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313" w:name="_Toc296944544"/>
      <w:bookmarkStart w:id="314" w:name="_Toc296503205"/>
      <w:bookmarkStart w:id="315" w:name="_Toc297120505"/>
      <w:bookmarkStart w:id="316" w:name="_Toc296891033"/>
      <w:bookmarkStart w:id="317" w:name="_Toc292559410"/>
      <w:bookmarkStart w:id="318" w:name="_Toc292559915"/>
      <w:bookmarkStart w:id="319" w:name="_Toc296347204"/>
      <w:bookmarkStart w:id="320" w:name="_Toc296346706"/>
      <w:bookmarkStart w:id="321" w:name="_Toc296891245"/>
      <w:bookmarkStart w:id="322" w:name="_Toc297048391"/>
      <w:bookmarkStart w:id="323" w:name="_Toc351203644"/>
      <w:bookmarkStart w:id="324" w:name="_Toc304295579"/>
      <w:bookmarkStart w:id="325" w:name="_Toc297123552"/>
      <w:bookmarkStart w:id="326" w:name="_Toc300935002"/>
      <w:bookmarkStart w:id="327" w:name="_Toc312678040"/>
      <w:bookmarkStart w:id="328" w:name="_Toc297216211"/>
      <w:bookmarkStart w:id="329" w:name="_Toc303539159"/>
      <w:r>
        <w:rPr>
          <w:rFonts w:hint="eastAsia" w:ascii="宋体" w:hAnsi="宋体"/>
          <w:color w:val="auto"/>
          <w:kern w:val="0"/>
          <w:sz w:val="24"/>
        </w:rPr>
        <w:t xml:space="preserve">12. </w:t>
      </w:r>
      <w:bookmarkEnd w:id="313"/>
      <w:bookmarkEnd w:id="314"/>
      <w:bookmarkEnd w:id="315"/>
      <w:bookmarkEnd w:id="316"/>
      <w:bookmarkEnd w:id="317"/>
      <w:bookmarkEnd w:id="318"/>
      <w:bookmarkEnd w:id="319"/>
      <w:bookmarkEnd w:id="320"/>
      <w:bookmarkEnd w:id="321"/>
      <w:bookmarkEnd w:id="322"/>
      <w:r>
        <w:rPr>
          <w:rFonts w:hint="eastAsia" w:ascii="宋体" w:hAnsi="宋体"/>
          <w:color w:val="auto"/>
          <w:kern w:val="0"/>
          <w:sz w:val="24"/>
        </w:rPr>
        <w:t>合同价格、计量与支付</w:t>
      </w:r>
      <w:bookmarkEnd w:id="323"/>
    </w:p>
    <w:bookmarkEnd w:id="324"/>
    <w:bookmarkEnd w:id="325"/>
    <w:bookmarkEnd w:id="326"/>
    <w:bookmarkEnd w:id="327"/>
    <w:bookmarkEnd w:id="328"/>
    <w:bookmarkEnd w:id="329"/>
    <w:p w14:paraId="5095CAC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12.1 合同价格形式：</w:t>
      </w:r>
      <w:r>
        <w:rPr>
          <w:rFonts w:hint="eastAsia" w:ascii="宋体" w:hAnsi="宋体"/>
          <w:b/>
          <w:color w:val="auto"/>
          <w:sz w:val="24"/>
          <w:u w:val="single"/>
        </w:rPr>
        <w:t xml:space="preserve">  总价合同。 </w:t>
      </w:r>
    </w:p>
    <w:p w14:paraId="45D52332">
      <w:pPr>
        <w:pStyle w:val="77"/>
        <w:tabs>
          <w:tab w:val="left" w:pos="360"/>
        </w:tabs>
        <w:adjustRightInd w:val="0"/>
        <w:snapToGrid w:val="0"/>
        <w:spacing w:line="360" w:lineRule="auto"/>
        <w:ind w:right="178" w:rightChars="85" w:firstLine="480" w:firstLineChars="200"/>
        <w:outlineLvl w:val="2"/>
        <w:rPr>
          <w:rFonts w:hint="eastAsia" w:ascii="宋体" w:hAnsi="宋体"/>
          <w:color w:val="auto"/>
          <w:sz w:val="24"/>
        </w:rPr>
      </w:pPr>
      <w:r>
        <w:rPr>
          <w:rFonts w:hint="eastAsia" w:ascii="宋体" w:hAnsi="宋体"/>
          <w:color w:val="auto"/>
          <w:sz w:val="24"/>
        </w:rPr>
        <w:t>1、单价合同。</w:t>
      </w:r>
    </w:p>
    <w:p w14:paraId="4337E39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综合单价包含的风险范围：</w:t>
      </w:r>
      <w:r>
        <w:rPr>
          <w:rFonts w:hint="eastAsia" w:ascii="宋体" w:hAnsi="宋体"/>
          <w:color w:val="auto"/>
          <w:sz w:val="24"/>
          <w:u w:val="single"/>
        </w:rPr>
        <w:t xml:space="preserve">  /     </w:t>
      </w:r>
    </w:p>
    <w:p w14:paraId="0863EA7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风险费用的计算方法：</w:t>
      </w:r>
      <w:r>
        <w:rPr>
          <w:rFonts w:hint="eastAsia" w:ascii="宋体" w:hAnsi="宋体"/>
          <w:color w:val="auto"/>
          <w:sz w:val="24"/>
          <w:u w:val="single"/>
        </w:rPr>
        <w:t xml:space="preserve">  /     </w:t>
      </w:r>
    </w:p>
    <w:p w14:paraId="4B2439D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风险范围以外合同价格的调整方法：</w:t>
      </w:r>
      <w:r>
        <w:rPr>
          <w:rFonts w:hint="eastAsia" w:ascii="宋体" w:hAnsi="宋体"/>
          <w:color w:val="auto"/>
          <w:sz w:val="24"/>
          <w:u w:val="single"/>
        </w:rPr>
        <w:t xml:space="preserve">  /     </w:t>
      </w:r>
    </w:p>
    <w:p w14:paraId="5738CB4D">
      <w:pPr>
        <w:pStyle w:val="77"/>
        <w:tabs>
          <w:tab w:val="left" w:pos="360"/>
        </w:tabs>
        <w:adjustRightInd w:val="0"/>
        <w:snapToGrid w:val="0"/>
        <w:spacing w:line="360" w:lineRule="auto"/>
        <w:ind w:right="178" w:rightChars="85" w:firstLine="480" w:firstLineChars="200"/>
        <w:outlineLvl w:val="2"/>
        <w:rPr>
          <w:rFonts w:hint="eastAsia" w:ascii="宋体" w:hAnsi="宋体"/>
          <w:color w:val="auto"/>
          <w:sz w:val="24"/>
        </w:rPr>
      </w:pPr>
      <w:r>
        <w:rPr>
          <w:rFonts w:hint="eastAsia" w:ascii="宋体" w:hAnsi="宋体"/>
          <w:color w:val="auto"/>
          <w:sz w:val="24"/>
        </w:rPr>
        <w:t>2、总价合同。</w:t>
      </w:r>
    </w:p>
    <w:p w14:paraId="0483C20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总价包含的风险范围：</w:t>
      </w:r>
      <w:r>
        <w:rPr>
          <w:rFonts w:hint="eastAsia" w:ascii="宋体" w:hAnsi="宋体"/>
          <w:color w:val="auto"/>
          <w:sz w:val="24"/>
          <w:u w:val="single"/>
        </w:rPr>
        <w:t xml:space="preserve">  人工、材料、机械费用的市场价格变化，以及除不可抗力以外的其它风险。  </w:t>
      </w:r>
    </w:p>
    <w:p w14:paraId="3C780957">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风险费用的计算方法：</w:t>
      </w:r>
      <w:r>
        <w:rPr>
          <w:rFonts w:hint="eastAsia" w:ascii="宋体" w:hAnsi="宋体"/>
          <w:color w:val="auto"/>
          <w:sz w:val="24"/>
          <w:u w:val="single"/>
        </w:rPr>
        <w:t xml:space="preserve">  承包人在投标报价时已经考虑风险费用，不再另行计取。 </w:t>
      </w:r>
    </w:p>
    <w:p w14:paraId="4E0D457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风险范围以外合同价格的调整方法：</w:t>
      </w:r>
      <w:r>
        <w:rPr>
          <w:rFonts w:hint="eastAsia" w:ascii="宋体" w:hAnsi="宋体"/>
          <w:color w:val="auto"/>
          <w:sz w:val="24"/>
          <w:u w:val="single"/>
        </w:rPr>
        <w:t xml:space="preserve">   见补充条款。   </w:t>
      </w:r>
    </w:p>
    <w:p w14:paraId="5598ACF6">
      <w:pPr>
        <w:pStyle w:val="77"/>
        <w:tabs>
          <w:tab w:val="left" w:pos="360"/>
        </w:tabs>
        <w:adjustRightInd w:val="0"/>
        <w:snapToGrid w:val="0"/>
        <w:spacing w:line="360" w:lineRule="auto"/>
        <w:ind w:right="178" w:rightChars="85" w:firstLine="480" w:firstLineChars="200"/>
        <w:outlineLvl w:val="2"/>
        <w:rPr>
          <w:rFonts w:hint="eastAsia" w:ascii="宋体" w:hAnsi="宋体"/>
          <w:color w:val="auto"/>
          <w:sz w:val="24"/>
        </w:rPr>
      </w:pPr>
      <w:r>
        <w:rPr>
          <w:rFonts w:hint="eastAsia" w:ascii="宋体" w:hAnsi="宋体"/>
          <w:color w:val="auto"/>
          <w:sz w:val="24"/>
        </w:rPr>
        <w:t>3、其他价格方式：</w:t>
      </w:r>
      <w:r>
        <w:rPr>
          <w:rFonts w:hint="eastAsia" w:ascii="宋体" w:hAnsi="宋体"/>
          <w:color w:val="auto"/>
          <w:sz w:val="24"/>
          <w:u w:val="single"/>
        </w:rPr>
        <w:t xml:space="preserve">  /     </w:t>
      </w:r>
    </w:p>
    <w:p w14:paraId="7B3EA6F1">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bookmarkStart w:id="330" w:name="_Toc297048393"/>
      <w:bookmarkStart w:id="331" w:name="_Toc296891035"/>
      <w:bookmarkStart w:id="332" w:name="_Toc292559917"/>
      <w:bookmarkStart w:id="333" w:name="_Toc296891247"/>
      <w:bookmarkStart w:id="334" w:name="_Toc296944546"/>
      <w:bookmarkStart w:id="335" w:name="_Toc297120507"/>
      <w:bookmarkStart w:id="336" w:name="_Toc296503207"/>
      <w:bookmarkStart w:id="337" w:name="_Toc296346708"/>
      <w:bookmarkStart w:id="338" w:name="_Toc292559412"/>
      <w:bookmarkStart w:id="339" w:name="_Toc296347206"/>
      <w:r>
        <w:rPr>
          <w:rFonts w:hint="eastAsia" w:ascii="宋体" w:hAnsi="宋体"/>
          <w:color w:val="auto"/>
          <w:sz w:val="24"/>
        </w:rPr>
        <w:t>12.2 预付款</w:t>
      </w:r>
    </w:p>
    <w:p w14:paraId="2D38B843">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12.2.1 预付款的支付</w:t>
      </w:r>
    </w:p>
    <w:p w14:paraId="46A5B666">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预付款支付比例或金额：</w:t>
      </w:r>
      <w:r>
        <w:rPr>
          <w:rFonts w:hint="eastAsia" w:ascii="宋体" w:hAnsi="宋体"/>
          <w:color w:val="auto"/>
          <w:sz w:val="24"/>
          <w:u w:val="single"/>
        </w:rPr>
        <w:t xml:space="preserve">  不采用。   </w:t>
      </w:r>
    </w:p>
    <w:p w14:paraId="6B69C3B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预付款支付期限：</w:t>
      </w:r>
      <w:r>
        <w:rPr>
          <w:rFonts w:hint="eastAsia" w:ascii="宋体" w:hAnsi="宋体"/>
          <w:color w:val="auto"/>
          <w:sz w:val="24"/>
          <w:u w:val="single"/>
        </w:rPr>
        <w:t xml:space="preserve">  不采用。   </w:t>
      </w:r>
    </w:p>
    <w:p w14:paraId="3D8616B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预付款扣回的方式：</w:t>
      </w:r>
      <w:r>
        <w:rPr>
          <w:rFonts w:hint="eastAsia" w:ascii="宋体" w:hAnsi="宋体"/>
          <w:color w:val="auto"/>
          <w:sz w:val="24"/>
          <w:u w:val="single"/>
        </w:rPr>
        <w:t xml:space="preserve">  不采用。   </w:t>
      </w:r>
    </w:p>
    <w:p w14:paraId="58A172A7">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12.2.2 预付款担保</w:t>
      </w:r>
    </w:p>
    <w:p w14:paraId="7A3A257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承包人提交预付款担保的期限：</w:t>
      </w:r>
      <w:r>
        <w:rPr>
          <w:rFonts w:hint="eastAsia" w:ascii="宋体" w:hAnsi="宋体"/>
          <w:color w:val="auto"/>
          <w:sz w:val="24"/>
          <w:u w:val="single"/>
        </w:rPr>
        <w:t xml:space="preserve">  不采用。   </w:t>
      </w:r>
    </w:p>
    <w:p w14:paraId="49BE033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预付款担保的形式为：</w:t>
      </w:r>
      <w:r>
        <w:rPr>
          <w:rFonts w:hint="eastAsia" w:ascii="宋体" w:hAnsi="宋体"/>
          <w:color w:val="auto"/>
          <w:sz w:val="24"/>
          <w:u w:val="single"/>
        </w:rPr>
        <w:t xml:space="preserve">  不采用。   </w:t>
      </w:r>
    </w:p>
    <w:bookmarkEnd w:id="330"/>
    <w:bookmarkEnd w:id="331"/>
    <w:bookmarkEnd w:id="332"/>
    <w:bookmarkEnd w:id="333"/>
    <w:bookmarkEnd w:id="334"/>
    <w:bookmarkEnd w:id="335"/>
    <w:bookmarkEnd w:id="336"/>
    <w:bookmarkEnd w:id="337"/>
    <w:bookmarkEnd w:id="338"/>
    <w:bookmarkEnd w:id="339"/>
    <w:p w14:paraId="30DDB9EE">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12.3 计量</w:t>
      </w:r>
    </w:p>
    <w:p w14:paraId="7E4AEC35">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12.3.1 计量原则</w:t>
      </w:r>
    </w:p>
    <w:p w14:paraId="06D63816">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工程量计算规则：</w:t>
      </w:r>
      <w:r>
        <w:rPr>
          <w:rFonts w:hint="eastAsia" w:ascii="宋体" w:hAnsi="宋体"/>
          <w:color w:val="auto"/>
          <w:sz w:val="24"/>
          <w:u w:val="single"/>
        </w:rPr>
        <w:t xml:space="preserve">  按招标文件、招标工程量清单及控制价所采用的工程量清单计价规范及配套文件等执行。  </w:t>
      </w:r>
    </w:p>
    <w:p w14:paraId="0EF840AB">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12.3.2 计量周期</w:t>
      </w:r>
    </w:p>
    <w:p w14:paraId="2AE9036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关于计量周期的约定：</w:t>
      </w:r>
      <w:r>
        <w:rPr>
          <w:rFonts w:hint="eastAsia" w:ascii="宋体" w:hAnsi="宋体"/>
          <w:color w:val="auto"/>
          <w:sz w:val="24"/>
          <w:u w:val="single"/>
        </w:rPr>
        <w:t xml:space="preserve">  工程量的计量按月进行(</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759DCC2E">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12.3.3 单价合同的计量</w:t>
      </w:r>
    </w:p>
    <w:p w14:paraId="7A28CFD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关于单价合同计量的约定：</w:t>
      </w:r>
      <w:r>
        <w:rPr>
          <w:rFonts w:hint="eastAsia" w:ascii="宋体" w:hAnsi="宋体"/>
          <w:color w:val="auto"/>
          <w:sz w:val="24"/>
          <w:u w:val="single"/>
        </w:rPr>
        <w:t xml:space="preserve">  /     </w:t>
      </w:r>
    </w:p>
    <w:p w14:paraId="6CE2F93B">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12.3.4 总价合同的计量</w:t>
      </w:r>
    </w:p>
    <w:p w14:paraId="0429736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关于总价合同计量的约定：</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114D6E1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12.3.5总价合同采用支付分解表计量支付的，是否适用第</w:t>
      </w:r>
      <w:r>
        <w:rPr>
          <w:rFonts w:hint="eastAsia" w:ascii="宋体" w:hAnsi="宋体"/>
          <w:color w:val="auto"/>
          <w:kern w:val="0"/>
          <w:sz w:val="24"/>
        </w:rPr>
        <w:t xml:space="preserve">12.3.4 </w:t>
      </w:r>
      <w:r>
        <w:rPr>
          <w:rFonts w:hint="eastAsia" w:ascii="宋体" w:hAnsi="宋体"/>
          <w:color w:val="auto"/>
          <w:sz w:val="24"/>
        </w:rPr>
        <w:t>项</w:t>
      </w:r>
      <w:r>
        <w:rPr>
          <w:rFonts w:hint="eastAsia" w:ascii="宋体" w:hAnsi="宋体"/>
          <w:color w:val="auto"/>
          <w:kern w:val="0"/>
          <w:sz w:val="24"/>
        </w:rPr>
        <w:t>〔总价合同的计量〕</w:t>
      </w:r>
      <w:r>
        <w:rPr>
          <w:rFonts w:hint="eastAsia" w:ascii="宋体" w:hAnsi="宋体"/>
          <w:color w:val="auto"/>
          <w:sz w:val="24"/>
        </w:rPr>
        <w:t>约定进行计量：</w:t>
      </w:r>
      <w:r>
        <w:rPr>
          <w:rFonts w:hint="eastAsia" w:ascii="宋体" w:hAnsi="宋体"/>
          <w:color w:val="auto"/>
          <w:sz w:val="24"/>
          <w:u w:val="single"/>
        </w:rPr>
        <w:t xml:space="preserve">  不采用。  </w:t>
      </w:r>
    </w:p>
    <w:p w14:paraId="35672385">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12.3.6 其他价格形式合同的计量</w:t>
      </w:r>
    </w:p>
    <w:p w14:paraId="512B56B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其他价格形式的计量方式和程序：</w:t>
      </w:r>
      <w:r>
        <w:rPr>
          <w:rFonts w:hint="eastAsia" w:ascii="宋体" w:hAnsi="宋体"/>
          <w:color w:val="auto"/>
          <w:sz w:val="24"/>
          <w:u w:val="single"/>
        </w:rPr>
        <w:t xml:space="preserve">  不采用。   </w:t>
      </w:r>
    </w:p>
    <w:p w14:paraId="3B3F9CFD">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12.4 工程进度款支付</w:t>
      </w:r>
    </w:p>
    <w:p w14:paraId="500AB7FE">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bookmarkStart w:id="340" w:name="_Toc296503211"/>
      <w:bookmarkStart w:id="341" w:name="_Toc303539163"/>
      <w:bookmarkStart w:id="342" w:name="_Toc296891251"/>
      <w:bookmarkStart w:id="343" w:name="_Toc297048397"/>
      <w:bookmarkStart w:id="344" w:name="_Toc296891039"/>
      <w:bookmarkStart w:id="345" w:name="_Toc297216215"/>
      <w:bookmarkStart w:id="346" w:name="_Toc297123556"/>
      <w:bookmarkStart w:id="347" w:name="_Toc296346712"/>
      <w:bookmarkStart w:id="348" w:name="_Toc300935006"/>
      <w:bookmarkStart w:id="349" w:name="_Toc292559416"/>
      <w:bookmarkStart w:id="350" w:name="_Toc297120511"/>
      <w:bookmarkStart w:id="351" w:name="_Toc296347210"/>
      <w:bookmarkStart w:id="352" w:name="_Toc296944550"/>
      <w:bookmarkStart w:id="353" w:name="_Toc292559921"/>
      <w:r>
        <w:rPr>
          <w:rFonts w:hint="eastAsia" w:ascii="宋体" w:hAnsi="宋体"/>
          <w:color w:val="auto"/>
          <w:sz w:val="24"/>
        </w:rPr>
        <w:t>12.4.1 付款周期</w:t>
      </w:r>
    </w:p>
    <w:p w14:paraId="47D65412">
      <w:pPr>
        <w:adjustRightInd w:val="0"/>
        <w:snapToGrid w:val="0"/>
        <w:ind w:firstLine="964" w:firstLineChars="400"/>
        <w:jc w:val="left"/>
        <w:rPr>
          <w:rFonts w:hint="eastAsia" w:ascii="宋体" w:hAnsi="宋体" w:eastAsia="宋体" w:cs="宋体"/>
          <w:b/>
          <w:bCs w:val="0"/>
          <w:color w:val="auto"/>
          <w:sz w:val="28"/>
          <w:szCs w:val="28"/>
        </w:rPr>
      </w:pPr>
      <w:r>
        <w:rPr>
          <w:rFonts w:hint="eastAsia" w:ascii="宋体" w:hAnsi="宋体" w:eastAsia="宋体" w:cs="宋体"/>
          <w:b/>
          <w:bCs w:val="0"/>
          <w:color w:val="auto"/>
          <w:sz w:val="24"/>
          <w:szCs w:val="24"/>
          <w:lang w:val="en-US" w:eastAsia="zh-CN"/>
        </w:rPr>
        <w:t>合同签订后，甲方支付40%预付款，乙方安排材料采购及工厂预制加工；钢结构及膜布全部进场，完成主体安装后，甲方支付45%进度款；整体工程完工、验收合格后，甲方支付12%竣工款；</w:t>
      </w:r>
      <w:r>
        <w:rPr>
          <w:rFonts w:hint="eastAsia" w:ascii="宋体" w:hAnsi="宋体" w:eastAsia="宋体" w:cs="宋体"/>
          <w:b/>
          <w:bCs w:val="0"/>
          <w:color w:val="auto"/>
          <w:kern w:val="2"/>
          <w:sz w:val="24"/>
          <w:szCs w:val="24"/>
          <w:lang w:val="en-US" w:eastAsia="zh-CN" w:bidi="ar-SA"/>
        </w:rPr>
        <w:t>剩余3%作为质保金，</w:t>
      </w:r>
      <w:r>
        <w:rPr>
          <w:rFonts w:hint="eastAsia" w:ascii="宋体" w:hAnsi="宋体" w:eastAsia="宋体" w:cs="宋体"/>
          <w:b/>
          <w:bCs w:val="0"/>
          <w:color w:val="auto"/>
          <w:sz w:val="24"/>
          <w:szCs w:val="24"/>
        </w:rPr>
        <w:t>待质量缺陷责任期（2年）满且中标人完全履行了保修义务后一次付清(无息)</w:t>
      </w:r>
      <w:r>
        <w:rPr>
          <w:rFonts w:hint="eastAsia" w:ascii="宋体" w:hAnsi="宋体" w:eastAsia="宋体" w:cs="宋体"/>
          <w:b/>
          <w:bCs w:val="0"/>
          <w:color w:val="auto"/>
          <w:sz w:val="28"/>
          <w:szCs w:val="28"/>
        </w:rPr>
        <w:t>。</w:t>
      </w:r>
    </w:p>
    <w:p w14:paraId="6A29A4F0">
      <w:pPr>
        <w:pStyle w:val="77"/>
        <w:tabs>
          <w:tab w:val="left" w:pos="360"/>
        </w:tabs>
        <w:adjustRightInd w:val="0"/>
        <w:snapToGrid w:val="0"/>
        <w:spacing w:line="360" w:lineRule="auto"/>
        <w:ind w:right="178" w:rightChars="85" w:firstLine="472" w:firstLineChars="196"/>
        <w:rPr>
          <w:rFonts w:hint="eastAsia" w:ascii="宋体" w:hAnsi="宋体"/>
          <w:b/>
          <w:color w:val="auto"/>
          <w:sz w:val="24"/>
          <w:highlight w:val="yellow"/>
          <w:lang w:val="en-US" w:eastAsia="zh-CN"/>
        </w:rPr>
      </w:pPr>
    </w:p>
    <w:p w14:paraId="602F4CE1">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12.4.2 进度付款申请单的编制</w:t>
      </w:r>
    </w:p>
    <w:p w14:paraId="593DFBA7">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关于进度付款申请单编制的约定：</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3E2EFF5E">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rFonts w:hint="eastAsia" w:ascii="宋体" w:hAnsi="宋体"/>
          <w:color w:val="auto"/>
          <w:sz w:val="24"/>
        </w:rPr>
        <w:t>2.4.3 进度付款申请单的提交</w:t>
      </w:r>
    </w:p>
    <w:p w14:paraId="7AF0FDA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（1）单价合同进度付款申请单提交的约定：</w:t>
      </w:r>
      <w:r>
        <w:rPr>
          <w:rFonts w:hint="eastAsia" w:ascii="宋体" w:hAnsi="宋体"/>
          <w:color w:val="auto"/>
          <w:sz w:val="24"/>
          <w:u w:val="single"/>
        </w:rPr>
        <w:t xml:space="preserve">   /     </w:t>
      </w:r>
    </w:p>
    <w:p w14:paraId="3A86E87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（2）总价合同进度付款申请单提交的约定：</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1F2F2C7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（3）其他价格形式合同进度付款申请单提交的约定：</w:t>
      </w:r>
      <w:r>
        <w:rPr>
          <w:rFonts w:hint="eastAsia" w:ascii="宋体" w:hAnsi="宋体"/>
          <w:color w:val="auto"/>
          <w:sz w:val="24"/>
          <w:u w:val="single"/>
        </w:rPr>
        <w:t xml:space="preserve">   /     </w:t>
      </w:r>
    </w:p>
    <w:p w14:paraId="5EB09311">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12.4.4 进度款审核和支付</w:t>
      </w:r>
    </w:p>
    <w:p w14:paraId="33C598D0">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（1）监理人审查并报送发包人的期限：</w:t>
      </w:r>
      <w:r>
        <w:rPr>
          <w:rFonts w:hint="eastAsia" w:ascii="宋体" w:hAnsi="宋体"/>
          <w:color w:val="auto"/>
          <w:sz w:val="24"/>
          <w:u w:val="single"/>
        </w:rPr>
        <w:t xml:space="preserve">  收到承包人进度付款申请单以及相关资料后7天内完成审查并报送发包人(</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0B55C20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发包人完成审批并签发进度款支付证书的期限：</w:t>
      </w:r>
      <w:r>
        <w:rPr>
          <w:rFonts w:hint="eastAsia" w:ascii="宋体" w:hAnsi="宋体"/>
          <w:color w:val="auto"/>
          <w:sz w:val="24"/>
          <w:u w:val="single"/>
        </w:rPr>
        <w:t xml:space="preserve">  应在收到监理人报送的进度付款申请单及相关资料后7天内</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70254EE2">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（2）发包人支付进度款的期限：</w:t>
      </w:r>
      <w:r>
        <w:rPr>
          <w:rFonts w:hint="eastAsia" w:ascii="宋体" w:hAnsi="宋体"/>
          <w:color w:val="auto"/>
          <w:sz w:val="24"/>
          <w:u w:val="single"/>
        </w:rPr>
        <w:t xml:space="preserve">  发包人应在进度款支付证书或临时进度款支付证书签发后14天内完成支付(执行通用条款)。   </w:t>
      </w:r>
    </w:p>
    <w:p w14:paraId="6A92AB8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发包人逾期支付进度款的违约金的计算方式：</w:t>
      </w:r>
      <w:r>
        <w:rPr>
          <w:rFonts w:hint="eastAsia" w:ascii="宋体" w:hAnsi="宋体"/>
          <w:color w:val="auto"/>
          <w:sz w:val="24"/>
          <w:u w:val="single"/>
        </w:rPr>
        <w:t xml:space="preserve">  应按照中国人民银行发布的同期同类贷款基准利率支付违约金(执行通用条款)。   </w:t>
      </w:r>
    </w:p>
    <w:p w14:paraId="668D3C73">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12.4.6 支付分解表的编制</w:t>
      </w:r>
    </w:p>
    <w:p w14:paraId="4A6EED8F">
      <w:pPr>
        <w:pStyle w:val="77"/>
        <w:tabs>
          <w:tab w:val="left" w:pos="360"/>
        </w:tabs>
        <w:adjustRightInd w:val="0"/>
        <w:snapToGrid w:val="0"/>
        <w:spacing w:line="360" w:lineRule="auto"/>
        <w:ind w:right="178" w:rightChars="85" w:firstLine="480" w:firstLineChars="200"/>
        <w:outlineLvl w:val="2"/>
        <w:rPr>
          <w:rFonts w:hint="eastAsia" w:ascii="宋体" w:hAnsi="宋体"/>
          <w:color w:val="auto"/>
          <w:sz w:val="24"/>
        </w:rPr>
      </w:pPr>
      <w:r>
        <w:rPr>
          <w:rFonts w:hint="eastAsia" w:ascii="宋体" w:hAnsi="宋体"/>
          <w:color w:val="auto"/>
          <w:sz w:val="24"/>
        </w:rPr>
        <w:t>2、总价合同支付分解表的编制与审批：</w:t>
      </w:r>
      <w:r>
        <w:rPr>
          <w:rFonts w:hint="eastAsia" w:ascii="宋体" w:hAnsi="宋体"/>
          <w:color w:val="auto"/>
          <w:sz w:val="24"/>
          <w:u w:val="single"/>
        </w:rPr>
        <w:t xml:space="preserve">    /     </w:t>
      </w:r>
    </w:p>
    <w:p w14:paraId="4CAE89B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3、单价合同的总价项目支付分解表的编制与审批：</w:t>
      </w:r>
      <w:r>
        <w:rPr>
          <w:rFonts w:hint="eastAsia" w:ascii="宋体" w:hAnsi="宋体"/>
          <w:color w:val="auto"/>
          <w:sz w:val="24"/>
          <w:u w:val="single"/>
        </w:rPr>
        <w:t xml:space="preserve">    /     </w:t>
      </w:r>
    </w:p>
    <w:p w14:paraId="0644AFB0">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12.4.7农民工工资管理</w:t>
      </w:r>
    </w:p>
    <w:p w14:paraId="01A84C13">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1、本工程农民工工资实行专用账户管理，承包人设立的专用账户开户行为：</w:t>
      </w:r>
      <w:r>
        <w:rPr>
          <w:rFonts w:hint="eastAsia" w:ascii="宋体" w:hAnsi="宋体"/>
          <w:color w:val="auto"/>
          <w:sz w:val="24"/>
          <w:u w:val="single"/>
        </w:rPr>
        <w:t xml:space="preserve">         </w:t>
      </w:r>
      <w:r>
        <w:rPr>
          <w:rFonts w:hint="eastAsia" w:ascii="宋体" w:hAnsi="宋体"/>
          <w:color w:val="auto"/>
          <w:sz w:val="24"/>
        </w:rPr>
        <w:t>，账号：</w:t>
      </w:r>
      <w:r>
        <w:rPr>
          <w:rFonts w:hint="eastAsia" w:ascii="宋体" w:hAnsi="宋体"/>
          <w:color w:val="auto"/>
          <w:sz w:val="24"/>
          <w:u w:val="single"/>
        </w:rPr>
        <w:t xml:space="preserve">        </w:t>
      </w:r>
      <w:r>
        <w:rPr>
          <w:rFonts w:hint="eastAsia" w:ascii="宋体" w:hAnsi="宋体"/>
          <w:color w:val="auto"/>
          <w:sz w:val="24"/>
        </w:rPr>
        <w:t>。</w:t>
      </w:r>
    </w:p>
    <w:p w14:paraId="56F925A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2、本工程工资性工程款</w:t>
      </w:r>
      <w:r>
        <w:rPr>
          <w:rFonts w:hint="eastAsia" w:ascii="宋体" w:hAnsi="宋体"/>
          <w:color w:val="auto"/>
          <w:sz w:val="24"/>
          <w:u w:val="single"/>
        </w:rPr>
        <w:t xml:space="preserve">       </w:t>
      </w:r>
      <w:r>
        <w:rPr>
          <w:rFonts w:hint="eastAsia" w:ascii="宋体" w:hAnsi="宋体"/>
          <w:color w:val="auto"/>
          <w:sz w:val="24"/>
        </w:rPr>
        <w:t>元（相应的最低工资标准乘建筑面积）；其中工资性工程预付款</w:t>
      </w:r>
      <w:r>
        <w:rPr>
          <w:rFonts w:hint="eastAsia" w:ascii="宋体" w:hAnsi="宋体"/>
          <w:color w:val="auto"/>
          <w:sz w:val="24"/>
          <w:u w:val="single"/>
        </w:rPr>
        <w:t xml:space="preserve">       </w:t>
      </w:r>
      <w:r>
        <w:rPr>
          <w:rFonts w:hint="eastAsia" w:ascii="宋体" w:hAnsi="宋体"/>
          <w:color w:val="auto"/>
          <w:sz w:val="24"/>
        </w:rPr>
        <w:t>元。(工资性工程款除月工期)</w:t>
      </w:r>
    </w:p>
    <w:p w14:paraId="35B3B13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3、发包人在监理人签发开工报告前，将工资性工程预付款转入承包人开立的农民工工资专用账户。工程开工后第一个月支付工资性工程进度款起，分三个月扣回工资性工程预付款。</w:t>
      </w:r>
    </w:p>
    <w:p w14:paraId="129000CD">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 xml:space="preserve">4、发包人于每月25日前将工资性工程进度款转入农民工工资专用账户。 </w:t>
      </w:r>
    </w:p>
    <w:p w14:paraId="54BE31A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 xml:space="preserve">5、承包人每月25日前上报本工程农民工工资清单，每月10日前委托开设农民工工资专用账户的银行支付农民工工资。 </w:t>
      </w:r>
    </w:p>
    <w:p w14:paraId="09154D0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6、工程竣工后，经项目部农民工维权组确认无农民工工资拖欠后，发、承双方办理农民工工资专用账户撤销手续，农民工工资专用账户余额划至本合同约定的承包人账户。</w:t>
      </w:r>
    </w:p>
    <w:bookmarkEnd w:id="256"/>
    <w:p w14:paraId="04356733">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354" w:name="_Toc351203645"/>
      <w:bookmarkStart w:id="355" w:name="_Toc300935015"/>
      <w:bookmarkStart w:id="356" w:name="_Toc296503219"/>
      <w:bookmarkStart w:id="357" w:name="_Toc292559424"/>
      <w:bookmarkStart w:id="358" w:name="_Toc296891259"/>
      <w:bookmarkStart w:id="359" w:name="_Toc297216223"/>
      <w:bookmarkStart w:id="360" w:name="_Toc296891047"/>
      <w:bookmarkStart w:id="361" w:name="_Toc312678053"/>
      <w:bookmarkStart w:id="362" w:name="_Toc303539172"/>
      <w:bookmarkStart w:id="363" w:name="_Toc296944558"/>
      <w:bookmarkStart w:id="364" w:name="_Toc296346720"/>
      <w:bookmarkStart w:id="365" w:name="_Toc292559929"/>
      <w:bookmarkStart w:id="366" w:name="_Toc297120519"/>
      <w:bookmarkStart w:id="367" w:name="_Toc297123564"/>
      <w:bookmarkStart w:id="368" w:name="_Toc304295593"/>
      <w:bookmarkStart w:id="369" w:name="_Toc297048405"/>
      <w:bookmarkStart w:id="370" w:name="_Toc296347218"/>
      <w:r>
        <w:rPr>
          <w:rFonts w:hint="eastAsia" w:ascii="宋体" w:hAnsi="宋体"/>
          <w:color w:val="auto"/>
          <w:kern w:val="0"/>
          <w:sz w:val="24"/>
        </w:rPr>
        <w:t>13. 验收和工程试车</w:t>
      </w:r>
      <w:bookmarkEnd w:id="354"/>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14:paraId="65C42D28">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13.1 分部分项工程验收</w:t>
      </w:r>
    </w:p>
    <w:p w14:paraId="40D15FB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13.1.2监理人不能按时进行验收时，应提前</w:t>
      </w:r>
      <w:r>
        <w:rPr>
          <w:rFonts w:hint="eastAsia" w:ascii="宋体" w:hAnsi="宋体"/>
          <w:color w:val="auto"/>
          <w:sz w:val="24"/>
          <w:u w:val="single"/>
        </w:rPr>
        <w:t xml:space="preserve">  24(</w:t>
      </w:r>
      <w:r>
        <w:rPr>
          <w:rFonts w:hint="eastAsia" w:ascii="宋体" w:hAnsi="宋体"/>
          <w:color w:val="auto"/>
          <w:kern w:val="0"/>
          <w:sz w:val="24"/>
          <w:u w:val="single"/>
        </w:rPr>
        <w:t xml:space="preserve">执行通用条款) </w:t>
      </w:r>
      <w:r>
        <w:rPr>
          <w:rFonts w:hint="eastAsia" w:ascii="宋体" w:hAnsi="宋体"/>
          <w:color w:val="auto"/>
          <w:sz w:val="24"/>
          <w:u w:val="single"/>
        </w:rPr>
        <w:t xml:space="preserve"> </w:t>
      </w:r>
      <w:r>
        <w:rPr>
          <w:rFonts w:hint="eastAsia" w:ascii="宋体" w:hAnsi="宋体"/>
          <w:color w:val="auto"/>
          <w:sz w:val="24"/>
        </w:rPr>
        <w:t>小时提交书面延期要求。</w:t>
      </w:r>
    </w:p>
    <w:p w14:paraId="0A1CC588">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关于延期最长不得超过：</w:t>
      </w:r>
      <w:r>
        <w:rPr>
          <w:rFonts w:hint="eastAsia" w:ascii="宋体" w:hAnsi="宋体"/>
          <w:color w:val="auto"/>
          <w:sz w:val="24"/>
          <w:u w:val="single"/>
        </w:rPr>
        <w:t xml:space="preserve">  48(</w:t>
      </w:r>
      <w:r>
        <w:rPr>
          <w:rFonts w:hint="eastAsia" w:ascii="宋体" w:hAnsi="宋体"/>
          <w:color w:val="auto"/>
          <w:kern w:val="0"/>
          <w:sz w:val="24"/>
          <w:u w:val="single"/>
        </w:rPr>
        <w:t>执行通用条款)</w:t>
      </w:r>
      <w:r>
        <w:rPr>
          <w:rFonts w:hint="eastAsia" w:ascii="宋体" w:hAnsi="宋体"/>
          <w:color w:val="auto"/>
          <w:sz w:val="24"/>
          <w:u w:val="single"/>
        </w:rPr>
        <w:t xml:space="preserve">   </w:t>
      </w:r>
      <w:r>
        <w:rPr>
          <w:rFonts w:hint="eastAsia" w:ascii="宋体" w:hAnsi="宋体"/>
          <w:color w:val="auto"/>
          <w:sz w:val="24"/>
        </w:rPr>
        <w:t>小时。</w:t>
      </w:r>
    </w:p>
    <w:p w14:paraId="5B6D1727">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bookmarkStart w:id="371" w:name="_Toc297216224"/>
      <w:bookmarkStart w:id="372" w:name="_Toc296503223"/>
      <w:bookmarkStart w:id="373" w:name="_Toc304295596"/>
      <w:bookmarkStart w:id="374" w:name="_Toc296944562"/>
      <w:bookmarkStart w:id="375" w:name="_Toc300935016"/>
      <w:bookmarkStart w:id="376" w:name="_Toc292559428"/>
      <w:bookmarkStart w:id="377" w:name="_Toc296891263"/>
      <w:bookmarkStart w:id="378" w:name="_Toc292559933"/>
      <w:bookmarkStart w:id="379" w:name="_Toc303539173"/>
      <w:bookmarkStart w:id="380" w:name="_Toc297123565"/>
      <w:bookmarkStart w:id="381" w:name="_Toc297048409"/>
      <w:bookmarkStart w:id="382" w:name="_Toc312678056"/>
      <w:bookmarkStart w:id="383" w:name="_Toc297120523"/>
      <w:bookmarkStart w:id="384" w:name="_Toc296891051"/>
      <w:bookmarkStart w:id="385" w:name="_Toc296346724"/>
      <w:bookmarkStart w:id="386" w:name="_Toc296347222"/>
      <w:bookmarkStart w:id="387" w:name="_Toc267251476"/>
      <w:bookmarkStart w:id="388" w:name="_Toc267251470"/>
      <w:bookmarkStart w:id="389" w:name="_Toc267251471"/>
      <w:bookmarkStart w:id="390" w:name="_Toc267251475"/>
      <w:bookmarkStart w:id="391" w:name="_Toc267251472"/>
      <w:bookmarkStart w:id="392" w:name="_Toc267251474"/>
      <w:bookmarkStart w:id="393" w:name="_Toc267251473"/>
      <w:r>
        <w:rPr>
          <w:rFonts w:hint="eastAsia" w:ascii="宋体" w:hAnsi="宋体"/>
          <w:color w:val="auto"/>
          <w:sz w:val="24"/>
        </w:rPr>
        <w:t>13.2 竣工验收</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37A5E700">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bookmarkStart w:id="394" w:name="_Toc280868705"/>
      <w:bookmarkStart w:id="395" w:name="_Toc280868706"/>
      <w:bookmarkStart w:id="396" w:name="_Toc280868707"/>
      <w:bookmarkStart w:id="397" w:name="_Toc280868708"/>
      <w:bookmarkStart w:id="398" w:name="_Toc280868709"/>
      <w:r>
        <w:rPr>
          <w:rFonts w:hint="eastAsia" w:ascii="宋体" w:hAnsi="宋体"/>
          <w:color w:val="auto"/>
          <w:sz w:val="24"/>
        </w:rPr>
        <w:t>13.2.2竣工验收程序</w:t>
      </w:r>
    </w:p>
    <w:p w14:paraId="3B00902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关于竣工验收程序的约定：</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6C20C6B6">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发包人不按照本项约定组织竣工验收、颁发工程接收证书的违约金的计算方法：</w:t>
      </w:r>
      <w:r>
        <w:rPr>
          <w:rFonts w:hint="eastAsia" w:ascii="宋体" w:hAnsi="宋体"/>
          <w:color w:val="auto"/>
          <w:sz w:val="24"/>
          <w:u w:val="single"/>
        </w:rPr>
        <w:t xml:space="preserve"> 每逾期一天，应以签约合同价为基数，按照中国人民银行发布的同期同类贷款基准利率支付违约金（</w:t>
      </w:r>
      <w:r>
        <w:rPr>
          <w:rFonts w:hint="eastAsia" w:ascii="宋体" w:hAnsi="宋体"/>
          <w:color w:val="auto"/>
          <w:kern w:val="0"/>
          <w:sz w:val="24"/>
          <w:u w:val="single"/>
        </w:rPr>
        <w:t>执行通用条款）。</w:t>
      </w:r>
      <w:r>
        <w:rPr>
          <w:rFonts w:hint="eastAsia" w:ascii="宋体" w:hAnsi="宋体"/>
          <w:color w:val="auto"/>
          <w:sz w:val="24"/>
          <w:u w:val="single"/>
        </w:rPr>
        <w:t xml:space="preserve">  </w:t>
      </w:r>
    </w:p>
    <w:bookmarkEnd w:id="394"/>
    <w:p w14:paraId="42D8A0A5">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13.2.5移交、接收全部与部分工程</w:t>
      </w:r>
    </w:p>
    <w:bookmarkEnd w:id="395"/>
    <w:p w14:paraId="62BFD0F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承包人向发包人移交工程的期限：</w:t>
      </w:r>
      <w:r>
        <w:rPr>
          <w:rFonts w:hint="eastAsia" w:ascii="宋体" w:hAnsi="宋体"/>
          <w:color w:val="auto"/>
          <w:sz w:val="24"/>
          <w:u w:val="single"/>
        </w:rPr>
        <w:t xml:space="preserve">  颁发工程接收证书后7天内完成工程的移交</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7B000E12">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kern w:val="0"/>
          <w:sz w:val="24"/>
        </w:rPr>
        <w:t>发包人未按本合同约定接收全部或部分工程的，违约金的计算方法为：</w:t>
      </w:r>
      <w:r>
        <w:rPr>
          <w:rFonts w:hint="eastAsia" w:ascii="宋体" w:hAnsi="宋体"/>
          <w:color w:val="auto"/>
          <w:kern w:val="0"/>
          <w:sz w:val="24"/>
          <w:u w:val="single"/>
        </w:rPr>
        <w:t xml:space="preserve">  </w:t>
      </w:r>
      <w:r>
        <w:rPr>
          <w:rFonts w:hint="eastAsia" w:ascii="宋体" w:hAnsi="宋体"/>
          <w:color w:val="auto"/>
          <w:sz w:val="24"/>
          <w:u w:val="single"/>
        </w:rPr>
        <w:t>发包人自应当接收工程之日起，承担工程照管、成品保护、保管等与工程有关的各项费用</w:t>
      </w:r>
      <w:r>
        <w:rPr>
          <w:rFonts w:hint="eastAsia" w:ascii="宋体" w:hAnsi="宋体"/>
          <w:color w:val="auto"/>
          <w:kern w:val="0"/>
          <w:sz w:val="24"/>
          <w:u w:val="single"/>
        </w:rPr>
        <w:t>（执行通用条款）。</w:t>
      </w:r>
      <w:r>
        <w:rPr>
          <w:rFonts w:hint="eastAsia" w:ascii="宋体" w:hAnsi="宋体"/>
          <w:color w:val="auto"/>
          <w:sz w:val="24"/>
          <w:u w:val="single"/>
        </w:rPr>
        <w:t xml:space="preserve">  </w:t>
      </w:r>
    </w:p>
    <w:bookmarkEnd w:id="396"/>
    <w:p w14:paraId="01BE7C7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承包人未按时移交工程的，违约金的计算方法为：</w:t>
      </w:r>
      <w:r>
        <w:rPr>
          <w:rFonts w:hint="eastAsia" w:ascii="宋体" w:hAnsi="宋体"/>
          <w:color w:val="auto"/>
          <w:sz w:val="24"/>
          <w:u w:val="single"/>
        </w:rPr>
        <w:t xml:space="preserve">  承包人应承担工程照管、成品保护、保管等与工程有关的各项费用</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7255FF2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13.3 工程试车</w:t>
      </w:r>
    </w:p>
    <w:bookmarkEnd w:id="397"/>
    <w:p w14:paraId="6AD4F4AB">
      <w:pPr>
        <w:pStyle w:val="77"/>
        <w:tabs>
          <w:tab w:val="left" w:pos="360"/>
        </w:tabs>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13.3.1 试车程序</w:t>
      </w:r>
    </w:p>
    <w:p w14:paraId="6A979DB0">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工程试车内容：</w:t>
      </w:r>
      <w:r>
        <w:rPr>
          <w:rFonts w:hint="eastAsia" w:ascii="宋体" w:hAnsi="宋体"/>
          <w:color w:val="auto"/>
          <w:sz w:val="24"/>
          <w:u w:val="single"/>
        </w:rPr>
        <w:t xml:space="preserve">   /    </w:t>
      </w:r>
    </w:p>
    <w:p w14:paraId="00E67866">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（1）单机无负荷试车费用由</w:t>
      </w:r>
      <w:r>
        <w:rPr>
          <w:rFonts w:hint="eastAsia" w:ascii="宋体" w:hAnsi="宋体"/>
          <w:color w:val="auto"/>
          <w:sz w:val="24"/>
          <w:u w:val="single"/>
        </w:rPr>
        <w:t xml:space="preserve">   /  </w:t>
      </w:r>
      <w:r>
        <w:rPr>
          <w:rFonts w:hint="eastAsia" w:ascii="宋体" w:hAnsi="宋体"/>
          <w:color w:val="auto"/>
          <w:kern w:val="0"/>
          <w:sz w:val="24"/>
        </w:rPr>
        <w:t>承担；</w:t>
      </w:r>
    </w:p>
    <w:p w14:paraId="2738716F">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（2）无负荷联动试车费用由</w:t>
      </w:r>
      <w:r>
        <w:rPr>
          <w:rFonts w:hint="eastAsia" w:ascii="宋体" w:hAnsi="宋体"/>
          <w:color w:val="auto"/>
          <w:sz w:val="24"/>
          <w:u w:val="single"/>
        </w:rPr>
        <w:t xml:space="preserve">   /   </w:t>
      </w:r>
      <w:r>
        <w:rPr>
          <w:rFonts w:hint="eastAsia" w:ascii="宋体" w:hAnsi="宋体"/>
          <w:color w:val="auto"/>
          <w:kern w:val="0"/>
          <w:sz w:val="24"/>
        </w:rPr>
        <w:t>承担。</w:t>
      </w:r>
    </w:p>
    <w:p w14:paraId="1423B44E">
      <w:pPr>
        <w:pStyle w:val="77"/>
        <w:tabs>
          <w:tab w:val="left" w:pos="360"/>
        </w:tabs>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13.3.3 投料试车</w:t>
      </w:r>
    </w:p>
    <w:p w14:paraId="10721345">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关于投料试车相关事项的约定：</w:t>
      </w:r>
      <w:r>
        <w:rPr>
          <w:rFonts w:hint="eastAsia" w:ascii="宋体" w:hAnsi="宋体"/>
          <w:color w:val="auto"/>
          <w:sz w:val="24"/>
          <w:u w:val="single"/>
        </w:rPr>
        <w:t xml:space="preserve">   /   </w:t>
      </w:r>
    </w:p>
    <w:p w14:paraId="15CAE59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13.6 竣工退场</w:t>
      </w:r>
    </w:p>
    <w:p w14:paraId="2BF681AC">
      <w:pPr>
        <w:pStyle w:val="77"/>
        <w:tabs>
          <w:tab w:val="left" w:pos="360"/>
        </w:tabs>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13.6.1 竣工退场</w:t>
      </w:r>
    </w:p>
    <w:p w14:paraId="0DB89E52">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承包人完成竣工退场的期限：</w:t>
      </w:r>
      <w:r>
        <w:rPr>
          <w:rFonts w:hint="eastAsia" w:ascii="宋体" w:hAnsi="宋体"/>
          <w:color w:val="auto"/>
          <w:sz w:val="24"/>
          <w:u w:val="single"/>
        </w:rPr>
        <w:t xml:space="preserve">  工程竣工验收合格后一周内完成竣工退场。    </w:t>
      </w:r>
    </w:p>
    <w:p w14:paraId="12AA04DE">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399" w:name="_Toc351203646"/>
      <w:r>
        <w:rPr>
          <w:rFonts w:hint="eastAsia" w:ascii="宋体" w:hAnsi="宋体"/>
          <w:color w:val="auto"/>
          <w:kern w:val="0"/>
          <w:sz w:val="24"/>
        </w:rPr>
        <w:t>14. 竣工结算</w:t>
      </w:r>
      <w:bookmarkEnd w:id="399"/>
    </w:p>
    <w:p w14:paraId="3D1227DB">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14.1 竣工付款申请</w:t>
      </w:r>
    </w:p>
    <w:p w14:paraId="158839A4">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承包人提交竣工付款申请单的期限：</w:t>
      </w:r>
      <w:r>
        <w:rPr>
          <w:rFonts w:hint="eastAsia" w:ascii="宋体" w:hAnsi="宋体"/>
          <w:color w:val="auto"/>
          <w:sz w:val="24"/>
          <w:u w:val="single"/>
        </w:rPr>
        <w:t xml:space="preserve">  承包人应在工程竣工验收合格后28天内（</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00DE6D83">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竣工付款申请单应包括的内容：</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3F225FF4">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14.2 竣工结算审核</w:t>
      </w:r>
    </w:p>
    <w:p w14:paraId="60CF4AE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发包人审批竣工付款申请单的期限：</w:t>
      </w:r>
      <w:r>
        <w:rPr>
          <w:rFonts w:hint="eastAsia" w:ascii="宋体" w:hAnsi="宋体"/>
          <w:color w:val="auto"/>
          <w:sz w:val="24"/>
          <w:u w:val="single"/>
        </w:rPr>
        <w:t xml:space="preserve">  发包人应在收到监理人提交的经审核的竣工结算申请单后14天内完成审批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2938833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发包人完成竣工付款的期限：</w:t>
      </w:r>
      <w:r>
        <w:rPr>
          <w:rFonts w:hint="eastAsia" w:ascii="宋体" w:hAnsi="宋体"/>
          <w:color w:val="auto"/>
          <w:sz w:val="24"/>
          <w:u w:val="single"/>
        </w:rPr>
        <w:t xml:space="preserve">  发包人应在签发竣工付款证书后的14 天内，完成对承包人的竣工付款。</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48E1D84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关于竣工付款证书异议部分复核的方式和程序：</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1BFB20F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14.4 最终结清</w:t>
      </w:r>
    </w:p>
    <w:p w14:paraId="298F00BF">
      <w:pPr>
        <w:pStyle w:val="77"/>
        <w:tabs>
          <w:tab w:val="left" w:pos="360"/>
        </w:tabs>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14.4.1 最终结清申请单</w:t>
      </w:r>
    </w:p>
    <w:p w14:paraId="5510456D">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承包人提交最终结清申请单的份数：</w:t>
      </w:r>
      <w:r>
        <w:rPr>
          <w:rFonts w:hint="eastAsia" w:ascii="宋体" w:hAnsi="宋体"/>
          <w:color w:val="auto"/>
          <w:sz w:val="24"/>
          <w:u w:val="single"/>
        </w:rPr>
        <w:t xml:space="preserve">  叁份。   </w:t>
      </w:r>
    </w:p>
    <w:p w14:paraId="3951328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承包人提交最终结算申请单的期限：</w:t>
      </w:r>
      <w:r>
        <w:rPr>
          <w:rFonts w:hint="eastAsia" w:ascii="宋体" w:hAnsi="宋体"/>
          <w:color w:val="auto"/>
          <w:sz w:val="24"/>
          <w:u w:val="single"/>
        </w:rPr>
        <w:t xml:space="preserve">  缺陷责任期终止证书颁发后7天内</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59E66A27">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14.4.2 最终结清证书和支付</w:t>
      </w:r>
    </w:p>
    <w:p w14:paraId="62119B17">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（1）发包人完成最终结清申请单的审批并颁发最终结清证书的期限：</w:t>
      </w:r>
      <w:r>
        <w:rPr>
          <w:rFonts w:hint="eastAsia" w:ascii="宋体" w:hAnsi="宋体"/>
          <w:color w:val="auto"/>
          <w:sz w:val="24"/>
          <w:u w:val="single"/>
        </w:rPr>
        <w:t xml:space="preserve">  收到承包人提交的最终结清申请单后14天内</w:t>
      </w:r>
      <w:r>
        <w:rPr>
          <w:rFonts w:hint="eastAsia" w:ascii="宋体" w:hAnsi="宋体"/>
          <w:color w:val="auto"/>
          <w:kern w:val="0"/>
          <w:sz w:val="24"/>
          <w:u w:val="single"/>
        </w:rPr>
        <w:t>（执行通用条款）。</w:t>
      </w:r>
      <w:r>
        <w:rPr>
          <w:rFonts w:hint="eastAsia" w:ascii="宋体" w:hAnsi="宋体"/>
          <w:color w:val="auto"/>
          <w:sz w:val="24"/>
          <w:u w:val="single"/>
        </w:rPr>
        <w:t xml:space="preserve">    </w:t>
      </w:r>
    </w:p>
    <w:p w14:paraId="72C8D05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（2）发包人完成支付的期限：</w:t>
      </w:r>
      <w:r>
        <w:rPr>
          <w:rFonts w:hint="eastAsia" w:ascii="宋体" w:hAnsi="宋体"/>
          <w:color w:val="auto"/>
          <w:sz w:val="24"/>
          <w:u w:val="single"/>
        </w:rPr>
        <w:t xml:space="preserve">  颁发最终结清证书后7天内完成支付</w:t>
      </w:r>
      <w:r>
        <w:rPr>
          <w:rFonts w:hint="eastAsia" w:ascii="宋体" w:hAnsi="宋体"/>
          <w:color w:val="auto"/>
          <w:kern w:val="0"/>
          <w:sz w:val="24"/>
          <w:u w:val="single"/>
        </w:rPr>
        <w:t>（执行通用条款）。</w:t>
      </w:r>
      <w:r>
        <w:rPr>
          <w:rFonts w:hint="eastAsia" w:ascii="宋体" w:hAnsi="宋体"/>
          <w:color w:val="auto"/>
          <w:sz w:val="24"/>
          <w:u w:val="single"/>
        </w:rPr>
        <w:t xml:space="preserve">    </w:t>
      </w:r>
    </w:p>
    <w:bookmarkEnd w:id="387"/>
    <w:bookmarkEnd w:id="388"/>
    <w:bookmarkEnd w:id="389"/>
    <w:bookmarkEnd w:id="390"/>
    <w:bookmarkEnd w:id="391"/>
    <w:bookmarkEnd w:id="392"/>
    <w:bookmarkEnd w:id="393"/>
    <w:bookmarkEnd w:id="398"/>
    <w:p w14:paraId="40D8B441">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400" w:name="_Toc351203647"/>
      <w:bookmarkStart w:id="401" w:name="_Toc267251483"/>
      <w:bookmarkStart w:id="402" w:name="_Toc267251482"/>
      <w:bookmarkStart w:id="403" w:name="_Toc267251484"/>
      <w:bookmarkStart w:id="404" w:name="_Toc267251485"/>
      <w:bookmarkStart w:id="405" w:name="_Toc267251488"/>
      <w:bookmarkStart w:id="406" w:name="_Toc267251490"/>
      <w:bookmarkStart w:id="407" w:name="_Toc267251489"/>
      <w:bookmarkStart w:id="408" w:name="_Toc267251486"/>
      <w:bookmarkStart w:id="409" w:name="_Toc267251496"/>
      <w:bookmarkStart w:id="410" w:name="_Toc267251503"/>
      <w:bookmarkStart w:id="411" w:name="_Toc267251501"/>
      <w:bookmarkStart w:id="412" w:name="_Toc267251495"/>
      <w:bookmarkStart w:id="413" w:name="_Toc267251499"/>
      <w:bookmarkStart w:id="414" w:name="_Toc267251498"/>
      <w:bookmarkStart w:id="415" w:name="_Toc267251494"/>
      <w:bookmarkStart w:id="416" w:name="_Toc267251492"/>
      <w:bookmarkStart w:id="417" w:name="_Toc267251497"/>
      <w:bookmarkStart w:id="418" w:name="_Toc267251502"/>
      <w:bookmarkStart w:id="419" w:name="_Toc267251493"/>
      <w:bookmarkStart w:id="420" w:name="_Toc267251491"/>
      <w:bookmarkStart w:id="421" w:name="_Toc267251504"/>
      <w:bookmarkStart w:id="422" w:name="_Toc267251506"/>
      <w:bookmarkStart w:id="423" w:name="_Toc267251507"/>
      <w:bookmarkStart w:id="424" w:name="_Toc267251508"/>
      <w:bookmarkStart w:id="425" w:name="_Toc267251514"/>
      <w:bookmarkStart w:id="426" w:name="_Toc267251510"/>
      <w:bookmarkStart w:id="427" w:name="_Toc267251511"/>
      <w:bookmarkStart w:id="428" w:name="_Toc267251515"/>
      <w:bookmarkStart w:id="429" w:name="_Toc267251513"/>
      <w:bookmarkStart w:id="430" w:name="_Toc267251509"/>
      <w:r>
        <w:rPr>
          <w:rFonts w:hint="eastAsia" w:ascii="宋体" w:hAnsi="宋体"/>
          <w:color w:val="auto"/>
          <w:kern w:val="0"/>
          <w:sz w:val="24"/>
        </w:rPr>
        <w:t>15. 缺陷责任期与保修</w:t>
      </w:r>
      <w:bookmarkEnd w:id="400"/>
    </w:p>
    <w:p w14:paraId="78B172CE">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15.2缺陷责任期</w:t>
      </w:r>
      <w:bookmarkEnd w:id="401"/>
    </w:p>
    <w:p w14:paraId="6D850B0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缺陷责任期的具体期限：</w:t>
      </w:r>
      <w:r>
        <w:rPr>
          <w:rFonts w:hint="eastAsia" w:ascii="宋体" w:hAnsi="宋体"/>
          <w:color w:val="auto"/>
          <w:sz w:val="24"/>
          <w:u w:val="single"/>
        </w:rPr>
        <w:t xml:space="preserve">  24个月。   </w:t>
      </w:r>
    </w:p>
    <w:p w14:paraId="1FC1F7B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15.3 质量保证金</w:t>
      </w:r>
    </w:p>
    <w:p w14:paraId="513B9FEE">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关于是否扣留质量保证金的约定：</w:t>
      </w:r>
      <w:r>
        <w:rPr>
          <w:rFonts w:hint="eastAsia" w:ascii="宋体" w:hAnsi="宋体"/>
          <w:color w:val="auto"/>
          <w:sz w:val="24"/>
          <w:u w:val="single"/>
        </w:rPr>
        <w:t xml:space="preserve">  扣留质量保证金。   </w:t>
      </w:r>
    </w:p>
    <w:p w14:paraId="14E0E783">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15.3.1 承包人提供质量保证金的方式</w:t>
      </w:r>
    </w:p>
    <w:p w14:paraId="2BCAAE3D">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质量保证金采用以下第</w:t>
      </w:r>
      <w:r>
        <w:rPr>
          <w:rFonts w:hint="eastAsia" w:ascii="宋体" w:hAnsi="宋体"/>
          <w:color w:val="auto"/>
          <w:sz w:val="24"/>
          <w:u w:val="single"/>
        </w:rPr>
        <w:t xml:space="preserve">  ( 2 )  </w:t>
      </w:r>
      <w:r>
        <w:rPr>
          <w:rFonts w:hint="eastAsia" w:ascii="宋体" w:hAnsi="宋体"/>
          <w:color w:val="auto"/>
          <w:sz w:val="24"/>
        </w:rPr>
        <w:t>种方式：</w:t>
      </w:r>
    </w:p>
    <w:p w14:paraId="2D7FFA1B">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（1）质量保证金保函，保证金额为：</w:t>
      </w:r>
      <w:r>
        <w:rPr>
          <w:rFonts w:hint="eastAsia" w:ascii="宋体" w:hAnsi="宋体"/>
          <w:color w:val="auto"/>
          <w:sz w:val="24"/>
          <w:u w:val="single"/>
        </w:rPr>
        <w:t xml:space="preserve">   /     </w:t>
      </w:r>
    </w:p>
    <w:p w14:paraId="49E44C17">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（2）</w:t>
      </w:r>
      <w:r>
        <w:rPr>
          <w:rFonts w:hint="eastAsia" w:ascii="宋体" w:hAnsi="宋体"/>
          <w:color w:val="auto"/>
          <w:kern w:val="0"/>
          <w:sz w:val="24"/>
          <w:u w:val="single"/>
        </w:rPr>
        <w:t xml:space="preserve">  3  </w:t>
      </w:r>
      <w:r>
        <w:rPr>
          <w:rFonts w:hint="eastAsia" w:ascii="宋体" w:hAnsi="宋体"/>
          <w:color w:val="auto"/>
          <w:kern w:val="0"/>
          <w:sz w:val="24"/>
        </w:rPr>
        <w:t>%的工程款；</w:t>
      </w:r>
    </w:p>
    <w:p w14:paraId="7BD517F8">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（3）其他方式:</w:t>
      </w:r>
      <w:r>
        <w:rPr>
          <w:rFonts w:hint="eastAsia" w:ascii="宋体" w:hAnsi="宋体"/>
          <w:color w:val="auto"/>
          <w:sz w:val="24"/>
          <w:u w:val="single"/>
        </w:rPr>
        <w:t xml:space="preserve">   /     </w:t>
      </w:r>
    </w:p>
    <w:p w14:paraId="2BD62A26">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 xml:space="preserve">15.3.2 质量保证金的扣留 </w:t>
      </w:r>
    </w:p>
    <w:p w14:paraId="24A162E6">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质量保证金的扣留采取以下第</w:t>
      </w:r>
      <w:r>
        <w:rPr>
          <w:rFonts w:hint="eastAsia" w:ascii="宋体" w:hAnsi="宋体"/>
          <w:color w:val="auto"/>
          <w:sz w:val="24"/>
          <w:u w:val="single"/>
        </w:rPr>
        <w:t xml:space="preserve"> ( 2 ) </w:t>
      </w:r>
      <w:r>
        <w:rPr>
          <w:rFonts w:hint="eastAsia" w:ascii="宋体" w:hAnsi="宋体"/>
          <w:color w:val="auto"/>
          <w:sz w:val="24"/>
        </w:rPr>
        <w:t>种方式：</w:t>
      </w:r>
    </w:p>
    <w:p w14:paraId="1DED493C">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（1）在支付工程进度款时逐次扣留，在此情形下，质量保证金的计算基数不包括预付款的支付、扣回以及价格调整的金额；</w:t>
      </w:r>
    </w:p>
    <w:p w14:paraId="1B8B2486">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（2）工程竣工结算时一次性扣留质量保证金；</w:t>
      </w:r>
    </w:p>
    <w:p w14:paraId="10380C06">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（3）其他扣留方式:</w:t>
      </w:r>
      <w:r>
        <w:rPr>
          <w:rFonts w:hint="eastAsia" w:ascii="宋体" w:hAnsi="宋体"/>
          <w:color w:val="auto"/>
          <w:sz w:val="24"/>
          <w:u w:val="single"/>
        </w:rPr>
        <w:t xml:space="preserve">   /     </w:t>
      </w:r>
    </w:p>
    <w:p w14:paraId="32DC5AC3">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关于质量保证金的补充约定：</w:t>
      </w:r>
      <w:r>
        <w:rPr>
          <w:rFonts w:hint="eastAsia" w:ascii="宋体" w:hAnsi="宋体"/>
          <w:color w:val="auto"/>
          <w:kern w:val="0"/>
          <w:sz w:val="24"/>
          <w:u w:val="single"/>
        </w:rPr>
        <w:t xml:space="preserve">  本工程竣工验收合格后，在两年质量保修期或五年质保期满前30日内，承包人须向发包人递交书面质量保修验收申请报告。发包人在收到承包人书面申请报告后15日内，会同监理单位、物业管理单位共同对承包人完成质量保修情况进行验收，在质量保修验收合格后15日内支付相应阶段的质量保修金。   </w:t>
      </w:r>
    </w:p>
    <w:bookmarkEnd w:id="402"/>
    <w:bookmarkEnd w:id="403"/>
    <w:p w14:paraId="7A779071">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15.4保修</w:t>
      </w:r>
    </w:p>
    <w:bookmarkEnd w:id="404"/>
    <w:p w14:paraId="752CBCCA">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15.4.1 保修责任</w:t>
      </w:r>
    </w:p>
    <w:p w14:paraId="3D468AEE">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sz w:val="24"/>
        </w:rPr>
        <w:t>工程保修期为：</w:t>
      </w:r>
      <w:r>
        <w:rPr>
          <w:rFonts w:hint="eastAsia" w:ascii="宋体" w:hAnsi="宋体"/>
          <w:color w:val="auto"/>
          <w:kern w:val="0"/>
          <w:sz w:val="24"/>
          <w:u w:val="single"/>
        </w:rPr>
        <w:t xml:space="preserve">  </w:t>
      </w:r>
      <w:r>
        <w:rPr>
          <w:rFonts w:hint="eastAsia" w:ascii="宋体" w:hAnsi="宋体"/>
          <w:color w:val="auto"/>
          <w:sz w:val="24"/>
          <w:u w:val="single"/>
        </w:rPr>
        <w:t xml:space="preserve">执行《工程质量保修书》规定。 </w:t>
      </w:r>
      <w:r>
        <w:rPr>
          <w:rFonts w:hint="eastAsia" w:ascii="宋体" w:hAnsi="宋体"/>
          <w:color w:val="auto"/>
          <w:kern w:val="0"/>
          <w:sz w:val="24"/>
          <w:u w:val="single"/>
        </w:rPr>
        <w:t xml:space="preserve">   </w:t>
      </w:r>
    </w:p>
    <w:p w14:paraId="37F79060">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15.4.3 修复通知</w:t>
      </w:r>
    </w:p>
    <w:p w14:paraId="4960C72F">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承包人收到保修通知并到达工程现场的合理时间：</w:t>
      </w:r>
      <w:r>
        <w:rPr>
          <w:rFonts w:hint="eastAsia" w:ascii="宋体" w:hAnsi="宋体"/>
          <w:color w:val="auto"/>
          <w:kern w:val="0"/>
          <w:sz w:val="24"/>
          <w:u w:val="single"/>
        </w:rPr>
        <w:t xml:space="preserve">  24小时内。  </w:t>
      </w:r>
    </w:p>
    <w:bookmarkEnd w:id="405"/>
    <w:bookmarkEnd w:id="406"/>
    <w:bookmarkEnd w:id="407"/>
    <w:bookmarkEnd w:id="408"/>
    <w:p w14:paraId="6E2F0D46">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431" w:name="_Toc351203648"/>
      <w:bookmarkStart w:id="432" w:name="_Toc280868717"/>
      <w:bookmarkStart w:id="433" w:name="_Toc280868718"/>
      <w:r>
        <w:rPr>
          <w:rFonts w:hint="eastAsia" w:ascii="宋体" w:hAnsi="宋体"/>
          <w:color w:val="auto"/>
          <w:kern w:val="0"/>
          <w:sz w:val="24"/>
        </w:rPr>
        <w:t>16. 违约</w:t>
      </w:r>
      <w:bookmarkEnd w:id="431"/>
    </w:p>
    <w:p w14:paraId="109D4CD9">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16.1 发包人违约</w:t>
      </w:r>
    </w:p>
    <w:p w14:paraId="0B309B57">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16.1.1发包人违约的情形</w:t>
      </w:r>
    </w:p>
    <w:p w14:paraId="565DF518">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发包人违约的其他情形：</w:t>
      </w:r>
      <w:r>
        <w:rPr>
          <w:rFonts w:hint="eastAsia" w:ascii="宋体" w:hAnsi="宋体"/>
          <w:color w:val="auto"/>
          <w:sz w:val="24"/>
          <w:u w:val="single"/>
        </w:rPr>
        <w:t xml:space="preserve">    /     </w:t>
      </w:r>
    </w:p>
    <w:p w14:paraId="1979EC3C">
      <w:pPr>
        <w:pStyle w:val="77"/>
        <w:tabs>
          <w:tab w:val="left" w:pos="360"/>
        </w:tabs>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16.1.2 发包人违约的责任</w:t>
      </w:r>
    </w:p>
    <w:p w14:paraId="35E9104B">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发包人违约责任的承担方式和计算方法：</w:t>
      </w:r>
    </w:p>
    <w:p w14:paraId="2DFB223B">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u w:val="single"/>
        </w:rPr>
      </w:pPr>
      <w:r>
        <w:rPr>
          <w:rFonts w:hint="eastAsia" w:ascii="宋体" w:hAnsi="宋体"/>
          <w:color w:val="auto"/>
          <w:kern w:val="0"/>
          <w:sz w:val="24"/>
        </w:rPr>
        <w:t>（1）因发包人原因未能在计划开工日期前7天内下达开工通知的违约责任：</w:t>
      </w:r>
      <w:r>
        <w:rPr>
          <w:rFonts w:hint="eastAsia" w:ascii="宋体" w:hAnsi="宋体"/>
          <w:color w:val="auto"/>
          <w:kern w:val="0"/>
          <w:sz w:val="24"/>
          <w:u w:val="single"/>
        </w:rPr>
        <w:t xml:space="preserve">  </w:t>
      </w:r>
      <w:r>
        <w:rPr>
          <w:rFonts w:hint="eastAsia" w:ascii="宋体" w:hAnsi="宋体"/>
          <w:color w:val="auto"/>
          <w:sz w:val="24"/>
          <w:u w:val="single"/>
        </w:rPr>
        <w:t>双方协商解决。</w:t>
      </w:r>
      <w:r>
        <w:rPr>
          <w:rFonts w:hint="eastAsia" w:ascii="宋体" w:hAnsi="宋体"/>
          <w:color w:val="auto"/>
          <w:kern w:val="0"/>
          <w:sz w:val="24"/>
          <w:u w:val="single"/>
        </w:rPr>
        <w:t xml:space="preserve">   </w:t>
      </w:r>
    </w:p>
    <w:p w14:paraId="7AF75837">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（2）因发包人原因未能按合同约定支付合同价款的违约责任：</w:t>
      </w:r>
      <w:r>
        <w:rPr>
          <w:rFonts w:hint="eastAsia" w:ascii="宋体" w:hAnsi="宋体"/>
          <w:color w:val="auto"/>
          <w:kern w:val="0"/>
          <w:sz w:val="24"/>
          <w:u w:val="single"/>
        </w:rPr>
        <w:t xml:space="preserve">  </w:t>
      </w:r>
      <w:r>
        <w:rPr>
          <w:rFonts w:hint="eastAsia" w:ascii="宋体" w:hAnsi="宋体"/>
          <w:color w:val="auto"/>
          <w:sz w:val="24"/>
          <w:u w:val="single"/>
        </w:rPr>
        <w:t>双方协商解决。</w:t>
      </w:r>
      <w:r>
        <w:rPr>
          <w:rFonts w:hint="eastAsia" w:ascii="宋体" w:hAnsi="宋体"/>
          <w:color w:val="auto"/>
          <w:kern w:val="0"/>
          <w:sz w:val="24"/>
          <w:u w:val="single"/>
        </w:rPr>
        <w:t xml:space="preserve">  </w:t>
      </w:r>
    </w:p>
    <w:p w14:paraId="73AFFACC">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（3）发包人违反第10.1款〔变更的范围〕第（2）项约定，自行实施被取消的工作或转由他人实施的违约责任：</w:t>
      </w:r>
      <w:r>
        <w:rPr>
          <w:rFonts w:hint="eastAsia" w:ascii="宋体" w:hAnsi="宋体"/>
          <w:color w:val="auto"/>
          <w:kern w:val="0"/>
          <w:sz w:val="24"/>
          <w:u w:val="single"/>
        </w:rPr>
        <w:t xml:space="preserve">  </w:t>
      </w:r>
      <w:r>
        <w:rPr>
          <w:rFonts w:hint="eastAsia" w:ascii="宋体" w:hAnsi="宋体"/>
          <w:color w:val="auto"/>
          <w:sz w:val="24"/>
          <w:u w:val="single"/>
        </w:rPr>
        <w:t>双方协商解决。</w:t>
      </w:r>
      <w:r>
        <w:rPr>
          <w:rFonts w:hint="eastAsia" w:ascii="宋体" w:hAnsi="宋体"/>
          <w:color w:val="auto"/>
          <w:kern w:val="0"/>
          <w:sz w:val="24"/>
          <w:u w:val="single"/>
        </w:rPr>
        <w:t xml:space="preserve">   </w:t>
      </w:r>
    </w:p>
    <w:p w14:paraId="39E7E6C0">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（4）发包人提供的材料、工程设备的规格、数量或质量不符合合同约定，或因发包人原因导致交货日期延误或交货地点变更等情况的违约责任：</w:t>
      </w:r>
      <w:r>
        <w:rPr>
          <w:rFonts w:hint="eastAsia" w:ascii="宋体" w:hAnsi="宋体"/>
          <w:color w:val="auto"/>
          <w:kern w:val="0"/>
          <w:sz w:val="24"/>
          <w:u w:val="single"/>
        </w:rPr>
        <w:t xml:space="preserve">  </w:t>
      </w:r>
      <w:r>
        <w:rPr>
          <w:rFonts w:hint="eastAsia" w:ascii="宋体" w:hAnsi="宋体"/>
          <w:color w:val="auto"/>
          <w:sz w:val="24"/>
          <w:u w:val="single"/>
        </w:rPr>
        <w:t>双方协商解决。</w:t>
      </w:r>
      <w:r>
        <w:rPr>
          <w:rFonts w:hint="eastAsia" w:ascii="宋体" w:hAnsi="宋体"/>
          <w:color w:val="auto"/>
          <w:kern w:val="0"/>
          <w:sz w:val="24"/>
          <w:u w:val="single"/>
        </w:rPr>
        <w:t xml:space="preserve">  </w:t>
      </w:r>
    </w:p>
    <w:p w14:paraId="4CA71BFE">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（5）因发包人违反合同约定造成暂停施工的违约责任：</w:t>
      </w:r>
      <w:r>
        <w:rPr>
          <w:rFonts w:hint="eastAsia" w:ascii="宋体" w:hAnsi="宋体"/>
          <w:color w:val="auto"/>
          <w:kern w:val="0"/>
          <w:sz w:val="24"/>
          <w:u w:val="single"/>
        </w:rPr>
        <w:t xml:space="preserve">   </w:t>
      </w:r>
      <w:r>
        <w:rPr>
          <w:rFonts w:hint="eastAsia" w:ascii="宋体" w:hAnsi="宋体"/>
          <w:color w:val="auto"/>
          <w:sz w:val="24"/>
          <w:u w:val="single"/>
        </w:rPr>
        <w:t>双方协商解决。</w:t>
      </w:r>
      <w:r>
        <w:rPr>
          <w:rFonts w:hint="eastAsia" w:ascii="宋体" w:hAnsi="宋体"/>
          <w:color w:val="auto"/>
          <w:kern w:val="0"/>
          <w:sz w:val="24"/>
          <w:u w:val="single"/>
        </w:rPr>
        <w:t xml:space="preserve">   </w:t>
      </w:r>
    </w:p>
    <w:p w14:paraId="0B7E0CA3">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（6）发包人无正当理由没有在约定期限内发出复工指示，导致承包人无法复工的违约责任：</w:t>
      </w:r>
      <w:r>
        <w:rPr>
          <w:rFonts w:hint="eastAsia" w:ascii="宋体" w:hAnsi="宋体"/>
          <w:color w:val="auto"/>
          <w:kern w:val="0"/>
          <w:sz w:val="24"/>
          <w:u w:val="single"/>
        </w:rPr>
        <w:t xml:space="preserve">  </w:t>
      </w:r>
      <w:r>
        <w:rPr>
          <w:rFonts w:hint="eastAsia" w:ascii="宋体" w:hAnsi="宋体"/>
          <w:color w:val="auto"/>
          <w:sz w:val="24"/>
          <w:u w:val="single"/>
        </w:rPr>
        <w:t xml:space="preserve">双方协商解决。  </w:t>
      </w:r>
      <w:r>
        <w:rPr>
          <w:rFonts w:hint="eastAsia" w:ascii="宋体" w:hAnsi="宋体"/>
          <w:color w:val="auto"/>
          <w:kern w:val="0"/>
          <w:sz w:val="24"/>
          <w:u w:val="single"/>
        </w:rPr>
        <w:t xml:space="preserve"> </w:t>
      </w:r>
    </w:p>
    <w:p w14:paraId="6A84CBA6">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（7）其他：</w:t>
      </w:r>
      <w:r>
        <w:rPr>
          <w:rFonts w:hint="eastAsia" w:ascii="宋体" w:hAnsi="宋体"/>
          <w:color w:val="auto"/>
          <w:kern w:val="0"/>
          <w:sz w:val="24"/>
          <w:u w:val="single"/>
        </w:rPr>
        <w:t xml:space="preserve">  </w:t>
      </w:r>
      <w:r>
        <w:rPr>
          <w:rFonts w:hint="eastAsia" w:ascii="宋体" w:hAnsi="宋体"/>
          <w:color w:val="auto"/>
          <w:sz w:val="24"/>
          <w:u w:val="single"/>
        </w:rPr>
        <w:t>双方协商解决。</w:t>
      </w:r>
      <w:r>
        <w:rPr>
          <w:rFonts w:hint="eastAsia" w:ascii="宋体" w:hAnsi="宋体"/>
          <w:color w:val="auto"/>
          <w:kern w:val="0"/>
          <w:sz w:val="24"/>
          <w:u w:val="single"/>
        </w:rPr>
        <w:t xml:space="preserve">   </w:t>
      </w:r>
    </w:p>
    <w:p w14:paraId="42B2BE7D">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16.1.3 因发包人违约解除合同</w:t>
      </w:r>
    </w:p>
    <w:p w14:paraId="0E876521">
      <w:pPr>
        <w:pStyle w:val="77"/>
        <w:tabs>
          <w:tab w:val="left" w:pos="360"/>
        </w:tabs>
        <w:autoSpaceDE w:val="0"/>
        <w:autoSpaceDN w:val="0"/>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承包人按16.1.1项〔发包人违约的情形〕约定暂停施工满</w:t>
      </w:r>
      <w:r>
        <w:rPr>
          <w:rFonts w:hint="eastAsia" w:ascii="宋体" w:hAnsi="宋体"/>
          <w:color w:val="auto"/>
          <w:kern w:val="0"/>
          <w:sz w:val="24"/>
          <w:u w:val="single"/>
        </w:rPr>
        <w:t xml:space="preserve">  28（执行通用条款） </w:t>
      </w:r>
      <w:r>
        <w:rPr>
          <w:rFonts w:hint="eastAsia" w:ascii="宋体" w:hAnsi="宋体"/>
          <w:color w:val="auto"/>
          <w:kern w:val="0"/>
          <w:sz w:val="24"/>
        </w:rPr>
        <w:t>天后发包人仍不纠正其违约行为并致使合同目的不能实现的，承包人有权解除合同。</w:t>
      </w:r>
    </w:p>
    <w:p w14:paraId="4F0BA526">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16.2 承包人违约</w:t>
      </w:r>
    </w:p>
    <w:p w14:paraId="1E361730">
      <w:pPr>
        <w:pStyle w:val="77"/>
        <w:tabs>
          <w:tab w:val="left" w:pos="360"/>
        </w:tabs>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16.2.1 承包人违约的情形</w:t>
      </w:r>
    </w:p>
    <w:p w14:paraId="1DBCE07D">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承包人违约的其他情形：</w:t>
      </w:r>
      <w:r>
        <w:rPr>
          <w:rFonts w:hint="eastAsia" w:ascii="宋体" w:hAnsi="宋体"/>
          <w:color w:val="auto"/>
          <w:sz w:val="24"/>
          <w:u w:val="single"/>
        </w:rPr>
        <w:t xml:space="preserve">  因承包人自身债务问题导致司法机关裁定发包人协助执行（包括但不限于不予支付工程款等）或裁定保全发包人的财产，视为承包人违约。承包人自行承担因发包人工程款无法及时支付而产生的农民工工资、工程材料款和设备租赁费支付问题，并按照合同价款的5%承担违约金。同时，因此造成的工期延误，承包人仍需按照合同的约定承担违约责任。  </w:t>
      </w:r>
    </w:p>
    <w:p w14:paraId="22704C21">
      <w:pPr>
        <w:pStyle w:val="77"/>
        <w:tabs>
          <w:tab w:val="left" w:pos="360"/>
        </w:tabs>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16.2.2承包人违约的责任</w:t>
      </w:r>
    </w:p>
    <w:p w14:paraId="3BA0016C">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u w:val="single"/>
        </w:rPr>
      </w:pPr>
      <w:r>
        <w:rPr>
          <w:rFonts w:hint="eastAsia" w:ascii="宋体" w:hAnsi="宋体"/>
          <w:color w:val="auto"/>
          <w:kern w:val="0"/>
          <w:sz w:val="24"/>
        </w:rPr>
        <w:t>承包人违约责任的承担方式和计算方法：</w:t>
      </w:r>
      <w:r>
        <w:rPr>
          <w:rFonts w:hint="eastAsia" w:ascii="宋体" w:hAnsi="宋体"/>
          <w:color w:val="auto"/>
          <w:kern w:val="0"/>
          <w:sz w:val="24"/>
          <w:u w:val="single"/>
        </w:rPr>
        <w:t xml:space="preserve">  </w:t>
      </w:r>
      <w:r>
        <w:rPr>
          <w:rFonts w:hint="eastAsia" w:ascii="宋体" w:hAnsi="宋体"/>
          <w:color w:val="auto"/>
          <w:sz w:val="24"/>
          <w:u w:val="single"/>
        </w:rPr>
        <w:t xml:space="preserve">因承包人原因造成工程质量不合格的，承包人应无条件修复达到合同约定的质量标准；无法维修的，双方协商处理。发生该条违约时，发包人有权停止支付所有工程款项，不退还履约担保。  </w:t>
      </w:r>
      <w:r>
        <w:rPr>
          <w:rFonts w:hint="eastAsia" w:ascii="宋体" w:hAnsi="宋体"/>
          <w:color w:val="auto"/>
          <w:kern w:val="0"/>
          <w:sz w:val="24"/>
          <w:u w:val="single"/>
        </w:rPr>
        <w:t xml:space="preserve"> </w:t>
      </w:r>
    </w:p>
    <w:p w14:paraId="186C8954">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16.2.3 因承包人违约解除合同</w:t>
      </w:r>
    </w:p>
    <w:p w14:paraId="3C5DA6CD">
      <w:pPr>
        <w:adjustRightInd w:val="0"/>
        <w:snapToGrid w:val="0"/>
        <w:spacing w:line="360" w:lineRule="auto"/>
        <w:ind w:firstLine="480" w:firstLineChars="200"/>
        <w:rPr>
          <w:rFonts w:hint="eastAsia" w:ascii="宋体" w:hAnsi="宋体"/>
          <w:color w:val="auto"/>
          <w:sz w:val="24"/>
          <w:szCs w:val="24"/>
          <w:u w:val="single"/>
        </w:rPr>
      </w:pPr>
      <w:r>
        <w:rPr>
          <w:rFonts w:hint="eastAsia" w:ascii="宋体" w:hAnsi="宋体"/>
          <w:color w:val="auto"/>
          <w:sz w:val="24"/>
          <w:szCs w:val="24"/>
        </w:rPr>
        <w:t>关于承包人违约解除合同的特别约定：</w:t>
      </w:r>
      <w:r>
        <w:rPr>
          <w:rFonts w:hint="eastAsia" w:ascii="宋体" w:hAnsi="宋体"/>
          <w:color w:val="auto"/>
          <w:sz w:val="24"/>
          <w:szCs w:val="24"/>
          <w:u w:val="single"/>
        </w:rPr>
        <w:t xml:space="preserve">            </w:t>
      </w:r>
    </w:p>
    <w:p w14:paraId="3F00EBC2">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kern w:val="0"/>
          <w:sz w:val="24"/>
        </w:rPr>
        <w:t>发包人继续使用承包人在施工现场的材料、设备、临时工程、承包人文件和由承包人或以其名义编制的其他文件的费用承担方式：</w:t>
      </w:r>
      <w:r>
        <w:rPr>
          <w:rFonts w:hint="eastAsia" w:ascii="宋体" w:hAnsi="宋体"/>
          <w:color w:val="auto"/>
          <w:sz w:val="24"/>
          <w:u w:val="single"/>
        </w:rPr>
        <w:t xml:space="preserve">  如实际发生时，双方另行协商确定。</w:t>
      </w:r>
    </w:p>
    <w:p w14:paraId="4FE1FD6C">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434" w:name="_Toc351203649"/>
      <w:r>
        <w:rPr>
          <w:rFonts w:hint="eastAsia" w:ascii="宋体" w:hAnsi="宋体"/>
          <w:color w:val="auto"/>
          <w:kern w:val="0"/>
          <w:sz w:val="24"/>
        </w:rPr>
        <w:t>17. 不可抗力</w:t>
      </w:r>
      <w:bookmarkEnd w:id="432"/>
      <w:bookmarkEnd w:id="434"/>
    </w:p>
    <w:p w14:paraId="4A55EC73">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17.1 不可抗力的确认</w:t>
      </w:r>
    </w:p>
    <w:p w14:paraId="4C6BF496">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u w:val="single"/>
        </w:rPr>
      </w:pPr>
      <w:r>
        <w:rPr>
          <w:rFonts w:hint="eastAsia" w:ascii="宋体" w:hAnsi="宋体"/>
          <w:color w:val="auto"/>
          <w:sz w:val="24"/>
        </w:rPr>
        <w:t>除通用合同条款约定的不可抗力事件之外，视为不可抗力的其他情形：</w:t>
      </w:r>
      <w:r>
        <w:rPr>
          <w:rFonts w:hint="eastAsia" w:ascii="宋体" w:hAnsi="宋体"/>
          <w:color w:val="auto"/>
          <w:sz w:val="24"/>
          <w:u w:val="single"/>
        </w:rPr>
        <w:t xml:space="preserve">  执行通用条款；发生不可抗力影响时，承包人有义务采取措施减小损失，否则扩大的损失由承包人承担。  </w:t>
      </w:r>
    </w:p>
    <w:p w14:paraId="32E0A699">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17.4 因不可抗力解除合同</w:t>
      </w:r>
    </w:p>
    <w:p w14:paraId="108A9E2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合同解除后，发包人应在商定或确定发包人应支付款项后</w:t>
      </w:r>
      <w:r>
        <w:rPr>
          <w:rFonts w:hint="eastAsia" w:ascii="宋体" w:hAnsi="宋体"/>
          <w:color w:val="auto"/>
          <w:sz w:val="24"/>
          <w:u w:val="single"/>
        </w:rPr>
        <w:t xml:space="preserve">  28</w:t>
      </w:r>
      <w:r>
        <w:rPr>
          <w:rFonts w:hint="eastAsia" w:ascii="宋体" w:hAnsi="宋体"/>
          <w:color w:val="auto"/>
          <w:kern w:val="0"/>
          <w:sz w:val="24"/>
          <w:u w:val="single"/>
        </w:rPr>
        <w:t>（执行通用条款）</w:t>
      </w:r>
      <w:r>
        <w:rPr>
          <w:rFonts w:hint="eastAsia" w:ascii="宋体" w:hAnsi="宋体"/>
          <w:color w:val="auto"/>
          <w:sz w:val="24"/>
          <w:u w:val="single"/>
        </w:rPr>
        <w:t xml:space="preserve"> </w:t>
      </w:r>
      <w:r>
        <w:rPr>
          <w:rFonts w:hint="eastAsia" w:ascii="宋体" w:hAnsi="宋体"/>
          <w:color w:val="auto"/>
          <w:sz w:val="24"/>
        </w:rPr>
        <w:t>天内完成款项的支付。</w:t>
      </w:r>
    </w:p>
    <w:p w14:paraId="2D424E63">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435" w:name="_Toc351203650"/>
      <w:r>
        <w:rPr>
          <w:rFonts w:hint="eastAsia" w:ascii="宋体" w:hAnsi="宋体"/>
          <w:color w:val="auto"/>
          <w:kern w:val="0"/>
          <w:sz w:val="24"/>
        </w:rPr>
        <w:t>18. 保险</w:t>
      </w:r>
      <w:bookmarkEnd w:id="435"/>
    </w:p>
    <w:bookmarkEnd w:id="433"/>
    <w:p w14:paraId="62EC672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18.1 工程保险</w:t>
      </w:r>
    </w:p>
    <w:p w14:paraId="135EABE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关于工程保险的特别约定：</w:t>
      </w:r>
      <w:r>
        <w:rPr>
          <w:rFonts w:hint="eastAsia" w:ascii="宋体" w:hAnsi="宋体"/>
          <w:color w:val="auto"/>
          <w:kern w:val="0"/>
          <w:sz w:val="24"/>
          <w:u w:val="single"/>
        </w:rPr>
        <w:t xml:space="preserve">  承包人须依据《中华人民共和国建筑法》第48条规定，为其施工现场全部人员办理工伤保险、意外伤害保险并支付保险费，包括其员工及为履行合同聘请的第三方的人员（执行通用条款）。   </w:t>
      </w:r>
    </w:p>
    <w:p w14:paraId="7FD65497">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18.3 其他保险</w:t>
      </w:r>
    </w:p>
    <w:p w14:paraId="34AF9819">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u w:val="single"/>
        </w:rPr>
      </w:pPr>
      <w:r>
        <w:rPr>
          <w:rFonts w:hint="eastAsia" w:ascii="宋体" w:hAnsi="宋体"/>
          <w:color w:val="auto"/>
          <w:sz w:val="24"/>
        </w:rPr>
        <w:t>关于其他保险的约定：</w:t>
      </w:r>
      <w:r>
        <w:rPr>
          <w:rFonts w:hint="eastAsia" w:ascii="宋体" w:hAnsi="宋体"/>
          <w:color w:val="auto"/>
          <w:kern w:val="0"/>
          <w:sz w:val="24"/>
          <w:u w:val="single"/>
        </w:rPr>
        <w:t xml:space="preserve">   /    </w:t>
      </w:r>
    </w:p>
    <w:p w14:paraId="3B0D12D8">
      <w:pPr>
        <w:pStyle w:val="77"/>
        <w:tabs>
          <w:tab w:val="left" w:pos="360"/>
        </w:tabs>
        <w:adjustRightInd w:val="0"/>
        <w:snapToGrid w:val="0"/>
        <w:spacing w:line="360" w:lineRule="auto"/>
        <w:ind w:right="178" w:rightChars="85" w:firstLine="480" w:firstLineChars="200"/>
        <w:rPr>
          <w:rFonts w:hint="eastAsia" w:ascii="宋体" w:hAnsi="宋体"/>
          <w:color w:val="auto"/>
          <w:kern w:val="0"/>
          <w:sz w:val="24"/>
        </w:rPr>
      </w:pPr>
      <w:r>
        <w:rPr>
          <w:rFonts w:hint="eastAsia" w:ascii="宋体" w:hAnsi="宋体"/>
          <w:color w:val="auto"/>
          <w:sz w:val="24"/>
        </w:rPr>
        <w:t>承包人是否应为其施工设备等办理财产保险：</w:t>
      </w:r>
      <w:r>
        <w:rPr>
          <w:rFonts w:hint="eastAsia" w:ascii="宋体" w:hAnsi="宋体"/>
          <w:color w:val="auto"/>
          <w:sz w:val="24"/>
          <w:u w:val="single"/>
        </w:rPr>
        <w:t xml:space="preserve">  由承包人自行决定。   </w:t>
      </w:r>
    </w:p>
    <w:p w14:paraId="1DF0A5B0">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18.7 通知义务</w:t>
      </w:r>
    </w:p>
    <w:p w14:paraId="79CFD50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kern w:val="0"/>
          <w:sz w:val="24"/>
        </w:rPr>
        <w:t>关于变更保险合同时的通知义务的约定：</w:t>
      </w:r>
      <w:r>
        <w:rPr>
          <w:rFonts w:hint="eastAsia" w:ascii="宋体" w:hAnsi="宋体"/>
          <w:color w:val="auto"/>
          <w:sz w:val="24"/>
          <w:u w:val="single"/>
        </w:rPr>
        <w:t xml:space="preserve">  </w:t>
      </w:r>
      <w:r>
        <w:rPr>
          <w:rFonts w:hint="eastAsia" w:ascii="宋体" w:hAnsi="宋体"/>
          <w:color w:val="auto"/>
          <w:kern w:val="0"/>
          <w:sz w:val="24"/>
          <w:u w:val="single"/>
        </w:rPr>
        <w:t>执行通用条款。</w:t>
      </w:r>
      <w:r>
        <w:rPr>
          <w:rFonts w:hint="eastAsia" w:ascii="宋体" w:hAnsi="宋体"/>
          <w:color w:val="auto"/>
          <w:sz w:val="24"/>
          <w:u w:val="single"/>
        </w:rPr>
        <w:t xml:space="preserve">   </w:t>
      </w:r>
    </w:p>
    <w:bookmarkEnd w:id="409"/>
    <w:bookmarkEnd w:id="410"/>
    <w:bookmarkEnd w:id="411"/>
    <w:bookmarkEnd w:id="412"/>
    <w:bookmarkEnd w:id="413"/>
    <w:bookmarkEnd w:id="414"/>
    <w:bookmarkEnd w:id="415"/>
    <w:bookmarkEnd w:id="416"/>
    <w:bookmarkEnd w:id="417"/>
    <w:bookmarkEnd w:id="418"/>
    <w:bookmarkEnd w:id="419"/>
    <w:bookmarkEnd w:id="420"/>
    <w:p w14:paraId="46CF4580">
      <w:pPr>
        <w:pStyle w:val="77"/>
        <w:keepNext/>
        <w:keepLines/>
        <w:widowControl/>
        <w:tabs>
          <w:tab w:val="left" w:pos="360"/>
        </w:tabs>
        <w:adjustRightInd w:val="0"/>
        <w:snapToGrid w:val="0"/>
        <w:spacing w:line="360" w:lineRule="auto"/>
        <w:ind w:right="178" w:rightChars="85" w:firstLine="480" w:firstLineChars="200"/>
        <w:outlineLvl w:val="2"/>
        <w:rPr>
          <w:rFonts w:hint="eastAsia" w:ascii="宋体" w:hAnsi="宋体"/>
          <w:color w:val="auto"/>
          <w:kern w:val="0"/>
          <w:sz w:val="24"/>
        </w:rPr>
      </w:pPr>
      <w:bookmarkStart w:id="436" w:name="_Toc351203651"/>
      <w:r>
        <w:rPr>
          <w:rFonts w:hint="eastAsia" w:ascii="宋体" w:hAnsi="宋体"/>
          <w:color w:val="auto"/>
          <w:kern w:val="0"/>
          <w:sz w:val="24"/>
        </w:rPr>
        <w:t>20. 争议解决</w:t>
      </w:r>
      <w:bookmarkEnd w:id="436"/>
    </w:p>
    <w:bookmarkEnd w:id="421"/>
    <w:bookmarkEnd w:id="422"/>
    <w:p w14:paraId="45FF34E1">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20.3 争</w:t>
      </w:r>
      <w:bookmarkEnd w:id="423"/>
      <w:r>
        <w:rPr>
          <w:rFonts w:hint="eastAsia" w:ascii="宋体" w:hAnsi="宋体"/>
          <w:color w:val="auto"/>
          <w:sz w:val="24"/>
        </w:rPr>
        <w:t>议评审</w:t>
      </w:r>
    </w:p>
    <w:p w14:paraId="0AC0D797">
      <w:pPr>
        <w:pStyle w:val="77"/>
        <w:tabs>
          <w:tab w:val="left" w:pos="360"/>
        </w:tabs>
        <w:adjustRightInd w:val="0"/>
        <w:snapToGrid w:val="0"/>
        <w:spacing w:line="360" w:lineRule="auto"/>
        <w:ind w:left="149" w:leftChars="71" w:right="178" w:rightChars="85" w:firstLine="480" w:firstLineChars="200"/>
        <w:rPr>
          <w:rFonts w:hint="eastAsia" w:ascii="宋体" w:hAnsi="宋体"/>
          <w:color w:val="auto"/>
          <w:sz w:val="24"/>
        </w:rPr>
      </w:pPr>
      <w:r>
        <w:rPr>
          <w:rFonts w:hint="eastAsia" w:ascii="宋体" w:hAnsi="宋体"/>
          <w:color w:val="auto"/>
          <w:sz w:val="24"/>
        </w:rPr>
        <w:t>合同当事人是否同意将工程争议提交争议评审小组决定：</w:t>
      </w:r>
      <w:r>
        <w:rPr>
          <w:rFonts w:hint="eastAsia" w:ascii="宋体" w:hAnsi="宋体"/>
          <w:color w:val="auto"/>
          <w:sz w:val="24"/>
          <w:u w:val="single"/>
        </w:rPr>
        <w:t xml:space="preserve">  不采用。   </w:t>
      </w:r>
    </w:p>
    <w:p w14:paraId="1FE84B32">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20.3.1 争议评审小组的确定</w:t>
      </w:r>
    </w:p>
    <w:p w14:paraId="0DFC8C75">
      <w:pPr>
        <w:pStyle w:val="77"/>
        <w:tabs>
          <w:tab w:val="left" w:pos="360"/>
        </w:tabs>
        <w:adjustRightInd w:val="0"/>
        <w:snapToGrid w:val="0"/>
        <w:spacing w:line="360" w:lineRule="auto"/>
        <w:ind w:right="178" w:rightChars="85" w:firstLine="480" w:firstLineChars="200"/>
        <w:rPr>
          <w:rFonts w:hint="eastAsia" w:ascii="宋体" w:hAnsi="宋体"/>
          <w:color w:val="auto"/>
          <w:sz w:val="24"/>
          <w:u w:val="single"/>
        </w:rPr>
      </w:pPr>
      <w:r>
        <w:rPr>
          <w:rFonts w:hint="eastAsia" w:ascii="宋体" w:hAnsi="宋体"/>
          <w:color w:val="auto"/>
          <w:sz w:val="24"/>
        </w:rPr>
        <w:t>争议评审小组成员的确定：</w:t>
      </w:r>
      <w:r>
        <w:rPr>
          <w:rFonts w:hint="eastAsia" w:ascii="宋体" w:hAnsi="宋体"/>
          <w:color w:val="auto"/>
          <w:sz w:val="24"/>
          <w:u w:val="single"/>
        </w:rPr>
        <w:t xml:space="preserve">  不采用。   </w:t>
      </w:r>
    </w:p>
    <w:p w14:paraId="0A1B5865">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选定争议评审员的期限：</w:t>
      </w:r>
      <w:r>
        <w:rPr>
          <w:rFonts w:hint="eastAsia" w:ascii="宋体" w:hAnsi="宋体"/>
          <w:color w:val="auto"/>
          <w:sz w:val="24"/>
          <w:u w:val="single"/>
        </w:rPr>
        <w:t xml:space="preserve">  不采用。   </w:t>
      </w:r>
    </w:p>
    <w:p w14:paraId="65F50651">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争议评审小组成员的报酬承担方式：</w:t>
      </w:r>
      <w:r>
        <w:rPr>
          <w:rFonts w:hint="eastAsia" w:ascii="宋体" w:hAnsi="宋体"/>
          <w:color w:val="auto"/>
          <w:sz w:val="24"/>
          <w:u w:val="single"/>
        </w:rPr>
        <w:t xml:space="preserve">  不采用。   </w:t>
      </w:r>
    </w:p>
    <w:p w14:paraId="31A5654F">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其他事项的约定：</w:t>
      </w:r>
      <w:r>
        <w:rPr>
          <w:rFonts w:hint="eastAsia" w:ascii="宋体" w:hAnsi="宋体"/>
          <w:color w:val="auto"/>
          <w:sz w:val="24"/>
          <w:u w:val="single"/>
        </w:rPr>
        <w:t xml:space="preserve">  不采用。   </w:t>
      </w:r>
    </w:p>
    <w:p w14:paraId="7FAC103D">
      <w:pPr>
        <w:pStyle w:val="77"/>
        <w:tabs>
          <w:tab w:val="left" w:pos="360"/>
        </w:tabs>
        <w:autoSpaceDE w:val="0"/>
        <w:autoSpaceDN w:val="0"/>
        <w:adjustRightInd w:val="0"/>
        <w:snapToGrid w:val="0"/>
        <w:spacing w:line="360" w:lineRule="auto"/>
        <w:ind w:right="178" w:rightChars="85" w:firstLine="480" w:firstLineChars="200"/>
        <w:outlineLvl w:val="4"/>
        <w:rPr>
          <w:rFonts w:hint="eastAsia" w:ascii="宋体" w:hAnsi="宋体"/>
          <w:color w:val="auto"/>
          <w:kern w:val="0"/>
          <w:sz w:val="24"/>
        </w:rPr>
      </w:pPr>
      <w:r>
        <w:rPr>
          <w:rFonts w:hint="eastAsia" w:ascii="宋体" w:hAnsi="宋体"/>
          <w:color w:val="auto"/>
          <w:kern w:val="0"/>
          <w:sz w:val="24"/>
        </w:rPr>
        <w:t>20.3.2 争议评审小组的决定</w:t>
      </w:r>
    </w:p>
    <w:p w14:paraId="0BDD74B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合同当事人关于本项的约定：</w:t>
      </w:r>
      <w:r>
        <w:rPr>
          <w:rFonts w:hint="eastAsia" w:ascii="宋体" w:hAnsi="宋体"/>
          <w:color w:val="auto"/>
          <w:sz w:val="24"/>
          <w:u w:val="single"/>
        </w:rPr>
        <w:t xml:space="preserve">  不采用。   </w:t>
      </w:r>
    </w:p>
    <w:p w14:paraId="3BF0081A">
      <w:pPr>
        <w:pStyle w:val="77"/>
        <w:tabs>
          <w:tab w:val="left" w:pos="360"/>
        </w:tabs>
        <w:adjustRightInd w:val="0"/>
        <w:snapToGrid w:val="0"/>
        <w:spacing w:line="360" w:lineRule="auto"/>
        <w:ind w:right="178" w:rightChars="85" w:firstLine="480" w:firstLineChars="200"/>
        <w:outlineLvl w:val="3"/>
        <w:rPr>
          <w:rFonts w:hint="eastAsia" w:ascii="宋体" w:hAnsi="宋体"/>
          <w:color w:val="auto"/>
          <w:sz w:val="24"/>
        </w:rPr>
      </w:pPr>
      <w:r>
        <w:rPr>
          <w:rFonts w:hint="eastAsia" w:ascii="宋体" w:hAnsi="宋体"/>
          <w:color w:val="auto"/>
          <w:sz w:val="24"/>
        </w:rPr>
        <w:t>20.4仲裁或诉讼</w:t>
      </w:r>
      <w:bookmarkEnd w:id="424"/>
    </w:p>
    <w:p w14:paraId="6A603EB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因合同及合同有关事项发生的争议，按下列第</w:t>
      </w:r>
      <w:r>
        <w:rPr>
          <w:rFonts w:hint="eastAsia" w:ascii="宋体" w:hAnsi="宋体"/>
          <w:color w:val="auto"/>
          <w:sz w:val="24"/>
          <w:u w:val="single"/>
        </w:rPr>
        <w:t xml:space="preserve"> ( 2 ) </w:t>
      </w:r>
      <w:r>
        <w:rPr>
          <w:rFonts w:hint="eastAsia" w:ascii="宋体" w:hAnsi="宋体"/>
          <w:color w:val="auto"/>
          <w:sz w:val="24"/>
        </w:rPr>
        <w:t>种方式解决：</w:t>
      </w:r>
    </w:p>
    <w:p w14:paraId="37D68C1B">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（1）向</w:t>
      </w:r>
      <w:r>
        <w:rPr>
          <w:rFonts w:hint="eastAsia" w:ascii="宋体" w:hAnsi="宋体"/>
          <w:color w:val="auto"/>
          <w:sz w:val="24"/>
          <w:u w:val="single"/>
        </w:rPr>
        <w:t xml:space="preserve">  合肥   </w:t>
      </w:r>
      <w:r>
        <w:rPr>
          <w:rFonts w:hint="eastAsia" w:ascii="宋体" w:hAnsi="宋体"/>
          <w:color w:val="auto"/>
          <w:sz w:val="24"/>
        </w:rPr>
        <w:t>仲裁委员会申请仲裁；</w:t>
      </w:r>
    </w:p>
    <w:p w14:paraId="67CA5DE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（2）向</w:t>
      </w:r>
      <w:r>
        <w:rPr>
          <w:rFonts w:hint="eastAsia" w:ascii="宋体" w:hAnsi="宋体"/>
          <w:color w:val="auto"/>
          <w:sz w:val="24"/>
          <w:u w:val="single"/>
        </w:rPr>
        <w:t xml:space="preserve">  工程所在地   </w:t>
      </w:r>
      <w:r>
        <w:rPr>
          <w:rFonts w:hint="eastAsia" w:ascii="宋体" w:hAnsi="宋体"/>
          <w:color w:val="auto"/>
          <w:sz w:val="24"/>
        </w:rPr>
        <w:t>人民法院起诉。</w:t>
      </w:r>
      <w:bookmarkEnd w:id="425"/>
      <w:bookmarkEnd w:id="426"/>
      <w:bookmarkEnd w:id="427"/>
      <w:bookmarkEnd w:id="428"/>
      <w:bookmarkEnd w:id="429"/>
      <w:bookmarkEnd w:id="430"/>
    </w:p>
    <w:bookmarkEnd w:id="76"/>
    <w:p w14:paraId="4794586D">
      <w:pPr>
        <w:pStyle w:val="77"/>
        <w:tabs>
          <w:tab w:val="left" w:pos="360"/>
        </w:tabs>
        <w:autoSpaceDE w:val="0"/>
        <w:autoSpaceDN w:val="0"/>
        <w:adjustRightInd w:val="0"/>
        <w:snapToGrid w:val="0"/>
        <w:spacing w:line="360" w:lineRule="auto"/>
        <w:ind w:right="178" w:rightChars="85" w:firstLine="480" w:firstLineChars="200"/>
        <w:outlineLvl w:val="2"/>
        <w:rPr>
          <w:rFonts w:hint="eastAsia" w:ascii="宋体" w:hAnsi="宋体"/>
          <w:color w:val="auto"/>
          <w:kern w:val="0"/>
          <w:sz w:val="24"/>
        </w:rPr>
      </w:pPr>
      <w:r>
        <w:rPr>
          <w:rFonts w:hint="eastAsia" w:ascii="宋体" w:hAnsi="宋体"/>
          <w:color w:val="auto"/>
          <w:kern w:val="0"/>
          <w:sz w:val="24"/>
        </w:rPr>
        <w:t>21.补充条款</w:t>
      </w:r>
    </w:p>
    <w:p w14:paraId="0E2843A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本补充条款是专用条款的一部分，其解释顺序优先于专用条款内的其他条款。</w:t>
      </w:r>
    </w:p>
    <w:p w14:paraId="736A0E2F">
      <w:pPr>
        <w:pStyle w:val="77"/>
        <w:tabs>
          <w:tab w:val="left" w:pos="360"/>
        </w:tabs>
        <w:autoSpaceDE w:val="0"/>
        <w:autoSpaceDN w:val="0"/>
        <w:adjustRightInd w:val="0"/>
        <w:snapToGrid w:val="0"/>
        <w:spacing w:line="360" w:lineRule="auto"/>
        <w:ind w:right="178" w:rightChars="85" w:firstLine="480" w:firstLineChars="200"/>
        <w:jc w:val="left"/>
        <w:outlineLvl w:val="3"/>
        <w:rPr>
          <w:rFonts w:hint="eastAsia" w:ascii="宋体" w:hAnsi="宋体"/>
          <w:color w:val="auto"/>
          <w:kern w:val="0"/>
          <w:sz w:val="24"/>
        </w:rPr>
      </w:pPr>
      <w:r>
        <w:rPr>
          <w:rFonts w:hint="eastAsia" w:ascii="宋体" w:hAnsi="宋体"/>
          <w:color w:val="auto"/>
          <w:kern w:val="0"/>
          <w:sz w:val="24"/>
        </w:rPr>
        <w:t>1.1人员及职责</w:t>
      </w:r>
    </w:p>
    <w:p w14:paraId="51620C7A">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1.1.1发包人委派的发包人代表或监理发包人代表（以下简称“发包人代表”）无权更改合同，也无权解除发包人和承包人的义务和责任。</w:t>
      </w:r>
    </w:p>
    <w:p w14:paraId="74F1CFA3">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1.1.2发包人代表的任何批准、检查、证书、同意、通知、建议、检验、指令和要求等不解除承包人在合同中的责任。</w:t>
      </w:r>
    </w:p>
    <w:p w14:paraId="0B5359CF">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1.1.3承包人只能从发包人代表或其授权代表处接受指令。</w:t>
      </w:r>
    </w:p>
    <w:p w14:paraId="1D618F54">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1.1.4发包人如需更换发包人代表须提前7天通知承包人。</w:t>
      </w:r>
    </w:p>
    <w:p w14:paraId="0056195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1.1.5承包人的项目经理离开现场的，须经发包人代表同意，并书面指定临时代表，代为行使项目经理的权力；该临时代表的一切行为，甲方均认为是项目经理的行为。</w:t>
      </w:r>
    </w:p>
    <w:p w14:paraId="1991CDFB">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1.1.6承包人委派</w:t>
      </w:r>
      <w:r>
        <w:rPr>
          <w:rFonts w:hint="eastAsia" w:ascii="宋体" w:hAnsi="宋体"/>
          <w:color w:val="auto"/>
          <w:kern w:val="0"/>
          <w:sz w:val="24"/>
          <w:u w:val="single"/>
        </w:rPr>
        <w:t xml:space="preserve">      </w:t>
      </w:r>
      <w:r>
        <w:rPr>
          <w:rFonts w:hint="eastAsia" w:ascii="宋体" w:hAnsi="宋体"/>
          <w:color w:val="auto"/>
          <w:kern w:val="0"/>
          <w:sz w:val="24"/>
        </w:rPr>
        <w:t>经办人，负责工程施工过程中来往文件接收传递。</w:t>
      </w:r>
    </w:p>
    <w:p w14:paraId="166378C9">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1.1.7承包人提交发包人的任何文件，发包人都认为该文件已经承包人内部程序批准；承包人提交的文件发生修改的，应及时将最新版本提交发包人代表。</w:t>
      </w:r>
    </w:p>
    <w:p w14:paraId="25203CCC">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1.1.8承包人应始终采取一切合理防范措施来避免在项目人员内部发生违法、动乱或妨碍治安的行为，保持项目的安定；并保护好现场和周围的人员和财产安全。</w:t>
      </w:r>
    </w:p>
    <w:p w14:paraId="1F0AFFA0">
      <w:pPr>
        <w:pStyle w:val="77"/>
        <w:tabs>
          <w:tab w:val="left" w:pos="360"/>
        </w:tabs>
        <w:adjustRightInd w:val="0"/>
        <w:snapToGrid w:val="0"/>
        <w:spacing w:line="360" w:lineRule="auto"/>
        <w:ind w:right="178" w:rightChars="85" w:firstLine="480" w:firstLineChars="200"/>
        <w:outlineLvl w:val="4"/>
        <w:rPr>
          <w:rFonts w:hint="eastAsia" w:ascii="宋体" w:hAnsi="宋体"/>
          <w:color w:val="auto"/>
          <w:sz w:val="24"/>
        </w:rPr>
      </w:pPr>
      <w:r>
        <w:rPr>
          <w:rFonts w:hint="eastAsia" w:ascii="宋体" w:hAnsi="宋体"/>
          <w:color w:val="auto"/>
          <w:sz w:val="24"/>
        </w:rPr>
        <w:t>1.1.9承包人雇佣职员或工人应遵守相关法律法规的规定。</w:t>
      </w:r>
    </w:p>
    <w:p w14:paraId="4D440460">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1.1.10参与本项目的承包人代表或其雇员不遵守合同规定或一贯行为不轨或或不能胜任工作或危害安全，发包人代表有权要求更换；原人选未经发包人许可不得再进入本项目（包括项目经理在内）。</w:t>
      </w:r>
    </w:p>
    <w:p w14:paraId="6C3289F6">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1.1.11承包人更换项目经理的，须提前14天通知发包人，并征得发包人同意；该行为视为违约，承包人须支付发包人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万元违约金。更换后的项目经理资历、水平不得降低。</w:t>
      </w:r>
    </w:p>
    <w:p w14:paraId="0087933A">
      <w:pPr>
        <w:pStyle w:val="77"/>
        <w:tabs>
          <w:tab w:val="left" w:pos="360"/>
        </w:tabs>
        <w:adjustRightInd w:val="0"/>
        <w:snapToGrid w:val="0"/>
        <w:spacing w:line="360" w:lineRule="auto"/>
        <w:ind w:right="178" w:rightChars="85" w:firstLine="480" w:firstLineChars="200"/>
        <w:rPr>
          <w:rFonts w:hint="eastAsia" w:ascii="宋体" w:hAnsi="宋体"/>
          <w:color w:val="auto"/>
          <w:sz w:val="24"/>
        </w:rPr>
      </w:pPr>
      <w:r>
        <w:rPr>
          <w:rFonts w:hint="eastAsia" w:ascii="宋体" w:hAnsi="宋体"/>
          <w:color w:val="auto"/>
          <w:sz w:val="24"/>
        </w:rPr>
        <w:t>1.1.12承包人提交发包人的任何文件，都被认为该文件已经承包人内部程序批准；承包人提交的文件发生修改的，应及时将最新版本提交发包人代表。</w:t>
      </w:r>
    </w:p>
    <w:p w14:paraId="44069495">
      <w:pPr>
        <w:pStyle w:val="77"/>
        <w:tabs>
          <w:tab w:val="left" w:pos="360"/>
        </w:tabs>
        <w:autoSpaceDE w:val="0"/>
        <w:autoSpaceDN w:val="0"/>
        <w:adjustRightInd w:val="0"/>
        <w:snapToGrid w:val="0"/>
        <w:spacing w:line="360" w:lineRule="auto"/>
        <w:ind w:right="178" w:rightChars="85" w:firstLine="480" w:firstLineChars="200"/>
        <w:jc w:val="left"/>
        <w:outlineLvl w:val="3"/>
        <w:rPr>
          <w:rFonts w:hint="eastAsia" w:ascii="宋体" w:hAnsi="宋体"/>
          <w:color w:val="auto"/>
          <w:kern w:val="0"/>
          <w:sz w:val="24"/>
        </w:rPr>
      </w:pPr>
      <w:r>
        <w:rPr>
          <w:rFonts w:hint="eastAsia" w:ascii="宋体" w:hAnsi="宋体"/>
          <w:color w:val="auto"/>
          <w:kern w:val="0"/>
          <w:sz w:val="24"/>
        </w:rPr>
        <w:t>1.2变更与调整</w:t>
      </w:r>
    </w:p>
    <w:p w14:paraId="710122F4">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1.2.1在工程移交前，发包人代表有权签发变更指令，承包人应按照指令来实施变更，并进行工期和费用的估算，提交发包人代表。</w:t>
      </w:r>
    </w:p>
    <w:p w14:paraId="69796A7D">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1.2.2发包人代表收到承包人的估算后，可以决定撤销、修改或确认实施该项变更。</w:t>
      </w:r>
    </w:p>
    <w:p w14:paraId="3D7C7FA4">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1.2.3如果承包人认为自己的建议能缩短工期、降低工程实施或运营成本，或对业主产生其他利益，可以向发包人代表提交建议书；建议书的编制费用自理。</w:t>
      </w:r>
    </w:p>
    <w:p w14:paraId="1665E73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1.2.4如果发包人采纳承包人的建议节省了工程费用，将给予承包人节约费用适当比例的奖励。</w:t>
      </w:r>
    </w:p>
    <w:p w14:paraId="2D9FD87C">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1.2.5上一款中节省费用的计算方法为：降低的合同额度减去因变更而引起在工程质量、寿命、以及运营效率等方面为发包人带来的潜在损失。</w:t>
      </w:r>
    </w:p>
    <w:p w14:paraId="5B793FF4">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1.2.6任何变更指令都应由发包人代表签发给承包人，承包人收到后应回函说明；涉及到费用调整的，按照相关条款执行。</w:t>
      </w:r>
    </w:p>
    <w:p w14:paraId="72BDF23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1.2.7设计文件示意内容的尺寸做法、要求等标注有错误、有遗漏，或理解不一致，发包人或其委托的勘查设计单位根据工程施工需要而对其进行更正和补充的，称为技术核定；技术核定不调整合同价款，也不调整工期。</w:t>
      </w:r>
    </w:p>
    <w:p w14:paraId="3A120347">
      <w:pPr>
        <w:pStyle w:val="77"/>
        <w:tabs>
          <w:tab w:val="left" w:pos="360"/>
        </w:tabs>
        <w:autoSpaceDE w:val="0"/>
        <w:autoSpaceDN w:val="0"/>
        <w:adjustRightInd w:val="0"/>
        <w:snapToGrid w:val="0"/>
        <w:spacing w:line="360" w:lineRule="auto"/>
        <w:ind w:right="178" w:rightChars="85" w:firstLine="480" w:firstLineChars="200"/>
        <w:jc w:val="left"/>
        <w:outlineLvl w:val="4"/>
        <w:rPr>
          <w:rFonts w:hint="eastAsia" w:ascii="宋体" w:hAnsi="宋体"/>
          <w:color w:val="auto"/>
          <w:kern w:val="0"/>
          <w:sz w:val="24"/>
        </w:rPr>
      </w:pPr>
      <w:r>
        <w:rPr>
          <w:rFonts w:hint="eastAsia" w:ascii="宋体" w:hAnsi="宋体"/>
          <w:color w:val="auto"/>
          <w:kern w:val="0"/>
          <w:sz w:val="24"/>
        </w:rPr>
        <w:t>1.2.8未经发包人代表批准，承包人不得对工程进行任何变更。</w:t>
      </w:r>
    </w:p>
    <w:p w14:paraId="19E24297">
      <w:pPr>
        <w:pStyle w:val="77"/>
        <w:tabs>
          <w:tab w:val="left" w:pos="360"/>
        </w:tabs>
        <w:autoSpaceDE w:val="0"/>
        <w:autoSpaceDN w:val="0"/>
        <w:adjustRightInd w:val="0"/>
        <w:snapToGrid w:val="0"/>
        <w:spacing w:line="360" w:lineRule="auto"/>
        <w:ind w:right="178" w:rightChars="85" w:firstLine="480" w:firstLineChars="200"/>
        <w:jc w:val="left"/>
        <w:outlineLvl w:val="3"/>
        <w:rPr>
          <w:rFonts w:hint="eastAsia" w:ascii="宋体" w:hAnsi="宋体"/>
          <w:color w:val="auto"/>
          <w:kern w:val="0"/>
          <w:sz w:val="24"/>
        </w:rPr>
      </w:pPr>
      <w:r>
        <w:rPr>
          <w:rFonts w:hint="eastAsia" w:ascii="宋体" w:hAnsi="宋体"/>
          <w:color w:val="auto"/>
          <w:kern w:val="0"/>
          <w:sz w:val="24"/>
        </w:rPr>
        <w:t>1.3分包与配合</w:t>
      </w:r>
    </w:p>
    <w:p w14:paraId="239914C4">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1.3.1承包人进行工程分包的，应遵守通用条款第38条的规定，发包人视其为承包人自行施工的工程；发包人代表对分包的同意或批准并不解除承包人的任何责任，也不代表发包人对此承担任何责任。</w:t>
      </w:r>
    </w:p>
    <w:p w14:paraId="1ED9287A">
      <w:pPr>
        <w:pStyle w:val="77"/>
        <w:tabs>
          <w:tab w:val="left" w:pos="360"/>
        </w:tabs>
        <w:autoSpaceDE w:val="0"/>
        <w:autoSpaceDN w:val="0"/>
        <w:adjustRightInd w:val="0"/>
        <w:snapToGrid w:val="0"/>
        <w:spacing w:line="360" w:lineRule="auto"/>
        <w:ind w:right="178" w:rightChars="85" w:firstLine="480" w:firstLineChars="200"/>
        <w:jc w:val="left"/>
        <w:outlineLvl w:val="3"/>
        <w:rPr>
          <w:rFonts w:hint="eastAsia" w:ascii="宋体" w:hAnsi="宋体"/>
          <w:color w:val="auto"/>
          <w:kern w:val="0"/>
          <w:sz w:val="24"/>
        </w:rPr>
      </w:pPr>
      <w:r>
        <w:rPr>
          <w:rFonts w:hint="eastAsia" w:ascii="宋体" w:hAnsi="宋体"/>
          <w:color w:val="auto"/>
          <w:kern w:val="0"/>
          <w:sz w:val="24"/>
        </w:rPr>
        <w:t>1.4结算</w:t>
      </w:r>
    </w:p>
    <w:p w14:paraId="13854B0D">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1.4.1承包人的投标报价（合同价款）是承包人基于业主提供的资料和现场数据及承包人的解释和现场考察计算出来的，覆盖了完成合同义务所包括的一切工作，不得以漏项或考虑不周提出索赔。</w:t>
      </w:r>
    </w:p>
    <w:p w14:paraId="68EA6F76">
      <w:pPr>
        <w:pStyle w:val="77"/>
        <w:tabs>
          <w:tab w:val="left" w:pos="360"/>
        </w:tabs>
        <w:autoSpaceDE w:val="0"/>
        <w:autoSpaceDN w:val="0"/>
        <w:adjustRightInd w:val="0"/>
        <w:snapToGrid w:val="0"/>
        <w:spacing w:line="360" w:lineRule="auto"/>
        <w:ind w:right="178" w:rightChars="85" w:firstLine="480" w:firstLineChars="200"/>
        <w:jc w:val="left"/>
        <w:outlineLvl w:val="4"/>
        <w:rPr>
          <w:rFonts w:hint="eastAsia" w:ascii="宋体" w:hAnsi="宋体"/>
          <w:color w:val="auto"/>
          <w:kern w:val="0"/>
          <w:sz w:val="24"/>
        </w:rPr>
      </w:pPr>
      <w:r>
        <w:rPr>
          <w:rFonts w:hint="eastAsia" w:ascii="宋体" w:hAnsi="宋体"/>
          <w:color w:val="auto"/>
          <w:kern w:val="0"/>
          <w:sz w:val="24"/>
        </w:rPr>
        <w:t>1.4.2水电费的结算：</w:t>
      </w:r>
    </w:p>
    <w:p w14:paraId="0534B94C">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（1）发包人在现场安装计量装置，承包人负责施工期间的保护，并在工程移交的同时完好地移交给发包人。</w:t>
      </w:r>
    </w:p>
    <w:p w14:paraId="73FA3BEB">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（2）承包人投标报价已经包含水电费用，工程结算时按照发包人实际缴纳的水电费在结算价（税前）中扣除。</w:t>
      </w:r>
    </w:p>
    <w:p w14:paraId="0D1622D9">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（3）因承包人保护不善造成计量装置损坏，承包人负责修复，并承担由此造成的增加费用（包括修复费用和水电损失费用以及可能发生的罚款或其他费用）。</w:t>
      </w:r>
    </w:p>
    <w:p w14:paraId="3369EDE0">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u w:val="single" w:color="FFFFFF"/>
        </w:rPr>
      </w:pPr>
      <w:r>
        <w:rPr>
          <w:rFonts w:hint="eastAsia" w:ascii="宋体" w:hAnsi="宋体"/>
          <w:color w:val="auto"/>
          <w:kern w:val="0"/>
          <w:sz w:val="24"/>
          <w:u w:val="single" w:color="FFFFFF"/>
        </w:rPr>
        <w:t>1.4.3发包人供应材料设备的结算：材料按照总价的</w:t>
      </w:r>
      <w:r>
        <w:rPr>
          <w:rFonts w:hint="eastAsia" w:ascii="宋体" w:hAnsi="宋体"/>
          <w:color w:val="auto"/>
          <w:kern w:val="0"/>
          <w:sz w:val="24"/>
          <w:u w:val="single"/>
        </w:rPr>
        <w:t xml:space="preserve">   /   </w:t>
      </w:r>
      <w:r>
        <w:rPr>
          <w:rFonts w:hint="eastAsia" w:ascii="宋体" w:hAnsi="宋体"/>
          <w:color w:val="auto"/>
          <w:kern w:val="0"/>
          <w:sz w:val="24"/>
          <w:u w:val="single" w:color="FFFFFF"/>
        </w:rPr>
        <w:t>计取保管费（材料数量最多不超过设计文件的用量（可以计算定额损耗））；设备按照总价的</w:t>
      </w:r>
      <w:r>
        <w:rPr>
          <w:rFonts w:hint="eastAsia" w:ascii="宋体" w:hAnsi="宋体"/>
          <w:color w:val="auto"/>
          <w:kern w:val="0"/>
          <w:sz w:val="24"/>
          <w:u w:val="single"/>
        </w:rPr>
        <w:t xml:space="preserve">   /   </w:t>
      </w:r>
      <w:r>
        <w:rPr>
          <w:rFonts w:hint="eastAsia" w:ascii="宋体" w:hAnsi="宋体"/>
          <w:color w:val="auto"/>
          <w:kern w:val="0"/>
          <w:sz w:val="24"/>
          <w:u w:val="single" w:color="FFFFFF"/>
        </w:rPr>
        <w:t>计取保管费；此费用仅计取税金。</w:t>
      </w:r>
    </w:p>
    <w:p w14:paraId="24682106">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1.4.4分包工程的总承包配合费和配合工程的配合费：分包工程的总承包配合费按照分包工程价格（扣除设备费、预留金）确定，一次包死，不随分包工程结算价款的调整而调整；配合工程的配合费也一次包死；该两项费用仅计取税金。</w:t>
      </w:r>
    </w:p>
    <w:p w14:paraId="3341B8B4">
      <w:pPr>
        <w:pStyle w:val="77"/>
        <w:tabs>
          <w:tab w:val="left" w:pos="360"/>
        </w:tabs>
        <w:autoSpaceDE w:val="0"/>
        <w:autoSpaceDN w:val="0"/>
        <w:adjustRightInd w:val="0"/>
        <w:snapToGrid w:val="0"/>
        <w:spacing w:line="360" w:lineRule="auto"/>
        <w:ind w:right="178" w:rightChars="85" w:firstLine="480" w:firstLineChars="200"/>
        <w:jc w:val="left"/>
        <w:outlineLvl w:val="4"/>
        <w:rPr>
          <w:rFonts w:hint="eastAsia" w:ascii="宋体" w:hAnsi="宋体"/>
          <w:color w:val="auto"/>
          <w:kern w:val="0"/>
          <w:sz w:val="24"/>
        </w:rPr>
      </w:pPr>
      <w:r>
        <w:rPr>
          <w:rFonts w:hint="eastAsia" w:ascii="宋体" w:hAnsi="宋体"/>
          <w:color w:val="auto"/>
          <w:kern w:val="0"/>
          <w:sz w:val="24"/>
        </w:rPr>
        <w:t>1.4.5对于发包人提供的工程量</w:t>
      </w:r>
    </w:p>
    <w:p w14:paraId="71E1030A">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清单中工程量的错误，承包人未在招标文件规定的异议截止日期前提出异议并附计算书的，工程结算时不再调整。</w:t>
      </w:r>
    </w:p>
    <w:p w14:paraId="1C6D531C">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1.4.6对于发包人提供的工程量清单中单项子目工程量的误差，承包人在招标文件规定的截止日期前提出异议未被招标人接受，但事后被证明异议的实质性内容是正确的，其工程量可以调整，但只调整单项子目工程量误差超出3%以外的部分。本条仅针对该单项子目造价占合同价款3%以上的情况。</w:t>
      </w:r>
    </w:p>
    <w:p w14:paraId="20920678">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1.4.7对于发包人提供的工程量清单中的单项子目，承包人没有报价的，发包人认为视同该项价格已经包括在其他项目中。</w:t>
      </w:r>
    </w:p>
    <w:p w14:paraId="04053CA0">
      <w:pPr>
        <w:pStyle w:val="77"/>
        <w:tabs>
          <w:tab w:val="left" w:pos="360"/>
        </w:tabs>
        <w:autoSpaceDE w:val="0"/>
        <w:autoSpaceDN w:val="0"/>
        <w:adjustRightInd w:val="0"/>
        <w:snapToGrid w:val="0"/>
        <w:spacing w:line="360" w:lineRule="auto"/>
        <w:ind w:right="178" w:rightChars="85" w:firstLine="480" w:firstLineChars="200"/>
        <w:jc w:val="left"/>
        <w:outlineLvl w:val="3"/>
        <w:rPr>
          <w:rFonts w:hint="eastAsia" w:ascii="宋体" w:hAnsi="宋体"/>
          <w:color w:val="auto"/>
          <w:kern w:val="0"/>
          <w:sz w:val="24"/>
        </w:rPr>
      </w:pPr>
      <w:r>
        <w:rPr>
          <w:rFonts w:hint="eastAsia" w:ascii="宋体" w:hAnsi="宋体"/>
          <w:color w:val="auto"/>
          <w:kern w:val="0"/>
          <w:sz w:val="24"/>
        </w:rPr>
        <w:t>1.5其它补充条款：</w:t>
      </w:r>
    </w:p>
    <w:p w14:paraId="600676D6">
      <w:pPr>
        <w:pStyle w:val="77"/>
        <w:tabs>
          <w:tab w:val="left" w:pos="360"/>
        </w:tabs>
        <w:autoSpaceDE w:val="0"/>
        <w:autoSpaceDN w:val="0"/>
        <w:adjustRightInd w:val="0"/>
        <w:snapToGrid w:val="0"/>
        <w:spacing w:line="360" w:lineRule="auto"/>
        <w:ind w:right="178" w:rightChars="85" w:firstLine="480" w:firstLineChars="200"/>
        <w:jc w:val="left"/>
        <w:rPr>
          <w:rFonts w:hint="eastAsia" w:ascii="宋体" w:hAnsi="宋体"/>
          <w:color w:val="auto"/>
          <w:kern w:val="0"/>
          <w:sz w:val="24"/>
        </w:rPr>
      </w:pPr>
      <w:r>
        <w:rPr>
          <w:rFonts w:hint="eastAsia" w:ascii="宋体" w:hAnsi="宋体"/>
          <w:color w:val="auto"/>
          <w:kern w:val="0"/>
          <w:sz w:val="24"/>
        </w:rPr>
        <w:t>在工程施工</w:t>
      </w:r>
      <w:r>
        <w:rPr>
          <w:rFonts w:hint="eastAsia" w:ascii="宋体" w:hAnsi="宋体"/>
          <w:color w:val="auto"/>
          <w:kern w:val="0"/>
          <w:sz w:val="24"/>
          <w:lang w:val="en-US" w:eastAsia="zh-CN"/>
        </w:rPr>
        <w:t>过程</w:t>
      </w:r>
      <w:r>
        <w:rPr>
          <w:rFonts w:hint="eastAsia" w:ascii="宋体" w:hAnsi="宋体"/>
          <w:color w:val="auto"/>
          <w:kern w:val="0"/>
          <w:sz w:val="24"/>
        </w:rPr>
        <w:t>中，因承包人违反有关工程建设法律、法规、规章以及施工技术标准、规范、规程等规定而受到工程建设行业主管部门停工、曝光、罚款等处罚的，承包人须按照5000.00元～10000.00元/次支付发包人违约金（此项违约金从当期支付工程款中直接扣除）。</w:t>
      </w:r>
    </w:p>
    <w:p w14:paraId="27A2EF81">
      <w:pPr>
        <w:pStyle w:val="91"/>
        <w:spacing w:line="360" w:lineRule="auto"/>
        <w:ind w:left="250" w:leftChars="119" w:right="0" w:firstLine="118" w:firstLineChars="49"/>
        <w:outlineLvl w:val="3"/>
        <w:rPr>
          <w:rFonts w:hint="eastAsia" w:ascii="宋体" w:hAnsi="宋体"/>
          <w:b/>
          <w:color w:val="auto"/>
          <w:szCs w:val="24"/>
        </w:rPr>
      </w:pPr>
      <w:r>
        <w:rPr>
          <w:rFonts w:hint="eastAsia" w:ascii="宋体" w:hAnsi="宋体"/>
          <w:b/>
          <w:color w:val="auto"/>
          <w:szCs w:val="24"/>
        </w:rPr>
        <w:t>1.6其他：</w:t>
      </w:r>
    </w:p>
    <w:p w14:paraId="65EB4394">
      <w:pPr>
        <w:pStyle w:val="91"/>
        <w:spacing w:line="360" w:lineRule="auto"/>
        <w:ind w:left="250" w:leftChars="119" w:right="0" w:firstLine="118" w:firstLineChars="49"/>
        <w:rPr>
          <w:rFonts w:hint="eastAsia" w:ascii="宋体" w:hAnsi="宋体"/>
          <w:b/>
          <w:color w:val="auto"/>
          <w:szCs w:val="24"/>
        </w:rPr>
      </w:pPr>
      <w:r>
        <w:rPr>
          <w:rFonts w:hint="eastAsia" w:ascii="宋体" w:hAnsi="宋体"/>
          <w:b/>
          <w:color w:val="auto"/>
          <w:szCs w:val="24"/>
        </w:rPr>
        <w:t>1、中标人需在本项目建筑服务发生地主管国税机关办理《外出经营活动税收管理证明》报验备案，并依法预缴增值税、城市维护建设税及教育附加等相关税费（仅针对外地来肥建筑安装企业）。</w:t>
      </w:r>
    </w:p>
    <w:p w14:paraId="3C93DCA9">
      <w:pPr>
        <w:pStyle w:val="91"/>
        <w:spacing w:line="360" w:lineRule="auto"/>
        <w:ind w:left="250" w:right="0" w:firstLine="480"/>
        <w:rPr>
          <w:rFonts w:ascii="宋体" w:hAnsi="宋体"/>
          <w:b/>
          <w:color w:val="auto"/>
          <w:szCs w:val="24"/>
        </w:rPr>
      </w:pPr>
      <w:r>
        <w:rPr>
          <w:rFonts w:hint="eastAsia" w:ascii="宋体" w:hAnsi="宋体"/>
          <w:b/>
          <w:color w:val="auto"/>
          <w:szCs w:val="24"/>
        </w:rPr>
        <w:t>2、根据合政〔2016〕189号文要求，工程结算审计核减额超过报审金额10%的，其超过10%以上部分的审计咨询费用由施工单位（合同乙方）承担，建设单位在支付工程结算款时予以代扣，并支付给审计委托的工程造价咨询单位。</w:t>
      </w:r>
    </w:p>
    <w:p w14:paraId="531D598A">
      <w:pPr>
        <w:adjustRightInd w:val="0"/>
        <w:snapToGrid w:val="0"/>
        <w:spacing w:line="360" w:lineRule="auto"/>
        <w:ind w:right="420"/>
        <w:rPr>
          <w:rFonts w:hint="eastAsia" w:ascii="宋体" w:hAnsi="宋体"/>
          <w:b/>
          <w:color w:val="auto"/>
          <w:sz w:val="24"/>
          <w:szCs w:val="24"/>
        </w:rPr>
      </w:pPr>
    </w:p>
    <w:p w14:paraId="0968D34C">
      <w:pPr>
        <w:adjustRightInd w:val="0"/>
        <w:snapToGrid w:val="0"/>
        <w:spacing w:line="360" w:lineRule="auto"/>
        <w:rPr>
          <w:rFonts w:ascii="宋体" w:hAnsi="宋体"/>
          <w:color w:val="auto"/>
          <w:sz w:val="24"/>
          <w:szCs w:val="24"/>
        </w:rPr>
      </w:pPr>
      <w:r>
        <w:rPr>
          <w:rFonts w:hint="eastAsia" w:ascii="宋体" w:hAnsi="宋体"/>
          <w:color w:val="auto"/>
          <w:sz w:val="24"/>
          <w:szCs w:val="24"/>
        </w:rPr>
        <w:t>发包人：</w:t>
      </w:r>
      <w:r>
        <w:rPr>
          <w:rFonts w:ascii="宋体" w:hAnsi="宋体"/>
          <w:color w:val="auto"/>
          <w:sz w:val="24"/>
          <w:szCs w:val="24"/>
        </w:rPr>
        <w:t xml:space="preserve">  (</w:t>
      </w:r>
      <w:r>
        <w:rPr>
          <w:rFonts w:hint="eastAsia" w:ascii="宋体" w:hAnsi="宋体"/>
          <w:color w:val="auto"/>
          <w:sz w:val="24"/>
          <w:szCs w:val="24"/>
        </w:rPr>
        <w:t>公章</w:t>
      </w:r>
      <w:r>
        <w:rPr>
          <w:rFonts w:ascii="宋体" w:hAnsi="宋体"/>
          <w:color w:val="auto"/>
          <w:sz w:val="24"/>
          <w:szCs w:val="24"/>
        </w:rPr>
        <w:t xml:space="preserve">)           </w:t>
      </w: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承包人：</w:t>
      </w:r>
      <w:r>
        <w:rPr>
          <w:rFonts w:ascii="宋体" w:hAnsi="宋体"/>
          <w:color w:val="auto"/>
          <w:sz w:val="24"/>
          <w:szCs w:val="24"/>
        </w:rPr>
        <w:t xml:space="preserve">  (</w:t>
      </w:r>
      <w:r>
        <w:rPr>
          <w:rFonts w:hint="eastAsia" w:ascii="宋体" w:hAnsi="宋体"/>
          <w:color w:val="auto"/>
          <w:sz w:val="24"/>
          <w:szCs w:val="24"/>
        </w:rPr>
        <w:t>公章</w:t>
      </w:r>
      <w:r>
        <w:rPr>
          <w:rFonts w:ascii="宋体" w:hAnsi="宋体"/>
          <w:color w:val="auto"/>
          <w:sz w:val="24"/>
          <w:szCs w:val="24"/>
        </w:rPr>
        <w:t>)</w:t>
      </w:r>
    </w:p>
    <w:p w14:paraId="5EE180A6">
      <w:pPr>
        <w:adjustRightInd w:val="0"/>
        <w:snapToGrid w:val="0"/>
        <w:spacing w:line="360" w:lineRule="auto"/>
        <w:rPr>
          <w:rFonts w:ascii="宋体" w:hAnsi="宋体"/>
          <w:color w:val="auto"/>
          <w:sz w:val="24"/>
          <w:szCs w:val="24"/>
        </w:rPr>
      </w:pPr>
      <w:r>
        <w:rPr>
          <w:rFonts w:hint="eastAsia" w:ascii="宋体" w:hAnsi="宋体"/>
          <w:color w:val="auto"/>
          <w:sz w:val="24"/>
          <w:szCs w:val="24"/>
        </w:rPr>
        <w:t>法定代表人或其委托代理人：</w:t>
      </w:r>
      <w:r>
        <w:rPr>
          <w:rFonts w:ascii="宋体" w:hAnsi="宋体"/>
          <w:color w:val="auto"/>
          <w:sz w:val="24"/>
          <w:szCs w:val="24"/>
        </w:rPr>
        <w:t xml:space="preserve">  </w:t>
      </w:r>
      <w:r>
        <w:rPr>
          <w:rFonts w:hint="eastAsia" w:ascii="宋体" w:hAnsi="宋体"/>
          <w:color w:val="auto"/>
          <w:sz w:val="24"/>
          <w:szCs w:val="24"/>
        </w:rPr>
        <w:t xml:space="preserve">               法定代表人或其委托代理人：</w:t>
      </w:r>
    </w:p>
    <w:p w14:paraId="5A76ED74">
      <w:pPr>
        <w:adjustRightInd w:val="0"/>
        <w:snapToGrid w:val="0"/>
        <w:spacing w:line="360" w:lineRule="auto"/>
        <w:rPr>
          <w:rFonts w:ascii="宋体" w:hAnsi="宋体"/>
          <w:color w:val="auto"/>
          <w:sz w:val="24"/>
          <w:szCs w:val="24"/>
        </w:rPr>
      </w:pPr>
      <w:r>
        <w:rPr>
          <w:rFonts w:hint="eastAsia" w:ascii="宋体" w:hAnsi="宋体"/>
          <w:color w:val="auto"/>
          <w:sz w:val="24"/>
          <w:szCs w:val="24"/>
        </w:rPr>
        <w:t>（签字）</w:t>
      </w:r>
      <w:r>
        <w:rPr>
          <w:rFonts w:ascii="宋体" w:hAnsi="宋体"/>
          <w:color w:val="auto"/>
          <w:sz w:val="24"/>
          <w:szCs w:val="24"/>
        </w:rPr>
        <w:t xml:space="preserve">                    </w:t>
      </w:r>
      <w:r>
        <w:rPr>
          <w:rFonts w:hint="eastAsia" w:ascii="宋体" w:hAnsi="宋体"/>
          <w:color w:val="auto"/>
          <w:sz w:val="24"/>
          <w:szCs w:val="24"/>
        </w:rPr>
        <w:t xml:space="preserve">              （签字）</w:t>
      </w:r>
    </w:p>
    <w:p w14:paraId="464B2CDF">
      <w:pPr>
        <w:adjustRightInd w:val="0"/>
        <w:snapToGrid w:val="0"/>
        <w:spacing w:line="360" w:lineRule="auto"/>
        <w:rPr>
          <w:rFonts w:ascii="宋体" w:hAnsi="宋体"/>
          <w:color w:val="auto"/>
          <w:sz w:val="24"/>
          <w:szCs w:val="24"/>
        </w:rPr>
      </w:pPr>
      <w:r>
        <w:rPr>
          <w:rFonts w:hint="eastAsia" w:ascii="宋体" w:hAnsi="宋体"/>
          <w:color w:val="auto"/>
          <w:sz w:val="24"/>
          <w:szCs w:val="24"/>
        </w:rPr>
        <w:t>组织机构代码：</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组织机构代码：</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p>
    <w:p w14:paraId="6387F39B">
      <w:pPr>
        <w:adjustRightInd w:val="0"/>
        <w:snapToGrid w:val="0"/>
        <w:spacing w:line="360" w:lineRule="auto"/>
        <w:rPr>
          <w:rFonts w:ascii="宋体" w:hAnsi="宋体"/>
          <w:color w:val="auto"/>
          <w:sz w:val="24"/>
          <w:szCs w:val="24"/>
        </w:rPr>
      </w:pPr>
      <w:r>
        <w:rPr>
          <w:rFonts w:hint="eastAsia" w:ascii="宋体" w:hAnsi="宋体"/>
          <w:color w:val="auto"/>
          <w:sz w:val="24"/>
          <w:szCs w:val="24"/>
        </w:rPr>
        <w:t>地</w:t>
      </w:r>
      <w:r>
        <w:rPr>
          <w:rFonts w:ascii="宋体" w:hAnsi="宋体"/>
          <w:color w:val="auto"/>
          <w:sz w:val="24"/>
          <w:szCs w:val="24"/>
        </w:rPr>
        <w:t xml:space="preserve">  </w:t>
      </w:r>
      <w:r>
        <w:rPr>
          <w:rFonts w:hint="eastAsia" w:ascii="宋体" w:hAnsi="宋体"/>
          <w:color w:val="auto"/>
          <w:sz w:val="24"/>
          <w:szCs w:val="24"/>
        </w:rPr>
        <w:t>址：</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地</w:t>
      </w:r>
      <w:r>
        <w:rPr>
          <w:rFonts w:ascii="宋体" w:hAnsi="宋体"/>
          <w:color w:val="auto"/>
          <w:sz w:val="24"/>
          <w:szCs w:val="24"/>
        </w:rPr>
        <w:t xml:space="preserve">  </w:t>
      </w:r>
      <w:r>
        <w:rPr>
          <w:rFonts w:hint="eastAsia" w:ascii="宋体" w:hAnsi="宋体"/>
          <w:color w:val="auto"/>
          <w:sz w:val="24"/>
          <w:szCs w:val="24"/>
        </w:rPr>
        <w:t>址：</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6C05F757">
      <w:pPr>
        <w:adjustRightInd w:val="0"/>
        <w:snapToGrid w:val="0"/>
        <w:spacing w:line="360" w:lineRule="auto"/>
        <w:rPr>
          <w:rFonts w:ascii="宋体" w:hAnsi="宋体"/>
          <w:color w:val="auto"/>
          <w:sz w:val="24"/>
          <w:szCs w:val="24"/>
        </w:rPr>
      </w:pPr>
      <w:r>
        <w:rPr>
          <w:rFonts w:hint="eastAsia" w:ascii="宋体" w:hAnsi="宋体"/>
          <w:color w:val="auto"/>
          <w:sz w:val="24"/>
          <w:szCs w:val="24"/>
        </w:rPr>
        <w:t>邮政编码：</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邮政编码：</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07CAE20B">
      <w:pPr>
        <w:adjustRightInd w:val="0"/>
        <w:snapToGrid w:val="0"/>
        <w:spacing w:line="360" w:lineRule="auto"/>
        <w:rPr>
          <w:rFonts w:ascii="宋体" w:hAnsi="宋体"/>
          <w:color w:val="auto"/>
          <w:sz w:val="24"/>
          <w:szCs w:val="24"/>
        </w:rPr>
      </w:pPr>
      <w:r>
        <w:rPr>
          <w:rFonts w:hint="eastAsia" w:ascii="宋体" w:hAnsi="宋体"/>
          <w:color w:val="auto"/>
          <w:sz w:val="24"/>
          <w:szCs w:val="24"/>
        </w:rPr>
        <w:t>法定代表人：</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法定代表人：</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29D5F842">
      <w:pPr>
        <w:adjustRightInd w:val="0"/>
        <w:snapToGrid w:val="0"/>
        <w:spacing w:line="360" w:lineRule="auto"/>
        <w:rPr>
          <w:rFonts w:ascii="宋体" w:hAnsi="宋体"/>
          <w:color w:val="auto"/>
          <w:sz w:val="24"/>
          <w:szCs w:val="24"/>
        </w:rPr>
      </w:pPr>
      <w:r>
        <w:rPr>
          <w:rFonts w:hint="eastAsia" w:ascii="宋体" w:hAnsi="宋体"/>
          <w:color w:val="auto"/>
          <w:sz w:val="24"/>
          <w:szCs w:val="24"/>
        </w:rPr>
        <w:t>委托代理人：</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委托代理人：</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02608440">
      <w:pPr>
        <w:adjustRightInd w:val="0"/>
        <w:snapToGrid w:val="0"/>
        <w:spacing w:line="360" w:lineRule="auto"/>
        <w:rPr>
          <w:rFonts w:ascii="宋体" w:hAnsi="宋体"/>
          <w:color w:val="auto"/>
          <w:sz w:val="24"/>
          <w:szCs w:val="24"/>
        </w:rPr>
      </w:pPr>
      <w:r>
        <w:rPr>
          <w:rFonts w:hint="eastAsia" w:ascii="宋体" w:hAnsi="宋体"/>
          <w:color w:val="auto"/>
          <w:sz w:val="24"/>
          <w:szCs w:val="24"/>
        </w:rPr>
        <w:t>电</w:t>
      </w:r>
      <w:r>
        <w:rPr>
          <w:rFonts w:ascii="宋体" w:hAnsi="宋体"/>
          <w:color w:val="auto"/>
          <w:sz w:val="24"/>
          <w:szCs w:val="24"/>
        </w:rPr>
        <w:t xml:space="preserve">  </w:t>
      </w:r>
      <w:r>
        <w:rPr>
          <w:rFonts w:hint="eastAsia" w:ascii="宋体" w:hAnsi="宋体"/>
          <w:color w:val="auto"/>
          <w:sz w:val="24"/>
          <w:szCs w:val="24"/>
        </w:rPr>
        <w:t>话：</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电</w:t>
      </w:r>
      <w:r>
        <w:rPr>
          <w:rFonts w:ascii="宋体" w:hAnsi="宋体"/>
          <w:color w:val="auto"/>
          <w:sz w:val="24"/>
          <w:szCs w:val="24"/>
        </w:rPr>
        <w:t xml:space="preserve">  </w:t>
      </w:r>
      <w:r>
        <w:rPr>
          <w:rFonts w:hint="eastAsia" w:ascii="宋体" w:hAnsi="宋体"/>
          <w:color w:val="auto"/>
          <w:sz w:val="24"/>
          <w:szCs w:val="24"/>
        </w:rPr>
        <w:t>话：</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2CD20188">
      <w:pPr>
        <w:adjustRightInd w:val="0"/>
        <w:snapToGrid w:val="0"/>
        <w:spacing w:line="360" w:lineRule="auto"/>
        <w:rPr>
          <w:rFonts w:ascii="宋体" w:hAnsi="宋体"/>
          <w:color w:val="auto"/>
          <w:sz w:val="24"/>
          <w:szCs w:val="24"/>
        </w:rPr>
      </w:pPr>
      <w:r>
        <w:rPr>
          <w:rFonts w:hint="eastAsia" w:ascii="宋体" w:hAnsi="宋体"/>
          <w:color w:val="auto"/>
          <w:sz w:val="24"/>
          <w:szCs w:val="24"/>
        </w:rPr>
        <w:t>传</w:t>
      </w:r>
      <w:r>
        <w:rPr>
          <w:rFonts w:ascii="宋体" w:hAnsi="宋体"/>
          <w:color w:val="auto"/>
          <w:sz w:val="24"/>
          <w:szCs w:val="24"/>
        </w:rPr>
        <w:t xml:space="preserve">  </w:t>
      </w:r>
      <w:r>
        <w:rPr>
          <w:rFonts w:hint="eastAsia" w:ascii="宋体" w:hAnsi="宋体"/>
          <w:color w:val="auto"/>
          <w:sz w:val="24"/>
          <w:szCs w:val="24"/>
        </w:rPr>
        <w:t>真：</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传</w:t>
      </w:r>
      <w:r>
        <w:rPr>
          <w:rFonts w:ascii="宋体" w:hAnsi="宋体"/>
          <w:color w:val="auto"/>
          <w:sz w:val="24"/>
          <w:szCs w:val="24"/>
        </w:rPr>
        <w:t xml:space="preserve">  </w:t>
      </w:r>
      <w:r>
        <w:rPr>
          <w:rFonts w:hint="eastAsia" w:ascii="宋体" w:hAnsi="宋体"/>
          <w:color w:val="auto"/>
          <w:sz w:val="24"/>
          <w:szCs w:val="24"/>
        </w:rPr>
        <w:t>真：</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45398563">
      <w:pPr>
        <w:adjustRightInd w:val="0"/>
        <w:snapToGrid w:val="0"/>
        <w:spacing w:line="360" w:lineRule="auto"/>
        <w:rPr>
          <w:rFonts w:ascii="宋体" w:hAnsi="宋体"/>
          <w:color w:val="auto"/>
          <w:sz w:val="24"/>
          <w:szCs w:val="24"/>
        </w:rPr>
      </w:pPr>
      <w:r>
        <w:rPr>
          <w:rFonts w:hint="eastAsia" w:ascii="宋体" w:hAnsi="宋体"/>
          <w:color w:val="auto"/>
          <w:sz w:val="24"/>
          <w:szCs w:val="24"/>
        </w:rPr>
        <w:t>电子信箱：</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电子信箱：</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4BFC2373">
      <w:pPr>
        <w:adjustRightInd w:val="0"/>
        <w:snapToGrid w:val="0"/>
        <w:spacing w:line="360" w:lineRule="auto"/>
        <w:rPr>
          <w:rFonts w:ascii="宋体" w:hAnsi="宋体"/>
          <w:color w:val="auto"/>
          <w:sz w:val="24"/>
          <w:szCs w:val="24"/>
        </w:rPr>
      </w:pPr>
      <w:r>
        <w:rPr>
          <w:rFonts w:hint="eastAsia" w:ascii="宋体" w:hAnsi="宋体"/>
          <w:color w:val="auto"/>
          <w:sz w:val="24"/>
          <w:szCs w:val="24"/>
        </w:rPr>
        <w:t>开户银行：</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开户银行：</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72FA57B7">
      <w:pPr>
        <w:adjustRightInd w:val="0"/>
        <w:snapToGrid w:val="0"/>
        <w:spacing w:line="360" w:lineRule="auto"/>
        <w:rPr>
          <w:rFonts w:ascii="宋体" w:hAnsi="宋体"/>
          <w:color w:val="auto"/>
          <w:sz w:val="24"/>
          <w:szCs w:val="24"/>
        </w:rPr>
      </w:pPr>
      <w:r>
        <w:rPr>
          <w:rFonts w:hint="eastAsia" w:ascii="宋体" w:hAnsi="宋体"/>
          <w:color w:val="auto"/>
          <w:sz w:val="24"/>
          <w:szCs w:val="24"/>
        </w:rPr>
        <w:t>账</w:t>
      </w:r>
      <w:r>
        <w:rPr>
          <w:rFonts w:ascii="宋体" w:hAnsi="宋体"/>
          <w:color w:val="auto"/>
          <w:sz w:val="24"/>
          <w:szCs w:val="24"/>
        </w:rPr>
        <w:t xml:space="preserve">  </w:t>
      </w:r>
      <w:r>
        <w:rPr>
          <w:rFonts w:hint="eastAsia" w:ascii="宋体" w:hAnsi="宋体"/>
          <w:color w:val="auto"/>
          <w:sz w:val="24"/>
          <w:szCs w:val="24"/>
        </w:rPr>
        <w:t>号：</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hint="eastAsia" w:ascii="宋体" w:hAnsi="宋体" w:cs="宋体"/>
          <w:color w:val="auto"/>
          <w:sz w:val="24"/>
          <w:szCs w:val="24"/>
          <w:u w:val="single"/>
        </w:rPr>
        <w:t></w:t>
      </w:r>
      <w:r>
        <w:rPr>
          <w:rFonts w:ascii="宋体" w:hAnsi="宋体"/>
          <w:color w:val="auto"/>
          <w:sz w:val="24"/>
          <w:szCs w:val="24"/>
          <w:u w:val="single"/>
        </w:rPr>
        <w:t xml:space="preserve">      </w:t>
      </w:r>
      <w:r>
        <w:rPr>
          <w:rFonts w:ascii="宋体" w:hAnsi="宋体"/>
          <w:color w:val="auto"/>
          <w:sz w:val="24"/>
          <w:szCs w:val="24"/>
        </w:rPr>
        <w:t xml:space="preserve">   </w:t>
      </w:r>
      <w:r>
        <w:rPr>
          <w:rFonts w:hint="eastAsia" w:ascii="宋体" w:hAnsi="宋体"/>
          <w:color w:val="auto"/>
          <w:sz w:val="24"/>
          <w:szCs w:val="24"/>
        </w:rPr>
        <w:t xml:space="preserve">             账</w:t>
      </w:r>
      <w:r>
        <w:rPr>
          <w:rFonts w:ascii="宋体" w:hAnsi="宋体"/>
          <w:color w:val="auto"/>
          <w:sz w:val="24"/>
          <w:szCs w:val="24"/>
        </w:rPr>
        <w:t xml:space="preserve">  </w:t>
      </w:r>
      <w:r>
        <w:rPr>
          <w:rFonts w:hint="eastAsia" w:ascii="宋体" w:hAnsi="宋体"/>
          <w:color w:val="auto"/>
          <w:sz w:val="24"/>
          <w:szCs w:val="24"/>
        </w:rPr>
        <w:t>号：</w:t>
      </w:r>
      <w:r>
        <w:rPr>
          <w:rFonts w:hint="eastAsia" w:ascii="宋体" w:hAnsi="宋体" w:cs="宋体"/>
          <w:color w:val="auto"/>
          <w:sz w:val="24"/>
          <w:szCs w:val="24"/>
          <w:u w:val="single"/>
        </w:rPr>
        <w:t></w:t>
      </w:r>
      <w:r>
        <w:rPr>
          <w:rFonts w:ascii="宋体" w:hAnsi="宋体"/>
          <w:color w:val="auto"/>
          <w:sz w:val="24"/>
          <w:szCs w:val="24"/>
          <w:u w:val="single"/>
        </w:rPr>
        <w:t xml:space="preserve">     </w:t>
      </w:r>
    </w:p>
    <w:p w14:paraId="2927307D">
      <w:pPr>
        <w:rPr>
          <w:rFonts w:ascii="宋体" w:hAnsi="宋体"/>
          <w:color w:val="auto"/>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pPr>
    </w:p>
    <w:bookmarkEnd w:id="77"/>
    <w:p w14:paraId="5DC12A0D">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 xml:space="preserve">  </w:t>
      </w:r>
    </w:p>
    <w:p w14:paraId="0114B192">
      <w:pPr>
        <w:adjustRightInd w:val="0"/>
        <w:snapToGrid w:val="0"/>
        <w:spacing w:before="120" w:beforeLines="50" w:after="120" w:afterLines="50" w:line="360" w:lineRule="auto"/>
        <w:jc w:val="center"/>
        <w:outlineLvl w:val="4"/>
        <w:rPr>
          <w:rFonts w:hint="eastAsia" w:ascii="宋体" w:hAnsi="宋体"/>
          <w:b/>
          <w:color w:val="auto"/>
          <w:sz w:val="24"/>
          <w:szCs w:val="24"/>
        </w:rPr>
      </w:pPr>
      <w:r>
        <w:rPr>
          <w:rFonts w:hint="eastAsia" w:ascii="宋体" w:hAnsi="宋体"/>
          <w:b/>
          <w:color w:val="auto"/>
          <w:sz w:val="24"/>
          <w:szCs w:val="24"/>
        </w:rPr>
        <w:t>工程质量保修书</w:t>
      </w:r>
    </w:p>
    <w:p w14:paraId="40A80674">
      <w:pPr>
        <w:adjustRightInd w:val="0"/>
        <w:snapToGrid w:val="0"/>
        <w:spacing w:line="360" w:lineRule="auto"/>
        <w:ind w:firstLine="480" w:firstLineChars="200"/>
        <w:rPr>
          <w:rFonts w:hint="eastAsia" w:ascii="宋体" w:hAnsi="宋体"/>
          <w:color w:val="auto"/>
          <w:sz w:val="24"/>
          <w:szCs w:val="24"/>
        </w:rPr>
      </w:pPr>
      <w:r>
        <w:rPr>
          <w:rFonts w:hint="eastAsia" w:ascii="宋体" w:hAnsi="宋体"/>
          <w:color w:val="auto"/>
          <w:sz w:val="24"/>
          <w:szCs w:val="24"/>
        </w:rPr>
        <w:t>发包人（全称）：</w:t>
      </w:r>
      <w:r>
        <w:rPr>
          <w:rFonts w:hint="eastAsia" w:ascii="宋体" w:hAnsi="宋体"/>
          <w:color w:val="auto"/>
          <w:sz w:val="24"/>
          <w:szCs w:val="24"/>
          <w:u w:val="single"/>
        </w:rPr>
        <w:t xml:space="preserve">                                </w:t>
      </w:r>
      <w:r>
        <w:rPr>
          <w:rFonts w:hint="eastAsia" w:ascii="宋体" w:hAnsi="宋体"/>
          <w:color w:val="auto"/>
          <w:sz w:val="24"/>
          <w:szCs w:val="24"/>
        </w:rPr>
        <w:t xml:space="preserve"> </w:t>
      </w:r>
    </w:p>
    <w:p w14:paraId="5670D1B6">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　　承包人（全称）：</w:t>
      </w:r>
      <w:r>
        <w:rPr>
          <w:rFonts w:hint="eastAsia" w:ascii="宋体" w:hAnsi="宋体"/>
          <w:color w:val="auto"/>
          <w:sz w:val="24"/>
          <w:szCs w:val="24"/>
          <w:u w:val="single"/>
        </w:rPr>
        <w:t xml:space="preserve">                                </w:t>
      </w:r>
      <w:r>
        <w:rPr>
          <w:rFonts w:hint="eastAsia" w:ascii="宋体" w:hAnsi="宋体"/>
          <w:color w:val="auto"/>
          <w:sz w:val="24"/>
          <w:szCs w:val="24"/>
        </w:rPr>
        <w:t xml:space="preserve"> </w:t>
      </w:r>
    </w:p>
    <w:p w14:paraId="2C401E0E">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　　发包人和承包人根据《中华人民共和国建筑法》和《建设工程质量管理条例》，经协商一致就</w:t>
      </w:r>
      <w:r>
        <w:rPr>
          <w:rFonts w:hint="eastAsia" w:ascii="宋体" w:hAnsi="宋体"/>
          <w:color w:val="auto"/>
          <w:sz w:val="24"/>
          <w:szCs w:val="24"/>
          <w:u w:val="single"/>
        </w:rPr>
        <w:t xml:space="preserve">                </w:t>
      </w:r>
      <w:r>
        <w:rPr>
          <w:rFonts w:hint="eastAsia" w:ascii="宋体" w:hAnsi="宋体"/>
          <w:color w:val="auto"/>
          <w:sz w:val="24"/>
          <w:szCs w:val="24"/>
        </w:rPr>
        <w:t>（工程全称）签订工程质量保修书。</w:t>
      </w:r>
    </w:p>
    <w:p w14:paraId="73B56351">
      <w:pPr>
        <w:adjustRightInd w:val="0"/>
        <w:snapToGrid w:val="0"/>
        <w:spacing w:line="360" w:lineRule="auto"/>
        <w:outlineLvl w:val="4"/>
        <w:rPr>
          <w:rFonts w:hint="eastAsia" w:ascii="宋体" w:hAnsi="宋体"/>
          <w:color w:val="auto"/>
          <w:sz w:val="24"/>
          <w:szCs w:val="24"/>
        </w:rPr>
      </w:pPr>
      <w:r>
        <w:rPr>
          <w:rFonts w:hint="eastAsia" w:ascii="宋体" w:hAnsi="宋体"/>
          <w:color w:val="auto"/>
          <w:sz w:val="24"/>
          <w:szCs w:val="24"/>
        </w:rPr>
        <w:t>　　一、工程质量保修范围和内容</w:t>
      </w:r>
    </w:p>
    <w:p w14:paraId="6A4A3F92">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　　承包人在质量保修期内，按照有关法律规定和合同约定，承担工程质量保修责任。</w:t>
      </w:r>
    </w:p>
    <w:p w14:paraId="3CAFE9CB">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05A61F6">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　　</w:t>
      </w:r>
      <w:r>
        <w:rPr>
          <w:rFonts w:hint="eastAsia" w:ascii="宋体" w:hAnsi="宋体"/>
          <w:color w:val="auto"/>
          <w:sz w:val="24"/>
          <w:szCs w:val="24"/>
          <w:u w:val="single"/>
        </w:rPr>
        <w:t xml:space="preserve">                                                                            </w:t>
      </w:r>
    </w:p>
    <w:p w14:paraId="2FFE22EC">
      <w:pPr>
        <w:adjustRightInd w:val="0"/>
        <w:snapToGrid w:val="0"/>
        <w:spacing w:line="360" w:lineRule="auto"/>
        <w:outlineLvl w:val="4"/>
        <w:rPr>
          <w:rFonts w:hint="eastAsia" w:ascii="宋体" w:hAnsi="宋体"/>
          <w:color w:val="auto"/>
          <w:sz w:val="24"/>
          <w:szCs w:val="24"/>
        </w:rPr>
      </w:pPr>
      <w:r>
        <w:rPr>
          <w:rFonts w:hint="eastAsia" w:ascii="宋体" w:hAnsi="宋体"/>
          <w:b/>
          <w:color w:val="auto"/>
          <w:sz w:val="24"/>
          <w:szCs w:val="24"/>
        </w:rPr>
        <w:t>　　</w:t>
      </w:r>
      <w:r>
        <w:rPr>
          <w:rFonts w:hint="eastAsia" w:ascii="宋体" w:hAnsi="宋体"/>
          <w:color w:val="auto"/>
          <w:sz w:val="24"/>
          <w:szCs w:val="24"/>
        </w:rPr>
        <w:t>二、质量保修期</w:t>
      </w:r>
    </w:p>
    <w:p w14:paraId="5EDBF04D">
      <w:pPr>
        <w:adjustRightInd w:val="0"/>
        <w:snapToGrid w:val="0"/>
        <w:spacing w:line="360" w:lineRule="auto"/>
        <w:ind w:firstLine="480" w:firstLineChars="200"/>
        <w:rPr>
          <w:rFonts w:hint="eastAsia" w:ascii="宋体" w:hAnsi="宋体"/>
          <w:color w:val="auto"/>
          <w:sz w:val="24"/>
          <w:szCs w:val="24"/>
        </w:rPr>
      </w:pPr>
      <w:r>
        <w:rPr>
          <w:rFonts w:hint="eastAsia" w:ascii="宋体" w:hAnsi="宋体"/>
          <w:color w:val="auto"/>
          <w:sz w:val="24"/>
          <w:szCs w:val="24"/>
        </w:rPr>
        <w:t>根据《建设工程质量管理条例》及有关规定，工程的质量保修期如下：</w:t>
      </w:r>
    </w:p>
    <w:p w14:paraId="2F979AE8">
      <w:pPr>
        <w:adjustRightInd w:val="0"/>
        <w:snapToGrid w:val="0"/>
        <w:spacing w:line="360" w:lineRule="auto"/>
        <w:ind w:firstLine="480" w:firstLineChars="200"/>
        <w:rPr>
          <w:rFonts w:hint="eastAsia" w:ascii="宋体" w:hAnsi="宋体"/>
          <w:color w:val="auto"/>
          <w:sz w:val="24"/>
          <w:szCs w:val="24"/>
        </w:rPr>
      </w:pPr>
      <w:r>
        <w:rPr>
          <w:rFonts w:hint="eastAsia" w:ascii="宋体" w:hAnsi="宋体"/>
          <w:color w:val="auto"/>
          <w:sz w:val="24"/>
          <w:szCs w:val="24"/>
        </w:rPr>
        <w:t>1．地基基础工程和主体结构工程为设计文件规定的工程合理使用年限；</w:t>
      </w:r>
    </w:p>
    <w:p w14:paraId="715597A0">
      <w:pPr>
        <w:adjustRightInd w:val="0"/>
        <w:snapToGrid w:val="0"/>
        <w:spacing w:line="360" w:lineRule="auto"/>
        <w:ind w:firstLine="480" w:firstLineChars="200"/>
        <w:rPr>
          <w:rFonts w:hint="eastAsia" w:ascii="宋体" w:hAnsi="宋体"/>
          <w:color w:val="auto"/>
          <w:sz w:val="24"/>
          <w:szCs w:val="24"/>
        </w:rPr>
      </w:pPr>
      <w:r>
        <w:rPr>
          <w:rFonts w:hint="eastAsia" w:ascii="宋体" w:hAnsi="宋体"/>
          <w:color w:val="auto"/>
          <w:sz w:val="24"/>
          <w:szCs w:val="24"/>
        </w:rPr>
        <w:t>2．屋面防水工程、有防水要求的卫生间、房间和外墙面的防渗为</w:t>
      </w:r>
      <w:r>
        <w:rPr>
          <w:rFonts w:hint="eastAsia" w:ascii="宋体" w:hAnsi="宋体"/>
          <w:color w:val="auto"/>
          <w:sz w:val="24"/>
          <w:szCs w:val="24"/>
          <w:u w:val="single"/>
        </w:rPr>
        <w:t xml:space="preserve">   5     </w:t>
      </w:r>
      <w:r>
        <w:rPr>
          <w:rFonts w:hint="eastAsia" w:ascii="宋体" w:hAnsi="宋体"/>
          <w:color w:val="auto"/>
          <w:sz w:val="24"/>
          <w:szCs w:val="24"/>
        </w:rPr>
        <w:t>年；</w:t>
      </w:r>
    </w:p>
    <w:p w14:paraId="6453E4AF">
      <w:pPr>
        <w:adjustRightInd w:val="0"/>
        <w:snapToGrid w:val="0"/>
        <w:spacing w:line="360" w:lineRule="auto"/>
        <w:ind w:firstLine="480" w:firstLineChars="200"/>
        <w:outlineLvl w:val="2"/>
        <w:rPr>
          <w:rFonts w:hint="eastAsia" w:ascii="宋体" w:hAnsi="宋体"/>
          <w:color w:val="auto"/>
          <w:sz w:val="24"/>
          <w:szCs w:val="24"/>
        </w:rPr>
      </w:pPr>
      <w:r>
        <w:rPr>
          <w:rFonts w:hint="eastAsia" w:ascii="宋体" w:hAnsi="宋体"/>
          <w:color w:val="auto"/>
          <w:sz w:val="24"/>
          <w:szCs w:val="24"/>
        </w:rPr>
        <w:t>3．装修工程为</w:t>
      </w:r>
      <w:r>
        <w:rPr>
          <w:rFonts w:hint="eastAsia" w:ascii="宋体" w:hAnsi="宋体"/>
          <w:color w:val="auto"/>
          <w:sz w:val="24"/>
          <w:szCs w:val="24"/>
          <w:u w:val="single"/>
        </w:rPr>
        <w:t xml:space="preserve">    2     </w:t>
      </w:r>
      <w:r>
        <w:rPr>
          <w:rFonts w:hint="eastAsia" w:ascii="宋体" w:hAnsi="宋体"/>
          <w:color w:val="auto"/>
          <w:sz w:val="24"/>
          <w:szCs w:val="24"/>
        </w:rPr>
        <w:t>年；</w:t>
      </w:r>
    </w:p>
    <w:p w14:paraId="41C8927B">
      <w:pPr>
        <w:adjustRightInd w:val="0"/>
        <w:snapToGrid w:val="0"/>
        <w:spacing w:line="360" w:lineRule="auto"/>
        <w:ind w:firstLine="480" w:firstLineChars="200"/>
        <w:rPr>
          <w:rFonts w:hint="eastAsia" w:ascii="宋体" w:hAnsi="宋体"/>
          <w:color w:val="auto"/>
          <w:sz w:val="24"/>
          <w:szCs w:val="24"/>
        </w:rPr>
      </w:pPr>
      <w:r>
        <w:rPr>
          <w:rFonts w:hint="eastAsia" w:ascii="宋体" w:hAnsi="宋体"/>
          <w:color w:val="auto"/>
          <w:sz w:val="24"/>
          <w:szCs w:val="24"/>
        </w:rPr>
        <w:t>4．电气管线、给排水管道、设备安装工程为</w:t>
      </w:r>
      <w:r>
        <w:rPr>
          <w:rFonts w:hint="eastAsia" w:ascii="宋体" w:hAnsi="宋体"/>
          <w:color w:val="auto"/>
          <w:sz w:val="24"/>
          <w:szCs w:val="24"/>
          <w:u w:val="single"/>
        </w:rPr>
        <w:t xml:space="preserve">     2    </w:t>
      </w:r>
      <w:r>
        <w:rPr>
          <w:rFonts w:hint="eastAsia" w:ascii="宋体" w:hAnsi="宋体"/>
          <w:color w:val="auto"/>
          <w:sz w:val="24"/>
          <w:szCs w:val="24"/>
        </w:rPr>
        <w:t>年；</w:t>
      </w:r>
    </w:p>
    <w:p w14:paraId="5EE9BCAA">
      <w:pPr>
        <w:adjustRightInd w:val="0"/>
        <w:snapToGrid w:val="0"/>
        <w:spacing w:line="360" w:lineRule="auto"/>
        <w:ind w:firstLine="480" w:firstLineChars="200"/>
        <w:outlineLvl w:val="2"/>
        <w:rPr>
          <w:rFonts w:hint="eastAsia" w:ascii="宋体" w:hAnsi="宋体"/>
          <w:color w:val="auto"/>
          <w:sz w:val="24"/>
          <w:szCs w:val="24"/>
        </w:rPr>
      </w:pPr>
      <w:r>
        <w:rPr>
          <w:rFonts w:hint="eastAsia" w:ascii="宋体" w:hAnsi="宋体"/>
          <w:color w:val="auto"/>
          <w:sz w:val="24"/>
          <w:szCs w:val="24"/>
        </w:rPr>
        <w:t>5．供热与供冷系统为</w:t>
      </w:r>
      <w:r>
        <w:rPr>
          <w:rFonts w:hint="eastAsia" w:ascii="宋体" w:hAnsi="宋体"/>
          <w:color w:val="auto"/>
          <w:sz w:val="24"/>
          <w:szCs w:val="24"/>
          <w:u w:val="single"/>
        </w:rPr>
        <w:t xml:space="preserve">     2    </w:t>
      </w:r>
      <w:r>
        <w:rPr>
          <w:rFonts w:hint="eastAsia" w:ascii="宋体" w:hAnsi="宋体"/>
          <w:color w:val="auto"/>
          <w:sz w:val="24"/>
          <w:szCs w:val="24"/>
        </w:rPr>
        <w:t>个采暖期、供冷期；</w:t>
      </w:r>
    </w:p>
    <w:p w14:paraId="466CDD93">
      <w:pPr>
        <w:adjustRightInd w:val="0"/>
        <w:snapToGrid w:val="0"/>
        <w:spacing w:line="360" w:lineRule="auto"/>
        <w:ind w:firstLine="480" w:firstLineChars="200"/>
        <w:rPr>
          <w:rFonts w:hint="eastAsia" w:ascii="宋体" w:hAnsi="宋体"/>
          <w:color w:val="auto"/>
          <w:sz w:val="24"/>
          <w:szCs w:val="24"/>
        </w:rPr>
      </w:pPr>
      <w:r>
        <w:rPr>
          <w:rFonts w:hint="eastAsia" w:ascii="宋体" w:hAnsi="宋体"/>
          <w:color w:val="auto"/>
          <w:sz w:val="24"/>
          <w:szCs w:val="24"/>
        </w:rPr>
        <w:t>6．住宅小区内的给排水设施、道路等配套工程为</w:t>
      </w:r>
      <w:r>
        <w:rPr>
          <w:rFonts w:hint="eastAsia" w:ascii="宋体" w:hAnsi="宋体"/>
          <w:color w:val="auto"/>
          <w:sz w:val="24"/>
          <w:szCs w:val="24"/>
          <w:u w:val="single"/>
        </w:rPr>
        <w:t xml:space="preserve">    2     </w:t>
      </w:r>
      <w:r>
        <w:rPr>
          <w:rFonts w:hint="eastAsia" w:ascii="宋体" w:hAnsi="宋体"/>
          <w:color w:val="auto"/>
          <w:sz w:val="24"/>
          <w:szCs w:val="24"/>
        </w:rPr>
        <w:t>年；</w:t>
      </w:r>
    </w:p>
    <w:p w14:paraId="70EB21B9">
      <w:pPr>
        <w:adjustRightInd w:val="0"/>
        <w:snapToGrid w:val="0"/>
        <w:spacing w:line="360" w:lineRule="auto"/>
        <w:ind w:firstLine="480" w:firstLineChars="200"/>
        <w:rPr>
          <w:rFonts w:hint="eastAsia" w:ascii="宋体" w:hAnsi="宋体"/>
          <w:color w:val="auto"/>
          <w:sz w:val="24"/>
          <w:szCs w:val="24"/>
        </w:rPr>
      </w:pPr>
      <w:r>
        <w:rPr>
          <w:rFonts w:hint="eastAsia" w:ascii="宋体" w:hAnsi="宋体"/>
          <w:color w:val="auto"/>
          <w:sz w:val="24"/>
          <w:szCs w:val="24"/>
        </w:rPr>
        <w:t>7．其他项目保修期限约定如下：</w:t>
      </w:r>
      <w:r>
        <w:rPr>
          <w:rFonts w:hint="eastAsia" w:ascii="宋体" w:hAnsi="宋体"/>
          <w:color w:val="auto"/>
          <w:sz w:val="24"/>
          <w:szCs w:val="24"/>
          <w:u w:val="single"/>
        </w:rPr>
        <w:t xml:space="preserve">     保温工程5年        </w:t>
      </w:r>
      <w:r>
        <w:rPr>
          <w:rFonts w:hint="eastAsia" w:ascii="宋体" w:hAnsi="宋体"/>
          <w:color w:val="auto"/>
          <w:sz w:val="24"/>
          <w:szCs w:val="24"/>
        </w:rPr>
        <w:t>。</w:t>
      </w:r>
    </w:p>
    <w:p w14:paraId="0D38C44C">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　　质量保修期自工程竣工验收合格之日起计算。</w:t>
      </w:r>
    </w:p>
    <w:p w14:paraId="1D7CC082">
      <w:pPr>
        <w:adjustRightInd w:val="0"/>
        <w:snapToGrid w:val="0"/>
        <w:spacing w:line="360" w:lineRule="auto"/>
        <w:ind w:firstLine="480" w:firstLineChars="200"/>
        <w:outlineLvl w:val="3"/>
        <w:rPr>
          <w:rFonts w:hint="eastAsia" w:ascii="宋体" w:hAnsi="宋体"/>
          <w:color w:val="auto"/>
          <w:sz w:val="24"/>
          <w:szCs w:val="24"/>
        </w:rPr>
      </w:pPr>
      <w:r>
        <w:rPr>
          <w:rFonts w:hint="eastAsia" w:ascii="宋体" w:hAnsi="宋体"/>
          <w:color w:val="auto"/>
          <w:sz w:val="24"/>
          <w:szCs w:val="24"/>
        </w:rPr>
        <w:t>三、缺陷责任期</w:t>
      </w:r>
    </w:p>
    <w:p w14:paraId="6C05544C">
      <w:pPr>
        <w:adjustRightInd w:val="0"/>
        <w:snapToGrid w:val="0"/>
        <w:spacing w:line="360" w:lineRule="auto"/>
        <w:ind w:firstLine="482" w:firstLineChars="200"/>
        <w:rPr>
          <w:rFonts w:hint="eastAsia" w:ascii="宋体" w:hAnsi="宋体"/>
          <w:color w:val="auto"/>
          <w:sz w:val="24"/>
          <w:szCs w:val="24"/>
        </w:rPr>
      </w:pPr>
      <w:r>
        <w:rPr>
          <w:rFonts w:hint="eastAsia" w:ascii="宋体" w:hAnsi="宋体"/>
          <w:b/>
          <w:color w:val="auto"/>
          <w:sz w:val="24"/>
          <w:szCs w:val="24"/>
        </w:rPr>
        <w:t>工程缺陷责任期为</w:t>
      </w:r>
      <w:r>
        <w:rPr>
          <w:rFonts w:hint="eastAsia" w:ascii="宋体" w:hAnsi="宋体"/>
          <w:b/>
          <w:color w:val="auto"/>
          <w:sz w:val="24"/>
          <w:szCs w:val="24"/>
          <w:u w:val="single"/>
        </w:rPr>
        <w:t xml:space="preserve">  24个月   </w:t>
      </w:r>
      <w:r>
        <w:rPr>
          <w:rFonts w:hint="eastAsia" w:ascii="宋体" w:hAnsi="宋体"/>
          <w:b/>
          <w:color w:val="auto"/>
          <w:sz w:val="24"/>
          <w:szCs w:val="24"/>
        </w:rPr>
        <w:t>，</w:t>
      </w:r>
      <w:r>
        <w:rPr>
          <w:rFonts w:hint="eastAsia" w:ascii="宋体" w:hAnsi="宋体"/>
          <w:color w:val="auto"/>
          <w:sz w:val="24"/>
          <w:szCs w:val="24"/>
        </w:rPr>
        <w:t>缺陷责任期自工程竣工验收合格之日起计算。单位工程先于全部工程进行验收，单位工程缺陷责任期自单位工程验收合格之日起算。</w:t>
      </w:r>
    </w:p>
    <w:p w14:paraId="314631B4">
      <w:pPr>
        <w:adjustRightInd w:val="0"/>
        <w:snapToGrid w:val="0"/>
        <w:spacing w:line="360" w:lineRule="auto"/>
        <w:ind w:firstLine="480" w:firstLineChars="200"/>
        <w:rPr>
          <w:rFonts w:hint="eastAsia" w:ascii="宋体" w:hAnsi="宋体"/>
          <w:color w:val="auto"/>
          <w:sz w:val="24"/>
          <w:szCs w:val="24"/>
        </w:rPr>
      </w:pPr>
      <w:r>
        <w:rPr>
          <w:rFonts w:hint="eastAsia" w:ascii="宋体" w:hAnsi="宋体"/>
          <w:color w:val="auto"/>
          <w:sz w:val="24"/>
          <w:szCs w:val="24"/>
        </w:rPr>
        <w:t>缺陷责任期终止后，发包人应退还剩余的质量保证金。</w:t>
      </w:r>
    </w:p>
    <w:p w14:paraId="090B2CB0">
      <w:pPr>
        <w:adjustRightInd w:val="0"/>
        <w:snapToGrid w:val="0"/>
        <w:spacing w:line="360" w:lineRule="auto"/>
        <w:outlineLvl w:val="3"/>
        <w:rPr>
          <w:rFonts w:hint="eastAsia" w:ascii="宋体" w:hAnsi="宋体"/>
          <w:color w:val="auto"/>
          <w:sz w:val="24"/>
          <w:szCs w:val="24"/>
        </w:rPr>
      </w:pPr>
      <w:r>
        <w:rPr>
          <w:rFonts w:hint="eastAsia" w:ascii="宋体" w:hAnsi="宋体"/>
          <w:color w:val="auto"/>
          <w:sz w:val="24"/>
          <w:szCs w:val="24"/>
        </w:rPr>
        <w:t xml:space="preserve">    四、质量保修责任</w:t>
      </w:r>
    </w:p>
    <w:p w14:paraId="77711084">
      <w:pPr>
        <w:adjustRightInd w:val="0"/>
        <w:snapToGrid w:val="0"/>
        <w:spacing w:line="360" w:lineRule="auto"/>
        <w:ind w:firstLine="491" w:firstLineChars="205"/>
        <w:rPr>
          <w:rFonts w:hint="eastAsia" w:ascii="宋体" w:hAnsi="宋体"/>
          <w:color w:val="auto"/>
          <w:sz w:val="24"/>
          <w:szCs w:val="24"/>
        </w:rPr>
      </w:pPr>
      <w:r>
        <w:rPr>
          <w:rFonts w:hint="eastAsia" w:ascii="宋体" w:hAnsi="宋体"/>
          <w:color w:val="auto"/>
          <w:sz w:val="24"/>
          <w:szCs w:val="24"/>
        </w:rPr>
        <w:t>1．属于保修范围、内容的项目，承包人应当在接到保修通知之日起7天内派人保修。承包人不在约定期限内派人保修的，发包人可以委托他人修理。</w:t>
      </w:r>
    </w:p>
    <w:p w14:paraId="612EAE3F">
      <w:pPr>
        <w:adjustRightInd w:val="0"/>
        <w:snapToGrid w:val="0"/>
        <w:spacing w:line="360" w:lineRule="auto"/>
        <w:ind w:firstLine="491" w:firstLineChars="205"/>
        <w:rPr>
          <w:rFonts w:hint="eastAsia" w:ascii="宋体" w:hAnsi="宋体"/>
          <w:color w:val="auto"/>
          <w:sz w:val="24"/>
          <w:szCs w:val="24"/>
        </w:rPr>
      </w:pPr>
      <w:r>
        <w:rPr>
          <w:rFonts w:hint="eastAsia" w:ascii="宋体" w:hAnsi="宋体"/>
          <w:color w:val="auto"/>
          <w:sz w:val="24"/>
          <w:szCs w:val="24"/>
        </w:rPr>
        <w:t>2．发生紧急事故需抢修的，承包人在接到事故通知后，应当立即到达事故现场抢修。</w:t>
      </w:r>
    </w:p>
    <w:p w14:paraId="2964035F">
      <w:pPr>
        <w:adjustRightInd w:val="0"/>
        <w:snapToGrid w:val="0"/>
        <w:spacing w:line="360" w:lineRule="auto"/>
        <w:ind w:firstLine="491" w:firstLineChars="205"/>
        <w:rPr>
          <w:rFonts w:hint="eastAsia" w:ascii="宋体" w:hAnsi="宋体"/>
          <w:color w:val="auto"/>
          <w:sz w:val="24"/>
          <w:szCs w:val="24"/>
        </w:rPr>
      </w:pPr>
      <w:r>
        <w:rPr>
          <w:rFonts w:hint="eastAsia" w:ascii="宋体" w:hAnsi="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F90B429">
      <w:pPr>
        <w:adjustRightInd w:val="0"/>
        <w:snapToGrid w:val="0"/>
        <w:spacing w:line="360" w:lineRule="auto"/>
        <w:ind w:firstLine="491" w:firstLineChars="205"/>
        <w:outlineLvl w:val="2"/>
        <w:rPr>
          <w:rFonts w:hint="eastAsia" w:ascii="宋体" w:hAnsi="宋体"/>
          <w:color w:val="auto"/>
          <w:sz w:val="24"/>
          <w:szCs w:val="24"/>
        </w:rPr>
      </w:pPr>
      <w:r>
        <w:rPr>
          <w:rFonts w:hint="eastAsia" w:ascii="宋体" w:hAnsi="宋体"/>
          <w:color w:val="auto"/>
          <w:sz w:val="24"/>
          <w:szCs w:val="24"/>
        </w:rPr>
        <w:t>4．质量保修完成后，由发包人组织验收。</w:t>
      </w:r>
    </w:p>
    <w:p w14:paraId="1CBCC5EB">
      <w:pPr>
        <w:adjustRightInd w:val="0"/>
        <w:snapToGrid w:val="0"/>
        <w:spacing w:line="360" w:lineRule="auto"/>
        <w:outlineLvl w:val="3"/>
        <w:rPr>
          <w:rFonts w:hint="eastAsia" w:ascii="宋体" w:hAnsi="宋体"/>
          <w:color w:val="auto"/>
          <w:sz w:val="24"/>
          <w:szCs w:val="24"/>
        </w:rPr>
      </w:pPr>
      <w:r>
        <w:rPr>
          <w:rFonts w:hint="eastAsia" w:ascii="宋体" w:hAnsi="宋体"/>
          <w:color w:val="auto"/>
          <w:sz w:val="24"/>
          <w:szCs w:val="24"/>
        </w:rPr>
        <w:t>　　五、保修费用</w:t>
      </w:r>
    </w:p>
    <w:p w14:paraId="6037327A">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　　保修费用由造成质量缺陷的责任方承担。</w:t>
      </w:r>
    </w:p>
    <w:p w14:paraId="3853FDB7">
      <w:pPr>
        <w:adjustRightInd w:val="0"/>
        <w:snapToGrid w:val="0"/>
        <w:spacing w:line="360" w:lineRule="auto"/>
        <w:ind w:firstLine="600"/>
        <w:rPr>
          <w:rFonts w:hint="eastAsia" w:ascii="宋体" w:hAnsi="宋体"/>
          <w:color w:val="auto"/>
          <w:sz w:val="24"/>
          <w:szCs w:val="24"/>
        </w:rPr>
      </w:pPr>
      <w:r>
        <w:rPr>
          <w:rFonts w:hint="eastAsia" w:ascii="宋体" w:hAnsi="宋体"/>
          <w:b/>
          <w:color w:val="auto"/>
          <w:sz w:val="24"/>
          <w:szCs w:val="24"/>
        </w:rPr>
        <w:t>六</w:t>
      </w:r>
      <w:r>
        <w:rPr>
          <w:rFonts w:hint="eastAsia" w:ascii="宋体" w:hAnsi="宋体"/>
          <w:color w:val="auto"/>
          <w:sz w:val="24"/>
          <w:szCs w:val="24"/>
        </w:rPr>
        <w:t>、双方约定的其他工程质量保修事项：</w:t>
      </w:r>
      <w:r>
        <w:rPr>
          <w:rFonts w:hint="eastAsia" w:ascii="宋体" w:hAnsi="宋体"/>
          <w:color w:val="auto"/>
          <w:sz w:val="24"/>
          <w:szCs w:val="24"/>
          <w:u w:val="single"/>
        </w:rPr>
        <w:t xml:space="preserve">             </w:t>
      </w:r>
      <w:r>
        <w:rPr>
          <w:rFonts w:hint="eastAsia" w:ascii="宋体" w:hAnsi="宋体"/>
          <w:color w:val="auto"/>
          <w:sz w:val="24"/>
          <w:szCs w:val="24"/>
        </w:rPr>
        <w:t>。</w:t>
      </w:r>
    </w:p>
    <w:p w14:paraId="3061352A">
      <w:pPr>
        <w:adjustRightInd w:val="0"/>
        <w:snapToGrid w:val="0"/>
        <w:spacing w:line="360" w:lineRule="auto"/>
        <w:ind w:firstLine="456" w:firstLineChars="190"/>
        <w:rPr>
          <w:rFonts w:hint="eastAsia" w:ascii="宋体" w:hAnsi="宋体"/>
          <w:color w:val="auto"/>
          <w:sz w:val="24"/>
          <w:szCs w:val="24"/>
        </w:rPr>
      </w:pPr>
      <w:r>
        <w:rPr>
          <w:rFonts w:hint="eastAsia" w:ascii="宋体" w:hAnsi="宋体"/>
          <w:color w:val="auto"/>
          <w:sz w:val="24"/>
          <w:szCs w:val="24"/>
        </w:rPr>
        <w:t>工程质量保修书由发包人、承包人在工程竣工验收前共同签署，作为施工合同附件，其有效期限至保修期满。</w:t>
      </w:r>
    </w:p>
    <w:p w14:paraId="147C55E3">
      <w:pPr>
        <w:adjustRightInd w:val="0"/>
        <w:snapToGrid w:val="0"/>
        <w:spacing w:line="360" w:lineRule="auto"/>
        <w:ind w:firstLine="420"/>
        <w:rPr>
          <w:rFonts w:hint="eastAsia" w:ascii="宋体" w:hAnsi="宋体"/>
          <w:color w:val="auto"/>
          <w:sz w:val="24"/>
          <w:szCs w:val="24"/>
        </w:rPr>
      </w:pPr>
    </w:p>
    <w:p w14:paraId="35240B84">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发包人(公章)：</w:t>
      </w:r>
      <w:r>
        <w:rPr>
          <w:rFonts w:hint="eastAsia" w:ascii="宋体" w:hAnsi="宋体"/>
          <w:color w:val="auto"/>
          <w:sz w:val="24"/>
          <w:szCs w:val="24"/>
          <w:u w:val="single"/>
        </w:rPr>
        <w:t xml:space="preserve"> </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承包人(公章)：</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66CB4DDC">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地  址：</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6E46AEDC">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法定代表人(签字)：</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法定代表人(签字)：</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5C589F04">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委托代理人(签字)：</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委托代理人(签字)：</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4FA88F85">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电  话：</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电  话：</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011A4639">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传  真：</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传  真：</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6F455D10">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开户银行：</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开户银行：</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124ADBED">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账  号：</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账  号：</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6A3D08C4">
      <w:pPr>
        <w:adjustRightInd w:val="0"/>
        <w:snapToGrid w:val="0"/>
        <w:spacing w:line="360" w:lineRule="auto"/>
        <w:rPr>
          <w:rFonts w:hint="eastAsia" w:ascii="宋体" w:hAnsi="宋体"/>
          <w:color w:val="auto"/>
          <w:sz w:val="24"/>
          <w:szCs w:val="24"/>
        </w:rPr>
      </w:pPr>
      <w:r>
        <w:rPr>
          <w:rFonts w:hint="eastAsia" w:ascii="宋体" w:hAnsi="宋体"/>
          <w:color w:val="auto"/>
          <w:sz w:val="24"/>
          <w:szCs w:val="24"/>
        </w:rPr>
        <w:t>邮政编码：</w:t>
      </w:r>
      <w:r>
        <w:rPr>
          <w:rFonts w:hint="eastAsia" w:ascii="宋体" w:hAnsi="宋体"/>
          <w:color w:val="auto"/>
          <w:sz w:val="24"/>
          <w:szCs w:val="24"/>
          <w:u w:val="single"/>
        </w:rPr>
        <w:t xml:space="preserve"> </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r>
        <w:rPr>
          <w:rFonts w:hint="eastAsia" w:ascii="宋体" w:hAnsi="宋体"/>
          <w:color w:val="auto"/>
          <w:sz w:val="24"/>
          <w:szCs w:val="24"/>
        </w:rPr>
        <w:t xml:space="preserve"> 邮政编码：</w:t>
      </w:r>
      <w:r>
        <w:rPr>
          <w:rFonts w:hint="eastAsia" w:ascii="宋体" w:hAnsi="宋体" w:cs="宋体"/>
          <w:color w:val="auto"/>
          <w:sz w:val="24"/>
          <w:szCs w:val="24"/>
          <w:u w:val="single"/>
        </w:rPr>
        <w:t></w:t>
      </w:r>
      <w:r>
        <w:rPr>
          <w:rFonts w:hint="eastAsia" w:ascii="宋体" w:hAnsi="宋体"/>
          <w:color w:val="auto"/>
          <w:sz w:val="24"/>
          <w:szCs w:val="24"/>
          <w:u w:val="single"/>
        </w:rPr>
        <w:t xml:space="preserve">   </w:t>
      </w:r>
    </w:p>
    <w:p w14:paraId="6F10B6E4">
      <w:pPr>
        <w:spacing w:before="100" w:beforeLines="50" w:beforeAutospacing="1" w:after="100" w:afterLines="30" w:afterAutospacing="1" w:line="360" w:lineRule="auto"/>
        <w:rPr>
          <w:rFonts w:ascii="宋体" w:hAnsi="宋体"/>
          <w:color w:val="auto"/>
          <w:sz w:val="24"/>
          <w:szCs w:val="27"/>
        </w:rPr>
      </w:pPr>
    </w:p>
    <w:p w14:paraId="1CB2E234">
      <w:pPr>
        <w:spacing w:before="120" w:beforeLines="50" w:after="72" w:afterLines="30" w:line="360" w:lineRule="auto"/>
        <w:rPr>
          <w:rFonts w:ascii="宋体" w:hAnsi="宋体"/>
          <w:color w:val="auto"/>
          <w:sz w:val="24"/>
          <w:szCs w:val="27"/>
        </w:rPr>
      </w:pPr>
      <w:r>
        <w:rPr>
          <w:rFonts w:hint="eastAsia" w:ascii="宋体" w:hAnsi="宋体" w:cs="宋体"/>
          <w:b/>
          <w:color w:val="auto"/>
          <w:kern w:val="0"/>
          <w:sz w:val="24"/>
          <w:szCs w:val="24"/>
        </w:rPr>
        <w:t>备注：本合同的约定如与本项目招标文件的投标人须知前附表和招标需求的约定不一致的地方，以投标人须知前附表和招标需求的约定为准。</w:t>
      </w:r>
    </w:p>
    <w:p w14:paraId="1342D21F">
      <w:pPr>
        <w:spacing w:line="360" w:lineRule="auto"/>
        <w:rPr>
          <w:rFonts w:hint="eastAsia"/>
          <w:color w:val="auto"/>
        </w:rPr>
      </w:pPr>
    </w:p>
    <w:p w14:paraId="491FAE7D">
      <w:pPr>
        <w:spacing w:line="360" w:lineRule="auto"/>
        <w:rPr>
          <w:rFonts w:hint="eastAsia"/>
          <w:color w:val="auto"/>
        </w:rPr>
      </w:pPr>
    </w:p>
    <w:p w14:paraId="48C94EA7">
      <w:pPr>
        <w:spacing w:line="360" w:lineRule="auto"/>
        <w:rPr>
          <w:rFonts w:hint="eastAsia"/>
          <w:color w:val="auto"/>
        </w:rPr>
      </w:pPr>
    </w:p>
    <w:p w14:paraId="2A379C89">
      <w:pPr>
        <w:spacing w:line="360" w:lineRule="auto"/>
        <w:rPr>
          <w:rFonts w:hint="eastAsia"/>
          <w:color w:val="auto"/>
        </w:rPr>
      </w:pPr>
    </w:p>
    <w:p w14:paraId="6180DED8">
      <w:pPr>
        <w:spacing w:line="360" w:lineRule="auto"/>
        <w:rPr>
          <w:rFonts w:hint="eastAsia"/>
          <w:color w:val="auto"/>
        </w:rPr>
      </w:pPr>
    </w:p>
    <w:p w14:paraId="5475998C">
      <w:pPr>
        <w:spacing w:line="360" w:lineRule="auto"/>
        <w:rPr>
          <w:rFonts w:hint="eastAsia"/>
          <w:color w:val="auto"/>
        </w:rPr>
      </w:pPr>
    </w:p>
    <w:p w14:paraId="7E5C9B30">
      <w:pPr>
        <w:pStyle w:val="3"/>
        <w:keepNext/>
        <w:keepLines/>
        <w:pageBreakBefore/>
        <w:widowControl w:val="0"/>
        <w:kinsoku/>
        <w:wordWrap/>
        <w:overflowPunct/>
        <w:topLinePunct w:val="0"/>
        <w:autoSpaceDE/>
        <w:autoSpaceDN/>
        <w:bidi w:val="0"/>
        <w:adjustRightInd/>
        <w:snapToGrid/>
        <w:spacing w:line="500" w:lineRule="exact"/>
        <w:ind w:left="0" w:leftChars="0" w:firstLine="0" w:firstLineChars="0"/>
        <w:jc w:val="center"/>
        <w:textAlignment w:val="auto"/>
        <w:outlineLvl w:val="0"/>
        <w:rPr>
          <w:rFonts w:hint="eastAsia" w:ascii="黑体" w:hAnsi="宋体"/>
          <w:color w:val="auto"/>
        </w:rPr>
      </w:pPr>
      <w:bookmarkStart w:id="437" w:name="_Toc328559333"/>
      <w:r>
        <w:rPr>
          <w:rFonts w:hint="eastAsia" w:ascii="宋体" w:hAnsi="宋体" w:eastAsia="宋体"/>
          <w:color w:val="auto"/>
        </w:rPr>
        <w:t>第</w:t>
      </w:r>
      <w:r>
        <w:rPr>
          <w:rFonts w:hint="eastAsia" w:ascii="宋体" w:hAnsi="宋体" w:eastAsia="宋体"/>
          <w:color w:val="auto"/>
          <w:lang w:eastAsia="zh-CN"/>
        </w:rPr>
        <w:t>七</w:t>
      </w:r>
      <w:r>
        <w:rPr>
          <w:rFonts w:hint="eastAsia" w:ascii="宋体" w:hAnsi="宋体" w:eastAsia="宋体"/>
          <w:color w:val="auto"/>
        </w:rPr>
        <w:t>章 投标文件格式</w:t>
      </w:r>
      <w:bookmarkEnd w:id="47"/>
      <w:bookmarkEnd w:id="48"/>
      <w:bookmarkEnd w:id="49"/>
      <w:bookmarkEnd w:id="437"/>
    </w:p>
    <w:p w14:paraId="23EC65D1">
      <w:pPr>
        <w:pStyle w:val="3"/>
        <w:keepNext/>
        <w:keepLines/>
        <w:pageBreakBefore/>
        <w:widowControl w:val="0"/>
        <w:kinsoku/>
        <w:wordWrap/>
        <w:overflowPunct/>
        <w:topLinePunct w:val="0"/>
        <w:autoSpaceDE/>
        <w:autoSpaceDN/>
        <w:bidi w:val="0"/>
        <w:adjustRightInd/>
        <w:snapToGrid/>
        <w:spacing w:line="413" w:lineRule="auto"/>
        <w:ind w:firstLine="629"/>
        <w:textAlignment w:val="auto"/>
        <w:rPr>
          <w:rFonts w:hint="eastAsia"/>
          <w:color w:val="auto"/>
        </w:rPr>
      </w:pPr>
      <w:bookmarkStart w:id="438" w:name="_Toc245714172"/>
      <w:bookmarkStart w:id="439" w:name="_Toc328559335"/>
      <w:bookmarkStart w:id="440" w:name="_Toc273602354"/>
      <w:bookmarkStart w:id="441" w:name="_Toc232592019"/>
      <w:bookmarkStart w:id="442" w:name="_Toc220232394"/>
      <w:r>
        <w:rPr>
          <w:rFonts w:hint="eastAsia" w:ascii="黑体"/>
          <w:color w:val="auto"/>
        </w:rPr>
        <w:t>●</w:t>
      </w:r>
      <w:r>
        <w:rPr>
          <w:rFonts w:hint="eastAsia"/>
          <w:color w:val="auto"/>
        </w:rPr>
        <w:t>技术标</w:t>
      </w:r>
      <w:bookmarkEnd w:id="438"/>
      <w:bookmarkEnd w:id="439"/>
      <w:bookmarkEnd w:id="440"/>
    </w:p>
    <w:p w14:paraId="63BEA3A2">
      <w:pPr>
        <w:spacing w:line="900" w:lineRule="exact"/>
        <w:jc w:val="center"/>
        <w:rPr>
          <w:rFonts w:hint="eastAsia" w:ascii="宋体" w:hAnsi="宋体"/>
          <w:b/>
          <w:color w:val="auto"/>
          <w:sz w:val="44"/>
          <w:szCs w:val="44"/>
        </w:rPr>
      </w:pPr>
    </w:p>
    <w:p w14:paraId="1CDB8860">
      <w:pPr>
        <w:spacing w:line="900" w:lineRule="exact"/>
        <w:jc w:val="left"/>
        <w:rPr>
          <w:rFonts w:hint="default" w:ascii="宋体" w:hAnsi="宋体" w:eastAsia="宋体"/>
          <w:b/>
          <w:color w:val="auto"/>
          <w:sz w:val="44"/>
          <w:szCs w:val="44"/>
          <w:lang w:val="en-US" w:eastAsia="zh-CN"/>
        </w:rPr>
      </w:pPr>
      <w:r>
        <w:rPr>
          <w:rFonts w:hint="eastAsia" w:ascii="宋体" w:hAnsi="宋体"/>
          <w:b/>
          <w:color w:val="auto"/>
          <w:sz w:val="44"/>
          <w:szCs w:val="44"/>
          <w:u w:val="single"/>
          <w:lang w:val="en-US" w:eastAsia="zh-CN"/>
        </w:rPr>
        <w:t xml:space="preserve">                       </w:t>
      </w:r>
      <w:r>
        <w:rPr>
          <w:rFonts w:hint="eastAsia" w:ascii="宋体" w:hAnsi="宋体"/>
          <w:b/>
          <w:color w:val="auto"/>
          <w:sz w:val="44"/>
          <w:szCs w:val="44"/>
          <w:u w:val="none"/>
          <w:lang w:val="en-US" w:eastAsia="zh-CN"/>
        </w:rPr>
        <w:t>（项目名称）</w:t>
      </w:r>
    </w:p>
    <w:p w14:paraId="73A59AE0">
      <w:pPr>
        <w:spacing w:line="900" w:lineRule="exact"/>
        <w:jc w:val="center"/>
        <w:rPr>
          <w:rFonts w:hint="eastAsia" w:ascii="宋体" w:hAnsi="宋体"/>
          <w:b/>
          <w:color w:val="auto"/>
          <w:sz w:val="72"/>
        </w:rPr>
      </w:pPr>
      <w:r>
        <w:rPr>
          <w:rFonts w:hint="eastAsia" w:ascii="宋体" w:hAnsi="宋体"/>
          <w:b/>
          <w:color w:val="auto"/>
          <w:sz w:val="72"/>
        </w:rPr>
        <w:t>投</w:t>
      </w:r>
    </w:p>
    <w:p w14:paraId="5C23982D">
      <w:pPr>
        <w:spacing w:line="900" w:lineRule="exact"/>
        <w:jc w:val="center"/>
        <w:rPr>
          <w:rFonts w:hint="eastAsia" w:ascii="宋体" w:hAnsi="宋体"/>
          <w:b/>
          <w:color w:val="auto"/>
          <w:sz w:val="72"/>
        </w:rPr>
      </w:pPr>
      <w:r>
        <w:rPr>
          <w:rFonts w:hint="eastAsia" w:ascii="宋体" w:hAnsi="宋体"/>
          <w:b/>
          <w:color w:val="auto"/>
          <w:sz w:val="72"/>
        </w:rPr>
        <w:t>标</w:t>
      </w:r>
    </w:p>
    <w:p w14:paraId="3E9A2EF2">
      <w:pPr>
        <w:spacing w:line="900" w:lineRule="exact"/>
        <w:jc w:val="center"/>
        <w:rPr>
          <w:rFonts w:hint="eastAsia" w:ascii="宋体" w:hAnsi="宋体"/>
          <w:b/>
          <w:color w:val="auto"/>
          <w:sz w:val="72"/>
        </w:rPr>
      </w:pPr>
      <w:r>
        <w:rPr>
          <w:rFonts w:hint="eastAsia" w:ascii="宋体" w:hAnsi="宋体"/>
          <w:b/>
          <w:color w:val="auto"/>
          <w:sz w:val="72"/>
        </w:rPr>
        <w:t>文</w:t>
      </w:r>
    </w:p>
    <w:p w14:paraId="4E6B0D16">
      <w:pPr>
        <w:jc w:val="center"/>
        <w:rPr>
          <w:rFonts w:hint="eastAsia" w:ascii="宋体" w:hAnsi="宋体"/>
          <w:b/>
          <w:color w:val="auto"/>
          <w:sz w:val="72"/>
        </w:rPr>
      </w:pPr>
      <w:r>
        <w:rPr>
          <w:rFonts w:hint="eastAsia" w:ascii="宋体" w:hAnsi="宋体"/>
          <w:b/>
          <w:color w:val="auto"/>
          <w:sz w:val="72"/>
        </w:rPr>
        <w:t>件</w:t>
      </w:r>
    </w:p>
    <w:p w14:paraId="73CE656B">
      <w:pPr>
        <w:spacing w:after="120" w:afterLines="50" w:line="500" w:lineRule="exact"/>
        <w:jc w:val="center"/>
        <w:rPr>
          <w:rFonts w:hint="eastAsia" w:ascii="宋体" w:hAnsi="宋体"/>
          <w:b/>
          <w:color w:val="auto"/>
          <w:sz w:val="36"/>
          <w:szCs w:val="36"/>
        </w:rPr>
      </w:pPr>
      <w:r>
        <w:rPr>
          <w:rFonts w:hint="eastAsia" w:ascii="宋体" w:hAnsi="宋体"/>
          <w:b/>
          <w:color w:val="auto"/>
          <w:sz w:val="36"/>
          <w:szCs w:val="36"/>
        </w:rPr>
        <w:t>【技术标】</w:t>
      </w:r>
    </w:p>
    <w:p w14:paraId="1B6F4728">
      <w:pPr>
        <w:spacing w:after="120" w:afterLines="50" w:line="500" w:lineRule="exact"/>
        <w:jc w:val="center"/>
        <w:rPr>
          <w:rFonts w:hint="eastAsia" w:ascii="宋体" w:hAnsi="宋体"/>
          <w:b/>
          <w:color w:val="auto"/>
          <w:sz w:val="72"/>
        </w:rPr>
      </w:pPr>
    </w:p>
    <w:p w14:paraId="06AEAAD7">
      <w:pPr>
        <w:spacing w:after="120" w:afterLines="50" w:line="500" w:lineRule="exact"/>
        <w:rPr>
          <w:rFonts w:hint="eastAsia" w:ascii="宋体" w:hAnsi="宋体"/>
          <w:b/>
          <w:color w:val="auto"/>
          <w:sz w:val="32"/>
          <w:u w:val="single"/>
        </w:rPr>
      </w:pPr>
      <w:r>
        <w:rPr>
          <w:rFonts w:hint="eastAsia" w:ascii="宋体" w:hAnsi="宋体"/>
          <w:b/>
          <w:color w:val="auto"/>
          <w:sz w:val="30"/>
        </w:rPr>
        <w:t xml:space="preserve">                 </w:t>
      </w:r>
      <w:r>
        <w:rPr>
          <w:rFonts w:hint="eastAsia" w:ascii="宋体" w:hAnsi="宋体"/>
          <w:b/>
          <w:color w:val="auto"/>
          <w:sz w:val="32"/>
        </w:rPr>
        <w:t>投标人：</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u w:val="single"/>
        </w:rPr>
        <w:t xml:space="preserve">   </w:t>
      </w:r>
    </w:p>
    <w:p w14:paraId="69D3FD1D">
      <w:pPr>
        <w:spacing w:after="120" w:afterLines="50" w:line="500" w:lineRule="exact"/>
        <w:jc w:val="center"/>
        <w:rPr>
          <w:rFonts w:hint="eastAsia" w:ascii="宋体" w:hAnsi="宋体"/>
          <w:b/>
          <w:color w:val="auto"/>
          <w:sz w:val="32"/>
        </w:rPr>
      </w:pP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年</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月</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日</w:t>
      </w:r>
    </w:p>
    <w:p w14:paraId="17FF1D49">
      <w:pPr>
        <w:pStyle w:val="4"/>
        <w:outlineLvl w:val="9"/>
        <w:rPr>
          <w:rFonts w:hint="eastAsia" w:hAnsi="宋体"/>
          <w:color w:val="auto"/>
          <w:sz w:val="28"/>
        </w:rPr>
      </w:pPr>
    </w:p>
    <w:p w14:paraId="0079920D">
      <w:pPr>
        <w:rPr>
          <w:rFonts w:hint="eastAsia"/>
          <w:color w:val="auto"/>
        </w:rPr>
      </w:pPr>
    </w:p>
    <w:p w14:paraId="5D05C301">
      <w:pPr>
        <w:rPr>
          <w:rFonts w:hint="eastAsia"/>
          <w:color w:val="auto"/>
        </w:rPr>
      </w:pPr>
    </w:p>
    <w:p w14:paraId="494EF8BA">
      <w:pPr>
        <w:rPr>
          <w:rFonts w:hint="eastAsia"/>
          <w:color w:val="auto"/>
        </w:rPr>
      </w:pPr>
    </w:p>
    <w:p w14:paraId="65542D26">
      <w:pPr>
        <w:rPr>
          <w:rFonts w:hint="eastAsia"/>
          <w:color w:val="auto"/>
        </w:rPr>
      </w:pPr>
    </w:p>
    <w:p w14:paraId="2D2A87AE">
      <w:pPr>
        <w:rPr>
          <w:rFonts w:hint="eastAsia"/>
          <w:color w:val="auto"/>
        </w:rPr>
      </w:pPr>
    </w:p>
    <w:p w14:paraId="28D25707">
      <w:pPr>
        <w:rPr>
          <w:rFonts w:hint="eastAsia"/>
          <w:color w:val="auto"/>
        </w:rPr>
      </w:pPr>
    </w:p>
    <w:p w14:paraId="66344B5C">
      <w:pPr>
        <w:rPr>
          <w:rFonts w:hint="eastAsia"/>
          <w:color w:val="auto"/>
        </w:rPr>
      </w:pPr>
    </w:p>
    <w:p w14:paraId="5B72213A">
      <w:pPr>
        <w:rPr>
          <w:rFonts w:hint="eastAsia"/>
          <w:color w:val="auto"/>
        </w:rPr>
      </w:pPr>
    </w:p>
    <w:p w14:paraId="24D5D56D">
      <w:pPr>
        <w:rPr>
          <w:rFonts w:hint="eastAsia"/>
          <w:color w:val="auto"/>
        </w:rPr>
      </w:pPr>
    </w:p>
    <w:p w14:paraId="4AB38A0B">
      <w:pPr>
        <w:rPr>
          <w:rFonts w:hint="eastAsia"/>
          <w:color w:val="auto"/>
        </w:rPr>
      </w:pPr>
    </w:p>
    <w:p w14:paraId="2B277382">
      <w:pPr>
        <w:rPr>
          <w:rFonts w:hint="eastAsia"/>
          <w:color w:val="auto"/>
        </w:rPr>
      </w:pPr>
    </w:p>
    <w:p w14:paraId="7C8A7168">
      <w:pPr>
        <w:pStyle w:val="4"/>
        <w:keepNext/>
        <w:keepLines/>
        <w:pageBreakBefore/>
        <w:widowControl w:val="0"/>
        <w:kinsoku/>
        <w:wordWrap/>
        <w:overflowPunct/>
        <w:topLinePunct w:val="0"/>
        <w:autoSpaceDE/>
        <w:autoSpaceDN/>
        <w:bidi w:val="0"/>
        <w:adjustRightInd/>
        <w:snapToGrid/>
        <w:spacing w:line="413" w:lineRule="auto"/>
        <w:textAlignment w:val="auto"/>
        <w:outlineLvl w:val="1"/>
        <w:rPr>
          <w:rFonts w:hAnsi="宋体"/>
          <w:color w:val="auto"/>
          <w:sz w:val="28"/>
        </w:rPr>
      </w:pPr>
      <w:bookmarkStart w:id="443" w:name="_Toc273602355"/>
      <w:bookmarkStart w:id="444" w:name="_Toc328559336"/>
      <w:bookmarkStart w:id="445" w:name="_Toc245714173"/>
      <w:r>
        <w:rPr>
          <w:rFonts w:hint="eastAsia" w:hAnsi="宋体"/>
          <w:color w:val="auto"/>
          <w:sz w:val="28"/>
        </w:rPr>
        <w:t>一．投标函</w:t>
      </w:r>
      <w:bookmarkEnd w:id="443"/>
      <w:bookmarkEnd w:id="444"/>
      <w:bookmarkEnd w:id="445"/>
    </w:p>
    <w:p w14:paraId="41736FCD">
      <w:pPr>
        <w:autoSpaceDE w:val="0"/>
        <w:autoSpaceDN w:val="0"/>
        <w:adjustRightInd w:val="0"/>
        <w:spacing w:line="360" w:lineRule="auto"/>
        <w:ind w:firstLine="200"/>
        <w:jc w:val="left"/>
        <w:rPr>
          <w:rFonts w:hint="default" w:ascii="宋体" w:hAnsi="宋体" w:eastAsia="宋体" w:cs="Times New Roman"/>
          <w:color w:val="auto"/>
          <w:sz w:val="24"/>
          <w:lang w:val="en-US"/>
        </w:rPr>
      </w:pPr>
      <w:r>
        <w:rPr>
          <w:rFonts w:hint="eastAsia" w:ascii="宋体" w:hAnsi="宋体"/>
          <w:color w:val="auto"/>
          <w:sz w:val="24"/>
        </w:rPr>
        <w:t>致：</w:t>
      </w:r>
      <w:r>
        <w:rPr>
          <w:rFonts w:hint="eastAsia" w:ascii="宋体" w:hAnsi="宋体" w:eastAsia="宋体" w:cs="Times New Roman"/>
          <w:color w:val="auto"/>
          <w:sz w:val="24"/>
          <w:lang w:val="en-US" w:eastAsia="zh-CN"/>
        </w:rPr>
        <w:t>合肥</w:t>
      </w:r>
      <w:r>
        <w:rPr>
          <w:rFonts w:hint="eastAsia" w:ascii="宋体" w:hAnsi="宋体" w:cs="Times New Roman"/>
          <w:color w:val="auto"/>
          <w:sz w:val="24"/>
          <w:lang w:val="en-US" w:eastAsia="zh-CN"/>
        </w:rPr>
        <w:t>市包河区乡村振兴投资</w:t>
      </w:r>
      <w:r>
        <w:rPr>
          <w:rFonts w:hint="eastAsia" w:ascii="宋体" w:hAnsi="宋体" w:eastAsia="宋体" w:cs="Times New Roman"/>
          <w:color w:val="auto"/>
          <w:sz w:val="24"/>
          <w:lang w:val="en-US" w:eastAsia="zh-CN"/>
        </w:rPr>
        <w:t>有限公司</w:t>
      </w:r>
    </w:p>
    <w:p w14:paraId="0E884FF7">
      <w:pPr>
        <w:adjustRightInd w:val="0"/>
        <w:snapToGrid w:val="0"/>
        <w:spacing w:before="48" w:beforeLines="20" w:after="48" w:afterLines="20" w:line="400" w:lineRule="exact"/>
        <w:rPr>
          <w:rFonts w:hint="eastAsia" w:ascii="宋体" w:hAnsi="宋体"/>
          <w:color w:val="auto"/>
          <w:szCs w:val="22"/>
          <w:u w:val="single"/>
        </w:rPr>
      </w:pPr>
      <w:r>
        <w:rPr>
          <w:rFonts w:hint="eastAsia" w:eastAsia="黑体"/>
          <w:snapToGrid w:val="0"/>
          <w:color w:val="auto"/>
          <w:kern w:val="0"/>
          <w:szCs w:val="21"/>
          <w:u w:val="single"/>
        </w:rPr>
        <w:t xml:space="preserve">       </w:t>
      </w:r>
      <w:r>
        <w:rPr>
          <w:snapToGrid w:val="0"/>
          <w:color w:val="auto"/>
          <w:kern w:val="0"/>
          <w:szCs w:val="21"/>
        </w:rPr>
        <w:t>（招标人名称）</w:t>
      </w:r>
      <w:r>
        <w:rPr>
          <w:rFonts w:hint="eastAsia"/>
          <w:snapToGrid w:val="0"/>
          <w:color w:val="auto"/>
          <w:kern w:val="0"/>
          <w:szCs w:val="21"/>
        </w:rPr>
        <w:t>：</w:t>
      </w:r>
    </w:p>
    <w:p w14:paraId="7791E7CA">
      <w:pPr>
        <w:tabs>
          <w:tab w:val="left" w:pos="7560"/>
        </w:tabs>
        <w:adjustRightInd w:val="0"/>
        <w:snapToGrid w:val="0"/>
        <w:spacing w:before="48" w:beforeLines="20" w:after="48" w:afterLines="20" w:line="400" w:lineRule="exact"/>
        <w:ind w:firstLine="420" w:firstLineChars="200"/>
        <w:jc w:val="left"/>
        <w:rPr>
          <w:rFonts w:hint="eastAsia" w:ascii="宋体" w:hAnsi="宋体"/>
          <w:color w:val="auto"/>
          <w:szCs w:val="22"/>
        </w:rPr>
      </w:pPr>
      <w:r>
        <w:rPr>
          <w:rFonts w:hint="eastAsia" w:ascii="宋体" w:hAnsi="宋体"/>
          <w:color w:val="auto"/>
          <w:szCs w:val="22"/>
        </w:rPr>
        <w:t>1. 我方已仔细研究</w:t>
      </w:r>
      <w:r>
        <w:rPr>
          <w:rFonts w:hint="eastAsia" w:ascii="宋体" w:hAnsi="宋体"/>
          <w:color w:val="auto"/>
          <w:szCs w:val="22"/>
          <w:u w:val="single"/>
        </w:rPr>
        <w:t xml:space="preserve">       </w:t>
      </w:r>
      <w:r>
        <w:rPr>
          <w:rFonts w:hint="eastAsia" w:ascii="宋体" w:hAnsi="宋体"/>
          <w:color w:val="auto"/>
          <w:szCs w:val="22"/>
        </w:rPr>
        <w:t>（项目名称）</w:t>
      </w:r>
      <w:r>
        <w:rPr>
          <w:rFonts w:hint="eastAsia" w:ascii="宋体" w:hAnsi="宋体"/>
          <w:color w:val="auto"/>
          <w:szCs w:val="22"/>
          <w:u w:val="single"/>
        </w:rPr>
        <w:t xml:space="preserve">   </w:t>
      </w:r>
      <w:r>
        <w:rPr>
          <w:rFonts w:hint="eastAsia" w:ascii="宋体" w:hAnsi="宋体"/>
          <w:color w:val="auto"/>
          <w:szCs w:val="22"/>
        </w:rPr>
        <w:t>标段招标文件的全部内容，在考察工程现场后，愿以</w:t>
      </w:r>
      <w:r>
        <w:rPr>
          <w:rFonts w:hint="eastAsia" w:ascii="宋体" w:hAnsi="宋体"/>
          <w:color w:val="auto"/>
          <w:szCs w:val="21"/>
          <w:u w:val="single"/>
        </w:rPr>
        <w:t>报价文件投标函中</w:t>
      </w:r>
      <w:r>
        <w:rPr>
          <w:rFonts w:hint="eastAsia" w:ascii="宋体" w:hAnsi="宋体"/>
          <w:color w:val="auto"/>
          <w:szCs w:val="22"/>
          <w:u w:val="single"/>
        </w:rPr>
        <w:t>的</w:t>
      </w:r>
      <w:r>
        <w:rPr>
          <w:rFonts w:hint="eastAsia" w:ascii="宋体" w:hAnsi="宋体"/>
          <w:color w:val="auto"/>
          <w:szCs w:val="22"/>
        </w:rPr>
        <w:t>投标总报价，按合同约定实施和完成承包工程，修补工程中的任何缺陷。</w:t>
      </w:r>
    </w:p>
    <w:p w14:paraId="45C05888">
      <w:pPr>
        <w:tabs>
          <w:tab w:val="left" w:pos="7560"/>
        </w:tabs>
        <w:adjustRightInd w:val="0"/>
        <w:snapToGrid w:val="0"/>
        <w:spacing w:before="48" w:beforeLines="20" w:after="48" w:afterLines="20" w:line="400" w:lineRule="exact"/>
        <w:ind w:firstLine="420" w:firstLineChars="200"/>
        <w:jc w:val="left"/>
        <w:rPr>
          <w:rFonts w:hint="eastAsia" w:ascii="宋体" w:hAnsi="宋体"/>
          <w:color w:val="auto"/>
          <w:szCs w:val="22"/>
        </w:rPr>
      </w:pPr>
      <w:r>
        <w:rPr>
          <w:rFonts w:hint="eastAsia" w:ascii="宋体" w:hAnsi="宋体"/>
          <w:color w:val="auto"/>
          <w:szCs w:val="22"/>
        </w:rPr>
        <w:t>2. 我方承诺在招标文件规定的投标有效期内不撤销投标文件。</w:t>
      </w:r>
    </w:p>
    <w:p w14:paraId="6371C654">
      <w:pPr>
        <w:tabs>
          <w:tab w:val="left" w:pos="7560"/>
        </w:tabs>
        <w:adjustRightInd w:val="0"/>
        <w:snapToGrid w:val="0"/>
        <w:spacing w:before="48" w:beforeLines="20" w:after="48" w:afterLines="20" w:line="400" w:lineRule="exact"/>
        <w:ind w:firstLine="420" w:firstLineChars="200"/>
        <w:jc w:val="left"/>
        <w:rPr>
          <w:rFonts w:hint="eastAsia" w:ascii="宋体" w:hAnsi="宋体"/>
          <w:color w:val="auto"/>
          <w:szCs w:val="22"/>
        </w:rPr>
      </w:pPr>
      <w:r>
        <w:rPr>
          <w:rFonts w:hint="eastAsia" w:ascii="宋体" w:hAnsi="宋体"/>
          <w:color w:val="auto"/>
          <w:szCs w:val="22"/>
        </w:rPr>
        <w:t>3. 工程质量：</w:t>
      </w:r>
      <w:r>
        <w:rPr>
          <w:rFonts w:hint="eastAsia" w:ascii="宋体" w:hAnsi="宋体"/>
          <w:color w:val="auto"/>
          <w:szCs w:val="22"/>
          <w:u w:val="single"/>
        </w:rPr>
        <w:t xml:space="preserve"> </w:t>
      </w:r>
      <w:r>
        <w:rPr>
          <w:rFonts w:hint="eastAsia" w:ascii="宋体" w:hAnsi="宋体"/>
          <w:color w:val="auto"/>
          <w:szCs w:val="22"/>
          <w:u w:val="single"/>
          <w:lang w:eastAsia="zh-CN"/>
        </w:rPr>
        <w:t>合格</w:t>
      </w:r>
      <w:r>
        <w:rPr>
          <w:rFonts w:hint="eastAsia" w:ascii="宋体" w:hAnsi="宋体"/>
          <w:color w:val="auto"/>
          <w:szCs w:val="22"/>
          <w:u w:val="single"/>
        </w:rPr>
        <w:t xml:space="preserve">  </w:t>
      </w:r>
      <w:r>
        <w:rPr>
          <w:rFonts w:hint="eastAsia" w:ascii="宋体" w:hAnsi="宋体"/>
          <w:color w:val="auto"/>
          <w:szCs w:val="22"/>
        </w:rPr>
        <w:t>；工期：</w:t>
      </w:r>
      <w:r>
        <w:rPr>
          <w:rFonts w:hint="eastAsia" w:ascii="宋体" w:hAnsi="宋体"/>
          <w:color w:val="auto"/>
          <w:szCs w:val="22"/>
          <w:u w:val="single"/>
        </w:rPr>
        <w:t xml:space="preserve">        </w:t>
      </w:r>
      <w:r>
        <w:rPr>
          <w:rFonts w:hint="eastAsia" w:ascii="宋体" w:hAnsi="宋体"/>
          <w:color w:val="auto"/>
          <w:szCs w:val="22"/>
        </w:rPr>
        <w:t>日历天。</w:t>
      </w:r>
    </w:p>
    <w:p w14:paraId="0FA39DA4">
      <w:pPr>
        <w:tabs>
          <w:tab w:val="left" w:pos="7560"/>
        </w:tabs>
        <w:adjustRightInd w:val="0"/>
        <w:snapToGrid w:val="0"/>
        <w:spacing w:before="48" w:beforeLines="20" w:after="48" w:afterLines="20" w:line="400" w:lineRule="exact"/>
        <w:ind w:firstLine="420" w:firstLineChars="200"/>
        <w:jc w:val="left"/>
        <w:rPr>
          <w:rFonts w:hint="eastAsia" w:ascii="宋体" w:hAnsi="宋体"/>
          <w:bCs/>
          <w:color w:val="auto"/>
          <w:szCs w:val="32"/>
        </w:rPr>
      </w:pPr>
      <w:r>
        <w:rPr>
          <w:rFonts w:hint="eastAsia" w:ascii="宋体" w:hAnsi="宋体"/>
          <w:bCs/>
          <w:color w:val="auto"/>
          <w:szCs w:val="32"/>
        </w:rPr>
        <w:t>4. 我方将与本投标函一起提交投标保证金，且承诺投标保证金转出账户真实有效。</w:t>
      </w:r>
    </w:p>
    <w:p w14:paraId="04726ED7">
      <w:pPr>
        <w:tabs>
          <w:tab w:val="left" w:pos="7560"/>
        </w:tabs>
        <w:adjustRightInd w:val="0"/>
        <w:snapToGrid w:val="0"/>
        <w:spacing w:before="48" w:beforeLines="20" w:after="48" w:afterLines="20" w:line="400" w:lineRule="exact"/>
        <w:ind w:firstLine="420" w:firstLineChars="200"/>
        <w:jc w:val="left"/>
        <w:outlineLvl w:val="2"/>
        <w:rPr>
          <w:rFonts w:hint="eastAsia" w:ascii="宋体" w:hAnsi="宋体"/>
          <w:bCs/>
          <w:color w:val="auto"/>
          <w:szCs w:val="32"/>
        </w:rPr>
      </w:pPr>
      <w:r>
        <w:rPr>
          <w:rFonts w:hint="eastAsia" w:ascii="宋体" w:hAnsi="宋体"/>
          <w:bCs/>
          <w:color w:val="auto"/>
          <w:szCs w:val="32"/>
        </w:rPr>
        <w:t>5. 如我方中标，我方承诺：</w:t>
      </w:r>
    </w:p>
    <w:p w14:paraId="06D59B58">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（1）在收到中标通知书后，在中标通知书规定的期限内与你方签订合同；</w:t>
      </w:r>
    </w:p>
    <w:p w14:paraId="21EA0892">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（2）在签订合同时不向你方提出附加条件；</w:t>
      </w:r>
    </w:p>
    <w:p w14:paraId="121A616B">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（3）按照招标文件要求提交履约保证金；</w:t>
      </w:r>
    </w:p>
    <w:p w14:paraId="38723DBF">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（4）在合同约定的期限内完成合同规定的全部义务；</w:t>
      </w:r>
    </w:p>
    <w:p w14:paraId="46DB5A50">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5）在你方和我方进行合同谈判之前，我方将按照合同附件提出的最低要求填报派驻本标段的其他管理和技术人员及主要机械设备，经你方审批后作为派驻本标段的项目管理机构主要人员和主要设备且不进行更换。如我方拟派驻的人员和设备不满足合同附件要求，你方有权取消我方中标资格；</w:t>
      </w:r>
    </w:p>
    <w:p w14:paraId="69C2EFD8">
      <w:pPr>
        <w:adjustRightInd w:val="0"/>
        <w:snapToGrid w:val="0"/>
        <w:spacing w:before="48" w:beforeLines="20" w:after="48" w:afterLines="20" w:line="400" w:lineRule="exact"/>
        <w:ind w:firstLine="367" w:firstLineChars="175"/>
        <w:rPr>
          <w:rFonts w:hint="eastAsia" w:ascii="宋体" w:hAnsi="宋体"/>
          <w:color w:val="auto"/>
          <w:szCs w:val="22"/>
        </w:rPr>
      </w:pPr>
      <w:r>
        <w:rPr>
          <w:rFonts w:hint="eastAsia" w:ascii="宋体" w:hAnsi="宋体"/>
          <w:bCs/>
          <w:color w:val="auto"/>
          <w:szCs w:val="32"/>
        </w:rPr>
        <w:t>（6）</w:t>
      </w:r>
      <w:r>
        <w:rPr>
          <w:rFonts w:hint="eastAsia" w:ascii="宋体" w:hAnsi="宋体"/>
          <w:color w:val="auto"/>
          <w:szCs w:val="22"/>
        </w:rPr>
        <w:t>按照《纳税人跨县（市、区）提供建筑服务增值税征收管理暂行办法》（国家税务总局公告2016年第17号）规定，在建筑服务发生地及时足额预缴增值税（适用于注册地不在合肥市行政区域范围（含四县一市）的中标人）；</w:t>
      </w:r>
    </w:p>
    <w:p w14:paraId="5DA506E1">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（7）投标报价中已包含招标文件公布的施工扬尘污染防治措施费用，我方将按照招标文件要求对农民工工资、扬尘污染防治进行办理专户设立、工资支付等事宜。</w:t>
      </w:r>
    </w:p>
    <w:p w14:paraId="21A15917">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6.</w:t>
      </w:r>
      <w:r>
        <w:rPr>
          <w:snapToGrid w:val="0"/>
          <w:color w:val="auto"/>
          <w:kern w:val="0"/>
          <w:szCs w:val="21"/>
        </w:rPr>
        <w:t xml:space="preserve"> 我方在此声明，所递交的投标文件及有关资料内容完整、真实和准确，且不存在招标文件第二章“投标人须知”第1.4.3项和第1.4.4项规定的任何一种情形。</w:t>
      </w:r>
    </w:p>
    <w:p w14:paraId="6BB53063">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7. 除非另外达成协议并生效，你方的中标通知书和本投标文件以及招标文件、招标文件澄清、修改、补充文件将成为约束双方的合同文件的组成部分。</w:t>
      </w:r>
    </w:p>
    <w:p w14:paraId="346A1FEA">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 xml:space="preserve">8. </w:t>
      </w:r>
      <w:r>
        <w:rPr>
          <w:rFonts w:hint="eastAsia" w:eastAsia="黑体"/>
          <w:snapToGrid w:val="0"/>
          <w:color w:val="auto"/>
          <w:kern w:val="0"/>
          <w:szCs w:val="21"/>
          <w:u w:val="single"/>
        </w:rPr>
        <w:t xml:space="preserve">                          </w:t>
      </w:r>
      <w:r>
        <w:rPr>
          <w:snapToGrid w:val="0"/>
          <w:color w:val="auto"/>
          <w:kern w:val="0"/>
          <w:szCs w:val="21"/>
        </w:rPr>
        <w:t>（其他补充说明）。</w:t>
      </w:r>
    </w:p>
    <w:p w14:paraId="00690EEE">
      <w:pPr>
        <w:adjustRightInd w:val="0"/>
        <w:snapToGrid w:val="0"/>
        <w:spacing w:before="48" w:beforeLines="20" w:after="48" w:afterLines="20" w:line="400" w:lineRule="exact"/>
        <w:ind w:firstLine="490" w:firstLineChars="175"/>
        <w:rPr>
          <w:rFonts w:hint="eastAsia" w:ascii="宋体" w:hAnsi="宋体"/>
          <w:bCs/>
          <w:color w:val="auto"/>
          <w:sz w:val="28"/>
          <w:szCs w:val="32"/>
        </w:rPr>
      </w:pPr>
    </w:p>
    <w:p w14:paraId="09D8BF8C">
      <w:pPr>
        <w:adjustRightInd w:val="0"/>
        <w:snapToGrid w:val="0"/>
        <w:spacing w:before="48" w:beforeLines="20" w:after="48" w:afterLines="20" w:line="400" w:lineRule="exact"/>
        <w:ind w:firstLine="367" w:firstLineChars="175"/>
        <w:rPr>
          <w:rFonts w:hint="eastAsia" w:ascii="宋体" w:hAnsi="宋体"/>
          <w:bCs/>
          <w:color w:val="auto"/>
          <w:szCs w:val="21"/>
          <w:u w:val="single"/>
        </w:rPr>
      </w:pPr>
      <w:r>
        <w:rPr>
          <w:rFonts w:hint="eastAsia" w:ascii="宋体" w:hAnsi="宋体"/>
          <w:bCs/>
          <w:color w:val="auto"/>
          <w:szCs w:val="21"/>
        </w:rPr>
        <w:t>投 标 人：</w:t>
      </w:r>
      <w:r>
        <w:rPr>
          <w:rFonts w:hint="eastAsia" w:ascii="宋体" w:hAnsi="宋体"/>
          <w:bCs/>
          <w:color w:val="auto"/>
          <w:szCs w:val="21"/>
          <w:u w:val="single"/>
        </w:rPr>
        <w:t xml:space="preserve">                                             </w:t>
      </w:r>
      <w:r>
        <w:rPr>
          <w:rFonts w:hint="eastAsia" w:ascii="宋体" w:hAnsi="宋体"/>
          <w:bCs/>
          <w:color w:val="auto"/>
          <w:szCs w:val="21"/>
        </w:rPr>
        <w:t>（盖单位章）</w:t>
      </w:r>
    </w:p>
    <w:p w14:paraId="0F689744">
      <w:pPr>
        <w:adjustRightInd w:val="0"/>
        <w:snapToGrid w:val="0"/>
        <w:spacing w:before="48" w:beforeLines="20" w:after="48" w:afterLines="20" w:line="400" w:lineRule="exact"/>
        <w:ind w:firstLine="367" w:firstLineChars="175"/>
        <w:rPr>
          <w:rFonts w:hint="eastAsia" w:ascii="宋体" w:hAnsi="宋体"/>
          <w:color w:val="auto"/>
          <w:szCs w:val="21"/>
          <w:u w:val="single"/>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（签字或盖章）</w:t>
      </w:r>
    </w:p>
    <w:p w14:paraId="2C10695A">
      <w:pPr>
        <w:adjustRightInd w:val="0"/>
        <w:snapToGrid w:val="0"/>
        <w:spacing w:before="48" w:beforeLines="20" w:after="48" w:afterLines="20" w:line="400" w:lineRule="exact"/>
        <w:ind w:firstLine="367" w:firstLineChars="175"/>
        <w:rPr>
          <w:rFonts w:hint="eastAsia" w:ascii="宋体" w:hAnsi="宋体"/>
          <w:color w:val="auto"/>
          <w:szCs w:val="21"/>
          <w:u w:val="single"/>
        </w:rPr>
      </w:pPr>
      <w:r>
        <w:rPr>
          <w:rFonts w:hint="eastAsia" w:ascii="宋体" w:hAnsi="宋体"/>
          <w:color w:val="auto"/>
          <w:szCs w:val="21"/>
        </w:rPr>
        <w:t>单位地址：</w:t>
      </w:r>
      <w:r>
        <w:rPr>
          <w:rFonts w:hint="eastAsia" w:ascii="宋体" w:hAnsi="宋体"/>
          <w:color w:val="auto"/>
          <w:szCs w:val="21"/>
          <w:u w:val="single"/>
        </w:rPr>
        <w:t xml:space="preserve">                                                       </w:t>
      </w:r>
    </w:p>
    <w:p w14:paraId="47AB4E06">
      <w:pPr>
        <w:adjustRightInd w:val="0"/>
        <w:snapToGrid w:val="0"/>
        <w:spacing w:before="48" w:beforeLines="20" w:after="48" w:afterLines="20" w:line="400" w:lineRule="exact"/>
        <w:ind w:firstLine="367" w:firstLineChars="175"/>
        <w:rPr>
          <w:rFonts w:hint="eastAsia" w:ascii="宋体" w:hAnsi="宋体"/>
          <w:color w:val="auto"/>
          <w:szCs w:val="21"/>
        </w:rPr>
      </w:pPr>
      <w:r>
        <w:rPr>
          <w:rFonts w:hint="eastAsia" w:ascii="宋体" w:hAnsi="宋体"/>
          <w:bCs/>
          <w:color w:val="auto"/>
          <w:szCs w:val="21"/>
        </w:rPr>
        <w:t>邮政编码</w:t>
      </w:r>
      <w:r>
        <w:rPr>
          <w:rFonts w:hint="eastAsia" w:ascii="宋体" w:hAnsi="宋体"/>
          <w:color w:val="auto"/>
          <w:szCs w:val="21"/>
        </w:rPr>
        <w:t>：</w:t>
      </w:r>
      <w:r>
        <w:rPr>
          <w:rFonts w:hint="eastAsia" w:ascii="宋体" w:hAnsi="宋体"/>
          <w:bCs/>
          <w:color w:val="auto"/>
          <w:szCs w:val="32"/>
          <w:u w:val="single"/>
        </w:rPr>
        <w:t xml:space="preserve">           </w:t>
      </w:r>
      <w:r>
        <w:rPr>
          <w:rFonts w:hint="eastAsia" w:ascii="宋体" w:hAnsi="宋体"/>
          <w:color w:val="auto"/>
          <w:szCs w:val="21"/>
        </w:rPr>
        <w:t>电话：</w:t>
      </w:r>
      <w:r>
        <w:rPr>
          <w:rFonts w:hint="eastAsia" w:ascii="宋体" w:hAnsi="宋体"/>
          <w:bCs/>
          <w:color w:val="auto"/>
          <w:szCs w:val="32"/>
          <w:u w:val="single"/>
        </w:rPr>
        <w:t xml:space="preserve">           </w:t>
      </w:r>
      <w:r>
        <w:rPr>
          <w:rFonts w:hint="eastAsia" w:ascii="宋体" w:hAnsi="宋体"/>
          <w:color w:val="auto"/>
          <w:szCs w:val="21"/>
        </w:rPr>
        <w:t xml:space="preserve"> 传真：</w:t>
      </w:r>
      <w:r>
        <w:rPr>
          <w:rFonts w:hint="eastAsia" w:ascii="宋体" w:hAnsi="宋体"/>
          <w:color w:val="auto"/>
          <w:szCs w:val="21"/>
          <w:u w:val="single"/>
        </w:rPr>
        <w:t xml:space="preserve">                    </w:t>
      </w:r>
    </w:p>
    <w:p w14:paraId="3F5319D9">
      <w:pPr>
        <w:adjustRightInd w:val="0"/>
        <w:snapToGrid w:val="0"/>
        <w:spacing w:before="48" w:beforeLines="20" w:after="48" w:afterLines="20" w:line="400" w:lineRule="exact"/>
        <w:ind w:firstLine="367" w:firstLineChars="175"/>
        <w:rPr>
          <w:rFonts w:hint="eastAsia" w:ascii="宋体" w:hAnsi="宋体"/>
          <w:color w:val="auto"/>
          <w:szCs w:val="21"/>
        </w:rPr>
      </w:pPr>
      <w:r>
        <w:rPr>
          <w:rFonts w:hint="eastAsia" w:ascii="宋体" w:hAnsi="宋体"/>
          <w:bCs/>
          <w:color w:val="auto"/>
          <w:szCs w:val="21"/>
        </w:rPr>
        <w:t>日期</w:t>
      </w:r>
      <w:r>
        <w:rPr>
          <w:rFonts w:hint="eastAsia" w:ascii="宋体" w:hAnsi="宋体"/>
          <w:color w:val="auto"/>
          <w:szCs w:val="21"/>
        </w:rPr>
        <w:t>：</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w:t>
      </w:r>
    </w:p>
    <w:p w14:paraId="664B61BF">
      <w:pPr>
        <w:tabs>
          <w:tab w:val="left" w:pos="630"/>
        </w:tabs>
        <w:spacing w:line="360" w:lineRule="auto"/>
        <w:ind w:firstLine="630"/>
        <w:rPr>
          <w:rFonts w:hint="eastAsia" w:ascii="宋体" w:hAnsi="宋体"/>
          <w:color w:val="auto"/>
          <w:sz w:val="24"/>
        </w:rPr>
      </w:pPr>
    </w:p>
    <w:p w14:paraId="42A0A60E">
      <w:pPr>
        <w:tabs>
          <w:tab w:val="left" w:pos="630"/>
        </w:tabs>
        <w:spacing w:line="360" w:lineRule="auto"/>
        <w:ind w:firstLine="630"/>
        <w:rPr>
          <w:rFonts w:hint="eastAsia" w:ascii="宋体" w:hAnsi="宋体"/>
          <w:color w:val="auto"/>
          <w:sz w:val="24"/>
        </w:rPr>
      </w:pPr>
    </w:p>
    <w:p w14:paraId="7F4118FC">
      <w:pPr>
        <w:tabs>
          <w:tab w:val="left" w:pos="630"/>
        </w:tabs>
        <w:spacing w:line="360" w:lineRule="auto"/>
        <w:ind w:firstLine="630"/>
        <w:rPr>
          <w:rFonts w:hint="eastAsia" w:ascii="宋体" w:hAnsi="宋体"/>
          <w:color w:val="auto"/>
          <w:sz w:val="24"/>
        </w:rPr>
      </w:pPr>
    </w:p>
    <w:p w14:paraId="583C44BB">
      <w:pPr>
        <w:pStyle w:val="4"/>
        <w:keepNext/>
        <w:keepLines/>
        <w:pageBreakBefore/>
        <w:widowControl w:val="0"/>
        <w:kinsoku/>
        <w:wordWrap/>
        <w:overflowPunct/>
        <w:topLinePunct w:val="0"/>
        <w:autoSpaceDE/>
        <w:autoSpaceDN/>
        <w:bidi w:val="0"/>
        <w:adjustRightInd/>
        <w:snapToGrid/>
        <w:spacing w:line="413" w:lineRule="auto"/>
        <w:textAlignment w:val="auto"/>
        <w:outlineLvl w:val="1"/>
        <w:rPr>
          <w:rFonts w:hint="eastAsia" w:hAnsi="宋体"/>
          <w:color w:val="auto"/>
          <w:sz w:val="28"/>
        </w:rPr>
      </w:pPr>
      <w:bookmarkStart w:id="446" w:name="_Toc273602356"/>
      <w:bookmarkStart w:id="447" w:name="_Toc245714174"/>
      <w:bookmarkStart w:id="448" w:name="_Toc328559337"/>
      <w:r>
        <w:rPr>
          <w:rFonts w:hint="eastAsia" w:hAnsi="宋体"/>
          <w:color w:val="auto"/>
          <w:sz w:val="28"/>
        </w:rPr>
        <w:t>二．投标授权书</w:t>
      </w:r>
      <w:bookmarkEnd w:id="446"/>
      <w:bookmarkEnd w:id="447"/>
      <w:bookmarkEnd w:id="448"/>
    </w:p>
    <w:p w14:paraId="30223C47">
      <w:pPr>
        <w:jc w:val="center"/>
        <w:outlineLvl w:val="2"/>
        <w:rPr>
          <w:rFonts w:hint="eastAsia"/>
          <w:color w:val="auto"/>
          <w:sz w:val="32"/>
          <w:szCs w:val="32"/>
        </w:rPr>
      </w:pPr>
      <w:r>
        <w:rPr>
          <w:rFonts w:hint="eastAsia" w:ascii="黑体" w:hAnsi="黑体" w:eastAsia="黑体"/>
          <w:bCs/>
          <w:color w:val="auto"/>
          <w:sz w:val="24"/>
        </w:rPr>
        <w:t>授权委托书</w:t>
      </w:r>
    </w:p>
    <w:p w14:paraId="75D3EEAF">
      <w:pPr>
        <w:rPr>
          <w:rFonts w:hint="eastAsia"/>
          <w:color w:val="auto"/>
        </w:rPr>
      </w:pPr>
    </w:p>
    <w:p w14:paraId="29ABA1D4">
      <w:pPr>
        <w:snapToGrid w:val="0"/>
        <w:spacing w:line="360" w:lineRule="auto"/>
        <w:ind w:firstLine="420" w:firstLineChars="200"/>
        <w:jc w:val="left"/>
        <w:rPr>
          <w:rFonts w:hint="eastAsia" w:ascii="宋体" w:hAnsi="宋体"/>
          <w:color w:val="auto"/>
          <w:szCs w:val="21"/>
        </w:rPr>
      </w:pPr>
      <w:r>
        <w:rPr>
          <w:rFonts w:hint="eastAsia" w:ascii="宋体" w:hAnsi="宋体"/>
          <w:color w:val="auto"/>
          <w:szCs w:val="21"/>
        </w:rPr>
        <w:t>本人</w:t>
      </w:r>
      <w:r>
        <w:rPr>
          <w:rFonts w:hint="eastAsia" w:ascii="宋体" w:hAnsi="宋体"/>
          <w:color w:val="auto"/>
          <w:szCs w:val="21"/>
          <w:u w:val="single"/>
        </w:rPr>
        <w:t xml:space="preserve">         </w:t>
      </w:r>
      <w:r>
        <w:rPr>
          <w:rFonts w:hint="eastAsia" w:ascii="宋体" w:hAnsi="宋体"/>
          <w:color w:val="auto"/>
          <w:szCs w:val="21"/>
        </w:rPr>
        <w:t>（姓名）系</w:t>
      </w:r>
      <w:r>
        <w:rPr>
          <w:rFonts w:hint="eastAsia" w:ascii="宋体" w:hAnsi="宋体"/>
          <w:color w:val="auto"/>
          <w:szCs w:val="21"/>
          <w:u w:val="single"/>
        </w:rPr>
        <w:t xml:space="preserve">         </w:t>
      </w:r>
      <w:r>
        <w:rPr>
          <w:rFonts w:hint="eastAsia" w:ascii="宋体" w:hAnsi="宋体"/>
          <w:color w:val="auto"/>
          <w:szCs w:val="21"/>
        </w:rPr>
        <w:t>（投标人名称）的法定代表人，现委托</w:t>
      </w:r>
      <w:r>
        <w:rPr>
          <w:rFonts w:hint="eastAsia" w:ascii="宋体" w:hAnsi="宋体"/>
          <w:color w:val="auto"/>
          <w:szCs w:val="21"/>
          <w:u w:val="single"/>
        </w:rPr>
        <w:t xml:space="preserve">      </w:t>
      </w:r>
      <w:r>
        <w:rPr>
          <w:rFonts w:hint="eastAsia" w:ascii="宋体" w:hAnsi="宋体"/>
          <w:color w:val="auto"/>
          <w:szCs w:val="21"/>
        </w:rPr>
        <w:t>（姓名）为我方代理人。代理人根据授权，以我方名义签署、澄清、说明、补正、递交、撤回、修改</w:t>
      </w:r>
      <w:r>
        <w:rPr>
          <w:rFonts w:hint="eastAsia" w:ascii="宋体" w:hAnsi="宋体"/>
          <w:color w:val="auto"/>
          <w:szCs w:val="21"/>
          <w:u w:val="single"/>
        </w:rPr>
        <w:t xml:space="preserve">        </w:t>
      </w:r>
      <w:r>
        <w:rPr>
          <w:rFonts w:hint="eastAsia" w:ascii="宋体" w:hAnsi="宋体"/>
          <w:color w:val="auto"/>
          <w:szCs w:val="21"/>
        </w:rPr>
        <w:t>（项目名称）</w:t>
      </w:r>
      <w:r>
        <w:rPr>
          <w:rFonts w:hint="eastAsia" w:ascii="宋体" w:hAnsi="宋体"/>
          <w:color w:val="auto"/>
          <w:szCs w:val="21"/>
          <w:u w:val="single"/>
        </w:rPr>
        <w:t xml:space="preserve">       </w:t>
      </w:r>
      <w:r>
        <w:rPr>
          <w:rFonts w:hint="eastAsia" w:ascii="宋体" w:hAnsi="宋体"/>
          <w:color w:val="auto"/>
          <w:szCs w:val="21"/>
        </w:rPr>
        <w:t>标段施工投标文件、签订合同和处理有关事宜，其法律后果由我方承担。</w:t>
      </w:r>
    </w:p>
    <w:p w14:paraId="56D0FA92">
      <w:pPr>
        <w:snapToGrid w:val="0"/>
        <w:spacing w:line="360" w:lineRule="auto"/>
        <w:ind w:firstLine="420" w:firstLineChars="200"/>
        <w:rPr>
          <w:rFonts w:hint="eastAsia" w:ascii="宋体" w:hAnsi="宋体"/>
          <w:color w:val="auto"/>
          <w:szCs w:val="21"/>
        </w:rPr>
      </w:pPr>
      <w:r>
        <w:rPr>
          <w:rFonts w:hint="eastAsia" w:ascii="宋体" w:hAnsi="宋体"/>
          <w:color w:val="auto"/>
          <w:szCs w:val="21"/>
        </w:rPr>
        <w:t>委托期限：</w:t>
      </w:r>
      <w:r>
        <w:rPr>
          <w:rFonts w:hint="eastAsia" w:ascii="宋体" w:hAnsi="宋体"/>
          <w:color w:val="auto"/>
          <w:szCs w:val="21"/>
          <w:u w:val="single"/>
        </w:rPr>
        <w:t xml:space="preserve">          </w:t>
      </w:r>
      <w:r>
        <w:rPr>
          <w:rFonts w:hint="eastAsia" w:ascii="宋体" w:hAnsi="宋体"/>
          <w:color w:val="auto"/>
          <w:szCs w:val="21"/>
        </w:rPr>
        <w:t>。</w:t>
      </w:r>
    </w:p>
    <w:p w14:paraId="1724CE9A">
      <w:pPr>
        <w:snapToGrid w:val="0"/>
        <w:spacing w:line="360" w:lineRule="auto"/>
        <w:ind w:firstLine="420" w:firstLineChars="200"/>
        <w:rPr>
          <w:rFonts w:hint="eastAsia" w:ascii="宋体" w:hAnsi="宋体"/>
          <w:color w:val="auto"/>
          <w:szCs w:val="21"/>
        </w:rPr>
      </w:pPr>
      <w:r>
        <w:rPr>
          <w:rFonts w:hint="eastAsia" w:ascii="宋体" w:hAnsi="宋体"/>
          <w:color w:val="auto"/>
          <w:szCs w:val="21"/>
        </w:rPr>
        <w:t>代理人无转委托权。</w:t>
      </w:r>
    </w:p>
    <w:p w14:paraId="4BC4D18E">
      <w:pPr>
        <w:snapToGrid w:val="0"/>
        <w:spacing w:line="360" w:lineRule="auto"/>
        <w:ind w:firstLine="420" w:firstLineChars="200"/>
        <w:rPr>
          <w:rFonts w:hint="eastAsia" w:ascii="宋体" w:hAnsi="宋体"/>
          <w:color w:val="auto"/>
          <w:szCs w:val="21"/>
        </w:rPr>
      </w:pPr>
      <w:r>
        <w:rPr>
          <w:rFonts w:hint="eastAsia" w:ascii="宋体" w:hAnsi="宋体"/>
          <w:color w:val="auto"/>
          <w:szCs w:val="21"/>
        </w:rPr>
        <w:t>附：法定代表人身份证明</w:t>
      </w:r>
    </w:p>
    <w:p w14:paraId="3DE6A035">
      <w:pPr>
        <w:snapToGrid w:val="0"/>
        <w:spacing w:line="360" w:lineRule="auto"/>
        <w:ind w:firstLine="630" w:firstLineChars="300"/>
        <w:rPr>
          <w:rFonts w:hint="eastAsia" w:ascii="宋体" w:hAnsi="宋体" w:eastAsia="宋体"/>
          <w:color w:val="auto"/>
          <w:szCs w:val="21"/>
          <w:lang w:eastAsia="zh-CN"/>
        </w:rPr>
      </w:pPr>
      <w:r>
        <w:rPr>
          <w:rFonts w:hint="eastAsia" w:ascii="宋体" w:hAnsi="宋体"/>
          <w:color w:val="auto"/>
          <w:szCs w:val="21"/>
          <w:lang w:eastAsia="zh-CN"/>
        </w:rPr>
        <w:t>被委托授权人身份证明</w:t>
      </w:r>
    </w:p>
    <w:p w14:paraId="6F790C7A">
      <w:pPr>
        <w:spacing w:line="500" w:lineRule="exact"/>
        <w:rPr>
          <w:rFonts w:hint="eastAsia" w:ascii="宋体" w:hAnsi="宋体"/>
          <w:color w:val="auto"/>
          <w:szCs w:val="21"/>
        </w:rPr>
      </w:pPr>
    </w:p>
    <w:p w14:paraId="187344B3">
      <w:pPr>
        <w:spacing w:line="400" w:lineRule="exact"/>
        <w:ind w:firstLine="3570" w:firstLineChars="1700"/>
        <w:rPr>
          <w:rFonts w:hint="eastAsia" w:ascii="宋体" w:hAnsi="宋体"/>
          <w:color w:val="auto"/>
          <w:szCs w:val="21"/>
        </w:rPr>
      </w:pPr>
      <w:r>
        <w:rPr>
          <w:rFonts w:hint="eastAsia" w:ascii="宋体" w:hAnsi="宋体"/>
          <w:color w:val="auto"/>
          <w:szCs w:val="21"/>
        </w:rPr>
        <w:t>投  标  人：</w:t>
      </w:r>
      <w:r>
        <w:rPr>
          <w:rFonts w:hint="eastAsia" w:ascii="宋体" w:hAnsi="宋体"/>
          <w:color w:val="auto"/>
          <w:szCs w:val="21"/>
          <w:u w:val="single"/>
        </w:rPr>
        <w:t xml:space="preserve">                         </w:t>
      </w:r>
      <w:r>
        <w:rPr>
          <w:rFonts w:hint="eastAsia" w:ascii="宋体" w:hAnsi="宋体"/>
          <w:color w:val="auto"/>
          <w:szCs w:val="21"/>
        </w:rPr>
        <w:t>（盖单位章）</w:t>
      </w:r>
    </w:p>
    <w:p w14:paraId="09C6FFA8">
      <w:pPr>
        <w:spacing w:line="400" w:lineRule="exact"/>
        <w:ind w:firstLine="3570" w:firstLineChars="1700"/>
        <w:rPr>
          <w:rFonts w:hint="eastAsia" w:ascii="宋体" w:hAnsi="宋体"/>
          <w:color w:val="auto"/>
          <w:szCs w:val="21"/>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（签字或盖章）</w:t>
      </w:r>
    </w:p>
    <w:p w14:paraId="0665670B">
      <w:pPr>
        <w:spacing w:line="400" w:lineRule="exact"/>
        <w:ind w:firstLine="3570" w:firstLineChars="1700"/>
        <w:rPr>
          <w:rFonts w:hint="eastAsia" w:ascii="宋体" w:hAnsi="宋体"/>
          <w:color w:val="auto"/>
          <w:szCs w:val="21"/>
          <w:u w:val="single"/>
        </w:rPr>
      </w:pPr>
      <w:r>
        <w:rPr>
          <w:rFonts w:hint="eastAsia" w:ascii="宋体" w:hAnsi="宋体"/>
          <w:color w:val="auto"/>
          <w:szCs w:val="21"/>
        </w:rPr>
        <w:t>身份证号码：</w:t>
      </w:r>
      <w:r>
        <w:rPr>
          <w:rFonts w:hint="eastAsia" w:ascii="宋体" w:hAnsi="宋体"/>
          <w:color w:val="auto"/>
          <w:szCs w:val="21"/>
          <w:u w:val="single"/>
        </w:rPr>
        <w:t xml:space="preserve">                                   </w:t>
      </w:r>
    </w:p>
    <w:p w14:paraId="3267AFD3">
      <w:pPr>
        <w:spacing w:line="400" w:lineRule="exact"/>
        <w:ind w:firstLine="4830" w:firstLineChars="2300"/>
        <w:rPr>
          <w:rFonts w:hint="eastAsia"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0BFD3A72">
      <w:pPr>
        <w:autoSpaceDE w:val="0"/>
        <w:autoSpaceDN w:val="0"/>
        <w:adjustRightInd w:val="0"/>
        <w:snapToGrid w:val="0"/>
        <w:spacing w:line="360" w:lineRule="auto"/>
        <w:jc w:val="left"/>
        <w:rPr>
          <w:rFonts w:hint="eastAsia" w:ascii="宋体" w:hAnsi="宋体"/>
          <w:color w:val="auto"/>
          <w:kern w:val="0"/>
          <w:szCs w:val="22"/>
        </w:rPr>
      </w:pPr>
    </w:p>
    <w:p w14:paraId="77B15CE5">
      <w:pPr>
        <w:tabs>
          <w:tab w:val="left" w:pos="5760"/>
        </w:tabs>
        <w:autoSpaceDE w:val="0"/>
        <w:autoSpaceDN w:val="0"/>
        <w:adjustRightInd w:val="0"/>
        <w:spacing w:line="300" w:lineRule="exact"/>
        <w:ind w:right="11"/>
        <w:rPr>
          <w:rFonts w:hint="eastAsia" w:ascii="宋体" w:hAnsi="宋体"/>
          <w:color w:val="auto"/>
          <w:kern w:val="0"/>
          <w:szCs w:val="22"/>
        </w:rPr>
      </w:pPr>
      <w:r>
        <w:rPr>
          <w:rFonts w:hint="eastAsia" w:ascii="宋体" w:hAnsi="宋体"/>
          <w:color w:val="auto"/>
          <w:kern w:val="0"/>
          <w:szCs w:val="22"/>
        </w:rPr>
        <w:t>注：</w:t>
      </w:r>
    </w:p>
    <w:p w14:paraId="5A5BD224">
      <w:pPr>
        <w:tabs>
          <w:tab w:val="left" w:pos="5760"/>
        </w:tabs>
        <w:autoSpaceDE w:val="0"/>
        <w:autoSpaceDN w:val="0"/>
        <w:adjustRightInd w:val="0"/>
        <w:spacing w:line="300" w:lineRule="exact"/>
        <w:ind w:right="11"/>
        <w:rPr>
          <w:rFonts w:ascii="宋体" w:hAnsi="宋体"/>
          <w:color w:val="auto"/>
          <w:kern w:val="0"/>
          <w:szCs w:val="22"/>
        </w:rPr>
      </w:pPr>
      <w:r>
        <w:rPr>
          <w:rFonts w:hint="eastAsia" w:ascii="宋体" w:hAnsi="宋体"/>
          <w:color w:val="auto"/>
          <w:kern w:val="0"/>
          <w:szCs w:val="22"/>
        </w:rPr>
        <w:t>法定代表人参加投标活动并签署文件的不需要授权委托书，只需提供法定代表人身份证明；非法定代表人参加投标活动及签署文件的还须提供授权委托书。</w:t>
      </w:r>
    </w:p>
    <w:p w14:paraId="254F7EFB">
      <w:pPr>
        <w:rPr>
          <w:rFonts w:hint="eastAsia" w:ascii="宋体" w:hAnsi="宋体"/>
          <w:color w:val="auto"/>
          <w:sz w:val="24"/>
          <w:szCs w:val="28"/>
        </w:rPr>
      </w:pPr>
    </w:p>
    <w:p w14:paraId="3702A861">
      <w:pPr>
        <w:rPr>
          <w:rFonts w:hint="eastAsia" w:ascii="宋体" w:hAnsi="宋体"/>
          <w:color w:val="auto"/>
          <w:sz w:val="24"/>
          <w:szCs w:val="28"/>
        </w:rPr>
      </w:pPr>
    </w:p>
    <w:p w14:paraId="28FD7DCC">
      <w:pPr>
        <w:rPr>
          <w:rFonts w:hint="eastAsia" w:ascii="宋体" w:hAnsi="宋体"/>
          <w:color w:val="auto"/>
          <w:sz w:val="24"/>
          <w:szCs w:val="28"/>
        </w:rPr>
      </w:pPr>
    </w:p>
    <w:p w14:paraId="487A8AF6">
      <w:pPr>
        <w:rPr>
          <w:rFonts w:hint="eastAsia" w:ascii="宋体" w:hAnsi="宋体"/>
          <w:color w:val="auto"/>
          <w:sz w:val="24"/>
          <w:szCs w:val="28"/>
        </w:rPr>
      </w:pPr>
    </w:p>
    <w:p w14:paraId="4F126F51">
      <w:pPr>
        <w:rPr>
          <w:rFonts w:hint="eastAsia" w:ascii="宋体" w:hAnsi="宋体"/>
          <w:color w:val="auto"/>
          <w:sz w:val="24"/>
          <w:szCs w:val="28"/>
        </w:rPr>
      </w:pPr>
    </w:p>
    <w:p w14:paraId="193D0E84">
      <w:pPr>
        <w:rPr>
          <w:rFonts w:hint="eastAsia" w:ascii="宋体" w:hAnsi="宋体"/>
          <w:color w:val="auto"/>
          <w:sz w:val="24"/>
          <w:szCs w:val="28"/>
        </w:rPr>
      </w:pPr>
    </w:p>
    <w:p w14:paraId="402559E9">
      <w:pPr>
        <w:rPr>
          <w:rFonts w:hint="eastAsia" w:ascii="宋体" w:hAnsi="宋体"/>
          <w:color w:val="auto"/>
          <w:sz w:val="24"/>
          <w:szCs w:val="28"/>
        </w:rPr>
      </w:pPr>
    </w:p>
    <w:p w14:paraId="4731F8E0">
      <w:pPr>
        <w:rPr>
          <w:rFonts w:hint="eastAsia" w:ascii="宋体" w:hAnsi="宋体"/>
          <w:color w:val="auto"/>
          <w:sz w:val="24"/>
          <w:szCs w:val="28"/>
        </w:rPr>
      </w:pPr>
    </w:p>
    <w:p w14:paraId="6FF34DDD">
      <w:pPr>
        <w:rPr>
          <w:rFonts w:hint="eastAsia" w:ascii="宋体" w:hAnsi="宋体"/>
          <w:color w:val="auto"/>
          <w:sz w:val="24"/>
          <w:szCs w:val="28"/>
        </w:rPr>
      </w:pPr>
    </w:p>
    <w:p w14:paraId="23D85819">
      <w:pPr>
        <w:rPr>
          <w:rFonts w:hint="eastAsia" w:ascii="宋体" w:hAnsi="宋体"/>
          <w:color w:val="auto"/>
          <w:sz w:val="24"/>
          <w:szCs w:val="28"/>
        </w:rPr>
      </w:pPr>
    </w:p>
    <w:p w14:paraId="0AA7C84B">
      <w:pPr>
        <w:rPr>
          <w:rFonts w:hint="eastAsia" w:ascii="宋体" w:hAnsi="宋体"/>
          <w:color w:val="auto"/>
          <w:sz w:val="24"/>
          <w:szCs w:val="28"/>
        </w:rPr>
      </w:pPr>
    </w:p>
    <w:p w14:paraId="69BCE15C">
      <w:pPr>
        <w:rPr>
          <w:rFonts w:hint="eastAsia" w:ascii="宋体" w:hAnsi="宋体"/>
          <w:color w:val="auto"/>
          <w:sz w:val="24"/>
          <w:szCs w:val="28"/>
        </w:rPr>
      </w:pPr>
    </w:p>
    <w:p w14:paraId="47803C14">
      <w:pPr>
        <w:rPr>
          <w:rFonts w:hint="eastAsia" w:ascii="宋体" w:hAnsi="宋体"/>
          <w:color w:val="auto"/>
          <w:sz w:val="24"/>
          <w:szCs w:val="28"/>
        </w:rPr>
      </w:pPr>
    </w:p>
    <w:p w14:paraId="3ECB8A72">
      <w:pPr>
        <w:rPr>
          <w:rFonts w:hint="eastAsia" w:ascii="宋体" w:hAnsi="宋体"/>
          <w:color w:val="auto"/>
          <w:sz w:val="24"/>
          <w:szCs w:val="28"/>
        </w:rPr>
      </w:pPr>
    </w:p>
    <w:p w14:paraId="6C233FEE">
      <w:pPr>
        <w:rPr>
          <w:rFonts w:hint="eastAsia" w:ascii="宋体" w:hAnsi="宋体"/>
          <w:color w:val="auto"/>
          <w:sz w:val="24"/>
          <w:szCs w:val="28"/>
        </w:rPr>
      </w:pPr>
    </w:p>
    <w:p w14:paraId="07E0FD75">
      <w:pPr>
        <w:pStyle w:val="4"/>
        <w:keepNext/>
        <w:keepLines/>
        <w:pageBreakBefore/>
        <w:widowControl w:val="0"/>
        <w:numPr>
          <w:ilvl w:val="0"/>
          <w:numId w:val="5"/>
        </w:numPr>
        <w:kinsoku/>
        <w:wordWrap/>
        <w:overflowPunct/>
        <w:topLinePunct w:val="0"/>
        <w:autoSpaceDE/>
        <w:autoSpaceDN/>
        <w:bidi w:val="0"/>
        <w:adjustRightInd/>
        <w:snapToGrid/>
        <w:spacing w:line="413" w:lineRule="auto"/>
        <w:textAlignment w:val="auto"/>
        <w:outlineLvl w:val="1"/>
        <w:rPr>
          <w:rFonts w:hint="eastAsia"/>
          <w:color w:val="auto"/>
        </w:rPr>
      </w:pPr>
      <w:bookmarkStart w:id="449" w:name="_Toc328559338"/>
      <w:bookmarkStart w:id="450" w:name="_Toc245714175"/>
      <w:bookmarkStart w:id="451" w:name="_Toc273602357"/>
      <w:r>
        <w:rPr>
          <w:rFonts w:hint="eastAsia"/>
          <w:color w:val="auto"/>
        </w:rPr>
        <w:t>投标人</w:t>
      </w:r>
      <w:bookmarkEnd w:id="449"/>
      <w:bookmarkEnd w:id="450"/>
      <w:bookmarkEnd w:id="451"/>
      <w:r>
        <w:rPr>
          <w:rFonts w:hint="eastAsia"/>
          <w:color w:val="auto"/>
          <w:lang w:eastAsia="zh-CN"/>
        </w:rPr>
        <w:t>综合简介</w:t>
      </w:r>
    </w:p>
    <w:p w14:paraId="231D9517">
      <w:pPr>
        <w:spacing w:line="500" w:lineRule="exact"/>
        <w:jc w:val="center"/>
        <w:outlineLvl w:val="2"/>
        <w:rPr>
          <w:rFonts w:hint="eastAsia" w:ascii="宋体" w:hAnsi="宋体"/>
          <w:color w:val="auto"/>
          <w:sz w:val="28"/>
        </w:rPr>
      </w:pPr>
      <w:r>
        <w:rPr>
          <w:rFonts w:hint="eastAsia" w:ascii="宋体" w:hAnsi="宋体"/>
          <w:b/>
          <w:bCs/>
          <w:color w:val="auto"/>
          <w:sz w:val="24"/>
          <w:szCs w:val="24"/>
        </w:rPr>
        <w:t>（</w:t>
      </w:r>
      <w:r>
        <w:rPr>
          <w:rFonts w:hint="eastAsia" w:ascii="宋体" w:hAnsi="宋体"/>
          <w:bCs/>
          <w:color w:val="auto"/>
          <w:sz w:val="24"/>
          <w:szCs w:val="24"/>
        </w:rPr>
        <w:t>投标人可自行制作格式</w:t>
      </w:r>
      <w:r>
        <w:rPr>
          <w:rFonts w:hint="eastAsia" w:ascii="宋体" w:hAnsi="宋体"/>
          <w:b/>
          <w:bCs/>
          <w:color w:val="auto"/>
          <w:sz w:val="24"/>
          <w:szCs w:val="24"/>
        </w:rPr>
        <w:t>）</w:t>
      </w:r>
    </w:p>
    <w:p w14:paraId="627BF47F">
      <w:pPr>
        <w:numPr>
          <w:ilvl w:val="0"/>
          <w:numId w:val="0"/>
        </w:numPr>
        <w:rPr>
          <w:rFonts w:hint="eastAsia"/>
          <w:color w:val="auto"/>
        </w:rPr>
      </w:pPr>
    </w:p>
    <w:p w14:paraId="5EA6D94A">
      <w:pPr>
        <w:rPr>
          <w:rFonts w:hint="eastAsia"/>
          <w:color w:val="auto"/>
          <w:sz w:val="30"/>
          <w:szCs w:val="30"/>
        </w:rPr>
      </w:pPr>
    </w:p>
    <w:p w14:paraId="6294074F">
      <w:pPr>
        <w:rPr>
          <w:rFonts w:hint="eastAsia"/>
          <w:color w:val="auto"/>
          <w:sz w:val="30"/>
          <w:szCs w:val="30"/>
        </w:rPr>
      </w:pPr>
    </w:p>
    <w:p w14:paraId="70EFF152">
      <w:pPr>
        <w:rPr>
          <w:rFonts w:hint="eastAsia"/>
          <w:color w:val="auto"/>
          <w:sz w:val="30"/>
          <w:szCs w:val="30"/>
        </w:rPr>
      </w:pPr>
    </w:p>
    <w:p w14:paraId="0F7DCB0D">
      <w:pPr>
        <w:rPr>
          <w:rFonts w:hint="eastAsia"/>
          <w:color w:val="auto"/>
          <w:sz w:val="30"/>
          <w:szCs w:val="30"/>
        </w:rPr>
      </w:pPr>
    </w:p>
    <w:p w14:paraId="7B30FABE">
      <w:pPr>
        <w:rPr>
          <w:rFonts w:hint="eastAsia"/>
          <w:color w:val="auto"/>
          <w:sz w:val="30"/>
          <w:szCs w:val="30"/>
        </w:rPr>
      </w:pPr>
    </w:p>
    <w:p w14:paraId="5CA6CC88">
      <w:pPr>
        <w:rPr>
          <w:rFonts w:hint="eastAsia"/>
          <w:color w:val="auto"/>
          <w:sz w:val="30"/>
          <w:szCs w:val="30"/>
        </w:rPr>
      </w:pPr>
    </w:p>
    <w:p w14:paraId="0A880B37">
      <w:pPr>
        <w:ind w:firstLine="281" w:firstLineChars="100"/>
        <w:rPr>
          <w:rFonts w:hint="eastAsia" w:ascii="仿宋_GB2312" w:eastAsia="仿宋_GB2312"/>
          <w:b/>
          <w:color w:val="auto"/>
          <w:sz w:val="28"/>
          <w:szCs w:val="28"/>
        </w:rPr>
      </w:pPr>
    </w:p>
    <w:p w14:paraId="2F06A7D7">
      <w:pPr>
        <w:ind w:firstLine="281" w:firstLineChars="100"/>
        <w:rPr>
          <w:rFonts w:hint="eastAsia" w:ascii="仿宋_GB2312" w:eastAsia="仿宋_GB2312"/>
          <w:b/>
          <w:color w:val="auto"/>
          <w:sz w:val="28"/>
          <w:szCs w:val="28"/>
        </w:rPr>
      </w:pPr>
    </w:p>
    <w:p w14:paraId="17B6E461">
      <w:pPr>
        <w:ind w:firstLine="281" w:firstLineChars="100"/>
        <w:rPr>
          <w:rFonts w:hint="eastAsia" w:ascii="仿宋_GB2312" w:eastAsia="仿宋_GB2312"/>
          <w:b/>
          <w:color w:val="auto"/>
          <w:sz w:val="28"/>
          <w:szCs w:val="28"/>
        </w:rPr>
      </w:pPr>
    </w:p>
    <w:p w14:paraId="0C0CD44C">
      <w:pPr>
        <w:ind w:firstLine="281" w:firstLineChars="100"/>
        <w:rPr>
          <w:rFonts w:hint="eastAsia" w:ascii="仿宋_GB2312" w:eastAsia="仿宋_GB2312"/>
          <w:b/>
          <w:color w:val="auto"/>
          <w:sz w:val="28"/>
          <w:szCs w:val="28"/>
        </w:rPr>
      </w:pPr>
    </w:p>
    <w:p w14:paraId="3CE2E7C9">
      <w:pPr>
        <w:ind w:firstLine="281" w:firstLineChars="100"/>
        <w:rPr>
          <w:rFonts w:hint="eastAsia" w:ascii="仿宋_GB2312" w:eastAsia="仿宋_GB2312"/>
          <w:b/>
          <w:color w:val="auto"/>
          <w:sz w:val="28"/>
          <w:szCs w:val="28"/>
        </w:rPr>
      </w:pPr>
    </w:p>
    <w:p w14:paraId="6695B216">
      <w:pPr>
        <w:ind w:firstLine="281" w:firstLineChars="100"/>
        <w:rPr>
          <w:rFonts w:hint="eastAsia" w:ascii="仿宋_GB2312" w:eastAsia="仿宋_GB2312"/>
          <w:b/>
          <w:color w:val="auto"/>
          <w:sz w:val="28"/>
          <w:szCs w:val="28"/>
        </w:rPr>
      </w:pPr>
    </w:p>
    <w:p w14:paraId="2F1D2FB1">
      <w:pPr>
        <w:ind w:firstLine="281" w:firstLineChars="100"/>
        <w:rPr>
          <w:rFonts w:hint="eastAsia" w:ascii="仿宋_GB2312" w:eastAsia="仿宋_GB2312"/>
          <w:b/>
          <w:color w:val="auto"/>
          <w:sz w:val="28"/>
          <w:szCs w:val="28"/>
        </w:rPr>
      </w:pPr>
    </w:p>
    <w:p w14:paraId="06B7165D">
      <w:pPr>
        <w:ind w:firstLine="281" w:firstLineChars="100"/>
        <w:rPr>
          <w:rFonts w:hint="eastAsia" w:ascii="仿宋_GB2312" w:eastAsia="仿宋_GB2312"/>
          <w:b/>
          <w:color w:val="auto"/>
          <w:sz w:val="28"/>
          <w:szCs w:val="28"/>
        </w:rPr>
      </w:pPr>
    </w:p>
    <w:p w14:paraId="4E885955">
      <w:pPr>
        <w:ind w:firstLine="281" w:firstLineChars="100"/>
        <w:rPr>
          <w:rFonts w:hint="eastAsia" w:ascii="仿宋_GB2312" w:eastAsia="仿宋_GB2312"/>
          <w:b/>
          <w:color w:val="auto"/>
          <w:sz w:val="28"/>
          <w:szCs w:val="28"/>
        </w:rPr>
      </w:pPr>
    </w:p>
    <w:p w14:paraId="2CB67005">
      <w:pPr>
        <w:ind w:firstLine="281" w:firstLineChars="100"/>
        <w:rPr>
          <w:rFonts w:hint="eastAsia" w:ascii="仿宋_GB2312" w:eastAsia="仿宋_GB2312"/>
          <w:b/>
          <w:color w:val="auto"/>
          <w:sz w:val="28"/>
          <w:szCs w:val="28"/>
        </w:rPr>
      </w:pPr>
    </w:p>
    <w:p w14:paraId="60FB9A36">
      <w:pPr>
        <w:ind w:firstLine="281" w:firstLineChars="100"/>
        <w:rPr>
          <w:rFonts w:hint="eastAsia" w:ascii="仿宋_GB2312" w:eastAsia="仿宋_GB2312"/>
          <w:b/>
          <w:color w:val="auto"/>
          <w:sz w:val="28"/>
          <w:szCs w:val="28"/>
        </w:rPr>
      </w:pPr>
    </w:p>
    <w:p w14:paraId="4CE475A1">
      <w:pPr>
        <w:ind w:firstLine="281" w:firstLineChars="100"/>
        <w:rPr>
          <w:rFonts w:hint="eastAsia" w:ascii="仿宋_GB2312" w:eastAsia="仿宋_GB2312"/>
          <w:b/>
          <w:color w:val="auto"/>
          <w:sz w:val="28"/>
          <w:szCs w:val="28"/>
        </w:rPr>
      </w:pPr>
    </w:p>
    <w:p w14:paraId="19A06E75">
      <w:pPr>
        <w:ind w:firstLine="281" w:firstLineChars="100"/>
        <w:rPr>
          <w:rFonts w:hint="eastAsia" w:ascii="仿宋_GB2312" w:eastAsia="仿宋_GB2312"/>
          <w:b/>
          <w:color w:val="auto"/>
          <w:sz w:val="28"/>
          <w:szCs w:val="28"/>
        </w:rPr>
      </w:pPr>
    </w:p>
    <w:p w14:paraId="29808926">
      <w:pPr>
        <w:ind w:firstLine="281" w:firstLineChars="100"/>
        <w:rPr>
          <w:rFonts w:hint="eastAsia" w:ascii="仿宋_GB2312" w:eastAsia="仿宋_GB2312"/>
          <w:b/>
          <w:color w:val="auto"/>
          <w:sz w:val="28"/>
          <w:szCs w:val="28"/>
        </w:rPr>
      </w:pPr>
    </w:p>
    <w:p w14:paraId="7008013D">
      <w:pPr>
        <w:ind w:firstLine="281" w:firstLineChars="100"/>
        <w:rPr>
          <w:rFonts w:hint="eastAsia" w:ascii="仿宋_GB2312" w:eastAsia="仿宋_GB2312"/>
          <w:b/>
          <w:color w:val="auto"/>
          <w:sz w:val="28"/>
          <w:szCs w:val="28"/>
        </w:rPr>
      </w:pPr>
    </w:p>
    <w:p w14:paraId="11CB3F5A">
      <w:pPr>
        <w:ind w:firstLine="281" w:firstLineChars="100"/>
        <w:rPr>
          <w:rFonts w:hint="eastAsia" w:ascii="仿宋_GB2312" w:eastAsia="仿宋_GB2312"/>
          <w:b/>
          <w:color w:val="auto"/>
          <w:sz w:val="28"/>
          <w:szCs w:val="28"/>
        </w:rPr>
      </w:pPr>
    </w:p>
    <w:p w14:paraId="60711AD5">
      <w:pPr>
        <w:ind w:firstLine="281" w:firstLineChars="100"/>
        <w:rPr>
          <w:rFonts w:hint="eastAsia" w:ascii="仿宋_GB2312" w:eastAsia="仿宋_GB2312"/>
          <w:b/>
          <w:color w:val="auto"/>
          <w:sz w:val="28"/>
          <w:szCs w:val="28"/>
        </w:rPr>
      </w:pPr>
    </w:p>
    <w:p w14:paraId="63EBA4D8">
      <w:pPr>
        <w:ind w:firstLine="281" w:firstLineChars="100"/>
        <w:rPr>
          <w:rFonts w:hint="eastAsia" w:ascii="仿宋_GB2312" w:eastAsia="仿宋_GB2312"/>
          <w:b/>
          <w:color w:val="auto"/>
          <w:sz w:val="28"/>
          <w:szCs w:val="28"/>
        </w:rPr>
      </w:pPr>
    </w:p>
    <w:p w14:paraId="121E7493">
      <w:pPr>
        <w:ind w:firstLine="281" w:firstLineChars="100"/>
        <w:rPr>
          <w:rFonts w:hint="eastAsia" w:ascii="仿宋_GB2312" w:eastAsia="仿宋_GB2312"/>
          <w:b/>
          <w:color w:val="auto"/>
          <w:sz w:val="28"/>
          <w:szCs w:val="28"/>
        </w:rPr>
      </w:pPr>
    </w:p>
    <w:p w14:paraId="22878BA8">
      <w:pPr>
        <w:rPr>
          <w:rFonts w:hint="eastAsia" w:ascii="仿宋_GB2312" w:eastAsia="仿宋_GB2312"/>
          <w:b/>
          <w:color w:val="auto"/>
          <w:sz w:val="28"/>
          <w:szCs w:val="28"/>
        </w:rPr>
      </w:pPr>
    </w:p>
    <w:p w14:paraId="27F62843">
      <w:pPr>
        <w:rPr>
          <w:rFonts w:hint="eastAsia" w:ascii="仿宋_GB2312" w:eastAsia="仿宋_GB2312"/>
          <w:b/>
          <w:color w:val="auto"/>
          <w:sz w:val="28"/>
          <w:szCs w:val="28"/>
        </w:rPr>
      </w:pPr>
    </w:p>
    <w:p w14:paraId="210AF980">
      <w:pPr>
        <w:ind w:firstLine="281" w:firstLineChars="100"/>
        <w:rPr>
          <w:rFonts w:hint="eastAsia" w:ascii="仿宋_GB2312" w:eastAsia="仿宋_GB2312"/>
          <w:b/>
          <w:color w:val="auto"/>
          <w:sz w:val="28"/>
          <w:szCs w:val="28"/>
        </w:rPr>
      </w:pPr>
    </w:p>
    <w:p w14:paraId="4C84CB28">
      <w:pPr>
        <w:ind w:firstLine="281" w:firstLineChars="100"/>
        <w:rPr>
          <w:rFonts w:hint="eastAsia" w:ascii="仿宋_GB2312" w:eastAsia="仿宋_GB2312"/>
          <w:b/>
          <w:color w:val="auto"/>
          <w:sz w:val="28"/>
          <w:szCs w:val="28"/>
        </w:rPr>
      </w:pPr>
    </w:p>
    <w:p w14:paraId="10B7017E">
      <w:pPr>
        <w:ind w:firstLine="281" w:firstLineChars="100"/>
        <w:rPr>
          <w:rFonts w:hint="eastAsia" w:ascii="仿宋_GB2312" w:eastAsia="仿宋_GB2312"/>
          <w:b/>
          <w:color w:val="auto"/>
          <w:sz w:val="28"/>
          <w:szCs w:val="28"/>
        </w:rPr>
      </w:pPr>
    </w:p>
    <w:p w14:paraId="2D326454">
      <w:pPr>
        <w:rPr>
          <w:rFonts w:hint="eastAsia"/>
          <w:color w:val="auto"/>
          <w:sz w:val="30"/>
          <w:szCs w:val="30"/>
        </w:rPr>
      </w:pPr>
    </w:p>
    <w:p w14:paraId="09E53F71">
      <w:pPr>
        <w:pStyle w:val="4"/>
        <w:jc w:val="center"/>
        <w:outlineLvl w:val="1"/>
        <w:rPr>
          <w:rFonts w:hint="eastAsia"/>
          <w:color w:val="auto"/>
          <w:lang w:eastAsia="zh-CN"/>
        </w:rPr>
      </w:pPr>
      <w:bookmarkStart w:id="452" w:name="_Toc273602358"/>
      <w:bookmarkStart w:id="453" w:name="_Toc245714176"/>
      <w:bookmarkStart w:id="454" w:name="_Toc328559339"/>
      <w:r>
        <w:rPr>
          <w:rFonts w:hint="eastAsia"/>
          <w:color w:val="auto"/>
        </w:rPr>
        <w:t>四．</w:t>
      </w:r>
      <w:bookmarkEnd w:id="452"/>
      <w:bookmarkEnd w:id="453"/>
      <w:bookmarkEnd w:id="454"/>
      <w:r>
        <w:rPr>
          <w:rFonts w:hint="eastAsia"/>
          <w:color w:val="auto"/>
          <w:lang w:eastAsia="zh-CN"/>
        </w:rPr>
        <w:t>拟委任的项目经理（项目技术负责人）简历</w:t>
      </w:r>
    </w:p>
    <w:tbl>
      <w:tblPr>
        <w:tblStyle w:val="5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20"/>
        <w:gridCol w:w="1433"/>
        <w:gridCol w:w="644"/>
        <w:gridCol w:w="437"/>
        <w:gridCol w:w="209"/>
        <w:gridCol w:w="1474"/>
        <w:gridCol w:w="1268"/>
        <w:gridCol w:w="391"/>
        <w:gridCol w:w="2011"/>
      </w:tblGrid>
      <w:tr w14:paraId="2A5D8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pct"/>
            <w:noWrap w:val="0"/>
            <w:vAlign w:val="center"/>
          </w:tcPr>
          <w:p w14:paraId="542A58E4">
            <w:pPr>
              <w:jc w:val="center"/>
              <w:rPr>
                <w:rFonts w:ascii="宋体" w:hAnsi="宋体"/>
                <w:color w:val="auto"/>
                <w:szCs w:val="21"/>
              </w:rPr>
            </w:pPr>
            <w:r>
              <w:rPr>
                <w:rFonts w:ascii="宋体" w:hAnsi="宋体"/>
                <w:color w:val="auto"/>
                <w:szCs w:val="21"/>
              </w:rPr>
              <w:t>姓  名</w:t>
            </w:r>
          </w:p>
        </w:tc>
        <w:tc>
          <w:tcPr>
            <w:tcW w:w="792" w:type="pct"/>
            <w:gridSpan w:val="2"/>
            <w:noWrap w:val="0"/>
            <w:vAlign w:val="center"/>
          </w:tcPr>
          <w:p w14:paraId="231AC616">
            <w:pPr>
              <w:jc w:val="center"/>
              <w:rPr>
                <w:rFonts w:ascii="宋体" w:hAnsi="宋体"/>
                <w:color w:val="auto"/>
                <w:szCs w:val="21"/>
              </w:rPr>
            </w:pPr>
          </w:p>
        </w:tc>
        <w:tc>
          <w:tcPr>
            <w:tcW w:w="703" w:type="pct"/>
            <w:gridSpan w:val="3"/>
            <w:noWrap w:val="0"/>
            <w:vAlign w:val="center"/>
          </w:tcPr>
          <w:p w14:paraId="4A192822">
            <w:pPr>
              <w:jc w:val="center"/>
              <w:rPr>
                <w:rFonts w:ascii="宋体" w:hAnsi="宋体"/>
                <w:color w:val="auto"/>
                <w:szCs w:val="21"/>
              </w:rPr>
            </w:pPr>
            <w:r>
              <w:rPr>
                <w:rFonts w:ascii="宋体" w:hAnsi="宋体"/>
                <w:color w:val="auto"/>
                <w:szCs w:val="21"/>
              </w:rPr>
              <w:t>年 龄</w:t>
            </w:r>
          </w:p>
        </w:tc>
        <w:tc>
          <w:tcPr>
            <w:tcW w:w="803" w:type="pct"/>
            <w:noWrap w:val="0"/>
            <w:vAlign w:val="center"/>
          </w:tcPr>
          <w:p w14:paraId="66C00939">
            <w:pPr>
              <w:jc w:val="center"/>
              <w:rPr>
                <w:rFonts w:ascii="宋体" w:hAnsi="宋体"/>
                <w:color w:val="auto"/>
                <w:szCs w:val="21"/>
              </w:rPr>
            </w:pPr>
          </w:p>
        </w:tc>
        <w:tc>
          <w:tcPr>
            <w:tcW w:w="904" w:type="pct"/>
            <w:gridSpan w:val="2"/>
            <w:noWrap w:val="0"/>
            <w:vAlign w:val="center"/>
          </w:tcPr>
          <w:p w14:paraId="2E8BF667">
            <w:pPr>
              <w:jc w:val="center"/>
              <w:rPr>
                <w:rFonts w:ascii="宋体" w:hAnsi="宋体"/>
                <w:color w:val="auto"/>
                <w:szCs w:val="21"/>
              </w:rPr>
            </w:pPr>
            <w:r>
              <w:rPr>
                <w:rFonts w:ascii="宋体" w:hAnsi="宋体"/>
                <w:color w:val="auto"/>
                <w:szCs w:val="21"/>
              </w:rPr>
              <w:t>学</w:t>
            </w:r>
            <w:r>
              <w:rPr>
                <w:rFonts w:hint="eastAsia" w:ascii="宋体" w:hAnsi="宋体"/>
                <w:color w:val="auto"/>
                <w:szCs w:val="21"/>
              </w:rPr>
              <w:t xml:space="preserve"> </w:t>
            </w:r>
            <w:r>
              <w:rPr>
                <w:rFonts w:ascii="宋体" w:hAnsi="宋体"/>
                <w:color w:val="auto"/>
                <w:szCs w:val="21"/>
              </w:rPr>
              <w:t>历</w:t>
            </w:r>
          </w:p>
        </w:tc>
        <w:tc>
          <w:tcPr>
            <w:tcW w:w="1096" w:type="pct"/>
            <w:noWrap w:val="0"/>
            <w:vAlign w:val="center"/>
          </w:tcPr>
          <w:p w14:paraId="62838105">
            <w:pPr>
              <w:jc w:val="center"/>
              <w:rPr>
                <w:rFonts w:ascii="宋体" w:hAnsi="宋体"/>
                <w:color w:val="auto"/>
                <w:szCs w:val="21"/>
              </w:rPr>
            </w:pPr>
          </w:p>
        </w:tc>
      </w:tr>
      <w:tr w14:paraId="5E23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pct"/>
            <w:noWrap w:val="0"/>
            <w:vAlign w:val="center"/>
          </w:tcPr>
          <w:p w14:paraId="5BF72EEE">
            <w:pPr>
              <w:jc w:val="center"/>
              <w:rPr>
                <w:rFonts w:ascii="宋体" w:hAnsi="宋体"/>
                <w:color w:val="auto"/>
                <w:szCs w:val="21"/>
              </w:rPr>
            </w:pPr>
            <w:r>
              <w:rPr>
                <w:rFonts w:ascii="宋体" w:hAnsi="宋体"/>
                <w:color w:val="auto"/>
                <w:szCs w:val="21"/>
              </w:rPr>
              <w:t>职  称</w:t>
            </w:r>
          </w:p>
        </w:tc>
        <w:tc>
          <w:tcPr>
            <w:tcW w:w="792" w:type="pct"/>
            <w:gridSpan w:val="2"/>
            <w:noWrap w:val="0"/>
            <w:vAlign w:val="center"/>
          </w:tcPr>
          <w:p w14:paraId="5156D968">
            <w:pPr>
              <w:jc w:val="center"/>
              <w:rPr>
                <w:rFonts w:ascii="宋体" w:hAnsi="宋体"/>
                <w:color w:val="auto"/>
                <w:szCs w:val="21"/>
              </w:rPr>
            </w:pPr>
          </w:p>
        </w:tc>
        <w:tc>
          <w:tcPr>
            <w:tcW w:w="703" w:type="pct"/>
            <w:gridSpan w:val="3"/>
            <w:noWrap w:val="0"/>
            <w:vAlign w:val="center"/>
          </w:tcPr>
          <w:p w14:paraId="67EBB89D">
            <w:pPr>
              <w:jc w:val="center"/>
              <w:rPr>
                <w:rFonts w:ascii="宋体" w:hAnsi="宋体"/>
                <w:color w:val="auto"/>
                <w:szCs w:val="21"/>
              </w:rPr>
            </w:pPr>
            <w:r>
              <w:rPr>
                <w:rFonts w:hint="eastAsia" w:ascii="宋体" w:hAnsi="宋体"/>
                <w:color w:val="auto"/>
                <w:szCs w:val="21"/>
              </w:rPr>
              <w:t>单位</w:t>
            </w:r>
          </w:p>
          <w:p w14:paraId="5E862E12">
            <w:pPr>
              <w:jc w:val="center"/>
              <w:rPr>
                <w:rFonts w:ascii="宋体" w:hAnsi="宋体"/>
                <w:color w:val="auto"/>
                <w:szCs w:val="21"/>
              </w:rPr>
            </w:pPr>
            <w:r>
              <w:rPr>
                <w:rFonts w:ascii="宋体" w:hAnsi="宋体"/>
                <w:color w:val="auto"/>
                <w:szCs w:val="21"/>
              </w:rPr>
              <w:t>职务</w:t>
            </w:r>
          </w:p>
        </w:tc>
        <w:tc>
          <w:tcPr>
            <w:tcW w:w="803" w:type="pct"/>
            <w:noWrap w:val="0"/>
            <w:vAlign w:val="center"/>
          </w:tcPr>
          <w:p w14:paraId="39946272">
            <w:pPr>
              <w:jc w:val="center"/>
              <w:rPr>
                <w:rFonts w:ascii="宋体" w:hAnsi="宋体"/>
                <w:color w:val="auto"/>
                <w:szCs w:val="21"/>
              </w:rPr>
            </w:pPr>
          </w:p>
        </w:tc>
        <w:tc>
          <w:tcPr>
            <w:tcW w:w="904" w:type="pct"/>
            <w:gridSpan w:val="2"/>
            <w:noWrap w:val="0"/>
            <w:vAlign w:val="center"/>
          </w:tcPr>
          <w:p w14:paraId="5354EB25">
            <w:pPr>
              <w:jc w:val="center"/>
              <w:rPr>
                <w:rFonts w:ascii="宋体" w:hAnsi="宋体"/>
                <w:color w:val="auto"/>
                <w:szCs w:val="21"/>
              </w:rPr>
            </w:pPr>
            <w:r>
              <w:rPr>
                <w:rFonts w:ascii="宋体" w:hAnsi="宋体"/>
                <w:color w:val="auto"/>
                <w:szCs w:val="21"/>
              </w:rPr>
              <w:t>拟在本</w:t>
            </w:r>
            <w:r>
              <w:rPr>
                <w:rFonts w:hint="eastAsia" w:ascii="宋体" w:hAnsi="宋体"/>
                <w:color w:val="auto"/>
                <w:szCs w:val="21"/>
              </w:rPr>
              <w:t>标段</w:t>
            </w:r>
          </w:p>
          <w:p w14:paraId="69E923FD">
            <w:pPr>
              <w:jc w:val="center"/>
              <w:rPr>
                <w:rFonts w:ascii="宋体" w:hAnsi="宋体"/>
                <w:color w:val="auto"/>
                <w:szCs w:val="21"/>
              </w:rPr>
            </w:pPr>
            <w:r>
              <w:rPr>
                <w:rFonts w:hint="eastAsia" w:ascii="宋体" w:hAnsi="宋体"/>
                <w:color w:val="auto"/>
                <w:szCs w:val="21"/>
              </w:rPr>
              <w:t>工程担任职务</w:t>
            </w:r>
          </w:p>
        </w:tc>
        <w:tc>
          <w:tcPr>
            <w:tcW w:w="1096" w:type="pct"/>
            <w:noWrap w:val="0"/>
            <w:vAlign w:val="center"/>
          </w:tcPr>
          <w:p w14:paraId="3A1FDDE6">
            <w:pPr>
              <w:jc w:val="center"/>
              <w:rPr>
                <w:rFonts w:ascii="宋体" w:hAnsi="宋体"/>
                <w:color w:val="auto"/>
                <w:szCs w:val="21"/>
              </w:rPr>
            </w:pPr>
          </w:p>
        </w:tc>
      </w:tr>
      <w:tr w14:paraId="7DD8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pct"/>
            <w:noWrap w:val="0"/>
            <w:vAlign w:val="center"/>
          </w:tcPr>
          <w:p w14:paraId="7C095E62">
            <w:pPr>
              <w:jc w:val="center"/>
              <w:rPr>
                <w:rFonts w:ascii="宋体" w:hAnsi="宋体"/>
                <w:color w:val="auto"/>
                <w:szCs w:val="21"/>
              </w:rPr>
            </w:pPr>
            <w:r>
              <w:rPr>
                <w:rFonts w:ascii="宋体" w:hAnsi="宋体"/>
                <w:color w:val="auto"/>
                <w:szCs w:val="21"/>
              </w:rPr>
              <w:t>毕业学校</w:t>
            </w:r>
          </w:p>
        </w:tc>
        <w:tc>
          <w:tcPr>
            <w:tcW w:w="4298" w:type="pct"/>
            <w:gridSpan w:val="9"/>
            <w:noWrap w:val="0"/>
            <w:vAlign w:val="center"/>
          </w:tcPr>
          <w:p w14:paraId="77C15F31">
            <w:pPr>
              <w:rPr>
                <w:rFonts w:ascii="宋体" w:hAnsi="宋体"/>
                <w:color w:val="auto"/>
                <w:szCs w:val="21"/>
              </w:rPr>
            </w:pPr>
            <w:r>
              <w:rPr>
                <w:rFonts w:ascii="宋体" w:hAnsi="宋体"/>
                <w:color w:val="auto"/>
                <w:szCs w:val="21"/>
                <w:u w:val="single"/>
              </w:rPr>
              <w:t xml:space="preserve">    </w:t>
            </w:r>
            <w:r>
              <w:rPr>
                <w:rFonts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ascii="宋体" w:hAnsi="宋体"/>
                <w:color w:val="auto"/>
                <w:szCs w:val="21"/>
              </w:rPr>
              <w:t>毕业于</w:t>
            </w:r>
            <w:r>
              <w:rPr>
                <w:rFonts w:ascii="宋体" w:hAnsi="宋体"/>
                <w:color w:val="auto"/>
                <w:szCs w:val="21"/>
                <w:u w:val="single"/>
              </w:rPr>
              <w:t xml:space="preserve">            </w:t>
            </w:r>
            <w:r>
              <w:rPr>
                <w:rFonts w:ascii="宋体" w:hAnsi="宋体"/>
                <w:color w:val="auto"/>
                <w:szCs w:val="21"/>
              </w:rPr>
              <w:t>学校</w:t>
            </w:r>
            <w:r>
              <w:rPr>
                <w:rFonts w:ascii="宋体" w:hAnsi="宋体"/>
                <w:color w:val="auto"/>
                <w:szCs w:val="21"/>
                <w:u w:val="single"/>
              </w:rPr>
              <w:t xml:space="preserve">        </w:t>
            </w:r>
            <w:r>
              <w:rPr>
                <w:rFonts w:ascii="宋体" w:hAnsi="宋体"/>
                <w:color w:val="auto"/>
                <w:szCs w:val="21"/>
              </w:rPr>
              <w:t>专业</w:t>
            </w:r>
            <w:r>
              <w:rPr>
                <w:rFonts w:hint="eastAsia" w:ascii="宋体" w:hAnsi="宋体"/>
                <w:color w:val="auto"/>
                <w:szCs w:val="21"/>
              </w:rPr>
              <w:t>，学制</w:t>
            </w:r>
            <w:r>
              <w:rPr>
                <w:rFonts w:hint="eastAsia" w:ascii="宋体" w:hAnsi="宋体"/>
                <w:color w:val="auto"/>
                <w:szCs w:val="21"/>
                <w:u w:val="single"/>
              </w:rPr>
              <w:t xml:space="preserve">   </w:t>
            </w:r>
            <w:r>
              <w:rPr>
                <w:rFonts w:hint="eastAsia" w:ascii="宋体" w:hAnsi="宋体"/>
                <w:color w:val="auto"/>
                <w:szCs w:val="21"/>
              </w:rPr>
              <w:t>年</w:t>
            </w:r>
          </w:p>
        </w:tc>
      </w:tr>
      <w:tr w14:paraId="2751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noWrap w:val="0"/>
            <w:vAlign w:val="center"/>
          </w:tcPr>
          <w:p w14:paraId="3164FD31">
            <w:pPr>
              <w:jc w:val="center"/>
              <w:rPr>
                <w:rFonts w:ascii="宋体" w:hAnsi="宋体"/>
                <w:color w:val="auto"/>
              </w:rPr>
            </w:pPr>
            <w:r>
              <w:rPr>
                <w:rFonts w:ascii="宋体" w:hAnsi="宋体"/>
                <w:color w:val="auto"/>
                <w:szCs w:val="21"/>
              </w:rPr>
              <w:t>经</w:t>
            </w:r>
            <w:r>
              <w:rPr>
                <w:rFonts w:hint="eastAsia" w:ascii="宋体" w:hAnsi="宋体"/>
                <w:color w:val="auto"/>
                <w:szCs w:val="21"/>
              </w:rPr>
              <w:t xml:space="preserve">    </w:t>
            </w:r>
            <w:r>
              <w:rPr>
                <w:rFonts w:ascii="宋体" w:hAnsi="宋体"/>
                <w:color w:val="auto"/>
                <w:szCs w:val="21"/>
              </w:rPr>
              <w:t>历</w:t>
            </w:r>
          </w:p>
        </w:tc>
      </w:tr>
      <w:tr w14:paraId="24ED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41E2E8AC">
            <w:pPr>
              <w:jc w:val="center"/>
              <w:rPr>
                <w:rFonts w:ascii="宋体" w:hAnsi="宋体"/>
                <w:color w:val="auto"/>
                <w:szCs w:val="21"/>
              </w:rPr>
            </w:pPr>
            <w:r>
              <w:rPr>
                <w:rFonts w:hint="eastAsia" w:ascii="宋体" w:hAnsi="宋体"/>
                <w:color w:val="auto"/>
                <w:szCs w:val="21"/>
              </w:rPr>
              <w:t>时间</w:t>
            </w:r>
          </w:p>
        </w:tc>
        <w:tc>
          <w:tcPr>
            <w:tcW w:w="1370" w:type="pct"/>
            <w:gridSpan w:val="3"/>
            <w:noWrap w:val="0"/>
            <w:vAlign w:val="center"/>
          </w:tcPr>
          <w:p w14:paraId="59FE7CB1">
            <w:pPr>
              <w:jc w:val="center"/>
              <w:rPr>
                <w:rFonts w:ascii="宋体" w:hAnsi="宋体"/>
                <w:color w:val="auto"/>
                <w:szCs w:val="21"/>
              </w:rPr>
            </w:pPr>
            <w:r>
              <w:rPr>
                <w:rFonts w:ascii="宋体" w:hAnsi="宋体"/>
                <w:color w:val="auto"/>
                <w:szCs w:val="21"/>
              </w:rPr>
              <w:t>参加过的</w:t>
            </w:r>
            <w:r>
              <w:rPr>
                <w:rFonts w:hint="eastAsia" w:ascii="宋体" w:hAnsi="宋体"/>
                <w:color w:val="auto"/>
                <w:szCs w:val="21"/>
              </w:rPr>
              <w:t>工程</w:t>
            </w:r>
            <w:r>
              <w:rPr>
                <w:rFonts w:ascii="宋体" w:hAnsi="宋体"/>
                <w:color w:val="auto"/>
                <w:szCs w:val="21"/>
              </w:rPr>
              <w:t>项目</w:t>
            </w:r>
            <w:r>
              <w:rPr>
                <w:rFonts w:hint="eastAsia" w:ascii="宋体" w:hAnsi="宋体"/>
                <w:color w:val="auto"/>
                <w:szCs w:val="21"/>
              </w:rPr>
              <w:t>名称</w:t>
            </w:r>
          </w:p>
        </w:tc>
        <w:tc>
          <w:tcPr>
            <w:tcW w:w="917" w:type="pct"/>
            <w:gridSpan w:val="2"/>
            <w:noWrap w:val="0"/>
            <w:vAlign w:val="center"/>
          </w:tcPr>
          <w:p w14:paraId="584AF465">
            <w:pPr>
              <w:jc w:val="center"/>
              <w:rPr>
                <w:rFonts w:ascii="宋体" w:hAnsi="宋体"/>
                <w:color w:val="auto"/>
                <w:szCs w:val="21"/>
              </w:rPr>
            </w:pPr>
            <w:r>
              <w:rPr>
                <w:rFonts w:hint="eastAsia" w:ascii="宋体" w:hAnsi="宋体"/>
                <w:color w:val="auto"/>
                <w:szCs w:val="21"/>
              </w:rPr>
              <w:t>签约合同价金额（万元）</w:t>
            </w:r>
          </w:p>
        </w:tc>
        <w:tc>
          <w:tcPr>
            <w:tcW w:w="691" w:type="pct"/>
            <w:noWrap w:val="0"/>
            <w:vAlign w:val="center"/>
          </w:tcPr>
          <w:p w14:paraId="382E9747">
            <w:pPr>
              <w:jc w:val="center"/>
              <w:rPr>
                <w:rFonts w:ascii="宋体" w:hAnsi="宋体"/>
                <w:color w:val="auto"/>
                <w:szCs w:val="21"/>
              </w:rPr>
            </w:pPr>
            <w:r>
              <w:rPr>
                <w:rFonts w:ascii="宋体" w:hAnsi="宋体"/>
                <w:color w:val="auto"/>
                <w:szCs w:val="21"/>
              </w:rPr>
              <w:t>担任职务</w:t>
            </w:r>
          </w:p>
        </w:tc>
        <w:tc>
          <w:tcPr>
            <w:tcW w:w="1309" w:type="pct"/>
            <w:gridSpan w:val="2"/>
            <w:noWrap w:val="0"/>
            <w:vAlign w:val="center"/>
          </w:tcPr>
          <w:p w14:paraId="7067EEE2">
            <w:pPr>
              <w:rPr>
                <w:rFonts w:ascii="宋体" w:hAnsi="宋体"/>
                <w:color w:val="auto"/>
                <w:szCs w:val="21"/>
              </w:rPr>
            </w:pPr>
            <w:r>
              <w:rPr>
                <w:rFonts w:ascii="宋体" w:hAnsi="宋体"/>
                <w:color w:val="auto"/>
                <w:szCs w:val="21"/>
              </w:rPr>
              <w:t>发包人及联系电话</w:t>
            </w:r>
          </w:p>
        </w:tc>
      </w:tr>
      <w:tr w14:paraId="5E55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5989C990">
            <w:pPr>
              <w:rPr>
                <w:rFonts w:ascii="宋体" w:hAnsi="宋体"/>
                <w:color w:val="auto"/>
                <w:szCs w:val="21"/>
              </w:rPr>
            </w:pPr>
          </w:p>
        </w:tc>
        <w:tc>
          <w:tcPr>
            <w:tcW w:w="1370" w:type="pct"/>
            <w:gridSpan w:val="3"/>
            <w:noWrap w:val="0"/>
            <w:vAlign w:val="top"/>
          </w:tcPr>
          <w:p w14:paraId="5CB5DBCA">
            <w:pPr>
              <w:rPr>
                <w:rFonts w:ascii="宋体" w:hAnsi="宋体"/>
                <w:color w:val="auto"/>
                <w:szCs w:val="21"/>
              </w:rPr>
            </w:pPr>
          </w:p>
        </w:tc>
        <w:tc>
          <w:tcPr>
            <w:tcW w:w="917" w:type="pct"/>
            <w:gridSpan w:val="2"/>
            <w:noWrap w:val="0"/>
            <w:vAlign w:val="top"/>
          </w:tcPr>
          <w:p w14:paraId="74BD9475">
            <w:pPr>
              <w:rPr>
                <w:rFonts w:ascii="宋体" w:hAnsi="宋体"/>
                <w:color w:val="auto"/>
                <w:szCs w:val="21"/>
              </w:rPr>
            </w:pPr>
          </w:p>
        </w:tc>
        <w:tc>
          <w:tcPr>
            <w:tcW w:w="691" w:type="pct"/>
            <w:noWrap w:val="0"/>
            <w:vAlign w:val="top"/>
          </w:tcPr>
          <w:p w14:paraId="1430AB52">
            <w:pPr>
              <w:rPr>
                <w:rFonts w:ascii="宋体" w:hAnsi="宋体"/>
                <w:color w:val="auto"/>
                <w:szCs w:val="21"/>
              </w:rPr>
            </w:pPr>
          </w:p>
        </w:tc>
        <w:tc>
          <w:tcPr>
            <w:tcW w:w="1309" w:type="pct"/>
            <w:gridSpan w:val="2"/>
            <w:noWrap w:val="0"/>
            <w:vAlign w:val="top"/>
          </w:tcPr>
          <w:p w14:paraId="6ACFAF76">
            <w:pPr>
              <w:rPr>
                <w:rFonts w:ascii="宋体" w:hAnsi="宋体"/>
                <w:color w:val="auto"/>
                <w:szCs w:val="21"/>
              </w:rPr>
            </w:pPr>
          </w:p>
        </w:tc>
      </w:tr>
      <w:tr w14:paraId="3248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17B34BC9">
            <w:pPr>
              <w:rPr>
                <w:rFonts w:eastAsia="黑体"/>
                <w:color w:val="auto"/>
                <w:szCs w:val="21"/>
              </w:rPr>
            </w:pPr>
          </w:p>
        </w:tc>
        <w:tc>
          <w:tcPr>
            <w:tcW w:w="1370" w:type="pct"/>
            <w:gridSpan w:val="3"/>
            <w:noWrap w:val="0"/>
            <w:vAlign w:val="top"/>
          </w:tcPr>
          <w:p w14:paraId="739DD46D">
            <w:pPr>
              <w:pStyle w:val="35"/>
              <w:rPr>
                <w:color w:val="auto"/>
              </w:rPr>
            </w:pPr>
          </w:p>
        </w:tc>
        <w:tc>
          <w:tcPr>
            <w:tcW w:w="917" w:type="pct"/>
            <w:gridSpan w:val="2"/>
            <w:noWrap w:val="0"/>
            <w:vAlign w:val="top"/>
          </w:tcPr>
          <w:p w14:paraId="37BFBF2A">
            <w:pPr>
              <w:pStyle w:val="35"/>
              <w:rPr>
                <w:color w:val="auto"/>
              </w:rPr>
            </w:pPr>
          </w:p>
        </w:tc>
        <w:tc>
          <w:tcPr>
            <w:tcW w:w="691" w:type="pct"/>
            <w:noWrap w:val="0"/>
            <w:vAlign w:val="top"/>
          </w:tcPr>
          <w:p w14:paraId="15473FEE">
            <w:pPr>
              <w:pStyle w:val="35"/>
              <w:rPr>
                <w:color w:val="auto"/>
              </w:rPr>
            </w:pPr>
          </w:p>
        </w:tc>
        <w:tc>
          <w:tcPr>
            <w:tcW w:w="1309" w:type="pct"/>
            <w:gridSpan w:val="2"/>
            <w:noWrap w:val="0"/>
            <w:vAlign w:val="top"/>
          </w:tcPr>
          <w:p w14:paraId="499D0805">
            <w:pPr>
              <w:rPr>
                <w:rFonts w:eastAsia="黑体"/>
                <w:color w:val="auto"/>
                <w:szCs w:val="21"/>
              </w:rPr>
            </w:pPr>
          </w:p>
        </w:tc>
      </w:tr>
      <w:tr w14:paraId="1021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1A8CB911">
            <w:pPr>
              <w:rPr>
                <w:rFonts w:eastAsia="黑体"/>
                <w:color w:val="auto"/>
                <w:szCs w:val="21"/>
              </w:rPr>
            </w:pPr>
          </w:p>
        </w:tc>
        <w:tc>
          <w:tcPr>
            <w:tcW w:w="1370" w:type="pct"/>
            <w:gridSpan w:val="3"/>
            <w:noWrap w:val="0"/>
            <w:vAlign w:val="top"/>
          </w:tcPr>
          <w:p w14:paraId="6D330E44">
            <w:pPr>
              <w:rPr>
                <w:rFonts w:eastAsia="黑体"/>
                <w:color w:val="auto"/>
                <w:szCs w:val="21"/>
              </w:rPr>
            </w:pPr>
          </w:p>
        </w:tc>
        <w:tc>
          <w:tcPr>
            <w:tcW w:w="917" w:type="pct"/>
            <w:gridSpan w:val="2"/>
            <w:noWrap w:val="0"/>
            <w:vAlign w:val="top"/>
          </w:tcPr>
          <w:p w14:paraId="09090193">
            <w:pPr>
              <w:rPr>
                <w:rFonts w:eastAsia="黑体"/>
                <w:color w:val="auto"/>
                <w:szCs w:val="21"/>
              </w:rPr>
            </w:pPr>
          </w:p>
        </w:tc>
        <w:tc>
          <w:tcPr>
            <w:tcW w:w="691" w:type="pct"/>
            <w:noWrap w:val="0"/>
            <w:vAlign w:val="top"/>
          </w:tcPr>
          <w:p w14:paraId="279F09E2">
            <w:pPr>
              <w:rPr>
                <w:rFonts w:eastAsia="黑体"/>
                <w:color w:val="auto"/>
                <w:szCs w:val="21"/>
              </w:rPr>
            </w:pPr>
          </w:p>
        </w:tc>
        <w:tc>
          <w:tcPr>
            <w:tcW w:w="1309" w:type="pct"/>
            <w:gridSpan w:val="2"/>
            <w:noWrap w:val="0"/>
            <w:vAlign w:val="top"/>
          </w:tcPr>
          <w:p w14:paraId="2668F4D8">
            <w:pPr>
              <w:rPr>
                <w:rFonts w:eastAsia="黑体"/>
                <w:color w:val="auto"/>
                <w:szCs w:val="21"/>
              </w:rPr>
            </w:pPr>
          </w:p>
        </w:tc>
      </w:tr>
      <w:tr w14:paraId="4E10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7FD3A548">
            <w:pPr>
              <w:rPr>
                <w:rFonts w:eastAsia="黑体"/>
                <w:color w:val="auto"/>
                <w:szCs w:val="21"/>
              </w:rPr>
            </w:pPr>
          </w:p>
        </w:tc>
        <w:tc>
          <w:tcPr>
            <w:tcW w:w="1370" w:type="pct"/>
            <w:gridSpan w:val="3"/>
            <w:noWrap w:val="0"/>
            <w:vAlign w:val="center"/>
          </w:tcPr>
          <w:p w14:paraId="72D16737">
            <w:pPr>
              <w:rPr>
                <w:rFonts w:eastAsia="黑体"/>
                <w:color w:val="auto"/>
                <w:szCs w:val="21"/>
              </w:rPr>
            </w:pPr>
          </w:p>
        </w:tc>
        <w:tc>
          <w:tcPr>
            <w:tcW w:w="917" w:type="pct"/>
            <w:gridSpan w:val="2"/>
            <w:noWrap w:val="0"/>
            <w:vAlign w:val="center"/>
          </w:tcPr>
          <w:p w14:paraId="6582F96F">
            <w:pPr>
              <w:rPr>
                <w:rFonts w:eastAsia="黑体"/>
                <w:color w:val="auto"/>
                <w:szCs w:val="21"/>
              </w:rPr>
            </w:pPr>
          </w:p>
        </w:tc>
        <w:tc>
          <w:tcPr>
            <w:tcW w:w="691" w:type="pct"/>
            <w:noWrap w:val="0"/>
            <w:vAlign w:val="center"/>
          </w:tcPr>
          <w:p w14:paraId="47882483">
            <w:pPr>
              <w:rPr>
                <w:rFonts w:eastAsia="黑体"/>
                <w:color w:val="auto"/>
                <w:szCs w:val="21"/>
              </w:rPr>
            </w:pPr>
          </w:p>
        </w:tc>
        <w:tc>
          <w:tcPr>
            <w:tcW w:w="1309" w:type="pct"/>
            <w:gridSpan w:val="2"/>
            <w:noWrap w:val="0"/>
            <w:vAlign w:val="center"/>
          </w:tcPr>
          <w:p w14:paraId="3BFE1CD3">
            <w:pPr>
              <w:rPr>
                <w:rFonts w:eastAsia="黑体"/>
                <w:color w:val="auto"/>
                <w:szCs w:val="21"/>
              </w:rPr>
            </w:pPr>
          </w:p>
        </w:tc>
      </w:tr>
      <w:tr w14:paraId="6CAF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634D42D4">
            <w:pPr>
              <w:rPr>
                <w:rFonts w:eastAsia="黑体"/>
                <w:color w:val="auto"/>
                <w:szCs w:val="21"/>
              </w:rPr>
            </w:pPr>
          </w:p>
        </w:tc>
        <w:tc>
          <w:tcPr>
            <w:tcW w:w="1370" w:type="pct"/>
            <w:gridSpan w:val="3"/>
            <w:noWrap w:val="0"/>
            <w:vAlign w:val="center"/>
          </w:tcPr>
          <w:p w14:paraId="080B6B53">
            <w:pPr>
              <w:rPr>
                <w:rFonts w:eastAsia="黑体"/>
                <w:color w:val="auto"/>
                <w:szCs w:val="21"/>
              </w:rPr>
            </w:pPr>
          </w:p>
        </w:tc>
        <w:tc>
          <w:tcPr>
            <w:tcW w:w="917" w:type="pct"/>
            <w:gridSpan w:val="2"/>
            <w:noWrap w:val="0"/>
            <w:vAlign w:val="center"/>
          </w:tcPr>
          <w:p w14:paraId="1206D05C">
            <w:pPr>
              <w:rPr>
                <w:rFonts w:eastAsia="黑体"/>
                <w:color w:val="auto"/>
                <w:szCs w:val="21"/>
              </w:rPr>
            </w:pPr>
          </w:p>
        </w:tc>
        <w:tc>
          <w:tcPr>
            <w:tcW w:w="691" w:type="pct"/>
            <w:noWrap w:val="0"/>
            <w:vAlign w:val="center"/>
          </w:tcPr>
          <w:p w14:paraId="46F33AA1">
            <w:pPr>
              <w:rPr>
                <w:rFonts w:eastAsia="黑体"/>
                <w:color w:val="auto"/>
                <w:szCs w:val="21"/>
              </w:rPr>
            </w:pPr>
          </w:p>
        </w:tc>
        <w:tc>
          <w:tcPr>
            <w:tcW w:w="1309" w:type="pct"/>
            <w:gridSpan w:val="2"/>
            <w:noWrap w:val="0"/>
            <w:vAlign w:val="center"/>
          </w:tcPr>
          <w:p w14:paraId="25620F2A">
            <w:pPr>
              <w:rPr>
                <w:rFonts w:eastAsia="黑体"/>
                <w:color w:val="auto"/>
                <w:szCs w:val="21"/>
              </w:rPr>
            </w:pPr>
          </w:p>
        </w:tc>
      </w:tr>
      <w:tr w14:paraId="0786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45B25822">
            <w:pPr>
              <w:rPr>
                <w:rFonts w:eastAsia="黑体"/>
                <w:color w:val="auto"/>
                <w:szCs w:val="21"/>
              </w:rPr>
            </w:pPr>
          </w:p>
        </w:tc>
        <w:tc>
          <w:tcPr>
            <w:tcW w:w="1370" w:type="pct"/>
            <w:gridSpan w:val="3"/>
            <w:noWrap w:val="0"/>
            <w:vAlign w:val="center"/>
          </w:tcPr>
          <w:p w14:paraId="18F50262">
            <w:pPr>
              <w:rPr>
                <w:rFonts w:eastAsia="黑体"/>
                <w:color w:val="auto"/>
                <w:szCs w:val="21"/>
              </w:rPr>
            </w:pPr>
          </w:p>
        </w:tc>
        <w:tc>
          <w:tcPr>
            <w:tcW w:w="917" w:type="pct"/>
            <w:gridSpan w:val="2"/>
            <w:noWrap w:val="0"/>
            <w:vAlign w:val="center"/>
          </w:tcPr>
          <w:p w14:paraId="45AF2475">
            <w:pPr>
              <w:rPr>
                <w:rFonts w:eastAsia="黑体"/>
                <w:color w:val="auto"/>
                <w:szCs w:val="21"/>
              </w:rPr>
            </w:pPr>
          </w:p>
        </w:tc>
        <w:tc>
          <w:tcPr>
            <w:tcW w:w="691" w:type="pct"/>
            <w:noWrap w:val="0"/>
            <w:vAlign w:val="center"/>
          </w:tcPr>
          <w:p w14:paraId="06B1082C">
            <w:pPr>
              <w:rPr>
                <w:rFonts w:eastAsia="黑体"/>
                <w:color w:val="auto"/>
                <w:szCs w:val="21"/>
              </w:rPr>
            </w:pPr>
          </w:p>
        </w:tc>
        <w:tc>
          <w:tcPr>
            <w:tcW w:w="1309" w:type="pct"/>
            <w:gridSpan w:val="2"/>
            <w:noWrap w:val="0"/>
            <w:vAlign w:val="center"/>
          </w:tcPr>
          <w:p w14:paraId="38BD4AE5">
            <w:pPr>
              <w:rPr>
                <w:rFonts w:eastAsia="黑体"/>
                <w:color w:val="auto"/>
                <w:szCs w:val="21"/>
              </w:rPr>
            </w:pPr>
          </w:p>
        </w:tc>
      </w:tr>
      <w:tr w14:paraId="10E5D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530AD372">
            <w:pPr>
              <w:rPr>
                <w:rFonts w:eastAsia="黑体"/>
                <w:color w:val="auto"/>
                <w:szCs w:val="21"/>
              </w:rPr>
            </w:pPr>
          </w:p>
        </w:tc>
        <w:tc>
          <w:tcPr>
            <w:tcW w:w="1370" w:type="pct"/>
            <w:gridSpan w:val="3"/>
            <w:noWrap w:val="0"/>
            <w:vAlign w:val="center"/>
          </w:tcPr>
          <w:p w14:paraId="43D6CDD5">
            <w:pPr>
              <w:rPr>
                <w:rFonts w:eastAsia="黑体"/>
                <w:color w:val="auto"/>
                <w:szCs w:val="21"/>
              </w:rPr>
            </w:pPr>
          </w:p>
        </w:tc>
        <w:tc>
          <w:tcPr>
            <w:tcW w:w="917" w:type="pct"/>
            <w:gridSpan w:val="2"/>
            <w:tcBorders>
              <w:right w:val="single" w:color="auto" w:sz="8" w:space="0"/>
            </w:tcBorders>
            <w:noWrap w:val="0"/>
            <w:vAlign w:val="center"/>
          </w:tcPr>
          <w:p w14:paraId="44300133">
            <w:pPr>
              <w:rPr>
                <w:rFonts w:eastAsia="黑体"/>
                <w:color w:val="auto"/>
                <w:szCs w:val="21"/>
              </w:rPr>
            </w:pPr>
          </w:p>
        </w:tc>
        <w:tc>
          <w:tcPr>
            <w:tcW w:w="691" w:type="pct"/>
            <w:tcBorders>
              <w:left w:val="single" w:color="auto" w:sz="8" w:space="0"/>
            </w:tcBorders>
            <w:noWrap w:val="0"/>
            <w:vAlign w:val="center"/>
          </w:tcPr>
          <w:p w14:paraId="0E21373F">
            <w:pPr>
              <w:rPr>
                <w:rFonts w:eastAsia="黑体"/>
                <w:color w:val="auto"/>
                <w:szCs w:val="21"/>
              </w:rPr>
            </w:pPr>
          </w:p>
        </w:tc>
        <w:tc>
          <w:tcPr>
            <w:tcW w:w="1309" w:type="pct"/>
            <w:gridSpan w:val="2"/>
            <w:noWrap w:val="0"/>
            <w:vAlign w:val="center"/>
          </w:tcPr>
          <w:p w14:paraId="19766A80">
            <w:pPr>
              <w:rPr>
                <w:rFonts w:eastAsia="黑体"/>
                <w:color w:val="auto"/>
                <w:szCs w:val="21"/>
              </w:rPr>
            </w:pPr>
          </w:p>
        </w:tc>
      </w:tr>
      <w:tr w14:paraId="46F8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270A7806">
            <w:pPr>
              <w:rPr>
                <w:rFonts w:ascii="宋体" w:hAnsi="宋体"/>
                <w:color w:val="auto"/>
                <w:szCs w:val="21"/>
              </w:rPr>
            </w:pPr>
            <w:r>
              <w:rPr>
                <w:rFonts w:hint="eastAsia" w:ascii="宋体" w:hAnsi="宋体"/>
                <w:color w:val="auto"/>
                <w:szCs w:val="21"/>
              </w:rPr>
              <w:t>获奖情况</w:t>
            </w:r>
          </w:p>
        </w:tc>
        <w:tc>
          <w:tcPr>
            <w:tcW w:w="4287" w:type="pct"/>
            <w:gridSpan w:val="8"/>
            <w:noWrap w:val="0"/>
            <w:vAlign w:val="center"/>
          </w:tcPr>
          <w:p w14:paraId="5BFCC80B">
            <w:pPr>
              <w:rPr>
                <w:rFonts w:eastAsia="黑体"/>
                <w:color w:val="auto"/>
                <w:szCs w:val="21"/>
              </w:rPr>
            </w:pPr>
          </w:p>
        </w:tc>
      </w:tr>
      <w:tr w14:paraId="0D59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1845" w:type="pct"/>
            <w:gridSpan w:val="4"/>
            <w:noWrap w:val="0"/>
            <w:vAlign w:val="center"/>
          </w:tcPr>
          <w:p w14:paraId="2688F298">
            <w:pPr>
              <w:rPr>
                <w:rFonts w:ascii="宋体" w:hAnsi="宋体"/>
                <w:color w:val="auto"/>
                <w:szCs w:val="21"/>
              </w:rPr>
            </w:pPr>
            <w:r>
              <w:rPr>
                <w:rFonts w:hint="eastAsia" w:ascii="宋体" w:hAnsi="宋体"/>
                <w:color w:val="auto"/>
                <w:szCs w:val="21"/>
              </w:rPr>
              <w:t>说明在岗情况</w:t>
            </w:r>
          </w:p>
        </w:tc>
        <w:tc>
          <w:tcPr>
            <w:tcW w:w="3155" w:type="pct"/>
            <w:gridSpan w:val="6"/>
            <w:noWrap w:val="0"/>
            <w:vAlign w:val="center"/>
          </w:tcPr>
          <w:p w14:paraId="76873B77">
            <w:pPr>
              <w:widowControl/>
              <w:rPr>
                <w:snapToGrid w:val="0"/>
                <w:color w:val="auto"/>
                <w:kern w:val="0"/>
                <w:szCs w:val="21"/>
                <w:u w:val="single"/>
              </w:rPr>
            </w:pPr>
            <w:r>
              <w:rPr>
                <w:rFonts w:hint="eastAsia" w:ascii="宋体" w:hAnsi="宋体"/>
                <w:snapToGrid w:val="0"/>
                <w:color w:val="auto"/>
                <w:kern w:val="0"/>
                <w:szCs w:val="21"/>
              </w:rPr>
              <w:t>□</w:t>
            </w:r>
            <w:r>
              <w:rPr>
                <w:snapToGrid w:val="0"/>
                <w:color w:val="auto"/>
                <w:kern w:val="0"/>
                <w:szCs w:val="21"/>
              </w:rPr>
              <w:t>目前未在其他项目上任职，现从事工作为：</w:t>
            </w:r>
            <w:r>
              <w:rPr>
                <w:rFonts w:hint="eastAsia"/>
                <w:snapToGrid w:val="0"/>
                <w:color w:val="auto"/>
                <w:kern w:val="0"/>
                <w:szCs w:val="21"/>
              </w:rPr>
              <w:t>______</w:t>
            </w:r>
          </w:p>
          <w:p w14:paraId="60A5A3C5">
            <w:pPr>
              <w:widowControl/>
              <w:rPr>
                <w:snapToGrid w:val="0"/>
                <w:color w:val="auto"/>
                <w:kern w:val="0"/>
                <w:szCs w:val="21"/>
              </w:rPr>
            </w:pPr>
            <w:r>
              <w:rPr>
                <w:rFonts w:hint="eastAsia" w:ascii="宋体" w:hAnsi="宋体"/>
                <w:snapToGrid w:val="0"/>
                <w:color w:val="auto"/>
                <w:kern w:val="0"/>
                <w:szCs w:val="21"/>
              </w:rPr>
              <w:t>□</w:t>
            </w:r>
            <w:r>
              <w:rPr>
                <w:snapToGrid w:val="0"/>
                <w:color w:val="auto"/>
                <w:kern w:val="0"/>
                <w:szCs w:val="21"/>
              </w:rPr>
              <w:t>目前虽在其他项目上任职，但本项目中标后能够撤离，目前任职项目：</w:t>
            </w:r>
            <w:r>
              <w:rPr>
                <w:rFonts w:hint="eastAsia"/>
                <w:snapToGrid w:val="0"/>
                <w:color w:val="auto"/>
                <w:kern w:val="0"/>
                <w:szCs w:val="21"/>
              </w:rPr>
              <w:t>______</w:t>
            </w:r>
            <w:r>
              <w:rPr>
                <w:snapToGrid w:val="0"/>
                <w:color w:val="auto"/>
                <w:kern w:val="0"/>
                <w:szCs w:val="21"/>
              </w:rPr>
              <w:t>，担任职位：</w:t>
            </w:r>
            <w:r>
              <w:rPr>
                <w:rFonts w:hint="eastAsia"/>
                <w:snapToGrid w:val="0"/>
                <w:color w:val="auto"/>
                <w:kern w:val="0"/>
                <w:szCs w:val="21"/>
              </w:rPr>
              <w:t>_____</w:t>
            </w:r>
            <w:r>
              <w:rPr>
                <w:snapToGrid w:val="0"/>
                <w:color w:val="auto"/>
                <w:kern w:val="0"/>
                <w:szCs w:val="21"/>
              </w:rPr>
              <w:t>。</w:t>
            </w:r>
          </w:p>
        </w:tc>
      </w:tr>
    </w:tbl>
    <w:p w14:paraId="5330DA37">
      <w:pPr>
        <w:rPr>
          <w:rFonts w:hint="eastAsia"/>
          <w:color w:val="auto"/>
        </w:rPr>
      </w:pPr>
    </w:p>
    <w:p w14:paraId="0CCE765B">
      <w:pPr>
        <w:rPr>
          <w:rFonts w:hint="eastAsia"/>
          <w:color w:val="auto"/>
        </w:rPr>
      </w:pPr>
    </w:p>
    <w:p w14:paraId="468E604D">
      <w:pPr>
        <w:rPr>
          <w:rFonts w:hint="eastAsia"/>
          <w:color w:val="auto"/>
        </w:rPr>
      </w:pPr>
    </w:p>
    <w:p w14:paraId="5262D551">
      <w:pPr>
        <w:rPr>
          <w:rFonts w:hint="eastAsia"/>
          <w:color w:val="auto"/>
        </w:rPr>
      </w:pPr>
    </w:p>
    <w:p w14:paraId="394E708B">
      <w:pPr>
        <w:rPr>
          <w:rFonts w:hint="eastAsia"/>
          <w:color w:val="auto"/>
        </w:rPr>
      </w:pPr>
    </w:p>
    <w:p w14:paraId="0540F1B5">
      <w:pPr>
        <w:rPr>
          <w:rFonts w:hint="eastAsia"/>
          <w:color w:val="auto"/>
        </w:rPr>
      </w:pPr>
    </w:p>
    <w:p w14:paraId="4F49BC12">
      <w:pPr>
        <w:rPr>
          <w:rFonts w:hint="eastAsia"/>
          <w:color w:val="auto"/>
        </w:rPr>
      </w:pPr>
    </w:p>
    <w:p w14:paraId="5FA49ADC">
      <w:pPr>
        <w:rPr>
          <w:rFonts w:hint="eastAsia"/>
          <w:color w:val="auto"/>
        </w:rPr>
      </w:pPr>
    </w:p>
    <w:p w14:paraId="1967EFF4">
      <w:pPr>
        <w:rPr>
          <w:rFonts w:hint="eastAsia"/>
          <w:color w:val="auto"/>
        </w:rPr>
      </w:pPr>
    </w:p>
    <w:p w14:paraId="55B30885">
      <w:pPr>
        <w:rPr>
          <w:rFonts w:hint="eastAsia"/>
          <w:color w:val="auto"/>
        </w:rPr>
      </w:pPr>
    </w:p>
    <w:p w14:paraId="69F5DA9C">
      <w:pPr>
        <w:rPr>
          <w:rFonts w:hint="eastAsia"/>
          <w:color w:val="auto"/>
        </w:rPr>
      </w:pPr>
    </w:p>
    <w:p w14:paraId="2B07B80C">
      <w:pPr>
        <w:rPr>
          <w:rFonts w:hint="eastAsia"/>
          <w:color w:val="auto"/>
        </w:rPr>
      </w:pPr>
    </w:p>
    <w:p w14:paraId="164AC802">
      <w:pPr>
        <w:rPr>
          <w:rFonts w:hint="eastAsia"/>
          <w:color w:val="auto"/>
        </w:rPr>
      </w:pPr>
    </w:p>
    <w:p w14:paraId="01839DC1">
      <w:pPr>
        <w:rPr>
          <w:rFonts w:hint="eastAsia"/>
          <w:color w:val="auto"/>
        </w:rPr>
      </w:pPr>
    </w:p>
    <w:p w14:paraId="1FF20E60">
      <w:pPr>
        <w:rPr>
          <w:rFonts w:hint="eastAsia"/>
          <w:color w:val="auto"/>
        </w:rPr>
      </w:pPr>
    </w:p>
    <w:p w14:paraId="1A4D800D">
      <w:pPr>
        <w:rPr>
          <w:rFonts w:hint="eastAsia"/>
          <w:color w:val="auto"/>
        </w:rPr>
      </w:pPr>
    </w:p>
    <w:p w14:paraId="3F32E627">
      <w:pPr>
        <w:rPr>
          <w:rFonts w:hint="eastAsia"/>
          <w:color w:val="auto"/>
        </w:rPr>
      </w:pPr>
    </w:p>
    <w:p w14:paraId="5F9A2BF1">
      <w:pPr>
        <w:pStyle w:val="4"/>
        <w:keepNext/>
        <w:keepLines/>
        <w:pageBreakBefore/>
        <w:widowControl w:val="0"/>
        <w:kinsoku/>
        <w:wordWrap/>
        <w:overflowPunct/>
        <w:topLinePunct w:val="0"/>
        <w:autoSpaceDE/>
        <w:autoSpaceDN/>
        <w:bidi w:val="0"/>
        <w:adjustRightInd/>
        <w:snapToGrid/>
        <w:spacing w:line="413" w:lineRule="auto"/>
        <w:textAlignment w:val="auto"/>
        <w:outlineLvl w:val="1"/>
        <w:rPr>
          <w:rFonts w:hint="eastAsia" w:eastAsia="宋体"/>
          <w:color w:val="auto"/>
          <w:lang w:eastAsia="zh-CN"/>
        </w:rPr>
      </w:pPr>
      <w:bookmarkStart w:id="455" w:name="_Toc328559340"/>
      <w:bookmarkStart w:id="456" w:name="_Toc245714177"/>
      <w:bookmarkStart w:id="457" w:name="_Toc273602359"/>
      <w:bookmarkStart w:id="458" w:name="_Toc220232400"/>
      <w:bookmarkStart w:id="459" w:name="_Toc220232405"/>
      <w:bookmarkStart w:id="460" w:name="_Toc516969110"/>
      <w:r>
        <w:rPr>
          <w:rFonts w:hint="eastAsia"/>
          <w:color w:val="auto"/>
        </w:rPr>
        <w:t>五．</w:t>
      </w:r>
      <w:bookmarkEnd w:id="455"/>
      <w:bookmarkEnd w:id="456"/>
      <w:bookmarkEnd w:id="457"/>
      <w:r>
        <w:rPr>
          <w:rFonts w:hint="eastAsia"/>
          <w:color w:val="auto"/>
          <w:lang w:eastAsia="zh-CN"/>
        </w:rPr>
        <w:t>投标业绩</w:t>
      </w:r>
    </w:p>
    <w:p w14:paraId="658503A4">
      <w:pPr>
        <w:spacing w:line="360" w:lineRule="auto"/>
        <w:jc w:val="center"/>
        <w:outlineLvl w:val="2"/>
        <w:rPr>
          <w:color w:val="auto"/>
          <w:sz w:val="24"/>
          <w:szCs w:val="24"/>
        </w:rPr>
      </w:pPr>
      <w:r>
        <w:rPr>
          <w:rFonts w:hint="eastAsia"/>
          <w:color w:val="auto"/>
          <w:sz w:val="24"/>
          <w:szCs w:val="24"/>
        </w:rPr>
        <w:t>（格式仅供参考）</w:t>
      </w:r>
    </w:p>
    <w:tbl>
      <w:tblPr>
        <w:tblStyle w:val="53"/>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55EA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EF5A885">
            <w:pPr>
              <w:autoSpaceDE w:val="0"/>
              <w:autoSpaceDN w:val="0"/>
              <w:adjustRightInd w:val="0"/>
              <w:spacing w:line="300" w:lineRule="exact"/>
              <w:jc w:val="center"/>
              <w:rPr>
                <w:rFonts w:hint="eastAsia"/>
                <w:color w:val="auto"/>
                <w:szCs w:val="22"/>
                <w:highlight w:val="white"/>
              </w:rPr>
            </w:pPr>
            <w:r>
              <w:rPr>
                <w:rFonts w:hint="eastAsia"/>
                <w:color w:val="auto"/>
                <w:szCs w:val="22"/>
                <w:highlight w:val="white"/>
              </w:rPr>
              <w:t>业绩编号</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2ADCE7B">
            <w:pPr>
              <w:autoSpaceDE w:val="0"/>
              <w:autoSpaceDN w:val="0"/>
              <w:adjustRightInd w:val="0"/>
              <w:spacing w:line="300" w:lineRule="exact"/>
              <w:jc w:val="center"/>
              <w:rPr>
                <w:rFonts w:ascii="宋体" w:hAnsi="宋体" w:cs="宋体"/>
                <w:color w:val="auto"/>
                <w:kern w:val="0"/>
                <w:szCs w:val="21"/>
              </w:rPr>
            </w:pPr>
          </w:p>
        </w:tc>
      </w:tr>
      <w:tr w14:paraId="25C7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AC13782">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ADFF9DE">
            <w:pPr>
              <w:autoSpaceDE w:val="0"/>
              <w:autoSpaceDN w:val="0"/>
              <w:adjustRightInd w:val="0"/>
              <w:spacing w:line="300" w:lineRule="exact"/>
              <w:jc w:val="center"/>
              <w:rPr>
                <w:rFonts w:ascii="宋体" w:hAnsi="宋体" w:cs="宋体"/>
                <w:color w:val="auto"/>
                <w:kern w:val="0"/>
                <w:szCs w:val="21"/>
              </w:rPr>
            </w:pPr>
          </w:p>
        </w:tc>
      </w:tr>
      <w:tr w14:paraId="54ED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72EFA208">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项目所在地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B04B6E8">
            <w:pPr>
              <w:autoSpaceDE w:val="0"/>
              <w:autoSpaceDN w:val="0"/>
              <w:adjustRightInd w:val="0"/>
              <w:spacing w:line="300" w:lineRule="exact"/>
              <w:jc w:val="center"/>
              <w:rPr>
                <w:rFonts w:ascii="宋体" w:hAnsi="宋体" w:cs="宋体"/>
                <w:color w:val="auto"/>
                <w:kern w:val="0"/>
                <w:szCs w:val="21"/>
              </w:rPr>
            </w:pPr>
          </w:p>
        </w:tc>
      </w:tr>
      <w:tr w14:paraId="5FD4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89098E9">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69855A5">
            <w:pPr>
              <w:autoSpaceDE w:val="0"/>
              <w:autoSpaceDN w:val="0"/>
              <w:adjustRightInd w:val="0"/>
              <w:spacing w:line="300" w:lineRule="exact"/>
              <w:jc w:val="center"/>
              <w:rPr>
                <w:rFonts w:ascii="宋体" w:hAnsi="宋体" w:cs="宋体"/>
                <w:color w:val="auto"/>
                <w:kern w:val="0"/>
                <w:szCs w:val="21"/>
              </w:rPr>
            </w:pPr>
          </w:p>
        </w:tc>
      </w:tr>
      <w:tr w14:paraId="304C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6CA395A">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发包人地址</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EE84CC4">
            <w:pPr>
              <w:autoSpaceDE w:val="0"/>
              <w:autoSpaceDN w:val="0"/>
              <w:adjustRightInd w:val="0"/>
              <w:spacing w:line="300" w:lineRule="exact"/>
              <w:jc w:val="center"/>
              <w:rPr>
                <w:rFonts w:ascii="宋体" w:hAnsi="宋体" w:cs="宋体"/>
                <w:color w:val="auto"/>
                <w:kern w:val="0"/>
                <w:szCs w:val="21"/>
              </w:rPr>
            </w:pPr>
          </w:p>
        </w:tc>
      </w:tr>
      <w:tr w14:paraId="69150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48F023D">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发包人电话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68B466C">
            <w:pPr>
              <w:autoSpaceDE w:val="0"/>
              <w:autoSpaceDN w:val="0"/>
              <w:adjustRightInd w:val="0"/>
              <w:spacing w:line="300" w:lineRule="exact"/>
              <w:jc w:val="center"/>
              <w:rPr>
                <w:rFonts w:ascii="宋体" w:hAnsi="宋体" w:cs="宋体"/>
                <w:color w:val="auto"/>
                <w:kern w:val="0"/>
                <w:szCs w:val="21"/>
              </w:rPr>
            </w:pPr>
          </w:p>
        </w:tc>
      </w:tr>
      <w:tr w14:paraId="7DB0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C7D7489">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合同价格</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C7876ED">
            <w:pPr>
              <w:autoSpaceDE w:val="0"/>
              <w:autoSpaceDN w:val="0"/>
              <w:adjustRightInd w:val="0"/>
              <w:spacing w:line="300" w:lineRule="exact"/>
              <w:jc w:val="center"/>
              <w:rPr>
                <w:rFonts w:ascii="宋体" w:hAnsi="宋体" w:cs="宋体"/>
                <w:color w:val="auto"/>
                <w:kern w:val="0"/>
                <w:szCs w:val="21"/>
              </w:rPr>
            </w:pPr>
          </w:p>
        </w:tc>
      </w:tr>
      <w:tr w14:paraId="2F69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0275629">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开工日期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26EF22B">
            <w:pPr>
              <w:autoSpaceDE w:val="0"/>
              <w:autoSpaceDN w:val="0"/>
              <w:adjustRightInd w:val="0"/>
              <w:spacing w:line="300" w:lineRule="exact"/>
              <w:jc w:val="center"/>
              <w:rPr>
                <w:rFonts w:ascii="宋体" w:hAnsi="宋体" w:cs="宋体"/>
                <w:color w:val="auto"/>
                <w:kern w:val="0"/>
                <w:szCs w:val="21"/>
              </w:rPr>
            </w:pPr>
          </w:p>
        </w:tc>
      </w:tr>
      <w:tr w14:paraId="3882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13798FF">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竣工日期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EEF3D5F">
            <w:pPr>
              <w:autoSpaceDE w:val="0"/>
              <w:autoSpaceDN w:val="0"/>
              <w:adjustRightInd w:val="0"/>
              <w:spacing w:line="300" w:lineRule="exact"/>
              <w:jc w:val="center"/>
              <w:rPr>
                <w:rFonts w:ascii="宋体" w:hAnsi="宋体" w:cs="宋体"/>
                <w:color w:val="auto"/>
                <w:kern w:val="0"/>
                <w:szCs w:val="21"/>
              </w:rPr>
            </w:pPr>
          </w:p>
        </w:tc>
      </w:tr>
      <w:tr w14:paraId="013D1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B523A49">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承担的工作</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FF960F4">
            <w:pPr>
              <w:autoSpaceDE w:val="0"/>
              <w:autoSpaceDN w:val="0"/>
              <w:adjustRightInd w:val="0"/>
              <w:spacing w:line="300" w:lineRule="exact"/>
              <w:jc w:val="center"/>
              <w:rPr>
                <w:rFonts w:ascii="宋体" w:hAnsi="宋体" w:cs="宋体"/>
                <w:color w:val="auto"/>
                <w:kern w:val="0"/>
                <w:szCs w:val="21"/>
              </w:rPr>
            </w:pPr>
          </w:p>
        </w:tc>
      </w:tr>
      <w:tr w14:paraId="1563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A51DD88">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工程质量</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771CA1E">
            <w:pPr>
              <w:autoSpaceDE w:val="0"/>
              <w:autoSpaceDN w:val="0"/>
              <w:adjustRightInd w:val="0"/>
              <w:spacing w:line="300" w:lineRule="exact"/>
              <w:jc w:val="center"/>
              <w:rPr>
                <w:rFonts w:ascii="宋体" w:hAnsi="宋体" w:cs="宋体"/>
                <w:color w:val="auto"/>
                <w:kern w:val="0"/>
                <w:szCs w:val="21"/>
              </w:rPr>
            </w:pPr>
          </w:p>
        </w:tc>
      </w:tr>
      <w:tr w14:paraId="13DC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A8B40D0">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项目经理（或注册建造师）</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47484EA">
            <w:pPr>
              <w:autoSpaceDE w:val="0"/>
              <w:autoSpaceDN w:val="0"/>
              <w:adjustRightInd w:val="0"/>
              <w:spacing w:line="300" w:lineRule="exact"/>
              <w:jc w:val="center"/>
              <w:rPr>
                <w:rFonts w:ascii="宋体" w:hAnsi="宋体" w:cs="宋体"/>
                <w:color w:val="auto"/>
                <w:kern w:val="0"/>
                <w:szCs w:val="21"/>
              </w:rPr>
            </w:pPr>
          </w:p>
        </w:tc>
      </w:tr>
      <w:tr w14:paraId="72AF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B997928">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技术负责人</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F19F506">
            <w:pPr>
              <w:autoSpaceDE w:val="0"/>
              <w:autoSpaceDN w:val="0"/>
              <w:adjustRightInd w:val="0"/>
              <w:spacing w:line="300" w:lineRule="exact"/>
              <w:jc w:val="center"/>
              <w:rPr>
                <w:rFonts w:ascii="宋体" w:hAnsi="宋体" w:cs="宋体"/>
                <w:color w:val="auto"/>
                <w:kern w:val="0"/>
                <w:szCs w:val="21"/>
              </w:rPr>
            </w:pPr>
          </w:p>
        </w:tc>
      </w:tr>
      <w:tr w14:paraId="226E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01CB8CD">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监理单位及联系电话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DE17B10">
            <w:pPr>
              <w:autoSpaceDE w:val="0"/>
              <w:autoSpaceDN w:val="0"/>
              <w:adjustRightInd w:val="0"/>
              <w:spacing w:line="300" w:lineRule="exact"/>
              <w:jc w:val="center"/>
              <w:rPr>
                <w:rFonts w:ascii="宋体" w:hAnsi="宋体" w:cs="宋体"/>
                <w:color w:val="auto"/>
                <w:kern w:val="0"/>
                <w:szCs w:val="21"/>
              </w:rPr>
            </w:pPr>
          </w:p>
        </w:tc>
      </w:tr>
      <w:tr w14:paraId="6697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4647440">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总监理工程师及电话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3F570E6">
            <w:pPr>
              <w:autoSpaceDE w:val="0"/>
              <w:autoSpaceDN w:val="0"/>
              <w:adjustRightInd w:val="0"/>
              <w:spacing w:line="300" w:lineRule="exact"/>
              <w:jc w:val="center"/>
              <w:rPr>
                <w:rFonts w:ascii="宋体" w:hAnsi="宋体" w:cs="宋体"/>
                <w:color w:val="auto"/>
                <w:kern w:val="0"/>
                <w:szCs w:val="21"/>
              </w:rPr>
            </w:pPr>
          </w:p>
        </w:tc>
      </w:tr>
      <w:tr w14:paraId="5717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7CFC275">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项目描述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212A2A1">
            <w:pPr>
              <w:autoSpaceDE w:val="0"/>
              <w:autoSpaceDN w:val="0"/>
              <w:adjustRightInd w:val="0"/>
              <w:spacing w:line="300" w:lineRule="exact"/>
              <w:jc w:val="center"/>
              <w:rPr>
                <w:rFonts w:ascii="宋体" w:hAnsi="宋体" w:cs="宋体"/>
                <w:color w:val="auto"/>
                <w:kern w:val="0"/>
                <w:szCs w:val="21"/>
              </w:rPr>
            </w:pPr>
          </w:p>
        </w:tc>
      </w:tr>
      <w:tr w14:paraId="1CDC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51EF96A">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AA3B12A">
            <w:pPr>
              <w:autoSpaceDE w:val="0"/>
              <w:autoSpaceDN w:val="0"/>
              <w:adjustRightInd w:val="0"/>
              <w:spacing w:line="300" w:lineRule="exact"/>
              <w:ind w:left="360"/>
              <w:rPr>
                <w:rFonts w:ascii="宋体" w:hAnsi="宋体" w:cs="宋体"/>
                <w:color w:val="auto"/>
                <w:kern w:val="0"/>
                <w:szCs w:val="21"/>
              </w:rPr>
            </w:pPr>
            <w:r>
              <w:rPr>
                <w:rFonts w:hint="eastAsia" w:ascii="楷体" w:hAnsi="楷体" w:eastAsia="楷体"/>
                <w:bCs/>
                <w:color w:val="auto"/>
                <w:szCs w:val="21"/>
              </w:rPr>
              <w:t>□</w:t>
            </w:r>
            <w:r>
              <w:rPr>
                <w:rFonts w:hint="eastAsia"/>
                <w:color w:val="auto"/>
                <w:szCs w:val="22"/>
                <w:highlight w:val="white"/>
              </w:rPr>
              <w:t>资格审查用业绩</w:t>
            </w:r>
            <w:r>
              <w:rPr>
                <w:rFonts w:hint="eastAsia" w:ascii="楷体" w:hAnsi="楷体" w:eastAsia="楷体"/>
                <w:bCs/>
                <w:color w:val="auto"/>
                <w:szCs w:val="21"/>
              </w:rPr>
              <w:t xml:space="preserve">      □</w:t>
            </w:r>
            <w:r>
              <w:rPr>
                <w:rFonts w:hint="eastAsia"/>
                <w:color w:val="auto"/>
                <w:szCs w:val="22"/>
                <w:highlight w:val="white"/>
              </w:rPr>
              <w:t>商务文件评分用业绩</w:t>
            </w:r>
          </w:p>
        </w:tc>
      </w:tr>
    </w:tbl>
    <w:p w14:paraId="1087AF8B">
      <w:pPr>
        <w:spacing w:before="48" w:beforeLines="20" w:after="48" w:afterLines="20" w:line="360" w:lineRule="auto"/>
        <w:jc w:val="center"/>
        <w:rPr>
          <w:rFonts w:ascii="宋体" w:hAnsi="宋体"/>
          <w:color w:val="auto"/>
          <w:sz w:val="28"/>
        </w:rPr>
      </w:pPr>
    </w:p>
    <w:p w14:paraId="03689D37">
      <w:pPr>
        <w:rPr>
          <w:rFonts w:hint="eastAsia"/>
          <w:color w:val="auto"/>
          <w:sz w:val="28"/>
          <w:szCs w:val="28"/>
        </w:rPr>
      </w:pPr>
    </w:p>
    <w:p w14:paraId="58BA7C2C">
      <w:pPr>
        <w:rPr>
          <w:rFonts w:hint="eastAsia"/>
          <w:color w:val="auto"/>
          <w:sz w:val="28"/>
          <w:szCs w:val="28"/>
        </w:rPr>
      </w:pPr>
    </w:p>
    <w:p w14:paraId="16B2C471">
      <w:pPr>
        <w:rPr>
          <w:rFonts w:hint="eastAsia"/>
          <w:color w:val="auto"/>
          <w:sz w:val="28"/>
          <w:szCs w:val="28"/>
        </w:rPr>
      </w:pPr>
    </w:p>
    <w:p w14:paraId="6ABFFE2D">
      <w:pPr>
        <w:rPr>
          <w:rFonts w:hint="eastAsia"/>
          <w:color w:val="auto"/>
          <w:sz w:val="28"/>
          <w:szCs w:val="28"/>
        </w:rPr>
      </w:pPr>
    </w:p>
    <w:p w14:paraId="5BA74836">
      <w:pPr>
        <w:rPr>
          <w:rFonts w:hint="eastAsia"/>
          <w:color w:val="auto"/>
          <w:sz w:val="28"/>
          <w:szCs w:val="28"/>
        </w:rPr>
      </w:pPr>
    </w:p>
    <w:bookmarkEnd w:id="458"/>
    <w:bookmarkEnd w:id="459"/>
    <w:bookmarkEnd w:id="460"/>
    <w:p w14:paraId="2A7EBF55">
      <w:pPr>
        <w:pStyle w:val="4"/>
        <w:keepNext/>
        <w:keepLines/>
        <w:pageBreakBefore/>
        <w:widowControl w:val="0"/>
        <w:kinsoku/>
        <w:wordWrap/>
        <w:overflowPunct/>
        <w:topLinePunct w:val="0"/>
        <w:autoSpaceDE/>
        <w:autoSpaceDN/>
        <w:bidi w:val="0"/>
        <w:adjustRightInd/>
        <w:snapToGrid/>
        <w:spacing w:line="413" w:lineRule="auto"/>
        <w:textAlignment w:val="auto"/>
        <w:outlineLvl w:val="1"/>
        <w:rPr>
          <w:rFonts w:hint="eastAsia"/>
          <w:color w:val="auto"/>
        </w:rPr>
      </w:pPr>
      <w:bookmarkStart w:id="461" w:name="_Toc273602361"/>
      <w:bookmarkStart w:id="462" w:name="_Toc328559342"/>
      <w:bookmarkStart w:id="463" w:name="_Toc245714180"/>
      <w:r>
        <w:rPr>
          <w:rFonts w:hint="eastAsia"/>
          <w:color w:val="auto"/>
          <w:lang w:eastAsia="zh-CN"/>
        </w:rPr>
        <w:t>六</w:t>
      </w:r>
      <w:r>
        <w:rPr>
          <w:rFonts w:hint="eastAsia"/>
          <w:color w:val="auto"/>
        </w:rPr>
        <w:t>.资格证明文件</w:t>
      </w:r>
      <w:bookmarkEnd w:id="461"/>
      <w:bookmarkEnd w:id="462"/>
      <w:bookmarkEnd w:id="463"/>
    </w:p>
    <w:p w14:paraId="7F669761">
      <w:pPr>
        <w:tabs>
          <w:tab w:val="left" w:pos="4620"/>
        </w:tabs>
        <w:spacing w:line="360" w:lineRule="auto"/>
        <w:ind w:firstLine="480" w:firstLineChars="200"/>
        <w:rPr>
          <w:rFonts w:hint="eastAsia" w:ascii="宋体" w:hAnsi="宋体"/>
          <w:color w:val="auto"/>
          <w:sz w:val="24"/>
        </w:rPr>
      </w:pPr>
      <w:r>
        <w:rPr>
          <w:rFonts w:hint="eastAsia" w:ascii="宋体" w:hAnsi="宋体"/>
          <w:color w:val="auto"/>
          <w:sz w:val="24"/>
        </w:rPr>
        <w:t>提供符合投标邀请（招标公告）、招标范围及要求、评标办法规定的相关证明文件</w:t>
      </w:r>
    </w:p>
    <w:p w14:paraId="50E78C72">
      <w:pPr>
        <w:tabs>
          <w:tab w:val="left" w:pos="4620"/>
        </w:tabs>
        <w:spacing w:line="360" w:lineRule="auto"/>
        <w:ind w:firstLine="480" w:firstLineChars="200"/>
        <w:rPr>
          <w:rFonts w:hint="eastAsia" w:ascii="宋体" w:hAnsi="宋体"/>
          <w:color w:val="auto"/>
          <w:sz w:val="24"/>
        </w:rPr>
      </w:pPr>
    </w:p>
    <w:p w14:paraId="4D7FB62A">
      <w:pPr>
        <w:pStyle w:val="4"/>
        <w:outlineLvl w:val="9"/>
        <w:rPr>
          <w:rFonts w:hint="eastAsia"/>
          <w:b/>
          <w:color w:val="auto"/>
          <w:szCs w:val="22"/>
          <w:lang w:eastAsia="zh-CN"/>
        </w:rPr>
      </w:pPr>
      <w:bookmarkStart w:id="464" w:name="_Toc515390052"/>
    </w:p>
    <w:p w14:paraId="23171B91">
      <w:pPr>
        <w:pStyle w:val="4"/>
        <w:spacing w:before="0" w:after="0" w:line="240" w:lineRule="auto"/>
        <w:outlineLvl w:val="9"/>
        <w:rPr>
          <w:rFonts w:hint="eastAsia"/>
          <w:b/>
          <w:color w:val="auto"/>
          <w:szCs w:val="22"/>
          <w:lang w:eastAsia="zh-CN"/>
        </w:rPr>
      </w:pPr>
    </w:p>
    <w:p w14:paraId="78086DE1">
      <w:pPr>
        <w:rPr>
          <w:rFonts w:hint="eastAsia"/>
          <w:color w:val="auto"/>
          <w:lang w:eastAsia="zh-CN"/>
        </w:rPr>
      </w:pPr>
    </w:p>
    <w:p w14:paraId="05E32E76">
      <w:pPr>
        <w:pStyle w:val="4"/>
        <w:keepNext/>
        <w:keepLines/>
        <w:pageBreakBefore/>
        <w:widowControl w:val="0"/>
        <w:kinsoku/>
        <w:wordWrap/>
        <w:overflowPunct/>
        <w:topLinePunct w:val="0"/>
        <w:autoSpaceDE/>
        <w:autoSpaceDN/>
        <w:bidi w:val="0"/>
        <w:adjustRightInd/>
        <w:snapToGrid/>
        <w:spacing w:before="0" w:after="0" w:line="240" w:lineRule="auto"/>
        <w:textAlignment w:val="auto"/>
        <w:outlineLvl w:val="1"/>
        <w:rPr>
          <w:rFonts w:hint="eastAsia"/>
          <w:b/>
          <w:color w:val="auto"/>
          <w:szCs w:val="22"/>
        </w:rPr>
      </w:pPr>
      <w:r>
        <w:rPr>
          <w:rFonts w:hint="eastAsia"/>
          <w:b/>
          <w:color w:val="auto"/>
          <w:szCs w:val="22"/>
          <w:lang w:eastAsia="zh-CN"/>
        </w:rPr>
        <w:t>七、</w:t>
      </w:r>
      <w:r>
        <w:rPr>
          <w:rFonts w:hint="eastAsia"/>
          <w:b/>
          <w:color w:val="auto"/>
          <w:szCs w:val="22"/>
        </w:rPr>
        <w:t>投标人信用承诺</w:t>
      </w:r>
      <w:bookmarkEnd w:id="464"/>
    </w:p>
    <w:p w14:paraId="47EE35BE">
      <w:pPr>
        <w:spacing w:line="360" w:lineRule="auto"/>
        <w:ind w:firstLine="630"/>
        <w:rPr>
          <w:rFonts w:ascii="宋体" w:hAnsi="宋体"/>
          <w:b/>
          <w:color w:val="auto"/>
          <w:sz w:val="24"/>
        </w:rPr>
      </w:pPr>
      <w:r>
        <w:rPr>
          <w:rFonts w:hint="eastAsia" w:ascii="宋体" w:hAnsi="宋体"/>
          <w:b/>
          <w:color w:val="auto"/>
          <w:sz w:val="24"/>
        </w:rPr>
        <w:t>一、我公司申明：</w:t>
      </w:r>
    </w:p>
    <w:p w14:paraId="203CD1C5">
      <w:pPr>
        <w:spacing w:line="360" w:lineRule="auto"/>
        <w:ind w:firstLine="630"/>
        <w:outlineLvl w:val="2"/>
        <w:rPr>
          <w:rFonts w:ascii="宋体" w:hAnsi="宋体"/>
          <w:color w:val="auto"/>
          <w:sz w:val="24"/>
        </w:rPr>
      </w:pPr>
      <w:r>
        <w:rPr>
          <w:rFonts w:hint="eastAsia" w:ascii="宋体" w:hAnsi="宋体"/>
          <w:color w:val="auto"/>
          <w:sz w:val="24"/>
        </w:rPr>
        <w:t>1.我公司未被人民法院列入失信被执行人；</w:t>
      </w:r>
    </w:p>
    <w:p w14:paraId="48255E21">
      <w:pPr>
        <w:spacing w:line="360" w:lineRule="auto"/>
        <w:ind w:firstLine="630"/>
        <w:rPr>
          <w:rFonts w:ascii="宋体" w:hAnsi="宋体"/>
          <w:color w:val="auto"/>
          <w:sz w:val="24"/>
        </w:rPr>
      </w:pPr>
      <w:r>
        <w:rPr>
          <w:rFonts w:hint="eastAsia" w:ascii="宋体" w:hAnsi="宋体"/>
          <w:color w:val="auto"/>
          <w:sz w:val="24"/>
        </w:rPr>
        <w:t>2.我公司和我公司法定代表人和我公司拟派项目经理（项目负责人）均未被人民检察院列入行贿犯罪档案；</w:t>
      </w:r>
    </w:p>
    <w:p w14:paraId="78F17110">
      <w:pPr>
        <w:spacing w:line="360" w:lineRule="auto"/>
        <w:ind w:firstLine="630"/>
        <w:rPr>
          <w:rFonts w:ascii="宋体" w:hAnsi="宋体"/>
          <w:color w:val="auto"/>
          <w:sz w:val="24"/>
        </w:rPr>
      </w:pPr>
      <w:r>
        <w:rPr>
          <w:rFonts w:hint="eastAsia" w:ascii="宋体" w:hAnsi="宋体"/>
          <w:color w:val="auto"/>
          <w:sz w:val="24"/>
        </w:rPr>
        <w:t>3.我公司未被工商行政管理部门列入企业经营异常名录；</w:t>
      </w:r>
    </w:p>
    <w:p w14:paraId="0B41416A">
      <w:pPr>
        <w:spacing w:line="360" w:lineRule="auto"/>
        <w:ind w:firstLine="630"/>
        <w:rPr>
          <w:rFonts w:hint="eastAsia" w:ascii="宋体" w:hAnsi="宋体"/>
          <w:color w:val="auto"/>
          <w:sz w:val="24"/>
        </w:rPr>
      </w:pPr>
      <w:r>
        <w:rPr>
          <w:rFonts w:hint="eastAsia" w:ascii="宋体" w:hAnsi="宋体"/>
          <w:color w:val="auto"/>
          <w:sz w:val="24"/>
        </w:rPr>
        <w:t>4.我公司未被税务部门列入重大税收违法案件当事人名单；</w:t>
      </w:r>
    </w:p>
    <w:p w14:paraId="7155F10E">
      <w:pPr>
        <w:spacing w:line="360" w:lineRule="auto"/>
        <w:ind w:firstLine="630"/>
        <w:rPr>
          <w:rFonts w:ascii="宋体" w:hAnsi="宋体"/>
          <w:color w:val="auto"/>
          <w:sz w:val="24"/>
        </w:rPr>
      </w:pPr>
      <w:r>
        <w:rPr>
          <w:rFonts w:hint="eastAsia" w:ascii="宋体" w:hAnsi="宋体"/>
          <w:color w:val="auto"/>
          <w:sz w:val="24"/>
        </w:rPr>
        <w:t>5.我公司未被合肥市人社部门列入拖欠农民工工资黑名单；</w:t>
      </w:r>
    </w:p>
    <w:p w14:paraId="444F7C46">
      <w:pPr>
        <w:spacing w:line="360" w:lineRule="auto"/>
        <w:ind w:firstLine="630"/>
        <w:rPr>
          <w:rFonts w:ascii="宋体" w:hAnsi="宋体"/>
          <w:color w:val="auto"/>
          <w:sz w:val="24"/>
        </w:rPr>
      </w:pPr>
      <w:r>
        <w:rPr>
          <w:rFonts w:hint="eastAsia" w:ascii="宋体" w:hAnsi="宋体"/>
          <w:color w:val="auto"/>
          <w:sz w:val="24"/>
        </w:rPr>
        <w:t>6.我公司未存在被合肥市城乡建设局因安全生产责任事故限制在合肥行政区域内承接新的工程项目且在限制期内的情形。</w:t>
      </w:r>
    </w:p>
    <w:p w14:paraId="05193F61">
      <w:pPr>
        <w:spacing w:line="360" w:lineRule="auto"/>
        <w:ind w:firstLine="630"/>
        <w:rPr>
          <w:rFonts w:ascii="宋体" w:hAnsi="宋体"/>
          <w:color w:val="auto"/>
          <w:sz w:val="24"/>
        </w:rPr>
      </w:pPr>
      <w:r>
        <w:rPr>
          <w:rFonts w:hint="eastAsia" w:ascii="宋体" w:hAnsi="宋体"/>
          <w:color w:val="auto"/>
          <w:sz w:val="24"/>
        </w:rPr>
        <w:t xml:space="preserve">二、合同签订前，若我公司具有本项目招标公告投标人资格中规定的不良信用记录情形，可取消我公司的中标资格或者不授予合同，所有责任由我公司自行承担。同时，我公司愿意无条件接受监管部门的调查处理。   </w:t>
      </w:r>
    </w:p>
    <w:p w14:paraId="4F8A7898">
      <w:pPr>
        <w:spacing w:line="360" w:lineRule="auto"/>
        <w:ind w:firstLine="482" w:firstLineChars="200"/>
        <w:rPr>
          <w:rFonts w:ascii="宋体" w:hAnsi="宋体"/>
          <w:b/>
          <w:color w:val="auto"/>
          <w:sz w:val="24"/>
        </w:rPr>
      </w:pPr>
      <w:r>
        <w:rPr>
          <w:rFonts w:ascii="宋体" w:hAnsi="宋体"/>
          <w:b/>
          <w:color w:val="auto"/>
          <w:sz w:val="24"/>
        </w:rPr>
        <w:t>我公司</w:t>
      </w:r>
      <w:r>
        <w:rPr>
          <w:rFonts w:hint="eastAsia" w:ascii="宋体" w:hAnsi="宋体"/>
          <w:b/>
          <w:color w:val="auto"/>
          <w:sz w:val="24"/>
        </w:rPr>
        <w:t>对以上承诺的真实性承担责任</w:t>
      </w:r>
      <w:r>
        <w:rPr>
          <w:rFonts w:ascii="宋体" w:hAnsi="宋体"/>
          <w:b/>
          <w:color w:val="auto"/>
          <w:sz w:val="24"/>
        </w:rPr>
        <w:t>。</w:t>
      </w:r>
    </w:p>
    <w:p w14:paraId="1F74AEC8">
      <w:pPr>
        <w:spacing w:line="360" w:lineRule="auto"/>
        <w:ind w:firstLine="630"/>
        <w:rPr>
          <w:rFonts w:ascii="宋体" w:hAnsi="宋体"/>
          <w:color w:val="auto"/>
          <w:sz w:val="24"/>
        </w:rPr>
      </w:pPr>
    </w:p>
    <w:p w14:paraId="3894932A">
      <w:pPr>
        <w:spacing w:line="360" w:lineRule="auto"/>
        <w:ind w:firstLine="482" w:firstLineChars="200"/>
        <w:rPr>
          <w:rFonts w:hint="eastAsia" w:ascii="宋体" w:hAnsi="宋体"/>
          <w:b/>
          <w:color w:val="auto"/>
          <w:sz w:val="24"/>
          <w:szCs w:val="22"/>
        </w:rPr>
      </w:pPr>
      <w:r>
        <w:rPr>
          <w:rFonts w:hint="eastAsia" w:ascii="宋体" w:hAnsi="宋体"/>
          <w:b/>
          <w:color w:val="auto"/>
          <w:sz w:val="24"/>
          <w:szCs w:val="22"/>
        </w:rPr>
        <w:t xml:space="preserve">投标人（公章）：                </w:t>
      </w:r>
    </w:p>
    <w:p w14:paraId="7BC5A7CE">
      <w:pPr>
        <w:spacing w:line="360" w:lineRule="auto"/>
        <w:ind w:firstLine="482" w:firstLineChars="200"/>
        <w:rPr>
          <w:rFonts w:hint="eastAsia" w:ascii="宋体" w:hAnsi="宋体"/>
          <w:b/>
          <w:color w:val="auto"/>
          <w:sz w:val="24"/>
          <w:szCs w:val="22"/>
        </w:rPr>
      </w:pPr>
      <w:r>
        <w:rPr>
          <w:rFonts w:hint="eastAsia" w:ascii="宋体" w:hAnsi="宋体"/>
          <w:b/>
          <w:color w:val="auto"/>
          <w:sz w:val="24"/>
          <w:szCs w:val="22"/>
        </w:rPr>
        <w:t>日  期：      年    月     日</w:t>
      </w:r>
    </w:p>
    <w:p w14:paraId="0EC3DC0C">
      <w:pPr>
        <w:tabs>
          <w:tab w:val="left" w:pos="4620"/>
        </w:tabs>
        <w:spacing w:line="360" w:lineRule="auto"/>
        <w:ind w:firstLine="480" w:firstLineChars="200"/>
        <w:rPr>
          <w:rFonts w:hint="eastAsia" w:ascii="宋体" w:hAnsi="宋体"/>
          <w:color w:val="auto"/>
          <w:sz w:val="24"/>
        </w:rPr>
      </w:pPr>
    </w:p>
    <w:p w14:paraId="7128DF2E">
      <w:pPr>
        <w:rPr>
          <w:rFonts w:hint="eastAsia"/>
          <w:color w:val="auto"/>
          <w:sz w:val="36"/>
          <w:szCs w:val="36"/>
        </w:rPr>
      </w:pPr>
    </w:p>
    <w:p w14:paraId="524F996F">
      <w:pPr>
        <w:rPr>
          <w:rFonts w:hint="eastAsia"/>
          <w:color w:val="auto"/>
          <w:sz w:val="36"/>
          <w:szCs w:val="36"/>
        </w:rPr>
      </w:pPr>
    </w:p>
    <w:p w14:paraId="188E3235">
      <w:pPr>
        <w:rPr>
          <w:rFonts w:hint="eastAsia"/>
          <w:color w:val="auto"/>
          <w:sz w:val="36"/>
          <w:szCs w:val="36"/>
        </w:rPr>
      </w:pPr>
    </w:p>
    <w:p w14:paraId="7B7DB7C2">
      <w:pPr>
        <w:rPr>
          <w:rFonts w:hint="eastAsia"/>
          <w:color w:val="auto"/>
          <w:sz w:val="36"/>
          <w:szCs w:val="36"/>
        </w:rPr>
      </w:pPr>
    </w:p>
    <w:p w14:paraId="1F97A5E3">
      <w:pPr>
        <w:rPr>
          <w:rFonts w:hint="eastAsia"/>
          <w:color w:val="auto"/>
          <w:sz w:val="36"/>
          <w:szCs w:val="36"/>
        </w:rPr>
      </w:pPr>
    </w:p>
    <w:p w14:paraId="74836F91">
      <w:pPr>
        <w:rPr>
          <w:rFonts w:hint="eastAsia"/>
          <w:color w:val="auto"/>
          <w:sz w:val="36"/>
          <w:szCs w:val="36"/>
        </w:rPr>
      </w:pPr>
    </w:p>
    <w:p w14:paraId="35BF62B8">
      <w:pPr>
        <w:pStyle w:val="3"/>
        <w:keepNext/>
        <w:keepLines/>
        <w:pageBreakBefore/>
        <w:widowControl w:val="0"/>
        <w:kinsoku/>
        <w:wordWrap/>
        <w:overflowPunct/>
        <w:topLinePunct w:val="0"/>
        <w:autoSpaceDE/>
        <w:autoSpaceDN/>
        <w:bidi w:val="0"/>
        <w:adjustRightInd/>
        <w:snapToGrid/>
        <w:spacing w:line="413" w:lineRule="auto"/>
        <w:ind w:firstLine="629"/>
        <w:textAlignment w:val="auto"/>
        <w:rPr>
          <w:rFonts w:hint="eastAsia"/>
          <w:color w:val="auto"/>
        </w:rPr>
      </w:pPr>
      <w:bookmarkStart w:id="465" w:name="_Toc328559343"/>
      <w:bookmarkStart w:id="466" w:name="_Toc273602362"/>
      <w:bookmarkStart w:id="467" w:name="_Toc245714181"/>
      <w:r>
        <w:rPr>
          <w:rFonts w:hint="eastAsia" w:ascii="黑体"/>
          <w:color w:val="auto"/>
        </w:rPr>
        <w:t>●</w:t>
      </w:r>
      <w:r>
        <w:rPr>
          <w:rFonts w:hint="eastAsia"/>
          <w:color w:val="auto"/>
        </w:rPr>
        <w:t>商务标</w:t>
      </w:r>
      <w:bookmarkEnd w:id="465"/>
      <w:bookmarkEnd w:id="466"/>
      <w:bookmarkEnd w:id="467"/>
    </w:p>
    <w:p w14:paraId="0E850510">
      <w:pPr>
        <w:spacing w:line="900" w:lineRule="exact"/>
        <w:jc w:val="left"/>
        <w:rPr>
          <w:rFonts w:hint="default" w:ascii="宋体" w:hAnsi="宋体" w:eastAsia="宋体"/>
          <w:b/>
          <w:bCs/>
          <w:color w:val="auto"/>
          <w:sz w:val="44"/>
          <w:szCs w:val="44"/>
          <w:lang w:val="en-US" w:eastAsia="zh-CN"/>
        </w:rPr>
      </w:pPr>
      <w:r>
        <w:rPr>
          <w:rFonts w:hint="eastAsia" w:ascii="宋体" w:hAnsi="宋体"/>
          <w:b/>
          <w:bCs/>
          <w:color w:val="auto"/>
          <w:sz w:val="44"/>
          <w:szCs w:val="44"/>
          <w:u w:val="single"/>
          <w:lang w:val="en-US" w:eastAsia="zh-CN"/>
        </w:rPr>
        <w:t xml:space="preserve">                          </w:t>
      </w:r>
      <w:r>
        <w:rPr>
          <w:rFonts w:hint="eastAsia" w:ascii="宋体" w:hAnsi="宋体"/>
          <w:b/>
          <w:bCs/>
          <w:color w:val="auto"/>
          <w:sz w:val="44"/>
          <w:szCs w:val="44"/>
          <w:u w:val="none"/>
          <w:lang w:val="en-US" w:eastAsia="zh-CN"/>
        </w:rPr>
        <w:t>（项目名称）</w:t>
      </w:r>
    </w:p>
    <w:p w14:paraId="1C91C976">
      <w:pPr>
        <w:spacing w:line="900" w:lineRule="exact"/>
        <w:jc w:val="center"/>
        <w:rPr>
          <w:rFonts w:hint="eastAsia" w:ascii="宋体" w:hAnsi="宋体"/>
          <w:b/>
          <w:color w:val="auto"/>
          <w:sz w:val="72"/>
        </w:rPr>
      </w:pPr>
      <w:r>
        <w:rPr>
          <w:rFonts w:hint="eastAsia" w:ascii="宋体" w:hAnsi="宋体"/>
          <w:b/>
          <w:color w:val="auto"/>
          <w:sz w:val="72"/>
        </w:rPr>
        <w:t>投</w:t>
      </w:r>
    </w:p>
    <w:p w14:paraId="249E6411">
      <w:pPr>
        <w:spacing w:line="900" w:lineRule="exact"/>
        <w:jc w:val="center"/>
        <w:rPr>
          <w:rFonts w:hint="eastAsia" w:ascii="宋体" w:hAnsi="宋体"/>
          <w:b/>
          <w:color w:val="auto"/>
          <w:sz w:val="72"/>
        </w:rPr>
      </w:pPr>
      <w:r>
        <w:rPr>
          <w:rFonts w:hint="eastAsia" w:ascii="宋体" w:hAnsi="宋体"/>
          <w:b/>
          <w:color w:val="auto"/>
          <w:sz w:val="72"/>
        </w:rPr>
        <w:t>标</w:t>
      </w:r>
    </w:p>
    <w:p w14:paraId="1A82DFA2">
      <w:pPr>
        <w:spacing w:line="900" w:lineRule="exact"/>
        <w:jc w:val="center"/>
        <w:rPr>
          <w:rFonts w:hint="eastAsia" w:ascii="宋体" w:hAnsi="宋体"/>
          <w:b/>
          <w:color w:val="auto"/>
          <w:sz w:val="72"/>
        </w:rPr>
      </w:pPr>
      <w:r>
        <w:rPr>
          <w:rFonts w:hint="eastAsia" w:ascii="宋体" w:hAnsi="宋体"/>
          <w:b/>
          <w:color w:val="auto"/>
          <w:sz w:val="72"/>
        </w:rPr>
        <w:t>文</w:t>
      </w:r>
    </w:p>
    <w:p w14:paraId="16B88F3A">
      <w:pPr>
        <w:jc w:val="center"/>
        <w:rPr>
          <w:rFonts w:hint="eastAsia" w:ascii="宋体" w:hAnsi="宋体"/>
          <w:b/>
          <w:color w:val="auto"/>
          <w:sz w:val="72"/>
        </w:rPr>
      </w:pPr>
      <w:r>
        <w:rPr>
          <w:rFonts w:hint="eastAsia" w:ascii="宋体" w:hAnsi="宋体"/>
          <w:b/>
          <w:color w:val="auto"/>
          <w:sz w:val="72"/>
        </w:rPr>
        <w:t>件</w:t>
      </w:r>
    </w:p>
    <w:p w14:paraId="6314E313">
      <w:pPr>
        <w:spacing w:after="120" w:afterLines="50" w:line="500" w:lineRule="exact"/>
        <w:jc w:val="center"/>
        <w:rPr>
          <w:rFonts w:hint="eastAsia" w:ascii="宋体" w:hAnsi="宋体"/>
          <w:b/>
          <w:color w:val="auto"/>
          <w:sz w:val="36"/>
          <w:szCs w:val="36"/>
        </w:rPr>
      </w:pPr>
      <w:r>
        <w:rPr>
          <w:rFonts w:hint="eastAsia" w:ascii="宋体" w:hAnsi="宋体"/>
          <w:b/>
          <w:color w:val="auto"/>
          <w:sz w:val="36"/>
          <w:szCs w:val="36"/>
        </w:rPr>
        <w:t>【商务标】</w:t>
      </w:r>
    </w:p>
    <w:p w14:paraId="5D0C4928">
      <w:pPr>
        <w:spacing w:after="120" w:afterLines="50" w:line="500" w:lineRule="exact"/>
        <w:jc w:val="center"/>
        <w:rPr>
          <w:rFonts w:hint="eastAsia" w:ascii="宋体" w:hAnsi="宋体"/>
          <w:b/>
          <w:color w:val="auto"/>
          <w:sz w:val="72"/>
        </w:rPr>
      </w:pPr>
    </w:p>
    <w:p w14:paraId="44559D6F">
      <w:pPr>
        <w:spacing w:after="120" w:afterLines="50" w:line="500" w:lineRule="exact"/>
        <w:rPr>
          <w:rFonts w:hint="eastAsia" w:ascii="宋体" w:hAnsi="宋体"/>
          <w:b/>
          <w:color w:val="auto"/>
          <w:sz w:val="32"/>
          <w:u w:val="single"/>
        </w:rPr>
      </w:pPr>
      <w:r>
        <w:rPr>
          <w:rFonts w:hint="eastAsia" w:ascii="宋体" w:hAnsi="宋体"/>
          <w:b/>
          <w:color w:val="auto"/>
          <w:sz w:val="30"/>
        </w:rPr>
        <w:t xml:space="preserve">                 </w:t>
      </w:r>
      <w:r>
        <w:rPr>
          <w:rFonts w:hint="eastAsia" w:ascii="宋体" w:hAnsi="宋体"/>
          <w:b/>
          <w:color w:val="auto"/>
          <w:sz w:val="32"/>
        </w:rPr>
        <w:t>投标人：</w:t>
      </w:r>
      <w:r>
        <w:rPr>
          <w:rFonts w:hint="eastAsia" w:ascii="宋体" w:hAnsi="宋体"/>
          <w:b/>
          <w:color w:val="auto"/>
          <w:sz w:val="32"/>
          <w:u w:val="single"/>
        </w:rPr>
        <w:t xml:space="preserve">               </w:t>
      </w:r>
    </w:p>
    <w:p w14:paraId="685A544A">
      <w:pPr>
        <w:spacing w:after="120" w:afterLines="50" w:line="500" w:lineRule="exact"/>
        <w:jc w:val="center"/>
        <w:rPr>
          <w:rFonts w:hint="eastAsia" w:ascii="宋体" w:hAnsi="宋体"/>
          <w:b/>
          <w:color w:val="auto"/>
          <w:sz w:val="32"/>
        </w:rPr>
      </w:pP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年</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月</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日</w:t>
      </w:r>
    </w:p>
    <w:p w14:paraId="14263C80">
      <w:pPr>
        <w:rPr>
          <w:rFonts w:hint="eastAsia"/>
          <w:color w:val="auto"/>
          <w:sz w:val="44"/>
          <w:szCs w:val="44"/>
        </w:rPr>
      </w:pPr>
    </w:p>
    <w:p w14:paraId="38B5ED4A">
      <w:pPr>
        <w:rPr>
          <w:rFonts w:hint="eastAsia"/>
          <w:color w:val="auto"/>
          <w:sz w:val="44"/>
          <w:szCs w:val="44"/>
        </w:rPr>
      </w:pPr>
    </w:p>
    <w:p w14:paraId="6D54CF84">
      <w:pPr>
        <w:rPr>
          <w:rFonts w:hint="eastAsia"/>
          <w:color w:val="auto"/>
          <w:sz w:val="44"/>
          <w:szCs w:val="44"/>
        </w:rPr>
      </w:pPr>
    </w:p>
    <w:p w14:paraId="40F87244">
      <w:pPr>
        <w:rPr>
          <w:rFonts w:hint="eastAsia"/>
          <w:color w:val="auto"/>
          <w:sz w:val="44"/>
          <w:szCs w:val="44"/>
        </w:rPr>
      </w:pPr>
    </w:p>
    <w:p w14:paraId="4FB2161E">
      <w:pPr>
        <w:rPr>
          <w:rFonts w:hint="eastAsia"/>
          <w:color w:val="auto"/>
          <w:sz w:val="44"/>
          <w:szCs w:val="44"/>
        </w:rPr>
      </w:pPr>
    </w:p>
    <w:p w14:paraId="4E1B36A2">
      <w:pPr>
        <w:rPr>
          <w:rFonts w:hint="eastAsia"/>
          <w:color w:val="auto"/>
          <w:sz w:val="44"/>
          <w:szCs w:val="44"/>
        </w:rPr>
      </w:pPr>
    </w:p>
    <w:p w14:paraId="333BDBA2">
      <w:pPr>
        <w:rPr>
          <w:rFonts w:hint="eastAsia"/>
          <w:color w:val="auto"/>
          <w:sz w:val="44"/>
          <w:szCs w:val="44"/>
        </w:rPr>
      </w:pPr>
    </w:p>
    <w:p w14:paraId="37A0454C">
      <w:pPr>
        <w:rPr>
          <w:rFonts w:hint="eastAsia"/>
          <w:color w:val="auto"/>
          <w:sz w:val="44"/>
          <w:szCs w:val="44"/>
        </w:rPr>
      </w:pPr>
    </w:p>
    <w:p w14:paraId="4A41CFE3">
      <w:pPr>
        <w:rPr>
          <w:rFonts w:hint="eastAsia"/>
          <w:color w:val="auto"/>
          <w:sz w:val="44"/>
          <w:szCs w:val="44"/>
        </w:rPr>
      </w:pPr>
    </w:p>
    <w:bookmarkEnd w:id="441"/>
    <w:p w14:paraId="6750080C">
      <w:pPr>
        <w:pStyle w:val="4"/>
        <w:outlineLvl w:val="1"/>
        <w:rPr>
          <w:rFonts w:hint="eastAsia" w:hAnsi="宋体"/>
          <w:color w:val="auto"/>
          <w:sz w:val="28"/>
        </w:rPr>
      </w:pPr>
      <w:bookmarkStart w:id="468" w:name="_Toc240898303"/>
      <w:bookmarkStart w:id="469" w:name="_Toc328559344"/>
      <w:bookmarkStart w:id="470" w:name="_Toc273602363"/>
      <w:bookmarkStart w:id="471" w:name="_Toc270410845"/>
      <w:r>
        <w:rPr>
          <w:rFonts w:hint="eastAsia" w:hAnsi="宋体"/>
          <w:color w:val="auto"/>
          <w:sz w:val="28"/>
        </w:rPr>
        <w:t>一．开标一览表</w:t>
      </w:r>
      <w:bookmarkEnd w:id="468"/>
      <w:bookmarkEnd w:id="469"/>
      <w:bookmarkEnd w:id="470"/>
      <w:bookmarkEnd w:id="471"/>
    </w:p>
    <w:bookmarkEnd w:id="442"/>
    <w:p w14:paraId="18CB30DD">
      <w:pPr>
        <w:adjustRightInd w:val="0"/>
        <w:snapToGrid w:val="0"/>
        <w:spacing w:before="48" w:beforeLines="20" w:after="48" w:afterLines="20" w:line="400" w:lineRule="exact"/>
        <w:rPr>
          <w:rFonts w:hint="eastAsia" w:ascii="宋体" w:hAnsi="宋体"/>
          <w:color w:val="auto"/>
          <w:szCs w:val="22"/>
          <w:u w:val="single"/>
        </w:rPr>
      </w:pPr>
      <w:r>
        <w:rPr>
          <w:rFonts w:hint="eastAsia" w:eastAsia="黑体"/>
          <w:snapToGrid w:val="0"/>
          <w:color w:val="auto"/>
          <w:kern w:val="0"/>
          <w:szCs w:val="21"/>
          <w:u w:val="single"/>
        </w:rPr>
        <w:t xml:space="preserve">            </w:t>
      </w:r>
      <w:r>
        <w:rPr>
          <w:snapToGrid w:val="0"/>
          <w:color w:val="auto"/>
          <w:kern w:val="0"/>
          <w:szCs w:val="21"/>
        </w:rPr>
        <w:t>（招标人名称）</w:t>
      </w:r>
      <w:r>
        <w:rPr>
          <w:rFonts w:hint="eastAsia"/>
          <w:snapToGrid w:val="0"/>
          <w:color w:val="auto"/>
          <w:kern w:val="0"/>
          <w:szCs w:val="21"/>
        </w:rPr>
        <w:t>：</w:t>
      </w:r>
    </w:p>
    <w:p w14:paraId="2F69EBCD">
      <w:pPr>
        <w:tabs>
          <w:tab w:val="left" w:pos="7560"/>
        </w:tabs>
        <w:adjustRightInd w:val="0"/>
        <w:snapToGrid w:val="0"/>
        <w:spacing w:before="48" w:beforeLines="20" w:after="48" w:afterLines="20" w:line="400" w:lineRule="exact"/>
        <w:ind w:firstLine="420" w:firstLineChars="200"/>
        <w:jc w:val="left"/>
        <w:rPr>
          <w:rFonts w:hint="eastAsia" w:ascii="宋体" w:hAnsi="宋体"/>
          <w:color w:val="auto"/>
          <w:szCs w:val="22"/>
          <w:u w:val="single"/>
        </w:rPr>
      </w:pPr>
      <w:r>
        <w:rPr>
          <w:rFonts w:hint="eastAsia" w:ascii="宋体" w:hAnsi="宋体"/>
          <w:color w:val="auto"/>
          <w:szCs w:val="22"/>
        </w:rPr>
        <w:t>1. 我方已仔细研究</w:t>
      </w:r>
      <w:r>
        <w:rPr>
          <w:rFonts w:hint="eastAsia" w:ascii="宋体" w:hAnsi="宋体"/>
          <w:color w:val="auto"/>
          <w:szCs w:val="22"/>
          <w:u w:val="single"/>
        </w:rPr>
        <w:t xml:space="preserve">         </w:t>
      </w:r>
      <w:r>
        <w:rPr>
          <w:rFonts w:hint="eastAsia" w:ascii="宋体" w:hAnsi="宋体"/>
          <w:color w:val="auto"/>
          <w:szCs w:val="22"/>
        </w:rPr>
        <w:t>（项目名称）</w:t>
      </w:r>
      <w:r>
        <w:rPr>
          <w:rFonts w:hint="eastAsia" w:ascii="宋体" w:hAnsi="宋体"/>
          <w:color w:val="auto"/>
          <w:szCs w:val="22"/>
          <w:u w:val="single"/>
        </w:rPr>
        <w:t xml:space="preserve">   </w:t>
      </w:r>
      <w:r>
        <w:rPr>
          <w:rFonts w:hint="eastAsia" w:ascii="宋体" w:hAnsi="宋体"/>
          <w:color w:val="auto"/>
          <w:szCs w:val="22"/>
        </w:rPr>
        <w:t>标段招标文件的全部内容，在考察工程现场后，愿意以人民币（大写）</w:t>
      </w:r>
      <w:r>
        <w:rPr>
          <w:rFonts w:hint="eastAsia" w:ascii="宋体" w:hAnsi="宋体"/>
          <w:color w:val="auto"/>
          <w:szCs w:val="22"/>
          <w:u w:val="single"/>
        </w:rPr>
        <w:t xml:space="preserve">         </w:t>
      </w:r>
      <w:r>
        <w:rPr>
          <w:rFonts w:hint="eastAsia" w:ascii="宋体" w:hAnsi="宋体"/>
          <w:color w:val="auto"/>
          <w:szCs w:val="22"/>
        </w:rPr>
        <w:t>元（¥</w:t>
      </w:r>
      <w:r>
        <w:rPr>
          <w:rFonts w:hint="eastAsia" w:ascii="宋体" w:hAnsi="宋体"/>
          <w:color w:val="auto"/>
          <w:szCs w:val="22"/>
          <w:u w:val="single"/>
        </w:rPr>
        <w:t xml:space="preserve">         </w:t>
      </w:r>
      <w:r>
        <w:rPr>
          <w:rFonts w:hint="eastAsia" w:ascii="宋体" w:hAnsi="宋体"/>
          <w:color w:val="auto"/>
          <w:szCs w:val="22"/>
        </w:rPr>
        <w:t>）的投标总报价，按合同约定实施和完成承包工程，修补工程中的任何缺陷。</w:t>
      </w:r>
    </w:p>
    <w:p w14:paraId="64A34A42">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2. 我方已按招标文件要求详细审核并确认全部招标文件及有关附件，充分理解投标价格不得低于企业个别成本有关规定。我方经成本核算，所填报的投标报价不低于企业个别成本。</w:t>
      </w:r>
    </w:p>
    <w:p w14:paraId="335CE605">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 xml:space="preserve">3. </w:t>
      </w:r>
      <w:r>
        <w:rPr>
          <w:rFonts w:hint="eastAsia" w:eastAsia="黑体"/>
          <w:snapToGrid w:val="0"/>
          <w:color w:val="auto"/>
          <w:kern w:val="0"/>
          <w:szCs w:val="21"/>
          <w:u w:val="single"/>
        </w:rPr>
        <w:t xml:space="preserve">                          </w:t>
      </w:r>
      <w:r>
        <w:rPr>
          <w:snapToGrid w:val="0"/>
          <w:color w:val="auto"/>
          <w:kern w:val="0"/>
          <w:szCs w:val="21"/>
        </w:rPr>
        <w:t>（其他补充说明）。</w:t>
      </w:r>
    </w:p>
    <w:p w14:paraId="5D9F0CAB">
      <w:pPr>
        <w:adjustRightInd w:val="0"/>
        <w:snapToGrid w:val="0"/>
        <w:spacing w:before="48" w:beforeLines="20" w:after="48" w:afterLines="20" w:line="400" w:lineRule="exact"/>
        <w:ind w:firstLine="367" w:firstLineChars="175"/>
        <w:rPr>
          <w:rFonts w:hint="eastAsia" w:ascii="宋体" w:hAnsi="宋体"/>
          <w:bCs/>
          <w:color w:val="auto"/>
          <w:szCs w:val="21"/>
        </w:rPr>
      </w:pPr>
    </w:p>
    <w:p w14:paraId="55BDAA5F">
      <w:pPr>
        <w:adjustRightInd w:val="0"/>
        <w:snapToGrid w:val="0"/>
        <w:spacing w:before="48" w:beforeLines="20" w:after="48" w:afterLines="20" w:line="400" w:lineRule="exact"/>
        <w:ind w:firstLine="420" w:firstLineChars="200"/>
        <w:rPr>
          <w:rFonts w:hint="eastAsia" w:ascii="宋体" w:hAnsi="宋体"/>
          <w:bCs/>
          <w:color w:val="auto"/>
          <w:szCs w:val="21"/>
          <w:u w:val="single"/>
        </w:rPr>
      </w:pPr>
      <w:r>
        <w:rPr>
          <w:rFonts w:hint="eastAsia" w:ascii="宋体" w:hAnsi="宋体"/>
          <w:bCs/>
          <w:color w:val="auto"/>
          <w:szCs w:val="21"/>
        </w:rPr>
        <w:t>投 标 人：</w:t>
      </w:r>
      <w:r>
        <w:rPr>
          <w:rFonts w:hint="eastAsia" w:ascii="宋体" w:hAnsi="宋体"/>
          <w:bCs/>
          <w:color w:val="auto"/>
          <w:szCs w:val="21"/>
          <w:u w:val="single"/>
        </w:rPr>
        <w:t xml:space="preserve">                                             </w:t>
      </w:r>
      <w:r>
        <w:rPr>
          <w:rFonts w:hint="eastAsia" w:ascii="宋体" w:hAnsi="宋体"/>
          <w:bCs/>
          <w:color w:val="auto"/>
          <w:szCs w:val="21"/>
        </w:rPr>
        <w:t>（盖单位章）</w:t>
      </w:r>
    </w:p>
    <w:p w14:paraId="65CD8928">
      <w:pPr>
        <w:adjustRightInd w:val="0"/>
        <w:snapToGrid w:val="0"/>
        <w:spacing w:before="48" w:beforeLines="20" w:after="48" w:afterLines="20" w:line="400" w:lineRule="exact"/>
        <w:ind w:firstLine="420" w:firstLineChars="200"/>
        <w:rPr>
          <w:rFonts w:hint="eastAsia" w:ascii="宋体" w:hAnsi="宋体"/>
          <w:color w:val="auto"/>
          <w:szCs w:val="21"/>
          <w:u w:val="single"/>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（签字或盖章）</w:t>
      </w:r>
    </w:p>
    <w:p w14:paraId="31BC0221">
      <w:pPr>
        <w:adjustRightInd w:val="0"/>
        <w:snapToGrid w:val="0"/>
        <w:spacing w:before="48" w:beforeLines="20" w:after="48" w:afterLines="20" w:line="400" w:lineRule="exact"/>
        <w:ind w:left="109" w:leftChars="52" w:firstLine="315" w:firstLineChars="150"/>
        <w:rPr>
          <w:rFonts w:hint="eastAsia" w:ascii="宋体" w:hAnsi="宋体"/>
          <w:color w:val="auto"/>
          <w:szCs w:val="21"/>
          <w:u w:val="single"/>
        </w:rPr>
      </w:pPr>
      <w:r>
        <w:rPr>
          <w:rFonts w:hint="eastAsia" w:ascii="宋体" w:hAnsi="宋体"/>
          <w:color w:val="auto"/>
          <w:szCs w:val="21"/>
        </w:rPr>
        <w:t>单位地址：</w:t>
      </w:r>
      <w:r>
        <w:rPr>
          <w:rFonts w:hint="eastAsia" w:ascii="宋体" w:hAnsi="宋体"/>
          <w:color w:val="auto"/>
          <w:szCs w:val="21"/>
          <w:u w:val="single"/>
        </w:rPr>
        <w:t xml:space="preserve">                                                       </w:t>
      </w:r>
    </w:p>
    <w:p w14:paraId="388C09D9">
      <w:pPr>
        <w:adjustRightInd w:val="0"/>
        <w:snapToGrid w:val="0"/>
        <w:spacing w:before="48" w:beforeLines="20" w:after="48" w:afterLines="20" w:line="400" w:lineRule="exact"/>
        <w:ind w:firstLine="420" w:firstLineChars="200"/>
        <w:rPr>
          <w:rFonts w:hint="eastAsia" w:ascii="宋体" w:hAnsi="宋体"/>
          <w:color w:val="auto"/>
          <w:szCs w:val="21"/>
        </w:rPr>
      </w:pPr>
      <w:r>
        <w:rPr>
          <w:rFonts w:hint="eastAsia" w:ascii="宋体" w:hAnsi="宋体"/>
          <w:color w:val="auto"/>
          <w:szCs w:val="21"/>
        </w:rPr>
        <w:t>邮政编码：</w:t>
      </w:r>
      <w:r>
        <w:rPr>
          <w:rFonts w:hint="eastAsia" w:ascii="宋体" w:hAnsi="宋体"/>
          <w:bCs/>
          <w:color w:val="auto"/>
          <w:szCs w:val="32"/>
          <w:u w:val="single"/>
        </w:rPr>
        <w:t xml:space="preserve">           </w:t>
      </w:r>
      <w:r>
        <w:rPr>
          <w:rFonts w:hint="eastAsia" w:ascii="宋体" w:hAnsi="宋体"/>
          <w:color w:val="auto"/>
          <w:szCs w:val="21"/>
        </w:rPr>
        <w:t>电话：</w:t>
      </w:r>
      <w:r>
        <w:rPr>
          <w:rFonts w:hint="eastAsia" w:ascii="宋体" w:hAnsi="宋体"/>
          <w:bCs/>
          <w:color w:val="auto"/>
          <w:szCs w:val="32"/>
          <w:u w:val="single"/>
        </w:rPr>
        <w:t xml:space="preserve">           </w:t>
      </w:r>
      <w:r>
        <w:rPr>
          <w:rFonts w:hint="eastAsia" w:ascii="宋体" w:hAnsi="宋体"/>
          <w:color w:val="auto"/>
          <w:szCs w:val="21"/>
        </w:rPr>
        <w:t xml:space="preserve"> 传真：</w:t>
      </w:r>
      <w:r>
        <w:rPr>
          <w:rFonts w:hint="eastAsia" w:ascii="宋体" w:hAnsi="宋体"/>
          <w:color w:val="auto"/>
          <w:szCs w:val="21"/>
          <w:u w:val="single"/>
        </w:rPr>
        <w:t xml:space="preserve">                    </w:t>
      </w:r>
      <w:r>
        <w:rPr>
          <w:rFonts w:hint="eastAsia" w:ascii="宋体" w:hAnsi="宋体"/>
          <w:color w:val="auto"/>
          <w:szCs w:val="21"/>
        </w:rPr>
        <w:t xml:space="preserve"> </w:t>
      </w:r>
    </w:p>
    <w:p w14:paraId="2FB57223">
      <w:pPr>
        <w:adjustRightInd w:val="0"/>
        <w:snapToGrid w:val="0"/>
        <w:spacing w:before="48" w:beforeLines="20" w:after="48" w:afterLines="20" w:line="400" w:lineRule="exact"/>
        <w:ind w:firstLine="420" w:firstLineChars="200"/>
        <w:rPr>
          <w:rFonts w:hint="eastAsia" w:ascii="宋体" w:hAnsi="宋体"/>
          <w:color w:val="auto"/>
          <w:szCs w:val="22"/>
        </w:rPr>
      </w:pPr>
      <w:r>
        <w:rPr>
          <w:rFonts w:hint="eastAsia" w:ascii="宋体" w:hAnsi="宋体"/>
          <w:color w:val="auto"/>
          <w:szCs w:val="21"/>
        </w:rPr>
        <w:t>日期：</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w:t>
      </w:r>
    </w:p>
    <w:p w14:paraId="79748C3A">
      <w:pPr>
        <w:adjustRightInd w:val="0"/>
        <w:snapToGrid w:val="0"/>
        <w:spacing w:before="48" w:beforeLines="20" w:after="48" w:afterLines="20" w:line="400" w:lineRule="exact"/>
        <w:outlineLvl w:val="9"/>
        <w:rPr>
          <w:rFonts w:ascii="宋体" w:hAnsi="宋体"/>
          <w:color w:val="auto"/>
          <w:szCs w:val="22"/>
        </w:rPr>
      </w:pPr>
      <w:r>
        <w:rPr>
          <w:rFonts w:ascii="宋体" w:hAnsi="宋体"/>
          <w:color w:val="auto"/>
          <w:sz w:val="24"/>
          <w:szCs w:val="22"/>
        </w:rPr>
        <w:br w:type="page"/>
      </w:r>
    </w:p>
    <w:p w14:paraId="1E7253F0">
      <w:pPr>
        <w:pStyle w:val="4"/>
        <w:jc w:val="center"/>
        <w:outlineLvl w:val="1"/>
        <w:rPr>
          <w:rFonts w:hint="eastAsia"/>
          <w:color w:val="auto"/>
        </w:rPr>
      </w:pPr>
      <w:bookmarkStart w:id="472" w:name="_Toc460660237"/>
      <w:bookmarkStart w:id="473" w:name="_Toc421917014"/>
      <w:bookmarkStart w:id="474" w:name="_Toc460227122"/>
      <w:r>
        <w:rPr>
          <w:rFonts w:hint="eastAsia"/>
          <w:color w:val="auto"/>
          <w:lang w:eastAsia="zh-CN"/>
        </w:rPr>
        <w:t>二</w:t>
      </w:r>
      <w:r>
        <w:rPr>
          <w:rFonts w:hint="eastAsia"/>
          <w:color w:val="auto"/>
        </w:rPr>
        <w:t>、工程量清单报价书</w:t>
      </w:r>
      <w:bookmarkEnd w:id="472"/>
      <w:bookmarkEnd w:id="473"/>
      <w:bookmarkEnd w:id="474"/>
    </w:p>
    <w:p w14:paraId="283FEAE8">
      <w:pPr>
        <w:adjustRightInd w:val="0"/>
        <w:snapToGrid w:val="0"/>
        <w:spacing w:before="48" w:beforeLines="20" w:after="48" w:afterLines="20" w:line="540" w:lineRule="exact"/>
        <w:rPr>
          <w:rFonts w:ascii="宋体" w:hAnsi="宋体"/>
          <w:color w:val="auto"/>
          <w:sz w:val="28"/>
          <w:szCs w:val="22"/>
        </w:rPr>
      </w:pPr>
    </w:p>
    <w:p w14:paraId="103AA0C5">
      <w:pPr>
        <w:adjustRightInd w:val="0"/>
        <w:snapToGrid w:val="0"/>
        <w:spacing w:before="48" w:beforeLines="20" w:after="48" w:afterLines="20" w:line="540" w:lineRule="exact"/>
        <w:jc w:val="center"/>
        <w:rPr>
          <w:rFonts w:hint="eastAsia" w:ascii="宋体" w:hAnsi="宋体"/>
          <w:b/>
          <w:color w:val="auto"/>
          <w:sz w:val="44"/>
          <w:szCs w:val="22"/>
        </w:rPr>
      </w:pPr>
      <w:r>
        <w:rPr>
          <w:rFonts w:hint="eastAsia" w:ascii="宋体" w:hAnsi="宋体"/>
          <w:b/>
          <w:color w:val="auto"/>
          <w:sz w:val="36"/>
          <w:szCs w:val="22"/>
        </w:rPr>
        <w:t>投标总价</w:t>
      </w:r>
    </w:p>
    <w:p w14:paraId="675D450D">
      <w:pPr>
        <w:adjustRightInd w:val="0"/>
        <w:snapToGrid w:val="0"/>
        <w:spacing w:before="48" w:beforeLines="20" w:after="48" w:afterLines="20" w:line="540" w:lineRule="exact"/>
        <w:ind w:firstLine="3000" w:firstLineChars="996"/>
        <w:rPr>
          <w:rFonts w:hint="eastAsia" w:ascii="宋体" w:hAnsi="宋体"/>
          <w:b/>
          <w:color w:val="auto"/>
          <w:sz w:val="30"/>
          <w:szCs w:val="22"/>
        </w:rPr>
      </w:pPr>
    </w:p>
    <w:p w14:paraId="37D5D7FD">
      <w:pPr>
        <w:adjustRightInd w:val="0"/>
        <w:snapToGrid w:val="0"/>
        <w:spacing w:before="48" w:beforeLines="20" w:after="48" w:afterLines="20" w:line="540" w:lineRule="exact"/>
        <w:ind w:firstLine="3000" w:firstLineChars="996"/>
        <w:rPr>
          <w:rFonts w:hint="eastAsia" w:ascii="宋体" w:hAnsi="宋体"/>
          <w:b/>
          <w:color w:val="auto"/>
          <w:sz w:val="30"/>
          <w:szCs w:val="22"/>
        </w:rPr>
      </w:pPr>
    </w:p>
    <w:p w14:paraId="780442F5">
      <w:pPr>
        <w:adjustRightInd w:val="0"/>
        <w:snapToGrid w:val="0"/>
        <w:spacing w:before="48" w:beforeLines="20" w:after="48" w:afterLines="20" w:line="540" w:lineRule="exact"/>
        <w:ind w:firstLine="3000" w:firstLineChars="996"/>
        <w:rPr>
          <w:rFonts w:hint="eastAsia" w:ascii="宋体" w:hAnsi="宋体"/>
          <w:b/>
          <w:color w:val="auto"/>
          <w:sz w:val="30"/>
          <w:szCs w:val="22"/>
        </w:rPr>
      </w:pPr>
    </w:p>
    <w:p w14:paraId="55DF5A89">
      <w:pPr>
        <w:adjustRightInd w:val="0"/>
        <w:snapToGrid w:val="0"/>
        <w:spacing w:before="48" w:beforeLines="20" w:after="48" w:afterLines="20" w:line="540" w:lineRule="exact"/>
        <w:ind w:firstLine="861" w:firstLineChars="287"/>
        <w:rPr>
          <w:rFonts w:hint="eastAsia" w:ascii="宋体" w:hAnsi="宋体"/>
          <w:color w:val="auto"/>
          <w:sz w:val="30"/>
          <w:szCs w:val="30"/>
        </w:rPr>
      </w:pPr>
      <w:r>
        <w:rPr>
          <w:rFonts w:hint="eastAsia" w:ascii="宋体" w:hAnsi="宋体"/>
          <w:color w:val="auto"/>
          <w:sz w:val="30"/>
          <w:szCs w:val="30"/>
        </w:rPr>
        <w:t>招标人:</w:t>
      </w:r>
      <w:r>
        <w:rPr>
          <w:rFonts w:hint="eastAsia" w:ascii="宋体" w:hAnsi="宋体"/>
          <w:color w:val="auto"/>
          <w:sz w:val="30"/>
          <w:szCs w:val="30"/>
          <w:u w:val="single"/>
        </w:rPr>
        <w:t xml:space="preserve">                                    </w:t>
      </w:r>
    </w:p>
    <w:p w14:paraId="126569E4">
      <w:pPr>
        <w:adjustRightInd w:val="0"/>
        <w:snapToGrid w:val="0"/>
        <w:spacing w:before="48" w:beforeLines="20" w:after="48" w:afterLines="20" w:line="540" w:lineRule="exact"/>
        <w:ind w:firstLine="861" w:firstLineChars="287"/>
        <w:rPr>
          <w:rFonts w:hint="eastAsia" w:ascii="宋体" w:hAnsi="宋体"/>
          <w:color w:val="auto"/>
          <w:sz w:val="30"/>
          <w:szCs w:val="30"/>
        </w:rPr>
      </w:pPr>
      <w:r>
        <w:rPr>
          <w:rFonts w:hint="eastAsia" w:ascii="宋体" w:hAnsi="宋体"/>
          <w:color w:val="auto"/>
          <w:sz w:val="30"/>
          <w:szCs w:val="30"/>
        </w:rPr>
        <w:t>工程名称：</w:t>
      </w:r>
      <w:r>
        <w:rPr>
          <w:rFonts w:hint="eastAsia" w:ascii="宋体" w:hAnsi="宋体"/>
          <w:color w:val="auto"/>
          <w:sz w:val="30"/>
          <w:szCs w:val="30"/>
          <w:u w:val="single"/>
        </w:rPr>
        <w:t xml:space="preserve">                                 </w:t>
      </w:r>
    </w:p>
    <w:p w14:paraId="38E76516">
      <w:pPr>
        <w:adjustRightInd w:val="0"/>
        <w:snapToGrid w:val="0"/>
        <w:spacing w:before="48" w:beforeLines="20" w:after="48" w:afterLines="20" w:line="540" w:lineRule="exact"/>
        <w:ind w:firstLine="861" w:firstLineChars="287"/>
        <w:rPr>
          <w:rFonts w:hint="eastAsia" w:ascii="宋体" w:hAnsi="宋体"/>
          <w:color w:val="auto"/>
          <w:sz w:val="30"/>
          <w:szCs w:val="30"/>
        </w:rPr>
      </w:pPr>
      <w:r>
        <w:rPr>
          <w:rFonts w:hint="eastAsia" w:ascii="宋体" w:hAnsi="宋体"/>
          <w:color w:val="auto"/>
          <w:sz w:val="30"/>
          <w:szCs w:val="30"/>
        </w:rPr>
        <w:t>投标总价（小写）：</w:t>
      </w:r>
      <w:r>
        <w:rPr>
          <w:rFonts w:hint="eastAsia" w:ascii="宋体" w:hAnsi="宋体"/>
          <w:color w:val="auto"/>
          <w:sz w:val="30"/>
          <w:szCs w:val="30"/>
          <w:u w:val="single"/>
        </w:rPr>
        <w:t xml:space="preserve">                          </w:t>
      </w:r>
    </w:p>
    <w:p w14:paraId="3A12D324">
      <w:pPr>
        <w:adjustRightInd w:val="0"/>
        <w:snapToGrid w:val="0"/>
        <w:spacing w:before="48" w:beforeLines="20" w:after="48" w:afterLines="20" w:line="540" w:lineRule="exact"/>
        <w:ind w:firstLine="2127" w:firstLineChars="709"/>
        <w:rPr>
          <w:rFonts w:hint="eastAsia" w:ascii="宋体" w:hAnsi="宋体"/>
          <w:b/>
          <w:color w:val="auto"/>
          <w:sz w:val="30"/>
          <w:szCs w:val="30"/>
          <w:u w:val="single"/>
        </w:rPr>
      </w:pPr>
      <w:r>
        <w:rPr>
          <w:rFonts w:hint="eastAsia" w:ascii="宋体" w:hAnsi="宋体"/>
          <w:color w:val="auto"/>
          <w:sz w:val="30"/>
          <w:szCs w:val="30"/>
        </w:rPr>
        <w:t>（大写）：</w:t>
      </w:r>
      <w:r>
        <w:rPr>
          <w:rFonts w:hint="eastAsia" w:ascii="宋体" w:hAnsi="宋体"/>
          <w:color w:val="auto"/>
          <w:sz w:val="30"/>
          <w:szCs w:val="30"/>
          <w:u w:val="single"/>
        </w:rPr>
        <w:t xml:space="preserve">                          </w:t>
      </w:r>
    </w:p>
    <w:p w14:paraId="06B70EB3">
      <w:pPr>
        <w:adjustRightInd w:val="0"/>
        <w:snapToGrid w:val="0"/>
        <w:spacing w:before="48" w:beforeLines="20" w:after="48" w:afterLines="20" w:line="540" w:lineRule="exact"/>
        <w:ind w:firstLine="3000" w:firstLineChars="996"/>
        <w:rPr>
          <w:rFonts w:hint="eastAsia" w:ascii="宋体" w:hAnsi="宋体"/>
          <w:b/>
          <w:color w:val="auto"/>
          <w:sz w:val="30"/>
          <w:szCs w:val="30"/>
        </w:rPr>
      </w:pPr>
    </w:p>
    <w:p w14:paraId="1F985DC1">
      <w:pPr>
        <w:adjustRightInd w:val="0"/>
        <w:snapToGrid w:val="0"/>
        <w:spacing w:before="48" w:beforeLines="20" w:after="48" w:afterLines="20" w:line="540" w:lineRule="exact"/>
        <w:ind w:firstLine="2988" w:firstLineChars="996"/>
        <w:rPr>
          <w:color w:val="auto"/>
          <w:sz w:val="30"/>
          <w:szCs w:val="30"/>
        </w:rPr>
      </w:pPr>
    </w:p>
    <w:p w14:paraId="751879E5">
      <w:pPr>
        <w:spacing w:line="320" w:lineRule="exact"/>
        <w:ind w:firstLine="600" w:firstLineChars="200"/>
        <w:rPr>
          <w:color w:val="auto"/>
          <w:sz w:val="30"/>
          <w:szCs w:val="30"/>
        </w:rPr>
      </w:pPr>
      <w:r>
        <w:rPr>
          <w:color w:val="auto"/>
          <w:sz w:val="30"/>
          <w:szCs w:val="30"/>
        </w:rPr>
        <w:t>投 标 人：</w:t>
      </w:r>
      <w:r>
        <w:rPr>
          <w:color w:val="auto"/>
          <w:sz w:val="30"/>
          <w:szCs w:val="30"/>
          <w:u w:val="single"/>
        </w:rPr>
        <w:t xml:space="preserve">                  </w:t>
      </w:r>
      <w:r>
        <w:rPr>
          <w:rFonts w:hint="eastAsia"/>
          <w:color w:val="auto"/>
          <w:sz w:val="30"/>
          <w:szCs w:val="30"/>
          <w:u w:val="single"/>
        </w:rPr>
        <w:t xml:space="preserve"> </w:t>
      </w:r>
      <w:r>
        <w:rPr>
          <w:color w:val="auto"/>
          <w:sz w:val="30"/>
          <w:szCs w:val="30"/>
          <w:u w:val="single"/>
        </w:rPr>
        <w:t xml:space="preserve">   </w:t>
      </w:r>
      <w:r>
        <w:rPr>
          <w:rFonts w:hint="eastAsia"/>
          <w:color w:val="auto"/>
          <w:sz w:val="30"/>
          <w:szCs w:val="30"/>
          <w:u w:val="single"/>
        </w:rPr>
        <w:t xml:space="preserve">  </w:t>
      </w:r>
      <w:r>
        <w:rPr>
          <w:color w:val="auto"/>
          <w:sz w:val="30"/>
          <w:szCs w:val="30"/>
          <w:u w:val="single"/>
        </w:rPr>
        <w:t xml:space="preserve">  </w:t>
      </w:r>
      <w:r>
        <w:rPr>
          <w:color w:val="auto"/>
          <w:sz w:val="30"/>
          <w:szCs w:val="30"/>
        </w:rPr>
        <w:t>(单位盖章)</w:t>
      </w:r>
    </w:p>
    <w:p w14:paraId="1BE90465">
      <w:pPr>
        <w:spacing w:line="380" w:lineRule="exact"/>
        <w:ind w:firstLine="600" w:firstLineChars="200"/>
        <w:rPr>
          <w:color w:val="auto"/>
          <w:sz w:val="30"/>
          <w:szCs w:val="30"/>
        </w:rPr>
      </w:pPr>
    </w:p>
    <w:p w14:paraId="17161187">
      <w:pPr>
        <w:spacing w:after="72" w:afterLines="30" w:line="380" w:lineRule="exact"/>
        <w:ind w:firstLine="600" w:firstLineChars="200"/>
        <w:rPr>
          <w:color w:val="auto"/>
          <w:sz w:val="30"/>
          <w:szCs w:val="30"/>
        </w:rPr>
      </w:pPr>
      <w:r>
        <w:rPr>
          <w:color w:val="auto"/>
          <w:sz w:val="30"/>
          <w:szCs w:val="30"/>
        </w:rPr>
        <w:t>法定代表人：</w:t>
      </w:r>
      <w:r>
        <w:rPr>
          <w:color w:val="auto"/>
          <w:sz w:val="30"/>
          <w:szCs w:val="30"/>
          <w:u w:val="single"/>
        </w:rPr>
        <w:t xml:space="preserve">               </w:t>
      </w:r>
      <w:r>
        <w:rPr>
          <w:rFonts w:hint="eastAsia"/>
          <w:color w:val="auto"/>
          <w:sz w:val="30"/>
          <w:szCs w:val="30"/>
          <w:u w:val="single"/>
        </w:rPr>
        <w:t xml:space="preserve">     </w:t>
      </w:r>
      <w:r>
        <w:rPr>
          <w:color w:val="auto"/>
          <w:sz w:val="30"/>
          <w:szCs w:val="30"/>
          <w:u w:val="single"/>
        </w:rPr>
        <w:t xml:space="preserve">   </w:t>
      </w:r>
      <w:r>
        <w:rPr>
          <w:color w:val="auto"/>
          <w:sz w:val="30"/>
          <w:szCs w:val="30"/>
        </w:rPr>
        <w:t xml:space="preserve"> (签字或盖章)</w:t>
      </w:r>
    </w:p>
    <w:p w14:paraId="7BC57FAF">
      <w:pPr>
        <w:spacing w:line="320" w:lineRule="exact"/>
        <w:ind w:firstLine="5700" w:firstLineChars="1900"/>
        <w:rPr>
          <w:color w:val="auto"/>
          <w:sz w:val="30"/>
          <w:szCs w:val="30"/>
        </w:rPr>
      </w:pPr>
    </w:p>
    <w:p w14:paraId="5E833E2A">
      <w:pPr>
        <w:spacing w:line="320" w:lineRule="exact"/>
        <w:ind w:firstLine="5700" w:firstLineChars="1900"/>
        <w:rPr>
          <w:color w:val="auto"/>
          <w:sz w:val="30"/>
          <w:szCs w:val="30"/>
        </w:rPr>
      </w:pPr>
    </w:p>
    <w:p w14:paraId="38A4FCEF">
      <w:pPr>
        <w:spacing w:line="320" w:lineRule="exact"/>
        <w:ind w:firstLine="600" w:firstLineChars="200"/>
        <w:rPr>
          <w:color w:val="auto"/>
          <w:sz w:val="30"/>
          <w:szCs w:val="30"/>
        </w:rPr>
      </w:pPr>
      <w:r>
        <w:rPr>
          <w:color w:val="auto"/>
          <w:sz w:val="30"/>
          <w:szCs w:val="30"/>
        </w:rPr>
        <w:t>编制人：</w:t>
      </w:r>
      <w:r>
        <w:rPr>
          <w:color w:val="auto"/>
          <w:sz w:val="30"/>
          <w:szCs w:val="30"/>
          <w:u w:val="single"/>
        </w:rPr>
        <w:t xml:space="preserve">           </w:t>
      </w:r>
      <w:r>
        <w:rPr>
          <w:color w:val="auto"/>
          <w:sz w:val="30"/>
          <w:szCs w:val="30"/>
        </w:rPr>
        <w:t>(盖造价专业人员执业专用章或电子执业章)</w:t>
      </w:r>
    </w:p>
    <w:p w14:paraId="3A467417">
      <w:pPr>
        <w:spacing w:line="380" w:lineRule="exact"/>
        <w:ind w:firstLine="600" w:firstLineChars="200"/>
        <w:rPr>
          <w:color w:val="auto"/>
          <w:sz w:val="30"/>
          <w:szCs w:val="30"/>
        </w:rPr>
      </w:pPr>
    </w:p>
    <w:p w14:paraId="1C7F4E36">
      <w:pPr>
        <w:spacing w:line="380" w:lineRule="exact"/>
        <w:ind w:firstLine="600" w:firstLineChars="200"/>
        <w:rPr>
          <w:color w:val="auto"/>
          <w:sz w:val="30"/>
          <w:szCs w:val="30"/>
        </w:rPr>
      </w:pPr>
    </w:p>
    <w:p w14:paraId="65C03FAA">
      <w:pPr>
        <w:spacing w:line="380" w:lineRule="exact"/>
        <w:ind w:firstLine="600" w:firstLineChars="200"/>
        <w:rPr>
          <w:color w:val="auto"/>
          <w:sz w:val="30"/>
          <w:szCs w:val="30"/>
        </w:rPr>
      </w:pPr>
      <w:r>
        <w:rPr>
          <w:color w:val="auto"/>
          <w:sz w:val="30"/>
          <w:szCs w:val="30"/>
        </w:rPr>
        <w:t xml:space="preserve">编制时间：  </w:t>
      </w:r>
      <w:r>
        <w:rPr>
          <w:color w:val="auto"/>
          <w:sz w:val="30"/>
          <w:szCs w:val="30"/>
          <w:u w:val="single"/>
        </w:rPr>
        <w:t xml:space="preserve">            年      月      日</w:t>
      </w:r>
    </w:p>
    <w:p w14:paraId="55A4701E">
      <w:pPr>
        <w:jc w:val="center"/>
        <w:outlineLvl w:val="2"/>
        <w:rPr>
          <w:rFonts w:hint="eastAsia" w:ascii="宋体" w:hAnsi="宋体"/>
          <w:color w:val="auto"/>
          <w:sz w:val="28"/>
          <w:szCs w:val="28"/>
        </w:rPr>
      </w:pPr>
      <w:bookmarkStart w:id="475" w:name="_Toc460227123"/>
      <w:bookmarkStart w:id="476" w:name="_Toc460660238"/>
      <w:r>
        <w:rPr>
          <w:rFonts w:ascii="宋体" w:hAnsi="宋体"/>
          <w:color w:val="auto"/>
          <w:sz w:val="28"/>
          <w:szCs w:val="28"/>
        </w:rPr>
        <w:br w:type="page"/>
      </w:r>
      <w:r>
        <w:rPr>
          <w:rFonts w:hint="eastAsia" w:ascii="宋体" w:hAnsi="宋体"/>
          <w:color w:val="auto"/>
          <w:sz w:val="28"/>
          <w:szCs w:val="28"/>
        </w:rPr>
        <w:t>(一)投标报价说明</w:t>
      </w:r>
      <w:bookmarkEnd w:id="475"/>
      <w:bookmarkEnd w:id="476"/>
    </w:p>
    <w:p w14:paraId="7523BC39">
      <w:pPr>
        <w:spacing w:before="48" w:beforeLines="20" w:after="48" w:afterLines="20" w:line="540" w:lineRule="exact"/>
        <w:ind w:firstLine="420" w:firstLineChars="200"/>
        <w:rPr>
          <w:rFonts w:hint="eastAsia" w:ascii="宋体" w:hAnsi="宋体"/>
          <w:color w:val="auto"/>
        </w:rPr>
      </w:pPr>
    </w:p>
    <w:p w14:paraId="3B371E15">
      <w:pPr>
        <w:spacing w:after="120" w:afterLines="50" w:line="380" w:lineRule="exact"/>
        <w:rPr>
          <w:rFonts w:hint="eastAsia" w:ascii="宋体" w:hAnsi="宋体"/>
          <w:color w:val="auto"/>
          <w:sz w:val="24"/>
        </w:rPr>
      </w:pPr>
      <w:r>
        <w:rPr>
          <w:rFonts w:hint="eastAsia" w:ascii="宋体" w:hAnsi="宋体"/>
          <w:color w:val="auto"/>
        </w:rPr>
        <w:t>工程名称：                                         第  页 共  页</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2"/>
      </w:tblGrid>
      <w:tr w14:paraId="36C5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6" w:hRule="atLeast"/>
          <w:jc w:val="center"/>
        </w:trPr>
        <w:tc>
          <w:tcPr>
            <w:tcW w:w="8412" w:type="dxa"/>
            <w:noWrap w:val="0"/>
            <w:vAlign w:val="top"/>
          </w:tcPr>
          <w:p w14:paraId="52C1A9AC">
            <w:pPr>
              <w:tabs>
                <w:tab w:val="left" w:pos="1680"/>
                <w:tab w:val="left" w:pos="4215"/>
                <w:tab w:val="left" w:pos="4305"/>
                <w:tab w:val="left" w:pos="8000"/>
              </w:tabs>
              <w:autoSpaceDE w:val="0"/>
              <w:autoSpaceDN w:val="0"/>
              <w:adjustRightInd w:val="0"/>
              <w:snapToGrid w:val="0"/>
              <w:spacing w:line="360" w:lineRule="auto"/>
              <w:rPr>
                <w:rFonts w:hint="eastAsia" w:ascii="宋体" w:hAnsi="宋体"/>
                <w:color w:val="auto"/>
                <w:kern w:val="0"/>
                <w:szCs w:val="22"/>
              </w:rPr>
            </w:pPr>
            <w:r>
              <w:rPr>
                <w:rFonts w:hint="eastAsia" w:ascii="宋体" w:hAnsi="宋体"/>
                <w:color w:val="auto"/>
                <w:kern w:val="0"/>
                <w:szCs w:val="22"/>
              </w:rPr>
              <w:t>1. 本报价依据本工程招标文件中投标须知、合同文件、计价依据及工程造价确定等有关条款进行编制。</w:t>
            </w:r>
          </w:p>
          <w:p w14:paraId="3BD66694">
            <w:pPr>
              <w:tabs>
                <w:tab w:val="left" w:pos="1680"/>
                <w:tab w:val="left" w:pos="4215"/>
                <w:tab w:val="left" w:pos="4305"/>
                <w:tab w:val="left" w:pos="8000"/>
              </w:tabs>
              <w:autoSpaceDE w:val="0"/>
              <w:autoSpaceDN w:val="0"/>
              <w:adjustRightInd w:val="0"/>
              <w:snapToGrid w:val="0"/>
              <w:spacing w:line="360" w:lineRule="auto"/>
              <w:rPr>
                <w:rFonts w:hint="eastAsia" w:ascii="宋体" w:hAnsi="宋体"/>
                <w:color w:val="auto"/>
                <w:kern w:val="0"/>
                <w:szCs w:val="22"/>
              </w:rPr>
            </w:pPr>
            <w:r>
              <w:rPr>
                <w:rFonts w:hint="eastAsia" w:ascii="宋体" w:hAnsi="宋体"/>
                <w:color w:val="auto"/>
                <w:kern w:val="0"/>
                <w:szCs w:val="22"/>
              </w:rPr>
              <w:t>2. 工程量清单报价表中所填入的综合单价和合价，均包括人工费、材料费、机械费、综合费、施工期内的风险金等全部费用。</w:t>
            </w:r>
          </w:p>
          <w:p w14:paraId="57C3978C">
            <w:pPr>
              <w:tabs>
                <w:tab w:val="left" w:pos="1680"/>
                <w:tab w:val="left" w:pos="4215"/>
                <w:tab w:val="left" w:pos="4305"/>
                <w:tab w:val="left" w:pos="8000"/>
              </w:tabs>
              <w:autoSpaceDE w:val="0"/>
              <w:autoSpaceDN w:val="0"/>
              <w:adjustRightInd w:val="0"/>
              <w:snapToGrid w:val="0"/>
              <w:spacing w:line="360" w:lineRule="auto"/>
              <w:rPr>
                <w:rFonts w:hint="eastAsia" w:ascii="宋体" w:hAnsi="宋体"/>
                <w:color w:val="auto"/>
                <w:kern w:val="0"/>
                <w:szCs w:val="22"/>
              </w:rPr>
            </w:pPr>
            <w:r>
              <w:rPr>
                <w:rFonts w:hint="eastAsia" w:ascii="宋体" w:hAnsi="宋体"/>
                <w:color w:val="auto"/>
                <w:kern w:val="0"/>
                <w:szCs w:val="22"/>
              </w:rPr>
              <w:t>3. 措施项目报价表中所填入的措施项目报价，包括采用的各种措施的费用。</w:t>
            </w:r>
          </w:p>
          <w:p w14:paraId="2D97D28C">
            <w:pPr>
              <w:tabs>
                <w:tab w:val="left" w:pos="1680"/>
                <w:tab w:val="left" w:pos="4215"/>
                <w:tab w:val="left" w:pos="4305"/>
                <w:tab w:val="left" w:pos="8000"/>
              </w:tabs>
              <w:autoSpaceDE w:val="0"/>
              <w:autoSpaceDN w:val="0"/>
              <w:adjustRightInd w:val="0"/>
              <w:snapToGrid w:val="0"/>
              <w:spacing w:line="360" w:lineRule="auto"/>
              <w:rPr>
                <w:rFonts w:hint="eastAsia" w:ascii="宋体" w:hAnsi="宋体"/>
                <w:color w:val="auto"/>
                <w:kern w:val="0"/>
                <w:szCs w:val="22"/>
              </w:rPr>
            </w:pPr>
            <w:r>
              <w:rPr>
                <w:rFonts w:hint="eastAsia" w:ascii="宋体" w:hAnsi="宋体"/>
                <w:color w:val="auto"/>
                <w:kern w:val="0"/>
                <w:szCs w:val="22"/>
              </w:rPr>
              <w:t>4. 其他项目报价表中所填入的其他项目报价，包括工程量清单报价表和措施项目报价表以外的，为完成本工程项目的施工所必须发生的其他费用。</w:t>
            </w:r>
          </w:p>
          <w:p w14:paraId="66AF9A7D">
            <w:pPr>
              <w:tabs>
                <w:tab w:val="left" w:pos="1680"/>
                <w:tab w:val="left" w:pos="4215"/>
                <w:tab w:val="left" w:pos="4305"/>
                <w:tab w:val="left" w:pos="8000"/>
              </w:tabs>
              <w:autoSpaceDE w:val="0"/>
              <w:autoSpaceDN w:val="0"/>
              <w:adjustRightInd w:val="0"/>
              <w:snapToGrid w:val="0"/>
              <w:spacing w:line="360" w:lineRule="auto"/>
              <w:rPr>
                <w:rFonts w:hint="eastAsia" w:ascii="宋体" w:hAnsi="宋体"/>
                <w:color w:val="auto"/>
                <w:kern w:val="0"/>
                <w:szCs w:val="22"/>
              </w:rPr>
            </w:pPr>
            <w:r>
              <w:rPr>
                <w:rFonts w:hint="eastAsia" w:ascii="宋体" w:hAnsi="宋体"/>
                <w:color w:val="auto"/>
                <w:kern w:val="0"/>
                <w:szCs w:val="22"/>
              </w:rPr>
              <w:t>5. 本工程量清单报价表中的每一单项均应填写单价和合价，对没有填写单价和合价的项目费用，视为已包括在工程量清单的其他单价或合价之中。</w:t>
            </w:r>
          </w:p>
          <w:p w14:paraId="738E9091">
            <w:pPr>
              <w:tabs>
                <w:tab w:val="left" w:pos="1680"/>
                <w:tab w:val="left" w:pos="4215"/>
                <w:tab w:val="left" w:pos="4305"/>
                <w:tab w:val="left" w:pos="8000"/>
              </w:tabs>
              <w:autoSpaceDE w:val="0"/>
              <w:autoSpaceDN w:val="0"/>
              <w:adjustRightInd w:val="0"/>
              <w:snapToGrid w:val="0"/>
              <w:spacing w:line="360" w:lineRule="auto"/>
              <w:rPr>
                <w:rFonts w:hint="eastAsia" w:ascii="宋体" w:hAnsi="宋体"/>
                <w:color w:val="auto"/>
                <w:kern w:val="0"/>
                <w:szCs w:val="22"/>
              </w:rPr>
            </w:pPr>
            <w:r>
              <w:rPr>
                <w:rFonts w:hint="eastAsia" w:ascii="宋体" w:hAnsi="宋体"/>
                <w:color w:val="auto"/>
                <w:kern w:val="0"/>
                <w:szCs w:val="22"/>
              </w:rPr>
              <w:t>6. 本报价的币种为</w:t>
            </w:r>
            <w:r>
              <w:rPr>
                <w:rFonts w:hint="eastAsia" w:ascii="宋体" w:hAnsi="宋体"/>
                <w:color w:val="auto"/>
                <w:kern w:val="0"/>
                <w:szCs w:val="22"/>
                <w:u w:val="single"/>
              </w:rPr>
              <w:t xml:space="preserve"> 人民币 </w:t>
            </w:r>
            <w:r>
              <w:rPr>
                <w:rFonts w:hint="eastAsia" w:ascii="宋体" w:hAnsi="宋体"/>
                <w:color w:val="auto"/>
                <w:kern w:val="0"/>
                <w:szCs w:val="22"/>
              </w:rPr>
              <w:t>。</w:t>
            </w:r>
          </w:p>
          <w:p w14:paraId="73514EA5">
            <w:pPr>
              <w:spacing w:line="380" w:lineRule="exact"/>
              <w:rPr>
                <w:rFonts w:hint="eastAsia" w:ascii="黑体" w:eastAsia="黑体"/>
                <w:color w:val="auto"/>
              </w:rPr>
            </w:pPr>
            <w:r>
              <w:rPr>
                <w:rFonts w:hint="eastAsia" w:ascii="宋体" w:hAnsi="宋体"/>
                <w:color w:val="auto"/>
                <w:kern w:val="0"/>
                <w:szCs w:val="22"/>
              </w:rPr>
              <w:t>7. 投标人应将投标报价需要说明的事项，用文字书写与投标报价表一并报送。</w:t>
            </w:r>
          </w:p>
        </w:tc>
      </w:tr>
    </w:tbl>
    <w:p w14:paraId="1D31A4CF">
      <w:pPr>
        <w:pStyle w:val="82"/>
        <w:rPr>
          <w:color w:val="auto"/>
        </w:rPr>
      </w:pPr>
    </w:p>
    <w:p w14:paraId="51B24A70">
      <w:pPr>
        <w:jc w:val="center"/>
        <w:outlineLvl w:val="2"/>
        <w:rPr>
          <w:rFonts w:hint="eastAsia" w:ascii="宋体" w:hAnsi="宋体"/>
          <w:color w:val="auto"/>
          <w:sz w:val="28"/>
          <w:szCs w:val="28"/>
        </w:rPr>
      </w:pPr>
      <w:bookmarkStart w:id="477" w:name="_Toc460227124"/>
      <w:bookmarkStart w:id="478" w:name="_Toc460660239"/>
      <w:r>
        <w:rPr>
          <w:rFonts w:ascii="宋体" w:hAnsi="宋体"/>
          <w:color w:val="auto"/>
          <w:sz w:val="28"/>
          <w:szCs w:val="28"/>
        </w:rPr>
        <w:br w:type="page"/>
      </w:r>
      <w:r>
        <w:rPr>
          <w:rFonts w:hint="eastAsia" w:ascii="宋体" w:hAnsi="宋体"/>
          <w:color w:val="auto"/>
          <w:sz w:val="28"/>
          <w:szCs w:val="28"/>
        </w:rPr>
        <w:t>（二）</w:t>
      </w:r>
      <w:bookmarkEnd w:id="477"/>
      <w:bookmarkEnd w:id="478"/>
      <w:r>
        <w:rPr>
          <w:rFonts w:hint="eastAsia" w:ascii="宋体" w:hAnsi="宋体"/>
          <w:color w:val="auto"/>
          <w:sz w:val="28"/>
          <w:szCs w:val="28"/>
        </w:rPr>
        <w:t>建设项目投标报价汇总表</w:t>
      </w:r>
    </w:p>
    <w:p w14:paraId="2CF98ABC">
      <w:pPr>
        <w:spacing w:before="48" w:beforeLines="20" w:after="48" w:afterLines="20" w:line="540" w:lineRule="exact"/>
        <w:rPr>
          <w:rFonts w:hint="eastAsia" w:ascii="宋体" w:hAnsi="宋体"/>
          <w:color w:val="auto"/>
          <w:szCs w:val="21"/>
        </w:rPr>
      </w:pPr>
      <w:r>
        <w:rPr>
          <w:rFonts w:hint="eastAsia" w:ascii="宋体" w:hAnsi="宋体"/>
          <w:color w:val="auto"/>
          <w:szCs w:val="21"/>
        </w:rPr>
        <w:t>工程名称：                                                            第   页共   页</w:t>
      </w:r>
    </w:p>
    <w:tbl>
      <w:tblPr>
        <w:tblStyle w:val="53"/>
        <w:tblW w:w="5000" w:type="pct"/>
        <w:tblInd w:w="0" w:type="dxa"/>
        <w:tblLayout w:type="autofit"/>
        <w:tblCellMar>
          <w:top w:w="0" w:type="dxa"/>
          <w:left w:w="108" w:type="dxa"/>
          <w:bottom w:w="0" w:type="dxa"/>
          <w:right w:w="108" w:type="dxa"/>
        </w:tblCellMar>
      </w:tblPr>
      <w:tblGrid>
        <w:gridCol w:w="840"/>
        <w:gridCol w:w="3101"/>
        <w:gridCol w:w="1596"/>
        <w:gridCol w:w="1330"/>
        <w:gridCol w:w="2308"/>
      </w:tblGrid>
      <w:tr w14:paraId="4AE20349">
        <w:tblPrEx>
          <w:tblCellMar>
            <w:top w:w="0" w:type="dxa"/>
            <w:left w:w="108" w:type="dxa"/>
            <w:bottom w:w="0" w:type="dxa"/>
            <w:right w:w="108" w:type="dxa"/>
          </w:tblCellMar>
        </w:tblPrEx>
        <w:trPr>
          <w:trHeight w:val="338" w:hRule="atLeast"/>
        </w:trPr>
        <w:tc>
          <w:tcPr>
            <w:tcW w:w="458" w:type="pct"/>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58A0862">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1690"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7C20FEE">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单项工程名称</w:t>
            </w:r>
          </w:p>
        </w:tc>
        <w:tc>
          <w:tcPr>
            <w:tcW w:w="870"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5F8B21EB">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c>
          <w:tcPr>
            <w:tcW w:w="1982" w:type="pct"/>
            <w:gridSpan w:val="2"/>
            <w:tcBorders>
              <w:top w:val="single" w:color="000000" w:sz="8" w:space="0"/>
              <w:left w:val="nil"/>
              <w:bottom w:val="single" w:color="000000" w:sz="4" w:space="0"/>
              <w:right w:val="single" w:color="000000" w:sz="8" w:space="0"/>
            </w:tcBorders>
            <w:shd w:val="clear" w:color="FFFFFF" w:fill="FFFFFF"/>
            <w:noWrap w:val="0"/>
            <w:vAlign w:val="center"/>
          </w:tcPr>
          <w:p w14:paraId="0BCC3E88">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其中：（元）</w:t>
            </w:r>
          </w:p>
        </w:tc>
      </w:tr>
      <w:tr w14:paraId="73FC6449">
        <w:tblPrEx>
          <w:tblCellMar>
            <w:top w:w="0" w:type="dxa"/>
            <w:left w:w="108" w:type="dxa"/>
            <w:bottom w:w="0" w:type="dxa"/>
            <w:right w:w="108" w:type="dxa"/>
          </w:tblCellMar>
        </w:tblPrEx>
        <w:trPr>
          <w:trHeight w:val="353" w:hRule="atLeast"/>
        </w:trPr>
        <w:tc>
          <w:tcPr>
            <w:tcW w:w="458" w:type="pct"/>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7FC98C66">
            <w:pPr>
              <w:widowControl/>
              <w:jc w:val="left"/>
              <w:rPr>
                <w:rFonts w:ascii="黑体" w:hAnsi="黑体" w:eastAsia="黑体" w:cs="Arial"/>
                <w:color w:val="auto"/>
                <w:kern w:val="0"/>
                <w:szCs w:val="21"/>
              </w:rPr>
            </w:pPr>
          </w:p>
        </w:tc>
        <w:tc>
          <w:tcPr>
            <w:tcW w:w="1690"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2A551E5B">
            <w:pPr>
              <w:widowControl/>
              <w:jc w:val="left"/>
              <w:rPr>
                <w:rFonts w:ascii="黑体" w:hAnsi="黑体" w:eastAsia="黑体" w:cs="Arial"/>
                <w:color w:val="auto"/>
                <w:kern w:val="0"/>
                <w:szCs w:val="21"/>
              </w:rPr>
            </w:pPr>
          </w:p>
        </w:tc>
        <w:tc>
          <w:tcPr>
            <w:tcW w:w="870"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5F28CB35">
            <w:pPr>
              <w:widowControl/>
              <w:jc w:val="left"/>
              <w:rPr>
                <w:rFonts w:ascii="黑体" w:hAnsi="黑体" w:eastAsia="黑体" w:cs="Arial"/>
                <w:color w:val="auto"/>
                <w:kern w:val="0"/>
                <w:szCs w:val="21"/>
              </w:rPr>
            </w:pPr>
          </w:p>
        </w:tc>
        <w:tc>
          <w:tcPr>
            <w:tcW w:w="725" w:type="pct"/>
            <w:tcBorders>
              <w:top w:val="single" w:color="000000" w:sz="4" w:space="0"/>
              <w:left w:val="nil"/>
              <w:bottom w:val="single" w:color="000000" w:sz="4" w:space="0"/>
              <w:right w:val="single" w:color="000000" w:sz="4" w:space="0"/>
            </w:tcBorders>
            <w:shd w:val="clear" w:color="FFFFFF" w:fill="FFFFFF"/>
            <w:noWrap w:val="0"/>
            <w:vAlign w:val="center"/>
          </w:tcPr>
          <w:p w14:paraId="33A570F3">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暂估价</w:t>
            </w:r>
          </w:p>
        </w:tc>
        <w:tc>
          <w:tcPr>
            <w:tcW w:w="1257" w:type="pct"/>
            <w:tcBorders>
              <w:top w:val="nil"/>
              <w:left w:val="nil"/>
              <w:bottom w:val="single" w:color="000000" w:sz="4" w:space="0"/>
              <w:right w:val="single" w:color="000000" w:sz="8" w:space="0"/>
            </w:tcBorders>
            <w:shd w:val="clear" w:color="FFFFFF" w:fill="FFFFFF"/>
            <w:noWrap w:val="0"/>
            <w:vAlign w:val="center"/>
          </w:tcPr>
          <w:p w14:paraId="733FDCBA">
            <w:pPr>
              <w:widowControl/>
              <w:jc w:val="center"/>
              <w:rPr>
                <w:rFonts w:ascii="黑体" w:hAnsi="黑体" w:eastAsia="黑体" w:cs="Arial"/>
                <w:color w:val="auto"/>
                <w:kern w:val="0"/>
                <w:szCs w:val="21"/>
              </w:rPr>
            </w:pPr>
            <w:r>
              <w:rPr>
                <w:rFonts w:hint="eastAsia" w:ascii="黑体" w:hAnsi="黑体" w:eastAsia="黑体" w:cs="Arial"/>
                <w:color w:val="auto"/>
                <w:kern w:val="0"/>
                <w:szCs w:val="21"/>
              </w:rPr>
              <w:t>不可竞争费</w:t>
            </w:r>
          </w:p>
        </w:tc>
      </w:tr>
      <w:tr w14:paraId="45CBD194">
        <w:tblPrEx>
          <w:tblCellMar>
            <w:top w:w="0" w:type="dxa"/>
            <w:left w:w="108" w:type="dxa"/>
            <w:bottom w:w="0" w:type="dxa"/>
            <w:right w:w="108" w:type="dxa"/>
          </w:tblCellMar>
        </w:tblPrEx>
        <w:trPr>
          <w:trHeight w:val="680" w:hRule="atLeast"/>
        </w:trPr>
        <w:tc>
          <w:tcPr>
            <w:tcW w:w="458" w:type="pct"/>
            <w:tcBorders>
              <w:top w:val="nil"/>
              <w:left w:val="single" w:color="000000" w:sz="8" w:space="0"/>
              <w:bottom w:val="single" w:color="000000" w:sz="4" w:space="0"/>
              <w:right w:val="single" w:color="000000" w:sz="4" w:space="0"/>
            </w:tcBorders>
            <w:noWrap w:val="0"/>
            <w:vAlign w:val="center"/>
          </w:tcPr>
          <w:p w14:paraId="22384519">
            <w:pPr>
              <w:widowControl/>
              <w:jc w:val="center"/>
              <w:rPr>
                <w:rFonts w:ascii="宋体" w:hAnsi="宋体" w:cs="Arial"/>
                <w:color w:val="auto"/>
                <w:kern w:val="0"/>
                <w:szCs w:val="21"/>
              </w:rPr>
            </w:pPr>
          </w:p>
        </w:tc>
        <w:tc>
          <w:tcPr>
            <w:tcW w:w="1690" w:type="pct"/>
            <w:tcBorders>
              <w:top w:val="single" w:color="000000" w:sz="4" w:space="0"/>
              <w:left w:val="nil"/>
              <w:bottom w:val="single" w:color="000000" w:sz="4" w:space="0"/>
              <w:right w:val="single" w:color="000000" w:sz="4" w:space="0"/>
            </w:tcBorders>
            <w:noWrap w:val="0"/>
            <w:vAlign w:val="center"/>
          </w:tcPr>
          <w:p w14:paraId="5FB06B0F">
            <w:pPr>
              <w:widowControl/>
              <w:jc w:val="left"/>
              <w:rPr>
                <w:rFonts w:ascii="宋体" w:hAnsi="宋体" w:cs="Arial"/>
                <w:color w:val="auto"/>
                <w:kern w:val="0"/>
                <w:szCs w:val="21"/>
              </w:rPr>
            </w:pPr>
          </w:p>
        </w:tc>
        <w:tc>
          <w:tcPr>
            <w:tcW w:w="870" w:type="pct"/>
            <w:tcBorders>
              <w:top w:val="single" w:color="000000" w:sz="4" w:space="0"/>
              <w:left w:val="nil"/>
              <w:bottom w:val="single" w:color="000000" w:sz="4" w:space="0"/>
              <w:right w:val="single" w:color="000000" w:sz="4" w:space="0"/>
            </w:tcBorders>
            <w:noWrap w:val="0"/>
            <w:vAlign w:val="center"/>
          </w:tcPr>
          <w:p w14:paraId="2CBC5E93">
            <w:pPr>
              <w:widowControl/>
              <w:jc w:val="right"/>
              <w:rPr>
                <w:rFonts w:ascii="宋体" w:hAnsi="宋体" w:cs="Arial"/>
                <w:color w:val="auto"/>
                <w:kern w:val="0"/>
                <w:szCs w:val="21"/>
              </w:rPr>
            </w:pPr>
          </w:p>
        </w:tc>
        <w:tc>
          <w:tcPr>
            <w:tcW w:w="725" w:type="pct"/>
            <w:tcBorders>
              <w:top w:val="single" w:color="000000" w:sz="4" w:space="0"/>
              <w:left w:val="nil"/>
              <w:bottom w:val="single" w:color="000000" w:sz="4" w:space="0"/>
              <w:right w:val="single" w:color="000000" w:sz="4" w:space="0"/>
            </w:tcBorders>
            <w:noWrap w:val="0"/>
            <w:vAlign w:val="center"/>
          </w:tcPr>
          <w:p w14:paraId="5ECDB1B3">
            <w:pPr>
              <w:widowControl/>
              <w:jc w:val="right"/>
              <w:rPr>
                <w:rFonts w:ascii="宋体" w:hAnsi="宋体" w:cs="Arial"/>
                <w:color w:val="auto"/>
                <w:kern w:val="0"/>
                <w:szCs w:val="21"/>
              </w:rPr>
            </w:pPr>
          </w:p>
        </w:tc>
        <w:tc>
          <w:tcPr>
            <w:tcW w:w="1257" w:type="pct"/>
            <w:tcBorders>
              <w:top w:val="nil"/>
              <w:left w:val="nil"/>
              <w:bottom w:val="single" w:color="000000" w:sz="4" w:space="0"/>
              <w:right w:val="single" w:color="000000" w:sz="8" w:space="0"/>
            </w:tcBorders>
            <w:noWrap w:val="0"/>
            <w:vAlign w:val="center"/>
          </w:tcPr>
          <w:p w14:paraId="30D647EF">
            <w:pPr>
              <w:widowControl/>
              <w:jc w:val="right"/>
              <w:rPr>
                <w:rFonts w:ascii="宋体" w:hAnsi="宋体" w:cs="Arial"/>
                <w:color w:val="auto"/>
                <w:kern w:val="0"/>
                <w:szCs w:val="21"/>
              </w:rPr>
            </w:pPr>
          </w:p>
        </w:tc>
      </w:tr>
      <w:tr w14:paraId="683B31D9">
        <w:tblPrEx>
          <w:tblCellMar>
            <w:top w:w="0" w:type="dxa"/>
            <w:left w:w="108" w:type="dxa"/>
            <w:bottom w:w="0" w:type="dxa"/>
            <w:right w:w="108" w:type="dxa"/>
          </w:tblCellMar>
        </w:tblPrEx>
        <w:trPr>
          <w:trHeight w:val="680" w:hRule="atLeast"/>
        </w:trPr>
        <w:tc>
          <w:tcPr>
            <w:tcW w:w="458" w:type="pct"/>
            <w:tcBorders>
              <w:top w:val="nil"/>
              <w:left w:val="single" w:color="000000" w:sz="8" w:space="0"/>
              <w:bottom w:val="single" w:color="000000" w:sz="4" w:space="0"/>
              <w:right w:val="single" w:color="000000" w:sz="4" w:space="0"/>
            </w:tcBorders>
            <w:noWrap w:val="0"/>
            <w:vAlign w:val="center"/>
          </w:tcPr>
          <w:p w14:paraId="09E412C4">
            <w:pPr>
              <w:widowControl/>
              <w:jc w:val="center"/>
              <w:rPr>
                <w:rFonts w:ascii="宋体" w:hAnsi="宋体" w:cs="Arial"/>
                <w:color w:val="auto"/>
                <w:kern w:val="0"/>
                <w:szCs w:val="21"/>
              </w:rPr>
            </w:pPr>
          </w:p>
        </w:tc>
        <w:tc>
          <w:tcPr>
            <w:tcW w:w="1690" w:type="pct"/>
            <w:tcBorders>
              <w:top w:val="single" w:color="000000" w:sz="4" w:space="0"/>
              <w:left w:val="nil"/>
              <w:bottom w:val="single" w:color="000000" w:sz="4" w:space="0"/>
              <w:right w:val="single" w:color="000000" w:sz="4" w:space="0"/>
            </w:tcBorders>
            <w:noWrap w:val="0"/>
            <w:vAlign w:val="center"/>
          </w:tcPr>
          <w:p w14:paraId="45641F1D">
            <w:pPr>
              <w:widowControl/>
              <w:jc w:val="left"/>
              <w:rPr>
                <w:rFonts w:ascii="宋体" w:hAnsi="宋体" w:cs="Arial"/>
                <w:color w:val="auto"/>
                <w:kern w:val="0"/>
                <w:szCs w:val="21"/>
              </w:rPr>
            </w:pPr>
          </w:p>
        </w:tc>
        <w:tc>
          <w:tcPr>
            <w:tcW w:w="870" w:type="pct"/>
            <w:tcBorders>
              <w:top w:val="single" w:color="000000" w:sz="4" w:space="0"/>
              <w:left w:val="nil"/>
              <w:bottom w:val="single" w:color="000000" w:sz="4" w:space="0"/>
              <w:right w:val="single" w:color="000000" w:sz="4" w:space="0"/>
            </w:tcBorders>
            <w:noWrap w:val="0"/>
            <w:vAlign w:val="center"/>
          </w:tcPr>
          <w:p w14:paraId="736C4DDF">
            <w:pPr>
              <w:widowControl/>
              <w:jc w:val="right"/>
              <w:rPr>
                <w:rFonts w:ascii="宋体" w:hAnsi="宋体" w:cs="Arial"/>
                <w:color w:val="auto"/>
                <w:kern w:val="0"/>
                <w:szCs w:val="21"/>
              </w:rPr>
            </w:pPr>
          </w:p>
        </w:tc>
        <w:tc>
          <w:tcPr>
            <w:tcW w:w="725" w:type="pct"/>
            <w:tcBorders>
              <w:top w:val="single" w:color="000000" w:sz="4" w:space="0"/>
              <w:left w:val="nil"/>
              <w:bottom w:val="single" w:color="000000" w:sz="4" w:space="0"/>
              <w:right w:val="single" w:color="000000" w:sz="4" w:space="0"/>
            </w:tcBorders>
            <w:noWrap w:val="0"/>
            <w:vAlign w:val="center"/>
          </w:tcPr>
          <w:p w14:paraId="5B3F3BA1">
            <w:pPr>
              <w:widowControl/>
              <w:jc w:val="right"/>
              <w:rPr>
                <w:rFonts w:ascii="宋体" w:hAnsi="宋体" w:cs="Arial"/>
                <w:color w:val="auto"/>
                <w:kern w:val="0"/>
                <w:szCs w:val="21"/>
              </w:rPr>
            </w:pPr>
          </w:p>
        </w:tc>
        <w:tc>
          <w:tcPr>
            <w:tcW w:w="1257" w:type="pct"/>
            <w:tcBorders>
              <w:top w:val="nil"/>
              <w:left w:val="nil"/>
              <w:bottom w:val="single" w:color="000000" w:sz="4" w:space="0"/>
              <w:right w:val="single" w:color="000000" w:sz="8" w:space="0"/>
            </w:tcBorders>
            <w:noWrap w:val="0"/>
            <w:vAlign w:val="center"/>
          </w:tcPr>
          <w:p w14:paraId="4C6BA962">
            <w:pPr>
              <w:widowControl/>
              <w:jc w:val="right"/>
              <w:rPr>
                <w:rFonts w:ascii="宋体" w:hAnsi="宋体" w:cs="Arial"/>
                <w:color w:val="auto"/>
                <w:kern w:val="0"/>
                <w:szCs w:val="21"/>
              </w:rPr>
            </w:pPr>
          </w:p>
        </w:tc>
      </w:tr>
      <w:tr w14:paraId="4A946B82">
        <w:tblPrEx>
          <w:tblCellMar>
            <w:top w:w="0" w:type="dxa"/>
            <w:left w:w="108" w:type="dxa"/>
            <w:bottom w:w="0" w:type="dxa"/>
            <w:right w:w="108" w:type="dxa"/>
          </w:tblCellMar>
        </w:tblPrEx>
        <w:trPr>
          <w:trHeight w:val="680" w:hRule="atLeast"/>
        </w:trPr>
        <w:tc>
          <w:tcPr>
            <w:tcW w:w="458" w:type="pct"/>
            <w:tcBorders>
              <w:top w:val="nil"/>
              <w:left w:val="single" w:color="000000" w:sz="8" w:space="0"/>
              <w:bottom w:val="single" w:color="000000" w:sz="4" w:space="0"/>
              <w:right w:val="single" w:color="000000" w:sz="4" w:space="0"/>
            </w:tcBorders>
            <w:noWrap w:val="0"/>
            <w:vAlign w:val="center"/>
          </w:tcPr>
          <w:p w14:paraId="208D5912">
            <w:pPr>
              <w:widowControl/>
              <w:jc w:val="center"/>
              <w:rPr>
                <w:rFonts w:ascii="宋体" w:hAnsi="宋体" w:cs="Arial"/>
                <w:color w:val="auto"/>
                <w:kern w:val="0"/>
                <w:szCs w:val="21"/>
              </w:rPr>
            </w:pPr>
          </w:p>
        </w:tc>
        <w:tc>
          <w:tcPr>
            <w:tcW w:w="1690" w:type="pct"/>
            <w:tcBorders>
              <w:top w:val="single" w:color="000000" w:sz="4" w:space="0"/>
              <w:left w:val="nil"/>
              <w:bottom w:val="single" w:color="000000" w:sz="4" w:space="0"/>
              <w:right w:val="single" w:color="000000" w:sz="4" w:space="0"/>
            </w:tcBorders>
            <w:noWrap w:val="0"/>
            <w:vAlign w:val="center"/>
          </w:tcPr>
          <w:p w14:paraId="4CA7BBB6">
            <w:pPr>
              <w:widowControl/>
              <w:jc w:val="left"/>
              <w:rPr>
                <w:rFonts w:ascii="宋体" w:hAnsi="宋体" w:cs="Arial"/>
                <w:color w:val="auto"/>
                <w:kern w:val="0"/>
                <w:szCs w:val="21"/>
              </w:rPr>
            </w:pPr>
          </w:p>
        </w:tc>
        <w:tc>
          <w:tcPr>
            <w:tcW w:w="870" w:type="pct"/>
            <w:tcBorders>
              <w:top w:val="single" w:color="000000" w:sz="4" w:space="0"/>
              <w:left w:val="nil"/>
              <w:bottom w:val="single" w:color="000000" w:sz="4" w:space="0"/>
              <w:right w:val="single" w:color="000000" w:sz="4" w:space="0"/>
            </w:tcBorders>
            <w:noWrap w:val="0"/>
            <w:vAlign w:val="center"/>
          </w:tcPr>
          <w:p w14:paraId="076A8446">
            <w:pPr>
              <w:widowControl/>
              <w:jc w:val="right"/>
              <w:rPr>
                <w:rFonts w:ascii="宋体" w:hAnsi="宋体" w:cs="Arial"/>
                <w:color w:val="auto"/>
                <w:kern w:val="0"/>
                <w:szCs w:val="21"/>
              </w:rPr>
            </w:pPr>
          </w:p>
        </w:tc>
        <w:tc>
          <w:tcPr>
            <w:tcW w:w="725" w:type="pct"/>
            <w:tcBorders>
              <w:top w:val="single" w:color="000000" w:sz="4" w:space="0"/>
              <w:left w:val="nil"/>
              <w:bottom w:val="single" w:color="000000" w:sz="4" w:space="0"/>
              <w:right w:val="single" w:color="000000" w:sz="4" w:space="0"/>
            </w:tcBorders>
            <w:noWrap w:val="0"/>
            <w:vAlign w:val="center"/>
          </w:tcPr>
          <w:p w14:paraId="6B500B0D">
            <w:pPr>
              <w:widowControl/>
              <w:jc w:val="right"/>
              <w:rPr>
                <w:rFonts w:ascii="宋体" w:hAnsi="宋体" w:cs="Arial"/>
                <w:color w:val="auto"/>
                <w:kern w:val="0"/>
                <w:szCs w:val="21"/>
              </w:rPr>
            </w:pPr>
          </w:p>
        </w:tc>
        <w:tc>
          <w:tcPr>
            <w:tcW w:w="1257" w:type="pct"/>
            <w:tcBorders>
              <w:top w:val="nil"/>
              <w:left w:val="nil"/>
              <w:bottom w:val="single" w:color="000000" w:sz="4" w:space="0"/>
              <w:right w:val="single" w:color="000000" w:sz="8" w:space="0"/>
            </w:tcBorders>
            <w:noWrap w:val="0"/>
            <w:vAlign w:val="center"/>
          </w:tcPr>
          <w:p w14:paraId="50808C15">
            <w:pPr>
              <w:widowControl/>
              <w:jc w:val="right"/>
              <w:rPr>
                <w:rFonts w:ascii="宋体" w:hAnsi="宋体" w:cs="Arial"/>
                <w:color w:val="auto"/>
                <w:kern w:val="0"/>
                <w:szCs w:val="21"/>
              </w:rPr>
            </w:pPr>
          </w:p>
        </w:tc>
      </w:tr>
      <w:tr w14:paraId="3AB4FA66">
        <w:tblPrEx>
          <w:tblCellMar>
            <w:top w:w="0" w:type="dxa"/>
            <w:left w:w="108" w:type="dxa"/>
            <w:bottom w:w="0" w:type="dxa"/>
            <w:right w:w="108" w:type="dxa"/>
          </w:tblCellMar>
        </w:tblPrEx>
        <w:trPr>
          <w:trHeight w:val="680" w:hRule="atLeast"/>
        </w:trPr>
        <w:tc>
          <w:tcPr>
            <w:tcW w:w="2148" w:type="pct"/>
            <w:gridSpan w:val="2"/>
            <w:tcBorders>
              <w:top w:val="nil"/>
              <w:left w:val="single" w:color="000000" w:sz="8" w:space="0"/>
              <w:bottom w:val="single" w:color="000000" w:sz="4" w:space="0"/>
              <w:right w:val="single" w:color="000000" w:sz="4" w:space="0"/>
            </w:tcBorders>
            <w:noWrap w:val="0"/>
            <w:vAlign w:val="center"/>
          </w:tcPr>
          <w:p w14:paraId="7B7F5536">
            <w:pPr>
              <w:widowControl/>
              <w:jc w:val="center"/>
              <w:rPr>
                <w:rFonts w:ascii="宋体" w:hAnsi="宋体" w:cs="Arial"/>
                <w:color w:val="auto"/>
                <w:kern w:val="0"/>
                <w:szCs w:val="21"/>
              </w:rPr>
            </w:pPr>
            <w:r>
              <w:rPr>
                <w:rFonts w:hint="eastAsia" w:ascii="宋体" w:hAnsi="宋体" w:cs="Arial"/>
                <w:color w:val="auto"/>
                <w:kern w:val="0"/>
                <w:szCs w:val="21"/>
              </w:rPr>
              <w:t>合计</w:t>
            </w:r>
          </w:p>
        </w:tc>
        <w:tc>
          <w:tcPr>
            <w:tcW w:w="870" w:type="pct"/>
            <w:tcBorders>
              <w:top w:val="single" w:color="000000" w:sz="4" w:space="0"/>
              <w:left w:val="nil"/>
              <w:bottom w:val="single" w:color="000000" w:sz="4" w:space="0"/>
              <w:right w:val="single" w:color="000000" w:sz="4" w:space="0"/>
            </w:tcBorders>
            <w:noWrap w:val="0"/>
            <w:vAlign w:val="center"/>
          </w:tcPr>
          <w:p w14:paraId="3EEF1EF8">
            <w:pPr>
              <w:widowControl/>
              <w:jc w:val="right"/>
              <w:rPr>
                <w:rFonts w:ascii="宋体" w:hAnsi="宋体" w:cs="Arial"/>
                <w:color w:val="auto"/>
                <w:kern w:val="0"/>
                <w:szCs w:val="21"/>
              </w:rPr>
            </w:pPr>
          </w:p>
        </w:tc>
        <w:tc>
          <w:tcPr>
            <w:tcW w:w="725" w:type="pct"/>
            <w:tcBorders>
              <w:top w:val="single" w:color="000000" w:sz="4" w:space="0"/>
              <w:left w:val="nil"/>
              <w:bottom w:val="single" w:color="000000" w:sz="4" w:space="0"/>
              <w:right w:val="single" w:color="000000" w:sz="4" w:space="0"/>
            </w:tcBorders>
            <w:noWrap w:val="0"/>
            <w:vAlign w:val="center"/>
          </w:tcPr>
          <w:p w14:paraId="25E5DEB5">
            <w:pPr>
              <w:widowControl/>
              <w:jc w:val="right"/>
              <w:rPr>
                <w:rFonts w:ascii="宋体" w:hAnsi="宋体" w:cs="Arial"/>
                <w:color w:val="auto"/>
                <w:kern w:val="0"/>
                <w:szCs w:val="21"/>
              </w:rPr>
            </w:pPr>
          </w:p>
        </w:tc>
        <w:tc>
          <w:tcPr>
            <w:tcW w:w="1257" w:type="pct"/>
            <w:tcBorders>
              <w:top w:val="nil"/>
              <w:left w:val="nil"/>
              <w:bottom w:val="single" w:color="000000" w:sz="4" w:space="0"/>
              <w:right w:val="single" w:color="000000" w:sz="8" w:space="0"/>
            </w:tcBorders>
            <w:noWrap w:val="0"/>
            <w:vAlign w:val="center"/>
          </w:tcPr>
          <w:p w14:paraId="1B8133C2">
            <w:pPr>
              <w:widowControl/>
              <w:jc w:val="right"/>
              <w:rPr>
                <w:rFonts w:ascii="宋体" w:hAnsi="宋体" w:cs="Arial"/>
                <w:color w:val="auto"/>
                <w:kern w:val="0"/>
                <w:szCs w:val="21"/>
              </w:rPr>
            </w:pPr>
          </w:p>
        </w:tc>
      </w:tr>
    </w:tbl>
    <w:p w14:paraId="5E1C65E8">
      <w:pPr>
        <w:spacing w:before="48" w:beforeLines="20" w:after="48" w:afterLines="20" w:line="540" w:lineRule="exact"/>
        <w:rPr>
          <w:rFonts w:hint="eastAsia" w:ascii="宋体" w:hAnsi="宋体"/>
          <w:color w:val="auto"/>
          <w:sz w:val="24"/>
          <w:szCs w:val="22"/>
        </w:rPr>
      </w:pPr>
    </w:p>
    <w:p w14:paraId="0FC40B04">
      <w:pPr>
        <w:jc w:val="center"/>
        <w:outlineLvl w:val="2"/>
        <w:rPr>
          <w:rFonts w:ascii="宋体" w:hAnsi="宋体"/>
          <w:color w:val="auto"/>
          <w:sz w:val="28"/>
          <w:szCs w:val="28"/>
        </w:rPr>
      </w:pPr>
      <w:bookmarkStart w:id="479" w:name="_Toc460660240"/>
      <w:bookmarkStart w:id="480" w:name="_Toc460227125"/>
      <w:r>
        <w:rPr>
          <w:rFonts w:hint="eastAsia" w:ascii="宋体" w:hAnsi="宋体"/>
          <w:color w:val="auto"/>
          <w:sz w:val="28"/>
          <w:szCs w:val="28"/>
        </w:rPr>
        <w:t>（三）</w:t>
      </w:r>
      <w:bookmarkEnd w:id="479"/>
      <w:bookmarkEnd w:id="480"/>
      <w:r>
        <w:rPr>
          <w:rFonts w:hint="eastAsia" w:ascii="宋体" w:hAnsi="宋体"/>
          <w:color w:val="auto"/>
          <w:sz w:val="28"/>
          <w:szCs w:val="28"/>
        </w:rPr>
        <w:t>单项工程投标报价汇总表</w:t>
      </w:r>
    </w:p>
    <w:p w14:paraId="3766350A">
      <w:pPr>
        <w:spacing w:before="48" w:beforeLines="20" w:after="48" w:afterLines="20" w:line="540" w:lineRule="exact"/>
        <w:rPr>
          <w:rFonts w:hint="eastAsia" w:ascii="宋体" w:hAnsi="宋体"/>
          <w:color w:val="auto"/>
          <w:szCs w:val="21"/>
        </w:rPr>
      </w:pPr>
      <w:r>
        <w:rPr>
          <w:rFonts w:hint="eastAsia" w:ascii="宋体" w:hAnsi="宋体"/>
          <w:color w:val="auto"/>
          <w:szCs w:val="21"/>
        </w:rPr>
        <w:t>工程名称：                                                            第   页共   页</w:t>
      </w:r>
    </w:p>
    <w:tbl>
      <w:tblPr>
        <w:tblStyle w:val="53"/>
        <w:tblW w:w="8946" w:type="dxa"/>
        <w:tblInd w:w="93" w:type="dxa"/>
        <w:tblLayout w:type="autofit"/>
        <w:tblCellMar>
          <w:top w:w="0" w:type="dxa"/>
          <w:left w:w="108" w:type="dxa"/>
          <w:bottom w:w="0" w:type="dxa"/>
          <w:right w:w="108" w:type="dxa"/>
        </w:tblCellMar>
      </w:tblPr>
      <w:tblGrid>
        <w:gridCol w:w="820"/>
        <w:gridCol w:w="3023"/>
        <w:gridCol w:w="1557"/>
        <w:gridCol w:w="1298"/>
        <w:gridCol w:w="2248"/>
      </w:tblGrid>
      <w:tr w14:paraId="246901D8">
        <w:trPr>
          <w:trHeight w:val="338" w:hRule="atLeast"/>
        </w:trPr>
        <w:tc>
          <w:tcPr>
            <w:tcW w:w="820"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38F64175">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3023"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1B4542D0">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单位工程名称</w:t>
            </w:r>
          </w:p>
        </w:tc>
        <w:tc>
          <w:tcPr>
            <w:tcW w:w="1557"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1362F2F7">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c>
          <w:tcPr>
            <w:tcW w:w="3546" w:type="dxa"/>
            <w:gridSpan w:val="2"/>
            <w:tcBorders>
              <w:top w:val="single" w:color="000000" w:sz="8" w:space="0"/>
              <w:left w:val="nil"/>
              <w:bottom w:val="single" w:color="000000" w:sz="4" w:space="0"/>
              <w:right w:val="single" w:color="000000" w:sz="8" w:space="0"/>
            </w:tcBorders>
            <w:shd w:val="clear" w:color="FFFFFF" w:fill="FFFFFF"/>
            <w:noWrap w:val="0"/>
            <w:vAlign w:val="center"/>
          </w:tcPr>
          <w:p w14:paraId="5D97D23C">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其中：（元）</w:t>
            </w:r>
          </w:p>
        </w:tc>
      </w:tr>
      <w:tr w14:paraId="577839EB">
        <w:tblPrEx>
          <w:tblCellMar>
            <w:top w:w="0" w:type="dxa"/>
            <w:left w:w="108" w:type="dxa"/>
            <w:bottom w:w="0" w:type="dxa"/>
            <w:right w:w="108" w:type="dxa"/>
          </w:tblCellMar>
        </w:tblPrEx>
        <w:trPr>
          <w:trHeight w:val="353" w:hRule="atLeast"/>
        </w:trPr>
        <w:tc>
          <w:tcPr>
            <w:tcW w:w="820" w:type="dxa"/>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3E0A3898">
            <w:pPr>
              <w:widowControl/>
              <w:jc w:val="left"/>
              <w:rPr>
                <w:rFonts w:ascii="黑体" w:hAnsi="黑体" w:eastAsia="黑体" w:cs="Arial"/>
                <w:color w:val="auto"/>
                <w:kern w:val="0"/>
                <w:szCs w:val="21"/>
              </w:rPr>
            </w:pPr>
          </w:p>
        </w:tc>
        <w:tc>
          <w:tcPr>
            <w:tcW w:w="3023"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01367EAD">
            <w:pPr>
              <w:widowControl/>
              <w:jc w:val="left"/>
              <w:rPr>
                <w:rFonts w:ascii="黑体" w:hAnsi="黑体" w:eastAsia="黑体" w:cs="Arial"/>
                <w:color w:val="auto"/>
                <w:kern w:val="0"/>
                <w:szCs w:val="21"/>
              </w:rPr>
            </w:pPr>
          </w:p>
        </w:tc>
        <w:tc>
          <w:tcPr>
            <w:tcW w:w="1557" w:type="dxa"/>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36656EB1">
            <w:pPr>
              <w:widowControl/>
              <w:jc w:val="left"/>
              <w:rPr>
                <w:rFonts w:ascii="黑体" w:hAnsi="黑体" w:eastAsia="黑体" w:cs="Arial"/>
                <w:color w:val="auto"/>
                <w:kern w:val="0"/>
                <w:szCs w:val="21"/>
              </w:rPr>
            </w:pPr>
          </w:p>
        </w:tc>
        <w:tc>
          <w:tcPr>
            <w:tcW w:w="1298" w:type="dxa"/>
            <w:tcBorders>
              <w:top w:val="single" w:color="000000" w:sz="4" w:space="0"/>
              <w:left w:val="nil"/>
              <w:bottom w:val="single" w:color="000000" w:sz="4" w:space="0"/>
              <w:right w:val="single" w:color="000000" w:sz="4" w:space="0"/>
            </w:tcBorders>
            <w:shd w:val="clear" w:color="FFFFFF" w:fill="FFFFFF"/>
            <w:noWrap w:val="0"/>
            <w:vAlign w:val="center"/>
          </w:tcPr>
          <w:p w14:paraId="65725528">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暂估价</w:t>
            </w:r>
          </w:p>
        </w:tc>
        <w:tc>
          <w:tcPr>
            <w:tcW w:w="2248" w:type="dxa"/>
            <w:tcBorders>
              <w:top w:val="nil"/>
              <w:left w:val="nil"/>
              <w:bottom w:val="single" w:color="000000" w:sz="4" w:space="0"/>
              <w:right w:val="single" w:color="000000" w:sz="8" w:space="0"/>
            </w:tcBorders>
            <w:shd w:val="clear" w:color="FFFFFF" w:fill="FFFFFF"/>
            <w:noWrap w:val="0"/>
            <w:vAlign w:val="center"/>
          </w:tcPr>
          <w:p w14:paraId="36073A5B">
            <w:pPr>
              <w:widowControl/>
              <w:jc w:val="center"/>
              <w:rPr>
                <w:rFonts w:ascii="黑体" w:hAnsi="黑体" w:eastAsia="黑体" w:cs="Arial"/>
                <w:color w:val="auto"/>
                <w:kern w:val="0"/>
                <w:szCs w:val="21"/>
              </w:rPr>
            </w:pPr>
            <w:r>
              <w:rPr>
                <w:rFonts w:hint="eastAsia" w:ascii="黑体" w:hAnsi="黑体" w:eastAsia="黑体" w:cs="Arial"/>
                <w:color w:val="auto"/>
                <w:kern w:val="0"/>
                <w:szCs w:val="21"/>
              </w:rPr>
              <w:t>不可竞争费</w:t>
            </w:r>
          </w:p>
        </w:tc>
      </w:tr>
      <w:tr w14:paraId="694B2FD4">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2F7C6C6">
            <w:pPr>
              <w:widowControl/>
              <w:jc w:val="center"/>
              <w:rPr>
                <w:rFonts w:ascii="宋体" w:hAnsi="宋体" w:cs="Arial"/>
                <w:color w:val="auto"/>
                <w:kern w:val="0"/>
                <w:szCs w:val="21"/>
              </w:rPr>
            </w:pPr>
          </w:p>
        </w:tc>
        <w:tc>
          <w:tcPr>
            <w:tcW w:w="3023" w:type="dxa"/>
            <w:tcBorders>
              <w:top w:val="single" w:color="000000" w:sz="4" w:space="0"/>
              <w:left w:val="nil"/>
              <w:bottom w:val="single" w:color="000000" w:sz="4" w:space="0"/>
              <w:right w:val="single" w:color="000000" w:sz="4" w:space="0"/>
            </w:tcBorders>
            <w:noWrap w:val="0"/>
            <w:vAlign w:val="center"/>
          </w:tcPr>
          <w:p w14:paraId="40F6C943">
            <w:pPr>
              <w:widowControl/>
              <w:jc w:val="left"/>
              <w:rPr>
                <w:rFonts w:ascii="宋体" w:hAnsi="宋体" w:cs="Arial"/>
                <w:color w:val="auto"/>
                <w:kern w:val="0"/>
                <w:szCs w:val="21"/>
              </w:rPr>
            </w:pPr>
          </w:p>
        </w:tc>
        <w:tc>
          <w:tcPr>
            <w:tcW w:w="1557" w:type="dxa"/>
            <w:tcBorders>
              <w:top w:val="single" w:color="000000" w:sz="4" w:space="0"/>
              <w:left w:val="nil"/>
              <w:bottom w:val="single" w:color="000000" w:sz="4" w:space="0"/>
              <w:right w:val="single" w:color="000000" w:sz="4" w:space="0"/>
            </w:tcBorders>
            <w:noWrap w:val="0"/>
            <w:vAlign w:val="center"/>
          </w:tcPr>
          <w:p w14:paraId="170D72F6">
            <w:pPr>
              <w:widowControl/>
              <w:jc w:val="right"/>
              <w:rPr>
                <w:rFonts w:ascii="宋体" w:hAnsi="宋体" w:cs="Arial"/>
                <w:color w:val="auto"/>
                <w:kern w:val="0"/>
                <w:szCs w:val="21"/>
              </w:rPr>
            </w:pPr>
          </w:p>
        </w:tc>
        <w:tc>
          <w:tcPr>
            <w:tcW w:w="1298" w:type="dxa"/>
            <w:tcBorders>
              <w:top w:val="single" w:color="000000" w:sz="4" w:space="0"/>
              <w:left w:val="nil"/>
              <w:bottom w:val="single" w:color="000000" w:sz="4" w:space="0"/>
              <w:right w:val="single" w:color="000000" w:sz="4" w:space="0"/>
            </w:tcBorders>
            <w:noWrap w:val="0"/>
            <w:vAlign w:val="center"/>
          </w:tcPr>
          <w:p w14:paraId="07010863">
            <w:pPr>
              <w:widowControl/>
              <w:jc w:val="right"/>
              <w:rPr>
                <w:rFonts w:ascii="宋体" w:hAnsi="宋体" w:cs="Arial"/>
                <w:color w:val="auto"/>
                <w:kern w:val="0"/>
                <w:szCs w:val="21"/>
              </w:rPr>
            </w:pPr>
          </w:p>
        </w:tc>
        <w:tc>
          <w:tcPr>
            <w:tcW w:w="2248" w:type="dxa"/>
            <w:tcBorders>
              <w:top w:val="nil"/>
              <w:left w:val="nil"/>
              <w:bottom w:val="single" w:color="000000" w:sz="4" w:space="0"/>
              <w:right w:val="single" w:color="000000" w:sz="8" w:space="0"/>
            </w:tcBorders>
            <w:noWrap w:val="0"/>
            <w:vAlign w:val="center"/>
          </w:tcPr>
          <w:p w14:paraId="32A6E103">
            <w:pPr>
              <w:widowControl/>
              <w:jc w:val="right"/>
              <w:rPr>
                <w:rFonts w:ascii="宋体" w:hAnsi="宋体" w:cs="Arial"/>
                <w:color w:val="auto"/>
                <w:kern w:val="0"/>
                <w:szCs w:val="21"/>
              </w:rPr>
            </w:pPr>
          </w:p>
        </w:tc>
      </w:tr>
      <w:tr w14:paraId="585F5582">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0AB579C">
            <w:pPr>
              <w:widowControl/>
              <w:jc w:val="center"/>
              <w:rPr>
                <w:rFonts w:ascii="宋体" w:hAnsi="宋体" w:cs="Arial"/>
                <w:color w:val="auto"/>
                <w:kern w:val="0"/>
                <w:szCs w:val="21"/>
              </w:rPr>
            </w:pPr>
          </w:p>
        </w:tc>
        <w:tc>
          <w:tcPr>
            <w:tcW w:w="3023" w:type="dxa"/>
            <w:tcBorders>
              <w:top w:val="single" w:color="000000" w:sz="4" w:space="0"/>
              <w:left w:val="nil"/>
              <w:bottom w:val="single" w:color="000000" w:sz="4" w:space="0"/>
              <w:right w:val="single" w:color="000000" w:sz="4" w:space="0"/>
            </w:tcBorders>
            <w:noWrap w:val="0"/>
            <w:vAlign w:val="center"/>
          </w:tcPr>
          <w:p w14:paraId="7B20EA08">
            <w:pPr>
              <w:widowControl/>
              <w:jc w:val="left"/>
              <w:rPr>
                <w:rFonts w:ascii="宋体" w:hAnsi="宋体" w:cs="Arial"/>
                <w:color w:val="auto"/>
                <w:kern w:val="0"/>
                <w:szCs w:val="21"/>
              </w:rPr>
            </w:pPr>
          </w:p>
        </w:tc>
        <w:tc>
          <w:tcPr>
            <w:tcW w:w="1557" w:type="dxa"/>
            <w:tcBorders>
              <w:top w:val="single" w:color="000000" w:sz="4" w:space="0"/>
              <w:left w:val="nil"/>
              <w:bottom w:val="single" w:color="000000" w:sz="4" w:space="0"/>
              <w:right w:val="single" w:color="000000" w:sz="4" w:space="0"/>
            </w:tcBorders>
            <w:noWrap w:val="0"/>
            <w:vAlign w:val="center"/>
          </w:tcPr>
          <w:p w14:paraId="153E31E0">
            <w:pPr>
              <w:widowControl/>
              <w:jc w:val="right"/>
              <w:rPr>
                <w:rFonts w:ascii="宋体" w:hAnsi="宋体" w:cs="Arial"/>
                <w:color w:val="auto"/>
                <w:kern w:val="0"/>
                <w:szCs w:val="21"/>
              </w:rPr>
            </w:pPr>
          </w:p>
        </w:tc>
        <w:tc>
          <w:tcPr>
            <w:tcW w:w="1298" w:type="dxa"/>
            <w:tcBorders>
              <w:top w:val="single" w:color="000000" w:sz="4" w:space="0"/>
              <w:left w:val="nil"/>
              <w:bottom w:val="single" w:color="000000" w:sz="4" w:space="0"/>
              <w:right w:val="single" w:color="000000" w:sz="4" w:space="0"/>
            </w:tcBorders>
            <w:noWrap w:val="0"/>
            <w:vAlign w:val="center"/>
          </w:tcPr>
          <w:p w14:paraId="51CDE263">
            <w:pPr>
              <w:widowControl/>
              <w:jc w:val="right"/>
              <w:rPr>
                <w:rFonts w:ascii="宋体" w:hAnsi="宋体" w:cs="Arial"/>
                <w:color w:val="auto"/>
                <w:kern w:val="0"/>
                <w:szCs w:val="21"/>
              </w:rPr>
            </w:pPr>
          </w:p>
        </w:tc>
        <w:tc>
          <w:tcPr>
            <w:tcW w:w="2248" w:type="dxa"/>
            <w:tcBorders>
              <w:top w:val="nil"/>
              <w:left w:val="nil"/>
              <w:bottom w:val="single" w:color="000000" w:sz="4" w:space="0"/>
              <w:right w:val="single" w:color="000000" w:sz="8" w:space="0"/>
            </w:tcBorders>
            <w:noWrap w:val="0"/>
            <w:vAlign w:val="center"/>
          </w:tcPr>
          <w:p w14:paraId="78DD7529">
            <w:pPr>
              <w:widowControl/>
              <w:jc w:val="right"/>
              <w:rPr>
                <w:rFonts w:ascii="宋体" w:hAnsi="宋体" w:cs="Arial"/>
                <w:color w:val="auto"/>
                <w:kern w:val="0"/>
                <w:szCs w:val="21"/>
              </w:rPr>
            </w:pPr>
          </w:p>
        </w:tc>
      </w:tr>
      <w:tr w14:paraId="01910656">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371F883">
            <w:pPr>
              <w:widowControl/>
              <w:jc w:val="center"/>
              <w:rPr>
                <w:rFonts w:ascii="宋体" w:hAnsi="宋体" w:cs="Arial"/>
                <w:color w:val="auto"/>
                <w:kern w:val="0"/>
                <w:szCs w:val="21"/>
              </w:rPr>
            </w:pPr>
          </w:p>
        </w:tc>
        <w:tc>
          <w:tcPr>
            <w:tcW w:w="3023" w:type="dxa"/>
            <w:tcBorders>
              <w:top w:val="single" w:color="000000" w:sz="4" w:space="0"/>
              <w:left w:val="nil"/>
              <w:bottom w:val="single" w:color="000000" w:sz="4" w:space="0"/>
              <w:right w:val="single" w:color="000000" w:sz="4" w:space="0"/>
            </w:tcBorders>
            <w:noWrap w:val="0"/>
            <w:vAlign w:val="center"/>
          </w:tcPr>
          <w:p w14:paraId="34AD40EE">
            <w:pPr>
              <w:widowControl/>
              <w:jc w:val="left"/>
              <w:rPr>
                <w:rFonts w:ascii="宋体" w:hAnsi="宋体" w:cs="Arial"/>
                <w:color w:val="auto"/>
                <w:kern w:val="0"/>
                <w:szCs w:val="21"/>
              </w:rPr>
            </w:pPr>
          </w:p>
        </w:tc>
        <w:tc>
          <w:tcPr>
            <w:tcW w:w="1557" w:type="dxa"/>
            <w:tcBorders>
              <w:top w:val="single" w:color="000000" w:sz="4" w:space="0"/>
              <w:left w:val="nil"/>
              <w:bottom w:val="single" w:color="000000" w:sz="4" w:space="0"/>
              <w:right w:val="single" w:color="000000" w:sz="4" w:space="0"/>
            </w:tcBorders>
            <w:noWrap w:val="0"/>
            <w:vAlign w:val="center"/>
          </w:tcPr>
          <w:p w14:paraId="555B9129">
            <w:pPr>
              <w:widowControl/>
              <w:jc w:val="right"/>
              <w:rPr>
                <w:rFonts w:ascii="宋体" w:hAnsi="宋体" w:cs="Arial"/>
                <w:color w:val="auto"/>
                <w:kern w:val="0"/>
                <w:szCs w:val="21"/>
              </w:rPr>
            </w:pPr>
          </w:p>
        </w:tc>
        <w:tc>
          <w:tcPr>
            <w:tcW w:w="1298" w:type="dxa"/>
            <w:tcBorders>
              <w:top w:val="single" w:color="000000" w:sz="4" w:space="0"/>
              <w:left w:val="nil"/>
              <w:bottom w:val="single" w:color="000000" w:sz="4" w:space="0"/>
              <w:right w:val="single" w:color="000000" w:sz="4" w:space="0"/>
            </w:tcBorders>
            <w:noWrap w:val="0"/>
            <w:vAlign w:val="center"/>
          </w:tcPr>
          <w:p w14:paraId="2F802F3F">
            <w:pPr>
              <w:widowControl/>
              <w:jc w:val="right"/>
              <w:rPr>
                <w:rFonts w:ascii="宋体" w:hAnsi="宋体" w:cs="Arial"/>
                <w:color w:val="auto"/>
                <w:kern w:val="0"/>
                <w:szCs w:val="21"/>
              </w:rPr>
            </w:pPr>
          </w:p>
        </w:tc>
        <w:tc>
          <w:tcPr>
            <w:tcW w:w="2248" w:type="dxa"/>
            <w:tcBorders>
              <w:top w:val="nil"/>
              <w:left w:val="nil"/>
              <w:bottom w:val="single" w:color="000000" w:sz="4" w:space="0"/>
              <w:right w:val="single" w:color="000000" w:sz="8" w:space="0"/>
            </w:tcBorders>
            <w:noWrap w:val="0"/>
            <w:vAlign w:val="center"/>
          </w:tcPr>
          <w:p w14:paraId="5558DD1C">
            <w:pPr>
              <w:widowControl/>
              <w:jc w:val="right"/>
              <w:rPr>
                <w:rFonts w:ascii="宋体" w:hAnsi="宋体" w:cs="Arial"/>
                <w:color w:val="auto"/>
                <w:kern w:val="0"/>
                <w:szCs w:val="21"/>
              </w:rPr>
            </w:pPr>
          </w:p>
        </w:tc>
      </w:tr>
      <w:tr w14:paraId="6D6D6C33">
        <w:tblPrEx>
          <w:tblCellMar>
            <w:top w:w="0" w:type="dxa"/>
            <w:left w:w="108" w:type="dxa"/>
            <w:bottom w:w="0" w:type="dxa"/>
            <w:right w:w="108" w:type="dxa"/>
          </w:tblCellMar>
        </w:tblPrEx>
        <w:trPr>
          <w:trHeight w:val="680" w:hRule="atLeast"/>
        </w:trPr>
        <w:tc>
          <w:tcPr>
            <w:tcW w:w="3843" w:type="dxa"/>
            <w:gridSpan w:val="2"/>
            <w:tcBorders>
              <w:top w:val="nil"/>
              <w:left w:val="single" w:color="000000" w:sz="8" w:space="0"/>
              <w:bottom w:val="single" w:color="000000" w:sz="4" w:space="0"/>
              <w:right w:val="single" w:color="000000" w:sz="4" w:space="0"/>
            </w:tcBorders>
            <w:noWrap w:val="0"/>
            <w:vAlign w:val="center"/>
          </w:tcPr>
          <w:p w14:paraId="2FBC494E">
            <w:pPr>
              <w:widowControl/>
              <w:jc w:val="center"/>
              <w:rPr>
                <w:rFonts w:ascii="宋体" w:hAnsi="宋体" w:cs="Arial"/>
                <w:color w:val="auto"/>
                <w:kern w:val="0"/>
                <w:szCs w:val="21"/>
              </w:rPr>
            </w:pPr>
            <w:r>
              <w:rPr>
                <w:rFonts w:hint="eastAsia" w:ascii="宋体" w:hAnsi="宋体" w:cs="Arial"/>
                <w:color w:val="auto"/>
                <w:kern w:val="0"/>
                <w:szCs w:val="21"/>
              </w:rPr>
              <w:t>合计</w:t>
            </w:r>
          </w:p>
        </w:tc>
        <w:tc>
          <w:tcPr>
            <w:tcW w:w="1557" w:type="dxa"/>
            <w:tcBorders>
              <w:top w:val="single" w:color="000000" w:sz="4" w:space="0"/>
              <w:left w:val="nil"/>
              <w:bottom w:val="single" w:color="000000" w:sz="4" w:space="0"/>
              <w:right w:val="single" w:color="000000" w:sz="4" w:space="0"/>
            </w:tcBorders>
            <w:noWrap w:val="0"/>
            <w:vAlign w:val="center"/>
          </w:tcPr>
          <w:p w14:paraId="0A5A9912">
            <w:pPr>
              <w:widowControl/>
              <w:jc w:val="right"/>
              <w:rPr>
                <w:rFonts w:ascii="宋体" w:hAnsi="宋体" w:cs="Arial"/>
                <w:color w:val="auto"/>
                <w:kern w:val="0"/>
                <w:szCs w:val="21"/>
              </w:rPr>
            </w:pPr>
          </w:p>
        </w:tc>
        <w:tc>
          <w:tcPr>
            <w:tcW w:w="1298" w:type="dxa"/>
            <w:tcBorders>
              <w:top w:val="single" w:color="000000" w:sz="4" w:space="0"/>
              <w:left w:val="nil"/>
              <w:bottom w:val="single" w:color="000000" w:sz="4" w:space="0"/>
              <w:right w:val="single" w:color="000000" w:sz="4" w:space="0"/>
            </w:tcBorders>
            <w:noWrap w:val="0"/>
            <w:vAlign w:val="center"/>
          </w:tcPr>
          <w:p w14:paraId="2B110D13">
            <w:pPr>
              <w:widowControl/>
              <w:jc w:val="right"/>
              <w:rPr>
                <w:rFonts w:ascii="宋体" w:hAnsi="宋体" w:cs="Arial"/>
                <w:color w:val="auto"/>
                <w:kern w:val="0"/>
                <w:szCs w:val="21"/>
              </w:rPr>
            </w:pPr>
          </w:p>
        </w:tc>
        <w:tc>
          <w:tcPr>
            <w:tcW w:w="2248" w:type="dxa"/>
            <w:tcBorders>
              <w:top w:val="nil"/>
              <w:left w:val="nil"/>
              <w:bottom w:val="single" w:color="000000" w:sz="4" w:space="0"/>
              <w:right w:val="single" w:color="000000" w:sz="8" w:space="0"/>
            </w:tcBorders>
            <w:noWrap w:val="0"/>
            <w:vAlign w:val="center"/>
          </w:tcPr>
          <w:p w14:paraId="508080C6">
            <w:pPr>
              <w:widowControl/>
              <w:jc w:val="right"/>
              <w:rPr>
                <w:rFonts w:ascii="宋体" w:hAnsi="宋体" w:cs="Arial"/>
                <w:color w:val="auto"/>
                <w:kern w:val="0"/>
                <w:szCs w:val="21"/>
              </w:rPr>
            </w:pPr>
          </w:p>
        </w:tc>
      </w:tr>
    </w:tbl>
    <w:p w14:paraId="3B6C081A">
      <w:pPr>
        <w:jc w:val="center"/>
        <w:rPr>
          <w:color w:val="auto"/>
          <w:sz w:val="32"/>
          <w:szCs w:val="32"/>
        </w:rPr>
      </w:pPr>
      <w:bookmarkStart w:id="481" w:name="_Toc460227126"/>
      <w:bookmarkStart w:id="482" w:name="_Toc460660241"/>
    </w:p>
    <w:p w14:paraId="34148585">
      <w:pPr>
        <w:jc w:val="center"/>
        <w:outlineLvl w:val="2"/>
        <w:rPr>
          <w:rFonts w:hint="eastAsia" w:ascii="宋体" w:hAnsi="宋体"/>
          <w:color w:val="auto"/>
          <w:sz w:val="28"/>
          <w:szCs w:val="28"/>
        </w:rPr>
      </w:pPr>
      <w:r>
        <w:rPr>
          <w:rFonts w:ascii="宋体" w:hAnsi="宋体"/>
          <w:color w:val="auto"/>
          <w:sz w:val="28"/>
          <w:szCs w:val="28"/>
        </w:rPr>
        <w:br w:type="page"/>
      </w:r>
      <w:r>
        <w:rPr>
          <w:rFonts w:hint="eastAsia" w:ascii="宋体" w:hAnsi="宋体"/>
          <w:color w:val="auto"/>
          <w:sz w:val="28"/>
          <w:szCs w:val="28"/>
        </w:rPr>
        <w:t>（四）</w:t>
      </w:r>
      <w:bookmarkEnd w:id="481"/>
      <w:bookmarkEnd w:id="482"/>
      <w:r>
        <w:rPr>
          <w:rFonts w:hint="eastAsia" w:ascii="宋体" w:hAnsi="宋体"/>
          <w:color w:val="auto"/>
          <w:sz w:val="28"/>
          <w:szCs w:val="28"/>
        </w:rPr>
        <w:t>单位工程投标报价汇总表</w:t>
      </w:r>
    </w:p>
    <w:p w14:paraId="4553B425">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8946" w:type="dxa"/>
        <w:tblInd w:w="93" w:type="dxa"/>
        <w:tblLayout w:type="autofit"/>
        <w:tblCellMar>
          <w:top w:w="0" w:type="dxa"/>
          <w:left w:w="108" w:type="dxa"/>
          <w:bottom w:w="0" w:type="dxa"/>
          <w:right w:w="108" w:type="dxa"/>
        </w:tblCellMar>
      </w:tblPr>
      <w:tblGrid>
        <w:gridCol w:w="820"/>
        <w:gridCol w:w="3448"/>
        <w:gridCol w:w="1701"/>
        <w:gridCol w:w="2977"/>
      </w:tblGrid>
      <w:tr w14:paraId="340C9B4A">
        <w:tblPrEx>
          <w:tblCellMar>
            <w:top w:w="0" w:type="dxa"/>
            <w:left w:w="108" w:type="dxa"/>
            <w:bottom w:w="0" w:type="dxa"/>
            <w:right w:w="108" w:type="dxa"/>
          </w:tblCellMar>
        </w:tblPrEx>
        <w:trPr>
          <w:trHeight w:val="690" w:hRule="atLeast"/>
        </w:trPr>
        <w:tc>
          <w:tcPr>
            <w:tcW w:w="820"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1EF27F6">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3448" w:type="dxa"/>
            <w:tcBorders>
              <w:top w:val="single" w:color="000000" w:sz="8" w:space="0"/>
              <w:left w:val="nil"/>
              <w:bottom w:val="single" w:color="000000" w:sz="4" w:space="0"/>
              <w:right w:val="single" w:color="000000" w:sz="4" w:space="0"/>
            </w:tcBorders>
            <w:shd w:val="clear" w:color="FFFFFF" w:fill="FFFFFF"/>
            <w:noWrap w:val="0"/>
            <w:vAlign w:val="center"/>
          </w:tcPr>
          <w:p w14:paraId="5344F7BB">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汇总内容</w:t>
            </w:r>
          </w:p>
        </w:tc>
        <w:tc>
          <w:tcPr>
            <w:tcW w:w="1701" w:type="dxa"/>
            <w:tcBorders>
              <w:top w:val="single" w:color="000000" w:sz="8" w:space="0"/>
              <w:left w:val="nil"/>
              <w:bottom w:val="single" w:color="000000" w:sz="4" w:space="0"/>
              <w:right w:val="single" w:color="000000" w:sz="4" w:space="0"/>
            </w:tcBorders>
            <w:shd w:val="clear" w:color="FFFFFF" w:fill="FFFFFF"/>
            <w:noWrap w:val="0"/>
            <w:vAlign w:val="center"/>
          </w:tcPr>
          <w:p w14:paraId="1FEFCCD1">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c>
          <w:tcPr>
            <w:tcW w:w="2977" w:type="dxa"/>
            <w:tcBorders>
              <w:top w:val="single" w:color="000000" w:sz="8" w:space="0"/>
              <w:left w:val="nil"/>
              <w:bottom w:val="single" w:color="000000" w:sz="4" w:space="0"/>
              <w:right w:val="single" w:color="000000" w:sz="8" w:space="0"/>
            </w:tcBorders>
            <w:shd w:val="clear" w:color="FFFFFF" w:fill="FFFFFF"/>
            <w:noWrap w:val="0"/>
            <w:vAlign w:val="center"/>
          </w:tcPr>
          <w:p w14:paraId="13386F2F">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其中：材料、设备暂估价（元）</w:t>
            </w:r>
          </w:p>
        </w:tc>
      </w:tr>
      <w:tr w14:paraId="359E27BD">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1E9CEA1">
            <w:pPr>
              <w:widowControl/>
              <w:jc w:val="center"/>
              <w:rPr>
                <w:rFonts w:ascii="宋体" w:hAnsi="宋体" w:cs="Arial"/>
                <w:color w:val="auto"/>
                <w:kern w:val="0"/>
                <w:szCs w:val="21"/>
              </w:rPr>
            </w:pPr>
            <w:r>
              <w:rPr>
                <w:rFonts w:hint="eastAsia" w:ascii="宋体" w:hAnsi="宋体" w:cs="Arial"/>
                <w:color w:val="auto"/>
                <w:kern w:val="0"/>
                <w:szCs w:val="21"/>
              </w:rPr>
              <w:t>1</w:t>
            </w:r>
          </w:p>
        </w:tc>
        <w:tc>
          <w:tcPr>
            <w:tcW w:w="3448" w:type="dxa"/>
            <w:tcBorders>
              <w:top w:val="single" w:color="000000" w:sz="4" w:space="0"/>
              <w:left w:val="nil"/>
              <w:bottom w:val="single" w:color="000000" w:sz="4" w:space="0"/>
              <w:right w:val="single" w:color="000000" w:sz="4" w:space="0"/>
            </w:tcBorders>
            <w:noWrap w:val="0"/>
            <w:vAlign w:val="center"/>
          </w:tcPr>
          <w:p w14:paraId="4983C157">
            <w:pPr>
              <w:widowControl/>
              <w:jc w:val="left"/>
              <w:rPr>
                <w:rFonts w:ascii="宋体" w:hAnsi="宋体" w:cs="Arial"/>
                <w:color w:val="auto"/>
                <w:kern w:val="0"/>
                <w:szCs w:val="21"/>
              </w:rPr>
            </w:pPr>
            <w:r>
              <w:rPr>
                <w:rFonts w:hint="eastAsia" w:ascii="宋体" w:hAnsi="宋体" w:cs="Arial"/>
                <w:color w:val="auto"/>
                <w:kern w:val="0"/>
                <w:szCs w:val="21"/>
              </w:rPr>
              <w:t>分部分项工程费</w:t>
            </w:r>
          </w:p>
        </w:tc>
        <w:tc>
          <w:tcPr>
            <w:tcW w:w="1701" w:type="dxa"/>
            <w:tcBorders>
              <w:top w:val="single" w:color="000000" w:sz="4" w:space="0"/>
              <w:left w:val="nil"/>
              <w:bottom w:val="single" w:color="000000" w:sz="4" w:space="0"/>
              <w:right w:val="single" w:color="000000" w:sz="4" w:space="0"/>
            </w:tcBorders>
            <w:noWrap w:val="0"/>
            <w:vAlign w:val="center"/>
          </w:tcPr>
          <w:p w14:paraId="65CE4A5C">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2E565F4C">
            <w:pPr>
              <w:widowControl/>
              <w:jc w:val="right"/>
              <w:rPr>
                <w:rFonts w:ascii="宋体" w:hAnsi="宋体" w:cs="Arial"/>
                <w:color w:val="auto"/>
                <w:kern w:val="0"/>
                <w:szCs w:val="21"/>
              </w:rPr>
            </w:pPr>
          </w:p>
        </w:tc>
      </w:tr>
      <w:tr w14:paraId="562DF210">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7FE3E0C9">
            <w:pPr>
              <w:widowControl/>
              <w:jc w:val="center"/>
              <w:rPr>
                <w:rFonts w:ascii="宋体" w:hAnsi="宋体" w:cs="Arial"/>
                <w:color w:val="auto"/>
                <w:kern w:val="0"/>
                <w:szCs w:val="21"/>
              </w:rPr>
            </w:pPr>
            <w:r>
              <w:rPr>
                <w:rFonts w:hint="eastAsia" w:ascii="宋体" w:hAnsi="宋体" w:cs="Arial"/>
                <w:color w:val="auto"/>
                <w:kern w:val="0"/>
                <w:szCs w:val="21"/>
              </w:rPr>
              <w:t>2</w:t>
            </w:r>
          </w:p>
        </w:tc>
        <w:tc>
          <w:tcPr>
            <w:tcW w:w="3448" w:type="dxa"/>
            <w:tcBorders>
              <w:top w:val="single" w:color="000000" w:sz="4" w:space="0"/>
              <w:left w:val="nil"/>
              <w:bottom w:val="single" w:color="000000" w:sz="4" w:space="0"/>
              <w:right w:val="single" w:color="000000" w:sz="4" w:space="0"/>
            </w:tcBorders>
            <w:noWrap w:val="0"/>
            <w:vAlign w:val="center"/>
          </w:tcPr>
          <w:p w14:paraId="6E5B1F7F">
            <w:pPr>
              <w:widowControl/>
              <w:jc w:val="left"/>
              <w:rPr>
                <w:rFonts w:ascii="宋体" w:hAnsi="宋体" w:cs="Arial"/>
                <w:color w:val="auto"/>
                <w:kern w:val="0"/>
                <w:szCs w:val="21"/>
              </w:rPr>
            </w:pPr>
            <w:r>
              <w:rPr>
                <w:rFonts w:hint="eastAsia" w:ascii="宋体" w:hAnsi="宋体" w:cs="Arial"/>
                <w:color w:val="auto"/>
                <w:kern w:val="0"/>
                <w:szCs w:val="21"/>
              </w:rPr>
              <w:t>措施项目费</w:t>
            </w:r>
          </w:p>
        </w:tc>
        <w:tc>
          <w:tcPr>
            <w:tcW w:w="1701" w:type="dxa"/>
            <w:tcBorders>
              <w:top w:val="single" w:color="000000" w:sz="4" w:space="0"/>
              <w:left w:val="nil"/>
              <w:bottom w:val="single" w:color="000000" w:sz="4" w:space="0"/>
              <w:right w:val="single" w:color="000000" w:sz="4" w:space="0"/>
            </w:tcBorders>
            <w:noWrap w:val="0"/>
            <w:vAlign w:val="center"/>
          </w:tcPr>
          <w:p w14:paraId="36381FC3">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7C9F2E03">
            <w:pPr>
              <w:widowControl/>
              <w:jc w:val="right"/>
              <w:rPr>
                <w:rFonts w:ascii="宋体" w:hAnsi="宋体" w:cs="Arial"/>
                <w:color w:val="auto"/>
                <w:kern w:val="0"/>
                <w:szCs w:val="21"/>
              </w:rPr>
            </w:pPr>
          </w:p>
        </w:tc>
      </w:tr>
      <w:tr w14:paraId="4BDDCCCF">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3A237364">
            <w:pPr>
              <w:widowControl/>
              <w:jc w:val="center"/>
              <w:rPr>
                <w:rFonts w:ascii="宋体" w:hAnsi="宋体" w:cs="Arial"/>
                <w:color w:val="auto"/>
                <w:kern w:val="0"/>
                <w:szCs w:val="21"/>
              </w:rPr>
            </w:pPr>
          </w:p>
        </w:tc>
        <w:tc>
          <w:tcPr>
            <w:tcW w:w="3448" w:type="dxa"/>
            <w:tcBorders>
              <w:top w:val="single" w:color="000000" w:sz="4" w:space="0"/>
              <w:left w:val="nil"/>
              <w:bottom w:val="single" w:color="000000" w:sz="4" w:space="0"/>
              <w:right w:val="single" w:color="000000" w:sz="4" w:space="0"/>
            </w:tcBorders>
            <w:noWrap w:val="0"/>
            <w:vAlign w:val="center"/>
          </w:tcPr>
          <w:p w14:paraId="0052A690">
            <w:pPr>
              <w:widowControl/>
              <w:jc w:val="left"/>
              <w:rPr>
                <w:rFonts w:ascii="宋体" w:hAnsi="宋体" w:cs="Arial"/>
                <w:color w:val="auto"/>
                <w:kern w:val="0"/>
                <w:szCs w:val="21"/>
              </w:rPr>
            </w:pPr>
          </w:p>
        </w:tc>
        <w:tc>
          <w:tcPr>
            <w:tcW w:w="1701" w:type="dxa"/>
            <w:tcBorders>
              <w:top w:val="single" w:color="000000" w:sz="4" w:space="0"/>
              <w:left w:val="nil"/>
              <w:bottom w:val="single" w:color="000000" w:sz="4" w:space="0"/>
              <w:right w:val="single" w:color="000000" w:sz="4" w:space="0"/>
            </w:tcBorders>
            <w:noWrap w:val="0"/>
            <w:vAlign w:val="center"/>
          </w:tcPr>
          <w:p w14:paraId="55B631A5">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66E93736">
            <w:pPr>
              <w:widowControl/>
              <w:jc w:val="right"/>
              <w:rPr>
                <w:rFonts w:ascii="宋体" w:hAnsi="宋体" w:cs="Arial"/>
                <w:color w:val="auto"/>
                <w:kern w:val="0"/>
                <w:szCs w:val="21"/>
              </w:rPr>
            </w:pPr>
          </w:p>
        </w:tc>
      </w:tr>
      <w:tr w14:paraId="7AEBC3E7">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324E9841">
            <w:pPr>
              <w:widowControl/>
              <w:jc w:val="center"/>
              <w:rPr>
                <w:rFonts w:ascii="宋体" w:hAnsi="宋体" w:cs="Arial"/>
                <w:color w:val="auto"/>
                <w:kern w:val="0"/>
                <w:szCs w:val="21"/>
              </w:rPr>
            </w:pPr>
          </w:p>
        </w:tc>
        <w:tc>
          <w:tcPr>
            <w:tcW w:w="3448" w:type="dxa"/>
            <w:tcBorders>
              <w:top w:val="single" w:color="000000" w:sz="4" w:space="0"/>
              <w:left w:val="nil"/>
              <w:bottom w:val="single" w:color="000000" w:sz="4" w:space="0"/>
              <w:right w:val="single" w:color="000000" w:sz="4" w:space="0"/>
            </w:tcBorders>
            <w:noWrap w:val="0"/>
            <w:vAlign w:val="center"/>
          </w:tcPr>
          <w:p w14:paraId="09E4D679">
            <w:pPr>
              <w:widowControl/>
              <w:jc w:val="left"/>
              <w:rPr>
                <w:rFonts w:ascii="宋体" w:hAnsi="宋体" w:cs="Arial"/>
                <w:color w:val="auto"/>
                <w:kern w:val="0"/>
                <w:szCs w:val="21"/>
              </w:rPr>
            </w:pPr>
          </w:p>
        </w:tc>
        <w:tc>
          <w:tcPr>
            <w:tcW w:w="1701" w:type="dxa"/>
            <w:tcBorders>
              <w:top w:val="single" w:color="000000" w:sz="4" w:space="0"/>
              <w:left w:val="nil"/>
              <w:bottom w:val="single" w:color="000000" w:sz="4" w:space="0"/>
              <w:right w:val="single" w:color="000000" w:sz="4" w:space="0"/>
            </w:tcBorders>
            <w:noWrap w:val="0"/>
            <w:vAlign w:val="center"/>
          </w:tcPr>
          <w:p w14:paraId="3569FF9F">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5E02B250">
            <w:pPr>
              <w:widowControl/>
              <w:jc w:val="right"/>
              <w:rPr>
                <w:rFonts w:ascii="宋体" w:hAnsi="宋体" w:cs="Arial"/>
                <w:color w:val="auto"/>
                <w:kern w:val="0"/>
                <w:szCs w:val="21"/>
              </w:rPr>
            </w:pPr>
          </w:p>
        </w:tc>
      </w:tr>
      <w:tr w14:paraId="42E7F895">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26AFCD39">
            <w:pPr>
              <w:widowControl/>
              <w:jc w:val="center"/>
              <w:rPr>
                <w:rFonts w:ascii="宋体" w:hAnsi="宋体" w:cs="Arial"/>
                <w:color w:val="auto"/>
                <w:kern w:val="0"/>
                <w:szCs w:val="21"/>
              </w:rPr>
            </w:pPr>
          </w:p>
        </w:tc>
        <w:tc>
          <w:tcPr>
            <w:tcW w:w="3448" w:type="dxa"/>
            <w:tcBorders>
              <w:top w:val="single" w:color="000000" w:sz="4" w:space="0"/>
              <w:left w:val="nil"/>
              <w:bottom w:val="single" w:color="000000" w:sz="4" w:space="0"/>
              <w:right w:val="single" w:color="000000" w:sz="4" w:space="0"/>
            </w:tcBorders>
            <w:noWrap w:val="0"/>
            <w:vAlign w:val="center"/>
          </w:tcPr>
          <w:p w14:paraId="459EED06">
            <w:pPr>
              <w:widowControl/>
              <w:jc w:val="left"/>
              <w:rPr>
                <w:rFonts w:ascii="宋体" w:hAnsi="宋体" w:cs="Arial"/>
                <w:color w:val="auto"/>
                <w:kern w:val="0"/>
                <w:szCs w:val="21"/>
              </w:rPr>
            </w:pPr>
          </w:p>
        </w:tc>
        <w:tc>
          <w:tcPr>
            <w:tcW w:w="1701" w:type="dxa"/>
            <w:tcBorders>
              <w:top w:val="single" w:color="000000" w:sz="4" w:space="0"/>
              <w:left w:val="nil"/>
              <w:bottom w:val="single" w:color="000000" w:sz="4" w:space="0"/>
              <w:right w:val="single" w:color="000000" w:sz="4" w:space="0"/>
            </w:tcBorders>
            <w:noWrap w:val="0"/>
            <w:vAlign w:val="center"/>
          </w:tcPr>
          <w:p w14:paraId="154A1016">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1FDB0BAC">
            <w:pPr>
              <w:widowControl/>
              <w:jc w:val="right"/>
              <w:rPr>
                <w:rFonts w:ascii="宋体" w:hAnsi="宋体" w:cs="Arial"/>
                <w:color w:val="auto"/>
                <w:kern w:val="0"/>
                <w:szCs w:val="21"/>
              </w:rPr>
            </w:pPr>
          </w:p>
        </w:tc>
      </w:tr>
      <w:tr w14:paraId="6EA6132A">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B1E371E">
            <w:pPr>
              <w:widowControl/>
              <w:jc w:val="center"/>
              <w:rPr>
                <w:rFonts w:ascii="宋体" w:hAnsi="宋体" w:cs="Arial"/>
                <w:color w:val="auto"/>
                <w:kern w:val="0"/>
                <w:szCs w:val="21"/>
              </w:rPr>
            </w:pPr>
            <w:r>
              <w:rPr>
                <w:rFonts w:hint="eastAsia" w:ascii="宋体" w:hAnsi="宋体" w:cs="Arial"/>
                <w:color w:val="auto"/>
                <w:kern w:val="0"/>
                <w:szCs w:val="21"/>
              </w:rPr>
              <w:t>3</w:t>
            </w:r>
          </w:p>
        </w:tc>
        <w:tc>
          <w:tcPr>
            <w:tcW w:w="3448" w:type="dxa"/>
            <w:tcBorders>
              <w:top w:val="single" w:color="000000" w:sz="4" w:space="0"/>
              <w:left w:val="nil"/>
              <w:bottom w:val="single" w:color="000000" w:sz="4" w:space="0"/>
              <w:right w:val="single" w:color="000000" w:sz="4" w:space="0"/>
            </w:tcBorders>
            <w:noWrap w:val="0"/>
            <w:vAlign w:val="center"/>
          </w:tcPr>
          <w:p w14:paraId="5EECB501">
            <w:pPr>
              <w:widowControl/>
              <w:jc w:val="left"/>
              <w:rPr>
                <w:rFonts w:ascii="宋体" w:hAnsi="宋体" w:cs="Arial"/>
                <w:color w:val="auto"/>
                <w:kern w:val="0"/>
                <w:szCs w:val="21"/>
              </w:rPr>
            </w:pPr>
            <w:r>
              <w:rPr>
                <w:rFonts w:hint="eastAsia" w:ascii="宋体" w:hAnsi="宋体" w:cs="Arial"/>
                <w:color w:val="auto"/>
                <w:kern w:val="0"/>
                <w:szCs w:val="21"/>
              </w:rPr>
              <w:t>不可竞争费</w:t>
            </w:r>
          </w:p>
        </w:tc>
        <w:tc>
          <w:tcPr>
            <w:tcW w:w="1701" w:type="dxa"/>
            <w:tcBorders>
              <w:top w:val="single" w:color="000000" w:sz="4" w:space="0"/>
              <w:left w:val="nil"/>
              <w:bottom w:val="single" w:color="000000" w:sz="4" w:space="0"/>
              <w:right w:val="single" w:color="000000" w:sz="4" w:space="0"/>
            </w:tcBorders>
            <w:noWrap w:val="0"/>
            <w:vAlign w:val="center"/>
          </w:tcPr>
          <w:p w14:paraId="2C8C528F">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1D24BF33">
            <w:pPr>
              <w:widowControl/>
              <w:jc w:val="right"/>
              <w:rPr>
                <w:rFonts w:ascii="宋体" w:hAnsi="宋体" w:cs="Arial"/>
                <w:color w:val="auto"/>
                <w:kern w:val="0"/>
                <w:szCs w:val="21"/>
              </w:rPr>
            </w:pPr>
          </w:p>
        </w:tc>
      </w:tr>
      <w:tr w14:paraId="277C0DDB">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5FF55CC">
            <w:pPr>
              <w:widowControl/>
              <w:jc w:val="center"/>
              <w:rPr>
                <w:rFonts w:ascii="宋体" w:hAnsi="宋体" w:cs="Arial"/>
                <w:color w:val="auto"/>
                <w:kern w:val="0"/>
                <w:szCs w:val="21"/>
              </w:rPr>
            </w:pPr>
            <w:r>
              <w:rPr>
                <w:rFonts w:hint="eastAsia" w:ascii="宋体" w:hAnsi="宋体" w:cs="Arial"/>
                <w:color w:val="auto"/>
                <w:kern w:val="0"/>
                <w:szCs w:val="21"/>
              </w:rPr>
              <w:t>3.1</w:t>
            </w:r>
          </w:p>
        </w:tc>
        <w:tc>
          <w:tcPr>
            <w:tcW w:w="3448" w:type="dxa"/>
            <w:tcBorders>
              <w:top w:val="single" w:color="000000" w:sz="4" w:space="0"/>
              <w:left w:val="nil"/>
              <w:bottom w:val="single" w:color="000000" w:sz="4" w:space="0"/>
              <w:right w:val="single" w:color="000000" w:sz="4" w:space="0"/>
            </w:tcBorders>
            <w:noWrap w:val="0"/>
            <w:vAlign w:val="center"/>
          </w:tcPr>
          <w:p w14:paraId="26EC9A5A">
            <w:pPr>
              <w:widowControl/>
              <w:jc w:val="left"/>
              <w:rPr>
                <w:rFonts w:ascii="宋体" w:hAnsi="宋体" w:cs="Arial"/>
                <w:color w:val="auto"/>
                <w:kern w:val="0"/>
                <w:szCs w:val="21"/>
              </w:rPr>
            </w:pPr>
            <w:r>
              <w:rPr>
                <w:rFonts w:hint="eastAsia" w:ascii="宋体" w:hAnsi="宋体" w:cs="Arial"/>
                <w:color w:val="auto"/>
                <w:kern w:val="0"/>
                <w:szCs w:val="21"/>
              </w:rPr>
              <w:t xml:space="preserve">  安全文明施工费</w:t>
            </w:r>
          </w:p>
        </w:tc>
        <w:tc>
          <w:tcPr>
            <w:tcW w:w="1701" w:type="dxa"/>
            <w:tcBorders>
              <w:top w:val="single" w:color="000000" w:sz="4" w:space="0"/>
              <w:left w:val="nil"/>
              <w:bottom w:val="single" w:color="000000" w:sz="4" w:space="0"/>
              <w:right w:val="single" w:color="000000" w:sz="4" w:space="0"/>
            </w:tcBorders>
            <w:noWrap w:val="0"/>
            <w:vAlign w:val="center"/>
          </w:tcPr>
          <w:p w14:paraId="7758A513">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3DDA8B75">
            <w:pPr>
              <w:widowControl/>
              <w:jc w:val="right"/>
              <w:rPr>
                <w:rFonts w:ascii="宋体" w:hAnsi="宋体" w:cs="Arial"/>
                <w:color w:val="auto"/>
                <w:kern w:val="0"/>
                <w:szCs w:val="21"/>
              </w:rPr>
            </w:pPr>
          </w:p>
        </w:tc>
      </w:tr>
      <w:tr w14:paraId="51220B75">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459BEB4B">
            <w:pPr>
              <w:widowControl/>
              <w:jc w:val="center"/>
              <w:rPr>
                <w:rFonts w:ascii="宋体" w:hAnsi="宋体" w:cs="Arial"/>
                <w:color w:val="auto"/>
                <w:kern w:val="0"/>
                <w:szCs w:val="21"/>
              </w:rPr>
            </w:pPr>
            <w:r>
              <w:rPr>
                <w:rFonts w:hint="eastAsia" w:ascii="宋体" w:hAnsi="宋体" w:cs="Arial"/>
                <w:color w:val="auto"/>
                <w:kern w:val="0"/>
                <w:szCs w:val="21"/>
              </w:rPr>
              <w:t>3.2</w:t>
            </w:r>
          </w:p>
        </w:tc>
        <w:tc>
          <w:tcPr>
            <w:tcW w:w="3448" w:type="dxa"/>
            <w:tcBorders>
              <w:top w:val="single" w:color="000000" w:sz="4" w:space="0"/>
              <w:left w:val="nil"/>
              <w:bottom w:val="single" w:color="000000" w:sz="4" w:space="0"/>
              <w:right w:val="single" w:color="000000" w:sz="4" w:space="0"/>
            </w:tcBorders>
            <w:noWrap w:val="0"/>
            <w:vAlign w:val="center"/>
          </w:tcPr>
          <w:p w14:paraId="16AFAEBD">
            <w:pPr>
              <w:widowControl/>
              <w:jc w:val="left"/>
              <w:rPr>
                <w:rFonts w:ascii="宋体" w:hAnsi="宋体" w:cs="Arial"/>
                <w:color w:val="auto"/>
                <w:kern w:val="0"/>
                <w:szCs w:val="21"/>
              </w:rPr>
            </w:pPr>
            <w:r>
              <w:rPr>
                <w:rFonts w:hint="eastAsia" w:ascii="宋体" w:hAnsi="宋体" w:cs="Arial"/>
                <w:color w:val="auto"/>
                <w:kern w:val="0"/>
                <w:szCs w:val="21"/>
              </w:rPr>
              <w:t xml:space="preserve">  工程排污费</w:t>
            </w:r>
          </w:p>
        </w:tc>
        <w:tc>
          <w:tcPr>
            <w:tcW w:w="1701" w:type="dxa"/>
            <w:tcBorders>
              <w:top w:val="single" w:color="000000" w:sz="4" w:space="0"/>
              <w:left w:val="nil"/>
              <w:bottom w:val="single" w:color="000000" w:sz="4" w:space="0"/>
              <w:right w:val="single" w:color="000000" w:sz="4" w:space="0"/>
            </w:tcBorders>
            <w:noWrap w:val="0"/>
            <w:vAlign w:val="center"/>
          </w:tcPr>
          <w:p w14:paraId="6DF39CD9">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2628D149">
            <w:pPr>
              <w:widowControl/>
              <w:jc w:val="right"/>
              <w:rPr>
                <w:rFonts w:ascii="宋体" w:hAnsi="宋体" w:cs="Arial"/>
                <w:color w:val="auto"/>
                <w:kern w:val="0"/>
                <w:szCs w:val="21"/>
              </w:rPr>
            </w:pPr>
          </w:p>
        </w:tc>
      </w:tr>
      <w:tr w14:paraId="744F75C0">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CF29CB2">
            <w:pPr>
              <w:widowControl/>
              <w:jc w:val="center"/>
              <w:rPr>
                <w:rFonts w:hint="eastAsia" w:ascii="宋体" w:hAnsi="宋体" w:cs="Arial"/>
                <w:color w:val="auto"/>
                <w:kern w:val="0"/>
                <w:szCs w:val="21"/>
              </w:rPr>
            </w:pPr>
          </w:p>
        </w:tc>
        <w:tc>
          <w:tcPr>
            <w:tcW w:w="3448" w:type="dxa"/>
            <w:tcBorders>
              <w:top w:val="single" w:color="000000" w:sz="4" w:space="0"/>
              <w:left w:val="nil"/>
              <w:bottom w:val="single" w:color="000000" w:sz="4" w:space="0"/>
              <w:right w:val="single" w:color="000000" w:sz="4" w:space="0"/>
            </w:tcBorders>
            <w:noWrap w:val="0"/>
            <w:vAlign w:val="center"/>
          </w:tcPr>
          <w:p w14:paraId="6E6E5893">
            <w:pPr>
              <w:widowControl/>
              <w:jc w:val="left"/>
              <w:rPr>
                <w:rFonts w:hint="eastAsia" w:ascii="宋体" w:hAnsi="宋体" w:cs="Arial"/>
                <w:color w:val="auto"/>
                <w:kern w:val="0"/>
                <w:szCs w:val="21"/>
              </w:rPr>
            </w:pPr>
          </w:p>
        </w:tc>
        <w:tc>
          <w:tcPr>
            <w:tcW w:w="1701" w:type="dxa"/>
            <w:tcBorders>
              <w:top w:val="single" w:color="000000" w:sz="4" w:space="0"/>
              <w:left w:val="nil"/>
              <w:bottom w:val="single" w:color="000000" w:sz="4" w:space="0"/>
              <w:right w:val="single" w:color="000000" w:sz="4" w:space="0"/>
            </w:tcBorders>
            <w:noWrap w:val="0"/>
            <w:vAlign w:val="center"/>
          </w:tcPr>
          <w:p w14:paraId="2B32C595">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2AEB1E31">
            <w:pPr>
              <w:widowControl/>
              <w:jc w:val="right"/>
              <w:rPr>
                <w:rFonts w:ascii="宋体" w:hAnsi="宋体" w:cs="Arial"/>
                <w:color w:val="auto"/>
                <w:kern w:val="0"/>
                <w:szCs w:val="21"/>
              </w:rPr>
            </w:pPr>
          </w:p>
        </w:tc>
      </w:tr>
      <w:tr w14:paraId="42D40F70">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15B238CA">
            <w:pPr>
              <w:widowControl/>
              <w:jc w:val="center"/>
              <w:rPr>
                <w:rFonts w:ascii="宋体" w:hAnsi="宋体" w:cs="Arial"/>
                <w:color w:val="auto"/>
                <w:kern w:val="0"/>
                <w:szCs w:val="21"/>
              </w:rPr>
            </w:pPr>
            <w:r>
              <w:rPr>
                <w:rFonts w:hint="eastAsia" w:ascii="宋体" w:hAnsi="宋体" w:cs="Arial"/>
                <w:color w:val="auto"/>
                <w:kern w:val="0"/>
                <w:szCs w:val="21"/>
              </w:rPr>
              <w:t>4</w:t>
            </w:r>
          </w:p>
        </w:tc>
        <w:tc>
          <w:tcPr>
            <w:tcW w:w="3448" w:type="dxa"/>
            <w:tcBorders>
              <w:top w:val="single" w:color="000000" w:sz="4" w:space="0"/>
              <w:left w:val="nil"/>
              <w:bottom w:val="single" w:color="000000" w:sz="4" w:space="0"/>
              <w:right w:val="single" w:color="000000" w:sz="4" w:space="0"/>
            </w:tcBorders>
            <w:noWrap w:val="0"/>
            <w:vAlign w:val="center"/>
          </w:tcPr>
          <w:p w14:paraId="4851A1DD">
            <w:pPr>
              <w:widowControl/>
              <w:jc w:val="left"/>
              <w:rPr>
                <w:rFonts w:ascii="宋体" w:hAnsi="宋体" w:cs="Arial"/>
                <w:color w:val="auto"/>
                <w:kern w:val="0"/>
                <w:szCs w:val="21"/>
              </w:rPr>
            </w:pPr>
            <w:r>
              <w:rPr>
                <w:rFonts w:hint="eastAsia" w:ascii="宋体" w:hAnsi="宋体" w:cs="Arial"/>
                <w:color w:val="auto"/>
                <w:kern w:val="0"/>
                <w:szCs w:val="21"/>
              </w:rPr>
              <w:t>其他项目</w:t>
            </w:r>
          </w:p>
        </w:tc>
        <w:tc>
          <w:tcPr>
            <w:tcW w:w="1701" w:type="dxa"/>
            <w:tcBorders>
              <w:top w:val="single" w:color="000000" w:sz="4" w:space="0"/>
              <w:left w:val="nil"/>
              <w:bottom w:val="single" w:color="000000" w:sz="4" w:space="0"/>
              <w:right w:val="single" w:color="000000" w:sz="4" w:space="0"/>
            </w:tcBorders>
            <w:noWrap w:val="0"/>
            <w:vAlign w:val="center"/>
          </w:tcPr>
          <w:p w14:paraId="73C7F543">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3FFCB3FC">
            <w:pPr>
              <w:widowControl/>
              <w:jc w:val="right"/>
              <w:rPr>
                <w:rFonts w:ascii="宋体" w:hAnsi="宋体" w:cs="Arial"/>
                <w:color w:val="auto"/>
                <w:kern w:val="0"/>
                <w:szCs w:val="21"/>
              </w:rPr>
            </w:pPr>
          </w:p>
        </w:tc>
      </w:tr>
      <w:tr w14:paraId="4D65695B">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B3AE51A">
            <w:pPr>
              <w:widowControl/>
              <w:jc w:val="center"/>
              <w:rPr>
                <w:rFonts w:ascii="宋体" w:hAnsi="宋体" w:cs="Arial"/>
                <w:color w:val="auto"/>
                <w:kern w:val="0"/>
                <w:szCs w:val="21"/>
              </w:rPr>
            </w:pPr>
            <w:r>
              <w:rPr>
                <w:rFonts w:hint="eastAsia" w:ascii="宋体" w:hAnsi="宋体" w:cs="Arial"/>
                <w:color w:val="auto"/>
                <w:kern w:val="0"/>
                <w:szCs w:val="21"/>
              </w:rPr>
              <w:t>4.1</w:t>
            </w:r>
          </w:p>
        </w:tc>
        <w:tc>
          <w:tcPr>
            <w:tcW w:w="3448" w:type="dxa"/>
            <w:tcBorders>
              <w:top w:val="single" w:color="000000" w:sz="4" w:space="0"/>
              <w:left w:val="nil"/>
              <w:bottom w:val="single" w:color="000000" w:sz="4" w:space="0"/>
              <w:right w:val="single" w:color="000000" w:sz="4" w:space="0"/>
            </w:tcBorders>
            <w:noWrap w:val="0"/>
            <w:vAlign w:val="center"/>
          </w:tcPr>
          <w:p w14:paraId="5ECBF110">
            <w:pPr>
              <w:widowControl/>
              <w:jc w:val="left"/>
              <w:rPr>
                <w:rFonts w:ascii="宋体" w:hAnsi="宋体" w:cs="Arial"/>
                <w:color w:val="auto"/>
                <w:kern w:val="0"/>
                <w:szCs w:val="21"/>
              </w:rPr>
            </w:pPr>
            <w:r>
              <w:rPr>
                <w:rFonts w:hint="eastAsia" w:ascii="宋体" w:hAnsi="宋体" w:cs="Arial"/>
                <w:color w:val="auto"/>
                <w:kern w:val="0"/>
                <w:szCs w:val="21"/>
              </w:rPr>
              <w:t xml:space="preserve">  暂列金额</w:t>
            </w:r>
          </w:p>
        </w:tc>
        <w:tc>
          <w:tcPr>
            <w:tcW w:w="1701" w:type="dxa"/>
            <w:tcBorders>
              <w:top w:val="single" w:color="000000" w:sz="4" w:space="0"/>
              <w:left w:val="nil"/>
              <w:bottom w:val="single" w:color="000000" w:sz="4" w:space="0"/>
              <w:right w:val="single" w:color="000000" w:sz="4" w:space="0"/>
            </w:tcBorders>
            <w:noWrap w:val="0"/>
            <w:vAlign w:val="center"/>
          </w:tcPr>
          <w:p w14:paraId="3D9305FD">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52022123">
            <w:pPr>
              <w:widowControl/>
              <w:jc w:val="right"/>
              <w:rPr>
                <w:rFonts w:ascii="宋体" w:hAnsi="宋体" w:cs="Arial"/>
                <w:color w:val="auto"/>
                <w:kern w:val="0"/>
                <w:szCs w:val="21"/>
              </w:rPr>
            </w:pPr>
          </w:p>
        </w:tc>
      </w:tr>
      <w:tr w14:paraId="57A22C65">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99A6C98">
            <w:pPr>
              <w:widowControl/>
              <w:jc w:val="center"/>
              <w:rPr>
                <w:rFonts w:ascii="宋体" w:hAnsi="宋体" w:cs="Arial"/>
                <w:color w:val="auto"/>
                <w:kern w:val="0"/>
                <w:szCs w:val="21"/>
              </w:rPr>
            </w:pPr>
            <w:r>
              <w:rPr>
                <w:rFonts w:hint="eastAsia" w:ascii="宋体" w:hAnsi="宋体" w:cs="Arial"/>
                <w:color w:val="auto"/>
                <w:kern w:val="0"/>
                <w:szCs w:val="21"/>
              </w:rPr>
              <w:t>4.2</w:t>
            </w:r>
          </w:p>
        </w:tc>
        <w:tc>
          <w:tcPr>
            <w:tcW w:w="3448" w:type="dxa"/>
            <w:tcBorders>
              <w:top w:val="single" w:color="000000" w:sz="4" w:space="0"/>
              <w:left w:val="nil"/>
              <w:bottom w:val="single" w:color="000000" w:sz="4" w:space="0"/>
              <w:right w:val="single" w:color="000000" w:sz="4" w:space="0"/>
            </w:tcBorders>
            <w:noWrap w:val="0"/>
            <w:vAlign w:val="center"/>
          </w:tcPr>
          <w:p w14:paraId="4B68BA0C">
            <w:pPr>
              <w:widowControl/>
              <w:jc w:val="left"/>
              <w:rPr>
                <w:rFonts w:ascii="宋体" w:hAnsi="宋体" w:cs="Arial"/>
                <w:color w:val="auto"/>
                <w:kern w:val="0"/>
                <w:szCs w:val="21"/>
              </w:rPr>
            </w:pPr>
            <w:r>
              <w:rPr>
                <w:rFonts w:hint="eastAsia" w:ascii="宋体" w:hAnsi="宋体" w:cs="Arial"/>
                <w:color w:val="auto"/>
                <w:kern w:val="0"/>
                <w:szCs w:val="21"/>
              </w:rPr>
              <w:t xml:space="preserve">  专业工程暂估价</w:t>
            </w:r>
          </w:p>
        </w:tc>
        <w:tc>
          <w:tcPr>
            <w:tcW w:w="1701" w:type="dxa"/>
            <w:tcBorders>
              <w:top w:val="single" w:color="000000" w:sz="4" w:space="0"/>
              <w:left w:val="nil"/>
              <w:bottom w:val="single" w:color="000000" w:sz="4" w:space="0"/>
              <w:right w:val="single" w:color="000000" w:sz="4" w:space="0"/>
            </w:tcBorders>
            <w:noWrap w:val="0"/>
            <w:vAlign w:val="center"/>
          </w:tcPr>
          <w:p w14:paraId="729F8F2E">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13A34150">
            <w:pPr>
              <w:widowControl/>
              <w:jc w:val="right"/>
              <w:rPr>
                <w:rFonts w:ascii="宋体" w:hAnsi="宋体" w:cs="Arial"/>
                <w:color w:val="auto"/>
                <w:kern w:val="0"/>
                <w:szCs w:val="21"/>
              </w:rPr>
            </w:pPr>
          </w:p>
        </w:tc>
      </w:tr>
      <w:tr w14:paraId="3C91B0D6">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7979F44E">
            <w:pPr>
              <w:widowControl/>
              <w:jc w:val="center"/>
              <w:rPr>
                <w:rFonts w:ascii="宋体" w:hAnsi="宋体" w:cs="Arial"/>
                <w:color w:val="auto"/>
                <w:kern w:val="0"/>
                <w:szCs w:val="21"/>
              </w:rPr>
            </w:pPr>
            <w:r>
              <w:rPr>
                <w:rFonts w:hint="eastAsia" w:ascii="宋体" w:hAnsi="宋体" w:cs="Arial"/>
                <w:color w:val="auto"/>
                <w:kern w:val="0"/>
                <w:szCs w:val="21"/>
              </w:rPr>
              <w:t>4.3</w:t>
            </w:r>
          </w:p>
        </w:tc>
        <w:tc>
          <w:tcPr>
            <w:tcW w:w="3448" w:type="dxa"/>
            <w:tcBorders>
              <w:top w:val="single" w:color="000000" w:sz="4" w:space="0"/>
              <w:left w:val="nil"/>
              <w:bottom w:val="single" w:color="000000" w:sz="4" w:space="0"/>
              <w:right w:val="single" w:color="000000" w:sz="4" w:space="0"/>
            </w:tcBorders>
            <w:noWrap w:val="0"/>
            <w:vAlign w:val="center"/>
          </w:tcPr>
          <w:p w14:paraId="73554250">
            <w:pPr>
              <w:widowControl/>
              <w:jc w:val="left"/>
              <w:rPr>
                <w:rFonts w:ascii="宋体" w:hAnsi="宋体" w:cs="Arial"/>
                <w:color w:val="auto"/>
                <w:kern w:val="0"/>
                <w:szCs w:val="21"/>
              </w:rPr>
            </w:pPr>
            <w:r>
              <w:rPr>
                <w:rFonts w:hint="eastAsia" w:ascii="宋体" w:hAnsi="宋体" w:cs="Arial"/>
                <w:color w:val="auto"/>
                <w:kern w:val="0"/>
                <w:szCs w:val="21"/>
              </w:rPr>
              <w:t xml:space="preserve">  计日工</w:t>
            </w:r>
          </w:p>
        </w:tc>
        <w:tc>
          <w:tcPr>
            <w:tcW w:w="1701" w:type="dxa"/>
            <w:tcBorders>
              <w:top w:val="single" w:color="000000" w:sz="4" w:space="0"/>
              <w:left w:val="nil"/>
              <w:bottom w:val="single" w:color="000000" w:sz="4" w:space="0"/>
              <w:right w:val="single" w:color="000000" w:sz="4" w:space="0"/>
            </w:tcBorders>
            <w:noWrap w:val="0"/>
            <w:vAlign w:val="center"/>
          </w:tcPr>
          <w:p w14:paraId="77B78992">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2C966B5E">
            <w:pPr>
              <w:widowControl/>
              <w:jc w:val="right"/>
              <w:rPr>
                <w:rFonts w:ascii="宋体" w:hAnsi="宋体" w:cs="Arial"/>
                <w:color w:val="auto"/>
                <w:kern w:val="0"/>
                <w:szCs w:val="21"/>
              </w:rPr>
            </w:pPr>
          </w:p>
        </w:tc>
      </w:tr>
      <w:tr w14:paraId="33811CF2">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527D7DEB">
            <w:pPr>
              <w:widowControl/>
              <w:jc w:val="center"/>
              <w:rPr>
                <w:rFonts w:ascii="宋体" w:hAnsi="宋体" w:cs="Arial"/>
                <w:color w:val="auto"/>
                <w:kern w:val="0"/>
                <w:szCs w:val="21"/>
              </w:rPr>
            </w:pPr>
            <w:r>
              <w:rPr>
                <w:rFonts w:hint="eastAsia" w:ascii="宋体" w:hAnsi="宋体" w:cs="Arial"/>
                <w:color w:val="auto"/>
                <w:kern w:val="0"/>
                <w:szCs w:val="21"/>
              </w:rPr>
              <w:t>4.4</w:t>
            </w:r>
          </w:p>
        </w:tc>
        <w:tc>
          <w:tcPr>
            <w:tcW w:w="3448" w:type="dxa"/>
            <w:tcBorders>
              <w:top w:val="single" w:color="000000" w:sz="4" w:space="0"/>
              <w:left w:val="nil"/>
              <w:bottom w:val="single" w:color="000000" w:sz="4" w:space="0"/>
              <w:right w:val="single" w:color="000000" w:sz="4" w:space="0"/>
            </w:tcBorders>
            <w:noWrap w:val="0"/>
            <w:vAlign w:val="center"/>
          </w:tcPr>
          <w:p w14:paraId="427D861C">
            <w:pPr>
              <w:widowControl/>
              <w:jc w:val="left"/>
              <w:rPr>
                <w:rFonts w:ascii="宋体" w:hAnsi="宋体" w:cs="Arial"/>
                <w:color w:val="auto"/>
                <w:kern w:val="0"/>
                <w:szCs w:val="21"/>
              </w:rPr>
            </w:pPr>
            <w:r>
              <w:rPr>
                <w:rFonts w:hint="eastAsia" w:ascii="宋体" w:hAnsi="宋体" w:cs="Arial"/>
                <w:color w:val="auto"/>
                <w:kern w:val="0"/>
                <w:szCs w:val="21"/>
              </w:rPr>
              <w:t xml:space="preserve">  总承包服务费</w:t>
            </w:r>
          </w:p>
        </w:tc>
        <w:tc>
          <w:tcPr>
            <w:tcW w:w="1701" w:type="dxa"/>
            <w:tcBorders>
              <w:top w:val="single" w:color="000000" w:sz="4" w:space="0"/>
              <w:left w:val="nil"/>
              <w:bottom w:val="single" w:color="000000" w:sz="4" w:space="0"/>
              <w:right w:val="single" w:color="000000" w:sz="4" w:space="0"/>
            </w:tcBorders>
            <w:noWrap w:val="0"/>
            <w:vAlign w:val="center"/>
          </w:tcPr>
          <w:p w14:paraId="70081610">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6BE45D33">
            <w:pPr>
              <w:widowControl/>
              <w:jc w:val="right"/>
              <w:rPr>
                <w:rFonts w:ascii="宋体" w:hAnsi="宋体" w:cs="Arial"/>
                <w:color w:val="auto"/>
                <w:kern w:val="0"/>
                <w:szCs w:val="21"/>
              </w:rPr>
            </w:pPr>
          </w:p>
        </w:tc>
      </w:tr>
      <w:tr w14:paraId="67211502">
        <w:tblPrEx>
          <w:tblCellMar>
            <w:top w:w="0" w:type="dxa"/>
            <w:left w:w="108" w:type="dxa"/>
            <w:bottom w:w="0" w:type="dxa"/>
            <w:right w:w="108" w:type="dxa"/>
          </w:tblCellMar>
        </w:tblPrEx>
        <w:trPr>
          <w:trHeight w:val="680" w:hRule="atLeast"/>
        </w:trPr>
        <w:tc>
          <w:tcPr>
            <w:tcW w:w="820" w:type="dxa"/>
            <w:tcBorders>
              <w:top w:val="nil"/>
              <w:left w:val="single" w:color="000000" w:sz="8" w:space="0"/>
              <w:bottom w:val="single" w:color="000000" w:sz="4" w:space="0"/>
              <w:right w:val="single" w:color="000000" w:sz="4" w:space="0"/>
            </w:tcBorders>
            <w:noWrap w:val="0"/>
            <w:vAlign w:val="center"/>
          </w:tcPr>
          <w:p w14:paraId="0A14BAB5">
            <w:pPr>
              <w:widowControl/>
              <w:jc w:val="center"/>
              <w:rPr>
                <w:rFonts w:ascii="宋体" w:hAnsi="宋体" w:cs="Arial"/>
                <w:color w:val="auto"/>
                <w:kern w:val="0"/>
                <w:szCs w:val="21"/>
              </w:rPr>
            </w:pPr>
            <w:r>
              <w:rPr>
                <w:rFonts w:hint="eastAsia" w:ascii="宋体" w:hAnsi="宋体" w:cs="Arial"/>
                <w:color w:val="auto"/>
                <w:kern w:val="0"/>
                <w:szCs w:val="21"/>
              </w:rPr>
              <w:t>5</w:t>
            </w:r>
          </w:p>
        </w:tc>
        <w:tc>
          <w:tcPr>
            <w:tcW w:w="3448" w:type="dxa"/>
            <w:tcBorders>
              <w:top w:val="single" w:color="000000" w:sz="4" w:space="0"/>
              <w:left w:val="nil"/>
              <w:bottom w:val="single" w:color="000000" w:sz="4" w:space="0"/>
              <w:right w:val="single" w:color="000000" w:sz="4" w:space="0"/>
            </w:tcBorders>
            <w:noWrap w:val="0"/>
            <w:vAlign w:val="center"/>
          </w:tcPr>
          <w:p w14:paraId="247D5FB7">
            <w:pPr>
              <w:widowControl/>
              <w:jc w:val="left"/>
              <w:rPr>
                <w:rFonts w:ascii="宋体" w:hAnsi="宋体" w:cs="Arial"/>
                <w:color w:val="auto"/>
                <w:kern w:val="0"/>
                <w:szCs w:val="21"/>
              </w:rPr>
            </w:pPr>
            <w:r>
              <w:rPr>
                <w:rFonts w:hint="eastAsia" w:ascii="宋体" w:hAnsi="宋体" w:cs="Arial"/>
                <w:color w:val="auto"/>
                <w:kern w:val="0"/>
                <w:szCs w:val="21"/>
              </w:rPr>
              <w:t>税金</w:t>
            </w:r>
          </w:p>
        </w:tc>
        <w:tc>
          <w:tcPr>
            <w:tcW w:w="1701" w:type="dxa"/>
            <w:tcBorders>
              <w:top w:val="single" w:color="000000" w:sz="4" w:space="0"/>
              <w:left w:val="nil"/>
              <w:bottom w:val="single" w:color="000000" w:sz="4" w:space="0"/>
              <w:right w:val="single" w:color="000000" w:sz="4" w:space="0"/>
            </w:tcBorders>
            <w:noWrap w:val="0"/>
            <w:vAlign w:val="center"/>
          </w:tcPr>
          <w:p w14:paraId="2A46D3D2">
            <w:pPr>
              <w:widowControl/>
              <w:jc w:val="right"/>
              <w:rPr>
                <w:rFonts w:ascii="宋体" w:hAnsi="宋体" w:cs="Arial"/>
                <w:color w:val="auto"/>
                <w:kern w:val="0"/>
                <w:szCs w:val="21"/>
              </w:rPr>
            </w:pPr>
          </w:p>
        </w:tc>
        <w:tc>
          <w:tcPr>
            <w:tcW w:w="2977" w:type="dxa"/>
            <w:tcBorders>
              <w:top w:val="single" w:color="000000" w:sz="4" w:space="0"/>
              <w:left w:val="nil"/>
              <w:bottom w:val="single" w:color="000000" w:sz="4" w:space="0"/>
              <w:right w:val="single" w:color="000000" w:sz="8" w:space="0"/>
            </w:tcBorders>
            <w:noWrap w:val="0"/>
            <w:vAlign w:val="center"/>
          </w:tcPr>
          <w:p w14:paraId="318CA0D0">
            <w:pPr>
              <w:widowControl/>
              <w:jc w:val="right"/>
              <w:rPr>
                <w:rFonts w:ascii="宋体" w:hAnsi="宋体" w:cs="Arial"/>
                <w:color w:val="auto"/>
                <w:kern w:val="0"/>
                <w:szCs w:val="21"/>
              </w:rPr>
            </w:pPr>
          </w:p>
        </w:tc>
      </w:tr>
      <w:tr w14:paraId="1D21B853">
        <w:tblPrEx>
          <w:tblCellMar>
            <w:top w:w="0" w:type="dxa"/>
            <w:left w:w="108" w:type="dxa"/>
            <w:bottom w:w="0" w:type="dxa"/>
            <w:right w:w="108" w:type="dxa"/>
          </w:tblCellMar>
        </w:tblPrEx>
        <w:trPr>
          <w:trHeight w:val="680" w:hRule="atLeast"/>
        </w:trPr>
        <w:tc>
          <w:tcPr>
            <w:tcW w:w="4268" w:type="dxa"/>
            <w:gridSpan w:val="2"/>
            <w:tcBorders>
              <w:top w:val="single" w:color="000000" w:sz="4" w:space="0"/>
              <w:left w:val="single" w:color="000000" w:sz="8" w:space="0"/>
              <w:bottom w:val="single" w:color="000000" w:sz="8" w:space="0"/>
              <w:right w:val="single" w:color="000000" w:sz="4" w:space="0"/>
            </w:tcBorders>
            <w:noWrap w:val="0"/>
            <w:vAlign w:val="center"/>
          </w:tcPr>
          <w:p w14:paraId="74D25E00">
            <w:pPr>
              <w:widowControl/>
              <w:jc w:val="center"/>
              <w:rPr>
                <w:rFonts w:ascii="宋体" w:hAnsi="宋体" w:cs="Arial"/>
                <w:color w:val="auto"/>
                <w:kern w:val="0"/>
                <w:szCs w:val="21"/>
              </w:rPr>
            </w:pPr>
            <w:r>
              <w:rPr>
                <w:rFonts w:hint="eastAsia" w:ascii="宋体" w:hAnsi="宋体" w:cs="Arial"/>
                <w:color w:val="auto"/>
                <w:kern w:val="0"/>
                <w:szCs w:val="21"/>
              </w:rPr>
              <w:t>工程造价=1+2+3+4+5</w:t>
            </w:r>
          </w:p>
        </w:tc>
        <w:tc>
          <w:tcPr>
            <w:tcW w:w="1701" w:type="dxa"/>
            <w:tcBorders>
              <w:top w:val="single" w:color="000000" w:sz="4" w:space="0"/>
              <w:left w:val="nil"/>
              <w:bottom w:val="single" w:color="000000" w:sz="8" w:space="0"/>
              <w:right w:val="single" w:color="000000" w:sz="4" w:space="0"/>
            </w:tcBorders>
            <w:noWrap w:val="0"/>
            <w:vAlign w:val="center"/>
          </w:tcPr>
          <w:p w14:paraId="3CE6DEA2">
            <w:pPr>
              <w:widowControl/>
              <w:jc w:val="right"/>
              <w:rPr>
                <w:rFonts w:ascii="宋体" w:hAnsi="宋体" w:cs="Arial"/>
                <w:color w:val="auto"/>
                <w:kern w:val="0"/>
                <w:szCs w:val="21"/>
              </w:rPr>
            </w:pPr>
          </w:p>
        </w:tc>
        <w:tc>
          <w:tcPr>
            <w:tcW w:w="2977" w:type="dxa"/>
            <w:tcBorders>
              <w:top w:val="single" w:color="000000" w:sz="4" w:space="0"/>
              <w:left w:val="nil"/>
              <w:bottom w:val="single" w:color="000000" w:sz="8" w:space="0"/>
              <w:right w:val="single" w:color="000000" w:sz="8" w:space="0"/>
            </w:tcBorders>
            <w:noWrap w:val="0"/>
            <w:vAlign w:val="center"/>
          </w:tcPr>
          <w:p w14:paraId="7A64159F">
            <w:pPr>
              <w:widowControl/>
              <w:jc w:val="right"/>
              <w:rPr>
                <w:rFonts w:ascii="宋体" w:hAnsi="宋体" w:cs="Arial"/>
                <w:color w:val="auto"/>
                <w:kern w:val="0"/>
                <w:szCs w:val="21"/>
              </w:rPr>
            </w:pPr>
          </w:p>
        </w:tc>
      </w:tr>
    </w:tbl>
    <w:p w14:paraId="4542210C">
      <w:pPr>
        <w:jc w:val="center"/>
        <w:rPr>
          <w:rFonts w:ascii="宋体" w:hAnsi="宋体"/>
          <w:color w:val="auto"/>
          <w:sz w:val="28"/>
          <w:szCs w:val="28"/>
        </w:rPr>
      </w:pPr>
      <w:bookmarkStart w:id="483" w:name="_Toc460227127"/>
      <w:bookmarkStart w:id="484" w:name="_Toc460660242"/>
    </w:p>
    <w:p w14:paraId="739BF3A4">
      <w:pPr>
        <w:jc w:val="center"/>
        <w:outlineLvl w:val="2"/>
        <w:rPr>
          <w:rFonts w:ascii="宋体" w:hAnsi="宋体"/>
          <w:color w:val="auto"/>
          <w:sz w:val="28"/>
          <w:szCs w:val="28"/>
        </w:rPr>
      </w:pPr>
      <w:r>
        <w:rPr>
          <w:rFonts w:ascii="宋体" w:hAnsi="宋体"/>
          <w:color w:val="auto"/>
          <w:sz w:val="28"/>
          <w:szCs w:val="28"/>
        </w:rPr>
        <w:br w:type="page"/>
      </w:r>
      <w:r>
        <w:rPr>
          <w:rFonts w:hint="eastAsia" w:ascii="宋体" w:hAnsi="宋体"/>
          <w:color w:val="auto"/>
          <w:sz w:val="28"/>
          <w:szCs w:val="28"/>
        </w:rPr>
        <w:t>（五）</w:t>
      </w:r>
      <w:bookmarkEnd w:id="483"/>
      <w:bookmarkEnd w:id="484"/>
      <w:r>
        <w:rPr>
          <w:rFonts w:hint="eastAsia" w:ascii="宋体" w:hAnsi="宋体"/>
          <w:color w:val="auto"/>
          <w:sz w:val="28"/>
          <w:szCs w:val="28"/>
        </w:rPr>
        <w:t>分部分项工程量清单计价表</w:t>
      </w:r>
    </w:p>
    <w:p w14:paraId="1D471F7B">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4986" w:type="pct"/>
        <w:tblInd w:w="0" w:type="dxa"/>
        <w:tblLayout w:type="autofit"/>
        <w:tblCellMar>
          <w:top w:w="0" w:type="dxa"/>
          <w:left w:w="108" w:type="dxa"/>
          <w:bottom w:w="0" w:type="dxa"/>
          <w:right w:w="108" w:type="dxa"/>
        </w:tblCellMar>
      </w:tblPr>
      <w:tblGrid>
        <w:gridCol w:w="426"/>
        <w:gridCol w:w="1059"/>
        <w:gridCol w:w="1059"/>
        <w:gridCol w:w="924"/>
        <w:gridCol w:w="750"/>
        <w:gridCol w:w="792"/>
        <w:gridCol w:w="726"/>
        <w:gridCol w:w="873"/>
        <w:gridCol w:w="913"/>
        <w:gridCol w:w="848"/>
        <w:gridCol w:w="779"/>
      </w:tblGrid>
      <w:tr w14:paraId="690B0DD8">
        <w:tblPrEx>
          <w:tblCellMar>
            <w:top w:w="0" w:type="dxa"/>
            <w:left w:w="108" w:type="dxa"/>
            <w:bottom w:w="0" w:type="dxa"/>
            <w:right w:w="108" w:type="dxa"/>
          </w:tblCellMar>
        </w:tblPrEx>
        <w:trPr>
          <w:trHeight w:val="263" w:hRule="atLeast"/>
        </w:trPr>
        <w:tc>
          <w:tcPr>
            <w:tcW w:w="233" w:type="pct"/>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0E2228C">
            <w:pPr>
              <w:widowControl/>
              <w:snapToGrid w:val="0"/>
              <w:jc w:val="center"/>
              <w:rPr>
                <w:rFonts w:ascii="宋体" w:hAnsi="宋体" w:cs="Arial"/>
                <w:color w:val="auto"/>
                <w:kern w:val="0"/>
                <w:szCs w:val="21"/>
              </w:rPr>
            </w:pPr>
            <w:r>
              <w:rPr>
                <w:rFonts w:hint="eastAsia" w:ascii="宋体" w:hAnsi="宋体" w:cs="Arial"/>
                <w:color w:val="auto"/>
                <w:kern w:val="0"/>
                <w:szCs w:val="21"/>
              </w:rPr>
              <w:t>序号</w:t>
            </w:r>
          </w:p>
        </w:tc>
        <w:tc>
          <w:tcPr>
            <w:tcW w:w="579"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168B1057">
            <w:pPr>
              <w:widowControl/>
              <w:snapToGrid w:val="0"/>
              <w:jc w:val="center"/>
              <w:rPr>
                <w:rFonts w:ascii="宋体" w:hAnsi="宋体" w:cs="Arial"/>
                <w:color w:val="auto"/>
                <w:kern w:val="0"/>
                <w:szCs w:val="21"/>
              </w:rPr>
            </w:pPr>
            <w:r>
              <w:rPr>
                <w:rFonts w:hint="eastAsia" w:ascii="宋体" w:hAnsi="宋体" w:cs="Arial"/>
                <w:color w:val="auto"/>
                <w:kern w:val="0"/>
                <w:szCs w:val="21"/>
              </w:rPr>
              <w:t>项目编码</w:t>
            </w:r>
          </w:p>
        </w:tc>
        <w:tc>
          <w:tcPr>
            <w:tcW w:w="579"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263B313">
            <w:pPr>
              <w:widowControl/>
              <w:snapToGrid w:val="0"/>
              <w:jc w:val="center"/>
              <w:rPr>
                <w:rFonts w:ascii="宋体" w:hAnsi="宋体" w:cs="Arial"/>
                <w:color w:val="auto"/>
                <w:kern w:val="0"/>
                <w:szCs w:val="21"/>
              </w:rPr>
            </w:pPr>
            <w:r>
              <w:rPr>
                <w:rFonts w:hint="eastAsia" w:ascii="宋体" w:hAnsi="宋体" w:cs="Arial"/>
                <w:color w:val="auto"/>
                <w:kern w:val="0"/>
                <w:szCs w:val="21"/>
              </w:rPr>
              <w:t>项目名称</w:t>
            </w:r>
          </w:p>
        </w:tc>
        <w:tc>
          <w:tcPr>
            <w:tcW w:w="505"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8A515FB">
            <w:pPr>
              <w:widowControl/>
              <w:snapToGrid w:val="0"/>
              <w:jc w:val="center"/>
              <w:rPr>
                <w:rFonts w:ascii="宋体" w:hAnsi="宋体" w:cs="Arial"/>
                <w:color w:val="auto"/>
                <w:kern w:val="0"/>
                <w:szCs w:val="21"/>
              </w:rPr>
            </w:pPr>
            <w:r>
              <w:rPr>
                <w:rFonts w:hint="eastAsia" w:ascii="宋体" w:hAnsi="宋体" w:cs="Arial"/>
                <w:color w:val="auto"/>
                <w:kern w:val="0"/>
                <w:szCs w:val="21"/>
              </w:rPr>
              <w:t>项目特征描述</w:t>
            </w:r>
          </w:p>
        </w:tc>
        <w:tc>
          <w:tcPr>
            <w:tcW w:w="410"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5A9382D1">
            <w:pPr>
              <w:widowControl/>
              <w:snapToGrid w:val="0"/>
              <w:jc w:val="center"/>
              <w:rPr>
                <w:rFonts w:ascii="宋体" w:hAnsi="宋体" w:cs="Arial"/>
                <w:color w:val="auto"/>
                <w:kern w:val="0"/>
                <w:szCs w:val="21"/>
              </w:rPr>
            </w:pPr>
            <w:r>
              <w:rPr>
                <w:rFonts w:hint="eastAsia" w:ascii="宋体" w:hAnsi="宋体" w:cs="Arial"/>
                <w:color w:val="auto"/>
                <w:kern w:val="0"/>
                <w:szCs w:val="21"/>
              </w:rPr>
              <w:t>计量单位</w:t>
            </w:r>
          </w:p>
        </w:tc>
        <w:tc>
          <w:tcPr>
            <w:tcW w:w="433"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81CC5DD">
            <w:pPr>
              <w:widowControl/>
              <w:snapToGrid w:val="0"/>
              <w:jc w:val="center"/>
              <w:rPr>
                <w:rFonts w:ascii="宋体" w:hAnsi="宋体" w:cs="Arial"/>
                <w:color w:val="auto"/>
                <w:kern w:val="0"/>
                <w:szCs w:val="21"/>
              </w:rPr>
            </w:pPr>
            <w:r>
              <w:rPr>
                <w:rFonts w:hint="eastAsia" w:ascii="宋体" w:hAnsi="宋体" w:cs="Arial"/>
                <w:color w:val="auto"/>
                <w:kern w:val="0"/>
                <w:szCs w:val="21"/>
              </w:rPr>
              <w:t>工程量</w:t>
            </w:r>
          </w:p>
        </w:tc>
        <w:tc>
          <w:tcPr>
            <w:tcW w:w="2261" w:type="pct"/>
            <w:gridSpan w:val="5"/>
            <w:tcBorders>
              <w:top w:val="single" w:color="000000" w:sz="8" w:space="0"/>
              <w:left w:val="nil"/>
              <w:bottom w:val="single" w:color="000000" w:sz="4" w:space="0"/>
              <w:right w:val="single" w:color="000000" w:sz="8" w:space="0"/>
            </w:tcBorders>
            <w:shd w:val="clear" w:color="FFFFFF" w:fill="FFFFFF"/>
            <w:noWrap w:val="0"/>
            <w:vAlign w:val="center"/>
          </w:tcPr>
          <w:p w14:paraId="000A83F2">
            <w:pPr>
              <w:widowControl/>
              <w:snapToGrid w:val="0"/>
              <w:jc w:val="center"/>
              <w:rPr>
                <w:rFonts w:ascii="宋体" w:hAnsi="宋体" w:cs="Arial"/>
                <w:color w:val="auto"/>
                <w:kern w:val="0"/>
                <w:szCs w:val="21"/>
              </w:rPr>
            </w:pPr>
            <w:r>
              <w:rPr>
                <w:rFonts w:hint="eastAsia" w:ascii="宋体" w:hAnsi="宋体" w:cs="Arial"/>
                <w:color w:val="auto"/>
                <w:kern w:val="0"/>
                <w:szCs w:val="21"/>
              </w:rPr>
              <w:t>金额（元）</w:t>
            </w:r>
          </w:p>
        </w:tc>
      </w:tr>
      <w:tr w14:paraId="2A778E37">
        <w:tblPrEx>
          <w:tblCellMar>
            <w:top w:w="0" w:type="dxa"/>
            <w:left w:w="108" w:type="dxa"/>
            <w:bottom w:w="0" w:type="dxa"/>
            <w:right w:w="108" w:type="dxa"/>
          </w:tblCellMar>
        </w:tblPrEx>
        <w:trPr>
          <w:trHeight w:val="263" w:hRule="atLeast"/>
        </w:trPr>
        <w:tc>
          <w:tcPr>
            <w:tcW w:w="233" w:type="pct"/>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2EDDAC4E">
            <w:pPr>
              <w:widowControl/>
              <w:snapToGrid w:val="0"/>
              <w:jc w:val="left"/>
              <w:rPr>
                <w:rFonts w:ascii="宋体" w:hAnsi="宋体" w:cs="Arial"/>
                <w:color w:val="auto"/>
                <w:kern w:val="0"/>
                <w:szCs w:val="21"/>
              </w:rPr>
            </w:pPr>
          </w:p>
        </w:tc>
        <w:tc>
          <w:tcPr>
            <w:tcW w:w="579"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11737183">
            <w:pPr>
              <w:widowControl/>
              <w:snapToGrid w:val="0"/>
              <w:jc w:val="left"/>
              <w:rPr>
                <w:rFonts w:ascii="宋体" w:hAnsi="宋体" w:cs="Arial"/>
                <w:color w:val="auto"/>
                <w:kern w:val="0"/>
                <w:szCs w:val="21"/>
              </w:rPr>
            </w:pPr>
          </w:p>
        </w:tc>
        <w:tc>
          <w:tcPr>
            <w:tcW w:w="579"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71CFFE39">
            <w:pPr>
              <w:widowControl/>
              <w:snapToGrid w:val="0"/>
              <w:jc w:val="left"/>
              <w:rPr>
                <w:rFonts w:ascii="宋体" w:hAnsi="宋体" w:cs="Arial"/>
                <w:color w:val="auto"/>
                <w:kern w:val="0"/>
                <w:szCs w:val="21"/>
              </w:rPr>
            </w:pPr>
          </w:p>
        </w:tc>
        <w:tc>
          <w:tcPr>
            <w:tcW w:w="505"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262F47EC">
            <w:pPr>
              <w:widowControl/>
              <w:snapToGrid w:val="0"/>
              <w:jc w:val="left"/>
              <w:rPr>
                <w:rFonts w:ascii="宋体" w:hAnsi="宋体" w:cs="Arial"/>
                <w:color w:val="auto"/>
                <w:kern w:val="0"/>
                <w:szCs w:val="21"/>
              </w:rPr>
            </w:pPr>
          </w:p>
        </w:tc>
        <w:tc>
          <w:tcPr>
            <w:tcW w:w="410"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442A2FF5">
            <w:pPr>
              <w:widowControl/>
              <w:snapToGrid w:val="0"/>
              <w:jc w:val="left"/>
              <w:rPr>
                <w:rFonts w:ascii="宋体" w:hAnsi="宋体" w:cs="Arial"/>
                <w:color w:val="auto"/>
                <w:kern w:val="0"/>
                <w:szCs w:val="21"/>
              </w:rPr>
            </w:pPr>
          </w:p>
        </w:tc>
        <w:tc>
          <w:tcPr>
            <w:tcW w:w="433"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444CCC0F">
            <w:pPr>
              <w:widowControl/>
              <w:snapToGrid w:val="0"/>
              <w:jc w:val="left"/>
              <w:rPr>
                <w:rFonts w:ascii="宋体" w:hAnsi="宋体" w:cs="Arial"/>
                <w:color w:val="auto"/>
                <w:kern w:val="0"/>
                <w:szCs w:val="21"/>
              </w:rPr>
            </w:pPr>
          </w:p>
        </w:tc>
        <w:tc>
          <w:tcPr>
            <w:tcW w:w="397" w:type="pct"/>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D62199">
            <w:pPr>
              <w:widowControl/>
              <w:snapToGrid w:val="0"/>
              <w:jc w:val="center"/>
              <w:rPr>
                <w:rFonts w:ascii="宋体" w:hAnsi="宋体" w:cs="Arial"/>
                <w:color w:val="auto"/>
                <w:kern w:val="0"/>
                <w:szCs w:val="21"/>
              </w:rPr>
            </w:pPr>
            <w:r>
              <w:rPr>
                <w:rFonts w:hint="eastAsia" w:ascii="宋体" w:hAnsi="宋体" w:cs="Arial"/>
                <w:color w:val="auto"/>
                <w:kern w:val="0"/>
                <w:szCs w:val="21"/>
              </w:rPr>
              <w:t>综合单价</w:t>
            </w:r>
          </w:p>
        </w:tc>
        <w:tc>
          <w:tcPr>
            <w:tcW w:w="477" w:type="pct"/>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969D023">
            <w:pPr>
              <w:widowControl/>
              <w:snapToGrid w:val="0"/>
              <w:jc w:val="center"/>
              <w:rPr>
                <w:rFonts w:ascii="宋体" w:hAnsi="宋体" w:cs="Arial"/>
                <w:color w:val="auto"/>
                <w:kern w:val="0"/>
                <w:szCs w:val="21"/>
              </w:rPr>
            </w:pPr>
            <w:r>
              <w:rPr>
                <w:rFonts w:hint="eastAsia" w:ascii="宋体" w:hAnsi="宋体" w:cs="Arial"/>
                <w:color w:val="auto"/>
                <w:kern w:val="0"/>
                <w:szCs w:val="21"/>
              </w:rPr>
              <w:t>合价</w:t>
            </w:r>
          </w:p>
        </w:tc>
        <w:tc>
          <w:tcPr>
            <w:tcW w:w="1388" w:type="pct"/>
            <w:gridSpan w:val="3"/>
            <w:tcBorders>
              <w:top w:val="single" w:color="000000" w:sz="4" w:space="0"/>
              <w:left w:val="nil"/>
              <w:bottom w:val="single" w:color="000000" w:sz="4" w:space="0"/>
              <w:right w:val="single" w:color="000000" w:sz="8" w:space="0"/>
            </w:tcBorders>
            <w:shd w:val="clear" w:color="FFFFFF" w:fill="FFFFFF"/>
            <w:noWrap w:val="0"/>
            <w:vAlign w:val="center"/>
          </w:tcPr>
          <w:p w14:paraId="7D66D81D">
            <w:pPr>
              <w:widowControl/>
              <w:snapToGrid w:val="0"/>
              <w:jc w:val="center"/>
              <w:rPr>
                <w:rFonts w:ascii="宋体" w:hAnsi="宋体" w:cs="Arial"/>
                <w:color w:val="auto"/>
                <w:kern w:val="0"/>
                <w:szCs w:val="21"/>
              </w:rPr>
            </w:pPr>
            <w:r>
              <w:rPr>
                <w:rFonts w:hint="eastAsia" w:ascii="宋体" w:hAnsi="宋体" w:cs="Arial"/>
                <w:color w:val="auto"/>
                <w:kern w:val="0"/>
                <w:szCs w:val="21"/>
              </w:rPr>
              <w:t>其中</w:t>
            </w:r>
          </w:p>
        </w:tc>
      </w:tr>
      <w:tr w14:paraId="260A5298">
        <w:tblPrEx>
          <w:tblCellMar>
            <w:top w:w="0" w:type="dxa"/>
            <w:left w:w="108" w:type="dxa"/>
            <w:bottom w:w="0" w:type="dxa"/>
            <w:right w:w="108" w:type="dxa"/>
          </w:tblCellMar>
        </w:tblPrEx>
        <w:trPr>
          <w:trHeight w:val="499" w:hRule="atLeast"/>
        </w:trPr>
        <w:tc>
          <w:tcPr>
            <w:tcW w:w="233" w:type="pct"/>
            <w:vMerge w:val="continue"/>
            <w:tcBorders>
              <w:top w:val="single" w:color="000000" w:sz="8" w:space="0"/>
              <w:left w:val="single" w:color="000000" w:sz="8" w:space="0"/>
              <w:bottom w:val="single" w:color="000000" w:sz="4" w:space="0"/>
              <w:right w:val="single" w:color="000000" w:sz="4" w:space="0"/>
            </w:tcBorders>
            <w:shd w:val="clear" w:color="auto" w:fill="auto"/>
            <w:noWrap w:val="0"/>
            <w:vAlign w:val="center"/>
          </w:tcPr>
          <w:p w14:paraId="1DBA5FFB">
            <w:pPr>
              <w:widowControl/>
              <w:snapToGrid w:val="0"/>
              <w:jc w:val="left"/>
              <w:rPr>
                <w:rFonts w:ascii="宋体" w:hAnsi="宋体" w:cs="Arial"/>
                <w:color w:val="auto"/>
                <w:kern w:val="0"/>
                <w:szCs w:val="21"/>
              </w:rPr>
            </w:pPr>
          </w:p>
        </w:tc>
        <w:tc>
          <w:tcPr>
            <w:tcW w:w="579"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15872AD4">
            <w:pPr>
              <w:widowControl/>
              <w:snapToGrid w:val="0"/>
              <w:jc w:val="left"/>
              <w:rPr>
                <w:rFonts w:ascii="宋体" w:hAnsi="宋体" w:cs="Arial"/>
                <w:color w:val="auto"/>
                <w:kern w:val="0"/>
                <w:szCs w:val="21"/>
              </w:rPr>
            </w:pPr>
          </w:p>
        </w:tc>
        <w:tc>
          <w:tcPr>
            <w:tcW w:w="579"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09C0B344">
            <w:pPr>
              <w:widowControl/>
              <w:snapToGrid w:val="0"/>
              <w:jc w:val="left"/>
              <w:rPr>
                <w:rFonts w:ascii="宋体" w:hAnsi="宋体" w:cs="Arial"/>
                <w:color w:val="auto"/>
                <w:kern w:val="0"/>
                <w:szCs w:val="21"/>
              </w:rPr>
            </w:pPr>
          </w:p>
        </w:tc>
        <w:tc>
          <w:tcPr>
            <w:tcW w:w="505"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3D65DE07">
            <w:pPr>
              <w:widowControl/>
              <w:snapToGrid w:val="0"/>
              <w:jc w:val="left"/>
              <w:rPr>
                <w:rFonts w:ascii="宋体" w:hAnsi="宋体" w:cs="Arial"/>
                <w:color w:val="auto"/>
                <w:kern w:val="0"/>
                <w:szCs w:val="21"/>
              </w:rPr>
            </w:pPr>
          </w:p>
        </w:tc>
        <w:tc>
          <w:tcPr>
            <w:tcW w:w="410"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74C806A8">
            <w:pPr>
              <w:widowControl/>
              <w:snapToGrid w:val="0"/>
              <w:jc w:val="left"/>
              <w:rPr>
                <w:rFonts w:ascii="宋体" w:hAnsi="宋体" w:cs="Arial"/>
                <w:color w:val="auto"/>
                <w:kern w:val="0"/>
                <w:szCs w:val="21"/>
              </w:rPr>
            </w:pPr>
          </w:p>
        </w:tc>
        <w:tc>
          <w:tcPr>
            <w:tcW w:w="433" w:type="pct"/>
            <w:vMerge w:val="continue"/>
            <w:tcBorders>
              <w:top w:val="single" w:color="000000" w:sz="8" w:space="0"/>
              <w:left w:val="single" w:color="000000" w:sz="4" w:space="0"/>
              <w:bottom w:val="single" w:color="000000" w:sz="4" w:space="0"/>
              <w:right w:val="single" w:color="000000" w:sz="4" w:space="0"/>
            </w:tcBorders>
            <w:shd w:val="clear" w:color="auto" w:fill="auto"/>
            <w:noWrap w:val="0"/>
            <w:vAlign w:val="center"/>
          </w:tcPr>
          <w:p w14:paraId="08F1B6BB">
            <w:pPr>
              <w:widowControl/>
              <w:snapToGrid w:val="0"/>
              <w:jc w:val="left"/>
              <w:rPr>
                <w:rFonts w:ascii="宋体" w:hAnsi="宋体" w:cs="Arial"/>
                <w:color w:val="auto"/>
                <w:kern w:val="0"/>
                <w:szCs w:val="21"/>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109BB0">
            <w:pPr>
              <w:widowControl/>
              <w:snapToGrid w:val="0"/>
              <w:jc w:val="left"/>
              <w:rPr>
                <w:rFonts w:ascii="宋体" w:hAnsi="宋体" w:cs="Arial"/>
                <w:color w:val="auto"/>
                <w:kern w:val="0"/>
                <w:szCs w:val="21"/>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8AF75B">
            <w:pPr>
              <w:widowControl/>
              <w:snapToGrid w:val="0"/>
              <w:jc w:val="left"/>
              <w:rPr>
                <w:rFonts w:ascii="宋体" w:hAnsi="宋体" w:cs="Arial"/>
                <w:color w:val="auto"/>
                <w:kern w:val="0"/>
                <w:szCs w:val="21"/>
              </w:rPr>
            </w:pPr>
          </w:p>
        </w:tc>
        <w:tc>
          <w:tcPr>
            <w:tcW w:w="499" w:type="pct"/>
            <w:tcBorders>
              <w:top w:val="nil"/>
              <w:left w:val="nil"/>
              <w:bottom w:val="single" w:color="000000" w:sz="4" w:space="0"/>
              <w:right w:val="single" w:color="000000" w:sz="4" w:space="0"/>
            </w:tcBorders>
            <w:shd w:val="clear" w:color="FFFFFF" w:fill="FFFFFF"/>
            <w:noWrap w:val="0"/>
            <w:vAlign w:val="center"/>
          </w:tcPr>
          <w:p w14:paraId="3863D926">
            <w:pPr>
              <w:widowControl/>
              <w:snapToGrid w:val="0"/>
              <w:jc w:val="center"/>
              <w:rPr>
                <w:rFonts w:ascii="宋体" w:hAnsi="宋体" w:cs="Arial"/>
                <w:color w:val="auto"/>
                <w:kern w:val="0"/>
                <w:szCs w:val="21"/>
              </w:rPr>
            </w:pPr>
            <w:r>
              <w:rPr>
                <w:rFonts w:hint="eastAsia" w:ascii="宋体" w:hAnsi="宋体" w:cs="Arial"/>
                <w:color w:val="auto"/>
                <w:kern w:val="0"/>
                <w:szCs w:val="21"/>
              </w:rPr>
              <w:t>定额人工费</w:t>
            </w:r>
          </w:p>
        </w:tc>
        <w:tc>
          <w:tcPr>
            <w:tcW w:w="463" w:type="pct"/>
            <w:tcBorders>
              <w:top w:val="nil"/>
              <w:left w:val="nil"/>
              <w:bottom w:val="single" w:color="000000" w:sz="4" w:space="0"/>
              <w:right w:val="single" w:color="000000" w:sz="4" w:space="0"/>
            </w:tcBorders>
            <w:shd w:val="clear" w:color="FFFFFF" w:fill="FFFFFF"/>
            <w:noWrap w:val="0"/>
            <w:vAlign w:val="center"/>
          </w:tcPr>
          <w:p w14:paraId="2581B4EA">
            <w:pPr>
              <w:widowControl/>
              <w:snapToGrid w:val="0"/>
              <w:jc w:val="center"/>
              <w:rPr>
                <w:rFonts w:ascii="宋体" w:hAnsi="宋体" w:cs="Arial"/>
                <w:color w:val="auto"/>
                <w:kern w:val="0"/>
                <w:szCs w:val="21"/>
              </w:rPr>
            </w:pPr>
            <w:r>
              <w:rPr>
                <w:rFonts w:hint="eastAsia" w:ascii="宋体" w:hAnsi="宋体" w:cs="Arial"/>
                <w:color w:val="auto"/>
                <w:kern w:val="0"/>
                <w:szCs w:val="21"/>
              </w:rPr>
              <w:t>定额机械费</w:t>
            </w:r>
          </w:p>
        </w:tc>
        <w:tc>
          <w:tcPr>
            <w:tcW w:w="425" w:type="pct"/>
            <w:tcBorders>
              <w:top w:val="nil"/>
              <w:left w:val="nil"/>
              <w:bottom w:val="single" w:color="000000" w:sz="4" w:space="0"/>
              <w:right w:val="single" w:color="000000" w:sz="8" w:space="0"/>
            </w:tcBorders>
            <w:shd w:val="clear" w:color="FFFFFF" w:fill="FFFFFF"/>
            <w:noWrap w:val="0"/>
            <w:vAlign w:val="center"/>
          </w:tcPr>
          <w:p w14:paraId="76EAD4AA">
            <w:pPr>
              <w:widowControl/>
              <w:snapToGrid w:val="0"/>
              <w:jc w:val="center"/>
              <w:rPr>
                <w:rFonts w:ascii="宋体" w:hAnsi="宋体" w:cs="Arial"/>
                <w:color w:val="auto"/>
                <w:kern w:val="0"/>
                <w:szCs w:val="21"/>
              </w:rPr>
            </w:pPr>
            <w:r>
              <w:rPr>
                <w:rFonts w:hint="eastAsia" w:ascii="宋体" w:hAnsi="宋体" w:cs="Arial"/>
                <w:color w:val="auto"/>
                <w:kern w:val="0"/>
                <w:szCs w:val="21"/>
              </w:rPr>
              <w:t>暂估价</w:t>
            </w:r>
          </w:p>
        </w:tc>
      </w:tr>
      <w:tr w14:paraId="74A1B7C0">
        <w:tblPrEx>
          <w:tblCellMar>
            <w:top w:w="0" w:type="dxa"/>
            <w:left w:w="108" w:type="dxa"/>
            <w:bottom w:w="0" w:type="dxa"/>
            <w:right w:w="108" w:type="dxa"/>
          </w:tblCellMar>
        </w:tblPrEx>
        <w:trPr>
          <w:trHeight w:val="567" w:hRule="atLeast"/>
        </w:trPr>
        <w:tc>
          <w:tcPr>
            <w:tcW w:w="233" w:type="pct"/>
            <w:tcBorders>
              <w:top w:val="nil"/>
              <w:left w:val="single" w:color="000000" w:sz="8" w:space="0"/>
              <w:bottom w:val="single" w:color="000000" w:sz="4" w:space="0"/>
              <w:right w:val="single" w:color="000000" w:sz="4" w:space="0"/>
            </w:tcBorders>
            <w:noWrap w:val="0"/>
            <w:vAlign w:val="center"/>
          </w:tcPr>
          <w:p w14:paraId="29F70F54">
            <w:pPr>
              <w:widowControl/>
              <w:snapToGrid w:val="0"/>
              <w:jc w:val="center"/>
              <w:rPr>
                <w:rFonts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4F4F8496">
            <w:pPr>
              <w:widowControl/>
              <w:snapToGrid w:val="0"/>
              <w:jc w:val="center"/>
              <w:rPr>
                <w:rFonts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6B91AA20">
            <w:pPr>
              <w:widowControl/>
              <w:snapToGrid w:val="0"/>
              <w:jc w:val="left"/>
              <w:rPr>
                <w:rFonts w:ascii="宋体" w:hAnsi="宋体" w:cs="Arial"/>
                <w:color w:val="auto"/>
                <w:kern w:val="0"/>
                <w:szCs w:val="21"/>
              </w:rPr>
            </w:pPr>
          </w:p>
        </w:tc>
        <w:tc>
          <w:tcPr>
            <w:tcW w:w="505" w:type="pct"/>
            <w:tcBorders>
              <w:top w:val="single" w:color="000000" w:sz="4" w:space="0"/>
              <w:left w:val="nil"/>
              <w:bottom w:val="single" w:color="000000" w:sz="4" w:space="0"/>
              <w:right w:val="single" w:color="000000" w:sz="4" w:space="0"/>
            </w:tcBorders>
            <w:noWrap w:val="0"/>
            <w:vAlign w:val="center"/>
          </w:tcPr>
          <w:p w14:paraId="6E55F45F">
            <w:pPr>
              <w:widowControl/>
              <w:snapToGrid w:val="0"/>
              <w:jc w:val="left"/>
              <w:rPr>
                <w:rFonts w:ascii="宋体" w:hAnsi="宋体" w:cs="Arial"/>
                <w:color w:val="auto"/>
                <w:kern w:val="0"/>
                <w:szCs w:val="21"/>
              </w:rPr>
            </w:pPr>
          </w:p>
        </w:tc>
        <w:tc>
          <w:tcPr>
            <w:tcW w:w="410" w:type="pct"/>
            <w:tcBorders>
              <w:top w:val="nil"/>
              <w:left w:val="nil"/>
              <w:bottom w:val="single" w:color="000000" w:sz="4" w:space="0"/>
              <w:right w:val="single" w:color="000000" w:sz="4" w:space="0"/>
            </w:tcBorders>
            <w:noWrap w:val="0"/>
            <w:vAlign w:val="center"/>
          </w:tcPr>
          <w:p w14:paraId="7271F6BC">
            <w:pPr>
              <w:widowControl/>
              <w:snapToGrid w:val="0"/>
              <w:jc w:val="center"/>
              <w:rPr>
                <w:rFonts w:ascii="宋体" w:hAnsi="宋体" w:cs="Arial"/>
                <w:color w:val="auto"/>
                <w:kern w:val="0"/>
                <w:szCs w:val="21"/>
              </w:rPr>
            </w:pPr>
          </w:p>
        </w:tc>
        <w:tc>
          <w:tcPr>
            <w:tcW w:w="433" w:type="pct"/>
            <w:tcBorders>
              <w:top w:val="nil"/>
              <w:left w:val="nil"/>
              <w:bottom w:val="single" w:color="000000" w:sz="4" w:space="0"/>
              <w:right w:val="single" w:color="000000" w:sz="4" w:space="0"/>
            </w:tcBorders>
            <w:noWrap w:val="0"/>
            <w:vAlign w:val="center"/>
          </w:tcPr>
          <w:p w14:paraId="51C8F0A6">
            <w:pPr>
              <w:widowControl/>
              <w:snapToGrid w:val="0"/>
              <w:jc w:val="right"/>
              <w:rPr>
                <w:rFonts w:ascii="宋体" w:hAnsi="宋体" w:cs="Arial"/>
                <w:color w:val="auto"/>
                <w:kern w:val="0"/>
                <w:szCs w:val="21"/>
              </w:rPr>
            </w:pPr>
          </w:p>
        </w:tc>
        <w:tc>
          <w:tcPr>
            <w:tcW w:w="397" w:type="pct"/>
            <w:tcBorders>
              <w:top w:val="single" w:color="000000" w:sz="4" w:space="0"/>
              <w:left w:val="nil"/>
              <w:bottom w:val="single" w:color="000000" w:sz="4" w:space="0"/>
              <w:right w:val="single" w:color="000000" w:sz="4" w:space="0"/>
            </w:tcBorders>
            <w:noWrap w:val="0"/>
            <w:vAlign w:val="center"/>
          </w:tcPr>
          <w:p w14:paraId="7A43DEC3">
            <w:pPr>
              <w:widowControl/>
              <w:snapToGrid w:val="0"/>
              <w:jc w:val="right"/>
              <w:rPr>
                <w:rFonts w:ascii="宋体" w:hAnsi="宋体" w:cs="Arial"/>
                <w:color w:val="auto"/>
                <w:kern w:val="0"/>
                <w:szCs w:val="21"/>
              </w:rPr>
            </w:pPr>
          </w:p>
        </w:tc>
        <w:tc>
          <w:tcPr>
            <w:tcW w:w="477" w:type="pct"/>
            <w:tcBorders>
              <w:top w:val="single" w:color="000000" w:sz="4" w:space="0"/>
              <w:left w:val="nil"/>
              <w:bottom w:val="single" w:color="000000" w:sz="4" w:space="0"/>
              <w:right w:val="single" w:color="000000" w:sz="4" w:space="0"/>
            </w:tcBorders>
            <w:noWrap w:val="0"/>
            <w:vAlign w:val="center"/>
          </w:tcPr>
          <w:p w14:paraId="1240F5A8">
            <w:pPr>
              <w:widowControl/>
              <w:snapToGrid w:val="0"/>
              <w:jc w:val="right"/>
              <w:rPr>
                <w:rFonts w:ascii="宋体" w:hAnsi="宋体" w:cs="Arial"/>
                <w:color w:val="auto"/>
                <w:kern w:val="0"/>
                <w:szCs w:val="21"/>
              </w:rPr>
            </w:pPr>
          </w:p>
        </w:tc>
        <w:tc>
          <w:tcPr>
            <w:tcW w:w="499" w:type="pct"/>
            <w:tcBorders>
              <w:top w:val="nil"/>
              <w:left w:val="nil"/>
              <w:bottom w:val="single" w:color="000000" w:sz="4" w:space="0"/>
              <w:right w:val="single" w:color="000000" w:sz="4" w:space="0"/>
            </w:tcBorders>
            <w:noWrap w:val="0"/>
            <w:vAlign w:val="center"/>
          </w:tcPr>
          <w:p w14:paraId="265CD799">
            <w:pPr>
              <w:widowControl/>
              <w:snapToGrid w:val="0"/>
              <w:jc w:val="right"/>
              <w:rPr>
                <w:rFonts w:ascii="宋体" w:hAnsi="宋体" w:cs="Arial"/>
                <w:color w:val="auto"/>
                <w:kern w:val="0"/>
                <w:szCs w:val="21"/>
              </w:rPr>
            </w:pPr>
          </w:p>
        </w:tc>
        <w:tc>
          <w:tcPr>
            <w:tcW w:w="463" w:type="pct"/>
            <w:tcBorders>
              <w:top w:val="nil"/>
              <w:left w:val="nil"/>
              <w:bottom w:val="single" w:color="000000" w:sz="4" w:space="0"/>
              <w:right w:val="single" w:color="000000" w:sz="4" w:space="0"/>
            </w:tcBorders>
            <w:noWrap w:val="0"/>
            <w:vAlign w:val="center"/>
          </w:tcPr>
          <w:p w14:paraId="56A0E077">
            <w:pPr>
              <w:widowControl/>
              <w:snapToGrid w:val="0"/>
              <w:jc w:val="right"/>
              <w:rPr>
                <w:rFonts w:ascii="宋体" w:hAnsi="宋体" w:cs="Arial"/>
                <w:color w:val="auto"/>
                <w:kern w:val="0"/>
                <w:szCs w:val="21"/>
              </w:rPr>
            </w:pPr>
          </w:p>
        </w:tc>
        <w:tc>
          <w:tcPr>
            <w:tcW w:w="425" w:type="pct"/>
            <w:tcBorders>
              <w:top w:val="nil"/>
              <w:left w:val="nil"/>
              <w:bottom w:val="single" w:color="000000" w:sz="4" w:space="0"/>
              <w:right w:val="single" w:color="000000" w:sz="8" w:space="0"/>
            </w:tcBorders>
            <w:noWrap w:val="0"/>
            <w:vAlign w:val="center"/>
          </w:tcPr>
          <w:p w14:paraId="363C7F9A">
            <w:pPr>
              <w:widowControl/>
              <w:snapToGrid w:val="0"/>
              <w:jc w:val="right"/>
              <w:rPr>
                <w:rFonts w:ascii="宋体" w:hAnsi="宋体" w:cs="Arial"/>
                <w:color w:val="auto"/>
                <w:kern w:val="0"/>
                <w:szCs w:val="21"/>
              </w:rPr>
            </w:pPr>
          </w:p>
        </w:tc>
      </w:tr>
      <w:tr w14:paraId="305B8E83">
        <w:tblPrEx>
          <w:tblCellMar>
            <w:top w:w="0" w:type="dxa"/>
            <w:left w:w="108" w:type="dxa"/>
            <w:bottom w:w="0" w:type="dxa"/>
            <w:right w:w="108" w:type="dxa"/>
          </w:tblCellMar>
        </w:tblPrEx>
        <w:trPr>
          <w:trHeight w:val="567" w:hRule="atLeast"/>
        </w:trPr>
        <w:tc>
          <w:tcPr>
            <w:tcW w:w="233" w:type="pct"/>
            <w:tcBorders>
              <w:top w:val="nil"/>
              <w:left w:val="single" w:color="000000" w:sz="8" w:space="0"/>
              <w:bottom w:val="single" w:color="000000" w:sz="4" w:space="0"/>
              <w:right w:val="single" w:color="000000" w:sz="4" w:space="0"/>
            </w:tcBorders>
            <w:noWrap w:val="0"/>
            <w:vAlign w:val="center"/>
          </w:tcPr>
          <w:p w14:paraId="07F1F203">
            <w:pPr>
              <w:widowControl/>
              <w:snapToGrid w:val="0"/>
              <w:jc w:val="center"/>
              <w:rPr>
                <w:rFonts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41FFE423">
            <w:pPr>
              <w:widowControl/>
              <w:snapToGrid w:val="0"/>
              <w:jc w:val="center"/>
              <w:rPr>
                <w:rFonts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7F10AD84">
            <w:pPr>
              <w:widowControl/>
              <w:snapToGrid w:val="0"/>
              <w:jc w:val="left"/>
              <w:rPr>
                <w:rFonts w:ascii="宋体" w:hAnsi="宋体" w:cs="Arial"/>
                <w:color w:val="auto"/>
                <w:kern w:val="0"/>
                <w:szCs w:val="21"/>
              </w:rPr>
            </w:pPr>
          </w:p>
        </w:tc>
        <w:tc>
          <w:tcPr>
            <w:tcW w:w="505" w:type="pct"/>
            <w:tcBorders>
              <w:top w:val="single" w:color="000000" w:sz="4" w:space="0"/>
              <w:left w:val="nil"/>
              <w:bottom w:val="single" w:color="000000" w:sz="4" w:space="0"/>
              <w:right w:val="single" w:color="000000" w:sz="4" w:space="0"/>
            </w:tcBorders>
            <w:noWrap w:val="0"/>
            <w:vAlign w:val="center"/>
          </w:tcPr>
          <w:p w14:paraId="012E8158">
            <w:pPr>
              <w:widowControl/>
              <w:snapToGrid w:val="0"/>
              <w:jc w:val="left"/>
              <w:rPr>
                <w:rFonts w:ascii="宋体" w:hAnsi="宋体" w:cs="Arial"/>
                <w:color w:val="auto"/>
                <w:kern w:val="0"/>
                <w:szCs w:val="21"/>
              </w:rPr>
            </w:pPr>
          </w:p>
        </w:tc>
        <w:tc>
          <w:tcPr>
            <w:tcW w:w="410" w:type="pct"/>
            <w:tcBorders>
              <w:top w:val="nil"/>
              <w:left w:val="nil"/>
              <w:bottom w:val="single" w:color="000000" w:sz="4" w:space="0"/>
              <w:right w:val="single" w:color="000000" w:sz="4" w:space="0"/>
            </w:tcBorders>
            <w:noWrap w:val="0"/>
            <w:vAlign w:val="center"/>
          </w:tcPr>
          <w:p w14:paraId="615CE514">
            <w:pPr>
              <w:widowControl/>
              <w:snapToGrid w:val="0"/>
              <w:jc w:val="center"/>
              <w:rPr>
                <w:rFonts w:ascii="宋体" w:hAnsi="宋体" w:cs="Arial"/>
                <w:color w:val="auto"/>
                <w:kern w:val="0"/>
                <w:szCs w:val="21"/>
              </w:rPr>
            </w:pPr>
          </w:p>
        </w:tc>
        <w:tc>
          <w:tcPr>
            <w:tcW w:w="433" w:type="pct"/>
            <w:tcBorders>
              <w:top w:val="nil"/>
              <w:left w:val="nil"/>
              <w:bottom w:val="single" w:color="000000" w:sz="4" w:space="0"/>
              <w:right w:val="single" w:color="000000" w:sz="4" w:space="0"/>
            </w:tcBorders>
            <w:noWrap w:val="0"/>
            <w:vAlign w:val="center"/>
          </w:tcPr>
          <w:p w14:paraId="1F7329AD">
            <w:pPr>
              <w:widowControl/>
              <w:snapToGrid w:val="0"/>
              <w:jc w:val="right"/>
              <w:rPr>
                <w:rFonts w:ascii="宋体" w:hAnsi="宋体" w:cs="Arial"/>
                <w:color w:val="auto"/>
                <w:kern w:val="0"/>
                <w:szCs w:val="21"/>
              </w:rPr>
            </w:pPr>
          </w:p>
        </w:tc>
        <w:tc>
          <w:tcPr>
            <w:tcW w:w="397" w:type="pct"/>
            <w:tcBorders>
              <w:top w:val="single" w:color="000000" w:sz="4" w:space="0"/>
              <w:left w:val="nil"/>
              <w:bottom w:val="single" w:color="000000" w:sz="4" w:space="0"/>
              <w:right w:val="single" w:color="000000" w:sz="4" w:space="0"/>
            </w:tcBorders>
            <w:noWrap w:val="0"/>
            <w:vAlign w:val="center"/>
          </w:tcPr>
          <w:p w14:paraId="3516062A">
            <w:pPr>
              <w:widowControl/>
              <w:snapToGrid w:val="0"/>
              <w:jc w:val="right"/>
              <w:rPr>
                <w:rFonts w:ascii="宋体" w:hAnsi="宋体" w:cs="Arial"/>
                <w:color w:val="auto"/>
                <w:kern w:val="0"/>
                <w:szCs w:val="21"/>
              </w:rPr>
            </w:pPr>
          </w:p>
        </w:tc>
        <w:tc>
          <w:tcPr>
            <w:tcW w:w="477" w:type="pct"/>
            <w:tcBorders>
              <w:top w:val="single" w:color="000000" w:sz="4" w:space="0"/>
              <w:left w:val="nil"/>
              <w:bottom w:val="single" w:color="000000" w:sz="4" w:space="0"/>
              <w:right w:val="single" w:color="000000" w:sz="4" w:space="0"/>
            </w:tcBorders>
            <w:noWrap w:val="0"/>
            <w:vAlign w:val="center"/>
          </w:tcPr>
          <w:p w14:paraId="342CFFF5">
            <w:pPr>
              <w:widowControl/>
              <w:snapToGrid w:val="0"/>
              <w:jc w:val="right"/>
              <w:rPr>
                <w:rFonts w:ascii="宋体" w:hAnsi="宋体" w:cs="Arial"/>
                <w:color w:val="auto"/>
                <w:kern w:val="0"/>
                <w:szCs w:val="21"/>
              </w:rPr>
            </w:pPr>
          </w:p>
        </w:tc>
        <w:tc>
          <w:tcPr>
            <w:tcW w:w="499" w:type="pct"/>
            <w:tcBorders>
              <w:top w:val="nil"/>
              <w:left w:val="nil"/>
              <w:bottom w:val="single" w:color="000000" w:sz="4" w:space="0"/>
              <w:right w:val="single" w:color="000000" w:sz="4" w:space="0"/>
            </w:tcBorders>
            <w:noWrap w:val="0"/>
            <w:vAlign w:val="center"/>
          </w:tcPr>
          <w:p w14:paraId="1A1650A4">
            <w:pPr>
              <w:widowControl/>
              <w:snapToGrid w:val="0"/>
              <w:jc w:val="right"/>
              <w:rPr>
                <w:rFonts w:ascii="宋体" w:hAnsi="宋体" w:cs="Arial"/>
                <w:color w:val="auto"/>
                <w:kern w:val="0"/>
                <w:szCs w:val="21"/>
              </w:rPr>
            </w:pPr>
          </w:p>
        </w:tc>
        <w:tc>
          <w:tcPr>
            <w:tcW w:w="463" w:type="pct"/>
            <w:tcBorders>
              <w:top w:val="nil"/>
              <w:left w:val="nil"/>
              <w:bottom w:val="single" w:color="000000" w:sz="4" w:space="0"/>
              <w:right w:val="single" w:color="000000" w:sz="4" w:space="0"/>
            </w:tcBorders>
            <w:noWrap w:val="0"/>
            <w:vAlign w:val="center"/>
          </w:tcPr>
          <w:p w14:paraId="75151A8A">
            <w:pPr>
              <w:widowControl/>
              <w:snapToGrid w:val="0"/>
              <w:jc w:val="right"/>
              <w:rPr>
                <w:rFonts w:ascii="宋体" w:hAnsi="宋体" w:cs="Arial"/>
                <w:color w:val="auto"/>
                <w:kern w:val="0"/>
                <w:szCs w:val="21"/>
              </w:rPr>
            </w:pPr>
          </w:p>
        </w:tc>
        <w:tc>
          <w:tcPr>
            <w:tcW w:w="425" w:type="pct"/>
            <w:tcBorders>
              <w:top w:val="nil"/>
              <w:left w:val="nil"/>
              <w:bottom w:val="single" w:color="000000" w:sz="4" w:space="0"/>
              <w:right w:val="single" w:color="000000" w:sz="8" w:space="0"/>
            </w:tcBorders>
            <w:noWrap w:val="0"/>
            <w:vAlign w:val="center"/>
          </w:tcPr>
          <w:p w14:paraId="013C61A5">
            <w:pPr>
              <w:widowControl/>
              <w:snapToGrid w:val="0"/>
              <w:jc w:val="right"/>
              <w:rPr>
                <w:rFonts w:ascii="宋体" w:hAnsi="宋体" w:cs="Arial"/>
                <w:color w:val="auto"/>
                <w:kern w:val="0"/>
                <w:szCs w:val="21"/>
              </w:rPr>
            </w:pPr>
          </w:p>
        </w:tc>
      </w:tr>
      <w:tr w14:paraId="3ACECFF0">
        <w:tblPrEx>
          <w:tblCellMar>
            <w:top w:w="0" w:type="dxa"/>
            <w:left w:w="108" w:type="dxa"/>
            <w:bottom w:w="0" w:type="dxa"/>
            <w:right w:w="108" w:type="dxa"/>
          </w:tblCellMar>
        </w:tblPrEx>
        <w:trPr>
          <w:trHeight w:val="567" w:hRule="atLeast"/>
        </w:trPr>
        <w:tc>
          <w:tcPr>
            <w:tcW w:w="233" w:type="pct"/>
            <w:tcBorders>
              <w:top w:val="nil"/>
              <w:left w:val="single" w:color="000000" w:sz="8" w:space="0"/>
              <w:bottom w:val="single" w:color="000000" w:sz="4" w:space="0"/>
              <w:right w:val="single" w:color="000000" w:sz="4" w:space="0"/>
            </w:tcBorders>
            <w:noWrap w:val="0"/>
            <w:vAlign w:val="center"/>
          </w:tcPr>
          <w:p w14:paraId="6723705B">
            <w:pPr>
              <w:widowControl/>
              <w:snapToGrid w:val="0"/>
              <w:jc w:val="center"/>
              <w:rPr>
                <w:rFonts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71EECC15">
            <w:pPr>
              <w:widowControl/>
              <w:snapToGrid w:val="0"/>
              <w:jc w:val="center"/>
              <w:rPr>
                <w:rFonts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4997291B">
            <w:pPr>
              <w:widowControl/>
              <w:snapToGrid w:val="0"/>
              <w:jc w:val="left"/>
              <w:rPr>
                <w:rFonts w:ascii="宋体" w:hAnsi="宋体" w:cs="Arial"/>
                <w:color w:val="auto"/>
                <w:kern w:val="0"/>
                <w:szCs w:val="21"/>
              </w:rPr>
            </w:pPr>
          </w:p>
        </w:tc>
        <w:tc>
          <w:tcPr>
            <w:tcW w:w="505" w:type="pct"/>
            <w:tcBorders>
              <w:top w:val="single" w:color="000000" w:sz="4" w:space="0"/>
              <w:left w:val="nil"/>
              <w:bottom w:val="single" w:color="000000" w:sz="4" w:space="0"/>
              <w:right w:val="single" w:color="000000" w:sz="4" w:space="0"/>
            </w:tcBorders>
            <w:noWrap w:val="0"/>
            <w:vAlign w:val="center"/>
          </w:tcPr>
          <w:p w14:paraId="4D653E67">
            <w:pPr>
              <w:widowControl/>
              <w:snapToGrid w:val="0"/>
              <w:jc w:val="left"/>
              <w:rPr>
                <w:rFonts w:ascii="宋体" w:hAnsi="宋体" w:cs="Arial"/>
                <w:color w:val="auto"/>
                <w:kern w:val="0"/>
                <w:szCs w:val="21"/>
              </w:rPr>
            </w:pPr>
          </w:p>
        </w:tc>
        <w:tc>
          <w:tcPr>
            <w:tcW w:w="410" w:type="pct"/>
            <w:tcBorders>
              <w:top w:val="nil"/>
              <w:left w:val="nil"/>
              <w:bottom w:val="single" w:color="000000" w:sz="4" w:space="0"/>
              <w:right w:val="single" w:color="000000" w:sz="4" w:space="0"/>
            </w:tcBorders>
            <w:noWrap w:val="0"/>
            <w:vAlign w:val="center"/>
          </w:tcPr>
          <w:p w14:paraId="12E506EC">
            <w:pPr>
              <w:widowControl/>
              <w:snapToGrid w:val="0"/>
              <w:jc w:val="center"/>
              <w:rPr>
                <w:rFonts w:ascii="宋体" w:hAnsi="宋体" w:cs="Arial"/>
                <w:color w:val="auto"/>
                <w:kern w:val="0"/>
                <w:szCs w:val="21"/>
              </w:rPr>
            </w:pPr>
          </w:p>
        </w:tc>
        <w:tc>
          <w:tcPr>
            <w:tcW w:w="433" w:type="pct"/>
            <w:tcBorders>
              <w:top w:val="nil"/>
              <w:left w:val="nil"/>
              <w:bottom w:val="single" w:color="000000" w:sz="4" w:space="0"/>
              <w:right w:val="single" w:color="000000" w:sz="4" w:space="0"/>
            </w:tcBorders>
            <w:noWrap w:val="0"/>
            <w:vAlign w:val="center"/>
          </w:tcPr>
          <w:p w14:paraId="2AF19C62">
            <w:pPr>
              <w:widowControl/>
              <w:snapToGrid w:val="0"/>
              <w:jc w:val="right"/>
              <w:rPr>
                <w:rFonts w:ascii="宋体" w:hAnsi="宋体" w:cs="Arial"/>
                <w:color w:val="auto"/>
                <w:kern w:val="0"/>
                <w:szCs w:val="21"/>
              </w:rPr>
            </w:pPr>
          </w:p>
        </w:tc>
        <w:tc>
          <w:tcPr>
            <w:tcW w:w="397" w:type="pct"/>
            <w:tcBorders>
              <w:top w:val="single" w:color="000000" w:sz="4" w:space="0"/>
              <w:left w:val="nil"/>
              <w:bottom w:val="single" w:color="000000" w:sz="4" w:space="0"/>
              <w:right w:val="single" w:color="000000" w:sz="4" w:space="0"/>
            </w:tcBorders>
            <w:noWrap w:val="0"/>
            <w:vAlign w:val="center"/>
          </w:tcPr>
          <w:p w14:paraId="6B02DA5A">
            <w:pPr>
              <w:widowControl/>
              <w:snapToGrid w:val="0"/>
              <w:jc w:val="right"/>
              <w:rPr>
                <w:rFonts w:ascii="宋体" w:hAnsi="宋体" w:cs="Arial"/>
                <w:color w:val="auto"/>
                <w:kern w:val="0"/>
                <w:szCs w:val="21"/>
              </w:rPr>
            </w:pPr>
          </w:p>
        </w:tc>
        <w:tc>
          <w:tcPr>
            <w:tcW w:w="477" w:type="pct"/>
            <w:tcBorders>
              <w:top w:val="single" w:color="000000" w:sz="4" w:space="0"/>
              <w:left w:val="nil"/>
              <w:bottom w:val="single" w:color="000000" w:sz="4" w:space="0"/>
              <w:right w:val="single" w:color="000000" w:sz="4" w:space="0"/>
            </w:tcBorders>
            <w:noWrap w:val="0"/>
            <w:vAlign w:val="center"/>
          </w:tcPr>
          <w:p w14:paraId="74F6CD2E">
            <w:pPr>
              <w:widowControl/>
              <w:snapToGrid w:val="0"/>
              <w:jc w:val="right"/>
              <w:rPr>
                <w:rFonts w:ascii="宋体" w:hAnsi="宋体" w:cs="Arial"/>
                <w:color w:val="auto"/>
                <w:kern w:val="0"/>
                <w:szCs w:val="21"/>
              </w:rPr>
            </w:pPr>
          </w:p>
        </w:tc>
        <w:tc>
          <w:tcPr>
            <w:tcW w:w="499" w:type="pct"/>
            <w:tcBorders>
              <w:top w:val="nil"/>
              <w:left w:val="nil"/>
              <w:bottom w:val="single" w:color="000000" w:sz="4" w:space="0"/>
              <w:right w:val="single" w:color="000000" w:sz="4" w:space="0"/>
            </w:tcBorders>
            <w:noWrap w:val="0"/>
            <w:vAlign w:val="center"/>
          </w:tcPr>
          <w:p w14:paraId="038AF947">
            <w:pPr>
              <w:widowControl/>
              <w:snapToGrid w:val="0"/>
              <w:jc w:val="right"/>
              <w:rPr>
                <w:rFonts w:ascii="宋体" w:hAnsi="宋体" w:cs="Arial"/>
                <w:color w:val="auto"/>
                <w:kern w:val="0"/>
                <w:szCs w:val="21"/>
              </w:rPr>
            </w:pPr>
          </w:p>
        </w:tc>
        <w:tc>
          <w:tcPr>
            <w:tcW w:w="463" w:type="pct"/>
            <w:tcBorders>
              <w:top w:val="nil"/>
              <w:left w:val="nil"/>
              <w:bottom w:val="single" w:color="000000" w:sz="4" w:space="0"/>
              <w:right w:val="single" w:color="000000" w:sz="4" w:space="0"/>
            </w:tcBorders>
            <w:noWrap w:val="0"/>
            <w:vAlign w:val="center"/>
          </w:tcPr>
          <w:p w14:paraId="4BA38831">
            <w:pPr>
              <w:widowControl/>
              <w:snapToGrid w:val="0"/>
              <w:jc w:val="right"/>
              <w:rPr>
                <w:rFonts w:ascii="宋体" w:hAnsi="宋体" w:cs="Arial"/>
                <w:color w:val="auto"/>
                <w:kern w:val="0"/>
                <w:szCs w:val="21"/>
              </w:rPr>
            </w:pPr>
          </w:p>
        </w:tc>
        <w:tc>
          <w:tcPr>
            <w:tcW w:w="425" w:type="pct"/>
            <w:tcBorders>
              <w:top w:val="nil"/>
              <w:left w:val="nil"/>
              <w:bottom w:val="single" w:color="000000" w:sz="4" w:space="0"/>
              <w:right w:val="single" w:color="000000" w:sz="8" w:space="0"/>
            </w:tcBorders>
            <w:noWrap w:val="0"/>
            <w:vAlign w:val="center"/>
          </w:tcPr>
          <w:p w14:paraId="718F5A3E">
            <w:pPr>
              <w:widowControl/>
              <w:snapToGrid w:val="0"/>
              <w:jc w:val="right"/>
              <w:rPr>
                <w:rFonts w:ascii="宋体" w:hAnsi="宋体" w:cs="Arial"/>
                <w:color w:val="auto"/>
                <w:kern w:val="0"/>
                <w:szCs w:val="21"/>
              </w:rPr>
            </w:pPr>
          </w:p>
        </w:tc>
      </w:tr>
    </w:tbl>
    <w:p w14:paraId="6BC21C40">
      <w:pPr>
        <w:jc w:val="center"/>
        <w:outlineLvl w:val="2"/>
        <w:rPr>
          <w:rFonts w:ascii="宋体" w:hAnsi="宋体"/>
          <w:color w:val="auto"/>
          <w:sz w:val="28"/>
          <w:szCs w:val="28"/>
        </w:rPr>
      </w:pPr>
      <w:bookmarkStart w:id="485" w:name="_Toc460227128"/>
      <w:bookmarkStart w:id="486" w:name="_Toc460660243"/>
      <w:r>
        <w:rPr>
          <w:rFonts w:hint="eastAsia" w:ascii="宋体" w:hAnsi="宋体"/>
          <w:color w:val="auto"/>
          <w:sz w:val="28"/>
          <w:szCs w:val="28"/>
        </w:rPr>
        <w:t>（六）</w:t>
      </w:r>
      <w:bookmarkEnd w:id="485"/>
      <w:bookmarkEnd w:id="486"/>
      <w:r>
        <w:rPr>
          <w:rFonts w:hint="eastAsia" w:ascii="宋体" w:hAnsi="宋体"/>
          <w:color w:val="auto"/>
          <w:sz w:val="28"/>
          <w:szCs w:val="28"/>
        </w:rPr>
        <w:t>分部分项工程量清单综合单价分析表</w:t>
      </w:r>
    </w:p>
    <w:p w14:paraId="49FA4126">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408"/>
        <w:gridCol w:w="302"/>
        <w:gridCol w:w="1080"/>
        <w:gridCol w:w="409"/>
        <w:gridCol w:w="603"/>
        <w:gridCol w:w="796"/>
        <w:gridCol w:w="582"/>
        <w:gridCol w:w="214"/>
        <w:gridCol w:w="603"/>
        <w:gridCol w:w="193"/>
        <w:gridCol w:w="796"/>
        <w:gridCol w:w="796"/>
        <w:gridCol w:w="211"/>
        <w:gridCol w:w="590"/>
        <w:gridCol w:w="796"/>
        <w:gridCol w:w="796"/>
      </w:tblGrid>
      <w:tr w14:paraId="306C49B4">
        <w:tblPrEx>
          <w:tblCellMar>
            <w:top w:w="0" w:type="dxa"/>
            <w:left w:w="108" w:type="dxa"/>
            <w:bottom w:w="0" w:type="dxa"/>
            <w:right w:w="108" w:type="dxa"/>
          </w:tblCellMar>
        </w:tblPrEx>
        <w:trPr>
          <w:trHeight w:val="515" w:hRule="atLeast"/>
        </w:trPr>
        <w:tc>
          <w:tcPr>
            <w:tcW w:w="386" w:type="pct"/>
            <w:gridSpan w:val="2"/>
            <w:tcBorders>
              <w:top w:val="single" w:color="000000" w:sz="8" w:space="0"/>
              <w:left w:val="single" w:color="000000" w:sz="8" w:space="0"/>
              <w:bottom w:val="single" w:color="000000" w:sz="4" w:space="0"/>
              <w:right w:val="single" w:color="000000" w:sz="4" w:space="0"/>
            </w:tcBorders>
            <w:noWrap w:val="0"/>
            <w:vAlign w:val="center"/>
          </w:tcPr>
          <w:p w14:paraId="33639A21">
            <w:pPr>
              <w:widowControl/>
              <w:jc w:val="center"/>
              <w:rPr>
                <w:rFonts w:ascii="宋体" w:hAnsi="宋体" w:cs="Arial"/>
                <w:color w:val="auto"/>
                <w:kern w:val="0"/>
                <w:szCs w:val="21"/>
              </w:rPr>
            </w:pPr>
            <w:r>
              <w:rPr>
                <w:rFonts w:hint="eastAsia" w:ascii="宋体" w:hAnsi="宋体" w:cs="Arial"/>
                <w:color w:val="auto"/>
                <w:kern w:val="0"/>
                <w:szCs w:val="21"/>
              </w:rPr>
              <w:t>项目编码</w:t>
            </w:r>
          </w:p>
        </w:tc>
        <w:tc>
          <w:tcPr>
            <w:tcW w:w="590" w:type="pct"/>
            <w:tcBorders>
              <w:top w:val="single" w:color="000000" w:sz="8" w:space="0"/>
              <w:left w:val="nil"/>
              <w:bottom w:val="single" w:color="000000" w:sz="4" w:space="0"/>
              <w:right w:val="single" w:color="000000" w:sz="4" w:space="0"/>
            </w:tcBorders>
            <w:noWrap w:val="0"/>
            <w:vAlign w:val="center"/>
          </w:tcPr>
          <w:p w14:paraId="2AB29F5C">
            <w:pPr>
              <w:widowControl/>
              <w:jc w:val="center"/>
              <w:rPr>
                <w:rFonts w:ascii="宋体" w:hAnsi="宋体" w:cs="Arial"/>
                <w:color w:val="auto"/>
                <w:kern w:val="0"/>
                <w:szCs w:val="21"/>
              </w:rPr>
            </w:pPr>
          </w:p>
        </w:tc>
        <w:tc>
          <w:tcPr>
            <w:tcW w:w="548" w:type="pct"/>
            <w:gridSpan w:val="2"/>
            <w:tcBorders>
              <w:top w:val="single" w:color="000000" w:sz="8" w:space="0"/>
              <w:left w:val="nil"/>
              <w:bottom w:val="single" w:color="000000" w:sz="4" w:space="0"/>
              <w:right w:val="single" w:color="000000" w:sz="4" w:space="0"/>
            </w:tcBorders>
            <w:noWrap w:val="0"/>
            <w:vAlign w:val="center"/>
          </w:tcPr>
          <w:p w14:paraId="64778B6A">
            <w:pPr>
              <w:widowControl/>
              <w:jc w:val="center"/>
              <w:rPr>
                <w:rFonts w:ascii="宋体" w:hAnsi="宋体" w:cs="Arial"/>
                <w:color w:val="auto"/>
                <w:kern w:val="0"/>
                <w:szCs w:val="21"/>
              </w:rPr>
            </w:pPr>
            <w:r>
              <w:rPr>
                <w:rFonts w:hint="eastAsia" w:ascii="宋体" w:hAnsi="宋体" w:cs="Arial"/>
                <w:color w:val="auto"/>
                <w:kern w:val="0"/>
                <w:szCs w:val="21"/>
              </w:rPr>
              <w:t>项目名称</w:t>
            </w:r>
          </w:p>
        </w:tc>
        <w:tc>
          <w:tcPr>
            <w:tcW w:w="1743" w:type="pct"/>
            <w:gridSpan w:val="6"/>
            <w:tcBorders>
              <w:top w:val="single" w:color="000000" w:sz="8" w:space="0"/>
              <w:left w:val="nil"/>
              <w:bottom w:val="single" w:color="000000" w:sz="4" w:space="0"/>
              <w:right w:val="single" w:color="000000" w:sz="4" w:space="0"/>
            </w:tcBorders>
            <w:noWrap w:val="0"/>
            <w:vAlign w:val="center"/>
          </w:tcPr>
          <w:p w14:paraId="4EDEFAA5">
            <w:pPr>
              <w:widowControl/>
              <w:jc w:val="center"/>
              <w:rPr>
                <w:rFonts w:ascii="宋体" w:hAnsi="宋体" w:cs="Arial"/>
                <w:color w:val="auto"/>
                <w:kern w:val="0"/>
                <w:szCs w:val="21"/>
              </w:rPr>
            </w:pPr>
          </w:p>
        </w:tc>
        <w:tc>
          <w:tcPr>
            <w:tcW w:w="548" w:type="pct"/>
            <w:gridSpan w:val="2"/>
            <w:tcBorders>
              <w:top w:val="single" w:color="000000" w:sz="8" w:space="0"/>
              <w:left w:val="nil"/>
              <w:bottom w:val="single" w:color="000000" w:sz="4" w:space="0"/>
              <w:right w:val="single" w:color="000000" w:sz="4" w:space="0"/>
            </w:tcBorders>
            <w:noWrap w:val="0"/>
            <w:vAlign w:val="center"/>
          </w:tcPr>
          <w:p w14:paraId="39F09E85">
            <w:pPr>
              <w:widowControl/>
              <w:jc w:val="center"/>
              <w:rPr>
                <w:rFonts w:ascii="宋体" w:hAnsi="宋体" w:cs="Arial"/>
                <w:color w:val="auto"/>
                <w:kern w:val="0"/>
                <w:szCs w:val="21"/>
              </w:rPr>
            </w:pPr>
            <w:r>
              <w:rPr>
                <w:rFonts w:hint="eastAsia" w:ascii="宋体" w:hAnsi="宋体" w:cs="Arial"/>
                <w:color w:val="auto"/>
                <w:kern w:val="0"/>
                <w:szCs w:val="21"/>
              </w:rPr>
              <w:t>计量单位</w:t>
            </w:r>
          </w:p>
        </w:tc>
        <w:tc>
          <w:tcPr>
            <w:tcW w:w="323" w:type="pct"/>
            <w:tcBorders>
              <w:top w:val="single" w:color="000000" w:sz="8" w:space="0"/>
              <w:left w:val="nil"/>
              <w:bottom w:val="single" w:color="000000" w:sz="4" w:space="0"/>
              <w:right w:val="single" w:color="000000" w:sz="4" w:space="0"/>
            </w:tcBorders>
            <w:noWrap w:val="0"/>
            <w:vAlign w:val="center"/>
          </w:tcPr>
          <w:p w14:paraId="553E6BC3">
            <w:pPr>
              <w:widowControl/>
              <w:jc w:val="center"/>
              <w:rPr>
                <w:rFonts w:ascii="宋体" w:hAnsi="宋体" w:cs="Arial"/>
                <w:color w:val="auto"/>
                <w:kern w:val="0"/>
                <w:szCs w:val="21"/>
              </w:rPr>
            </w:pPr>
          </w:p>
        </w:tc>
        <w:tc>
          <w:tcPr>
            <w:tcW w:w="431" w:type="pct"/>
            <w:tcBorders>
              <w:top w:val="single" w:color="000000" w:sz="8" w:space="0"/>
              <w:left w:val="nil"/>
              <w:bottom w:val="single" w:color="000000" w:sz="4" w:space="0"/>
              <w:right w:val="single" w:color="000000" w:sz="4" w:space="0"/>
            </w:tcBorders>
            <w:noWrap w:val="0"/>
            <w:vAlign w:val="center"/>
          </w:tcPr>
          <w:p w14:paraId="6741882D">
            <w:pPr>
              <w:widowControl/>
              <w:jc w:val="center"/>
              <w:rPr>
                <w:rFonts w:ascii="宋体" w:hAnsi="宋体" w:cs="Arial"/>
                <w:color w:val="auto"/>
                <w:kern w:val="0"/>
                <w:szCs w:val="21"/>
              </w:rPr>
            </w:pPr>
            <w:r>
              <w:rPr>
                <w:rFonts w:hint="eastAsia" w:ascii="宋体" w:hAnsi="宋体" w:cs="Arial"/>
                <w:color w:val="auto"/>
                <w:kern w:val="0"/>
                <w:szCs w:val="21"/>
              </w:rPr>
              <w:t>工程量</w:t>
            </w:r>
          </w:p>
        </w:tc>
        <w:tc>
          <w:tcPr>
            <w:tcW w:w="431" w:type="pct"/>
            <w:tcBorders>
              <w:top w:val="single" w:color="000000" w:sz="8" w:space="0"/>
              <w:left w:val="nil"/>
              <w:bottom w:val="single" w:color="000000" w:sz="4" w:space="0"/>
              <w:right w:val="single" w:color="000000" w:sz="8" w:space="0"/>
            </w:tcBorders>
            <w:noWrap w:val="0"/>
            <w:vAlign w:val="center"/>
          </w:tcPr>
          <w:p w14:paraId="31451521">
            <w:pPr>
              <w:widowControl/>
              <w:jc w:val="center"/>
              <w:rPr>
                <w:rFonts w:ascii="宋体" w:hAnsi="宋体" w:cs="Arial"/>
                <w:color w:val="auto"/>
                <w:kern w:val="0"/>
                <w:szCs w:val="21"/>
              </w:rPr>
            </w:pPr>
          </w:p>
        </w:tc>
      </w:tr>
      <w:tr w14:paraId="6D79E3AA">
        <w:tblPrEx>
          <w:tblCellMar>
            <w:top w:w="0" w:type="dxa"/>
            <w:left w:w="108" w:type="dxa"/>
            <w:bottom w:w="0" w:type="dxa"/>
            <w:right w:w="108" w:type="dxa"/>
          </w:tblCellMar>
        </w:tblPrEx>
        <w:trPr>
          <w:trHeight w:val="567" w:hRule="atLeast"/>
        </w:trPr>
        <w:tc>
          <w:tcPr>
            <w:tcW w:w="5000" w:type="pct"/>
            <w:gridSpan w:val="16"/>
            <w:tcBorders>
              <w:top w:val="single" w:color="000000" w:sz="4" w:space="0"/>
              <w:left w:val="single" w:color="000000" w:sz="8" w:space="0"/>
              <w:bottom w:val="single" w:color="000000" w:sz="4" w:space="0"/>
              <w:right w:val="single" w:color="000000" w:sz="8" w:space="0"/>
            </w:tcBorders>
            <w:noWrap/>
            <w:vAlign w:val="center"/>
          </w:tcPr>
          <w:p w14:paraId="163AD131">
            <w:pPr>
              <w:widowControl/>
              <w:jc w:val="center"/>
              <w:rPr>
                <w:rFonts w:ascii="宋体" w:hAnsi="宋体" w:cs="Arial"/>
                <w:color w:val="auto"/>
                <w:kern w:val="0"/>
                <w:szCs w:val="21"/>
              </w:rPr>
            </w:pPr>
            <w:r>
              <w:rPr>
                <w:rFonts w:hint="eastAsia" w:ascii="宋体" w:hAnsi="宋体" w:cs="Arial"/>
                <w:color w:val="auto"/>
                <w:kern w:val="0"/>
                <w:szCs w:val="21"/>
              </w:rPr>
              <w:t>清单综合单价组成明细</w:t>
            </w:r>
          </w:p>
        </w:tc>
      </w:tr>
      <w:tr w14:paraId="06859381">
        <w:tblPrEx>
          <w:tblCellMar>
            <w:top w:w="0" w:type="dxa"/>
            <w:left w:w="108" w:type="dxa"/>
            <w:bottom w:w="0" w:type="dxa"/>
            <w:right w:w="108" w:type="dxa"/>
          </w:tblCellMar>
        </w:tblPrEx>
        <w:trPr>
          <w:trHeight w:val="343" w:hRule="atLeast"/>
        </w:trPr>
        <w:tc>
          <w:tcPr>
            <w:tcW w:w="222" w:type="pct"/>
            <w:vMerge w:val="restart"/>
            <w:tcBorders>
              <w:top w:val="nil"/>
              <w:left w:val="single" w:color="000000" w:sz="8" w:space="0"/>
              <w:bottom w:val="single" w:color="000000" w:sz="4" w:space="0"/>
              <w:right w:val="single" w:color="000000" w:sz="4" w:space="0"/>
            </w:tcBorders>
            <w:noWrap w:val="0"/>
            <w:vAlign w:val="center"/>
          </w:tcPr>
          <w:p w14:paraId="7913A328">
            <w:pPr>
              <w:widowControl/>
              <w:jc w:val="center"/>
              <w:rPr>
                <w:rFonts w:ascii="宋体" w:hAnsi="宋体" w:cs="Arial"/>
                <w:color w:val="auto"/>
                <w:kern w:val="0"/>
                <w:szCs w:val="21"/>
              </w:rPr>
            </w:pPr>
            <w:r>
              <w:rPr>
                <w:rFonts w:hint="eastAsia" w:ascii="宋体" w:hAnsi="宋体" w:cs="Arial"/>
                <w:color w:val="auto"/>
                <w:kern w:val="0"/>
                <w:szCs w:val="21"/>
              </w:rPr>
              <w:t>定额编码</w:t>
            </w:r>
          </w:p>
        </w:tc>
        <w:tc>
          <w:tcPr>
            <w:tcW w:w="754" w:type="pct"/>
            <w:gridSpan w:val="2"/>
            <w:vMerge w:val="restart"/>
            <w:tcBorders>
              <w:top w:val="single" w:color="000000" w:sz="4" w:space="0"/>
              <w:left w:val="single" w:color="000000" w:sz="4" w:space="0"/>
              <w:bottom w:val="single" w:color="000000" w:sz="4" w:space="0"/>
              <w:right w:val="single" w:color="000000" w:sz="4" w:space="0"/>
            </w:tcBorders>
            <w:noWrap/>
            <w:vAlign w:val="center"/>
          </w:tcPr>
          <w:p w14:paraId="669C2414">
            <w:pPr>
              <w:widowControl/>
              <w:jc w:val="center"/>
              <w:rPr>
                <w:rFonts w:ascii="宋体" w:hAnsi="宋体" w:cs="Arial"/>
                <w:color w:val="auto"/>
                <w:kern w:val="0"/>
                <w:szCs w:val="21"/>
              </w:rPr>
            </w:pPr>
            <w:r>
              <w:rPr>
                <w:rFonts w:hint="eastAsia" w:ascii="宋体" w:hAnsi="宋体" w:cs="Arial"/>
                <w:color w:val="auto"/>
                <w:kern w:val="0"/>
                <w:szCs w:val="21"/>
              </w:rPr>
              <w:t>定额项目名称</w:t>
            </w:r>
          </w:p>
        </w:tc>
        <w:tc>
          <w:tcPr>
            <w:tcW w:w="222" w:type="pct"/>
            <w:vMerge w:val="restart"/>
            <w:tcBorders>
              <w:top w:val="nil"/>
              <w:left w:val="single" w:color="000000" w:sz="4" w:space="0"/>
              <w:bottom w:val="single" w:color="000000" w:sz="4" w:space="0"/>
              <w:right w:val="single" w:color="000000" w:sz="4" w:space="0"/>
            </w:tcBorders>
            <w:noWrap w:val="0"/>
            <w:vAlign w:val="center"/>
          </w:tcPr>
          <w:p w14:paraId="495B532E">
            <w:pPr>
              <w:widowControl/>
              <w:jc w:val="center"/>
              <w:rPr>
                <w:rFonts w:ascii="宋体" w:hAnsi="宋体" w:cs="Arial"/>
                <w:color w:val="auto"/>
                <w:kern w:val="0"/>
                <w:szCs w:val="21"/>
              </w:rPr>
            </w:pPr>
            <w:r>
              <w:rPr>
                <w:rFonts w:hint="eastAsia" w:ascii="宋体" w:hAnsi="宋体" w:cs="Arial"/>
                <w:color w:val="auto"/>
                <w:kern w:val="0"/>
                <w:szCs w:val="21"/>
              </w:rPr>
              <w:t>定额单位</w:t>
            </w:r>
          </w:p>
        </w:tc>
        <w:tc>
          <w:tcPr>
            <w:tcW w:w="326" w:type="pct"/>
            <w:vMerge w:val="restart"/>
            <w:tcBorders>
              <w:top w:val="nil"/>
              <w:left w:val="single" w:color="000000" w:sz="4" w:space="0"/>
              <w:bottom w:val="single" w:color="000000" w:sz="4" w:space="0"/>
              <w:right w:val="single" w:color="000000" w:sz="4" w:space="0"/>
            </w:tcBorders>
            <w:noWrap/>
            <w:vAlign w:val="center"/>
          </w:tcPr>
          <w:p w14:paraId="0B32465E">
            <w:pPr>
              <w:widowControl/>
              <w:jc w:val="center"/>
              <w:rPr>
                <w:rFonts w:ascii="宋体" w:hAnsi="宋体" w:cs="Arial"/>
                <w:color w:val="auto"/>
                <w:kern w:val="0"/>
                <w:szCs w:val="21"/>
              </w:rPr>
            </w:pPr>
            <w:r>
              <w:rPr>
                <w:rFonts w:hint="eastAsia" w:ascii="宋体" w:hAnsi="宋体" w:cs="Arial"/>
                <w:color w:val="auto"/>
                <w:kern w:val="0"/>
                <w:szCs w:val="21"/>
              </w:rPr>
              <w:t>数量</w:t>
            </w:r>
          </w:p>
        </w:tc>
        <w:tc>
          <w:tcPr>
            <w:tcW w:w="1743" w:type="pct"/>
            <w:gridSpan w:val="6"/>
            <w:tcBorders>
              <w:top w:val="single" w:color="000000" w:sz="4" w:space="0"/>
              <w:left w:val="nil"/>
              <w:bottom w:val="single" w:color="000000" w:sz="4" w:space="0"/>
              <w:right w:val="single" w:color="000000" w:sz="4" w:space="0"/>
            </w:tcBorders>
            <w:noWrap/>
            <w:vAlign w:val="center"/>
          </w:tcPr>
          <w:p w14:paraId="656563DA">
            <w:pPr>
              <w:widowControl/>
              <w:jc w:val="center"/>
              <w:rPr>
                <w:rFonts w:ascii="宋体" w:hAnsi="宋体" w:cs="Arial"/>
                <w:color w:val="auto"/>
                <w:kern w:val="0"/>
                <w:szCs w:val="21"/>
              </w:rPr>
            </w:pPr>
            <w:r>
              <w:rPr>
                <w:rFonts w:hint="eastAsia" w:ascii="宋体" w:hAnsi="宋体" w:cs="Arial"/>
                <w:color w:val="auto"/>
                <w:kern w:val="0"/>
                <w:szCs w:val="21"/>
              </w:rPr>
              <w:t>单价</w:t>
            </w:r>
          </w:p>
        </w:tc>
        <w:tc>
          <w:tcPr>
            <w:tcW w:w="1732" w:type="pct"/>
            <w:gridSpan w:val="5"/>
            <w:tcBorders>
              <w:top w:val="single" w:color="000000" w:sz="4" w:space="0"/>
              <w:left w:val="nil"/>
              <w:bottom w:val="single" w:color="000000" w:sz="4" w:space="0"/>
              <w:right w:val="single" w:color="000000" w:sz="8" w:space="0"/>
            </w:tcBorders>
            <w:noWrap/>
            <w:vAlign w:val="center"/>
          </w:tcPr>
          <w:p w14:paraId="657CD55B">
            <w:pPr>
              <w:widowControl/>
              <w:jc w:val="center"/>
              <w:rPr>
                <w:rFonts w:ascii="宋体" w:hAnsi="宋体" w:cs="Arial"/>
                <w:color w:val="auto"/>
                <w:kern w:val="0"/>
                <w:szCs w:val="21"/>
              </w:rPr>
            </w:pPr>
            <w:r>
              <w:rPr>
                <w:rFonts w:hint="eastAsia" w:ascii="宋体" w:hAnsi="宋体" w:cs="Arial"/>
                <w:color w:val="auto"/>
                <w:kern w:val="0"/>
                <w:szCs w:val="21"/>
              </w:rPr>
              <w:t>合价</w:t>
            </w:r>
          </w:p>
        </w:tc>
      </w:tr>
      <w:tr w14:paraId="7F82D649">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4" w:space="0"/>
              <w:right w:val="single" w:color="000000" w:sz="4" w:space="0"/>
            </w:tcBorders>
            <w:noWrap w:val="0"/>
            <w:vAlign w:val="center"/>
          </w:tcPr>
          <w:p w14:paraId="2C224B9F">
            <w:pPr>
              <w:widowControl/>
              <w:jc w:val="left"/>
              <w:rPr>
                <w:rFonts w:ascii="宋体" w:hAnsi="宋体" w:cs="Arial"/>
                <w:color w:val="auto"/>
                <w:kern w:val="0"/>
                <w:szCs w:val="21"/>
              </w:rPr>
            </w:pPr>
          </w:p>
        </w:tc>
        <w:tc>
          <w:tcPr>
            <w:tcW w:w="7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C1F3AEA">
            <w:pPr>
              <w:widowControl/>
              <w:jc w:val="left"/>
              <w:rPr>
                <w:rFonts w:ascii="宋体" w:hAnsi="宋体" w:cs="Arial"/>
                <w:color w:val="auto"/>
                <w:kern w:val="0"/>
                <w:szCs w:val="21"/>
              </w:rPr>
            </w:pPr>
          </w:p>
        </w:tc>
        <w:tc>
          <w:tcPr>
            <w:tcW w:w="222" w:type="pct"/>
            <w:vMerge w:val="continue"/>
            <w:tcBorders>
              <w:top w:val="nil"/>
              <w:left w:val="single" w:color="000000" w:sz="4" w:space="0"/>
              <w:bottom w:val="single" w:color="000000" w:sz="4" w:space="0"/>
              <w:right w:val="single" w:color="000000" w:sz="4" w:space="0"/>
            </w:tcBorders>
            <w:noWrap w:val="0"/>
            <w:vAlign w:val="center"/>
          </w:tcPr>
          <w:p w14:paraId="57A355A9">
            <w:pPr>
              <w:widowControl/>
              <w:jc w:val="left"/>
              <w:rPr>
                <w:rFonts w:ascii="宋体" w:hAnsi="宋体" w:cs="Arial"/>
                <w:color w:val="auto"/>
                <w:kern w:val="0"/>
                <w:szCs w:val="21"/>
              </w:rPr>
            </w:pPr>
          </w:p>
        </w:tc>
        <w:tc>
          <w:tcPr>
            <w:tcW w:w="326" w:type="pct"/>
            <w:vMerge w:val="continue"/>
            <w:tcBorders>
              <w:top w:val="nil"/>
              <w:left w:val="single" w:color="000000" w:sz="4" w:space="0"/>
              <w:bottom w:val="single" w:color="000000" w:sz="4" w:space="0"/>
              <w:right w:val="single" w:color="000000" w:sz="4" w:space="0"/>
            </w:tcBorders>
            <w:noWrap w:val="0"/>
            <w:vAlign w:val="center"/>
          </w:tcPr>
          <w:p w14:paraId="684A4C75">
            <w:pPr>
              <w:widowControl/>
              <w:jc w:val="left"/>
              <w:rPr>
                <w:rFonts w:ascii="宋体" w:hAnsi="宋体" w:cs="Arial"/>
                <w:color w:val="auto"/>
                <w:kern w:val="0"/>
                <w:szCs w:val="21"/>
              </w:rPr>
            </w:pPr>
          </w:p>
        </w:tc>
        <w:tc>
          <w:tcPr>
            <w:tcW w:w="431" w:type="pct"/>
            <w:tcBorders>
              <w:top w:val="nil"/>
              <w:left w:val="nil"/>
              <w:bottom w:val="single" w:color="000000" w:sz="4" w:space="0"/>
              <w:right w:val="single" w:color="000000" w:sz="4" w:space="0"/>
            </w:tcBorders>
            <w:noWrap/>
            <w:vAlign w:val="center"/>
          </w:tcPr>
          <w:p w14:paraId="619C6C34">
            <w:pPr>
              <w:widowControl/>
              <w:jc w:val="center"/>
              <w:rPr>
                <w:rFonts w:ascii="宋体" w:hAnsi="宋体" w:cs="Arial"/>
                <w:color w:val="auto"/>
                <w:kern w:val="0"/>
                <w:szCs w:val="21"/>
              </w:rPr>
            </w:pPr>
            <w:r>
              <w:rPr>
                <w:rFonts w:hint="eastAsia" w:ascii="宋体" w:hAnsi="宋体" w:cs="Arial"/>
                <w:color w:val="auto"/>
                <w:kern w:val="0"/>
                <w:szCs w:val="21"/>
              </w:rPr>
              <w:t>人工费</w:t>
            </w:r>
          </w:p>
        </w:tc>
        <w:tc>
          <w:tcPr>
            <w:tcW w:w="444" w:type="pct"/>
            <w:gridSpan w:val="2"/>
            <w:tcBorders>
              <w:top w:val="single" w:color="000000" w:sz="4" w:space="0"/>
              <w:left w:val="nil"/>
              <w:bottom w:val="single" w:color="000000" w:sz="4" w:space="0"/>
              <w:right w:val="single" w:color="000000" w:sz="4" w:space="0"/>
            </w:tcBorders>
            <w:noWrap/>
            <w:vAlign w:val="center"/>
          </w:tcPr>
          <w:p w14:paraId="74085BF8">
            <w:pPr>
              <w:widowControl/>
              <w:jc w:val="center"/>
              <w:rPr>
                <w:rFonts w:ascii="宋体" w:hAnsi="宋体" w:cs="Arial"/>
                <w:color w:val="auto"/>
                <w:kern w:val="0"/>
                <w:szCs w:val="21"/>
              </w:rPr>
            </w:pPr>
            <w:r>
              <w:rPr>
                <w:rFonts w:hint="eastAsia" w:ascii="宋体" w:hAnsi="宋体" w:cs="Arial"/>
                <w:color w:val="auto"/>
                <w:kern w:val="0"/>
                <w:szCs w:val="21"/>
              </w:rPr>
              <w:t>材料费</w:t>
            </w:r>
          </w:p>
        </w:tc>
        <w:tc>
          <w:tcPr>
            <w:tcW w:w="490" w:type="pct"/>
            <w:gridSpan w:val="2"/>
            <w:tcBorders>
              <w:top w:val="single" w:color="000000" w:sz="4" w:space="0"/>
              <w:left w:val="nil"/>
              <w:bottom w:val="single" w:color="000000" w:sz="4" w:space="0"/>
              <w:right w:val="single" w:color="000000" w:sz="4" w:space="0"/>
            </w:tcBorders>
            <w:noWrap/>
            <w:vAlign w:val="center"/>
          </w:tcPr>
          <w:p w14:paraId="7872A3BA">
            <w:pPr>
              <w:widowControl/>
              <w:jc w:val="center"/>
              <w:rPr>
                <w:rFonts w:ascii="宋体" w:hAnsi="宋体" w:cs="Arial"/>
                <w:color w:val="auto"/>
                <w:kern w:val="0"/>
                <w:szCs w:val="21"/>
              </w:rPr>
            </w:pPr>
            <w:r>
              <w:rPr>
                <w:rFonts w:hint="eastAsia" w:ascii="宋体" w:hAnsi="宋体" w:cs="Arial"/>
                <w:color w:val="auto"/>
                <w:kern w:val="0"/>
                <w:szCs w:val="21"/>
              </w:rPr>
              <w:t>机械费</w:t>
            </w:r>
          </w:p>
        </w:tc>
        <w:tc>
          <w:tcPr>
            <w:tcW w:w="379" w:type="pct"/>
            <w:tcBorders>
              <w:top w:val="nil"/>
              <w:left w:val="nil"/>
              <w:bottom w:val="single" w:color="000000" w:sz="4" w:space="0"/>
              <w:right w:val="single" w:color="000000" w:sz="4" w:space="0"/>
            </w:tcBorders>
            <w:noWrap/>
            <w:vAlign w:val="center"/>
          </w:tcPr>
          <w:p w14:paraId="4866BFE5">
            <w:pPr>
              <w:widowControl/>
              <w:jc w:val="center"/>
              <w:rPr>
                <w:rFonts w:ascii="宋体" w:hAnsi="宋体" w:cs="Arial"/>
                <w:color w:val="auto"/>
                <w:kern w:val="0"/>
                <w:szCs w:val="21"/>
              </w:rPr>
            </w:pPr>
            <w:r>
              <w:rPr>
                <w:rFonts w:hint="eastAsia" w:ascii="宋体" w:hAnsi="宋体" w:cs="Arial"/>
                <w:color w:val="auto"/>
                <w:kern w:val="0"/>
                <w:szCs w:val="21"/>
              </w:rPr>
              <w:t>综合费</w:t>
            </w:r>
          </w:p>
        </w:tc>
        <w:tc>
          <w:tcPr>
            <w:tcW w:w="431" w:type="pct"/>
            <w:tcBorders>
              <w:top w:val="single" w:color="000000" w:sz="4" w:space="0"/>
              <w:left w:val="nil"/>
              <w:bottom w:val="single" w:color="000000" w:sz="4" w:space="0"/>
              <w:right w:val="single" w:color="000000" w:sz="4" w:space="0"/>
            </w:tcBorders>
            <w:noWrap/>
            <w:vAlign w:val="center"/>
          </w:tcPr>
          <w:p w14:paraId="68E07844">
            <w:pPr>
              <w:widowControl/>
              <w:jc w:val="center"/>
              <w:rPr>
                <w:rFonts w:ascii="宋体" w:hAnsi="宋体" w:cs="Arial"/>
                <w:color w:val="auto"/>
                <w:kern w:val="0"/>
                <w:szCs w:val="21"/>
              </w:rPr>
            </w:pPr>
            <w:r>
              <w:rPr>
                <w:rFonts w:hint="eastAsia" w:ascii="宋体" w:hAnsi="宋体" w:cs="Arial"/>
                <w:color w:val="auto"/>
                <w:kern w:val="0"/>
                <w:szCs w:val="21"/>
              </w:rPr>
              <w:t>人工费</w:t>
            </w:r>
          </w:p>
        </w:tc>
        <w:tc>
          <w:tcPr>
            <w:tcW w:w="441" w:type="pct"/>
            <w:gridSpan w:val="2"/>
            <w:tcBorders>
              <w:top w:val="single" w:color="000000" w:sz="4" w:space="0"/>
              <w:left w:val="nil"/>
              <w:bottom w:val="single" w:color="000000" w:sz="4" w:space="0"/>
              <w:right w:val="single" w:color="000000" w:sz="4" w:space="0"/>
            </w:tcBorders>
            <w:noWrap/>
            <w:vAlign w:val="center"/>
          </w:tcPr>
          <w:p w14:paraId="13F8B60A">
            <w:pPr>
              <w:widowControl/>
              <w:jc w:val="center"/>
              <w:rPr>
                <w:rFonts w:ascii="宋体" w:hAnsi="宋体" w:cs="Arial"/>
                <w:color w:val="auto"/>
                <w:kern w:val="0"/>
                <w:szCs w:val="21"/>
              </w:rPr>
            </w:pPr>
            <w:r>
              <w:rPr>
                <w:rFonts w:hint="eastAsia" w:ascii="宋体" w:hAnsi="宋体" w:cs="Arial"/>
                <w:color w:val="auto"/>
                <w:kern w:val="0"/>
                <w:szCs w:val="21"/>
              </w:rPr>
              <w:t>材料费</w:t>
            </w:r>
          </w:p>
        </w:tc>
        <w:tc>
          <w:tcPr>
            <w:tcW w:w="431" w:type="pct"/>
            <w:tcBorders>
              <w:top w:val="nil"/>
              <w:left w:val="nil"/>
              <w:bottom w:val="single" w:color="000000" w:sz="4" w:space="0"/>
              <w:right w:val="single" w:color="000000" w:sz="4" w:space="0"/>
            </w:tcBorders>
            <w:noWrap/>
            <w:vAlign w:val="center"/>
          </w:tcPr>
          <w:p w14:paraId="794BBD86">
            <w:pPr>
              <w:widowControl/>
              <w:jc w:val="center"/>
              <w:rPr>
                <w:rFonts w:ascii="宋体" w:hAnsi="宋体" w:cs="Arial"/>
                <w:color w:val="auto"/>
                <w:kern w:val="0"/>
                <w:szCs w:val="21"/>
              </w:rPr>
            </w:pPr>
            <w:r>
              <w:rPr>
                <w:rFonts w:hint="eastAsia" w:ascii="宋体" w:hAnsi="宋体" w:cs="Arial"/>
                <w:color w:val="auto"/>
                <w:kern w:val="0"/>
                <w:szCs w:val="21"/>
              </w:rPr>
              <w:t>机械费</w:t>
            </w:r>
          </w:p>
        </w:tc>
        <w:tc>
          <w:tcPr>
            <w:tcW w:w="431" w:type="pct"/>
            <w:tcBorders>
              <w:top w:val="nil"/>
              <w:left w:val="nil"/>
              <w:bottom w:val="single" w:color="000000" w:sz="4" w:space="0"/>
              <w:right w:val="single" w:color="000000" w:sz="8" w:space="0"/>
            </w:tcBorders>
            <w:noWrap/>
            <w:vAlign w:val="center"/>
          </w:tcPr>
          <w:p w14:paraId="23FCBCC2">
            <w:pPr>
              <w:widowControl/>
              <w:jc w:val="center"/>
              <w:rPr>
                <w:rFonts w:ascii="宋体" w:hAnsi="宋体" w:cs="Arial"/>
                <w:color w:val="auto"/>
                <w:kern w:val="0"/>
                <w:szCs w:val="21"/>
              </w:rPr>
            </w:pPr>
            <w:r>
              <w:rPr>
                <w:rFonts w:hint="eastAsia" w:ascii="宋体" w:hAnsi="宋体" w:cs="Arial"/>
                <w:color w:val="auto"/>
                <w:kern w:val="0"/>
                <w:szCs w:val="21"/>
              </w:rPr>
              <w:t>综合费</w:t>
            </w:r>
          </w:p>
        </w:tc>
      </w:tr>
      <w:tr w14:paraId="37ECF903">
        <w:tblPrEx>
          <w:tblCellMar>
            <w:top w:w="0" w:type="dxa"/>
            <w:left w:w="108" w:type="dxa"/>
            <w:bottom w:w="0" w:type="dxa"/>
            <w:right w:w="108" w:type="dxa"/>
          </w:tblCellMar>
        </w:tblPrEx>
        <w:trPr>
          <w:trHeight w:val="567" w:hRule="atLeast"/>
        </w:trPr>
        <w:tc>
          <w:tcPr>
            <w:tcW w:w="222" w:type="pct"/>
            <w:tcBorders>
              <w:top w:val="nil"/>
              <w:left w:val="single" w:color="000000" w:sz="8" w:space="0"/>
              <w:bottom w:val="single" w:color="000000" w:sz="4" w:space="0"/>
              <w:right w:val="single" w:color="000000" w:sz="4" w:space="0"/>
            </w:tcBorders>
            <w:noWrap w:val="0"/>
            <w:vAlign w:val="center"/>
          </w:tcPr>
          <w:p w14:paraId="64BB7791">
            <w:pPr>
              <w:widowControl/>
              <w:jc w:val="center"/>
              <w:rPr>
                <w:rFonts w:ascii="宋体" w:hAnsi="宋体" w:cs="Arial"/>
                <w:color w:val="auto"/>
                <w:kern w:val="0"/>
                <w:szCs w:val="21"/>
              </w:rPr>
            </w:pPr>
          </w:p>
        </w:tc>
        <w:tc>
          <w:tcPr>
            <w:tcW w:w="754" w:type="pct"/>
            <w:gridSpan w:val="2"/>
            <w:tcBorders>
              <w:top w:val="single" w:color="000000" w:sz="4" w:space="0"/>
              <w:left w:val="nil"/>
              <w:bottom w:val="single" w:color="000000" w:sz="4" w:space="0"/>
              <w:right w:val="single" w:color="000000" w:sz="4" w:space="0"/>
            </w:tcBorders>
            <w:noWrap w:val="0"/>
            <w:vAlign w:val="center"/>
          </w:tcPr>
          <w:p w14:paraId="7841B7EB">
            <w:pPr>
              <w:widowControl/>
              <w:jc w:val="left"/>
              <w:rPr>
                <w:rFonts w:ascii="宋体" w:hAnsi="宋体" w:cs="Arial"/>
                <w:color w:val="auto"/>
                <w:kern w:val="0"/>
                <w:szCs w:val="21"/>
              </w:rPr>
            </w:pPr>
          </w:p>
        </w:tc>
        <w:tc>
          <w:tcPr>
            <w:tcW w:w="222" w:type="pct"/>
            <w:tcBorders>
              <w:top w:val="nil"/>
              <w:left w:val="nil"/>
              <w:bottom w:val="single" w:color="000000" w:sz="4" w:space="0"/>
              <w:right w:val="single" w:color="000000" w:sz="4" w:space="0"/>
            </w:tcBorders>
            <w:noWrap w:val="0"/>
            <w:vAlign w:val="center"/>
          </w:tcPr>
          <w:p w14:paraId="58D0E4CC">
            <w:pPr>
              <w:widowControl/>
              <w:jc w:val="center"/>
              <w:rPr>
                <w:rFonts w:ascii="宋体" w:hAnsi="宋体" w:cs="Arial"/>
                <w:color w:val="auto"/>
                <w:kern w:val="0"/>
                <w:szCs w:val="21"/>
              </w:rPr>
            </w:pPr>
          </w:p>
        </w:tc>
        <w:tc>
          <w:tcPr>
            <w:tcW w:w="326" w:type="pct"/>
            <w:tcBorders>
              <w:top w:val="nil"/>
              <w:left w:val="nil"/>
              <w:bottom w:val="single" w:color="000000" w:sz="4" w:space="0"/>
              <w:right w:val="single" w:color="000000" w:sz="4" w:space="0"/>
            </w:tcBorders>
            <w:noWrap w:val="0"/>
            <w:vAlign w:val="center"/>
          </w:tcPr>
          <w:p w14:paraId="4CB2F605">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4" w:space="0"/>
            </w:tcBorders>
            <w:noWrap w:val="0"/>
            <w:vAlign w:val="center"/>
          </w:tcPr>
          <w:p w14:paraId="1DEE3FC3">
            <w:pPr>
              <w:widowControl/>
              <w:jc w:val="right"/>
              <w:rPr>
                <w:rFonts w:ascii="宋体" w:hAnsi="宋体" w:cs="Arial"/>
                <w:color w:val="auto"/>
                <w:kern w:val="0"/>
                <w:szCs w:val="21"/>
              </w:rPr>
            </w:pPr>
          </w:p>
        </w:tc>
        <w:tc>
          <w:tcPr>
            <w:tcW w:w="444" w:type="pct"/>
            <w:gridSpan w:val="2"/>
            <w:tcBorders>
              <w:top w:val="single" w:color="000000" w:sz="4" w:space="0"/>
              <w:left w:val="nil"/>
              <w:bottom w:val="single" w:color="000000" w:sz="4" w:space="0"/>
              <w:right w:val="single" w:color="000000" w:sz="4" w:space="0"/>
            </w:tcBorders>
            <w:noWrap w:val="0"/>
            <w:vAlign w:val="center"/>
          </w:tcPr>
          <w:p w14:paraId="2B72FFE1">
            <w:pPr>
              <w:widowControl/>
              <w:jc w:val="right"/>
              <w:rPr>
                <w:rFonts w:ascii="宋体" w:hAnsi="宋体" w:cs="Arial"/>
                <w:color w:val="auto"/>
                <w:kern w:val="0"/>
                <w:szCs w:val="21"/>
              </w:rPr>
            </w:pPr>
          </w:p>
        </w:tc>
        <w:tc>
          <w:tcPr>
            <w:tcW w:w="490" w:type="pct"/>
            <w:gridSpan w:val="2"/>
            <w:tcBorders>
              <w:top w:val="single" w:color="000000" w:sz="4" w:space="0"/>
              <w:left w:val="nil"/>
              <w:bottom w:val="single" w:color="000000" w:sz="4" w:space="0"/>
              <w:right w:val="single" w:color="000000" w:sz="4" w:space="0"/>
            </w:tcBorders>
            <w:noWrap w:val="0"/>
            <w:vAlign w:val="center"/>
          </w:tcPr>
          <w:p w14:paraId="266BC94B">
            <w:pPr>
              <w:widowControl/>
              <w:jc w:val="right"/>
              <w:rPr>
                <w:rFonts w:ascii="宋体" w:hAnsi="宋体" w:cs="Arial"/>
                <w:color w:val="auto"/>
                <w:kern w:val="0"/>
                <w:szCs w:val="21"/>
              </w:rPr>
            </w:pPr>
          </w:p>
        </w:tc>
        <w:tc>
          <w:tcPr>
            <w:tcW w:w="379" w:type="pct"/>
            <w:tcBorders>
              <w:top w:val="nil"/>
              <w:left w:val="nil"/>
              <w:bottom w:val="single" w:color="000000" w:sz="4" w:space="0"/>
              <w:right w:val="single" w:color="000000" w:sz="4" w:space="0"/>
            </w:tcBorders>
            <w:noWrap w:val="0"/>
            <w:vAlign w:val="center"/>
          </w:tcPr>
          <w:p w14:paraId="4C9B46EB">
            <w:pPr>
              <w:widowControl/>
              <w:jc w:val="right"/>
              <w:rPr>
                <w:rFonts w:ascii="宋体" w:hAnsi="宋体" w:cs="Arial"/>
                <w:color w:val="auto"/>
                <w:kern w:val="0"/>
                <w:szCs w:val="21"/>
              </w:rPr>
            </w:pPr>
          </w:p>
        </w:tc>
        <w:tc>
          <w:tcPr>
            <w:tcW w:w="431" w:type="pct"/>
            <w:tcBorders>
              <w:top w:val="single" w:color="000000" w:sz="4" w:space="0"/>
              <w:left w:val="nil"/>
              <w:bottom w:val="single" w:color="000000" w:sz="4" w:space="0"/>
              <w:right w:val="single" w:color="000000" w:sz="4" w:space="0"/>
            </w:tcBorders>
            <w:noWrap w:val="0"/>
            <w:vAlign w:val="center"/>
          </w:tcPr>
          <w:p w14:paraId="34664EC1">
            <w:pPr>
              <w:widowControl/>
              <w:jc w:val="right"/>
              <w:rPr>
                <w:rFonts w:ascii="宋体" w:hAnsi="宋体" w:cs="Arial"/>
                <w:color w:val="auto"/>
                <w:kern w:val="0"/>
                <w:szCs w:val="21"/>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01A83670">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4" w:space="0"/>
            </w:tcBorders>
            <w:noWrap w:val="0"/>
            <w:vAlign w:val="center"/>
          </w:tcPr>
          <w:p w14:paraId="07E25DEB">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8" w:space="0"/>
            </w:tcBorders>
            <w:noWrap w:val="0"/>
            <w:vAlign w:val="center"/>
          </w:tcPr>
          <w:p w14:paraId="3CCF2409">
            <w:pPr>
              <w:widowControl/>
              <w:jc w:val="right"/>
              <w:rPr>
                <w:rFonts w:ascii="宋体" w:hAnsi="宋体" w:cs="Arial"/>
                <w:color w:val="auto"/>
                <w:kern w:val="0"/>
                <w:szCs w:val="21"/>
              </w:rPr>
            </w:pPr>
          </w:p>
        </w:tc>
      </w:tr>
      <w:tr w14:paraId="3AC0A357">
        <w:tblPrEx>
          <w:tblCellMar>
            <w:top w:w="0" w:type="dxa"/>
            <w:left w:w="108" w:type="dxa"/>
            <w:bottom w:w="0" w:type="dxa"/>
            <w:right w:w="108" w:type="dxa"/>
          </w:tblCellMar>
        </w:tblPrEx>
        <w:trPr>
          <w:trHeight w:val="567" w:hRule="atLeast"/>
        </w:trPr>
        <w:tc>
          <w:tcPr>
            <w:tcW w:w="976" w:type="pct"/>
            <w:gridSpan w:val="3"/>
            <w:tcBorders>
              <w:top w:val="single" w:color="000000" w:sz="4" w:space="0"/>
              <w:left w:val="single" w:color="000000" w:sz="8" w:space="0"/>
              <w:bottom w:val="single" w:color="000000" w:sz="4" w:space="0"/>
              <w:right w:val="single" w:color="000000" w:sz="4" w:space="0"/>
            </w:tcBorders>
            <w:noWrap/>
            <w:vAlign w:val="center"/>
          </w:tcPr>
          <w:p w14:paraId="632B81BF">
            <w:pPr>
              <w:widowControl/>
              <w:jc w:val="center"/>
              <w:rPr>
                <w:rFonts w:ascii="宋体" w:hAnsi="宋体" w:cs="Arial"/>
                <w:color w:val="auto"/>
                <w:kern w:val="0"/>
                <w:szCs w:val="21"/>
              </w:rPr>
            </w:pPr>
            <w:r>
              <w:rPr>
                <w:rFonts w:hint="eastAsia" w:ascii="宋体" w:hAnsi="宋体" w:cs="Arial"/>
                <w:color w:val="auto"/>
                <w:kern w:val="0"/>
                <w:szCs w:val="21"/>
              </w:rPr>
              <w:t>人工单价</w:t>
            </w:r>
          </w:p>
        </w:tc>
        <w:tc>
          <w:tcPr>
            <w:tcW w:w="2292" w:type="pct"/>
            <w:gridSpan w:val="8"/>
            <w:tcBorders>
              <w:top w:val="single" w:color="000000" w:sz="4" w:space="0"/>
              <w:left w:val="nil"/>
              <w:bottom w:val="single" w:color="000000" w:sz="4" w:space="0"/>
              <w:right w:val="single" w:color="000000" w:sz="4" w:space="0"/>
            </w:tcBorders>
            <w:noWrap/>
            <w:vAlign w:val="center"/>
          </w:tcPr>
          <w:p w14:paraId="24D0AFBC">
            <w:pPr>
              <w:widowControl/>
              <w:jc w:val="center"/>
              <w:rPr>
                <w:rFonts w:ascii="宋体" w:hAnsi="宋体" w:cs="Arial"/>
                <w:color w:val="auto"/>
                <w:kern w:val="0"/>
                <w:szCs w:val="21"/>
              </w:rPr>
            </w:pPr>
            <w:r>
              <w:rPr>
                <w:rFonts w:hint="eastAsia" w:ascii="宋体" w:hAnsi="宋体" w:cs="Arial"/>
                <w:color w:val="auto"/>
                <w:kern w:val="0"/>
                <w:szCs w:val="21"/>
              </w:rPr>
              <w:t>小计</w:t>
            </w:r>
          </w:p>
        </w:tc>
        <w:tc>
          <w:tcPr>
            <w:tcW w:w="431" w:type="pct"/>
            <w:tcBorders>
              <w:top w:val="single" w:color="000000" w:sz="4" w:space="0"/>
              <w:left w:val="nil"/>
              <w:bottom w:val="single" w:color="000000" w:sz="4" w:space="0"/>
              <w:right w:val="single" w:color="000000" w:sz="4" w:space="0"/>
            </w:tcBorders>
            <w:noWrap w:val="0"/>
            <w:vAlign w:val="center"/>
          </w:tcPr>
          <w:p w14:paraId="5C50AAEB">
            <w:pPr>
              <w:widowControl/>
              <w:jc w:val="right"/>
              <w:rPr>
                <w:rFonts w:ascii="宋体" w:hAnsi="宋体" w:cs="Arial"/>
                <w:color w:val="auto"/>
                <w:kern w:val="0"/>
                <w:szCs w:val="21"/>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646E88A6">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4" w:space="0"/>
            </w:tcBorders>
            <w:noWrap w:val="0"/>
            <w:vAlign w:val="center"/>
          </w:tcPr>
          <w:p w14:paraId="74D60EB2">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8" w:space="0"/>
            </w:tcBorders>
            <w:noWrap w:val="0"/>
            <w:vAlign w:val="center"/>
          </w:tcPr>
          <w:p w14:paraId="0575C915">
            <w:pPr>
              <w:widowControl/>
              <w:jc w:val="right"/>
              <w:rPr>
                <w:rFonts w:ascii="宋体" w:hAnsi="宋体" w:cs="Arial"/>
                <w:color w:val="auto"/>
                <w:kern w:val="0"/>
                <w:szCs w:val="21"/>
              </w:rPr>
            </w:pPr>
          </w:p>
        </w:tc>
      </w:tr>
      <w:tr w14:paraId="33817681">
        <w:tblPrEx>
          <w:tblCellMar>
            <w:top w:w="0" w:type="dxa"/>
            <w:left w:w="108" w:type="dxa"/>
            <w:bottom w:w="0" w:type="dxa"/>
            <w:right w:w="108" w:type="dxa"/>
          </w:tblCellMar>
        </w:tblPrEx>
        <w:trPr>
          <w:trHeight w:val="567" w:hRule="atLeast"/>
        </w:trPr>
        <w:tc>
          <w:tcPr>
            <w:tcW w:w="976" w:type="pct"/>
            <w:gridSpan w:val="3"/>
            <w:tcBorders>
              <w:top w:val="single" w:color="000000" w:sz="4" w:space="0"/>
              <w:left w:val="single" w:color="000000" w:sz="8" w:space="0"/>
              <w:bottom w:val="single" w:color="000000" w:sz="4" w:space="0"/>
              <w:right w:val="single" w:color="000000" w:sz="4" w:space="0"/>
            </w:tcBorders>
            <w:noWrap/>
            <w:vAlign w:val="center"/>
          </w:tcPr>
          <w:p w14:paraId="10687529">
            <w:pPr>
              <w:widowControl/>
              <w:jc w:val="center"/>
              <w:rPr>
                <w:rFonts w:ascii="宋体" w:hAnsi="宋体" w:cs="Arial"/>
                <w:color w:val="auto"/>
                <w:kern w:val="0"/>
                <w:szCs w:val="21"/>
              </w:rPr>
            </w:pPr>
            <w:r>
              <w:rPr>
                <w:rFonts w:hint="eastAsia" w:ascii="宋体" w:hAnsi="宋体" w:cs="Arial"/>
                <w:color w:val="auto"/>
                <w:kern w:val="0"/>
                <w:szCs w:val="21"/>
              </w:rPr>
              <w:t>（    ）元/工日</w:t>
            </w:r>
          </w:p>
        </w:tc>
        <w:tc>
          <w:tcPr>
            <w:tcW w:w="2292" w:type="pct"/>
            <w:gridSpan w:val="8"/>
            <w:tcBorders>
              <w:top w:val="single" w:color="000000" w:sz="4" w:space="0"/>
              <w:left w:val="nil"/>
              <w:bottom w:val="single" w:color="000000" w:sz="4" w:space="0"/>
              <w:right w:val="single" w:color="000000" w:sz="4" w:space="0"/>
            </w:tcBorders>
            <w:noWrap/>
            <w:vAlign w:val="center"/>
          </w:tcPr>
          <w:p w14:paraId="1F19FE50">
            <w:pPr>
              <w:widowControl/>
              <w:jc w:val="center"/>
              <w:rPr>
                <w:rFonts w:ascii="宋体" w:hAnsi="宋体" w:cs="Arial"/>
                <w:color w:val="auto"/>
                <w:kern w:val="0"/>
                <w:szCs w:val="21"/>
              </w:rPr>
            </w:pPr>
            <w:r>
              <w:rPr>
                <w:rFonts w:hint="eastAsia" w:ascii="宋体" w:hAnsi="宋体" w:cs="Arial"/>
                <w:color w:val="auto"/>
                <w:kern w:val="0"/>
                <w:szCs w:val="21"/>
              </w:rPr>
              <w:t>未计价材料费</w:t>
            </w:r>
          </w:p>
        </w:tc>
        <w:tc>
          <w:tcPr>
            <w:tcW w:w="1732" w:type="pct"/>
            <w:gridSpan w:val="5"/>
            <w:tcBorders>
              <w:top w:val="single" w:color="000000" w:sz="4" w:space="0"/>
              <w:left w:val="nil"/>
              <w:bottom w:val="single" w:color="000000" w:sz="4" w:space="0"/>
              <w:right w:val="single" w:color="000000" w:sz="8" w:space="0"/>
            </w:tcBorders>
            <w:noWrap w:val="0"/>
            <w:vAlign w:val="center"/>
          </w:tcPr>
          <w:p w14:paraId="3DB4CF80">
            <w:pPr>
              <w:widowControl/>
              <w:jc w:val="center"/>
              <w:rPr>
                <w:rFonts w:ascii="宋体" w:hAnsi="宋体" w:cs="Arial"/>
                <w:color w:val="auto"/>
                <w:kern w:val="0"/>
                <w:szCs w:val="21"/>
              </w:rPr>
            </w:pPr>
          </w:p>
        </w:tc>
      </w:tr>
      <w:tr w14:paraId="61CAF24D">
        <w:tblPrEx>
          <w:tblCellMar>
            <w:top w:w="0" w:type="dxa"/>
            <w:left w:w="108" w:type="dxa"/>
            <w:bottom w:w="0" w:type="dxa"/>
            <w:right w:w="108" w:type="dxa"/>
          </w:tblCellMar>
        </w:tblPrEx>
        <w:trPr>
          <w:trHeight w:val="567" w:hRule="atLeast"/>
        </w:trPr>
        <w:tc>
          <w:tcPr>
            <w:tcW w:w="3268" w:type="pct"/>
            <w:gridSpan w:val="11"/>
            <w:tcBorders>
              <w:top w:val="single" w:color="000000" w:sz="4" w:space="0"/>
              <w:left w:val="single" w:color="000000" w:sz="8" w:space="0"/>
              <w:bottom w:val="single" w:color="000000" w:sz="4" w:space="0"/>
              <w:right w:val="single" w:color="000000" w:sz="4" w:space="0"/>
            </w:tcBorders>
            <w:noWrap w:val="0"/>
            <w:vAlign w:val="center"/>
          </w:tcPr>
          <w:p w14:paraId="24969A63">
            <w:pPr>
              <w:widowControl/>
              <w:jc w:val="center"/>
              <w:rPr>
                <w:rFonts w:ascii="宋体" w:hAnsi="宋体" w:cs="Arial"/>
                <w:color w:val="auto"/>
                <w:kern w:val="0"/>
                <w:szCs w:val="21"/>
              </w:rPr>
            </w:pPr>
            <w:r>
              <w:rPr>
                <w:rFonts w:hint="eastAsia" w:ascii="宋体" w:hAnsi="宋体" w:cs="Arial"/>
                <w:color w:val="auto"/>
                <w:kern w:val="0"/>
                <w:szCs w:val="21"/>
              </w:rPr>
              <w:t>清单项目综合单价</w:t>
            </w:r>
          </w:p>
        </w:tc>
        <w:tc>
          <w:tcPr>
            <w:tcW w:w="1732" w:type="pct"/>
            <w:gridSpan w:val="5"/>
            <w:tcBorders>
              <w:top w:val="single" w:color="000000" w:sz="4" w:space="0"/>
              <w:left w:val="nil"/>
              <w:bottom w:val="single" w:color="000000" w:sz="4" w:space="0"/>
              <w:right w:val="single" w:color="000000" w:sz="8" w:space="0"/>
            </w:tcBorders>
            <w:noWrap w:val="0"/>
            <w:vAlign w:val="center"/>
          </w:tcPr>
          <w:p w14:paraId="1541C24C">
            <w:pPr>
              <w:widowControl/>
              <w:jc w:val="center"/>
              <w:rPr>
                <w:rFonts w:ascii="宋体" w:hAnsi="宋体" w:cs="Arial"/>
                <w:color w:val="auto"/>
                <w:kern w:val="0"/>
                <w:szCs w:val="21"/>
              </w:rPr>
            </w:pPr>
          </w:p>
        </w:tc>
      </w:tr>
      <w:tr w14:paraId="358BE94B">
        <w:tblPrEx>
          <w:tblCellMar>
            <w:top w:w="0" w:type="dxa"/>
            <w:left w:w="108" w:type="dxa"/>
            <w:bottom w:w="0" w:type="dxa"/>
            <w:right w:w="108" w:type="dxa"/>
          </w:tblCellMar>
        </w:tblPrEx>
        <w:trPr>
          <w:trHeight w:val="567" w:hRule="atLeast"/>
        </w:trPr>
        <w:tc>
          <w:tcPr>
            <w:tcW w:w="222" w:type="pct"/>
            <w:vMerge w:val="restart"/>
            <w:tcBorders>
              <w:top w:val="nil"/>
              <w:left w:val="single" w:color="000000" w:sz="8" w:space="0"/>
              <w:bottom w:val="single" w:color="000000" w:sz="8" w:space="0"/>
              <w:right w:val="single" w:color="000000" w:sz="4" w:space="0"/>
            </w:tcBorders>
            <w:noWrap w:val="0"/>
            <w:vAlign w:val="center"/>
          </w:tcPr>
          <w:p w14:paraId="5B55D301">
            <w:pPr>
              <w:widowControl/>
              <w:jc w:val="center"/>
              <w:rPr>
                <w:rFonts w:ascii="宋体" w:hAnsi="宋体" w:cs="Arial"/>
                <w:color w:val="auto"/>
                <w:kern w:val="0"/>
                <w:szCs w:val="21"/>
              </w:rPr>
            </w:pPr>
            <w:r>
              <w:rPr>
                <w:rFonts w:hint="eastAsia" w:ascii="宋体" w:hAnsi="宋体" w:cs="Arial"/>
                <w:color w:val="auto"/>
                <w:kern w:val="0"/>
                <w:szCs w:val="21"/>
              </w:rPr>
              <w:t>材料费明细</w:t>
            </w:r>
          </w:p>
        </w:tc>
        <w:tc>
          <w:tcPr>
            <w:tcW w:w="2058" w:type="pct"/>
            <w:gridSpan w:val="6"/>
            <w:tcBorders>
              <w:top w:val="single" w:color="000000" w:sz="4" w:space="0"/>
              <w:left w:val="nil"/>
              <w:bottom w:val="single" w:color="000000" w:sz="4" w:space="0"/>
              <w:right w:val="single" w:color="000000" w:sz="4" w:space="0"/>
            </w:tcBorders>
            <w:noWrap/>
            <w:vAlign w:val="center"/>
          </w:tcPr>
          <w:p w14:paraId="2F743327">
            <w:pPr>
              <w:widowControl/>
              <w:jc w:val="center"/>
              <w:rPr>
                <w:rFonts w:ascii="宋体" w:hAnsi="宋体" w:cs="Arial"/>
                <w:color w:val="auto"/>
                <w:kern w:val="0"/>
                <w:szCs w:val="21"/>
              </w:rPr>
            </w:pPr>
            <w:r>
              <w:rPr>
                <w:rFonts w:hint="eastAsia" w:ascii="宋体" w:hAnsi="宋体" w:cs="Arial"/>
                <w:color w:val="auto"/>
                <w:kern w:val="0"/>
                <w:szCs w:val="21"/>
              </w:rPr>
              <w:t>主要材料名称、规格、型号</w:t>
            </w:r>
          </w:p>
        </w:tc>
        <w:tc>
          <w:tcPr>
            <w:tcW w:w="490" w:type="pct"/>
            <w:gridSpan w:val="2"/>
            <w:tcBorders>
              <w:top w:val="single" w:color="000000" w:sz="4" w:space="0"/>
              <w:left w:val="nil"/>
              <w:bottom w:val="single" w:color="000000" w:sz="4" w:space="0"/>
              <w:right w:val="single" w:color="000000" w:sz="4" w:space="0"/>
            </w:tcBorders>
            <w:noWrap/>
            <w:vAlign w:val="center"/>
          </w:tcPr>
          <w:p w14:paraId="757F9172">
            <w:pPr>
              <w:widowControl/>
              <w:jc w:val="center"/>
              <w:rPr>
                <w:rFonts w:ascii="宋体" w:hAnsi="宋体" w:cs="Arial"/>
                <w:color w:val="auto"/>
                <w:kern w:val="0"/>
                <w:szCs w:val="21"/>
              </w:rPr>
            </w:pPr>
            <w:r>
              <w:rPr>
                <w:rFonts w:hint="eastAsia" w:ascii="宋体" w:hAnsi="宋体" w:cs="Arial"/>
                <w:color w:val="auto"/>
                <w:kern w:val="0"/>
                <w:szCs w:val="21"/>
              </w:rPr>
              <w:t>单位</w:t>
            </w:r>
          </w:p>
        </w:tc>
        <w:tc>
          <w:tcPr>
            <w:tcW w:w="497" w:type="pct"/>
            <w:gridSpan w:val="2"/>
            <w:tcBorders>
              <w:top w:val="single" w:color="000000" w:sz="4" w:space="0"/>
              <w:left w:val="nil"/>
              <w:bottom w:val="single" w:color="000000" w:sz="4" w:space="0"/>
              <w:right w:val="single" w:color="000000" w:sz="4" w:space="0"/>
            </w:tcBorders>
            <w:noWrap/>
            <w:vAlign w:val="center"/>
          </w:tcPr>
          <w:p w14:paraId="06C1105D">
            <w:pPr>
              <w:widowControl/>
              <w:jc w:val="center"/>
              <w:rPr>
                <w:rFonts w:ascii="宋体" w:hAnsi="宋体" w:cs="Arial"/>
                <w:color w:val="auto"/>
                <w:kern w:val="0"/>
                <w:szCs w:val="21"/>
              </w:rPr>
            </w:pPr>
            <w:r>
              <w:rPr>
                <w:rFonts w:hint="eastAsia" w:ascii="宋体" w:hAnsi="宋体" w:cs="Arial"/>
                <w:color w:val="auto"/>
                <w:kern w:val="0"/>
                <w:szCs w:val="21"/>
              </w:rPr>
              <w:t>数量</w:t>
            </w:r>
          </w:p>
        </w:tc>
        <w:tc>
          <w:tcPr>
            <w:tcW w:w="431" w:type="pct"/>
            <w:tcBorders>
              <w:top w:val="single" w:color="000000" w:sz="4" w:space="0"/>
              <w:left w:val="nil"/>
              <w:bottom w:val="single" w:color="000000" w:sz="4" w:space="0"/>
              <w:right w:val="single" w:color="000000" w:sz="4" w:space="0"/>
            </w:tcBorders>
            <w:noWrap w:val="0"/>
            <w:vAlign w:val="center"/>
          </w:tcPr>
          <w:p w14:paraId="3C8B7231">
            <w:pPr>
              <w:widowControl/>
              <w:jc w:val="center"/>
              <w:rPr>
                <w:rFonts w:ascii="宋体" w:hAnsi="宋体" w:cs="Arial"/>
                <w:color w:val="auto"/>
                <w:kern w:val="0"/>
                <w:szCs w:val="21"/>
              </w:rPr>
            </w:pPr>
            <w:r>
              <w:rPr>
                <w:rFonts w:hint="eastAsia" w:ascii="宋体" w:hAnsi="宋体" w:cs="Arial"/>
                <w:color w:val="auto"/>
                <w:kern w:val="0"/>
                <w:szCs w:val="21"/>
              </w:rPr>
              <w:t>单价（元）</w:t>
            </w:r>
          </w:p>
        </w:tc>
        <w:tc>
          <w:tcPr>
            <w:tcW w:w="441" w:type="pct"/>
            <w:gridSpan w:val="2"/>
            <w:tcBorders>
              <w:top w:val="single" w:color="000000" w:sz="4" w:space="0"/>
              <w:left w:val="nil"/>
              <w:bottom w:val="single" w:color="000000" w:sz="4" w:space="0"/>
              <w:right w:val="single" w:color="000000" w:sz="4" w:space="0"/>
            </w:tcBorders>
            <w:noWrap w:val="0"/>
            <w:vAlign w:val="center"/>
          </w:tcPr>
          <w:p w14:paraId="4155BF17">
            <w:pPr>
              <w:widowControl/>
              <w:jc w:val="center"/>
              <w:rPr>
                <w:rFonts w:ascii="宋体" w:hAnsi="宋体" w:cs="Arial"/>
                <w:color w:val="auto"/>
                <w:kern w:val="0"/>
                <w:szCs w:val="21"/>
              </w:rPr>
            </w:pPr>
            <w:r>
              <w:rPr>
                <w:rFonts w:hint="eastAsia" w:ascii="宋体" w:hAnsi="宋体" w:cs="Arial"/>
                <w:color w:val="auto"/>
                <w:kern w:val="0"/>
                <w:szCs w:val="21"/>
              </w:rPr>
              <w:t>合价（元）</w:t>
            </w:r>
          </w:p>
        </w:tc>
        <w:tc>
          <w:tcPr>
            <w:tcW w:w="431" w:type="pct"/>
            <w:tcBorders>
              <w:top w:val="nil"/>
              <w:left w:val="nil"/>
              <w:bottom w:val="single" w:color="000000" w:sz="4" w:space="0"/>
              <w:right w:val="single" w:color="000000" w:sz="4" w:space="0"/>
            </w:tcBorders>
            <w:noWrap w:val="0"/>
            <w:vAlign w:val="center"/>
          </w:tcPr>
          <w:p w14:paraId="19C13F6B">
            <w:pPr>
              <w:widowControl/>
              <w:jc w:val="center"/>
              <w:rPr>
                <w:rFonts w:ascii="宋体" w:hAnsi="宋体" w:cs="Arial"/>
                <w:color w:val="auto"/>
                <w:kern w:val="0"/>
                <w:szCs w:val="21"/>
              </w:rPr>
            </w:pPr>
            <w:r>
              <w:rPr>
                <w:rFonts w:hint="eastAsia" w:ascii="宋体" w:hAnsi="宋体" w:cs="Arial"/>
                <w:color w:val="auto"/>
                <w:kern w:val="0"/>
                <w:szCs w:val="21"/>
              </w:rPr>
              <w:t>暂估单价（元）</w:t>
            </w:r>
          </w:p>
        </w:tc>
        <w:tc>
          <w:tcPr>
            <w:tcW w:w="431" w:type="pct"/>
            <w:tcBorders>
              <w:top w:val="nil"/>
              <w:left w:val="nil"/>
              <w:bottom w:val="single" w:color="000000" w:sz="4" w:space="0"/>
              <w:right w:val="single" w:color="000000" w:sz="8" w:space="0"/>
            </w:tcBorders>
            <w:noWrap w:val="0"/>
            <w:vAlign w:val="center"/>
          </w:tcPr>
          <w:p w14:paraId="50AC96D6">
            <w:pPr>
              <w:widowControl/>
              <w:jc w:val="center"/>
              <w:rPr>
                <w:rFonts w:ascii="宋体" w:hAnsi="宋体" w:cs="Arial"/>
                <w:color w:val="auto"/>
                <w:kern w:val="0"/>
                <w:szCs w:val="21"/>
              </w:rPr>
            </w:pPr>
            <w:r>
              <w:rPr>
                <w:rFonts w:hint="eastAsia" w:ascii="宋体" w:hAnsi="宋体" w:cs="Arial"/>
                <w:color w:val="auto"/>
                <w:kern w:val="0"/>
                <w:szCs w:val="21"/>
              </w:rPr>
              <w:t>暂估合价（元）</w:t>
            </w:r>
          </w:p>
        </w:tc>
      </w:tr>
      <w:tr w14:paraId="03B889D7">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8" w:space="0"/>
              <w:right w:val="single" w:color="000000" w:sz="4" w:space="0"/>
            </w:tcBorders>
            <w:noWrap w:val="0"/>
            <w:vAlign w:val="center"/>
          </w:tcPr>
          <w:p w14:paraId="12F7B067">
            <w:pPr>
              <w:widowControl/>
              <w:jc w:val="left"/>
              <w:rPr>
                <w:rFonts w:ascii="宋体" w:hAnsi="宋体" w:cs="Arial"/>
                <w:color w:val="auto"/>
                <w:kern w:val="0"/>
                <w:szCs w:val="21"/>
              </w:rPr>
            </w:pPr>
          </w:p>
        </w:tc>
        <w:tc>
          <w:tcPr>
            <w:tcW w:w="2058" w:type="pct"/>
            <w:gridSpan w:val="6"/>
            <w:tcBorders>
              <w:top w:val="single" w:color="000000" w:sz="4" w:space="0"/>
              <w:left w:val="nil"/>
              <w:bottom w:val="single" w:color="000000" w:sz="4" w:space="0"/>
              <w:right w:val="single" w:color="000000" w:sz="4" w:space="0"/>
            </w:tcBorders>
            <w:noWrap w:val="0"/>
            <w:vAlign w:val="center"/>
          </w:tcPr>
          <w:p w14:paraId="6DA9F78E">
            <w:pPr>
              <w:widowControl/>
              <w:jc w:val="left"/>
              <w:rPr>
                <w:rFonts w:ascii="宋体" w:hAnsi="宋体" w:cs="Arial"/>
                <w:color w:val="auto"/>
                <w:kern w:val="0"/>
                <w:szCs w:val="21"/>
              </w:rPr>
            </w:pPr>
          </w:p>
        </w:tc>
        <w:tc>
          <w:tcPr>
            <w:tcW w:w="490" w:type="pct"/>
            <w:gridSpan w:val="2"/>
            <w:tcBorders>
              <w:top w:val="single" w:color="000000" w:sz="4" w:space="0"/>
              <w:left w:val="nil"/>
              <w:bottom w:val="single" w:color="000000" w:sz="4" w:space="0"/>
              <w:right w:val="single" w:color="000000" w:sz="4" w:space="0"/>
            </w:tcBorders>
            <w:noWrap w:val="0"/>
            <w:vAlign w:val="center"/>
          </w:tcPr>
          <w:p w14:paraId="0F3EB5B1">
            <w:pPr>
              <w:widowControl/>
              <w:jc w:val="center"/>
              <w:rPr>
                <w:rFonts w:ascii="宋体" w:hAnsi="宋体" w:cs="Arial"/>
                <w:color w:val="auto"/>
                <w:kern w:val="0"/>
                <w:szCs w:val="21"/>
              </w:rPr>
            </w:pPr>
          </w:p>
        </w:tc>
        <w:tc>
          <w:tcPr>
            <w:tcW w:w="497" w:type="pct"/>
            <w:gridSpan w:val="2"/>
            <w:tcBorders>
              <w:top w:val="single" w:color="000000" w:sz="4" w:space="0"/>
              <w:left w:val="nil"/>
              <w:bottom w:val="single" w:color="000000" w:sz="4" w:space="0"/>
              <w:right w:val="single" w:color="000000" w:sz="4" w:space="0"/>
            </w:tcBorders>
            <w:noWrap w:val="0"/>
            <w:vAlign w:val="center"/>
          </w:tcPr>
          <w:p w14:paraId="6D9329C8">
            <w:pPr>
              <w:widowControl/>
              <w:jc w:val="right"/>
              <w:rPr>
                <w:rFonts w:ascii="宋体" w:hAnsi="宋体" w:cs="Arial"/>
                <w:color w:val="auto"/>
                <w:kern w:val="0"/>
                <w:szCs w:val="21"/>
              </w:rPr>
            </w:pPr>
          </w:p>
        </w:tc>
        <w:tc>
          <w:tcPr>
            <w:tcW w:w="431" w:type="pct"/>
            <w:tcBorders>
              <w:top w:val="single" w:color="000000" w:sz="4" w:space="0"/>
              <w:left w:val="nil"/>
              <w:bottom w:val="single" w:color="000000" w:sz="4" w:space="0"/>
              <w:right w:val="single" w:color="000000" w:sz="4" w:space="0"/>
            </w:tcBorders>
            <w:noWrap w:val="0"/>
            <w:vAlign w:val="center"/>
          </w:tcPr>
          <w:p w14:paraId="00A171D9">
            <w:pPr>
              <w:widowControl/>
              <w:jc w:val="right"/>
              <w:rPr>
                <w:rFonts w:ascii="宋体" w:hAnsi="宋体" w:cs="Arial"/>
                <w:color w:val="auto"/>
                <w:kern w:val="0"/>
                <w:szCs w:val="21"/>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01AE9D7C">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4" w:space="0"/>
            </w:tcBorders>
            <w:noWrap w:val="0"/>
            <w:vAlign w:val="center"/>
          </w:tcPr>
          <w:p w14:paraId="337F32BC">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8" w:space="0"/>
            </w:tcBorders>
            <w:noWrap w:val="0"/>
            <w:vAlign w:val="center"/>
          </w:tcPr>
          <w:p w14:paraId="2B8C6379">
            <w:pPr>
              <w:widowControl/>
              <w:jc w:val="right"/>
              <w:rPr>
                <w:rFonts w:ascii="宋体" w:hAnsi="宋体" w:cs="Arial"/>
                <w:color w:val="auto"/>
                <w:kern w:val="0"/>
                <w:szCs w:val="21"/>
              </w:rPr>
            </w:pPr>
          </w:p>
        </w:tc>
      </w:tr>
      <w:tr w14:paraId="60BD8A30">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8" w:space="0"/>
              <w:right w:val="single" w:color="000000" w:sz="4" w:space="0"/>
            </w:tcBorders>
            <w:noWrap w:val="0"/>
            <w:vAlign w:val="center"/>
          </w:tcPr>
          <w:p w14:paraId="170FA17B">
            <w:pPr>
              <w:widowControl/>
              <w:jc w:val="left"/>
              <w:rPr>
                <w:rFonts w:ascii="宋体" w:hAnsi="宋体" w:cs="Arial"/>
                <w:color w:val="auto"/>
                <w:kern w:val="0"/>
                <w:szCs w:val="21"/>
              </w:rPr>
            </w:pPr>
          </w:p>
        </w:tc>
        <w:tc>
          <w:tcPr>
            <w:tcW w:w="2058" w:type="pct"/>
            <w:gridSpan w:val="6"/>
            <w:tcBorders>
              <w:top w:val="single" w:color="000000" w:sz="4" w:space="0"/>
              <w:left w:val="nil"/>
              <w:bottom w:val="single" w:color="000000" w:sz="4" w:space="0"/>
              <w:right w:val="single" w:color="000000" w:sz="4" w:space="0"/>
            </w:tcBorders>
            <w:noWrap w:val="0"/>
            <w:vAlign w:val="center"/>
          </w:tcPr>
          <w:p w14:paraId="7FCB2593">
            <w:pPr>
              <w:widowControl/>
              <w:jc w:val="left"/>
              <w:rPr>
                <w:rFonts w:ascii="宋体" w:hAnsi="宋体" w:cs="Arial"/>
                <w:color w:val="auto"/>
                <w:kern w:val="0"/>
                <w:szCs w:val="21"/>
              </w:rPr>
            </w:pPr>
          </w:p>
        </w:tc>
        <w:tc>
          <w:tcPr>
            <w:tcW w:w="490" w:type="pct"/>
            <w:gridSpan w:val="2"/>
            <w:tcBorders>
              <w:top w:val="single" w:color="000000" w:sz="4" w:space="0"/>
              <w:left w:val="nil"/>
              <w:bottom w:val="single" w:color="000000" w:sz="4" w:space="0"/>
              <w:right w:val="single" w:color="000000" w:sz="4" w:space="0"/>
            </w:tcBorders>
            <w:noWrap w:val="0"/>
            <w:vAlign w:val="center"/>
          </w:tcPr>
          <w:p w14:paraId="5CAEDEB5">
            <w:pPr>
              <w:widowControl/>
              <w:jc w:val="center"/>
              <w:rPr>
                <w:rFonts w:ascii="宋体" w:hAnsi="宋体" w:cs="Arial"/>
                <w:color w:val="auto"/>
                <w:kern w:val="0"/>
                <w:szCs w:val="21"/>
              </w:rPr>
            </w:pPr>
          </w:p>
        </w:tc>
        <w:tc>
          <w:tcPr>
            <w:tcW w:w="497" w:type="pct"/>
            <w:gridSpan w:val="2"/>
            <w:tcBorders>
              <w:top w:val="single" w:color="000000" w:sz="4" w:space="0"/>
              <w:left w:val="nil"/>
              <w:bottom w:val="single" w:color="000000" w:sz="4" w:space="0"/>
              <w:right w:val="single" w:color="000000" w:sz="4" w:space="0"/>
            </w:tcBorders>
            <w:noWrap w:val="0"/>
            <w:vAlign w:val="center"/>
          </w:tcPr>
          <w:p w14:paraId="58F0283C">
            <w:pPr>
              <w:widowControl/>
              <w:jc w:val="right"/>
              <w:rPr>
                <w:rFonts w:ascii="宋体" w:hAnsi="宋体" w:cs="Arial"/>
                <w:color w:val="auto"/>
                <w:kern w:val="0"/>
                <w:szCs w:val="21"/>
              </w:rPr>
            </w:pPr>
          </w:p>
        </w:tc>
        <w:tc>
          <w:tcPr>
            <w:tcW w:w="431" w:type="pct"/>
            <w:tcBorders>
              <w:top w:val="single" w:color="000000" w:sz="4" w:space="0"/>
              <w:left w:val="nil"/>
              <w:bottom w:val="single" w:color="000000" w:sz="4" w:space="0"/>
              <w:right w:val="single" w:color="000000" w:sz="4" w:space="0"/>
            </w:tcBorders>
            <w:noWrap w:val="0"/>
            <w:vAlign w:val="center"/>
          </w:tcPr>
          <w:p w14:paraId="6C41FD74">
            <w:pPr>
              <w:widowControl/>
              <w:jc w:val="right"/>
              <w:rPr>
                <w:rFonts w:ascii="宋体" w:hAnsi="宋体" w:cs="Arial"/>
                <w:color w:val="auto"/>
                <w:kern w:val="0"/>
                <w:szCs w:val="21"/>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7B290000">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4" w:space="0"/>
            </w:tcBorders>
            <w:noWrap w:val="0"/>
            <w:vAlign w:val="center"/>
          </w:tcPr>
          <w:p w14:paraId="62DCB069">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8" w:space="0"/>
            </w:tcBorders>
            <w:noWrap w:val="0"/>
            <w:vAlign w:val="center"/>
          </w:tcPr>
          <w:p w14:paraId="66D4DE65">
            <w:pPr>
              <w:widowControl/>
              <w:jc w:val="right"/>
              <w:rPr>
                <w:rFonts w:ascii="宋体" w:hAnsi="宋体" w:cs="Arial"/>
                <w:color w:val="auto"/>
                <w:kern w:val="0"/>
                <w:szCs w:val="21"/>
              </w:rPr>
            </w:pPr>
          </w:p>
        </w:tc>
      </w:tr>
      <w:tr w14:paraId="66616FF0">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8" w:space="0"/>
              <w:right w:val="single" w:color="000000" w:sz="4" w:space="0"/>
            </w:tcBorders>
            <w:noWrap w:val="0"/>
            <w:vAlign w:val="center"/>
          </w:tcPr>
          <w:p w14:paraId="215CC89F">
            <w:pPr>
              <w:widowControl/>
              <w:jc w:val="left"/>
              <w:rPr>
                <w:rFonts w:ascii="宋体" w:hAnsi="宋体" w:cs="Arial"/>
                <w:color w:val="auto"/>
                <w:kern w:val="0"/>
                <w:szCs w:val="21"/>
              </w:rPr>
            </w:pPr>
          </w:p>
        </w:tc>
        <w:tc>
          <w:tcPr>
            <w:tcW w:w="3045" w:type="pct"/>
            <w:gridSpan w:val="10"/>
            <w:tcBorders>
              <w:top w:val="single" w:color="000000" w:sz="4" w:space="0"/>
              <w:left w:val="nil"/>
              <w:bottom w:val="single" w:color="000000" w:sz="4" w:space="0"/>
              <w:right w:val="single" w:color="000000" w:sz="4" w:space="0"/>
            </w:tcBorders>
            <w:noWrap w:val="0"/>
            <w:vAlign w:val="center"/>
          </w:tcPr>
          <w:p w14:paraId="0968AEF7">
            <w:pPr>
              <w:widowControl/>
              <w:jc w:val="center"/>
              <w:rPr>
                <w:rFonts w:ascii="宋体" w:hAnsi="宋体" w:cs="Arial"/>
                <w:color w:val="auto"/>
                <w:kern w:val="0"/>
                <w:szCs w:val="21"/>
              </w:rPr>
            </w:pPr>
            <w:r>
              <w:rPr>
                <w:rFonts w:hint="eastAsia" w:ascii="宋体" w:hAnsi="宋体" w:cs="Arial"/>
                <w:color w:val="auto"/>
                <w:kern w:val="0"/>
                <w:szCs w:val="21"/>
              </w:rPr>
              <w:t>其他材料费</w:t>
            </w:r>
          </w:p>
        </w:tc>
        <w:tc>
          <w:tcPr>
            <w:tcW w:w="431" w:type="pct"/>
            <w:tcBorders>
              <w:top w:val="single" w:color="000000" w:sz="4" w:space="0"/>
              <w:left w:val="nil"/>
              <w:bottom w:val="single" w:color="000000" w:sz="4" w:space="0"/>
              <w:right w:val="single" w:color="000000" w:sz="4" w:space="0"/>
            </w:tcBorders>
            <w:noWrap/>
            <w:vAlign w:val="center"/>
          </w:tcPr>
          <w:p w14:paraId="6EC020A3">
            <w:pPr>
              <w:widowControl/>
              <w:jc w:val="center"/>
              <w:rPr>
                <w:rFonts w:ascii="宋体" w:hAnsi="宋体" w:cs="Arial"/>
                <w:color w:val="auto"/>
                <w:kern w:val="0"/>
                <w:szCs w:val="21"/>
              </w:rPr>
            </w:pPr>
          </w:p>
        </w:tc>
        <w:tc>
          <w:tcPr>
            <w:tcW w:w="441" w:type="pct"/>
            <w:gridSpan w:val="2"/>
            <w:tcBorders>
              <w:top w:val="single" w:color="000000" w:sz="4" w:space="0"/>
              <w:left w:val="nil"/>
              <w:bottom w:val="single" w:color="000000" w:sz="4" w:space="0"/>
              <w:right w:val="single" w:color="000000" w:sz="4" w:space="0"/>
            </w:tcBorders>
            <w:noWrap w:val="0"/>
            <w:vAlign w:val="center"/>
          </w:tcPr>
          <w:p w14:paraId="42AAD361">
            <w:pPr>
              <w:widowControl/>
              <w:jc w:val="right"/>
              <w:rPr>
                <w:rFonts w:ascii="宋体" w:hAnsi="宋体" w:cs="Arial"/>
                <w:color w:val="auto"/>
                <w:kern w:val="0"/>
                <w:szCs w:val="21"/>
              </w:rPr>
            </w:pPr>
          </w:p>
        </w:tc>
        <w:tc>
          <w:tcPr>
            <w:tcW w:w="431" w:type="pct"/>
            <w:tcBorders>
              <w:top w:val="nil"/>
              <w:left w:val="nil"/>
              <w:bottom w:val="single" w:color="000000" w:sz="4" w:space="0"/>
              <w:right w:val="single" w:color="000000" w:sz="4" w:space="0"/>
            </w:tcBorders>
            <w:noWrap/>
            <w:vAlign w:val="center"/>
          </w:tcPr>
          <w:p w14:paraId="6FF6F671">
            <w:pPr>
              <w:widowControl/>
              <w:jc w:val="center"/>
              <w:rPr>
                <w:rFonts w:ascii="宋体" w:hAnsi="宋体" w:cs="Arial"/>
                <w:color w:val="auto"/>
                <w:kern w:val="0"/>
                <w:szCs w:val="21"/>
              </w:rPr>
            </w:pPr>
          </w:p>
        </w:tc>
        <w:tc>
          <w:tcPr>
            <w:tcW w:w="431" w:type="pct"/>
            <w:tcBorders>
              <w:top w:val="nil"/>
              <w:left w:val="nil"/>
              <w:bottom w:val="single" w:color="000000" w:sz="4" w:space="0"/>
              <w:right w:val="single" w:color="000000" w:sz="8" w:space="0"/>
            </w:tcBorders>
            <w:noWrap w:val="0"/>
            <w:vAlign w:val="center"/>
          </w:tcPr>
          <w:p w14:paraId="60B752E1">
            <w:pPr>
              <w:widowControl/>
              <w:jc w:val="right"/>
              <w:rPr>
                <w:rFonts w:ascii="宋体" w:hAnsi="宋体" w:cs="Arial"/>
                <w:color w:val="auto"/>
                <w:kern w:val="0"/>
                <w:szCs w:val="21"/>
              </w:rPr>
            </w:pPr>
          </w:p>
        </w:tc>
      </w:tr>
      <w:tr w14:paraId="5E5646BD">
        <w:tblPrEx>
          <w:tblCellMar>
            <w:top w:w="0" w:type="dxa"/>
            <w:left w:w="108" w:type="dxa"/>
            <w:bottom w:w="0" w:type="dxa"/>
            <w:right w:w="108" w:type="dxa"/>
          </w:tblCellMar>
        </w:tblPrEx>
        <w:trPr>
          <w:trHeight w:val="567" w:hRule="atLeast"/>
        </w:trPr>
        <w:tc>
          <w:tcPr>
            <w:tcW w:w="222" w:type="pct"/>
            <w:vMerge w:val="continue"/>
            <w:tcBorders>
              <w:top w:val="nil"/>
              <w:left w:val="single" w:color="000000" w:sz="8" w:space="0"/>
              <w:bottom w:val="single" w:color="000000" w:sz="8" w:space="0"/>
              <w:right w:val="single" w:color="000000" w:sz="4" w:space="0"/>
            </w:tcBorders>
            <w:noWrap w:val="0"/>
            <w:vAlign w:val="center"/>
          </w:tcPr>
          <w:p w14:paraId="1D017778">
            <w:pPr>
              <w:widowControl/>
              <w:jc w:val="left"/>
              <w:rPr>
                <w:rFonts w:ascii="宋体" w:hAnsi="宋体" w:cs="Arial"/>
                <w:color w:val="auto"/>
                <w:kern w:val="0"/>
                <w:szCs w:val="21"/>
              </w:rPr>
            </w:pPr>
          </w:p>
        </w:tc>
        <w:tc>
          <w:tcPr>
            <w:tcW w:w="3045" w:type="pct"/>
            <w:gridSpan w:val="10"/>
            <w:tcBorders>
              <w:top w:val="single" w:color="000000" w:sz="4" w:space="0"/>
              <w:left w:val="nil"/>
              <w:bottom w:val="single" w:color="000000" w:sz="8" w:space="0"/>
              <w:right w:val="single" w:color="000000" w:sz="4" w:space="0"/>
            </w:tcBorders>
            <w:noWrap w:val="0"/>
            <w:vAlign w:val="center"/>
          </w:tcPr>
          <w:p w14:paraId="240B5C82">
            <w:pPr>
              <w:widowControl/>
              <w:jc w:val="center"/>
              <w:rPr>
                <w:rFonts w:ascii="宋体" w:hAnsi="宋体" w:cs="Arial"/>
                <w:color w:val="auto"/>
                <w:kern w:val="0"/>
                <w:szCs w:val="21"/>
              </w:rPr>
            </w:pPr>
            <w:r>
              <w:rPr>
                <w:rFonts w:hint="eastAsia" w:ascii="宋体" w:hAnsi="宋体" w:cs="Arial"/>
                <w:color w:val="auto"/>
                <w:kern w:val="0"/>
                <w:szCs w:val="21"/>
              </w:rPr>
              <w:t>材料费小计</w:t>
            </w:r>
          </w:p>
        </w:tc>
        <w:tc>
          <w:tcPr>
            <w:tcW w:w="431" w:type="pct"/>
            <w:tcBorders>
              <w:top w:val="single" w:color="000000" w:sz="4" w:space="0"/>
              <w:left w:val="nil"/>
              <w:bottom w:val="single" w:color="000000" w:sz="8" w:space="0"/>
              <w:right w:val="single" w:color="000000" w:sz="4" w:space="0"/>
            </w:tcBorders>
            <w:noWrap/>
            <w:vAlign w:val="center"/>
          </w:tcPr>
          <w:p w14:paraId="5967F675">
            <w:pPr>
              <w:widowControl/>
              <w:jc w:val="center"/>
              <w:rPr>
                <w:rFonts w:ascii="宋体" w:hAnsi="宋体" w:cs="Arial"/>
                <w:color w:val="auto"/>
                <w:kern w:val="0"/>
                <w:szCs w:val="21"/>
              </w:rPr>
            </w:pPr>
          </w:p>
        </w:tc>
        <w:tc>
          <w:tcPr>
            <w:tcW w:w="441" w:type="pct"/>
            <w:gridSpan w:val="2"/>
            <w:tcBorders>
              <w:top w:val="single" w:color="000000" w:sz="4" w:space="0"/>
              <w:left w:val="nil"/>
              <w:bottom w:val="single" w:color="000000" w:sz="8" w:space="0"/>
              <w:right w:val="single" w:color="000000" w:sz="4" w:space="0"/>
            </w:tcBorders>
            <w:noWrap w:val="0"/>
            <w:vAlign w:val="center"/>
          </w:tcPr>
          <w:p w14:paraId="1BFD5F36">
            <w:pPr>
              <w:widowControl/>
              <w:jc w:val="right"/>
              <w:rPr>
                <w:rFonts w:ascii="宋体" w:hAnsi="宋体" w:cs="Arial"/>
                <w:color w:val="auto"/>
                <w:kern w:val="0"/>
                <w:szCs w:val="21"/>
              </w:rPr>
            </w:pPr>
          </w:p>
        </w:tc>
        <w:tc>
          <w:tcPr>
            <w:tcW w:w="431" w:type="pct"/>
            <w:tcBorders>
              <w:top w:val="nil"/>
              <w:left w:val="nil"/>
              <w:bottom w:val="single" w:color="000000" w:sz="8" w:space="0"/>
              <w:right w:val="single" w:color="000000" w:sz="4" w:space="0"/>
            </w:tcBorders>
            <w:noWrap/>
            <w:vAlign w:val="center"/>
          </w:tcPr>
          <w:p w14:paraId="7E1E5A60">
            <w:pPr>
              <w:widowControl/>
              <w:jc w:val="center"/>
              <w:rPr>
                <w:rFonts w:ascii="宋体" w:hAnsi="宋体" w:cs="Arial"/>
                <w:color w:val="auto"/>
                <w:kern w:val="0"/>
                <w:szCs w:val="21"/>
              </w:rPr>
            </w:pPr>
          </w:p>
        </w:tc>
        <w:tc>
          <w:tcPr>
            <w:tcW w:w="431" w:type="pct"/>
            <w:tcBorders>
              <w:top w:val="nil"/>
              <w:left w:val="nil"/>
              <w:bottom w:val="single" w:color="000000" w:sz="8" w:space="0"/>
              <w:right w:val="single" w:color="000000" w:sz="8" w:space="0"/>
            </w:tcBorders>
            <w:noWrap w:val="0"/>
            <w:vAlign w:val="center"/>
          </w:tcPr>
          <w:p w14:paraId="7BF3C1FD">
            <w:pPr>
              <w:widowControl/>
              <w:jc w:val="right"/>
              <w:rPr>
                <w:rFonts w:ascii="宋体" w:hAnsi="宋体" w:cs="Arial"/>
                <w:color w:val="auto"/>
                <w:kern w:val="0"/>
                <w:szCs w:val="21"/>
              </w:rPr>
            </w:pPr>
          </w:p>
        </w:tc>
      </w:tr>
    </w:tbl>
    <w:p w14:paraId="4F5AF743">
      <w:pPr>
        <w:spacing w:before="48" w:beforeLines="20" w:after="48" w:afterLines="20" w:line="540" w:lineRule="exact"/>
        <w:ind w:left="-21" w:leftChars="-10" w:firstLine="1"/>
        <w:jc w:val="center"/>
        <w:outlineLvl w:val="2"/>
        <w:rPr>
          <w:rFonts w:hint="eastAsia" w:ascii="宋体" w:hAnsi="宋体"/>
          <w:color w:val="auto"/>
          <w:sz w:val="28"/>
          <w:szCs w:val="28"/>
        </w:rPr>
      </w:pPr>
      <w:r>
        <w:rPr>
          <w:rFonts w:ascii="宋体" w:hAnsi="宋体"/>
          <w:color w:val="auto"/>
          <w:szCs w:val="21"/>
        </w:rPr>
        <w:br w:type="page"/>
      </w:r>
      <w:bookmarkStart w:id="487" w:name="_Toc460227129"/>
      <w:bookmarkStart w:id="488" w:name="_Toc460660244"/>
      <w:r>
        <w:rPr>
          <w:rFonts w:hint="eastAsia" w:ascii="宋体" w:hAnsi="宋体"/>
          <w:color w:val="auto"/>
          <w:sz w:val="28"/>
          <w:szCs w:val="28"/>
        </w:rPr>
        <w:t>（七）</w:t>
      </w:r>
      <w:bookmarkEnd w:id="487"/>
      <w:bookmarkEnd w:id="488"/>
      <w:r>
        <w:rPr>
          <w:rFonts w:hint="eastAsia" w:ascii="宋体" w:hAnsi="宋体"/>
          <w:color w:val="auto"/>
          <w:sz w:val="28"/>
          <w:szCs w:val="28"/>
        </w:rPr>
        <w:t>措施项目清单与计价表</w:t>
      </w:r>
    </w:p>
    <w:p w14:paraId="3E19C1D8">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763"/>
        <w:gridCol w:w="1767"/>
        <w:gridCol w:w="2308"/>
        <w:gridCol w:w="1545"/>
        <w:gridCol w:w="1248"/>
        <w:gridCol w:w="1544"/>
      </w:tblGrid>
      <w:tr w14:paraId="15F10C79">
        <w:tblPrEx>
          <w:tblCellMar>
            <w:top w:w="0" w:type="dxa"/>
            <w:left w:w="108" w:type="dxa"/>
            <w:bottom w:w="0" w:type="dxa"/>
            <w:right w:w="108" w:type="dxa"/>
          </w:tblCellMar>
        </w:tblPrEx>
        <w:trPr>
          <w:trHeight w:val="690" w:hRule="atLeast"/>
        </w:trPr>
        <w:tc>
          <w:tcPr>
            <w:tcW w:w="41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29274B98">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963" w:type="pct"/>
            <w:tcBorders>
              <w:top w:val="single" w:color="000000" w:sz="8" w:space="0"/>
              <w:left w:val="nil"/>
              <w:bottom w:val="single" w:color="000000" w:sz="4" w:space="0"/>
              <w:right w:val="single" w:color="000000" w:sz="4" w:space="0"/>
            </w:tcBorders>
            <w:shd w:val="clear" w:color="FFFFFF" w:fill="FFFFFF"/>
            <w:noWrap w:val="0"/>
            <w:vAlign w:val="center"/>
          </w:tcPr>
          <w:p w14:paraId="2134AE7D">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项目编码</w:t>
            </w:r>
          </w:p>
        </w:tc>
        <w:tc>
          <w:tcPr>
            <w:tcW w:w="1258" w:type="pct"/>
            <w:tcBorders>
              <w:top w:val="single" w:color="000000" w:sz="8" w:space="0"/>
              <w:left w:val="nil"/>
              <w:bottom w:val="single" w:color="000000" w:sz="4" w:space="0"/>
              <w:right w:val="single" w:color="000000" w:sz="4" w:space="0"/>
            </w:tcBorders>
            <w:shd w:val="clear" w:color="FFFFFF" w:fill="FFFFFF"/>
            <w:noWrap w:val="0"/>
            <w:vAlign w:val="center"/>
          </w:tcPr>
          <w:p w14:paraId="54CDACCD">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项目名称</w:t>
            </w:r>
          </w:p>
        </w:tc>
        <w:tc>
          <w:tcPr>
            <w:tcW w:w="842" w:type="pct"/>
            <w:tcBorders>
              <w:top w:val="single" w:color="000000" w:sz="8" w:space="0"/>
              <w:left w:val="nil"/>
              <w:bottom w:val="single" w:color="000000" w:sz="4" w:space="0"/>
              <w:right w:val="single" w:color="000000" w:sz="4" w:space="0"/>
            </w:tcBorders>
            <w:shd w:val="clear" w:color="FFFFFF" w:fill="FFFFFF"/>
            <w:noWrap w:val="0"/>
            <w:vAlign w:val="center"/>
          </w:tcPr>
          <w:p w14:paraId="103266E7">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计算基础</w:t>
            </w:r>
          </w:p>
        </w:tc>
        <w:tc>
          <w:tcPr>
            <w:tcW w:w="680" w:type="pct"/>
            <w:tcBorders>
              <w:top w:val="single" w:color="000000" w:sz="8" w:space="0"/>
              <w:left w:val="nil"/>
              <w:bottom w:val="single" w:color="000000" w:sz="4" w:space="0"/>
              <w:right w:val="single" w:color="000000" w:sz="4" w:space="0"/>
            </w:tcBorders>
            <w:shd w:val="clear" w:color="FFFFFF" w:fill="FFFFFF"/>
            <w:noWrap w:val="0"/>
            <w:vAlign w:val="center"/>
          </w:tcPr>
          <w:p w14:paraId="6C733005">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费率（%）</w:t>
            </w:r>
          </w:p>
        </w:tc>
        <w:tc>
          <w:tcPr>
            <w:tcW w:w="841" w:type="pct"/>
            <w:tcBorders>
              <w:top w:val="single" w:color="000000" w:sz="8" w:space="0"/>
              <w:left w:val="nil"/>
              <w:bottom w:val="single" w:color="000000" w:sz="4" w:space="0"/>
              <w:right w:val="single" w:color="000000" w:sz="8" w:space="0"/>
            </w:tcBorders>
            <w:shd w:val="clear" w:color="FFFFFF" w:fill="FFFFFF"/>
            <w:noWrap w:val="0"/>
            <w:vAlign w:val="center"/>
          </w:tcPr>
          <w:p w14:paraId="317664D7">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r>
      <w:tr w14:paraId="75BAC9E2">
        <w:tblPrEx>
          <w:tblCellMar>
            <w:top w:w="0" w:type="dxa"/>
            <w:left w:w="108" w:type="dxa"/>
            <w:bottom w:w="0" w:type="dxa"/>
            <w:right w:w="108" w:type="dxa"/>
          </w:tblCellMar>
        </w:tblPrEx>
        <w:trPr>
          <w:trHeight w:val="680" w:hRule="atLeast"/>
        </w:trPr>
        <w:tc>
          <w:tcPr>
            <w:tcW w:w="416" w:type="pct"/>
            <w:tcBorders>
              <w:top w:val="nil"/>
              <w:left w:val="single" w:color="000000" w:sz="8" w:space="0"/>
              <w:bottom w:val="single" w:color="000000" w:sz="4" w:space="0"/>
              <w:right w:val="single" w:color="000000" w:sz="4" w:space="0"/>
            </w:tcBorders>
            <w:noWrap w:val="0"/>
            <w:vAlign w:val="center"/>
          </w:tcPr>
          <w:p w14:paraId="1CAACCD6">
            <w:pPr>
              <w:widowControl/>
              <w:jc w:val="center"/>
              <w:rPr>
                <w:rFonts w:ascii="宋体" w:hAnsi="宋体" w:cs="Arial"/>
                <w:color w:val="auto"/>
                <w:kern w:val="0"/>
                <w:szCs w:val="21"/>
              </w:rPr>
            </w:pPr>
          </w:p>
        </w:tc>
        <w:tc>
          <w:tcPr>
            <w:tcW w:w="963" w:type="pct"/>
            <w:tcBorders>
              <w:top w:val="nil"/>
              <w:left w:val="nil"/>
              <w:bottom w:val="single" w:color="000000" w:sz="4" w:space="0"/>
              <w:right w:val="single" w:color="000000" w:sz="4" w:space="0"/>
            </w:tcBorders>
            <w:noWrap w:val="0"/>
            <w:vAlign w:val="center"/>
          </w:tcPr>
          <w:p w14:paraId="14916FAA">
            <w:pPr>
              <w:widowControl/>
              <w:jc w:val="left"/>
              <w:rPr>
                <w:rFonts w:ascii="宋体" w:hAnsi="宋体" w:cs="Arial"/>
                <w:color w:val="auto"/>
                <w:kern w:val="0"/>
                <w:szCs w:val="21"/>
              </w:rPr>
            </w:pPr>
          </w:p>
        </w:tc>
        <w:tc>
          <w:tcPr>
            <w:tcW w:w="1258" w:type="pct"/>
            <w:tcBorders>
              <w:top w:val="single" w:color="000000" w:sz="4" w:space="0"/>
              <w:left w:val="nil"/>
              <w:bottom w:val="single" w:color="000000" w:sz="4" w:space="0"/>
              <w:right w:val="single" w:color="000000" w:sz="4" w:space="0"/>
            </w:tcBorders>
            <w:noWrap w:val="0"/>
            <w:vAlign w:val="center"/>
          </w:tcPr>
          <w:p w14:paraId="6DF78688">
            <w:pPr>
              <w:widowControl/>
              <w:jc w:val="left"/>
              <w:rPr>
                <w:rFonts w:ascii="宋体" w:hAnsi="宋体" w:cs="Arial"/>
                <w:color w:val="auto"/>
                <w:kern w:val="0"/>
                <w:szCs w:val="21"/>
              </w:rPr>
            </w:pPr>
          </w:p>
        </w:tc>
        <w:tc>
          <w:tcPr>
            <w:tcW w:w="842" w:type="pct"/>
            <w:tcBorders>
              <w:top w:val="single" w:color="000000" w:sz="4" w:space="0"/>
              <w:left w:val="nil"/>
              <w:bottom w:val="single" w:color="000000" w:sz="4" w:space="0"/>
              <w:right w:val="single" w:color="000000" w:sz="4" w:space="0"/>
            </w:tcBorders>
            <w:noWrap w:val="0"/>
            <w:vAlign w:val="center"/>
          </w:tcPr>
          <w:p w14:paraId="66188AC5">
            <w:pPr>
              <w:widowControl/>
              <w:jc w:val="left"/>
              <w:rPr>
                <w:rFonts w:ascii="宋体" w:hAnsi="宋体" w:cs="Arial"/>
                <w:color w:val="auto"/>
                <w:kern w:val="0"/>
                <w:szCs w:val="21"/>
              </w:rPr>
            </w:pPr>
          </w:p>
        </w:tc>
        <w:tc>
          <w:tcPr>
            <w:tcW w:w="680" w:type="pct"/>
            <w:tcBorders>
              <w:top w:val="single" w:color="000000" w:sz="4" w:space="0"/>
              <w:left w:val="nil"/>
              <w:bottom w:val="single" w:color="000000" w:sz="4" w:space="0"/>
              <w:right w:val="single" w:color="000000" w:sz="4" w:space="0"/>
            </w:tcBorders>
            <w:noWrap w:val="0"/>
            <w:vAlign w:val="center"/>
          </w:tcPr>
          <w:p w14:paraId="55BC89DC">
            <w:pPr>
              <w:widowControl/>
              <w:jc w:val="right"/>
              <w:rPr>
                <w:rFonts w:ascii="宋体" w:hAnsi="宋体" w:cs="Arial"/>
                <w:color w:val="auto"/>
                <w:kern w:val="0"/>
                <w:szCs w:val="21"/>
              </w:rPr>
            </w:pPr>
          </w:p>
        </w:tc>
        <w:tc>
          <w:tcPr>
            <w:tcW w:w="841" w:type="pct"/>
            <w:tcBorders>
              <w:top w:val="nil"/>
              <w:left w:val="nil"/>
              <w:bottom w:val="single" w:color="000000" w:sz="4" w:space="0"/>
              <w:right w:val="single" w:color="000000" w:sz="8" w:space="0"/>
            </w:tcBorders>
            <w:noWrap w:val="0"/>
            <w:vAlign w:val="center"/>
          </w:tcPr>
          <w:p w14:paraId="4B8F542D">
            <w:pPr>
              <w:widowControl/>
              <w:jc w:val="right"/>
              <w:rPr>
                <w:rFonts w:ascii="宋体" w:hAnsi="宋体" w:cs="Arial"/>
                <w:color w:val="auto"/>
                <w:kern w:val="0"/>
                <w:szCs w:val="21"/>
              </w:rPr>
            </w:pPr>
          </w:p>
        </w:tc>
      </w:tr>
      <w:tr w14:paraId="6D692226">
        <w:tblPrEx>
          <w:tblCellMar>
            <w:top w:w="0" w:type="dxa"/>
            <w:left w:w="108" w:type="dxa"/>
            <w:bottom w:w="0" w:type="dxa"/>
            <w:right w:w="108" w:type="dxa"/>
          </w:tblCellMar>
        </w:tblPrEx>
        <w:trPr>
          <w:trHeight w:val="680" w:hRule="atLeast"/>
        </w:trPr>
        <w:tc>
          <w:tcPr>
            <w:tcW w:w="416" w:type="pct"/>
            <w:tcBorders>
              <w:top w:val="nil"/>
              <w:left w:val="single" w:color="000000" w:sz="8" w:space="0"/>
              <w:bottom w:val="single" w:color="000000" w:sz="4" w:space="0"/>
              <w:right w:val="single" w:color="000000" w:sz="4" w:space="0"/>
            </w:tcBorders>
            <w:noWrap w:val="0"/>
            <w:vAlign w:val="center"/>
          </w:tcPr>
          <w:p w14:paraId="0EFF2BE8">
            <w:pPr>
              <w:widowControl/>
              <w:jc w:val="center"/>
              <w:rPr>
                <w:rFonts w:ascii="宋体" w:hAnsi="宋体" w:cs="Arial"/>
                <w:color w:val="auto"/>
                <w:kern w:val="0"/>
                <w:szCs w:val="21"/>
              </w:rPr>
            </w:pPr>
          </w:p>
        </w:tc>
        <w:tc>
          <w:tcPr>
            <w:tcW w:w="963" w:type="pct"/>
            <w:tcBorders>
              <w:top w:val="nil"/>
              <w:left w:val="nil"/>
              <w:bottom w:val="single" w:color="000000" w:sz="4" w:space="0"/>
              <w:right w:val="single" w:color="000000" w:sz="4" w:space="0"/>
            </w:tcBorders>
            <w:noWrap w:val="0"/>
            <w:vAlign w:val="center"/>
          </w:tcPr>
          <w:p w14:paraId="5B3FC969">
            <w:pPr>
              <w:widowControl/>
              <w:jc w:val="left"/>
              <w:rPr>
                <w:rFonts w:ascii="宋体" w:hAnsi="宋体" w:cs="Arial"/>
                <w:color w:val="auto"/>
                <w:kern w:val="0"/>
                <w:szCs w:val="21"/>
              </w:rPr>
            </w:pPr>
          </w:p>
        </w:tc>
        <w:tc>
          <w:tcPr>
            <w:tcW w:w="1258" w:type="pct"/>
            <w:tcBorders>
              <w:top w:val="single" w:color="000000" w:sz="4" w:space="0"/>
              <w:left w:val="nil"/>
              <w:bottom w:val="single" w:color="000000" w:sz="4" w:space="0"/>
              <w:right w:val="single" w:color="000000" w:sz="4" w:space="0"/>
            </w:tcBorders>
            <w:noWrap w:val="0"/>
            <w:vAlign w:val="center"/>
          </w:tcPr>
          <w:p w14:paraId="522AF075">
            <w:pPr>
              <w:widowControl/>
              <w:jc w:val="left"/>
              <w:rPr>
                <w:rFonts w:ascii="宋体" w:hAnsi="宋体" w:cs="Arial"/>
                <w:color w:val="auto"/>
                <w:kern w:val="0"/>
                <w:szCs w:val="21"/>
              </w:rPr>
            </w:pPr>
          </w:p>
        </w:tc>
        <w:tc>
          <w:tcPr>
            <w:tcW w:w="842" w:type="pct"/>
            <w:tcBorders>
              <w:top w:val="single" w:color="000000" w:sz="4" w:space="0"/>
              <w:left w:val="nil"/>
              <w:bottom w:val="single" w:color="000000" w:sz="4" w:space="0"/>
              <w:right w:val="single" w:color="000000" w:sz="4" w:space="0"/>
            </w:tcBorders>
            <w:noWrap w:val="0"/>
            <w:vAlign w:val="center"/>
          </w:tcPr>
          <w:p w14:paraId="58B6A46C">
            <w:pPr>
              <w:widowControl/>
              <w:jc w:val="left"/>
              <w:rPr>
                <w:rFonts w:ascii="宋体" w:hAnsi="宋体" w:cs="Arial"/>
                <w:color w:val="auto"/>
                <w:kern w:val="0"/>
                <w:szCs w:val="21"/>
              </w:rPr>
            </w:pPr>
          </w:p>
        </w:tc>
        <w:tc>
          <w:tcPr>
            <w:tcW w:w="680" w:type="pct"/>
            <w:tcBorders>
              <w:top w:val="single" w:color="000000" w:sz="4" w:space="0"/>
              <w:left w:val="nil"/>
              <w:bottom w:val="single" w:color="000000" w:sz="4" w:space="0"/>
              <w:right w:val="single" w:color="000000" w:sz="4" w:space="0"/>
            </w:tcBorders>
            <w:noWrap w:val="0"/>
            <w:vAlign w:val="center"/>
          </w:tcPr>
          <w:p w14:paraId="394A3F0F">
            <w:pPr>
              <w:widowControl/>
              <w:jc w:val="right"/>
              <w:rPr>
                <w:rFonts w:ascii="宋体" w:hAnsi="宋体" w:cs="Arial"/>
                <w:color w:val="auto"/>
                <w:kern w:val="0"/>
                <w:szCs w:val="21"/>
              </w:rPr>
            </w:pPr>
          </w:p>
        </w:tc>
        <w:tc>
          <w:tcPr>
            <w:tcW w:w="841" w:type="pct"/>
            <w:tcBorders>
              <w:top w:val="nil"/>
              <w:left w:val="nil"/>
              <w:bottom w:val="single" w:color="000000" w:sz="4" w:space="0"/>
              <w:right w:val="single" w:color="000000" w:sz="8" w:space="0"/>
            </w:tcBorders>
            <w:noWrap w:val="0"/>
            <w:vAlign w:val="center"/>
          </w:tcPr>
          <w:p w14:paraId="6670365D">
            <w:pPr>
              <w:widowControl/>
              <w:jc w:val="right"/>
              <w:rPr>
                <w:rFonts w:ascii="宋体" w:hAnsi="宋体" w:cs="Arial"/>
                <w:color w:val="auto"/>
                <w:kern w:val="0"/>
                <w:szCs w:val="21"/>
              </w:rPr>
            </w:pPr>
          </w:p>
        </w:tc>
      </w:tr>
      <w:tr w14:paraId="0E806443">
        <w:tblPrEx>
          <w:tblCellMar>
            <w:top w:w="0" w:type="dxa"/>
            <w:left w:w="108" w:type="dxa"/>
            <w:bottom w:w="0" w:type="dxa"/>
            <w:right w:w="108" w:type="dxa"/>
          </w:tblCellMar>
        </w:tblPrEx>
        <w:trPr>
          <w:trHeight w:val="680" w:hRule="atLeast"/>
        </w:trPr>
        <w:tc>
          <w:tcPr>
            <w:tcW w:w="416" w:type="pct"/>
            <w:tcBorders>
              <w:top w:val="nil"/>
              <w:left w:val="single" w:color="000000" w:sz="8" w:space="0"/>
              <w:bottom w:val="single" w:color="000000" w:sz="4" w:space="0"/>
              <w:right w:val="single" w:color="000000" w:sz="4" w:space="0"/>
            </w:tcBorders>
            <w:noWrap w:val="0"/>
            <w:vAlign w:val="center"/>
          </w:tcPr>
          <w:p w14:paraId="353213AA">
            <w:pPr>
              <w:widowControl/>
              <w:jc w:val="center"/>
              <w:rPr>
                <w:rFonts w:ascii="宋体" w:hAnsi="宋体" w:cs="Arial"/>
                <w:color w:val="auto"/>
                <w:kern w:val="0"/>
                <w:szCs w:val="21"/>
              </w:rPr>
            </w:pPr>
          </w:p>
        </w:tc>
        <w:tc>
          <w:tcPr>
            <w:tcW w:w="963" w:type="pct"/>
            <w:tcBorders>
              <w:top w:val="nil"/>
              <w:left w:val="nil"/>
              <w:bottom w:val="single" w:color="000000" w:sz="4" w:space="0"/>
              <w:right w:val="single" w:color="000000" w:sz="4" w:space="0"/>
            </w:tcBorders>
            <w:noWrap w:val="0"/>
            <w:vAlign w:val="center"/>
          </w:tcPr>
          <w:p w14:paraId="73FFFD6F">
            <w:pPr>
              <w:widowControl/>
              <w:jc w:val="left"/>
              <w:rPr>
                <w:rFonts w:ascii="宋体" w:hAnsi="宋体" w:cs="Arial"/>
                <w:color w:val="auto"/>
                <w:kern w:val="0"/>
                <w:szCs w:val="21"/>
              </w:rPr>
            </w:pPr>
          </w:p>
        </w:tc>
        <w:tc>
          <w:tcPr>
            <w:tcW w:w="1258" w:type="pct"/>
            <w:tcBorders>
              <w:top w:val="single" w:color="000000" w:sz="4" w:space="0"/>
              <w:left w:val="nil"/>
              <w:bottom w:val="single" w:color="000000" w:sz="4" w:space="0"/>
              <w:right w:val="single" w:color="000000" w:sz="4" w:space="0"/>
            </w:tcBorders>
            <w:noWrap w:val="0"/>
            <w:vAlign w:val="center"/>
          </w:tcPr>
          <w:p w14:paraId="343D516C">
            <w:pPr>
              <w:widowControl/>
              <w:jc w:val="left"/>
              <w:rPr>
                <w:rFonts w:ascii="宋体" w:hAnsi="宋体" w:cs="Arial"/>
                <w:color w:val="auto"/>
                <w:kern w:val="0"/>
                <w:szCs w:val="21"/>
              </w:rPr>
            </w:pPr>
          </w:p>
        </w:tc>
        <w:tc>
          <w:tcPr>
            <w:tcW w:w="842" w:type="pct"/>
            <w:tcBorders>
              <w:top w:val="single" w:color="000000" w:sz="4" w:space="0"/>
              <w:left w:val="nil"/>
              <w:bottom w:val="single" w:color="000000" w:sz="4" w:space="0"/>
              <w:right w:val="single" w:color="000000" w:sz="4" w:space="0"/>
            </w:tcBorders>
            <w:noWrap w:val="0"/>
            <w:vAlign w:val="center"/>
          </w:tcPr>
          <w:p w14:paraId="40C70E38">
            <w:pPr>
              <w:widowControl/>
              <w:jc w:val="left"/>
              <w:rPr>
                <w:rFonts w:ascii="宋体" w:hAnsi="宋体" w:cs="Arial"/>
                <w:color w:val="auto"/>
                <w:kern w:val="0"/>
                <w:szCs w:val="21"/>
              </w:rPr>
            </w:pPr>
          </w:p>
        </w:tc>
        <w:tc>
          <w:tcPr>
            <w:tcW w:w="680" w:type="pct"/>
            <w:tcBorders>
              <w:top w:val="single" w:color="000000" w:sz="4" w:space="0"/>
              <w:left w:val="nil"/>
              <w:bottom w:val="single" w:color="000000" w:sz="4" w:space="0"/>
              <w:right w:val="single" w:color="000000" w:sz="4" w:space="0"/>
            </w:tcBorders>
            <w:noWrap w:val="0"/>
            <w:vAlign w:val="center"/>
          </w:tcPr>
          <w:p w14:paraId="761D5712">
            <w:pPr>
              <w:widowControl/>
              <w:jc w:val="right"/>
              <w:rPr>
                <w:rFonts w:ascii="宋体" w:hAnsi="宋体" w:cs="Arial"/>
                <w:color w:val="auto"/>
                <w:kern w:val="0"/>
                <w:szCs w:val="21"/>
              </w:rPr>
            </w:pPr>
          </w:p>
        </w:tc>
        <w:tc>
          <w:tcPr>
            <w:tcW w:w="841" w:type="pct"/>
            <w:tcBorders>
              <w:top w:val="nil"/>
              <w:left w:val="nil"/>
              <w:bottom w:val="single" w:color="000000" w:sz="4" w:space="0"/>
              <w:right w:val="single" w:color="000000" w:sz="8" w:space="0"/>
            </w:tcBorders>
            <w:noWrap w:val="0"/>
            <w:vAlign w:val="center"/>
          </w:tcPr>
          <w:p w14:paraId="2527C39D">
            <w:pPr>
              <w:widowControl/>
              <w:jc w:val="right"/>
              <w:rPr>
                <w:rFonts w:ascii="宋体" w:hAnsi="宋体" w:cs="Arial"/>
                <w:color w:val="auto"/>
                <w:kern w:val="0"/>
                <w:szCs w:val="21"/>
              </w:rPr>
            </w:pPr>
          </w:p>
        </w:tc>
      </w:tr>
      <w:tr w14:paraId="25BE0861">
        <w:tblPrEx>
          <w:tblCellMar>
            <w:top w:w="0" w:type="dxa"/>
            <w:left w:w="108" w:type="dxa"/>
            <w:bottom w:w="0" w:type="dxa"/>
            <w:right w:w="108" w:type="dxa"/>
          </w:tblCellMar>
        </w:tblPrEx>
        <w:trPr>
          <w:trHeight w:val="680" w:hRule="atLeast"/>
        </w:trPr>
        <w:tc>
          <w:tcPr>
            <w:tcW w:w="4159" w:type="pct"/>
            <w:gridSpan w:val="5"/>
            <w:tcBorders>
              <w:top w:val="single" w:color="000000" w:sz="4" w:space="0"/>
              <w:left w:val="single" w:color="000000" w:sz="8" w:space="0"/>
              <w:bottom w:val="single" w:color="000000" w:sz="8" w:space="0"/>
              <w:right w:val="single" w:color="000000" w:sz="4" w:space="0"/>
            </w:tcBorders>
            <w:noWrap w:val="0"/>
            <w:vAlign w:val="center"/>
          </w:tcPr>
          <w:p w14:paraId="50EB19C4">
            <w:pPr>
              <w:widowControl/>
              <w:jc w:val="center"/>
              <w:rPr>
                <w:rFonts w:ascii="宋体" w:hAnsi="宋体" w:cs="Arial"/>
                <w:color w:val="auto"/>
                <w:kern w:val="0"/>
                <w:szCs w:val="21"/>
              </w:rPr>
            </w:pPr>
            <w:r>
              <w:rPr>
                <w:rFonts w:hint="eastAsia" w:ascii="宋体" w:hAnsi="宋体" w:cs="Arial"/>
                <w:color w:val="auto"/>
                <w:kern w:val="0"/>
                <w:szCs w:val="21"/>
              </w:rPr>
              <w:t>合   计</w:t>
            </w:r>
          </w:p>
        </w:tc>
        <w:tc>
          <w:tcPr>
            <w:tcW w:w="841" w:type="pct"/>
            <w:tcBorders>
              <w:top w:val="nil"/>
              <w:left w:val="nil"/>
              <w:bottom w:val="single" w:color="000000" w:sz="8" w:space="0"/>
              <w:right w:val="single" w:color="000000" w:sz="8" w:space="0"/>
            </w:tcBorders>
            <w:noWrap w:val="0"/>
            <w:vAlign w:val="center"/>
          </w:tcPr>
          <w:p w14:paraId="67319547">
            <w:pPr>
              <w:widowControl/>
              <w:jc w:val="right"/>
              <w:rPr>
                <w:rFonts w:ascii="宋体" w:hAnsi="宋体" w:cs="Arial"/>
                <w:color w:val="auto"/>
                <w:kern w:val="0"/>
                <w:szCs w:val="21"/>
              </w:rPr>
            </w:pPr>
          </w:p>
        </w:tc>
      </w:tr>
    </w:tbl>
    <w:p w14:paraId="01311E8D">
      <w:pPr>
        <w:jc w:val="center"/>
        <w:rPr>
          <w:rFonts w:hint="eastAsia" w:ascii="宋体" w:hAnsi="宋体"/>
          <w:color w:val="auto"/>
          <w:sz w:val="32"/>
          <w:szCs w:val="32"/>
        </w:rPr>
      </w:pPr>
      <w:bookmarkStart w:id="489" w:name="_Toc460227130"/>
      <w:bookmarkStart w:id="490" w:name="_Toc460660245"/>
    </w:p>
    <w:p w14:paraId="5400E8E8">
      <w:pPr>
        <w:jc w:val="center"/>
        <w:outlineLvl w:val="2"/>
        <w:rPr>
          <w:rFonts w:hint="eastAsia" w:ascii="宋体" w:hAnsi="宋体"/>
          <w:color w:val="auto"/>
          <w:sz w:val="28"/>
          <w:szCs w:val="28"/>
        </w:rPr>
      </w:pPr>
      <w:r>
        <w:rPr>
          <w:rFonts w:hint="eastAsia" w:ascii="宋体" w:hAnsi="宋体"/>
          <w:color w:val="auto"/>
          <w:sz w:val="28"/>
          <w:szCs w:val="28"/>
        </w:rPr>
        <w:t>（八）</w:t>
      </w:r>
      <w:bookmarkEnd w:id="489"/>
      <w:bookmarkEnd w:id="490"/>
      <w:r>
        <w:rPr>
          <w:rFonts w:hint="eastAsia" w:ascii="宋体" w:hAnsi="宋体"/>
          <w:color w:val="auto"/>
          <w:sz w:val="28"/>
          <w:szCs w:val="28"/>
        </w:rPr>
        <w:t>不可竞争项目清单与计价表</w:t>
      </w:r>
    </w:p>
    <w:p w14:paraId="1D7AD9CE">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800"/>
        <w:gridCol w:w="1582"/>
        <w:gridCol w:w="2363"/>
        <w:gridCol w:w="1582"/>
        <w:gridCol w:w="1248"/>
        <w:gridCol w:w="1600"/>
      </w:tblGrid>
      <w:tr w14:paraId="4E9B3170">
        <w:trPr>
          <w:trHeight w:val="690" w:hRule="atLeast"/>
        </w:trPr>
        <w:tc>
          <w:tcPr>
            <w:tcW w:w="43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338FA668">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862" w:type="pct"/>
            <w:tcBorders>
              <w:top w:val="single" w:color="000000" w:sz="8" w:space="0"/>
              <w:left w:val="nil"/>
              <w:bottom w:val="single" w:color="000000" w:sz="4" w:space="0"/>
              <w:right w:val="single" w:color="000000" w:sz="4" w:space="0"/>
            </w:tcBorders>
            <w:shd w:val="clear" w:color="FFFFFF" w:fill="FFFFFF"/>
            <w:noWrap w:val="0"/>
            <w:vAlign w:val="center"/>
          </w:tcPr>
          <w:p w14:paraId="0B0DFCC2">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项目编码</w:t>
            </w:r>
          </w:p>
        </w:tc>
        <w:tc>
          <w:tcPr>
            <w:tcW w:w="1288" w:type="pct"/>
            <w:tcBorders>
              <w:top w:val="single" w:color="000000" w:sz="8" w:space="0"/>
              <w:left w:val="nil"/>
              <w:bottom w:val="single" w:color="000000" w:sz="4" w:space="0"/>
              <w:right w:val="single" w:color="000000" w:sz="4" w:space="0"/>
            </w:tcBorders>
            <w:shd w:val="clear" w:color="FFFFFF" w:fill="FFFFFF"/>
            <w:noWrap w:val="0"/>
            <w:vAlign w:val="center"/>
          </w:tcPr>
          <w:p w14:paraId="44E306AB">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项目名称</w:t>
            </w:r>
          </w:p>
        </w:tc>
        <w:tc>
          <w:tcPr>
            <w:tcW w:w="862" w:type="pct"/>
            <w:tcBorders>
              <w:top w:val="single" w:color="000000" w:sz="8" w:space="0"/>
              <w:left w:val="nil"/>
              <w:bottom w:val="single" w:color="000000" w:sz="4" w:space="0"/>
              <w:right w:val="single" w:color="000000" w:sz="4" w:space="0"/>
            </w:tcBorders>
            <w:shd w:val="clear" w:color="FFFFFF" w:fill="FFFFFF"/>
            <w:noWrap w:val="0"/>
            <w:vAlign w:val="center"/>
          </w:tcPr>
          <w:p w14:paraId="747D0A86">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计算基础</w:t>
            </w:r>
          </w:p>
        </w:tc>
        <w:tc>
          <w:tcPr>
            <w:tcW w:w="680" w:type="pct"/>
            <w:tcBorders>
              <w:top w:val="single" w:color="000000" w:sz="8" w:space="0"/>
              <w:left w:val="nil"/>
              <w:bottom w:val="single" w:color="000000" w:sz="4" w:space="0"/>
              <w:right w:val="single" w:color="000000" w:sz="4" w:space="0"/>
            </w:tcBorders>
            <w:shd w:val="clear" w:color="FFFFFF" w:fill="FFFFFF"/>
            <w:noWrap w:val="0"/>
            <w:vAlign w:val="center"/>
          </w:tcPr>
          <w:p w14:paraId="26F5F897">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费率（%）</w:t>
            </w:r>
          </w:p>
        </w:tc>
        <w:tc>
          <w:tcPr>
            <w:tcW w:w="872" w:type="pct"/>
            <w:tcBorders>
              <w:top w:val="single" w:color="000000" w:sz="8" w:space="0"/>
              <w:left w:val="nil"/>
              <w:bottom w:val="single" w:color="000000" w:sz="4" w:space="0"/>
              <w:right w:val="single" w:color="000000" w:sz="8" w:space="0"/>
            </w:tcBorders>
            <w:shd w:val="clear" w:color="FFFFFF" w:fill="FFFFFF"/>
            <w:noWrap w:val="0"/>
            <w:vAlign w:val="center"/>
          </w:tcPr>
          <w:p w14:paraId="751E33F6">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r>
      <w:tr w14:paraId="6A3E1A49">
        <w:tblPrEx>
          <w:tblCellMar>
            <w:top w:w="0" w:type="dxa"/>
            <w:left w:w="108" w:type="dxa"/>
            <w:bottom w:w="0" w:type="dxa"/>
            <w:right w:w="108" w:type="dxa"/>
          </w:tblCellMar>
        </w:tblPrEx>
        <w:trPr>
          <w:trHeight w:val="680" w:hRule="atLeast"/>
        </w:trPr>
        <w:tc>
          <w:tcPr>
            <w:tcW w:w="436" w:type="pct"/>
            <w:tcBorders>
              <w:top w:val="nil"/>
              <w:left w:val="single" w:color="000000" w:sz="8" w:space="0"/>
              <w:bottom w:val="single" w:color="000000" w:sz="4" w:space="0"/>
              <w:right w:val="single" w:color="000000" w:sz="4" w:space="0"/>
            </w:tcBorders>
            <w:noWrap w:val="0"/>
            <w:vAlign w:val="center"/>
          </w:tcPr>
          <w:p w14:paraId="6F516A00">
            <w:pPr>
              <w:widowControl/>
              <w:jc w:val="center"/>
              <w:rPr>
                <w:rFonts w:ascii="宋体" w:hAnsi="宋体" w:cs="Arial"/>
                <w:color w:val="auto"/>
                <w:kern w:val="0"/>
                <w:szCs w:val="21"/>
              </w:rPr>
            </w:pPr>
          </w:p>
        </w:tc>
        <w:tc>
          <w:tcPr>
            <w:tcW w:w="862" w:type="pct"/>
            <w:tcBorders>
              <w:top w:val="nil"/>
              <w:left w:val="nil"/>
              <w:bottom w:val="single" w:color="000000" w:sz="4" w:space="0"/>
              <w:right w:val="single" w:color="000000" w:sz="4" w:space="0"/>
            </w:tcBorders>
            <w:noWrap w:val="0"/>
            <w:vAlign w:val="center"/>
          </w:tcPr>
          <w:p w14:paraId="5C24A78B">
            <w:pPr>
              <w:widowControl/>
              <w:jc w:val="left"/>
              <w:rPr>
                <w:rFonts w:ascii="宋体" w:hAnsi="宋体" w:cs="Arial"/>
                <w:color w:val="auto"/>
                <w:kern w:val="0"/>
                <w:szCs w:val="21"/>
              </w:rPr>
            </w:pPr>
          </w:p>
        </w:tc>
        <w:tc>
          <w:tcPr>
            <w:tcW w:w="1288" w:type="pct"/>
            <w:tcBorders>
              <w:top w:val="single" w:color="000000" w:sz="4" w:space="0"/>
              <w:left w:val="nil"/>
              <w:bottom w:val="single" w:color="000000" w:sz="4" w:space="0"/>
              <w:right w:val="single" w:color="000000" w:sz="4" w:space="0"/>
            </w:tcBorders>
            <w:noWrap w:val="0"/>
            <w:vAlign w:val="center"/>
          </w:tcPr>
          <w:p w14:paraId="5CA2D407">
            <w:pPr>
              <w:widowControl/>
              <w:jc w:val="left"/>
              <w:rPr>
                <w:rFonts w:ascii="宋体" w:hAnsi="宋体" w:cs="Arial"/>
                <w:color w:val="auto"/>
                <w:kern w:val="0"/>
                <w:szCs w:val="21"/>
              </w:rPr>
            </w:pPr>
          </w:p>
        </w:tc>
        <w:tc>
          <w:tcPr>
            <w:tcW w:w="862" w:type="pct"/>
            <w:tcBorders>
              <w:top w:val="single" w:color="000000" w:sz="4" w:space="0"/>
              <w:left w:val="nil"/>
              <w:bottom w:val="single" w:color="000000" w:sz="4" w:space="0"/>
              <w:right w:val="single" w:color="000000" w:sz="4" w:space="0"/>
            </w:tcBorders>
            <w:noWrap w:val="0"/>
            <w:vAlign w:val="center"/>
          </w:tcPr>
          <w:p w14:paraId="0F34181B">
            <w:pPr>
              <w:widowControl/>
              <w:jc w:val="left"/>
              <w:rPr>
                <w:rFonts w:ascii="宋体" w:hAnsi="宋体" w:cs="Arial"/>
                <w:color w:val="auto"/>
                <w:kern w:val="0"/>
                <w:szCs w:val="21"/>
              </w:rPr>
            </w:pPr>
          </w:p>
        </w:tc>
        <w:tc>
          <w:tcPr>
            <w:tcW w:w="680" w:type="pct"/>
            <w:tcBorders>
              <w:top w:val="single" w:color="000000" w:sz="4" w:space="0"/>
              <w:left w:val="nil"/>
              <w:bottom w:val="single" w:color="000000" w:sz="4" w:space="0"/>
              <w:right w:val="single" w:color="000000" w:sz="4" w:space="0"/>
            </w:tcBorders>
            <w:noWrap w:val="0"/>
            <w:vAlign w:val="center"/>
          </w:tcPr>
          <w:p w14:paraId="3C1B82E5">
            <w:pPr>
              <w:widowControl/>
              <w:jc w:val="right"/>
              <w:rPr>
                <w:rFonts w:ascii="宋体" w:hAnsi="宋体" w:cs="Arial"/>
                <w:color w:val="auto"/>
                <w:kern w:val="0"/>
                <w:szCs w:val="21"/>
              </w:rPr>
            </w:pPr>
          </w:p>
        </w:tc>
        <w:tc>
          <w:tcPr>
            <w:tcW w:w="872" w:type="pct"/>
            <w:tcBorders>
              <w:top w:val="nil"/>
              <w:left w:val="nil"/>
              <w:bottom w:val="single" w:color="000000" w:sz="4" w:space="0"/>
              <w:right w:val="single" w:color="000000" w:sz="8" w:space="0"/>
            </w:tcBorders>
            <w:noWrap w:val="0"/>
            <w:vAlign w:val="center"/>
          </w:tcPr>
          <w:p w14:paraId="7BC88D69">
            <w:pPr>
              <w:widowControl/>
              <w:jc w:val="right"/>
              <w:rPr>
                <w:rFonts w:ascii="宋体" w:hAnsi="宋体" w:cs="Arial"/>
                <w:color w:val="auto"/>
                <w:kern w:val="0"/>
                <w:szCs w:val="21"/>
              </w:rPr>
            </w:pPr>
          </w:p>
        </w:tc>
      </w:tr>
      <w:tr w14:paraId="0EFCDD26">
        <w:tblPrEx>
          <w:tblCellMar>
            <w:top w:w="0" w:type="dxa"/>
            <w:left w:w="108" w:type="dxa"/>
            <w:bottom w:w="0" w:type="dxa"/>
            <w:right w:w="108" w:type="dxa"/>
          </w:tblCellMar>
        </w:tblPrEx>
        <w:trPr>
          <w:trHeight w:val="680" w:hRule="atLeast"/>
        </w:trPr>
        <w:tc>
          <w:tcPr>
            <w:tcW w:w="436" w:type="pct"/>
            <w:tcBorders>
              <w:top w:val="nil"/>
              <w:left w:val="single" w:color="000000" w:sz="8" w:space="0"/>
              <w:bottom w:val="single" w:color="000000" w:sz="4" w:space="0"/>
              <w:right w:val="single" w:color="000000" w:sz="4" w:space="0"/>
            </w:tcBorders>
            <w:noWrap w:val="0"/>
            <w:vAlign w:val="center"/>
          </w:tcPr>
          <w:p w14:paraId="6A4932F6">
            <w:pPr>
              <w:widowControl/>
              <w:jc w:val="center"/>
              <w:rPr>
                <w:rFonts w:ascii="宋体" w:hAnsi="宋体" w:cs="Arial"/>
                <w:color w:val="auto"/>
                <w:kern w:val="0"/>
                <w:szCs w:val="21"/>
              </w:rPr>
            </w:pPr>
          </w:p>
        </w:tc>
        <w:tc>
          <w:tcPr>
            <w:tcW w:w="862" w:type="pct"/>
            <w:tcBorders>
              <w:top w:val="nil"/>
              <w:left w:val="nil"/>
              <w:bottom w:val="single" w:color="000000" w:sz="4" w:space="0"/>
              <w:right w:val="single" w:color="000000" w:sz="4" w:space="0"/>
            </w:tcBorders>
            <w:noWrap w:val="0"/>
            <w:vAlign w:val="center"/>
          </w:tcPr>
          <w:p w14:paraId="36EBDB95">
            <w:pPr>
              <w:widowControl/>
              <w:jc w:val="left"/>
              <w:rPr>
                <w:rFonts w:ascii="宋体" w:hAnsi="宋体" w:cs="Arial"/>
                <w:color w:val="auto"/>
                <w:kern w:val="0"/>
                <w:szCs w:val="21"/>
              </w:rPr>
            </w:pPr>
          </w:p>
        </w:tc>
        <w:tc>
          <w:tcPr>
            <w:tcW w:w="1288" w:type="pct"/>
            <w:tcBorders>
              <w:top w:val="single" w:color="000000" w:sz="4" w:space="0"/>
              <w:left w:val="nil"/>
              <w:bottom w:val="single" w:color="000000" w:sz="4" w:space="0"/>
              <w:right w:val="single" w:color="000000" w:sz="4" w:space="0"/>
            </w:tcBorders>
            <w:noWrap w:val="0"/>
            <w:vAlign w:val="center"/>
          </w:tcPr>
          <w:p w14:paraId="3AB5B6DC">
            <w:pPr>
              <w:widowControl/>
              <w:jc w:val="left"/>
              <w:rPr>
                <w:rFonts w:ascii="宋体" w:hAnsi="宋体" w:cs="Arial"/>
                <w:color w:val="auto"/>
                <w:kern w:val="0"/>
                <w:szCs w:val="21"/>
              </w:rPr>
            </w:pPr>
          </w:p>
        </w:tc>
        <w:tc>
          <w:tcPr>
            <w:tcW w:w="862" w:type="pct"/>
            <w:tcBorders>
              <w:top w:val="single" w:color="000000" w:sz="4" w:space="0"/>
              <w:left w:val="nil"/>
              <w:bottom w:val="single" w:color="000000" w:sz="4" w:space="0"/>
              <w:right w:val="single" w:color="000000" w:sz="4" w:space="0"/>
            </w:tcBorders>
            <w:noWrap w:val="0"/>
            <w:vAlign w:val="center"/>
          </w:tcPr>
          <w:p w14:paraId="7F4E3D98">
            <w:pPr>
              <w:widowControl/>
              <w:jc w:val="left"/>
              <w:rPr>
                <w:rFonts w:ascii="宋体" w:hAnsi="宋体" w:cs="Arial"/>
                <w:color w:val="auto"/>
                <w:kern w:val="0"/>
                <w:szCs w:val="21"/>
              </w:rPr>
            </w:pPr>
          </w:p>
        </w:tc>
        <w:tc>
          <w:tcPr>
            <w:tcW w:w="680" w:type="pct"/>
            <w:tcBorders>
              <w:top w:val="single" w:color="000000" w:sz="4" w:space="0"/>
              <w:left w:val="nil"/>
              <w:bottom w:val="single" w:color="000000" w:sz="4" w:space="0"/>
              <w:right w:val="single" w:color="000000" w:sz="4" w:space="0"/>
            </w:tcBorders>
            <w:noWrap w:val="0"/>
            <w:vAlign w:val="center"/>
          </w:tcPr>
          <w:p w14:paraId="3CEB0914">
            <w:pPr>
              <w:widowControl/>
              <w:jc w:val="right"/>
              <w:rPr>
                <w:rFonts w:ascii="宋体" w:hAnsi="宋体" w:cs="Arial"/>
                <w:color w:val="auto"/>
                <w:kern w:val="0"/>
                <w:szCs w:val="21"/>
              </w:rPr>
            </w:pPr>
          </w:p>
        </w:tc>
        <w:tc>
          <w:tcPr>
            <w:tcW w:w="872" w:type="pct"/>
            <w:tcBorders>
              <w:top w:val="nil"/>
              <w:left w:val="nil"/>
              <w:bottom w:val="single" w:color="000000" w:sz="4" w:space="0"/>
              <w:right w:val="single" w:color="000000" w:sz="8" w:space="0"/>
            </w:tcBorders>
            <w:noWrap w:val="0"/>
            <w:vAlign w:val="center"/>
          </w:tcPr>
          <w:p w14:paraId="4B1374C4">
            <w:pPr>
              <w:widowControl/>
              <w:jc w:val="right"/>
              <w:rPr>
                <w:rFonts w:ascii="宋体" w:hAnsi="宋体" w:cs="Arial"/>
                <w:color w:val="auto"/>
                <w:kern w:val="0"/>
                <w:szCs w:val="21"/>
              </w:rPr>
            </w:pPr>
          </w:p>
        </w:tc>
      </w:tr>
      <w:tr w14:paraId="5031265E">
        <w:tblPrEx>
          <w:tblCellMar>
            <w:top w:w="0" w:type="dxa"/>
            <w:left w:w="108" w:type="dxa"/>
            <w:bottom w:w="0" w:type="dxa"/>
            <w:right w:w="108" w:type="dxa"/>
          </w:tblCellMar>
        </w:tblPrEx>
        <w:trPr>
          <w:trHeight w:val="680" w:hRule="atLeast"/>
        </w:trPr>
        <w:tc>
          <w:tcPr>
            <w:tcW w:w="436" w:type="pct"/>
            <w:tcBorders>
              <w:top w:val="nil"/>
              <w:left w:val="single" w:color="000000" w:sz="8" w:space="0"/>
              <w:bottom w:val="single" w:color="000000" w:sz="4" w:space="0"/>
              <w:right w:val="single" w:color="000000" w:sz="4" w:space="0"/>
            </w:tcBorders>
            <w:noWrap w:val="0"/>
            <w:vAlign w:val="center"/>
          </w:tcPr>
          <w:p w14:paraId="57ADB289">
            <w:pPr>
              <w:widowControl/>
              <w:jc w:val="center"/>
              <w:rPr>
                <w:rFonts w:ascii="宋体" w:hAnsi="宋体" w:cs="Arial"/>
                <w:color w:val="auto"/>
                <w:kern w:val="0"/>
                <w:szCs w:val="21"/>
              </w:rPr>
            </w:pPr>
          </w:p>
        </w:tc>
        <w:tc>
          <w:tcPr>
            <w:tcW w:w="862" w:type="pct"/>
            <w:tcBorders>
              <w:top w:val="nil"/>
              <w:left w:val="nil"/>
              <w:bottom w:val="single" w:color="000000" w:sz="4" w:space="0"/>
              <w:right w:val="single" w:color="000000" w:sz="4" w:space="0"/>
            </w:tcBorders>
            <w:noWrap w:val="0"/>
            <w:vAlign w:val="center"/>
          </w:tcPr>
          <w:p w14:paraId="50B63E87">
            <w:pPr>
              <w:widowControl/>
              <w:jc w:val="left"/>
              <w:rPr>
                <w:rFonts w:ascii="宋体" w:hAnsi="宋体" w:cs="Arial"/>
                <w:color w:val="auto"/>
                <w:kern w:val="0"/>
                <w:szCs w:val="21"/>
              </w:rPr>
            </w:pPr>
          </w:p>
        </w:tc>
        <w:tc>
          <w:tcPr>
            <w:tcW w:w="1288" w:type="pct"/>
            <w:tcBorders>
              <w:top w:val="single" w:color="000000" w:sz="4" w:space="0"/>
              <w:left w:val="nil"/>
              <w:bottom w:val="single" w:color="000000" w:sz="4" w:space="0"/>
              <w:right w:val="single" w:color="000000" w:sz="4" w:space="0"/>
            </w:tcBorders>
            <w:noWrap w:val="0"/>
            <w:vAlign w:val="center"/>
          </w:tcPr>
          <w:p w14:paraId="18631C5A">
            <w:pPr>
              <w:widowControl/>
              <w:jc w:val="left"/>
              <w:rPr>
                <w:rFonts w:ascii="宋体" w:hAnsi="宋体" w:cs="Arial"/>
                <w:color w:val="auto"/>
                <w:kern w:val="0"/>
                <w:szCs w:val="21"/>
              </w:rPr>
            </w:pPr>
          </w:p>
        </w:tc>
        <w:tc>
          <w:tcPr>
            <w:tcW w:w="862" w:type="pct"/>
            <w:tcBorders>
              <w:top w:val="single" w:color="000000" w:sz="4" w:space="0"/>
              <w:left w:val="nil"/>
              <w:bottom w:val="single" w:color="000000" w:sz="4" w:space="0"/>
              <w:right w:val="single" w:color="000000" w:sz="4" w:space="0"/>
            </w:tcBorders>
            <w:noWrap w:val="0"/>
            <w:vAlign w:val="center"/>
          </w:tcPr>
          <w:p w14:paraId="6EFBF5C5">
            <w:pPr>
              <w:widowControl/>
              <w:jc w:val="left"/>
              <w:rPr>
                <w:rFonts w:ascii="宋体" w:hAnsi="宋体" w:cs="Arial"/>
                <w:color w:val="auto"/>
                <w:kern w:val="0"/>
                <w:szCs w:val="21"/>
              </w:rPr>
            </w:pPr>
          </w:p>
        </w:tc>
        <w:tc>
          <w:tcPr>
            <w:tcW w:w="680" w:type="pct"/>
            <w:tcBorders>
              <w:top w:val="single" w:color="000000" w:sz="4" w:space="0"/>
              <w:left w:val="nil"/>
              <w:bottom w:val="single" w:color="000000" w:sz="4" w:space="0"/>
              <w:right w:val="single" w:color="000000" w:sz="4" w:space="0"/>
            </w:tcBorders>
            <w:noWrap w:val="0"/>
            <w:vAlign w:val="center"/>
          </w:tcPr>
          <w:p w14:paraId="68C86EE0">
            <w:pPr>
              <w:widowControl/>
              <w:jc w:val="right"/>
              <w:rPr>
                <w:rFonts w:ascii="宋体" w:hAnsi="宋体" w:cs="Arial"/>
                <w:color w:val="auto"/>
                <w:kern w:val="0"/>
                <w:szCs w:val="21"/>
              </w:rPr>
            </w:pPr>
          </w:p>
        </w:tc>
        <w:tc>
          <w:tcPr>
            <w:tcW w:w="872" w:type="pct"/>
            <w:tcBorders>
              <w:top w:val="nil"/>
              <w:left w:val="nil"/>
              <w:bottom w:val="single" w:color="000000" w:sz="4" w:space="0"/>
              <w:right w:val="single" w:color="000000" w:sz="8" w:space="0"/>
            </w:tcBorders>
            <w:noWrap w:val="0"/>
            <w:vAlign w:val="center"/>
          </w:tcPr>
          <w:p w14:paraId="4A0D4862">
            <w:pPr>
              <w:widowControl/>
              <w:jc w:val="right"/>
              <w:rPr>
                <w:rFonts w:ascii="宋体" w:hAnsi="宋体" w:cs="Arial"/>
                <w:color w:val="auto"/>
                <w:kern w:val="0"/>
                <w:szCs w:val="21"/>
              </w:rPr>
            </w:pPr>
          </w:p>
        </w:tc>
      </w:tr>
      <w:tr w14:paraId="5BD1139D">
        <w:tblPrEx>
          <w:tblCellMar>
            <w:top w:w="0" w:type="dxa"/>
            <w:left w:w="108" w:type="dxa"/>
            <w:bottom w:w="0" w:type="dxa"/>
            <w:right w:w="108" w:type="dxa"/>
          </w:tblCellMar>
        </w:tblPrEx>
        <w:trPr>
          <w:trHeight w:val="680" w:hRule="atLeast"/>
        </w:trPr>
        <w:tc>
          <w:tcPr>
            <w:tcW w:w="436" w:type="pct"/>
            <w:tcBorders>
              <w:top w:val="nil"/>
              <w:left w:val="single" w:color="000000" w:sz="8" w:space="0"/>
              <w:bottom w:val="single" w:color="000000" w:sz="4" w:space="0"/>
              <w:right w:val="single" w:color="000000" w:sz="4" w:space="0"/>
            </w:tcBorders>
            <w:noWrap w:val="0"/>
            <w:vAlign w:val="center"/>
          </w:tcPr>
          <w:p w14:paraId="2B5356AA">
            <w:pPr>
              <w:widowControl/>
              <w:jc w:val="center"/>
              <w:rPr>
                <w:rFonts w:ascii="宋体" w:hAnsi="宋体" w:cs="Arial"/>
                <w:color w:val="auto"/>
                <w:kern w:val="0"/>
                <w:szCs w:val="21"/>
              </w:rPr>
            </w:pPr>
          </w:p>
        </w:tc>
        <w:tc>
          <w:tcPr>
            <w:tcW w:w="862" w:type="pct"/>
            <w:tcBorders>
              <w:top w:val="nil"/>
              <w:left w:val="nil"/>
              <w:bottom w:val="single" w:color="000000" w:sz="4" w:space="0"/>
              <w:right w:val="single" w:color="000000" w:sz="4" w:space="0"/>
            </w:tcBorders>
            <w:noWrap w:val="0"/>
            <w:vAlign w:val="center"/>
          </w:tcPr>
          <w:p w14:paraId="0C80F339">
            <w:pPr>
              <w:widowControl/>
              <w:jc w:val="left"/>
              <w:rPr>
                <w:rFonts w:ascii="宋体" w:hAnsi="宋体" w:cs="Arial"/>
                <w:color w:val="auto"/>
                <w:kern w:val="0"/>
                <w:szCs w:val="21"/>
              </w:rPr>
            </w:pPr>
          </w:p>
        </w:tc>
        <w:tc>
          <w:tcPr>
            <w:tcW w:w="1288" w:type="pct"/>
            <w:tcBorders>
              <w:top w:val="single" w:color="000000" w:sz="4" w:space="0"/>
              <w:left w:val="nil"/>
              <w:bottom w:val="single" w:color="000000" w:sz="4" w:space="0"/>
              <w:right w:val="single" w:color="000000" w:sz="4" w:space="0"/>
            </w:tcBorders>
            <w:noWrap w:val="0"/>
            <w:vAlign w:val="center"/>
          </w:tcPr>
          <w:p w14:paraId="35240E2B">
            <w:pPr>
              <w:widowControl/>
              <w:jc w:val="left"/>
              <w:rPr>
                <w:rFonts w:ascii="宋体" w:hAnsi="宋体" w:cs="Arial"/>
                <w:color w:val="auto"/>
                <w:kern w:val="0"/>
                <w:szCs w:val="21"/>
              </w:rPr>
            </w:pPr>
          </w:p>
        </w:tc>
        <w:tc>
          <w:tcPr>
            <w:tcW w:w="862" w:type="pct"/>
            <w:tcBorders>
              <w:top w:val="single" w:color="000000" w:sz="4" w:space="0"/>
              <w:left w:val="nil"/>
              <w:bottom w:val="single" w:color="000000" w:sz="4" w:space="0"/>
              <w:right w:val="single" w:color="000000" w:sz="4" w:space="0"/>
            </w:tcBorders>
            <w:noWrap w:val="0"/>
            <w:vAlign w:val="center"/>
          </w:tcPr>
          <w:p w14:paraId="7A74C1BF">
            <w:pPr>
              <w:widowControl/>
              <w:jc w:val="left"/>
              <w:rPr>
                <w:rFonts w:ascii="宋体" w:hAnsi="宋体" w:cs="Arial"/>
                <w:color w:val="auto"/>
                <w:kern w:val="0"/>
                <w:szCs w:val="21"/>
              </w:rPr>
            </w:pPr>
          </w:p>
        </w:tc>
        <w:tc>
          <w:tcPr>
            <w:tcW w:w="680" w:type="pct"/>
            <w:tcBorders>
              <w:top w:val="single" w:color="000000" w:sz="4" w:space="0"/>
              <w:left w:val="nil"/>
              <w:bottom w:val="single" w:color="000000" w:sz="4" w:space="0"/>
              <w:right w:val="single" w:color="000000" w:sz="4" w:space="0"/>
            </w:tcBorders>
            <w:noWrap w:val="0"/>
            <w:vAlign w:val="center"/>
          </w:tcPr>
          <w:p w14:paraId="66BD0028">
            <w:pPr>
              <w:widowControl/>
              <w:jc w:val="right"/>
              <w:rPr>
                <w:rFonts w:ascii="宋体" w:hAnsi="宋体" w:cs="Arial"/>
                <w:color w:val="auto"/>
                <w:kern w:val="0"/>
                <w:szCs w:val="21"/>
              </w:rPr>
            </w:pPr>
          </w:p>
        </w:tc>
        <w:tc>
          <w:tcPr>
            <w:tcW w:w="872" w:type="pct"/>
            <w:tcBorders>
              <w:top w:val="nil"/>
              <w:left w:val="nil"/>
              <w:bottom w:val="single" w:color="000000" w:sz="4" w:space="0"/>
              <w:right w:val="single" w:color="000000" w:sz="8" w:space="0"/>
            </w:tcBorders>
            <w:noWrap w:val="0"/>
            <w:vAlign w:val="center"/>
          </w:tcPr>
          <w:p w14:paraId="115B1D48">
            <w:pPr>
              <w:widowControl/>
              <w:jc w:val="right"/>
              <w:rPr>
                <w:rFonts w:ascii="宋体" w:hAnsi="宋体" w:cs="Arial"/>
                <w:color w:val="auto"/>
                <w:kern w:val="0"/>
                <w:szCs w:val="21"/>
              </w:rPr>
            </w:pPr>
          </w:p>
        </w:tc>
      </w:tr>
      <w:tr w14:paraId="398EF8F2">
        <w:tblPrEx>
          <w:tblCellMar>
            <w:top w:w="0" w:type="dxa"/>
            <w:left w:w="108" w:type="dxa"/>
            <w:bottom w:w="0" w:type="dxa"/>
            <w:right w:w="108" w:type="dxa"/>
          </w:tblCellMar>
        </w:tblPrEx>
        <w:trPr>
          <w:trHeight w:val="680" w:hRule="atLeast"/>
        </w:trPr>
        <w:tc>
          <w:tcPr>
            <w:tcW w:w="4128" w:type="pct"/>
            <w:gridSpan w:val="5"/>
            <w:tcBorders>
              <w:top w:val="single" w:color="000000" w:sz="4" w:space="0"/>
              <w:left w:val="single" w:color="000000" w:sz="8" w:space="0"/>
              <w:bottom w:val="single" w:color="000000" w:sz="8" w:space="0"/>
              <w:right w:val="single" w:color="000000" w:sz="4" w:space="0"/>
            </w:tcBorders>
            <w:noWrap w:val="0"/>
            <w:vAlign w:val="center"/>
          </w:tcPr>
          <w:p w14:paraId="270050C8">
            <w:pPr>
              <w:widowControl/>
              <w:jc w:val="center"/>
              <w:rPr>
                <w:rFonts w:ascii="宋体" w:hAnsi="宋体" w:cs="Arial"/>
                <w:color w:val="auto"/>
                <w:kern w:val="0"/>
                <w:szCs w:val="21"/>
              </w:rPr>
            </w:pPr>
            <w:r>
              <w:rPr>
                <w:rFonts w:hint="eastAsia" w:ascii="宋体" w:hAnsi="宋体" w:cs="Arial"/>
                <w:color w:val="auto"/>
                <w:kern w:val="0"/>
                <w:szCs w:val="21"/>
              </w:rPr>
              <w:t>合   计</w:t>
            </w:r>
          </w:p>
        </w:tc>
        <w:tc>
          <w:tcPr>
            <w:tcW w:w="872" w:type="pct"/>
            <w:tcBorders>
              <w:top w:val="nil"/>
              <w:left w:val="nil"/>
              <w:bottom w:val="single" w:color="000000" w:sz="8" w:space="0"/>
              <w:right w:val="single" w:color="000000" w:sz="8" w:space="0"/>
            </w:tcBorders>
            <w:noWrap w:val="0"/>
            <w:vAlign w:val="center"/>
          </w:tcPr>
          <w:p w14:paraId="2887FE60">
            <w:pPr>
              <w:widowControl/>
              <w:jc w:val="right"/>
              <w:rPr>
                <w:rFonts w:ascii="宋体" w:hAnsi="宋体" w:cs="Arial"/>
                <w:color w:val="auto"/>
                <w:kern w:val="0"/>
                <w:szCs w:val="21"/>
              </w:rPr>
            </w:pPr>
          </w:p>
        </w:tc>
      </w:tr>
    </w:tbl>
    <w:p w14:paraId="6B47EC3E">
      <w:pPr>
        <w:jc w:val="center"/>
        <w:outlineLvl w:val="2"/>
        <w:rPr>
          <w:rFonts w:hint="eastAsia" w:ascii="宋体" w:hAnsi="宋体"/>
          <w:color w:val="auto"/>
          <w:sz w:val="28"/>
          <w:szCs w:val="28"/>
        </w:rPr>
      </w:pPr>
      <w:bookmarkStart w:id="491" w:name="_Toc460227131"/>
      <w:bookmarkStart w:id="492" w:name="_Toc460660246"/>
      <w:r>
        <w:rPr>
          <w:rFonts w:ascii="宋体" w:hAnsi="宋体"/>
          <w:color w:val="auto"/>
          <w:sz w:val="28"/>
          <w:szCs w:val="28"/>
        </w:rPr>
        <w:br w:type="page"/>
      </w:r>
      <w:r>
        <w:rPr>
          <w:rFonts w:hint="eastAsia" w:ascii="宋体" w:hAnsi="宋体"/>
          <w:color w:val="auto"/>
          <w:sz w:val="28"/>
          <w:szCs w:val="28"/>
        </w:rPr>
        <w:t>（九）</w:t>
      </w:r>
      <w:bookmarkEnd w:id="491"/>
      <w:bookmarkEnd w:id="492"/>
      <w:r>
        <w:rPr>
          <w:rFonts w:hint="eastAsia" w:ascii="宋体" w:hAnsi="宋体"/>
          <w:color w:val="auto"/>
          <w:sz w:val="28"/>
          <w:szCs w:val="28"/>
        </w:rPr>
        <w:t>其他项目清单与计价汇总表</w:t>
      </w:r>
    </w:p>
    <w:p w14:paraId="77065D4A">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1663"/>
        <w:gridCol w:w="4167"/>
        <w:gridCol w:w="3345"/>
      </w:tblGrid>
      <w:tr w14:paraId="21A52760">
        <w:tblPrEx>
          <w:tblCellMar>
            <w:top w:w="0" w:type="dxa"/>
            <w:left w:w="108" w:type="dxa"/>
            <w:bottom w:w="0" w:type="dxa"/>
            <w:right w:w="108" w:type="dxa"/>
          </w:tblCellMar>
        </w:tblPrEx>
        <w:trPr>
          <w:trHeight w:val="690" w:hRule="atLeast"/>
        </w:trPr>
        <w:tc>
          <w:tcPr>
            <w:tcW w:w="90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23309AF9">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2271" w:type="pct"/>
            <w:tcBorders>
              <w:top w:val="single" w:color="000000" w:sz="8" w:space="0"/>
              <w:left w:val="nil"/>
              <w:bottom w:val="single" w:color="000000" w:sz="4" w:space="0"/>
              <w:right w:val="single" w:color="000000" w:sz="4" w:space="0"/>
            </w:tcBorders>
            <w:shd w:val="clear" w:color="FFFFFF" w:fill="FFFFFF"/>
            <w:noWrap w:val="0"/>
            <w:vAlign w:val="center"/>
          </w:tcPr>
          <w:p w14:paraId="23C86F3E">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项目名称</w:t>
            </w:r>
          </w:p>
        </w:tc>
        <w:tc>
          <w:tcPr>
            <w:tcW w:w="1823" w:type="pct"/>
            <w:tcBorders>
              <w:top w:val="single" w:color="000000" w:sz="8" w:space="0"/>
              <w:left w:val="nil"/>
              <w:bottom w:val="single" w:color="000000" w:sz="4" w:space="0"/>
              <w:right w:val="single" w:color="000000" w:sz="8" w:space="0"/>
            </w:tcBorders>
            <w:shd w:val="clear" w:color="FFFFFF" w:fill="FFFFFF"/>
            <w:noWrap w:val="0"/>
            <w:vAlign w:val="center"/>
          </w:tcPr>
          <w:p w14:paraId="31409781">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r>
      <w:tr w14:paraId="75AFE2B6">
        <w:tblPrEx>
          <w:tblCellMar>
            <w:top w:w="0" w:type="dxa"/>
            <w:left w:w="108" w:type="dxa"/>
            <w:bottom w:w="0" w:type="dxa"/>
            <w:right w:w="108" w:type="dxa"/>
          </w:tblCellMar>
        </w:tblPrEx>
        <w:trPr>
          <w:trHeight w:val="680" w:hRule="atLeast"/>
        </w:trPr>
        <w:tc>
          <w:tcPr>
            <w:tcW w:w="906" w:type="pct"/>
            <w:tcBorders>
              <w:top w:val="nil"/>
              <w:left w:val="single" w:color="000000" w:sz="8" w:space="0"/>
              <w:bottom w:val="single" w:color="000000" w:sz="4" w:space="0"/>
              <w:right w:val="single" w:color="000000" w:sz="4" w:space="0"/>
            </w:tcBorders>
            <w:noWrap w:val="0"/>
            <w:vAlign w:val="center"/>
          </w:tcPr>
          <w:p w14:paraId="4E4595E2">
            <w:pPr>
              <w:widowControl/>
              <w:jc w:val="center"/>
              <w:rPr>
                <w:rFonts w:ascii="宋体" w:hAnsi="宋体" w:cs="Arial"/>
                <w:color w:val="auto"/>
                <w:kern w:val="0"/>
                <w:szCs w:val="21"/>
              </w:rPr>
            </w:pPr>
          </w:p>
        </w:tc>
        <w:tc>
          <w:tcPr>
            <w:tcW w:w="2271" w:type="pct"/>
            <w:tcBorders>
              <w:top w:val="single" w:color="000000" w:sz="4" w:space="0"/>
              <w:left w:val="nil"/>
              <w:bottom w:val="single" w:color="000000" w:sz="4" w:space="0"/>
              <w:right w:val="single" w:color="000000" w:sz="4" w:space="0"/>
            </w:tcBorders>
            <w:noWrap w:val="0"/>
            <w:vAlign w:val="center"/>
          </w:tcPr>
          <w:p w14:paraId="2DE5EC22">
            <w:pPr>
              <w:widowControl/>
              <w:jc w:val="left"/>
              <w:rPr>
                <w:rFonts w:ascii="宋体" w:hAnsi="宋体" w:cs="Arial"/>
                <w:color w:val="auto"/>
                <w:kern w:val="0"/>
                <w:szCs w:val="21"/>
              </w:rPr>
            </w:pPr>
          </w:p>
        </w:tc>
        <w:tc>
          <w:tcPr>
            <w:tcW w:w="1823" w:type="pct"/>
            <w:tcBorders>
              <w:top w:val="single" w:color="000000" w:sz="4" w:space="0"/>
              <w:left w:val="nil"/>
              <w:bottom w:val="single" w:color="000000" w:sz="4" w:space="0"/>
              <w:right w:val="single" w:color="000000" w:sz="8" w:space="0"/>
            </w:tcBorders>
            <w:noWrap w:val="0"/>
            <w:vAlign w:val="center"/>
          </w:tcPr>
          <w:p w14:paraId="301F0283">
            <w:pPr>
              <w:widowControl/>
              <w:jc w:val="right"/>
              <w:rPr>
                <w:rFonts w:ascii="宋体" w:hAnsi="宋体" w:cs="Arial"/>
                <w:color w:val="auto"/>
                <w:kern w:val="0"/>
                <w:szCs w:val="21"/>
              </w:rPr>
            </w:pPr>
            <w:r>
              <w:rPr>
                <w:rFonts w:hint="eastAsia" w:ascii="宋体" w:hAnsi="宋体" w:cs="Arial"/>
                <w:color w:val="auto"/>
                <w:kern w:val="0"/>
                <w:szCs w:val="21"/>
              </w:rPr>
              <w:t>　</w:t>
            </w:r>
          </w:p>
        </w:tc>
      </w:tr>
      <w:tr w14:paraId="0B83FD02">
        <w:tblPrEx>
          <w:tblCellMar>
            <w:top w:w="0" w:type="dxa"/>
            <w:left w:w="108" w:type="dxa"/>
            <w:bottom w:w="0" w:type="dxa"/>
            <w:right w:w="108" w:type="dxa"/>
          </w:tblCellMar>
        </w:tblPrEx>
        <w:trPr>
          <w:trHeight w:val="680" w:hRule="atLeast"/>
        </w:trPr>
        <w:tc>
          <w:tcPr>
            <w:tcW w:w="906" w:type="pct"/>
            <w:tcBorders>
              <w:top w:val="nil"/>
              <w:left w:val="single" w:color="000000" w:sz="8" w:space="0"/>
              <w:bottom w:val="single" w:color="000000" w:sz="4" w:space="0"/>
              <w:right w:val="single" w:color="000000" w:sz="4" w:space="0"/>
            </w:tcBorders>
            <w:noWrap w:val="0"/>
            <w:vAlign w:val="center"/>
          </w:tcPr>
          <w:p w14:paraId="3C9D944E">
            <w:pPr>
              <w:widowControl/>
              <w:jc w:val="center"/>
              <w:rPr>
                <w:rFonts w:ascii="宋体" w:hAnsi="宋体" w:cs="Arial"/>
                <w:color w:val="auto"/>
                <w:kern w:val="0"/>
                <w:szCs w:val="21"/>
              </w:rPr>
            </w:pPr>
          </w:p>
        </w:tc>
        <w:tc>
          <w:tcPr>
            <w:tcW w:w="2271" w:type="pct"/>
            <w:tcBorders>
              <w:top w:val="single" w:color="000000" w:sz="4" w:space="0"/>
              <w:left w:val="nil"/>
              <w:bottom w:val="single" w:color="000000" w:sz="4" w:space="0"/>
              <w:right w:val="single" w:color="000000" w:sz="4" w:space="0"/>
            </w:tcBorders>
            <w:noWrap w:val="0"/>
            <w:vAlign w:val="center"/>
          </w:tcPr>
          <w:p w14:paraId="567681C1">
            <w:pPr>
              <w:widowControl/>
              <w:jc w:val="left"/>
              <w:rPr>
                <w:rFonts w:ascii="宋体" w:hAnsi="宋体" w:cs="Arial"/>
                <w:color w:val="auto"/>
                <w:kern w:val="0"/>
                <w:szCs w:val="21"/>
              </w:rPr>
            </w:pPr>
          </w:p>
        </w:tc>
        <w:tc>
          <w:tcPr>
            <w:tcW w:w="1823" w:type="pct"/>
            <w:tcBorders>
              <w:top w:val="single" w:color="000000" w:sz="4" w:space="0"/>
              <w:left w:val="nil"/>
              <w:bottom w:val="single" w:color="000000" w:sz="4" w:space="0"/>
              <w:right w:val="single" w:color="000000" w:sz="8" w:space="0"/>
            </w:tcBorders>
            <w:noWrap w:val="0"/>
            <w:vAlign w:val="center"/>
          </w:tcPr>
          <w:p w14:paraId="1AD5ECFC">
            <w:pPr>
              <w:widowControl/>
              <w:jc w:val="right"/>
              <w:rPr>
                <w:rFonts w:ascii="宋体" w:hAnsi="宋体" w:cs="Arial"/>
                <w:color w:val="auto"/>
                <w:kern w:val="0"/>
                <w:szCs w:val="21"/>
              </w:rPr>
            </w:pPr>
            <w:r>
              <w:rPr>
                <w:rFonts w:hint="eastAsia" w:ascii="宋体" w:hAnsi="宋体" w:cs="Arial"/>
                <w:color w:val="auto"/>
                <w:kern w:val="0"/>
                <w:szCs w:val="21"/>
              </w:rPr>
              <w:t>　</w:t>
            </w:r>
          </w:p>
        </w:tc>
      </w:tr>
      <w:tr w14:paraId="63C5AEB2">
        <w:tblPrEx>
          <w:tblCellMar>
            <w:top w:w="0" w:type="dxa"/>
            <w:left w:w="108" w:type="dxa"/>
            <w:bottom w:w="0" w:type="dxa"/>
            <w:right w:w="108" w:type="dxa"/>
          </w:tblCellMar>
        </w:tblPrEx>
        <w:trPr>
          <w:trHeight w:val="680" w:hRule="atLeast"/>
        </w:trPr>
        <w:tc>
          <w:tcPr>
            <w:tcW w:w="906" w:type="pct"/>
            <w:tcBorders>
              <w:top w:val="nil"/>
              <w:left w:val="single" w:color="000000" w:sz="8" w:space="0"/>
              <w:bottom w:val="single" w:color="000000" w:sz="4" w:space="0"/>
              <w:right w:val="single" w:color="000000" w:sz="4" w:space="0"/>
            </w:tcBorders>
            <w:noWrap w:val="0"/>
            <w:vAlign w:val="center"/>
          </w:tcPr>
          <w:p w14:paraId="229A384F">
            <w:pPr>
              <w:widowControl/>
              <w:jc w:val="center"/>
              <w:rPr>
                <w:rFonts w:ascii="宋体" w:hAnsi="宋体" w:cs="Arial"/>
                <w:color w:val="auto"/>
                <w:kern w:val="0"/>
                <w:szCs w:val="21"/>
              </w:rPr>
            </w:pPr>
          </w:p>
        </w:tc>
        <w:tc>
          <w:tcPr>
            <w:tcW w:w="2271" w:type="pct"/>
            <w:tcBorders>
              <w:top w:val="single" w:color="000000" w:sz="4" w:space="0"/>
              <w:left w:val="nil"/>
              <w:bottom w:val="single" w:color="000000" w:sz="4" w:space="0"/>
              <w:right w:val="single" w:color="000000" w:sz="4" w:space="0"/>
            </w:tcBorders>
            <w:noWrap w:val="0"/>
            <w:vAlign w:val="center"/>
          </w:tcPr>
          <w:p w14:paraId="18BCFBE4">
            <w:pPr>
              <w:widowControl/>
              <w:jc w:val="left"/>
              <w:rPr>
                <w:rFonts w:ascii="宋体" w:hAnsi="宋体" w:cs="Arial"/>
                <w:color w:val="auto"/>
                <w:kern w:val="0"/>
                <w:szCs w:val="21"/>
              </w:rPr>
            </w:pPr>
          </w:p>
        </w:tc>
        <w:tc>
          <w:tcPr>
            <w:tcW w:w="1823" w:type="pct"/>
            <w:tcBorders>
              <w:top w:val="single" w:color="000000" w:sz="4" w:space="0"/>
              <w:left w:val="nil"/>
              <w:bottom w:val="single" w:color="000000" w:sz="4" w:space="0"/>
              <w:right w:val="single" w:color="000000" w:sz="8" w:space="0"/>
            </w:tcBorders>
            <w:noWrap w:val="0"/>
            <w:vAlign w:val="center"/>
          </w:tcPr>
          <w:p w14:paraId="22E91EF2">
            <w:pPr>
              <w:widowControl/>
              <w:jc w:val="right"/>
              <w:rPr>
                <w:rFonts w:ascii="宋体" w:hAnsi="宋体" w:cs="Arial"/>
                <w:color w:val="auto"/>
                <w:kern w:val="0"/>
                <w:szCs w:val="21"/>
              </w:rPr>
            </w:pPr>
            <w:r>
              <w:rPr>
                <w:rFonts w:hint="eastAsia" w:ascii="宋体" w:hAnsi="宋体" w:cs="Arial"/>
                <w:color w:val="auto"/>
                <w:kern w:val="0"/>
                <w:szCs w:val="21"/>
              </w:rPr>
              <w:t>　</w:t>
            </w:r>
          </w:p>
        </w:tc>
      </w:tr>
      <w:tr w14:paraId="0D978A33">
        <w:tblPrEx>
          <w:tblCellMar>
            <w:top w:w="0" w:type="dxa"/>
            <w:left w:w="108" w:type="dxa"/>
            <w:bottom w:w="0" w:type="dxa"/>
            <w:right w:w="108" w:type="dxa"/>
          </w:tblCellMar>
        </w:tblPrEx>
        <w:trPr>
          <w:trHeight w:val="680" w:hRule="atLeast"/>
        </w:trPr>
        <w:tc>
          <w:tcPr>
            <w:tcW w:w="3177" w:type="pct"/>
            <w:gridSpan w:val="2"/>
            <w:tcBorders>
              <w:top w:val="single" w:color="000000" w:sz="4" w:space="0"/>
              <w:left w:val="single" w:color="000000" w:sz="8" w:space="0"/>
              <w:bottom w:val="single" w:color="000000" w:sz="8" w:space="0"/>
              <w:right w:val="single" w:color="000000" w:sz="4" w:space="0"/>
            </w:tcBorders>
            <w:noWrap w:val="0"/>
            <w:vAlign w:val="center"/>
          </w:tcPr>
          <w:p w14:paraId="5C3020AE">
            <w:pPr>
              <w:widowControl/>
              <w:jc w:val="center"/>
              <w:rPr>
                <w:rFonts w:ascii="宋体" w:hAnsi="宋体" w:cs="Arial"/>
                <w:color w:val="auto"/>
                <w:kern w:val="0"/>
                <w:szCs w:val="21"/>
              </w:rPr>
            </w:pPr>
            <w:r>
              <w:rPr>
                <w:rFonts w:hint="eastAsia" w:ascii="宋体" w:hAnsi="宋体" w:cs="Arial"/>
                <w:color w:val="auto"/>
                <w:kern w:val="0"/>
                <w:szCs w:val="21"/>
              </w:rPr>
              <w:t>合  计</w:t>
            </w:r>
          </w:p>
        </w:tc>
        <w:tc>
          <w:tcPr>
            <w:tcW w:w="1823" w:type="pct"/>
            <w:tcBorders>
              <w:top w:val="single" w:color="000000" w:sz="4" w:space="0"/>
              <w:left w:val="nil"/>
              <w:bottom w:val="single" w:color="000000" w:sz="8" w:space="0"/>
              <w:right w:val="single" w:color="000000" w:sz="8" w:space="0"/>
            </w:tcBorders>
            <w:noWrap w:val="0"/>
            <w:vAlign w:val="center"/>
          </w:tcPr>
          <w:p w14:paraId="19E63823">
            <w:pPr>
              <w:widowControl/>
              <w:jc w:val="right"/>
              <w:rPr>
                <w:rFonts w:ascii="宋体" w:hAnsi="宋体" w:cs="Arial"/>
                <w:color w:val="auto"/>
                <w:kern w:val="0"/>
                <w:szCs w:val="21"/>
              </w:rPr>
            </w:pPr>
          </w:p>
        </w:tc>
      </w:tr>
    </w:tbl>
    <w:p w14:paraId="2B683399">
      <w:pPr>
        <w:jc w:val="center"/>
        <w:rPr>
          <w:rFonts w:hint="eastAsia" w:ascii="宋体" w:hAnsi="宋体"/>
          <w:color w:val="auto"/>
          <w:sz w:val="28"/>
          <w:szCs w:val="28"/>
        </w:rPr>
      </w:pPr>
      <w:bookmarkStart w:id="493" w:name="_Toc460660247"/>
      <w:bookmarkStart w:id="494" w:name="_Toc460227132"/>
      <w:bookmarkStart w:id="495" w:name="_Toc535241136"/>
    </w:p>
    <w:p w14:paraId="0AAA014B">
      <w:pPr>
        <w:jc w:val="center"/>
        <w:outlineLvl w:val="2"/>
        <w:rPr>
          <w:rFonts w:ascii="宋体" w:hAnsi="宋体"/>
          <w:color w:val="auto"/>
          <w:sz w:val="28"/>
          <w:szCs w:val="28"/>
        </w:rPr>
      </w:pPr>
      <w:r>
        <w:rPr>
          <w:rFonts w:hint="eastAsia" w:ascii="宋体" w:hAnsi="宋体"/>
          <w:color w:val="auto"/>
          <w:sz w:val="28"/>
          <w:szCs w:val="28"/>
        </w:rPr>
        <w:t>（十）</w:t>
      </w:r>
      <w:bookmarkEnd w:id="493"/>
      <w:bookmarkEnd w:id="494"/>
      <w:r>
        <w:rPr>
          <w:rFonts w:hint="eastAsia" w:ascii="宋体" w:hAnsi="宋体"/>
          <w:color w:val="auto"/>
          <w:sz w:val="28"/>
          <w:szCs w:val="28"/>
        </w:rPr>
        <w:t>暂列金额明细表</w:t>
      </w:r>
      <w:bookmarkEnd w:id="495"/>
    </w:p>
    <w:p w14:paraId="0A8EBB1F">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936"/>
        <w:gridCol w:w="1620"/>
        <w:gridCol w:w="1620"/>
        <w:gridCol w:w="1387"/>
        <w:gridCol w:w="936"/>
        <w:gridCol w:w="938"/>
        <w:gridCol w:w="1738"/>
      </w:tblGrid>
      <w:tr w14:paraId="6B1AE906">
        <w:tblPrEx>
          <w:tblCellMar>
            <w:top w:w="0" w:type="dxa"/>
            <w:left w:w="108" w:type="dxa"/>
            <w:bottom w:w="0" w:type="dxa"/>
            <w:right w:w="108" w:type="dxa"/>
          </w:tblCellMar>
        </w:tblPrEx>
        <w:trPr>
          <w:trHeight w:val="690" w:hRule="atLeast"/>
        </w:trPr>
        <w:tc>
          <w:tcPr>
            <w:tcW w:w="510"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7974FE2">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1766" w:type="pct"/>
            <w:gridSpan w:val="2"/>
            <w:tcBorders>
              <w:top w:val="single" w:color="000000" w:sz="8" w:space="0"/>
              <w:left w:val="nil"/>
              <w:bottom w:val="single" w:color="000000" w:sz="4" w:space="0"/>
              <w:right w:val="single" w:color="000000" w:sz="4" w:space="0"/>
            </w:tcBorders>
            <w:shd w:val="clear" w:color="FFFFFF" w:fill="FFFFFF"/>
            <w:noWrap w:val="0"/>
            <w:vAlign w:val="center"/>
          </w:tcPr>
          <w:p w14:paraId="1590EAD4">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项目名称</w:t>
            </w:r>
          </w:p>
        </w:tc>
        <w:tc>
          <w:tcPr>
            <w:tcW w:w="756" w:type="pct"/>
            <w:tcBorders>
              <w:top w:val="single" w:color="000000" w:sz="8" w:space="0"/>
              <w:left w:val="nil"/>
              <w:bottom w:val="single" w:color="000000" w:sz="4" w:space="0"/>
              <w:right w:val="single" w:color="000000" w:sz="4" w:space="0"/>
            </w:tcBorders>
            <w:shd w:val="clear" w:color="FFFFFF" w:fill="FFFFFF"/>
            <w:noWrap w:val="0"/>
            <w:vAlign w:val="center"/>
          </w:tcPr>
          <w:p w14:paraId="625B78A6">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计量单位</w:t>
            </w:r>
          </w:p>
        </w:tc>
        <w:tc>
          <w:tcPr>
            <w:tcW w:w="1021" w:type="pct"/>
            <w:gridSpan w:val="2"/>
            <w:tcBorders>
              <w:top w:val="single" w:color="000000" w:sz="8" w:space="0"/>
              <w:left w:val="nil"/>
              <w:bottom w:val="single" w:color="000000" w:sz="4" w:space="0"/>
              <w:right w:val="single" w:color="000000" w:sz="4" w:space="0"/>
            </w:tcBorders>
            <w:shd w:val="clear" w:color="FFFFFF" w:fill="FFFFFF"/>
            <w:noWrap w:val="0"/>
            <w:vAlign w:val="center"/>
          </w:tcPr>
          <w:p w14:paraId="5A08CFE4">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暂定金额(元)</w:t>
            </w:r>
          </w:p>
        </w:tc>
        <w:tc>
          <w:tcPr>
            <w:tcW w:w="947" w:type="pct"/>
            <w:tcBorders>
              <w:top w:val="single" w:color="000000" w:sz="8" w:space="0"/>
              <w:left w:val="nil"/>
              <w:bottom w:val="single" w:color="000000" w:sz="4" w:space="0"/>
              <w:right w:val="single" w:color="000000" w:sz="8" w:space="0"/>
            </w:tcBorders>
            <w:shd w:val="clear" w:color="FFFFFF" w:fill="FFFFFF"/>
            <w:noWrap w:val="0"/>
            <w:vAlign w:val="center"/>
          </w:tcPr>
          <w:p w14:paraId="67D7D3CF">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备注</w:t>
            </w:r>
          </w:p>
        </w:tc>
      </w:tr>
      <w:tr w14:paraId="17D3DC1D">
        <w:tblPrEx>
          <w:tblCellMar>
            <w:top w:w="0" w:type="dxa"/>
            <w:left w:w="108" w:type="dxa"/>
            <w:bottom w:w="0" w:type="dxa"/>
            <w:right w:w="108" w:type="dxa"/>
          </w:tblCellMar>
        </w:tblPrEx>
        <w:trPr>
          <w:trHeight w:val="680" w:hRule="atLeast"/>
        </w:trPr>
        <w:tc>
          <w:tcPr>
            <w:tcW w:w="510" w:type="pct"/>
            <w:tcBorders>
              <w:top w:val="nil"/>
              <w:left w:val="single" w:color="000000" w:sz="8" w:space="0"/>
              <w:bottom w:val="single" w:color="000000" w:sz="4" w:space="0"/>
              <w:right w:val="single" w:color="000000" w:sz="4" w:space="0"/>
            </w:tcBorders>
            <w:noWrap w:val="0"/>
            <w:vAlign w:val="center"/>
          </w:tcPr>
          <w:p w14:paraId="242A7C8D">
            <w:pPr>
              <w:widowControl/>
              <w:jc w:val="center"/>
              <w:rPr>
                <w:rFonts w:ascii="宋体" w:hAnsi="宋体" w:cs="Arial"/>
                <w:color w:val="auto"/>
                <w:kern w:val="0"/>
                <w:szCs w:val="21"/>
              </w:rPr>
            </w:pPr>
          </w:p>
        </w:tc>
        <w:tc>
          <w:tcPr>
            <w:tcW w:w="1766" w:type="pct"/>
            <w:gridSpan w:val="2"/>
            <w:tcBorders>
              <w:top w:val="single" w:color="000000" w:sz="4" w:space="0"/>
              <w:left w:val="nil"/>
              <w:bottom w:val="single" w:color="000000" w:sz="4" w:space="0"/>
              <w:right w:val="single" w:color="000000" w:sz="4" w:space="0"/>
            </w:tcBorders>
            <w:noWrap w:val="0"/>
            <w:vAlign w:val="center"/>
          </w:tcPr>
          <w:p w14:paraId="0DB9813A">
            <w:pPr>
              <w:widowControl/>
              <w:jc w:val="left"/>
              <w:rPr>
                <w:rFonts w:ascii="宋体" w:hAnsi="宋体" w:cs="Arial"/>
                <w:color w:val="auto"/>
                <w:kern w:val="0"/>
                <w:szCs w:val="21"/>
              </w:rPr>
            </w:pPr>
          </w:p>
        </w:tc>
        <w:tc>
          <w:tcPr>
            <w:tcW w:w="756" w:type="pct"/>
            <w:tcBorders>
              <w:top w:val="nil"/>
              <w:left w:val="nil"/>
              <w:bottom w:val="single" w:color="000000" w:sz="4" w:space="0"/>
              <w:right w:val="single" w:color="000000" w:sz="4" w:space="0"/>
            </w:tcBorders>
            <w:noWrap w:val="0"/>
            <w:vAlign w:val="center"/>
          </w:tcPr>
          <w:p w14:paraId="4479DEC4">
            <w:pPr>
              <w:widowControl/>
              <w:jc w:val="center"/>
              <w:rPr>
                <w:rFonts w:ascii="宋体" w:hAnsi="宋体" w:cs="Arial"/>
                <w:color w:val="auto"/>
                <w:kern w:val="0"/>
                <w:szCs w:val="21"/>
              </w:rPr>
            </w:pPr>
          </w:p>
        </w:tc>
        <w:tc>
          <w:tcPr>
            <w:tcW w:w="1021" w:type="pct"/>
            <w:gridSpan w:val="2"/>
            <w:tcBorders>
              <w:top w:val="single" w:color="000000" w:sz="4" w:space="0"/>
              <w:left w:val="nil"/>
              <w:bottom w:val="single" w:color="000000" w:sz="4" w:space="0"/>
              <w:right w:val="single" w:color="000000" w:sz="4" w:space="0"/>
            </w:tcBorders>
            <w:noWrap w:val="0"/>
            <w:vAlign w:val="center"/>
          </w:tcPr>
          <w:p w14:paraId="12FB90EC">
            <w:pPr>
              <w:widowControl/>
              <w:jc w:val="right"/>
              <w:rPr>
                <w:rFonts w:ascii="宋体" w:hAnsi="宋体" w:cs="Arial"/>
                <w:color w:val="auto"/>
                <w:kern w:val="0"/>
                <w:szCs w:val="21"/>
              </w:rPr>
            </w:pPr>
          </w:p>
        </w:tc>
        <w:tc>
          <w:tcPr>
            <w:tcW w:w="947" w:type="pct"/>
            <w:tcBorders>
              <w:top w:val="nil"/>
              <w:left w:val="nil"/>
              <w:bottom w:val="single" w:color="000000" w:sz="4" w:space="0"/>
              <w:right w:val="single" w:color="000000" w:sz="8" w:space="0"/>
            </w:tcBorders>
            <w:noWrap w:val="0"/>
            <w:vAlign w:val="center"/>
          </w:tcPr>
          <w:p w14:paraId="6F645871">
            <w:pPr>
              <w:widowControl/>
              <w:jc w:val="left"/>
              <w:rPr>
                <w:rFonts w:ascii="宋体" w:hAnsi="宋体" w:cs="Arial"/>
                <w:color w:val="auto"/>
                <w:kern w:val="0"/>
                <w:szCs w:val="21"/>
              </w:rPr>
            </w:pPr>
          </w:p>
        </w:tc>
      </w:tr>
      <w:tr w14:paraId="02A5AFAF">
        <w:tblPrEx>
          <w:tblCellMar>
            <w:top w:w="0" w:type="dxa"/>
            <w:left w:w="108" w:type="dxa"/>
            <w:bottom w:w="0" w:type="dxa"/>
            <w:right w:w="108" w:type="dxa"/>
          </w:tblCellMar>
        </w:tblPrEx>
        <w:trPr>
          <w:trHeight w:val="680" w:hRule="atLeast"/>
        </w:trPr>
        <w:tc>
          <w:tcPr>
            <w:tcW w:w="510" w:type="pct"/>
            <w:tcBorders>
              <w:top w:val="nil"/>
              <w:left w:val="single" w:color="000000" w:sz="8" w:space="0"/>
              <w:bottom w:val="single" w:color="000000" w:sz="4" w:space="0"/>
              <w:right w:val="single" w:color="000000" w:sz="4" w:space="0"/>
            </w:tcBorders>
            <w:noWrap w:val="0"/>
            <w:vAlign w:val="center"/>
          </w:tcPr>
          <w:p w14:paraId="23ECA2EC">
            <w:pPr>
              <w:widowControl/>
              <w:jc w:val="center"/>
              <w:rPr>
                <w:rFonts w:ascii="宋体" w:hAnsi="宋体" w:cs="Arial"/>
                <w:color w:val="auto"/>
                <w:kern w:val="0"/>
                <w:szCs w:val="21"/>
              </w:rPr>
            </w:pPr>
          </w:p>
        </w:tc>
        <w:tc>
          <w:tcPr>
            <w:tcW w:w="1766" w:type="pct"/>
            <w:gridSpan w:val="2"/>
            <w:tcBorders>
              <w:top w:val="single" w:color="000000" w:sz="4" w:space="0"/>
              <w:left w:val="nil"/>
              <w:bottom w:val="single" w:color="000000" w:sz="4" w:space="0"/>
              <w:right w:val="single" w:color="000000" w:sz="4" w:space="0"/>
            </w:tcBorders>
            <w:noWrap w:val="0"/>
            <w:vAlign w:val="center"/>
          </w:tcPr>
          <w:p w14:paraId="3677104D">
            <w:pPr>
              <w:widowControl/>
              <w:jc w:val="left"/>
              <w:rPr>
                <w:rFonts w:ascii="宋体" w:hAnsi="宋体" w:cs="Arial"/>
                <w:color w:val="auto"/>
                <w:kern w:val="0"/>
                <w:szCs w:val="21"/>
              </w:rPr>
            </w:pPr>
          </w:p>
        </w:tc>
        <w:tc>
          <w:tcPr>
            <w:tcW w:w="756" w:type="pct"/>
            <w:tcBorders>
              <w:top w:val="nil"/>
              <w:left w:val="nil"/>
              <w:bottom w:val="single" w:color="000000" w:sz="4" w:space="0"/>
              <w:right w:val="single" w:color="000000" w:sz="4" w:space="0"/>
            </w:tcBorders>
            <w:noWrap w:val="0"/>
            <w:vAlign w:val="center"/>
          </w:tcPr>
          <w:p w14:paraId="092BF395">
            <w:pPr>
              <w:widowControl/>
              <w:jc w:val="center"/>
              <w:rPr>
                <w:rFonts w:ascii="宋体" w:hAnsi="宋体" w:cs="Arial"/>
                <w:color w:val="auto"/>
                <w:kern w:val="0"/>
                <w:szCs w:val="21"/>
              </w:rPr>
            </w:pPr>
          </w:p>
        </w:tc>
        <w:tc>
          <w:tcPr>
            <w:tcW w:w="1021" w:type="pct"/>
            <w:gridSpan w:val="2"/>
            <w:tcBorders>
              <w:top w:val="single" w:color="000000" w:sz="4" w:space="0"/>
              <w:left w:val="nil"/>
              <w:bottom w:val="single" w:color="000000" w:sz="4" w:space="0"/>
              <w:right w:val="single" w:color="000000" w:sz="4" w:space="0"/>
            </w:tcBorders>
            <w:noWrap w:val="0"/>
            <w:vAlign w:val="center"/>
          </w:tcPr>
          <w:p w14:paraId="67C65F59">
            <w:pPr>
              <w:widowControl/>
              <w:jc w:val="right"/>
              <w:rPr>
                <w:rFonts w:ascii="宋体" w:hAnsi="宋体" w:cs="Arial"/>
                <w:color w:val="auto"/>
                <w:kern w:val="0"/>
                <w:szCs w:val="21"/>
              </w:rPr>
            </w:pPr>
          </w:p>
        </w:tc>
        <w:tc>
          <w:tcPr>
            <w:tcW w:w="947" w:type="pct"/>
            <w:tcBorders>
              <w:top w:val="nil"/>
              <w:left w:val="nil"/>
              <w:bottom w:val="single" w:color="000000" w:sz="4" w:space="0"/>
              <w:right w:val="single" w:color="000000" w:sz="8" w:space="0"/>
            </w:tcBorders>
            <w:noWrap w:val="0"/>
            <w:vAlign w:val="center"/>
          </w:tcPr>
          <w:p w14:paraId="41F84160">
            <w:pPr>
              <w:widowControl/>
              <w:jc w:val="left"/>
              <w:rPr>
                <w:rFonts w:ascii="宋体" w:hAnsi="宋体" w:cs="Arial"/>
                <w:color w:val="auto"/>
                <w:kern w:val="0"/>
                <w:szCs w:val="21"/>
              </w:rPr>
            </w:pPr>
          </w:p>
        </w:tc>
      </w:tr>
      <w:tr w14:paraId="15155F1E">
        <w:tblPrEx>
          <w:tblCellMar>
            <w:top w:w="0" w:type="dxa"/>
            <w:left w:w="108" w:type="dxa"/>
            <w:bottom w:w="0" w:type="dxa"/>
            <w:right w:w="108" w:type="dxa"/>
          </w:tblCellMar>
        </w:tblPrEx>
        <w:trPr>
          <w:trHeight w:val="680" w:hRule="atLeast"/>
        </w:trPr>
        <w:tc>
          <w:tcPr>
            <w:tcW w:w="510" w:type="pct"/>
            <w:tcBorders>
              <w:top w:val="nil"/>
              <w:left w:val="single" w:color="000000" w:sz="8" w:space="0"/>
              <w:bottom w:val="single" w:color="000000" w:sz="4" w:space="0"/>
              <w:right w:val="single" w:color="000000" w:sz="4" w:space="0"/>
            </w:tcBorders>
            <w:noWrap w:val="0"/>
            <w:vAlign w:val="center"/>
          </w:tcPr>
          <w:p w14:paraId="1DB96307">
            <w:pPr>
              <w:widowControl/>
              <w:jc w:val="center"/>
              <w:rPr>
                <w:rFonts w:ascii="宋体" w:hAnsi="宋体" w:cs="Arial"/>
                <w:color w:val="auto"/>
                <w:kern w:val="0"/>
                <w:szCs w:val="21"/>
              </w:rPr>
            </w:pPr>
          </w:p>
        </w:tc>
        <w:tc>
          <w:tcPr>
            <w:tcW w:w="1766" w:type="pct"/>
            <w:gridSpan w:val="2"/>
            <w:tcBorders>
              <w:top w:val="single" w:color="000000" w:sz="4" w:space="0"/>
              <w:left w:val="nil"/>
              <w:bottom w:val="single" w:color="000000" w:sz="4" w:space="0"/>
              <w:right w:val="single" w:color="000000" w:sz="4" w:space="0"/>
            </w:tcBorders>
            <w:noWrap w:val="0"/>
            <w:vAlign w:val="center"/>
          </w:tcPr>
          <w:p w14:paraId="7265575D">
            <w:pPr>
              <w:widowControl/>
              <w:jc w:val="left"/>
              <w:rPr>
                <w:rFonts w:ascii="宋体" w:hAnsi="宋体" w:cs="Arial"/>
                <w:color w:val="auto"/>
                <w:kern w:val="0"/>
                <w:szCs w:val="21"/>
              </w:rPr>
            </w:pPr>
          </w:p>
        </w:tc>
        <w:tc>
          <w:tcPr>
            <w:tcW w:w="756" w:type="pct"/>
            <w:tcBorders>
              <w:top w:val="nil"/>
              <w:left w:val="nil"/>
              <w:bottom w:val="single" w:color="000000" w:sz="4" w:space="0"/>
              <w:right w:val="single" w:color="000000" w:sz="4" w:space="0"/>
            </w:tcBorders>
            <w:noWrap w:val="0"/>
            <w:vAlign w:val="center"/>
          </w:tcPr>
          <w:p w14:paraId="281C4AE0">
            <w:pPr>
              <w:widowControl/>
              <w:jc w:val="center"/>
              <w:rPr>
                <w:rFonts w:ascii="宋体" w:hAnsi="宋体" w:cs="Arial"/>
                <w:color w:val="auto"/>
                <w:kern w:val="0"/>
                <w:szCs w:val="21"/>
              </w:rPr>
            </w:pPr>
          </w:p>
        </w:tc>
        <w:tc>
          <w:tcPr>
            <w:tcW w:w="1021" w:type="pct"/>
            <w:gridSpan w:val="2"/>
            <w:tcBorders>
              <w:top w:val="single" w:color="000000" w:sz="4" w:space="0"/>
              <w:left w:val="nil"/>
              <w:bottom w:val="single" w:color="000000" w:sz="4" w:space="0"/>
              <w:right w:val="single" w:color="000000" w:sz="4" w:space="0"/>
            </w:tcBorders>
            <w:noWrap w:val="0"/>
            <w:vAlign w:val="center"/>
          </w:tcPr>
          <w:p w14:paraId="2933A18F">
            <w:pPr>
              <w:widowControl/>
              <w:jc w:val="right"/>
              <w:rPr>
                <w:rFonts w:ascii="宋体" w:hAnsi="宋体" w:cs="Arial"/>
                <w:color w:val="auto"/>
                <w:kern w:val="0"/>
                <w:szCs w:val="21"/>
              </w:rPr>
            </w:pPr>
          </w:p>
        </w:tc>
        <w:tc>
          <w:tcPr>
            <w:tcW w:w="947" w:type="pct"/>
            <w:tcBorders>
              <w:top w:val="nil"/>
              <w:left w:val="nil"/>
              <w:bottom w:val="single" w:color="000000" w:sz="4" w:space="0"/>
              <w:right w:val="single" w:color="000000" w:sz="8" w:space="0"/>
            </w:tcBorders>
            <w:noWrap w:val="0"/>
            <w:vAlign w:val="center"/>
          </w:tcPr>
          <w:p w14:paraId="1DA5CAA7">
            <w:pPr>
              <w:widowControl/>
              <w:jc w:val="left"/>
              <w:rPr>
                <w:rFonts w:ascii="宋体" w:hAnsi="宋体" w:cs="Arial"/>
                <w:color w:val="auto"/>
                <w:kern w:val="0"/>
                <w:szCs w:val="21"/>
              </w:rPr>
            </w:pPr>
          </w:p>
        </w:tc>
      </w:tr>
      <w:tr w14:paraId="5CA246C3">
        <w:tblPrEx>
          <w:tblCellMar>
            <w:top w:w="0" w:type="dxa"/>
            <w:left w:w="108" w:type="dxa"/>
            <w:bottom w:w="0" w:type="dxa"/>
            <w:right w:w="108" w:type="dxa"/>
          </w:tblCellMar>
        </w:tblPrEx>
        <w:trPr>
          <w:trHeight w:val="680" w:hRule="atLeast"/>
        </w:trPr>
        <w:tc>
          <w:tcPr>
            <w:tcW w:w="3032" w:type="pct"/>
            <w:gridSpan w:val="4"/>
            <w:tcBorders>
              <w:top w:val="nil"/>
              <w:left w:val="single" w:color="000000" w:sz="8" w:space="0"/>
              <w:bottom w:val="single" w:color="000000" w:sz="4" w:space="0"/>
              <w:right w:val="single" w:color="000000" w:sz="4" w:space="0"/>
            </w:tcBorders>
            <w:noWrap w:val="0"/>
            <w:vAlign w:val="center"/>
          </w:tcPr>
          <w:p w14:paraId="5FB7EC76">
            <w:pPr>
              <w:widowControl/>
              <w:jc w:val="center"/>
              <w:rPr>
                <w:rFonts w:ascii="宋体" w:hAnsi="宋体" w:cs="Arial"/>
                <w:color w:val="auto"/>
                <w:kern w:val="0"/>
                <w:szCs w:val="21"/>
              </w:rPr>
            </w:pPr>
            <w:r>
              <w:rPr>
                <w:rFonts w:hint="eastAsia" w:ascii="宋体" w:hAnsi="宋体" w:cs="Arial"/>
                <w:color w:val="auto"/>
                <w:kern w:val="0"/>
                <w:szCs w:val="21"/>
              </w:rPr>
              <w:t>合  计</w:t>
            </w:r>
          </w:p>
        </w:tc>
        <w:tc>
          <w:tcPr>
            <w:tcW w:w="1021" w:type="pct"/>
            <w:gridSpan w:val="2"/>
            <w:tcBorders>
              <w:top w:val="single" w:color="000000" w:sz="4" w:space="0"/>
              <w:left w:val="nil"/>
              <w:bottom w:val="single" w:color="000000" w:sz="4" w:space="0"/>
              <w:right w:val="single" w:color="000000" w:sz="4" w:space="0"/>
            </w:tcBorders>
            <w:noWrap w:val="0"/>
            <w:vAlign w:val="center"/>
          </w:tcPr>
          <w:p w14:paraId="7B7FF11F">
            <w:pPr>
              <w:widowControl/>
              <w:jc w:val="right"/>
              <w:rPr>
                <w:rFonts w:ascii="宋体" w:hAnsi="宋体" w:cs="Arial"/>
                <w:color w:val="auto"/>
                <w:kern w:val="0"/>
                <w:szCs w:val="21"/>
              </w:rPr>
            </w:pPr>
          </w:p>
        </w:tc>
        <w:tc>
          <w:tcPr>
            <w:tcW w:w="947" w:type="pct"/>
            <w:tcBorders>
              <w:top w:val="nil"/>
              <w:left w:val="nil"/>
              <w:bottom w:val="single" w:color="000000" w:sz="4" w:space="0"/>
              <w:right w:val="single" w:color="000000" w:sz="8" w:space="0"/>
            </w:tcBorders>
            <w:noWrap w:val="0"/>
            <w:vAlign w:val="center"/>
          </w:tcPr>
          <w:p w14:paraId="2FB083C0">
            <w:pPr>
              <w:widowControl/>
              <w:jc w:val="left"/>
              <w:rPr>
                <w:rFonts w:ascii="宋体" w:hAnsi="宋体" w:cs="Arial"/>
                <w:color w:val="auto"/>
                <w:kern w:val="0"/>
                <w:szCs w:val="21"/>
              </w:rPr>
            </w:pPr>
          </w:p>
        </w:tc>
      </w:tr>
      <w:tr w14:paraId="5F18405D">
        <w:tblPrEx>
          <w:tblCellMar>
            <w:top w:w="0" w:type="dxa"/>
            <w:left w:w="108" w:type="dxa"/>
            <w:bottom w:w="0" w:type="dxa"/>
            <w:right w:w="108" w:type="dxa"/>
          </w:tblCellMar>
        </w:tblPrEx>
        <w:trPr>
          <w:trHeight w:val="15" w:hRule="atLeast"/>
        </w:trPr>
        <w:tc>
          <w:tcPr>
            <w:tcW w:w="510" w:type="pct"/>
            <w:tcBorders>
              <w:top w:val="nil"/>
              <w:left w:val="nil"/>
              <w:bottom w:val="nil"/>
              <w:right w:val="nil"/>
            </w:tcBorders>
            <w:noWrap/>
            <w:vAlign w:val="top"/>
          </w:tcPr>
          <w:p w14:paraId="2F0C2A25">
            <w:pPr>
              <w:widowControl/>
              <w:jc w:val="left"/>
              <w:rPr>
                <w:rFonts w:ascii="Arial" w:hAnsi="Arial" w:cs="Arial"/>
                <w:color w:val="auto"/>
                <w:kern w:val="0"/>
                <w:sz w:val="20"/>
                <w:szCs w:val="20"/>
              </w:rPr>
            </w:pPr>
          </w:p>
        </w:tc>
        <w:tc>
          <w:tcPr>
            <w:tcW w:w="883" w:type="pct"/>
            <w:tcBorders>
              <w:top w:val="nil"/>
              <w:left w:val="nil"/>
              <w:bottom w:val="nil"/>
              <w:right w:val="nil"/>
            </w:tcBorders>
            <w:noWrap/>
            <w:vAlign w:val="top"/>
          </w:tcPr>
          <w:p w14:paraId="7C84ABD5">
            <w:pPr>
              <w:widowControl/>
              <w:jc w:val="left"/>
              <w:rPr>
                <w:rFonts w:ascii="Arial" w:hAnsi="Arial" w:cs="Arial"/>
                <w:color w:val="auto"/>
                <w:kern w:val="0"/>
                <w:sz w:val="20"/>
                <w:szCs w:val="20"/>
              </w:rPr>
            </w:pPr>
          </w:p>
        </w:tc>
        <w:tc>
          <w:tcPr>
            <w:tcW w:w="883" w:type="pct"/>
            <w:tcBorders>
              <w:top w:val="nil"/>
              <w:left w:val="nil"/>
              <w:bottom w:val="nil"/>
              <w:right w:val="nil"/>
            </w:tcBorders>
            <w:noWrap/>
            <w:vAlign w:val="top"/>
          </w:tcPr>
          <w:p w14:paraId="0DC4BFF8">
            <w:pPr>
              <w:widowControl/>
              <w:jc w:val="left"/>
              <w:rPr>
                <w:rFonts w:ascii="Arial" w:hAnsi="Arial" w:cs="Arial"/>
                <w:color w:val="auto"/>
                <w:kern w:val="0"/>
                <w:sz w:val="20"/>
                <w:szCs w:val="20"/>
              </w:rPr>
            </w:pPr>
          </w:p>
        </w:tc>
        <w:tc>
          <w:tcPr>
            <w:tcW w:w="756" w:type="pct"/>
            <w:tcBorders>
              <w:top w:val="nil"/>
              <w:left w:val="nil"/>
              <w:bottom w:val="nil"/>
              <w:right w:val="nil"/>
            </w:tcBorders>
            <w:noWrap/>
            <w:vAlign w:val="top"/>
          </w:tcPr>
          <w:p w14:paraId="02F59788">
            <w:pPr>
              <w:widowControl/>
              <w:jc w:val="left"/>
              <w:rPr>
                <w:rFonts w:ascii="Arial" w:hAnsi="Arial" w:cs="Arial"/>
                <w:color w:val="auto"/>
                <w:kern w:val="0"/>
                <w:sz w:val="20"/>
                <w:szCs w:val="20"/>
              </w:rPr>
            </w:pPr>
          </w:p>
        </w:tc>
        <w:tc>
          <w:tcPr>
            <w:tcW w:w="510" w:type="pct"/>
            <w:tcBorders>
              <w:top w:val="nil"/>
              <w:left w:val="nil"/>
              <w:bottom w:val="nil"/>
              <w:right w:val="nil"/>
            </w:tcBorders>
            <w:noWrap/>
            <w:vAlign w:val="top"/>
          </w:tcPr>
          <w:p w14:paraId="78602E28">
            <w:pPr>
              <w:widowControl/>
              <w:jc w:val="left"/>
              <w:rPr>
                <w:rFonts w:ascii="Arial" w:hAnsi="Arial" w:cs="Arial"/>
                <w:color w:val="auto"/>
                <w:kern w:val="0"/>
                <w:sz w:val="20"/>
                <w:szCs w:val="20"/>
              </w:rPr>
            </w:pPr>
          </w:p>
        </w:tc>
        <w:tc>
          <w:tcPr>
            <w:tcW w:w="511" w:type="pct"/>
            <w:tcBorders>
              <w:top w:val="nil"/>
              <w:left w:val="nil"/>
              <w:bottom w:val="nil"/>
              <w:right w:val="nil"/>
            </w:tcBorders>
            <w:noWrap/>
            <w:vAlign w:val="top"/>
          </w:tcPr>
          <w:p w14:paraId="37745966">
            <w:pPr>
              <w:widowControl/>
              <w:jc w:val="left"/>
              <w:rPr>
                <w:rFonts w:ascii="Arial" w:hAnsi="Arial" w:cs="Arial"/>
                <w:color w:val="auto"/>
                <w:kern w:val="0"/>
                <w:sz w:val="20"/>
                <w:szCs w:val="20"/>
              </w:rPr>
            </w:pPr>
          </w:p>
        </w:tc>
        <w:tc>
          <w:tcPr>
            <w:tcW w:w="947" w:type="pct"/>
            <w:tcBorders>
              <w:top w:val="nil"/>
              <w:left w:val="nil"/>
              <w:bottom w:val="nil"/>
              <w:right w:val="nil"/>
            </w:tcBorders>
            <w:noWrap/>
            <w:vAlign w:val="top"/>
          </w:tcPr>
          <w:p w14:paraId="721D05EC">
            <w:pPr>
              <w:widowControl/>
              <w:jc w:val="left"/>
              <w:rPr>
                <w:rFonts w:ascii="Arial" w:hAnsi="Arial" w:cs="Arial"/>
                <w:color w:val="auto"/>
                <w:kern w:val="0"/>
                <w:sz w:val="20"/>
                <w:szCs w:val="20"/>
              </w:rPr>
            </w:pPr>
          </w:p>
        </w:tc>
      </w:tr>
    </w:tbl>
    <w:p w14:paraId="5F16CDE2">
      <w:pPr>
        <w:spacing w:before="48" w:beforeLines="20" w:after="48" w:afterLines="20" w:line="540" w:lineRule="exact"/>
        <w:rPr>
          <w:rFonts w:hint="eastAsia" w:ascii="宋体" w:hAnsi="宋体"/>
          <w:b/>
          <w:color w:val="auto"/>
          <w:sz w:val="24"/>
          <w:szCs w:val="22"/>
        </w:rPr>
        <w:sectPr>
          <w:footnotePr>
            <w:numFmt w:val="decimalEnclosedCircleChinese"/>
            <w:numRestart w:val="eachPage"/>
          </w:footnotePr>
          <w:pgSz w:w="11907" w:h="16840"/>
          <w:pgMar w:top="1474" w:right="1474" w:bottom="1474" w:left="1474" w:header="799" w:footer="907" w:gutter="0"/>
          <w:cols w:space="720" w:num="1"/>
          <w:docGrid w:linePitch="271" w:charSpace="0"/>
        </w:sectPr>
      </w:pPr>
    </w:p>
    <w:p w14:paraId="661FFCA1">
      <w:pPr>
        <w:jc w:val="center"/>
        <w:outlineLvl w:val="2"/>
        <w:rPr>
          <w:rFonts w:hint="eastAsia"/>
          <w:color w:val="auto"/>
          <w:sz w:val="28"/>
          <w:szCs w:val="28"/>
        </w:rPr>
      </w:pPr>
      <w:bookmarkStart w:id="496" w:name="_Toc17215715"/>
      <w:bookmarkStart w:id="497" w:name="_Toc44996377"/>
      <w:bookmarkStart w:id="498" w:name="_Toc171581552"/>
      <w:bookmarkStart w:id="499" w:name="_Toc171581372"/>
      <w:bookmarkStart w:id="500" w:name="_Toc460227133"/>
      <w:bookmarkStart w:id="501" w:name="_Toc460660248"/>
      <w:bookmarkStart w:id="502" w:name="_Toc171741995"/>
      <w:bookmarkStart w:id="503" w:name="_Toc535241137"/>
      <w:r>
        <w:rPr>
          <w:rFonts w:hint="eastAsia"/>
          <w:color w:val="auto"/>
          <w:sz w:val="28"/>
          <w:szCs w:val="28"/>
        </w:rPr>
        <w:t>（十一）</w:t>
      </w:r>
      <w:bookmarkEnd w:id="496"/>
      <w:bookmarkEnd w:id="497"/>
      <w:bookmarkEnd w:id="498"/>
      <w:bookmarkEnd w:id="499"/>
      <w:bookmarkEnd w:id="500"/>
      <w:bookmarkEnd w:id="501"/>
      <w:bookmarkEnd w:id="502"/>
      <w:r>
        <w:rPr>
          <w:rFonts w:hint="eastAsia"/>
          <w:color w:val="auto"/>
          <w:sz w:val="28"/>
          <w:szCs w:val="28"/>
        </w:rPr>
        <w:t>专业工程暂估价计价表</w:t>
      </w:r>
      <w:bookmarkEnd w:id="503"/>
    </w:p>
    <w:p w14:paraId="12B35279">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969"/>
        <w:gridCol w:w="2867"/>
        <w:gridCol w:w="2383"/>
        <w:gridCol w:w="1918"/>
        <w:gridCol w:w="1434"/>
      </w:tblGrid>
      <w:tr w14:paraId="659F2F90">
        <w:tblPrEx>
          <w:tblCellMar>
            <w:top w:w="0" w:type="dxa"/>
            <w:left w:w="108" w:type="dxa"/>
            <w:bottom w:w="0" w:type="dxa"/>
            <w:right w:w="108" w:type="dxa"/>
          </w:tblCellMar>
        </w:tblPrEx>
        <w:trPr>
          <w:trHeight w:val="690" w:hRule="atLeast"/>
        </w:trPr>
        <w:tc>
          <w:tcPr>
            <w:tcW w:w="50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7F9A2E5">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1498" w:type="pct"/>
            <w:tcBorders>
              <w:top w:val="single" w:color="000000" w:sz="8" w:space="0"/>
              <w:left w:val="nil"/>
              <w:bottom w:val="single" w:color="000000" w:sz="4" w:space="0"/>
              <w:right w:val="single" w:color="000000" w:sz="4" w:space="0"/>
            </w:tcBorders>
            <w:shd w:val="clear" w:color="FFFFFF" w:fill="FFFFFF"/>
            <w:noWrap w:val="0"/>
            <w:vAlign w:val="center"/>
          </w:tcPr>
          <w:p w14:paraId="0CB7685D">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工程名称</w:t>
            </w:r>
          </w:p>
        </w:tc>
        <w:tc>
          <w:tcPr>
            <w:tcW w:w="1245" w:type="pct"/>
            <w:tcBorders>
              <w:top w:val="single" w:color="000000" w:sz="8" w:space="0"/>
              <w:left w:val="nil"/>
              <w:bottom w:val="single" w:color="000000" w:sz="4" w:space="0"/>
              <w:right w:val="single" w:color="000000" w:sz="4" w:space="0"/>
            </w:tcBorders>
            <w:shd w:val="clear" w:color="FFFFFF" w:fill="FFFFFF"/>
            <w:noWrap w:val="0"/>
            <w:vAlign w:val="center"/>
          </w:tcPr>
          <w:p w14:paraId="594535F4">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工程内容</w:t>
            </w:r>
          </w:p>
        </w:tc>
        <w:tc>
          <w:tcPr>
            <w:tcW w:w="1002" w:type="pct"/>
            <w:tcBorders>
              <w:top w:val="single" w:color="000000" w:sz="8" w:space="0"/>
              <w:left w:val="nil"/>
              <w:bottom w:val="single" w:color="000000" w:sz="4" w:space="0"/>
              <w:right w:val="single" w:color="000000" w:sz="4" w:space="0"/>
            </w:tcBorders>
            <w:shd w:val="clear" w:color="FFFFFF" w:fill="FFFFFF"/>
            <w:noWrap w:val="0"/>
            <w:vAlign w:val="center"/>
          </w:tcPr>
          <w:p w14:paraId="3245F6BE">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c>
          <w:tcPr>
            <w:tcW w:w="749" w:type="pct"/>
            <w:tcBorders>
              <w:top w:val="single" w:color="000000" w:sz="8" w:space="0"/>
              <w:left w:val="nil"/>
              <w:bottom w:val="single" w:color="000000" w:sz="4" w:space="0"/>
              <w:right w:val="single" w:color="000000" w:sz="8" w:space="0"/>
            </w:tcBorders>
            <w:shd w:val="clear" w:color="FFFFFF" w:fill="FFFFFF"/>
            <w:noWrap w:val="0"/>
            <w:vAlign w:val="center"/>
          </w:tcPr>
          <w:p w14:paraId="3D52BA7E">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备注</w:t>
            </w:r>
          </w:p>
        </w:tc>
      </w:tr>
      <w:tr w14:paraId="5700603E">
        <w:tblPrEx>
          <w:tblCellMar>
            <w:top w:w="0" w:type="dxa"/>
            <w:left w:w="108" w:type="dxa"/>
            <w:bottom w:w="0" w:type="dxa"/>
            <w:right w:w="108" w:type="dxa"/>
          </w:tblCellMar>
        </w:tblPrEx>
        <w:trPr>
          <w:trHeight w:val="680" w:hRule="atLeast"/>
        </w:trPr>
        <w:tc>
          <w:tcPr>
            <w:tcW w:w="506" w:type="pct"/>
            <w:tcBorders>
              <w:top w:val="nil"/>
              <w:left w:val="single" w:color="000000" w:sz="8" w:space="0"/>
              <w:bottom w:val="single" w:color="000000" w:sz="4" w:space="0"/>
              <w:right w:val="single" w:color="000000" w:sz="4" w:space="0"/>
            </w:tcBorders>
            <w:noWrap w:val="0"/>
            <w:vAlign w:val="center"/>
          </w:tcPr>
          <w:p w14:paraId="1CD32084">
            <w:pPr>
              <w:widowControl/>
              <w:jc w:val="center"/>
              <w:rPr>
                <w:rFonts w:ascii="宋体" w:hAnsi="宋体" w:cs="Arial"/>
                <w:color w:val="auto"/>
                <w:kern w:val="0"/>
                <w:szCs w:val="21"/>
              </w:rPr>
            </w:pPr>
          </w:p>
        </w:tc>
        <w:tc>
          <w:tcPr>
            <w:tcW w:w="1498" w:type="pct"/>
            <w:tcBorders>
              <w:top w:val="single" w:color="000000" w:sz="4" w:space="0"/>
              <w:left w:val="nil"/>
              <w:bottom w:val="single" w:color="000000" w:sz="4" w:space="0"/>
              <w:right w:val="single" w:color="000000" w:sz="4" w:space="0"/>
            </w:tcBorders>
            <w:noWrap w:val="0"/>
            <w:vAlign w:val="center"/>
          </w:tcPr>
          <w:p w14:paraId="3FCE4287">
            <w:pPr>
              <w:widowControl/>
              <w:jc w:val="left"/>
              <w:rPr>
                <w:rFonts w:ascii="宋体" w:hAnsi="宋体" w:cs="Arial"/>
                <w:color w:val="auto"/>
                <w:kern w:val="0"/>
                <w:szCs w:val="21"/>
              </w:rPr>
            </w:pPr>
          </w:p>
        </w:tc>
        <w:tc>
          <w:tcPr>
            <w:tcW w:w="1245" w:type="pct"/>
            <w:tcBorders>
              <w:top w:val="single" w:color="000000" w:sz="4" w:space="0"/>
              <w:left w:val="nil"/>
              <w:bottom w:val="single" w:color="000000" w:sz="4" w:space="0"/>
              <w:right w:val="single" w:color="000000" w:sz="4" w:space="0"/>
            </w:tcBorders>
            <w:noWrap w:val="0"/>
            <w:vAlign w:val="center"/>
          </w:tcPr>
          <w:p w14:paraId="033F472E">
            <w:pPr>
              <w:widowControl/>
              <w:jc w:val="center"/>
              <w:rPr>
                <w:rFonts w:ascii="宋体" w:hAnsi="宋体" w:cs="Arial"/>
                <w:color w:val="auto"/>
                <w:kern w:val="0"/>
                <w:szCs w:val="21"/>
              </w:rPr>
            </w:pPr>
          </w:p>
        </w:tc>
        <w:tc>
          <w:tcPr>
            <w:tcW w:w="1002" w:type="pct"/>
            <w:tcBorders>
              <w:top w:val="single" w:color="000000" w:sz="4" w:space="0"/>
              <w:left w:val="nil"/>
              <w:bottom w:val="single" w:color="000000" w:sz="4" w:space="0"/>
              <w:right w:val="single" w:color="000000" w:sz="4" w:space="0"/>
            </w:tcBorders>
            <w:noWrap w:val="0"/>
            <w:vAlign w:val="center"/>
          </w:tcPr>
          <w:p w14:paraId="74B018A2">
            <w:pPr>
              <w:widowControl/>
              <w:jc w:val="right"/>
              <w:rPr>
                <w:rFonts w:ascii="宋体" w:hAnsi="宋体" w:cs="Arial"/>
                <w:color w:val="auto"/>
                <w:kern w:val="0"/>
                <w:szCs w:val="21"/>
              </w:rPr>
            </w:pPr>
          </w:p>
        </w:tc>
        <w:tc>
          <w:tcPr>
            <w:tcW w:w="749" w:type="pct"/>
            <w:tcBorders>
              <w:top w:val="nil"/>
              <w:left w:val="nil"/>
              <w:bottom w:val="single" w:color="000000" w:sz="4" w:space="0"/>
              <w:right w:val="single" w:color="000000" w:sz="8" w:space="0"/>
            </w:tcBorders>
            <w:noWrap w:val="0"/>
            <w:vAlign w:val="center"/>
          </w:tcPr>
          <w:p w14:paraId="156A9FC5">
            <w:pPr>
              <w:widowControl/>
              <w:jc w:val="left"/>
              <w:rPr>
                <w:rFonts w:ascii="宋体" w:hAnsi="宋体" w:cs="Arial"/>
                <w:color w:val="auto"/>
                <w:kern w:val="0"/>
                <w:szCs w:val="21"/>
              </w:rPr>
            </w:pPr>
          </w:p>
        </w:tc>
      </w:tr>
      <w:tr w14:paraId="66F6FF3A">
        <w:tblPrEx>
          <w:tblCellMar>
            <w:top w:w="0" w:type="dxa"/>
            <w:left w:w="108" w:type="dxa"/>
            <w:bottom w:w="0" w:type="dxa"/>
            <w:right w:w="108" w:type="dxa"/>
          </w:tblCellMar>
        </w:tblPrEx>
        <w:trPr>
          <w:trHeight w:val="680" w:hRule="atLeast"/>
        </w:trPr>
        <w:tc>
          <w:tcPr>
            <w:tcW w:w="506" w:type="pct"/>
            <w:tcBorders>
              <w:top w:val="nil"/>
              <w:left w:val="single" w:color="000000" w:sz="8" w:space="0"/>
              <w:bottom w:val="single" w:color="000000" w:sz="4" w:space="0"/>
              <w:right w:val="single" w:color="000000" w:sz="4" w:space="0"/>
            </w:tcBorders>
            <w:noWrap w:val="0"/>
            <w:vAlign w:val="center"/>
          </w:tcPr>
          <w:p w14:paraId="4AD4790D">
            <w:pPr>
              <w:widowControl/>
              <w:jc w:val="center"/>
              <w:rPr>
                <w:rFonts w:ascii="宋体" w:hAnsi="宋体" w:cs="Arial"/>
                <w:color w:val="auto"/>
                <w:kern w:val="0"/>
                <w:szCs w:val="21"/>
              </w:rPr>
            </w:pPr>
          </w:p>
        </w:tc>
        <w:tc>
          <w:tcPr>
            <w:tcW w:w="1498" w:type="pct"/>
            <w:tcBorders>
              <w:top w:val="single" w:color="000000" w:sz="4" w:space="0"/>
              <w:left w:val="nil"/>
              <w:bottom w:val="single" w:color="000000" w:sz="4" w:space="0"/>
              <w:right w:val="single" w:color="000000" w:sz="4" w:space="0"/>
            </w:tcBorders>
            <w:noWrap w:val="0"/>
            <w:vAlign w:val="center"/>
          </w:tcPr>
          <w:p w14:paraId="4733DEAF">
            <w:pPr>
              <w:widowControl/>
              <w:jc w:val="left"/>
              <w:rPr>
                <w:rFonts w:ascii="宋体" w:hAnsi="宋体" w:cs="Arial"/>
                <w:color w:val="auto"/>
                <w:kern w:val="0"/>
                <w:szCs w:val="21"/>
              </w:rPr>
            </w:pPr>
          </w:p>
        </w:tc>
        <w:tc>
          <w:tcPr>
            <w:tcW w:w="1245" w:type="pct"/>
            <w:tcBorders>
              <w:top w:val="single" w:color="000000" w:sz="4" w:space="0"/>
              <w:left w:val="nil"/>
              <w:bottom w:val="single" w:color="000000" w:sz="4" w:space="0"/>
              <w:right w:val="single" w:color="000000" w:sz="4" w:space="0"/>
            </w:tcBorders>
            <w:noWrap w:val="0"/>
            <w:vAlign w:val="center"/>
          </w:tcPr>
          <w:p w14:paraId="73F56D71">
            <w:pPr>
              <w:widowControl/>
              <w:jc w:val="center"/>
              <w:rPr>
                <w:rFonts w:ascii="宋体" w:hAnsi="宋体" w:cs="Arial"/>
                <w:color w:val="auto"/>
                <w:kern w:val="0"/>
                <w:szCs w:val="21"/>
              </w:rPr>
            </w:pPr>
          </w:p>
        </w:tc>
        <w:tc>
          <w:tcPr>
            <w:tcW w:w="1002" w:type="pct"/>
            <w:tcBorders>
              <w:top w:val="single" w:color="000000" w:sz="4" w:space="0"/>
              <w:left w:val="nil"/>
              <w:bottom w:val="single" w:color="000000" w:sz="4" w:space="0"/>
              <w:right w:val="single" w:color="000000" w:sz="4" w:space="0"/>
            </w:tcBorders>
            <w:noWrap w:val="0"/>
            <w:vAlign w:val="center"/>
          </w:tcPr>
          <w:p w14:paraId="1E424C82">
            <w:pPr>
              <w:widowControl/>
              <w:jc w:val="right"/>
              <w:rPr>
                <w:rFonts w:ascii="宋体" w:hAnsi="宋体" w:cs="Arial"/>
                <w:color w:val="auto"/>
                <w:kern w:val="0"/>
                <w:szCs w:val="21"/>
              </w:rPr>
            </w:pPr>
          </w:p>
        </w:tc>
        <w:tc>
          <w:tcPr>
            <w:tcW w:w="749" w:type="pct"/>
            <w:tcBorders>
              <w:top w:val="nil"/>
              <w:left w:val="nil"/>
              <w:bottom w:val="single" w:color="000000" w:sz="4" w:space="0"/>
              <w:right w:val="single" w:color="000000" w:sz="8" w:space="0"/>
            </w:tcBorders>
            <w:noWrap w:val="0"/>
            <w:vAlign w:val="center"/>
          </w:tcPr>
          <w:p w14:paraId="2C83310F">
            <w:pPr>
              <w:widowControl/>
              <w:jc w:val="left"/>
              <w:rPr>
                <w:rFonts w:ascii="宋体" w:hAnsi="宋体" w:cs="Arial"/>
                <w:color w:val="auto"/>
                <w:kern w:val="0"/>
                <w:szCs w:val="21"/>
              </w:rPr>
            </w:pPr>
          </w:p>
        </w:tc>
      </w:tr>
      <w:tr w14:paraId="61E3EBA6">
        <w:tblPrEx>
          <w:tblCellMar>
            <w:top w:w="0" w:type="dxa"/>
            <w:left w:w="108" w:type="dxa"/>
            <w:bottom w:w="0" w:type="dxa"/>
            <w:right w:w="108" w:type="dxa"/>
          </w:tblCellMar>
        </w:tblPrEx>
        <w:trPr>
          <w:trHeight w:val="680" w:hRule="atLeast"/>
        </w:trPr>
        <w:tc>
          <w:tcPr>
            <w:tcW w:w="506" w:type="pct"/>
            <w:tcBorders>
              <w:top w:val="nil"/>
              <w:left w:val="single" w:color="000000" w:sz="8" w:space="0"/>
              <w:bottom w:val="single" w:color="000000" w:sz="4" w:space="0"/>
              <w:right w:val="single" w:color="000000" w:sz="4" w:space="0"/>
            </w:tcBorders>
            <w:noWrap w:val="0"/>
            <w:vAlign w:val="center"/>
          </w:tcPr>
          <w:p w14:paraId="494B762A">
            <w:pPr>
              <w:widowControl/>
              <w:jc w:val="center"/>
              <w:rPr>
                <w:rFonts w:ascii="宋体" w:hAnsi="宋体" w:cs="Arial"/>
                <w:color w:val="auto"/>
                <w:kern w:val="0"/>
                <w:szCs w:val="21"/>
              </w:rPr>
            </w:pPr>
          </w:p>
        </w:tc>
        <w:tc>
          <w:tcPr>
            <w:tcW w:w="1498" w:type="pct"/>
            <w:tcBorders>
              <w:top w:val="single" w:color="000000" w:sz="4" w:space="0"/>
              <w:left w:val="nil"/>
              <w:bottom w:val="single" w:color="000000" w:sz="4" w:space="0"/>
              <w:right w:val="single" w:color="000000" w:sz="4" w:space="0"/>
            </w:tcBorders>
            <w:noWrap w:val="0"/>
            <w:vAlign w:val="center"/>
          </w:tcPr>
          <w:p w14:paraId="32968FED">
            <w:pPr>
              <w:widowControl/>
              <w:jc w:val="left"/>
              <w:rPr>
                <w:rFonts w:ascii="宋体" w:hAnsi="宋体" w:cs="Arial"/>
                <w:color w:val="auto"/>
                <w:kern w:val="0"/>
                <w:szCs w:val="21"/>
              </w:rPr>
            </w:pPr>
          </w:p>
        </w:tc>
        <w:tc>
          <w:tcPr>
            <w:tcW w:w="1245" w:type="pct"/>
            <w:tcBorders>
              <w:top w:val="single" w:color="000000" w:sz="4" w:space="0"/>
              <w:left w:val="nil"/>
              <w:bottom w:val="single" w:color="000000" w:sz="4" w:space="0"/>
              <w:right w:val="single" w:color="000000" w:sz="4" w:space="0"/>
            </w:tcBorders>
            <w:noWrap w:val="0"/>
            <w:vAlign w:val="center"/>
          </w:tcPr>
          <w:p w14:paraId="196AF13C">
            <w:pPr>
              <w:widowControl/>
              <w:jc w:val="center"/>
              <w:rPr>
                <w:rFonts w:ascii="宋体" w:hAnsi="宋体" w:cs="Arial"/>
                <w:color w:val="auto"/>
                <w:kern w:val="0"/>
                <w:szCs w:val="21"/>
              </w:rPr>
            </w:pPr>
          </w:p>
        </w:tc>
        <w:tc>
          <w:tcPr>
            <w:tcW w:w="1002" w:type="pct"/>
            <w:tcBorders>
              <w:top w:val="single" w:color="000000" w:sz="4" w:space="0"/>
              <w:left w:val="nil"/>
              <w:bottom w:val="single" w:color="000000" w:sz="4" w:space="0"/>
              <w:right w:val="single" w:color="000000" w:sz="4" w:space="0"/>
            </w:tcBorders>
            <w:noWrap w:val="0"/>
            <w:vAlign w:val="center"/>
          </w:tcPr>
          <w:p w14:paraId="7EA5A80F">
            <w:pPr>
              <w:widowControl/>
              <w:jc w:val="right"/>
              <w:rPr>
                <w:rFonts w:ascii="宋体" w:hAnsi="宋体" w:cs="Arial"/>
                <w:color w:val="auto"/>
                <w:kern w:val="0"/>
                <w:szCs w:val="21"/>
              </w:rPr>
            </w:pPr>
          </w:p>
        </w:tc>
        <w:tc>
          <w:tcPr>
            <w:tcW w:w="749" w:type="pct"/>
            <w:tcBorders>
              <w:top w:val="nil"/>
              <w:left w:val="nil"/>
              <w:bottom w:val="single" w:color="000000" w:sz="4" w:space="0"/>
              <w:right w:val="single" w:color="000000" w:sz="8" w:space="0"/>
            </w:tcBorders>
            <w:noWrap w:val="0"/>
            <w:vAlign w:val="center"/>
          </w:tcPr>
          <w:p w14:paraId="1F41AC0C">
            <w:pPr>
              <w:widowControl/>
              <w:jc w:val="left"/>
              <w:rPr>
                <w:rFonts w:ascii="宋体" w:hAnsi="宋体" w:cs="Arial"/>
                <w:color w:val="auto"/>
                <w:kern w:val="0"/>
                <w:szCs w:val="21"/>
              </w:rPr>
            </w:pPr>
          </w:p>
        </w:tc>
      </w:tr>
      <w:tr w14:paraId="00B03DDC">
        <w:tblPrEx>
          <w:tblCellMar>
            <w:top w:w="0" w:type="dxa"/>
            <w:left w:w="108" w:type="dxa"/>
            <w:bottom w:w="0" w:type="dxa"/>
            <w:right w:w="108" w:type="dxa"/>
          </w:tblCellMar>
        </w:tblPrEx>
        <w:trPr>
          <w:trHeight w:val="680" w:hRule="atLeast"/>
        </w:trPr>
        <w:tc>
          <w:tcPr>
            <w:tcW w:w="3249" w:type="pct"/>
            <w:gridSpan w:val="3"/>
            <w:tcBorders>
              <w:top w:val="nil"/>
              <w:left w:val="single" w:color="000000" w:sz="8" w:space="0"/>
              <w:bottom w:val="single" w:color="000000" w:sz="4" w:space="0"/>
              <w:right w:val="single" w:color="000000" w:sz="4" w:space="0"/>
            </w:tcBorders>
            <w:noWrap w:val="0"/>
            <w:vAlign w:val="center"/>
          </w:tcPr>
          <w:p w14:paraId="41B0C8CB">
            <w:pPr>
              <w:widowControl/>
              <w:jc w:val="center"/>
              <w:rPr>
                <w:rFonts w:ascii="宋体" w:hAnsi="宋体" w:cs="Arial"/>
                <w:color w:val="auto"/>
                <w:kern w:val="0"/>
                <w:szCs w:val="21"/>
              </w:rPr>
            </w:pPr>
            <w:r>
              <w:rPr>
                <w:rFonts w:hint="eastAsia" w:ascii="宋体" w:hAnsi="宋体" w:cs="Arial"/>
                <w:color w:val="auto"/>
                <w:kern w:val="0"/>
                <w:szCs w:val="21"/>
              </w:rPr>
              <w:t>合  计</w:t>
            </w:r>
          </w:p>
        </w:tc>
        <w:tc>
          <w:tcPr>
            <w:tcW w:w="1002" w:type="pct"/>
            <w:tcBorders>
              <w:top w:val="single" w:color="000000" w:sz="4" w:space="0"/>
              <w:left w:val="nil"/>
              <w:bottom w:val="single" w:color="000000" w:sz="4" w:space="0"/>
              <w:right w:val="single" w:color="000000" w:sz="4" w:space="0"/>
            </w:tcBorders>
            <w:noWrap w:val="0"/>
            <w:vAlign w:val="center"/>
          </w:tcPr>
          <w:p w14:paraId="22E3D5E0">
            <w:pPr>
              <w:widowControl/>
              <w:jc w:val="right"/>
              <w:rPr>
                <w:rFonts w:ascii="宋体" w:hAnsi="宋体" w:cs="Arial"/>
                <w:color w:val="auto"/>
                <w:kern w:val="0"/>
                <w:szCs w:val="21"/>
              </w:rPr>
            </w:pPr>
          </w:p>
        </w:tc>
        <w:tc>
          <w:tcPr>
            <w:tcW w:w="749" w:type="pct"/>
            <w:tcBorders>
              <w:top w:val="nil"/>
              <w:left w:val="nil"/>
              <w:bottom w:val="single" w:color="000000" w:sz="4" w:space="0"/>
              <w:right w:val="single" w:color="000000" w:sz="8" w:space="0"/>
            </w:tcBorders>
            <w:noWrap w:val="0"/>
            <w:vAlign w:val="center"/>
          </w:tcPr>
          <w:p w14:paraId="043319C8">
            <w:pPr>
              <w:widowControl/>
              <w:jc w:val="left"/>
              <w:rPr>
                <w:rFonts w:ascii="宋体" w:hAnsi="宋体" w:cs="Arial"/>
                <w:color w:val="auto"/>
                <w:kern w:val="0"/>
                <w:szCs w:val="21"/>
              </w:rPr>
            </w:pPr>
          </w:p>
        </w:tc>
      </w:tr>
    </w:tbl>
    <w:p w14:paraId="2C282D37">
      <w:pPr>
        <w:jc w:val="center"/>
        <w:outlineLvl w:val="2"/>
        <w:rPr>
          <w:rFonts w:hint="eastAsia"/>
          <w:color w:val="auto"/>
          <w:sz w:val="28"/>
          <w:szCs w:val="28"/>
        </w:rPr>
      </w:pPr>
      <w:bookmarkStart w:id="504" w:name="_Toc460227134"/>
      <w:bookmarkStart w:id="505" w:name="_Toc171581373"/>
      <w:bookmarkStart w:id="506" w:name="_Toc171741996"/>
      <w:bookmarkStart w:id="507" w:name="_Toc171581553"/>
      <w:bookmarkStart w:id="508" w:name="_Toc460660249"/>
      <w:bookmarkStart w:id="509" w:name="_Toc535241138"/>
      <w:r>
        <w:rPr>
          <w:rFonts w:hint="eastAsia"/>
          <w:color w:val="auto"/>
          <w:sz w:val="28"/>
          <w:szCs w:val="28"/>
        </w:rPr>
        <w:t>（十二）</w:t>
      </w:r>
      <w:bookmarkEnd w:id="504"/>
      <w:bookmarkEnd w:id="505"/>
      <w:bookmarkEnd w:id="506"/>
      <w:bookmarkEnd w:id="507"/>
      <w:bookmarkEnd w:id="508"/>
      <w:r>
        <w:rPr>
          <w:rFonts w:hint="eastAsia"/>
          <w:color w:val="auto"/>
          <w:sz w:val="28"/>
          <w:szCs w:val="28"/>
        </w:rPr>
        <w:t>计日工表</w:t>
      </w:r>
      <w:bookmarkEnd w:id="509"/>
    </w:p>
    <w:p w14:paraId="4790C9FD">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681"/>
        <w:gridCol w:w="3403"/>
        <w:gridCol w:w="1372"/>
        <w:gridCol w:w="1372"/>
        <w:gridCol w:w="1373"/>
        <w:gridCol w:w="1370"/>
      </w:tblGrid>
      <w:tr w14:paraId="48CD471F">
        <w:tblPrEx>
          <w:tblCellMar>
            <w:top w:w="0" w:type="dxa"/>
            <w:left w:w="108" w:type="dxa"/>
            <w:bottom w:w="0" w:type="dxa"/>
            <w:right w:w="108" w:type="dxa"/>
          </w:tblCellMar>
        </w:tblPrEx>
        <w:trPr>
          <w:trHeight w:val="567" w:hRule="atLeast"/>
        </w:trPr>
        <w:tc>
          <w:tcPr>
            <w:tcW w:w="35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7CE6703">
            <w:pPr>
              <w:widowControl/>
              <w:jc w:val="center"/>
              <w:rPr>
                <w:rFonts w:ascii="黑体" w:hAnsi="黑体" w:eastAsia="黑体" w:cs="Arial"/>
                <w:color w:val="auto"/>
                <w:kern w:val="0"/>
                <w:szCs w:val="21"/>
              </w:rPr>
            </w:pPr>
            <w:r>
              <w:rPr>
                <w:rFonts w:hint="eastAsia" w:ascii="黑体" w:hAnsi="黑体" w:eastAsia="黑体" w:cs="Arial"/>
                <w:color w:val="auto"/>
                <w:kern w:val="0"/>
                <w:szCs w:val="21"/>
              </w:rPr>
              <w:t>编码</w:t>
            </w:r>
          </w:p>
        </w:tc>
        <w:tc>
          <w:tcPr>
            <w:tcW w:w="1778" w:type="pct"/>
            <w:tcBorders>
              <w:top w:val="single" w:color="000000" w:sz="8" w:space="0"/>
              <w:left w:val="nil"/>
              <w:bottom w:val="single" w:color="000000" w:sz="4" w:space="0"/>
              <w:right w:val="single" w:color="000000" w:sz="4" w:space="0"/>
            </w:tcBorders>
            <w:shd w:val="clear" w:color="FFFFFF" w:fill="FFFFFF"/>
            <w:noWrap w:val="0"/>
            <w:vAlign w:val="center"/>
          </w:tcPr>
          <w:p w14:paraId="09049348">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项目名称</w:t>
            </w:r>
          </w:p>
        </w:tc>
        <w:tc>
          <w:tcPr>
            <w:tcW w:w="717" w:type="pct"/>
            <w:tcBorders>
              <w:top w:val="single" w:color="000000" w:sz="8" w:space="0"/>
              <w:left w:val="nil"/>
              <w:bottom w:val="single" w:color="000000" w:sz="4" w:space="0"/>
              <w:right w:val="single" w:color="000000" w:sz="4" w:space="0"/>
            </w:tcBorders>
            <w:shd w:val="clear" w:color="FFFFFF" w:fill="FFFFFF"/>
            <w:noWrap w:val="0"/>
            <w:vAlign w:val="center"/>
          </w:tcPr>
          <w:p w14:paraId="57EB8528">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单位</w:t>
            </w:r>
          </w:p>
        </w:tc>
        <w:tc>
          <w:tcPr>
            <w:tcW w:w="717" w:type="pct"/>
            <w:tcBorders>
              <w:top w:val="single" w:color="000000" w:sz="8" w:space="0"/>
              <w:left w:val="nil"/>
              <w:bottom w:val="single" w:color="000000" w:sz="4" w:space="0"/>
              <w:right w:val="single" w:color="000000" w:sz="4" w:space="0"/>
            </w:tcBorders>
            <w:shd w:val="clear" w:color="FFFFFF" w:fill="FFFFFF"/>
            <w:noWrap w:val="0"/>
            <w:vAlign w:val="center"/>
          </w:tcPr>
          <w:p w14:paraId="5EF210EE">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数量</w:t>
            </w:r>
          </w:p>
        </w:tc>
        <w:tc>
          <w:tcPr>
            <w:tcW w:w="717" w:type="pct"/>
            <w:tcBorders>
              <w:top w:val="single" w:color="000000" w:sz="8" w:space="0"/>
              <w:left w:val="nil"/>
              <w:bottom w:val="single" w:color="000000" w:sz="4" w:space="0"/>
              <w:right w:val="single" w:color="000000" w:sz="4" w:space="0"/>
            </w:tcBorders>
            <w:shd w:val="clear" w:color="FFFFFF" w:fill="FFFFFF"/>
            <w:noWrap w:val="0"/>
            <w:vAlign w:val="center"/>
          </w:tcPr>
          <w:p w14:paraId="408A6F18">
            <w:pPr>
              <w:widowControl/>
              <w:jc w:val="center"/>
              <w:rPr>
                <w:rFonts w:ascii="黑体" w:hAnsi="黑体" w:eastAsia="黑体" w:cs="Arial"/>
                <w:color w:val="auto"/>
                <w:kern w:val="0"/>
                <w:szCs w:val="21"/>
              </w:rPr>
            </w:pPr>
            <w:r>
              <w:rPr>
                <w:rFonts w:hint="eastAsia" w:ascii="黑体" w:hAnsi="黑体" w:eastAsia="黑体" w:cs="Arial"/>
                <w:color w:val="auto"/>
                <w:kern w:val="0"/>
                <w:szCs w:val="21"/>
              </w:rPr>
              <w:t>综合单价</w:t>
            </w:r>
          </w:p>
        </w:tc>
        <w:tc>
          <w:tcPr>
            <w:tcW w:w="715" w:type="pct"/>
            <w:tcBorders>
              <w:top w:val="single" w:color="000000" w:sz="8" w:space="0"/>
              <w:left w:val="nil"/>
              <w:bottom w:val="single" w:color="000000" w:sz="4" w:space="0"/>
              <w:right w:val="single" w:color="000000" w:sz="8" w:space="0"/>
            </w:tcBorders>
            <w:shd w:val="clear" w:color="FFFFFF" w:fill="FFFFFF"/>
            <w:noWrap w:val="0"/>
            <w:vAlign w:val="center"/>
          </w:tcPr>
          <w:p w14:paraId="06EFD511">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合价（元）</w:t>
            </w:r>
          </w:p>
        </w:tc>
      </w:tr>
      <w:tr w14:paraId="0F985E68">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41ABC396">
            <w:pPr>
              <w:widowControl/>
              <w:jc w:val="center"/>
              <w:rPr>
                <w:rFonts w:ascii="宋体" w:hAnsi="宋体" w:cs="Arial"/>
                <w:color w:val="auto"/>
                <w:kern w:val="0"/>
                <w:szCs w:val="21"/>
              </w:rPr>
            </w:pPr>
            <w:r>
              <w:rPr>
                <w:rFonts w:hint="eastAsia" w:ascii="宋体" w:hAnsi="宋体" w:cs="Arial"/>
                <w:color w:val="auto"/>
                <w:kern w:val="0"/>
                <w:szCs w:val="21"/>
              </w:rPr>
              <w:t>一</w:t>
            </w:r>
          </w:p>
        </w:tc>
        <w:tc>
          <w:tcPr>
            <w:tcW w:w="1778" w:type="pct"/>
            <w:tcBorders>
              <w:top w:val="single" w:color="000000" w:sz="4" w:space="0"/>
              <w:left w:val="nil"/>
              <w:bottom w:val="single" w:color="000000" w:sz="4" w:space="0"/>
              <w:right w:val="single" w:color="000000" w:sz="4" w:space="0"/>
            </w:tcBorders>
            <w:noWrap w:val="0"/>
            <w:vAlign w:val="center"/>
          </w:tcPr>
          <w:p w14:paraId="5976C52B">
            <w:pPr>
              <w:widowControl/>
              <w:jc w:val="center"/>
              <w:rPr>
                <w:rFonts w:ascii="宋体" w:hAnsi="宋体" w:cs="Arial"/>
                <w:color w:val="auto"/>
                <w:kern w:val="0"/>
                <w:szCs w:val="21"/>
              </w:rPr>
            </w:pPr>
            <w:r>
              <w:rPr>
                <w:rFonts w:hint="eastAsia" w:ascii="宋体" w:hAnsi="宋体" w:cs="Arial"/>
                <w:color w:val="auto"/>
                <w:kern w:val="0"/>
                <w:szCs w:val="21"/>
              </w:rPr>
              <w:t>人工</w:t>
            </w:r>
          </w:p>
        </w:tc>
        <w:tc>
          <w:tcPr>
            <w:tcW w:w="717" w:type="pct"/>
            <w:tcBorders>
              <w:top w:val="nil"/>
              <w:left w:val="nil"/>
              <w:bottom w:val="single" w:color="000000" w:sz="4" w:space="0"/>
              <w:right w:val="single" w:color="000000" w:sz="4" w:space="0"/>
            </w:tcBorders>
            <w:noWrap w:val="0"/>
            <w:vAlign w:val="center"/>
          </w:tcPr>
          <w:p w14:paraId="56409FA6">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69E69343">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43F846A1">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664AC938">
            <w:pPr>
              <w:widowControl/>
              <w:jc w:val="right"/>
              <w:rPr>
                <w:rFonts w:ascii="宋体" w:hAnsi="宋体" w:cs="Arial"/>
                <w:color w:val="auto"/>
                <w:kern w:val="0"/>
                <w:szCs w:val="21"/>
              </w:rPr>
            </w:pPr>
          </w:p>
        </w:tc>
      </w:tr>
      <w:tr w14:paraId="04B7FC3A">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5CFAADC8">
            <w:pPr>
              <w:widowControl/>
              <w:jc w:val="center"/>
              <w:rPr>
                <w:rFonts w:hint="eastAsia" w:ascii="宋体" w:hAnsi="宋体" w:cs="Arial"/>
                <w:color w:val="auto"/>
                <w:kern w:val="0"/>
                <w:szCs w:val="21"/>
              </w:rPr>
            </w:pPr>
          </w:p>
        </w:tc>
        <w:tc>
          <w:tcPr>
            <w:tcW w:w="1778" w:type="pct"/>
            <w:tcBorders>
              <w:top w:val="single" w:color="000000" w:sz="4" w:space="0"/>
              <w:left w:val="nil"/>
              <w:bottom w:val="single" w:color="000000" w:sz="4" w:space="0"/>
              <w:right w:val="single" w:color="000000" w:sz="4" w:space="0"/>
            </w:tcBorders>
            <w:noWrap w:val="0"/>
            <w:vAlign w:val="center"/>
          </w:tcPr>
          <w:p w14:paraId="45DCF0B3">
            <w:pPr>
              <w:widowControl/>
              <w:jc w:val="center"/>
              <w:rPr>
                <w:rFonts w:hint="eastAsia"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16A46BBF">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003282E3">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49AC5AEC">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5460C5B2">
            <w:pPr>
              <w:widowControl/>
              <w:jc w:val="right"/>
              <w:rPr>
                <w:rFonts w:ascii="宋体" w:hAnsi="宋体" w:cs="Arial"/>
                <w:color w:val="auto"/>
                <w:kern w:val="0"/>
                <w:szCs w:val="21"/>
              </w:rPr>
            </w:pPr>
          </w:p>
        </w:tc>
      </w:tr>
      <w:tr w14:paraId="2A471E7A">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7F4A5A66">
            <w:pPr>
              <w:widowControl/>
              <w:jc w:val="center"/>
              <w:rPr>
                <w:rFonts w:hint="eastAsia" w:ascii="宋体" w:hAnsi="宋体" w:cs="Arial"/>
                <w:color w:val="auto"/>
                <w:kern w:val="0"/>
                <w:szCs w:val="21"/>
              </w:rPr>
            </w:pPr>
          </w:p>
        </w:tc>
        <w:tc>
          <w:tcPr>
            <w:tcW w:w="1778" w:type="pct"/>
            <w:tcBorders>
              <w:top w:val="single" w:color="000000" w:sz="4" w:space="0"/>
              <w:left w:val="nil"/>
              <w:bottom w:val="single" w:color="000000" w:sz="4" w:space="0"/>
              <w:right w:val="single" w:color="000000" w:sz="4" w:space="0"/>
            </w:tcBorders>
            <w:noWrap w:val="0"/>
            <w:vAlign w:val="center"/>
          </w:tcPr>
          <w:p w14:paraId="0B939F43">
            <w:pPr>
              <w:widowControl/>
              <w:jc w:val="center"/>
              <w:rPr>
                <w:rFonts w:hint="eastAsia"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47A043CD">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635D0A10">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5CD39100">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5C7CAC6A">
            <w:pPr>
              <w:widowControl/>
              <w:jc w:val="right"/>
              <w:rPr>
                <w:rFonts w:ascii="宋体" w:hAnsi="宋体" w:cs="Arial"/>
                <w:color w:val="auto"/>
                <w:kern w:val="0"/>
                <w:szCs w:val="21"/>
              </w:rPr>
            </w:pPr>
          </w:p>
        </w:tc>
      </w:tr>
      <w:tr w14:paraId="3FA63EA7">
        <w:tblPrEx>
          <w:tblCellMar>
            <w:top w:w="0" w:type="dxa"/>
            <w:left w:w="108" w:type="dxa"/>
            <w:bottom w:w="0" w:type="dxa"/>
            <w:right w:w="108" w:type="dxa"/>
          </w:tblCellMar>
        </w:tblPrEx>
        <w:trPr>
          <w:trHeight w:val="567" w:hRule="atLeast"/>
        </w:trPr>
        <w:tc>
          <w:tcPr>
            <w:tcW w:w="4285" w:type="pct"/>
            <w:gridSpan w:val="5"/>
            <w:tcBorders>
              <w:top w:val="single" w:color="000000" w:sz="4" w:space="0"/>
              <w:left w:val="single" w:color="000000" w:sz="8" w:space="0"/>
              <w:bottom w:val="single" w:color="000000" w:sz="4" w:space="0"/>
              <w:right w:val="single" w:color="000000" w:sz="4" w:space="0"/>
            </w:tcBorders>
            <w:noWrap w:val="0"/>
            <w:vAlign w:val="center"/>
          </w:tcPr>
          <w:p w14:paraId="30043DE6">
            <w:pPr>
              <w:widowControl/>
              <w:jc w:val="center"/>
              <w:rPr>
                <w:rFonts w:ascii="宋体" w:hAnsi="宋体" w:cs="Arial"/>
                <w:color w:val="auto"/>
                <w:kern w:val="0"/>
                <w:szCs w:val="21"/>
              </w:rPr>
            </w:pPr>
            <w:r>
              <w:rPr>
                <w:rFonts w:hint="eastAsia" w:ascii="宋体" w:hAnsi="宋体" w:cs="Arial"/>
                <w:color w:val="auto"/>
                <w:kern w:val="0"/>
                <w:szCs w:val="21"/>
              </w:rPr>
              <w:t>人工费小计</w:t>
            </w:r>
          </w:p>
        </w:tc>
        <w:tc>
          <w:tcPr>
            <w:tcW w:w="715" w:type="pct"/>
            <w:tcBorders>
              <w:top w:val="nil"/>
              <w:left w:val="nil"/>
              <w:bottom w:val="single" w:color="000000" w:sz="4" w:space="0"/>
              <w:right w:val="single" w:color="000000" w:sz="8" w:space="0"/>
            </w:tcBorders>
            <w:noWrap w:val="0"/>
            <w:vAlign w:val="center"/>
          </w:tcPr>
          <w:p w14:paraId="30214121">
            <w:pPr>
              <w:widowControl/>
              <w:jc w:val="right"/>
              <w:rPr>
                <w:rFonts w:ascii="宋体" w:hAnsi="宋体" w:cs="Arial"/>
                <w:color w:val="auto"/>
                <w:kern w:val="0"/>
                <w:szCs w:val="21"/>
              </w:rPr>
            </w:pPr>
          </w:p>
        </w:tc>
      </w:tr>
      <w:tr w14:paraId="27CD5B2E">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599F906E">
            <w:pPr>
              <w:widowControl/>
              <w:jc w:val="center"/>
              <w:rPr>
                <w:rFonts w:ascii="宋体" w:hAnsi="宋体" w:cs="Arial"/>
                <w:color w:val="auto"/>
                <w:kern w:val="0"/>
                <w:szCs w:val="21"/>
              </w:rPr>
            </w:pPr>
            <w:r>
              <w:rPr>
                <w:rFonts w:hint="eastAsia" w:ascii="宋体" w:hAnsi="宋体" w:cs="Arial"/>
                <w:color w:val="auto"/>
                <w:kern w:val="0"/>
                <w:szCs w:val="21"/>
              </w:rPr>
              <w:t>二</w:t>
            </w:r>
          </w:p>
        </w:tc>
        <w:tc>
          <w:tcPr>
            <w:tcW w:w="1778" w:type="pct"/>
            <w:tcBorders>
              <w:top w:val="single" w:color="000000" w:sz="4" w:space="0"/>
              <w:left w:val="nil"/>
              <w:bottom w:val="single" w:color="000000" w:sz="4" w:space="0"/>
              <w:right w:val="single" w:color="000000" w:sz="4" w:space="0"/>
            </w:tcBorders>
            <w:noWrap w:val="0"/>
            <w:vAlign w:val="center"/>
          </w:tcPr>
          <w:p w14:paraId="57CA3427">
            <w:pPr>
              <w:widowControl/>
              <w:jc w:val="center"/>
              <w:rPr>
                <w:rFonts w:ascii="宋体" w:hAnsi="宋体" w:cs="Arial"/>
                <w:color w:val="auto"/>
                <w:kern w:val="0"/>
                <w:szCs w:val="21"/>
              </w:rPr>
            </w:pPr>
            <w:r>
              <w:rPr>
                <w:rFonts w:hint="eastAsia" w:ascii="宋体" w:hAnsi="宋体" w:cs="Arial"/>
                <w:color w:val="auto"/>
                <w:kern w:val="0"/>
                <w:szCs w:val="21"/>
              </w:rPr>
              <w:t>材料</w:t>
            </w:r>
          </w:p>
        </w:tc>
        <w:tc>
          <w:tcPr>
            <w:tcW w:w="717" w:type="pct"/>
            <w:tcBorders>
              <w:top w:val="nil"/>
              <w:left w:val="nil"/>
              <w:bottom w:val="single" w:color="000000" w:sz="4" w:space="0"/>
              <w:right w:val="single" w:color="000000" w:sz="4" w:space="0"/>
            </w:tcBorders>
            <w:noWrap w:val="0"/>
            <w:vAlign w:val="center"/>
          </w:tcPr>
          <w:p w14:paraId="7CD438A6">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090507AF">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1457CEE7">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1893DEF6">
            <w:pPr>
              <w:widowControl/>
              <w:jc w:val="right"/>
              <w:rPr>
                <w:rFonts w:ascii="宋体" w:hAnsi="宋体" w:cs="Arial"/>
                <w:color w:val="auto"/>
                <w:kern w:val="0"/>
                <w:szCs w:val="21"/>
              </w:rPr>
            </w:pPr>
          </w:p>
        </w:tc>
      </w:tr>
      <w:tr w14:paraId="6B877B33">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79543EBB">
            <w:pPr>
              <w:widowControl/>
              <w:jc w:val="center"/>
              <w:rPr>
                <w:rFonts w:hint="eastAsia" w:ascii="宋体" w:hAnsi="宋体" w:cs="Arial"/>
                <w:color w:val="auto"/>
                <w:kern w:val="0"/>
                <w:szCs w:val="21"/>
              </w:rPr>
            </w:pPr>
          </w:p>
        </w:tc>
        <w:tc>
          <w:tcPr>
            <w:tcW w:w="1778" w:type="pct"/>
            <w:tcBorders>
              <w:top w:val="single" w:color="000000" w:sz="4" w:space="0"/>
              <w:left w:val="nil"/>
              <w:bottom w:val="single" w:color="000000" w:sz="4" w:space="0"/>
              <w:right w:val="single" w:color="000000" w:sz="4" w:space="0"/>
            </w:tcBorders>
            <w:noWrap w:val="0"/>
            <w:vAlign w:val="center"/>
          </w:tcPr>
          <w:p w14:paraId="46C4E62B">
            <w:pPr>
              <w:widowControl/>
              <w:jc w:val="center"/>
              <w:rPr>
                <w:rFonts w:hint="eastAsia"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7674BC25">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5A87B00D">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27C072F2">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1E9506F3">
            <w:pPr>
              <w:widowControl/>
              <w:jc w:val="right"/>
              <w:rPr>
                <w:rFonts w:ascii="宋体" w:hAnsi="宋体" w:cs="Arial"/>
                <w:color w:val="auto"/>
                <w:kern w:val="0"/>
                <w:szCs w:val="21"/>
              </w:rPr>
            </w:pPr>
          </w:p>
        </w:tc>
      </w:tr>
      <w:tr w14:paraId="110FF1E6">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197EEE6C">
            <w:pPr>
              <w:widowControl/>
              <w:jc w:val="center"/>
              <w:rPr>
                <w:rFonts w:hint="eastAsia" w:ascii="宋体" w:hAnsi="宋体" w:cs="Arial"/>
                <w:color w:val="auto"/>
                <w:kern w:val="0"/>
                <w:szCs w:val="21"/>
              </w:rPr>
            </w:pPr>
          </w:p>
        </w:tc>
        <w:tc>
          <w:tcPr>
            <w:tcW w:w="1778" w:type="pct"/>
            <w:tcBorders>
              <w:top w:val="single" w:color="000000" w:sz="4" w:space="0"/>
              <w:left w:val="nil"/>
              <w:bottom w:val="single" w:color="000000" w:sz="4" w:space="0"/>
              <w:right w:val="single" w:color="000000" w:sz="4" w:space="0"/>
            </w:tcBorders>
            <w:noWrap w:val="0"/>
            <w:vAlign w:val="center"/>
          </w:tcPr>
          <w:p w14:paraId="7F85F931">
            <w:pPr>
              <w:widowControl/>
              <w:jc w:val="center"/>
              <w:rPr>
                <w:rFonts w:hint="eastAsia"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761AE41E">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31F56C4B">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332A7518">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3EC655EE">
            <w:pPr>
              <w:widowControl/>
              <w:jc w:val="right"/>
              <w:rPr>
                <w:rFonts w:ascii="宋体" w:hAnsi="宋体" w:cs="Arial"/>
                <w:color w:val="auto"/>
                <w:kern w:val="0"/>
                <w:szCs w:val="21"/>
              </w:rPr>
            </w:pPr>
          </w:p>
        </w:tc>
      </w:tr>
      <w:tr w14:paraId="1786D085">
        <w:tblPrEx>
          <w:tblCellMar>
            <w:top w:w="0" w:type="dxa"/>
            <w:left w:w="108" w:type="dxa"/>
            <w:bottom w:w="0" w:type="dxa"/>
            <w:right w:w="108" w:type="dxa"/>
          </w:tblCellMar>
        </w:tblPrEx>
        <w:trPr>
          <w:trHeight w:val="567" w:hRule="atLeast"/>
        </w:trPr>
        <w:tc>
          <w:tcPr>
            <w:tcW w:w="4285" w:type="pct"/>
            <w:gridSpan w:val="5"/>
            <w:tcBorders>
              <w:top w:val="single" w:color="000000" w:sz="4" w:space="0"/>
              <w:left w:val="single" w:color="000000" w:sz="8" w:space="0"/>
              <w:bottom w:val="single" w:color="000000" w:sz="4" w:space="0"/>
              <w:right w:val="single" w:color="000000" w:sz="4" w:space="0"/>
            </w:tcBorders>
            <w:noWrap w:val="0"/>
            <w:vAlign w:val="center"/>
          </w:tcPr>
          <w:p w14:paraId="58496599">
            <w:pPr>
              <w:widowControl/>
              <w:jc w:val="center"/>
              <w:rPr>
                <w:rFonts w:ascii="宋体" w:hAnsi="宋体" w:cs="Arial"/>
                <w:color w:val="auto"/>
                <w:kern w:val="0"/>
                <w:szCs w:val="21"/>
              </w:rPr>
            </w:pPr>
            <w:r>
              <w:rPr>
                <w:rFonts w:hint="eastAsia" w:ascii="宋体" w:hAnsi="宋体" w:cs="Arial"/>
                <w:color w:val="auto"/>
                <w:kern w:val="0"/>
                <w:szCs w:val="21"/>
              </w:rPr>
              <w:t>材料费小计</w:t>
            </w:r>
          </w:p>
        </w:tc>
        <w:tc>
          <w:tcPr>
            <w:tcW w:w="715" w:type="pct"/>
            <w:tcBorders>
              <w:top w:val="nil"/>
              <w:left w:val="nil"/>
              <w:bottom w:val="single" w:color="000000" w:sz="4" w:space="0"/>
              <w:right w:val="single" w:color="000000" w:sz="8" w:space="0"/>
            </w:tcBorders>
            <w:noWrap w:val="0"/>
            <w:vAlign w:val="center"/>
          </w:tcPr>
          <w:p w14:paraId="1963DC31">
            <w:pPr>
              <w:widowControl/>
              <w:jc w:val="right"/>
              <w:rPr>
                <w:rFonts w:ascii="宋体" w:hAnsi="宋体" w:cs="Arial"/>
                <w:color w:val="auto"/>
                <w:kern w:val="0"/>
                <w:szCs w:val="21"/>
              </w:rPr>
            </w:pPr>
          </w:p>
        </w:tc>
      </w:tr>
      <w:tr w14:paraId="0B6CCCB2">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4DED7C5C">
            <w:pPr>
              <w:widowControl/>
              <w:jc w:val="center"/>
              <w:rPr>
                <w:rFonts w:ascii="宋体" w:hAnsi="宋体" w:cs="Arial"/>
                <w:color w:val="auto"/>
                <w:kern w:val="0"/>
                <w:szCs w:val="21"/>
              </w:rPr>
            </w:pPr>
            <w:r>
              <w:rPr>
                <w:rFonts w:hint="eastAsia" w:ascii="宋体" w:hAnsi="宋体" w:cs="Arial"/>
                <w:color w:val="auto"/>
                <w:kern w:val="0"/>
                <w:szCs w:val="21"/>
              </w:rPr>
              <w:t>三</w:t>
            </w:r>
          </w:p>
        </w:tc>
        <w:tc>
          <w:tcPr>
            <w:tcW w:w="1778" w:type="pct"/>
            <w:tcBorders>
              <w:top w:val="single" w:color="000000" w:sz="4" w:space="0"/>
              <w:left w:val="nil"/>
              <w:bottom w:val="single" w:color="000000" w:sz="4" w:space="0"/>
              <w:right w:val="single" w:color="000000" w:sz="4" w:space="0"/>
            </w:tcBorders>
            <w:noWrap w:val="0"/>
            <w:vAlign w:val="center"/>
          </w:tcPr>
          <w:p w14:paraId="30EC7521">
            <w:pPr>
              <w:widowControl/>
              <w:jc w:val="center"/>
              <w:rPr>
                <w:rFonts w:ascii="宋体" w:hAnsi="宋体" w:cs="Arial"/>
                <w:color w:val="auto"/>
                <w:kern w:val="0"/>
                <w:szCs w:val="21"/>
              </w:rPr>
            </w:pPr>
            <w:r>
              <w:rPr>
                <w:rFonts w:hint="eastAsia" w:ascii="宋体" w:hAnsi="宋体" w:cs="Arial"/>
                <w:color w:val="auto"/>
                <w:kern w:val="0"/>
                <w:szCs w:val="21"/>
              </w:rPr>
              <w:t>施工机械</w:t>
            </w:r>
          </w:p>
        </w:tc>
        <w:tc>
          <w:tcPr>
            <w:tcW w:w="717" w:type="pct"/>
            <w:tcBorders>
              <w:top w:val="nil"/>
              <w:left w:val="nil"/>
              <w:bottom w:val="single" w:color="000000" w:sz="4" w:space="0"/>
              <w:right w:val="single" w:color="000000" w:sz="4" w:space="0"/>
            </w:tcBorders>
            <w:noWrap w:val="0"/>
            <w:vAlign w:val="center"/>
          </w:tcPr>
          <w:p w14:paraId="3C267A0B">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1E1676E3">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7579210F">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7EC98420">
            <w:pPr>
              <w:widowControl/>
              <w:jc w:val="right"/>
              <w:rPr>
                <w:rFonts w:ascii="宋体" w:hAnsi="宋体" w:cs="Arial"/>
                <w:color w:val="auto"/>
                <w:kern w:val="0"/>
                <w:szCs w:val="21"/>
              </w:rPr>
            </w:pPr>
          </w:p>
        </w:tc>
      </w:tr>
      <w:tr w14:paraId="50E07E70">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1ED4231D">
            <w:pPr>
              <w:widowControl/>
              <w:jc w:val="center"/>
              <w:rPr>
                <w:rFonts w:hint="eastAsia" w:ascii="宋体" w:hAnsi="宋体" w:cs="Arial"/>
                <w:color w:val="auto"/>
                <w:kern w:val="0"/>
                <w:szCs w:val="21"/>
              </w:rPr>
            </w:pPr>
          </w:p>
        </w:tc>
        <w:tc>
          <w:tcPr>
            <w:tcW w:w="1778" w:type="pct"/>
            <w:tcBorders>
              <w:top w:val="single" w:color="000000" w:sz="4" w:space="0"/>
              <w:left w:val="nil"/>
              <w:bottom w:val="single" w:color="000000" w:sz="4" w:space="0"/>
              <w:right w:val="single" w:color="000000" w:sz="4" w:space="0"/>
            </w:tcBorders>
            <w:noWrap w:val="0"/>
            <w:vAlign w:val="center"/>
          </w:tcPr>
          <w:p w14:paraId="6538753C">
            <w:pPr>
              <w:widowControl/>
              <w:jc w:val="center"/>
              <w:rPr>
                <w:rFonts w:hint="eastAsia"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3985F587">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6782069E">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5B148C95">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60DE1B33">
            <w:pPr>
              <w:widowControl/>
              <w:jc w:val="right"/>
              <w:rPr>
                <w:rFonts w:ascii="宋体" w:hAnsi="宋体" w:cs="Arial"/>
                <w:color w:val="auto"/>
                <w:kern w:val="0"/>
                <w:szCs w:val="21"/>
              </w:rPr>
            </w:pPr>
          </w:p>
        </w:tc>
      </w:tr>
      <w:tr w14:paraId="7F9B03DF">
        <w:tblPrEx>
          <w:tblCellMar>
            <w:top w:w="0" w:type="dxa"/>
            <w:left w:w="108" w:type="dxa"/>
            <w:bottom w:w="0" w:type="dxa"/>
            <w:right w:w="108" w:type="dxa"/>
          </w:tblCellMar>
        </w:tblPrEx>
        <w:trPr>
          <w:trHeight w:val="567" w:hRule="atLeast"/>
        </w:trPr>
        <w:tc>
          <w:tcPr>
            <w:tcW w:w="356" w:type="pct"/>
            <w:tcBorders>
              <w:top w:val="nil"/>
              <w:left w:val="single" w:color="000000" w:sz="8" w:space="0"/>
              <w:bottom w:val="single" w:color="000000" w:sz="4" w:space="0"/>
              <w:right w:val="single" w:color="000000" w:sz="4" w:space="0"/>
            </w:tcBorders>
            <w:noWrap w:val="0"/>
            <w:vAlign w:val="center"/>
          </w:tcPr>
          <w:p w14:paraId="3C0B9A4C">
            <w:pPr>
              <w:widowControl/>
              <w:jc w:val="center"/>
              <w:rPr>
                <w:rFonts w:hint="eastAsia" w:ascii="宋体" w:hAnsi="宋体" w:cs="Arial"/>
                <w:color w:val="auto"/>
                <w:kern w:val="0"/>
                <w:szCs w:val="21"/>
              </w:rPr>
            </w:pPr>
          </w:p>
        </w:tc>
        <w:tc>
          <w:tcPr>
            <w:tcW w:w="1778" w:type="pct"/>
            <w:tcBorders>
              <w:top w:val="single" w:color="000000" w:sz="4" w:space="0"/>
              <w:left w:val="nil"/>
              <w:bottom w:val="single" w:color="000000" w:sz="4" w:space="0"/>
              <w:right w:val="single" w:color="000000" w:sz="4" w:space="0"/>
            </w:tcBorders>
            <w:noWrap w:val="0"/>
            <w:vAlign w:val="center"/>
          </w:tcPr>
          <w:p w14:paraId="204050B2">
            <w:pPr>
              <w:widowControl/>
              <w:jc w:val="center"/>
              <w:rPr>
                <w:rFonts w:hint="eastAsia"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4FF12566">
            <w:pPr>
              <w:widowControl/>
              <w:jc w:val="center"/>
              <w:rPr>
                <w:rFonts w:ascii="宋体" w:hAnsi="宋体" w:cs="Arial"/>
                <w:color w:val="auto"/>
                <w:kern w:val="0"/>
                <w:szCs w:val="21"/>
              </w:rPr>
            </w:pPr>
          </w:p>
        </w:tc>
        <w:tc>
          <w:tcPr>
            <w:tcW w:w="717" w:type="pct"/>
            <w:tcBorders>
              <w:top w:val="single" w:color="000000" w:sz="4" w:space="0"/>
              <w:left w:val="nil"/>
              <w:bottom w:val="single" w:color="000000" w:sz="4" w:space="0"/>
              <w:right w:val="single" w:color="000000" w:sz="4" w:space="0"/>
            </w:tcBorders>
            <w:noWrap w:val="0"/>
            <w:vAlign w:val="center"/>
          </w:tcPr>
          <w:p w14:paraId="50EEC123">
            <w:pPr>
              <w:widowControl/>
              <w:jc w:val="right"/>
              <w:rPr>
                <w:rFonts w:ascii="宋体" w:hAnsi="宋体" w:cs="Arial"/>
                <w:color w:val="auto"/>
                <w:kern w:val="0"/>
                <w:szCs w:val="21"/>
              </w:rPr>
            </w:pPr>
          </w:p>
        </w:tc>
        <w:tc>
          <w:tcPr>
            <w:tcW w:w="717" w:type="pct"/>
            <w:tcBorders>
              <w:top w:val="nil"/>
              <w:left w:val="nil"/>
              <w:bottom w:val="single" w:color="000000" w:sz="4" w:space="0"/>
              <w:right w:val="single" w:color="000000" w:sz="4" w:space="0"/>
            </w:tcBorders>
            <w:noWrap w:val="0"/>
            <w:vAlign w:val="center"/>
          </w:tcPr>
          <w:p w14:paraId="47AA1AF5">
            <w:pPr>
              <w:widowControl/>
              <w:jc w:val="right"/>
              <w:rPr>
                <w:rFonts w:ascii="宋体" w:hAnsi="宋体" w:cs="Arial"/>
                <w:color w:val="auto"/>
                <w:kern w:val="0"/>
                <w:szCs w:val="21"/>
              </w:rPr>
            </w:pPr>
          </w:p>
        </w:tc>
        <w:tc>
          <w:tcPr>
            <w:tcW w:w="715" w:type="pct"/>
            <w:tcBorders>
              <w:top w:val="nil"/>
              <w:left w:val="nil"/>
              <w:bottom w:val="single" w:color="000000" w:sz="4" w:space="0"/>
              <w:right w:val="single" w:color="000000" w:sz="8" w:space="0"/>
            </w:tcBorders>
            <w:noWrap w:val="0"/>
            <w:vAlign w:val="center"/>
          </w:tcPr>
          <w:p w14:paraId="1F623F05">
            <w:pPr>
              <w:widowControl/>
              <w:jc w:val="right"/>
              <w:rPr>
                <w:rFonts w:ascii="宋体" w:hAnsi="宋体" w:cs="Arial"/>
                <w:color w:val="auto"/>
                <w:kern w:val="0"/>
                <w:szCs w:val="21"/>
              </w:rPr>
            </w:pPr>
          </w:p>
        </w:tc>
      </w:tr>
      <w:tr w14:paraId="01199676">
        <w:tblPrEx>
          <w:tblCellMar>
            <w:top w:w="0" w:type="dxa"/>
            <w:left w:w="108" w:type="dxa"/>
            <w:bottom w:w="0" w:type="dxa"/>
            <w:right w:w="108" w:type="dxa"/>
          </w:tblCellMar>
        </w:tblPrEx>
        <w:trPr>
          <w:trHeight w:val="567" w:hRule="atLeast"/>
        </w:trPr>
        <w:tc>
          <w:tcPr>
            <w:tcW w:w="4285" w:type="pct"/>
            <w:gridSpan w:val="5"/>
            <w:tcBorders>
              <w:top w:val="single" w:color="000000" w:sz="4" w:space="0"/>
              <w:left w:val="single" w:color="000000" w:sz="8" w:space="0"/>
              <w:bottom w:val="single" w:color="000000" w:sz="4" w:space="0"/>
              <w:right w:val="single" w:color="000000" w:sz="4" w:space="0"/>
            </w:tcBorders>
            <w:noWrap w:val="0"/>
            <w:vAlign w:val="center"/>
          </w:tcPr>
          <w:p w14:paraId="3CC52F57">
            <w:pPr>
              <w:widowControl/>
              <w:jc w:val="center"/>
              <w:rPr>
                <w:rFonts w:ascii="宋体" w:hAnsi="宋体" w:cs="Arial"/>
                <w:color w:val="auto"/>
                <w:kern w:val="0"/>
                <w:szCs w:val="21"/>
              </w:rPr>
            </w:pPr>
            <w:r>
              <w:rPr>
                <w:rFonts w:hint="eastAsia" w:ascii="宋体" w:hAnsi="宋体" w:cs="Arial"/>
                <w:color w:val="auto"/>
                <w:kern w:val="0"/>
                <w:szCs w:val="21"/>
              </w:rPr>
              <w:t>施工机械费小计</w:t>
            </w:r>
          </w:p>
        </w:tc>
        <w:tc>
          <w:tcPr>
            <w:tcW w:w="715" w:type="pct"/>
            <w:tcBorders>
              <w:top w:val="nil"/>
              <w:left w:val="nil"/>
              <w:bottom w:val="single" w:color="000000" w:sz="4" w:space="0"/>
              <w:right w:val="single" w:color="000000" w:sz="8" w:space="0"/>
            </w:tcBorders>
            <w:noWrap w:val="0"/>
            <w:vAlign w:val="center"/>
          </w:tcPr>
          <w:p w14:paraId="78B00930">
            <w:pPr>
              <w:widowControl/>
              <w:jc w:val="right"/>
              <w:rPr>
                <w:rFonts w:ascii="宋体" w:hAnsi="宋体" w:cs="Arial"/>
                <w:color w:val="auto"/>
                <w:kern w:val="0"/>
                <w:szCs w:val="21"/>
              </w:rPr>
            </w:pPr>
          </w:p>
        </w:tc>
      </w:tr>
      <w:tr w14:paraId="6F980815">
        <w:tblPrEx>
          <w:tblCellMar>
            <w:top w:w="0" w:type="dxa"/>
            <w:left w:w="108" w:type="dxa"/>
            <w:bottom w:w="0" w:type="dxa"/>
            <w:right w:w="108" w:type="dxa"/>
          </w:tblCellMar>
        </w:tblPrEx>
        <w:trPr>
          <w:trHeight w:val="567" w:hRule="atLeast"/>
        </w:trPr>
        <w:tc>
          <w:tcPr>
            <w:tcW w:w="4285" w:type="pct"/>
            <w:gridSpan w:val="5"/>
            <w:tcBorders>
              <w:top w:val="single" w:color="000000" w:sz="4" w:space="0"/>
              <w:left w:val="single" w:color="000000" w:sz="8" w:space="0"/>
              <w:bottom w:val="single" w:color="000000" w:sz="8" w:space="0"/>
              <w:right w:val="single" w:color="000000" w:sz="4" w:space="0"/>
            </w:tcBorders>
            <w:noWrap w:val="0"/>
            <w:vAlign w:val="center"/>
          </w:tcPr>
          <w:p w14:paraId="63963110">
            <w:pPr>
              <w:widowControl/>
              <w:jc w:val="center"/>
              <w:rPr>
                <w:rFonts w:ascii="宋体" w:hAnsi="宋体" w:cs="Arial"/>
                <w:color w:val="auto"/>
                <w:kern w:val="0"/>
                <w:szCs w:val="21"/>
              </w:rPr>
            </w:pPr>
            <w:r>
              <w:rPr>
                <w:rFonts w:hint="eastAsia" w:ascii="宋体" w:hAnsi="宋体" w:cs="Arial"/>
                <w:color w:val="auto"/>
                <w:kern w:val="0"/>
                <w:szCs w:val="21"/>
              </w:rPr>
              <w:t>合     计</w:t>
            </w:r>
          </w:p>
        </w:tc>
        <w:tc>
          <w:tcPr>
            <w:tcW w:w="715" w:type="pct"/>
            <w:tcBorders>
              <w:top w:val="nil"/>
              <w:left w:val="nil"/>
              <w:bottom w:val="single" w:color="000000" w:sz="8" w:space="0"/>
              <w:right w:val="single" w:color="000000" w:sz="8" w:space="0"/>
            </w:tcBorders>
            <w:noWrap w:val="0"/>
            <w:vAlign w:val="center"/>
          </w:tcPr>
          <w:p w14:paraId="226E2041">
            <w:pPr>
              <w:widowControl/>
              <w:jc w:val="right"/>
              <w:rPr>
                <w:rFonts w:ascii="宋体" w:hAnsi="宋体" w:cs="Arial"/>
                <w:color w:val="auto"/>
                <w:kern w:val="0"/>
                <w:szCs w:val="21"/>
              </w:rPr>
            </w:pPr>
          </w:p>
        </w:tc>
      </w:tr>
    </w:tbl>
    <w:p w14:paraId="53C391A4">
      <w:pPr>
        <w:jc w:val="center"/>
        <w:outlineLvl w:val="2"/>
        <w:rPr>
          <w:rFonts w:hint="eastAsia"/>
          <w:color w:val="auto"/>
          <w:sz w:val="28"/>
          <w:szCs w:val="28"/>
        </w:rPr>
      </w:pPr>
      <w:bookmarkStart w:id="510" w:name="_Toc460660250"/>
      <w:bookmarkStart w:id="511" w:name="_Toc460227135"/>
      <w:bookmarkStart w:id="512" w:name="_Toc171581374"/>
      <w:bookmarkStart w:id="513" w:name="_Toc171741997"/>
      <w:bookmarkStart w:id="514" w:name="_Toc171581554"/>
      <w:bookmarkStart w:id="515" w:name="_Toc535241139"/>
      <w:r>
        <w:rPr>
          <w:color w:val="auto"/>
          <w:sz w:val="28"/>
          <w:szCs w:val="28"/>
        </w:rPr>
        <w:br w:type="page"/>
      </w:r>
      <w:r>
        <w:rPr>
          <w:rFonts w:hint="eastAsia"/>
          <w:color w:val="auto"/>
          <w:sz w:val="28"/>
          <w:szCs w:val="28"/>
        </w:rPr>
        <w:t>（十三）</w:t>
      </w:r>
      <w:bookmarkEnd w:id="510"/>
      <w:bookmarkEnd w:id="511"/>
      <w:bookmarkEnd w:id="512"/>
      <w:bookmarkEnd w:id="513"/>
      <w:bookmarkEnd w:id="514"/>
      <w:r>
        <w:rPr>
          <w:rFonts w:hint="eastAsia"/>
          <w:color w:val="auto"/>
          <w:sz w:val="28"/>
          <w:szCs w:val="28"/>
        </w:rPr>
        <w:t>总承包服务费计价表</w:t>
      </w:r>
      <w:bookmarkEnd w:id="515"/>
    </w:p>
    <w:p w14:paraId="69910299">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851"/>
        <w:gridCol w:w="2171"/>
        <w:gridCol w:w="1744"/>
        <w:gridCol w:w="1744"/>
        <w:gridCol w:w="1317"/>
        <w:gridCol w:w="1744"/>
      </w:tblGrid>
      <w:tr w14:paraId="2D22C7A4">
        <w:tblPrEx>
          <w:tblCellMar>
            <w:top w:w="0" w:type="dxa"/>
            <w:left w:w="108" w:type="dxa"/>
            <w:bottom w:w="0" w:type="dxa"/>
            <w:right w:w="108" w:type="dxa"/>
          </w:tblCellMar>
        </w:tblPrEx>
        <w:trPr>
          <w:trHeight w:val="690" w:hRule="atLeast"/>
        </w:trPr>
        <w:tc>
          <w:tcPr>
            <w:tcW w:w="445"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E3AB7DC">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1134" w:type="pct"/>
            <w:tcBorders>
              <w:top w:val="single" w:color="000000" w:sz="8" w:space="0"/>
              <w:left w:val="nil"/>
              <w:bottom w:val="single" w:color="000000" w:sz="4" w:space="0"/>
              <w:right w:val="single" w:color="000000" w:sz="4" w:space="0"/>
            </w:tcBorders>
            <w:shd w:val="clear" w:color="FFFFFF" w:fill="FFFFFF"/>
            <w:noWrap w:val="0"/>
            <w:vAlign w:val="center"/>
          </w:tcPr>
          <w:p w14:paraId="2072F2A2">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工程名称</w:t>
            </w:r>
          </w:p>
        </w:tc>
        <w:tc>
          <w:tcPr>
            <w:tcW w:w="911" w:type="pct"/>
            <w:tcBorders>
              <w:top w:val="single" w:color="000000" w:sz="8" w:space="0"/>
              <w:left w:val="nil"/>
              <w:bottom w:val="single" w:color="000000" w:sz="4" w:space="0"/>
              <w:right w:val="single" w:color="000000" w:sz="4" w:space="0"/>
            </w:tcBorders>
            <w:shd w:val="clear" w:color="FFFFFF" w:fill="FFFFFF"/>
            <w:noWrap w:val="0"/>
            <w:vAlign w:val="center"/>
          </w:tcPr>
          <w:p w14:paraId="01714B3B">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项目价值(元)</w:t>
            </w:r>
          </w:p>
        </w:tc>
        <w:tc>
          <w:tcPr>
            <w:tcW w:w="911" w:type="pct"/>
            <w:tcBorders>
              <w:top w:val="single" w:color="000000" w:sz="8" w:space="0"/>
              <w:left w:val="nil"/>
              <w:bottom w:val="single" w:color="000000" w:sz="4" w:space="0"/>
              <w:right w:val="single" w:color="000000" w:sz="4" w:space="0"/>
            </w:tcBorders>
            <w:shd w:val="clear" w:color="FFFFFF" w:fill="FFFFFF"/>
            <w:noWrap w:val="0"/>
            <w:vAlign w:val="center"/>
          </w:tcPr>
          <w:p w14:paraId="52629241">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服务内容</w:t>
            </w:r>
          </w:p>
        </w:tc>
        <w:tc>
          <w:tcPr>
            <w:tcW w:w="688" w:type="pct"/>
            <w:tcBorders>
              <w:top w:val="single" w:color="000000" w:sz="8" w:space="0"/>
              <w:left w:val="nil"/>
              <w:bottom w:val="single" w:color="000000" w:sz="4" w:space="0"/>
              <w:right w:val="single" w:color="000000" w:sz="4" w:space="0"/>
            </w:tcBorders>
            <w:shd w:val="clear" w:color="FFFFFF" w:fill="FFFFFF"/>
            <w:noWrap w:val="0"/>
            <w:vAlign w:val="center"/>
          </w:tcPr>
          <w:p w14:paraId="692BFEF9">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费率(％)</w:t>
            </w:r>
          </w:p>
        </w:tc>
        <w:tc>
          <w:tcPr>
            <w:tcW w:w="911" w:type="pct"/>
            <w:tcBorders>
              <w:top w:val="single" w:color="000000" w:sz="8" w:space="0"/>
              <w:left w:val="nil"/>
              <w:bottom w:val="single" w:color="000000" w:sz="4" w:space="0"/>
              <w:right w:val="single" w:color="000000" w:sz="8" w:space="0"/>
            </w:tcBorders>
            <w:shd w:val="clear" w:color="FFFFFF" w:fill="FFFFFF"/>
            <w:noWrap w:val="0"/>
            <w:vAlign w:val="center"/>
          </w:tcPr>
          <w:p w14:paraId="5A2A9654">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r>
      <w:tr w14:paraId="6400D0B6">
        <w:tblPrEx>
          <w:tblCellMar>
            <w:top w:w="0" w:type="dxa"/>
            <w:left w:w="108" w:type="dxa"/>
            <w:bottom w:w="0" w:type="dxa"/>
            <w:right w:w="108" w:type="dxa"/>
          </w:tblCellMar>
        </w:tblPrEx>
        <w:trPr>
          <w:trHeight w:val="680" w:hRule="atLeast"/>
        </w:trPr>
        <w:tc>
          <w:tcPr>
            <w:tcW w:w="445" w:type="pct"/>
            <w:tcBorders>
              <w:top w:val="nil"/>
              <w:left w:val="single" w:color="000000" w:sz="8" w:space="0"/>
              <w:bottom w:val="single" w:color="000000" w:sz="4" w:space="0"/>
              <w:right w:val="single" w:color="000000" w:sz="4" w:space="0"/>
            </w:tcBorders>
            <w:noWrap w:val="0"/>
            <w:vAlign w:val="center"/>
          </w:tcPr>
          <w:p w14:paraId="024A073C">
            <w:pPr>
              <w:widowControl/>
              <w:jc w:val="center"/>
              <w:rPr>
                <w:rFonts w:ascii="宋体" w:hAnsi="宋体" w:cs="Arial"/>
                <w:color w:val="auto"/>
                <w:kern w:val="0"/>
                <w:szCs w:val="21"/>
              </w:rPr>
            </w:pPr>
          </w:p>
        </w:tc>
        <w:tc>
          <w:tcPr>
            <w:tcW w:w="1134" w:type="pct"/>
            <w:tcBorders>
              <w:top w:val="nil"/>
              <w:left w:val="nil"/>
              <w:bottom w:val="single" w:color="000000" w:sz="4" w:space="0"/>
              <w:right w:val="single" w:color="000000" w:sz="4" w:space="0"/>
            </w:tcBorders>
            <w:noWrap w:val="0"/>
            <w:vAlign w:val="center"/>
          </w:tcPr>
          <w:p w14:paraId="7AEA025E">
            <w:pPr>
              <w:widowControl/>
              <w:jc w:val="left"/>
              <w:rPr>
                <w:rFonts w:ascii="宋体" w:hAnsi="宋体" w:cs="Arial"/>
                <w:color w:val="auto"/>
                <w:kern w:val="0"/>
                <w:szCs w:val="21"/>
              </w:rPr>
            </w:pPr>
          </w:p>
        </w:tc>
        <w:tc>
          <w:tcPr>
            <w:tcW w:w="911" w:type="pct"/>
            <w:tcBorders>
              <w:top w:val="single" w:color="000000" w:sz="4" w:space="0"/>
              <w:left w:val="nil"/>
              <w:bottom w:val="single" w:color="000000" w:sz="4" w:space="0"/>
              <w:right w:val="single" w:color="000000" w:sz="4" w:space="0"/>
            </w:tcBorders>
            <w:noWrap w:val="0"/>
            <w:vAlign w:val="center"/>
          </w:tcPr>
          <w:p w14:paraId="472F3C10">
            <w:pPr>
              <w:widowControl/>
              <w:jc w:val="right"/>
              <w:rPr>
                <w:rFonts w:ascii="宋体" w:hAnsi="宋体" w:cs="Arial"/>
                <w:color w:val="auto"/>
                <w:kern w:val="0"/>
                <w:szCs w:val="21"/>
              </w:rPr>
            </w:pPr>
          </w:p>
        </w:tc>
        <w:tc>
          <w:tcPr>
            <w:tcW w:w="911" w:type="pct"/>
            <w:tcBorders>
              <w:top w:val="single" w:color="000000" w:sz="4" w:space="0"/>
              <w:left w:val="nil"/>
              <w:bottom w:val="single" w:color="000000" w:sz="4" w:space="0"/>
              <w:right w:val="single" w:color="000000" w:sz="4" w:space="0"/>
            </w:tcBorders>
            <w:noWrap w:val="0"/>
            <w:vAlign w:val="center"/>
          </w:tcPr>
          <w:p w14:paraId="51E8CA60">
            <w:pPr>
              <w:widowControl/>
              <w:jc w:val="left"/>
              <w:rPr>
                <w:rFonts w:ascii="宋体" w:hAnsi="宋体" w:cs="Arial"/>
                <w:color w:val="auto"/>
                <w:kern w:val="0"/>
                <w:szCs w:val="21"/>
              </w:rPr>
            </w:pPr>
          </w:p>
        </w:tc>
        <w:tc>
          <w:tcPr>
            <w:tcW w:w="688" w:type="pct"/>
            <w:tcBorders>
              <w:top w:val="single" w:color="000000" w:sz="4" w:space="0"/>
              <w:left w:val="nil"/>
              <w:bottom w:val="single" w:color="000000" w:sz="4" w:space="0"/>
              <w:right w:val="single" w:color="000000" w:sz="4" w:space="0"/>
            </w:tcBorders>
            <w:noWrap w:val="0"/>
            <w:vAlign w:val="center"/>
          </w:tcPr>
          <w:p w14:paraId="10373402">
            <w:pPr>
              <w:widowControl/>
              <w:jc w:val="right"/>
              <w:rPr>
                <w:rFonts w:ascii="宋体" w:hAnsi="宋体" w:cs="Arial"/>
                <w:color w:val="auto"/>
                <w:kern w:val="0"/>
                <w:szCs w:val="21"/>
              </w:rPr>
            </w:pPr>
          </w:p>
        </w:tc>
        <w:tc>
          <w:tcPr>
            <w:tcW w:w="911" w:type="pct"/>
            <w:tcBorders>
              <w:top w:val="nil"/>
              <w:left w:val="nil"/>
              <w:bottom w:val="single" w:color="000000" w:sz="4" w:space="0"/>
              <w:right w:val="single" w:color="000000" w:sz="8" w:space="0"/>
            </w:tcBorders>
            <w:noWrap w:val="0"/>
            <w:vAlign w:val="center"/>
          </w:tcPr>
          <w:p w14:paraId="0DAF1392">
            <w:pPr>
              <w:widowControl/>
              <w:jc w:val="right"/>
              <w:rPr>
                <w:rFonts w:ascii="宋体" w:hAnsi="宋体" w:cs="Arial"/>
                <w:color w:val="auto"/>
                <w:kern w:val="0"/>
                <w:szCs w:val="21"/>
              </w:rPr>
            </w:pPr>
          </w:p>
        </w:tc>
      </w:tr>
      <w:tr w14:paraId="1238D40D">
        <w:tblPrEx>
          <w:tblCellMar>
            <w:top w:w="0" w:type="dxa"/>
            <w:left w:w="108" w:type="dxa"/>
            <w:bottom w:w="0" w:type="dxa"/>
            <w:right w:w="108" w:type="dxa"/>
          </w:tblCellMar>
        </w:tblPrEx>
        <w:trPr>
          <w:trHeight w:val="680" w:hRule="atLeast"/>
        </w:trPr>
        <w:tc>
          <w:tcPr>
            <w:tcW w:w="445" w:type="pct"/>
            <w:tcBorders>
              <w:top w:val="nil"/>
              <w:left w:val="single" w:color="000000" w:sz="8" w:space="0"/>
              <w:bottom w:val="single" w:color="000000" w:sz="4" w:space="0"/>
              <w:right w:val="single" w:color="000000" w:sz="4" w:space="0"/>
            </w:tcBorders>
            <w:noWrap w:val="0"/>
            <w:vAlign w:val="center"/>
          </w:tcPr>
          <w:p w14:paraId="06FE4CED">
            <w:pPr>
              <w:widowControl/>
              <w:jc w:val="center"/>
              <w:rPr>
                <w:rFonts w:ascii="宋体" w:hAnsi="宋体" w:cs="Arial"/>
                <w:color w:val="auto"/>
                <w:kern w:val="0"/>
                <w:szCs w:val="21"/>
              </w:rPr>
            </w:pPr>
          </w:p>
        </w:tc>
        <w:tc>
          <w:tcPr>
            <w:tcW w:w="1134" w:type="pct"/>
            <w:tcBorders>
              <w:top w:val="nil"/>
              <w:left w:val="nil"/>
              <w:bottom w:val="single" w:color="000000" w:sz="4" w:space="0"/>
              <w:right w:val="single" w:color="000000" w:sz="4" w:space="0"/>
            </w:tcBorders>
            <w:noWrap w:val="0"/>
            <w:vAlign w:val="center"/>
          </w:tcPr>
          <w:p w14:paraId="1C3E7BC6">
            <w:pPr>
              <w:widowControl/>
              <w:jc w:val="left"/>
              <w:rPr>
                <w:rFonts w:ascii="宋体" w:hAnsi="宋体" w:cs="Arial"/>
                <w:color w:val="auto"/>
                <w:kern w:val="0"/>
                <w:szCs w:val="21"/>
              </w:rPr>
            </w:pPr>
          </w:p>
        </w:tc>
        <w:tc>
          <w:tcPr>
            <w:tcW w:w="911" w:type="pct"/>
            <w:tcBorders>
              <w:top w:val="single" w:color="000000" w:sz="4" w:space="0"/>
              <w:left w:val="nil"/>
              <w:bottom w:val="single" w:color="000000" w:sz="4" w:space="0"/>
              <w:right w:val="single" w:color="000000" w:sz="4" w:space="0"/>
            </w:tcBorders>
            <w:noWrap w:val="0"/>
            <w:vAlign w:val="center"/>
          </w:tcPr>
          <w:p w14:paraId="5849261C">
            <w:pPr>
              <w:widowControl/>
              <w:jc w:val="right"/>
              <w:rPr>
                <w:rFonts w:ascii="宋体" w:hAnsi="宋体" w:cs="Arial"/>
                <w:color w:val="auto"/>
                <w:kern w:val="0"/>
                <w:szCs w:val="21"/>
              </w:rPr>
            </w:pPr>
          </w:p>
        </w:tc>
        <w:tc>
          <w:tcPr>
            <w:tcW w:w="911" w:type="pct"/>
            <w:tcBorders>
              <w:top w:val="single" w:color="000000" w:sz="4" w:space="0"/>
              <w:left w:val="nil"/>
              <w:bottom w:val="single" w:color="000000" w:sz="4" w:space="0"/>
              <w:right w:val="single" w:color="000000" w:sz="4" w:space="0"/>
            </w:tcBorders>
            <w:noWrap w:val="0"/>
            <w:vAlign w:val="center"/>
          </w:tcPr>
          <w:p w14:paraId="72D406F4">
            <w:pPr>
              <w:widowControl/>
              <w:jc w:val="left"/>
              <w:rPr>
                <w:rFonts w:ascii="宋体" w:hAnsi="宋体" w:cs="Arial"/>
                <w:color w:val="auto"/>
                <w:kern w:val="0"/>
                <w:szCs w:val="21"/>
              </w:rPr>
            </w:pPr>
          </w:p>
        </w:tc>
        <w:tc>
          <w:tcPr>
            <w:tcW w:w="688" w:type="pct"/>
            <w:tcBorders>
              <w:top w:val="single" w:color="000000" w:sz="4" w:space="0"/>
              <w:left w:val="nil"/>
              <w:bottom w:val="single" w:color="000000" w:sz="4" w:space="0"/>
              <w:right w:val="single" w:color="000000" w:sz="4" w:space="0"/>
            </w:tcBorders>
            <w:noWrap w:val="0"/>
            <w:vAlign w:val="center"/>
          </w:tcPr>
          <w:p w14:paraId="238B26F8">
            <w:pPr>
              <w:widowControl/>
              <w:jc w:val="right"/>
              <w:rPr>
                <w:rFonts w:ascii="宋体" w:hAnsi="宋体" w:cs="Arial"/>
                <w:color w:val="auto"/>
                <w:kern w:val="0"/>
                <w:szCs w:val="21"/>
              </w:rPr>
            </w:pPr>
          </w:p>
        </w:tc>
        <w:tc>
          <w:tcPr>
            <w:tcW w:w="911" w:type="pct"/>
            <w:tcBorders>
              <w:top w:val="nil"/>
              <w:left w:val="nil"/>
              <w:bottom w:val="single" w:color="000000" w:sz="4" w:space="0"/>
              <w:right w:val="single" w:color="000000" w:sz="8" w:space="0"/>
            </w:tcBorders>
            <w:noWrap w:val="0"/>
            <w:vAlign w:val="center"/>
          </w:tcPr>
          <w:p w14:paraId="716A52EB">
            <w:pPr>
              <w:widowControl/>
              <w:jc w:val="right"/>
              <w:rPr>
                <w:rFonts w:ascii="宋体" w:hAnsi="宋体" w:cs="Arial"/>
                <w:color w:val="auto"/>
                <w:kern w:val="0"/>
                <w:szCs w:val="21"/>
              </w:rPr>
            </w:pPr>
          </w:p>
        </w:tc>
      </w:tr>
      <w:tr w14:paraId="5997F36E">
        <w:tblPrEx>
          <w:tblCellMar>
            <w:top w:w="0" w:type="dxa"/>
            <w:left w:w="108" w:type="dxa"/>
            <w:bottom w:w="0" w:type="dxa"/>
            <w:right w:w="108" w:type="dxa"/>
          </w:tblCellMar>
        </w:tblPrEx>
        <w:trPr>
          <w:trHeight w:val="680" w:hRule="atLeast"/>
        </w:trPr>
        <w:tc>
          <w:tcPr>
            <w:tcW w:w="445" w:type="pct"/>
            <w:tcBorders>
              <w:top w:val="nil"/>
              <w:left w:val="single" w:color="000000" w:sz="8" w:space="0"/>
              <w:bottom w:val="single" w:color="000000" w:sz="4" w:space="0"/>
              <w:right w:val="single" w:color="000000" w:sz="4" w:space="0"/>
            </w:tcBorders>
            <w:noWrap w:val="0"/>
            <w:vAlign w:val="center"/>
          </w:tcPr>
          <w:p w14:paraId="3530911E">
            <w:pPr>
              <w:widowControl/>
              <w:jc w:val="center"/>
              <w:rPr>
                <w:rFonts w:hint="eastAsia" w:ascii="宋体" w:hAnsi="宋体" w:cs="Arial"/>
                <w:color w:val="auto"/>
                <w:kern w:val="0"/>
                <w:szCs w:val="21"/>
              </w:rPr>
            </w:pPr>
          </w:p>
        </w:tc>
        <w:tc>
          <w:tcPr>
            <w:tcW w:w="1134" w:type="pct"/>
            <w:tcBorders>
              <w:top w:val="nil"/>
              <w:left w:val="nil"/>
              <w:bottom w:val="single" w:color="000000" w:sz="4" w:space="0"/>
              <w:right w:val="single" w:color="000000" w:sz="4" w:space="0"/>
            </w:tcBorders>
            <w:noWrap w:val="0"/>
            <w:vAlign w:val="center"/>
          </w:tcPr>
          <w:p w14:paraId="3AB33013">
            <w:pPr>
              <w:widowControl/>
              <w:jc w:val="left"/>
              <w:rPr>
                <w:rFonts w:hint="eastAsia" w:ascii="宋体" w:hAnsi="宋体" w:cs="Arial"/>
                <w:color w:val="auto"/>
                <w:kern w:val="0"/>
                <w:szCs w:val="21"/>
              </w:rPr>
            </w:pPr>
          </w:p>
        </w:tc>
        <w:tc>
          <w:tcPr>
            <w:tcW w:w="911" w:type="pct"/>
            <w:tcBorders>
              <w:top w:val="single" w:color="000000" w:sz="4" w:space="0"/>
              <w:left w:val="nil"/>
              <w:bottom w:val="single" w:color="000000" w:sz="4" w:space="0"/>
              <w:right w:val="single" w:color="000000" w:sz="4" w:space="0"/>
            </w:tcBorders>
            <w:noWrap w:val="0"/>
            <w:vAlign w:val="center"/>
          </w:tcPr>
          <w:p w14:paraId="5CA29E24">
            <w:pPr>
              <w:widowControl/>
              <w:jc w:val="right"/>
              <w:rPr>
                <w:rFonts w:hint="eastAsia" w:ascii="宋体" w:hAnsi="宋体" w:cs="Arial"/>
                <w:color w:val="auto"/>
                <w:kern w:val="0"/>
                <w:szCs w:val="21"/>
              </w:rPr>
            </w:pPr>
          </w:p>
        </w:tc>
        <w:tc>
          <w:tcPr>
            <w:tcW w:w="911" w:type="pct"/>
            <w:tcBorders>
              <w:top w:val="single" w:color="000000" w:sz="4" w:space="0"/>
              <w:left w:val="nil"/>
              <w:bottom w:val="single" w:color="000000" w:sz="4" w:space="0"/>
              <w:right w:val="single" w:color="000000" w:sz="4" w:space="0"/>
            </w:tcBorders>
            <w:noWrap w:val="0"/>
            <w:vAlign w:val="center"/>
          </w:tcPr>
          <w:p w14:paraId="2F35BC80">
            <w:pPr>
              <w:widowControl/>
              <w:jc w:val="left"/>
              <w:rPr>
                <w:rFonts w:hint="eastAsia" w:ascii="宋体" w:hAnsi="宋体" w:cs="Arial"/>
                <w:color w:val="auto"/>
                <w:kern w:val="0"/>
                <w:szCs w:val="21"/>
              </w:rPr>
            </w:pPr>
          </w:p>
        </w:tc>
        <w:tc>
          <w:tcPr>
            <w:tcW w:w="688" w:type="pct"/>
            <w:tcBorders>
              <w:top w:val="single" w:color="000000" w:sz="4" w:space="0"/>
              <w:left w:val="nil"/>
              <w:bottom w:val="single" w:color="000000" w:sz="4" w:space="0"/>
              <w:right w:val="single" w:color="000000" w:sz="4" w:space="0"/>
            </w:tcBorders>
            <w:noWrap w:val="0"/>
            <w:vAlign w:val="center"/>
          </w:tcPr>
          <w:p w14:paraId="5EBED19C">
            <w:pPr>
              <w:widowControl/>
              <w:jc w:val="right"/>
              <w:rPr>
                <w:rFonts w:hint="eastAsia" w:ascii="宋体" w:hAnsi="宋体" w:cs="Arial"/>
                <w:color w:val="auto"/>
                <w:kern w:val="0"/>
                <w:szCs w:val="21"/>
              </w:rPr>
            </w:pPr>
          </w:p>
        </w:tc>
        <w:tc>
          <w:tcPr>
            <w:tcW w:w="911" w:type="pct"/>
            <w:tcBorders>
              <w:top w:val="nil"/>
              <w:left w:val="nil"/>
              <w:bottom w:val="single" w:color="000000" w:sz="4" w:space="0"/>
              <w:right w:val="single" w:color="000000" w:sz="8" w:space="0"/>
            </w:tcBorders>
            <w:noWrap w:val="0"/>
            <w:vAlign w:val="center"/>
          </w:tcPr>
          <w:p w14:paraId="79FFD5C5">
            <w:pPr>
              <w:widowControl/>
              <w:jc w:val="right"/>
              <w:rPr>
                <w:rFonts w:hint="eastAsia" w:ascii="宋体" w:hAnsi="宋体" w:cs="Arial"/>
                <w:color w:val="auto"/>
                <w:kern w:val="0"/>
                <w:szCs w:val="21"/>
              </w:rPr>
            </w:pPr>
          </w:p>
        </w:tc>
      </w:tr>
      <w:tr w14:paraId="2005016A">
        <w:tblPrEx>
          <w:tblCellMar>
            <w:top w:w="0" w:type="dxa"/>
            <w:left w:w="108" w:type="dxa"/>
            <w:bottom w:w="0" w:type="dxa"/>
            <w:right w:w="108" w:type="dxa"/>
          </w:tblCellMar>
        </w:tblPrEx>
        <w:trPr>
          <w:trHeight w:val="680" w:hRule="atLeast"/>
        </w:trPr>
        <w:tc>
          <w:tcPr>
            <w:tcW w:w="4089" w:type="pct"/>
            <w:gridSpan w:val="5"/>
            <w:tcBorders>
              <w:top w:val="single" w:color="000000" w:sz="4" w:space="0"/>
              <w:left w:val="single" w:color="000000" w:sz="8" w:space="0"/>
              <w:bottom w:val="single" w:color="000000" w:sz="8" w:space="0"/>
              <w:right w:val="single" w:color="000000" w:sz="4" w:space="0"/>
            </w:tcBorders>
            <w:noWrap w:val="0"/>
            <w:vAlign w:val="center"/>
          </w:tcPr>
          <w:p w14:paraId="7BC15025">
            <w:pPr>
              <w:widowControl/>
              <w:jc w:val="center"/>
              <w:rPr>
                <w:rFonts w:ascii="宋体" w:hAnsi="宋体" w:cs="Arial"/>
                <w:color w:val="auto"/>
                <w:kern w:val="0"/>
                <w:szCs w:val="21"/>
              </w:rPr>
            </w:pPr>
            <w:r>
              <w:rPr>
                <w:rFonts w:hint="eastAsia" w:ascii="宋体" w:hAnsi="宋体" w:cs="Arial"/>
                <w:color w:val="auto"/>
                <w:kern w:val="0"/>
                <w:szCs w:val="21"/>
              </w:rPr>
              <w:t>合  计</w:t>
            </w:r>
          </w:p>
        </w:tc>
        <w:tc>
          <w:tcPr>
            <w:tcW w:w="911" w:type="pct"/>
            <w:tcBorders>
              <w:top w:val="nil"/>
              <w:left w:val="nil"/>
              <w:bottom w:val="single" w:color="000000" w:sz="8" w:space="0"/>
              <w:right w:val="single" w:color="000000" w:sz="8" w:space="0"/>
            </w:tcBorders>
            <w:noWrap w:val="0"/>
            <w:vAlign w:val="center"/>
          </w:tcPr>
          <w:p w14:paraId="3CAA70F8">
            <w:pPr>
              <w:widowControl/>
              <w:jc w:val="right"/>
              <w:rPr>
                <w:rFonts w:ascii="宋体" w:hAnsi="宋体" w:cs="Arial"/>
                <w:color w:val="auto"/>
                <w:kern w:val="0"/>
                <w:szCs w:val="21"/>
              </w:rPr>
            </w:pPr>
          </w:p>
        </w:tc>
      </w:tr>
    </w:tbl>
    <w:p w14:paraId="0DA6FB62">
      <w:pPr>
        <w:spacing w:before="48" w:beforeLines="20" w:after="48" w:afterLines="20" w:line="540" w:lineRule="exact"/>
        <w:rPr>
          <w:rFonts w:hint="eastAsia" w:ascii="宋体" w:hAnsi="宋体"/>
          <w:color w:val="auto"/>
          <w:sz w:val="24"/>
          <w:szCs w:val="22"/>
        </w:rPr>
      </w:pPr>
    </w:p>
    <w:p w14:paraId="13D6759F">
      <w:pPr>
        <w:rPr>
          <w:rFonts w:hint="eastAsia"/>
          <w:color w:val="auto"/>
        </w:rPr>
      </w:pPr>
      <w:bookmarkStart w:id="516" w:name="_Toc171741998"/>
      <w:bookmarkStart w:id="517" w:name="_Toc171581555"/>
      <w:bookmarkStart w:id="518" w:name="_Toc171581375"/>
      <w:bookmarkStart w:id="519" w:name="_Toc460227136"/>
      <w:bookmarkStart w:id="520" w:name="_Toc460660251"/>
    </w:p>
    <w:p w14:paraId="225F8307">
      <w:pPr>
        <w:jc w:val="center"/>
        <w:outlineLvl w:val="2"/>
        <w:rPr>
          <w:rFonts w:hint="eastAsia"/>
          <w:color w:val="auto"/>
          <w:sz w:val="28"/>
          <w:szCs w:val="28"/>
        </w:rPr>
      </w:pPr>
      <w:bookmarkStart w:id="521" w:name="_Toc535241140"/>
      <w:r>
        <w:rPr>
          <w:rFonts w:hint="eastAsia"/>
          <w:color w:val="auto"/>
          <w:sz w:val="28"/>
          <w:szCs w:val="28"/>
        </w:rPr>
        <w:t>（十四）</w:t>
      </w:r>
      <w:bookmarkEnd w:id="516"/>
      <w:bookmarkEnd w:id="517"/>
      <w:bookmarkEnd w:id="518"/>
      <w:bookmarkEnd w:id="519"/>
      <w:bookmarkEnd w:id="520"/>
      <w:r>
        <w:rPr>
          <w:rFonts w:hint="eastAsia"/>
          <w:color w:val="auto"/>
          <w:sz w:val="28"/>
          <w:szCs w:val="28"/>
        </w:rPr>
        <w:t>税金计价表</w:t>
      </w:r>
      <w:bookmarkEnd w:id="521"/>
    </w:p>
    <w:p w14:paraId="7A4D5E5E">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758"/>
        <w:gridCol w:w="2140"/>
        <w:gridCol w:w="3055"/>
        <w:gridCol w:w="1537"/>
        <w:gridCol w:w="992"/>
        <w:gridCol w:w="1089"/>
      </w:tblGrid>
      <w:tr w14:paraId="7B8A553C">
        <w:trPr>
          <w:trHeight w:val="690" w:hRule="atLeast"/>
        </w:trPr>
        <w:tc>
          <w:tcPr>
            <w:tcW w:w="39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A3E5B7B">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1118" w:type="pct"/>
            <w:tcBorders>
              <w:top w:val="single" w:color="000000" w:sz="8" w:space="0"/>
              <w:left w:val="nil"/>
              <w:bottom w:val="single" w:color="000000" w:sz="4" w:space="0"/>
              <w:right w:val="single" w:color="000000" w:sz="4" w:space="0"/>
            </w:tcBorders>
            <w:shd w:val="clear" w:color="FFFFFF" w:fill="FFFFFF"/>
            <w:noWrap w:val="0"/>
            <w:vAlign w:val="center"/>
          </w:tcPr>
          <w:p w14:paraId="059BEED4">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项目名称</w:t>
            </w:r>
          </w:p>
        </w:tc>
        <w:tc>
          <w:tcPr>
            <w:tcW w:w="1596" w:type="pct"/>
            <w:tcBorders>
              <w:top w:val="single" w:color="000000" w:sz="8" w:space="0"/>
              <w:left w:val="nil"/>
              <w:bottom w:val="single" w:color="000000" w:sz="4" w:space="0"/>
              <w:right w:val="single" w:color="000000" w:sz="4" w:space="0"/>
            </w:tcBorders>
            <w:shd w:val="clear" w:color="FFFFFF" w:fill="FFFFFF"/>
            <w:noWrap w:val="0"/>
            <w:vAlign w:val="center"/>
          </w:tcPr>
          <w:p w14:paraId="2781A6B8">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计算基础</w:t>
            </w:r>
          </w:p>
        </w:tc>
        <w:tc>
          <w:tcPr>
            <w:tcW w:w="803" w:type="pct"/>
            <w:tcBorders>
              <w:top w:val="single" w:color="000000" w:sz="8" w:space="0"/>
              <w:left w:val="nil"/>
              <w:bottom w:val="single" w:color="000000" w:sz="4" w:space="0"/>
              <w:right w:val="single" w:color="000000" w:sz="4" w:space="0"/>
            </w:tcBorders>
            <w:shd w:val="clear" w:color="FFFFFF" w:fill="FFFFFF"/>
            <w:noWrap w:val="0"/>
            <w:vAlign w:val="center"/>
          </w:tcPr>
          <w:p w14:paraId="6EA18571">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计算基数</w:t>
            </w:r>
          </w:p>
        </w:tc>
        <w:tc>
          <w:tcPr>
            <w:tcW w:w="518" w:type="pct"/>
            <w:tcBorders>
              <w:top w:val="single" w:color="000000" w:sz="8" w:space="0"/>
              <w:left w:val="nil"/>
              <w:bottom w:val="single" w:color="000000" w:sz="4" w:space="0"/>
              <w:right w:val="single" w:color="000000" w:sz="4" w:space="0"/>
            </w:tcBorders>
            <w:shd w:val="clear" w:color="FFFFFF" w:fill="FFFFFF"/>
            <w:noWrap w:val="0"/>
            <w:vAlign w:val="center"/>
          </w:tcPr>
          <w:p w14:paraId="0A7F7FBF">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费率(％)</w:t>
            </w:r>
          </w:p>
        </w:tc>
        <w:tc>
          <w:tcPr>
            <w:tcW w:w="569" w:type="pct"/>
            <w:tcBorders>
              <w:top w:val="single" w:color="000000" w:sz="8" w:space="0"/>
              <w:left w:val="nil"/>
              <w:bottom w:val="single" w:color="000000" w:sz="4" w:space="0"/>
              <w:right w:val="single" w:color="000000" w:sz="8" w:space="0"/>
            </w:tcBorders>
            <w:shd w:val="clear" w:color="FFFFFF" w:fill="FFFFFF"/>
            <w:noWrap w:val="0"/>
            <w:vAlign w:val="center"/>
          </w:tcPr>
          <w:p w14:paraId="389E9F10">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金额(元)</w:t>
            </w:r>
          </w:p>
        </w:tc>
      </w:tr>
      <w:tr w14:paraId="4ED201B2">
        <w:tblPrEx>
          <w:tblCellMar>
            <w:top w:w="0" w:type="dxa"/>
            <w:left w:w="108" w:type="dxa"/>
            <w:bottom w:w="0" w:type="dxa"/>
            <w:right w:w="108" w:type="dxa"/>
          </w:tblCellMar>
        </w:tblPrEx>
        <w:trPr>
          <w:trHeight w:val="680" w:hRule="atLeast"/>
        </w:trPr>
        <w:tc>
          <w:tcPr>
            <w:tcW w:w="396" w:type="pct"/>
            <w:tcBorders>
              <w:top w:val="nil"/>
              <w:left w:val="single" w:color="000000" w:sz="8" w:space="0"/>
              <w:bottom w:val="single" w:color="000000" w:sz="4" w:space="0"/>
              <w:right w:val="single" w:color="000000" w:sz="4" w:space="0"/>
            </w:tcBorders>
            <w:noWrap w:val="0"/>
            <w:vAlign w:val="center"/>
          </w:tcPr>
          <w:p w14:paraId="7D3C850F">
            <w:pPr>
              <w:widowControl/>
              <w:jc w:val="center"/>
              <w:rPr>
                <w:rFonts w:ascii="宋体" w:hAnsi="宋体" w:cs="Arial"/>
                <w:color w:val="auto"/>
                <w:kern w:val="0"/>
                <w:szCs w:val="21"/>
              </w:rPr>
            </w:pPr>
            <w:r>
              <w:rPr>
                <w:rFonts w:hint="eastAsia" w:ascii="宋体" w:hAnsi="宋体" w:cs="Arial"/>
                <w:color w:val="auto"/>
                <w:kern w:val="0"/>
                <w:szCs w:val="21"/>
              </w:rPr>
              <w:t>1</w:t>
            </w:r>
          </w:p>
        </w:tc>
        <w:tc>
          <w:tcPr>
            <w:tcW w:w="1118" w:type="pct"/>
            <w:tcBorders>
              <w:top w:val="nil"/>
              <w:left w:val="nil"/>
              <w:bottom w:val="single" w:color="000000" w:sz="4" w:space="0"/>
              <w:right w:val="single" w:color="000000" w:sz="4" w:space="0"/>
            </w:tcBorders>
            <w:noWrap w:val="0"/>
            <w:vAlign w:val="center"/>
          </w:tcPr>
          <w:p w14:paraId="532013F3">
            <w:pPr>
              <w:widowControl/>
              <w:jc w:val="left"/>
              <w:rPr>
                <w:rFonts w:ascii="宋体" w:hAnsi="宋体" w:cs="Arial"/>
                <w:color w:val="auto"/>
                <w:kern w:val="0"/>
                <w:szCs w:val="21"/>
              </w:rPr>
            </w:pPr>
            <w:r>
              <w:rPr>
                <w:rFonts w:hint="eastAsia" w:ascii="宋体" w:hAnsi="宋体" w:cs="Arial"/>
                <w:color w:val="auto"/>
                <w:kern w:val="0"/>
                <w:szCs w:val="21"/>
              </w:rPr>
              <w:t>增值税</w:t>
            </w:r>
          </w:p>
        </w:tc>
        <w:tc>
          <w:tcPr>
            <w:tcW w:w="1596" w:type="pct"/>
            <w:tcBorders>
              <w:top w:val="single" w:color="000000" w:sz="4" w:space="0"/>
              <w:left w:val="nil"/>
              <w:bottom w:val="single" w:color="000000" w:sz="4" w:space="0"/>
              <w:right w:val="single" w:color="000000" w:sz="4" w:space="0"/>
            </w:tcBorders>
            <w:noWrap w:val="0"/>
            <w:vAlign w:val="center"/>
          </w:tcPr>
          <w:p w14:paraId="569F5B5D">
            <w:pPr>
              <w:widowControl/>
              <w:jc w:val="left"/>
              <w:rPr>
                <w:rFonts w:ascii="宋体" w:hAnsi="宋体" w:cs="Arial"/>
                <w:color w:val="auto"/>
                <w:kern w:val="0"/>
                <w:szCs w:val="21"/>
              </w:rPr>
            </w:pPr>
            <w:r>
              <w:rPr>
                <w:rFonts w:hint="eastAsia" w:ascii="宋体" w:hAnsi="宋体" w:cs="Arial"/>
                <w:color w:val="auto"/>
                <w:kern w:val="0"/>
                <w:szCs w:val="21"/>
              </w:rPr>
              <w:t>分部分项工程费+措施项目费+不可竞争费+其他项目费</w:t>
            </w:r>
          </w:p>
        </w:tc>
        <w:tc>
          <w:tcPr>
            <w:tcW w:w="803" w:type="pct"/>
            <w:tcBorders>
              <w:top w:val="single" w:color="000000" w:sz="4" w:space="0"/>
              <w:left w:val="nil"/>
              <w:bottom w:val="single" w:color="000000" w:sz="4" w:space="0"/>
              <w:right w:val="single" w:color="000000" w:sz="4" w:space="0"/>
            </w:tcBorders>
            <w:noWrap w:val="0"/>
            <w:vAlign w:val="center"/>
          </w:tcPr>
          <w:p w14:paraId="1C75E313">
            <w:pPr>
              <w:widowControl/>
              <w:jc w:val="right"/>
              <w:rPr>
                <w:rFonts w:ascii="宋体" w:hAnsi="宋体" w:cs="Arial"/>
                <w:color w:val="auto"/>
                <w:kern w:val="0"/>
                <w:szCs w:val="21"/>
              </w:rPr>
            </w:pPr>
          </w:p>
        </w:tc>
        <w:tc>
          <w:tcPr>
            <w:tcW w:w="518" w:type="pct"/>
            <w:tcBorders>
              <w:top w:val="nil"/>
              <w:left w:val="nil"/>
              <w:bottom w:val="single" w:color="000000" w:sz="4" w:space="0"/>
              <w:right w:val="single" w:color="000000" w:sz="4" w:space="0"/>
            </w:tcBorders>
            <w:noWrap w:val="0"/>
            <w:vAlign w:val="center"/>
          </w:tcPr>
          <w:p w14:paraId="594EB543">
            <w:pPr>
              <w:widowControl/>
              <w:jc w:val="right"/>
              <w:rPr>
                <w:rFonts w:ascii="宋体" w:hAnsi="宋体" w:cs="Arial"/>
                <w:color w:val="auto"/>
                <w:kern w:val="0"/>
                <w:szCs w:val="21"/>
              </w:rPr>
            </w:pPr>
          </w:p>
        </w:tc>
        <w:tc>
          <w:tcPr>
            <w:tcW w:w="569" w:type="pct"/>
            <w:tcBorders>
              <w:top w:val="nil"/>
              <w:left w:val="nil"/>
              <w:bottom w:val="single" w:color="000000" w:sz="4" w:space="0"/>
              <w:right w:val="single" w:color="000000" w:sz="8" w:space="0"/>
            </w:tcBorders>
            <w:noWrap w:val="0"/>
            <w:vAlign w:val="center"/>
          </w:tcPr>
          <w:p w14:paraId="472BAA44">
            <w:pPr>
              <w:widowControl/>
              <w:jc w:val="right"/>
              <w:rPr>
                <w:rFonts w:ascii="宋体" w:hAnsi="宋体" w:cs="Arial"/>
                <w:color w:val="auto"/>
                <w:kern w:val="0"/>
                <w:szCs w:val="21"/>
              </w:rPr>
            </w:pPr>
          </w:p>
        </w:tc>
      </w:tr>
      <w:tr w14:paraId="30528A94">
        <w:tblPrEx>
          <w:tblCellMar>
            <w:top w:w="0" w:type="dxa"/>
            <w:left w:w="108" w:type="dxa"/>
            <w:bottom w:w="0" w:type="dxa"/>
            <w:right w:w="108" w:type="dxa"/>
          </w:tblCellMar>
        </w:tblPrEx>
        <w:trPr>
          <w:trHeight w:val="680" w:hRule="atLeast"/>
        </w:trPr>
        <w:tc>
          <w:tcPr>
            <w:tcW w:w="396" w:type="pct"/>
            <w:tcBorders>
              <w:top w:val="nil"/>
              <w:left w:val="single" w:color="000000" w:sz="8" w:space="0"/>
              <w:bottom w:val="single" w:color="000000" w:sz="4" w:space="0"/>
              <w:right w:val="single" w:color="000000" w:sz="4" w:space="0"/>
            </w:tcBorders>
            <w:noWrap w:val="0"/>
            <w:vAlign w:val="center"/>
          </w:tcPr>
          <w:p w14:paraId="452B1C82">
            <w:pPr>
              <w:widowControl/>
              <w:jc w:val="center"/>
              <w:rPr>
                <w:rFonts w:ascii="宋体" w:hAnsi="宋体" w:cs="Arial"/>
                <w:color w:val="auto"/>
                <w:kern w:val="0"/>
                <w:szCs w:val="21"/>
              </w:rPr>
            </w:pPr>
          </w:p>
        </w:tc>
        <w:tc>
          <w:tcPr>
            <w:tcW w:w="1118" w:type="pct"/>
            <w:tcBorders>
              <w:top w:val="nil"/>
              <w:left w:val="nil"/>
              <w:bottom w:val="single" w:color="000000" w:sz="4" w:space="0"/>
              <w:right w:val="single" w:color="000000" w:sz="4" w:space="0"/>
            </w:tcBorders>
            <w:noWrap w:val="0"/>
            <w:vAlign w:val="center"/>
          </w:tcPr>
          <w:p w14:paraId="20988403">
            <w:pPr>
              <w:widowControl/>
              <w:jc w:val="left"/>
              <w:rPr>
                <w:rFonts w:ascii="宋体" w:hAnsi="宋体" w:cs="Arial"/>
                <w:color w:val="auto"/>
                <w:kern w:val="0"/>
                <w:szCs w:val="21"/>
              </w:rPr>
            </w:pPr>
          </w:p>
        </w:tc>
        <w:tc>
          <w:tcPr>
            <w:tcW w:w="1596" w:type="pct"/>
            <w:tcBorders>
              <w:top w:val="single" w:color="000000" w:sz="4" w:space="0"/>
              <w:left w:val="nil"/>
              <w:bottom w:val="single" w:color="000000" w:sz="4" w:space="0"/>
              <w:right w:val="single" w:color="000000" w:sz="4" w:space="0"/>
            </w:tcBorders>
            <w:noWrap w:val="0"/>
            <w:vAlign w:val="center"/>
          </w:tcPr>
          <w:p w14:paraId="1EB32C41">
            <w:pPr>
              <w:widowControl/>
              <w:jc w:val="left"/>
              <w:rPr>
                <w:rFonts w:ascii="宋体" w:hAnsi="宋体" w:cs="Arial"/>
                <w:color w:val="auto"/>
                <w:kern w:val="0"/>
                <w:szCs w:val="21"/>
              </w:rPr>
            </w:pPr>
          </w:p>
        </w:tc>
        <w:tc>
          <w:tcPr>
            <w:tcW w:w="803" w:type="pct"/>
            <w:tcBorders>
              <w:top w:val="single" w:color="000000" w:sz="4" w:space="0"/>
              <w:left w:val="nil"/>
              <w:bottom w:val="single" w:color="000000" w:sz="4" w:space="0"/>
              <w:right w:val="single" w:color="000000" w:sz="4" w:space="0"/>
            </w:tcBorders>
            <w:noWrap w:val="0"/>
            <w:vAlign w:val="center"/>
          </w:tcPr>
          <w:p w14:paraId="526E1AC1">
            <w:pPr>
              <w:widowControl/>
              <w:jc w:val="right"/>
              <w:rPr>
                <w:rFonts w:ascii="宋体" w:hAnsi="宋体" w:cs="Arial"/>
                <w:color w:val="auto"/>
                <w:kern w:val="0"/>
                <w:szCs w:val="21"/>
              </w:rPr>
            </w:pPr>
          </w:p>
        </w:tc>
        <w:tc>
          <w:tcPr>
            <w:tcW w:w="518" w:type="pct"/>
            <w:tcBorders>
              <w:top w:val="nil"/>
              <w:left w:val="nil"/>
              <w:bottom w:val="single" w:color="000000" w:sz="4" w:space="0"/>
              <w:right w:val="single" w:color="000000" w:sz="4" w:space="0"/>
            </w:tcBorders>
            <w:noWrap w:val="0"/>
            <w:vAlign w:val="center"/>
          </w:tcPr>
          <w:p w14:paraId="3F0E123B">
            <w:pPr>
              <w:widowControl/>
              <w:jc w:val="right"/>
              <w:rPr>
                <w:rFonts w:ascii="宋体" w:hAnsi="宋体" w:cs="Arial"/>
                <w:color w:val="auto"/>
                <w:kern w:val="0"/>
                <w:szCs w:val="21"/>
              </w:rPr>
            </w:pPr>
          </w:p>
        </w:tc>
        <w:tc>
          <w:tcPr>
            <w:tcW w:w="569" w:type="pct"/>
            <w:tcBorders>
              <w:top w:val="nil"/>
              <w:left w:val="nil"/>
              <w:bottom w:val="single" w:color="000000" w:sz="4" w:space="0"/>
              <w:right w:val="single" w:color="000000" w:sz="8" w:space="0"/>
            </w:tcBorders>
            <w:noWrap w:val="0"/>
            <w:vAlign w:val="center"/>
          </w:tcPr>
          <w:p w14:paraId="302EAF1E">
            <w:pPr>
              <w:widowControl/>
              <w:jc w:val="right"/>
              <w:rPr>
                <w:rFonts w:ascii="宋体" w:hAnsi="宋体" w:cs="Arial"/>
                <w:color w:val="auto"/>
                <w:kern w:val="0"/>
                <w:szCs w:val="21"/>
              </w:rPr>
            </w:pPr>
          </w:p>
        </w:tc>
      </w:tr>
      <w:tr w14:paraId="456A0995">
        <w:tblPrEx>
          <w:tblCellMar>
            <w:top w:w="0" w:type="dxa"/>
            <w:left w:w="108" w:type="dxa"/>
            <w:bottom w:w="0" w:type="dxa"/>
            <w:right w:w="108" w:type="dxa"/>
          </w:tblCellMar>
        </w:tblPrEx>
        <w:trPr>
          <w:trHeight w:val="680" w:hRule="atLeast"/>
        </w:trPr>
        <w:tc>
          <w:tcPr>
            <w:tcW w:w="396" w:type="pct"/>
            <w:tcBorders>
              <w:top w:val="nil"/>
              <w:left w:val="single" w:color="000000" w:sz="8" w:space="0"/>
              <w:bottom w:val="single" w:color="000000" w:sz="4" w:space="0"/>
              <w:right w:val="single" w:color="000000" w:sz="4" w:space="0"/>
            </w:tcBorders>
            <w:noWrap w:val="0"/>
            <w:vAlign w:val="center"/>
          </w:tcPr>
          <w:p w14:paraId="751DF825">
            <w:pPr>
              <w:widowControl/>
              <w:jc w:val="center"/>
              <w:rPr>
                <w:rFonts w:ascii="宋体" w:hAnsi="宋体" w:cs="Arial"/>
                <w:color w:val="auto"/>
                <w:kern w:val="0"/>
                <w:szCs w:val="21"/>
              </w:rPr>
            </w:pPr>
          </w:p>
        </w:tc>
        <w:tc>
          <w:tcPr>
            <w:tcW w:w="1118" w:type="pct"/>
            <w:tcBorders>
              <w:top w:val="nil"/>
              <w:left w:val="nil"/>
              <w:bottom w:val="single" w:color="000000" w:sz="4" w:space="0"/>
              <w:right w:val="single" w:color="000000" w:sz="4" w:space="0"/>
            </w:tcBorders>
            <w:noWrap w:val="0"/>
            <w:vAlign w:val="center"/>
          </w:tcPr>
          <w:p w14:paraId="1921F962">
            <w:pPr>
              <w:widowControl/>
              <w:jc w:val="left"/>
              <w:rPr>
                <w:rFonts w:ascii="宋体" w:hAnsi="宋体" w:cs="Arial"/>
                <w:color w:val="auto"/>
                <w:kern w:val="0"/>
                <w:szCs w:val="21"/>
              </w:rPr>
            </w:pPr>
          </w:p>
        </w:tc>
        <w:tc>
          <w:tcPr>
            <w:tcW w:w="1596" w:type="pct"/>
            <w:tcBorders>
              <w:top w:val="single" w:color="000000" w:sz="4" w:space="0"/>
              <w:left w:val="nil"/>
              <w:bottom w:val="single" w:color="000000" w:sz="4" w:space="0"/>
              <w:right w:val="single" w:color="000000" w:sz="4" w:space="0"/>
            </w:tcBorders>
            <w:noWrap w:val="0"/>
            <w:vAlign w:val="center"/>
          </w:tcPr>
          <w:p w14:paraId="3B9F42EB">
            <w:pPr>
              <w:widowControl/>
              <w:jc w:val="left"/>
              <w:rPr>
                <w:rFonts w:ascii="宋体" w:hAnsi="宋体" w:cs="Arial"/>
                <w:color w:val="auto"/>
                <w:kern w:val="0"/>
                <w:szCs w:val="21"/>
              </w:rPr>
            </w:pPr>
          </w:p>
        </w:tc>
        <w:tc>
          <w:tcPr>
            <w:tcW w:w="803" w:type="pct"/>
            <w:tcBorders>
              <w:top w:val="single" w:color="000000" w:sz="4" w:space="0"/>
              <w:left w:val="nil"/>
              <w:bottom w:val="single" w:color="000000" w:sz="4" w:space="0"/>
              <w:right w:val="single" w:color="000000" w:sz="4" w:space="0"/>
            </w:tcBorders>
            <w:noWrap w:val="0"/>
            <w:vAlign w:val="center"/>
          </w:tcPr>
          <w:p w14:paraId="1902A6BF">
            <w:pPr>
              <w:widowControl/>
              <w:jc w:val="right"/>
              <w:rPr>
                <w:rFonts w:ascii="宋体" w:hAnsi="宋体" w:cs="Arial"/>
                <w:color w:val="auto"/>
                <w:kern w:val="0"/>
                <w:szCs w:val="21"/>
              </w:rPr>
            </w:pPr>
          </w:p>
        </w:tc>
        <w:tc>
          <w:tcPr>
            <w:tcW w:w="518" w:type="pct"/>
            <w:tcBorders>
              <w:top w:val="nil"/>
              <w:left w:val="nil"/>
              <w:bottom w:val="single" w:color="000000" w:sz="4" w:space="0"/>
              <w:right w:val="single" w:color="000000" w:sz="4" w:space="0"/>
            </w:tcBorders>
            <w:noWrap w:val="0"/>
            <w:vAlign w:val="center"/>
          </w:tcPr>
          <w:p w14:paraId="23187D6E">
            <w:pPr>
              <w:widowControl/>
              <w:jc w:val="right"/>
              <w:rPr>
                <w:rFonts w:ascii="宋体" w:hAnsi="宋体" w:cs="Arial"/>
                <w:color w:val="auto"/>
                <w:kern w:val="0"/>
                <w:szCs w:val="21"/>
              </w:rPr>
            </w:pPr>
          </w:p>
        </w:tc>
        <w:tc>
          <w:tcPr>
            <w:tcW w:w="569" w:type="pct"/>
            <w:tcBorders>
              <w:top w:val="nil"/>
              <w:left w:val="nil"/>
              <w:bottom w:val="single" w:color="000000" w:sz="4" w:space="0"/>
              <w:right w:val="single" w:color="000000" w:sz="8" w:space="0"/>
            </w:tcBorders>
            <w:noWrap w:val="0"/>
            <w:vAlign w:val="center"/>
          </w:tcPr>
          <w:p w14:paraId="14AEB1E6">
            <w:pPr>
              <w:widowControl/>
              <w:jc w:val="right"/>
              <w:rPr>
                <w:rFonts w:ascii="宋体" w:hAnsi="宋体" w:cs="Arial"/>
                <w:color w:val="auto"/>
                <w:kern w:val="0"/>
                <w:szCs w:val="21"/>
              </w:rPr>
            </w:pPr>
          </w:p>
        </w:tc>
      </w:tr>
      <w:tr w14:paraId="1DB6044B">
        <w:tblPrEx>
          <w:tblCellMar>
            <w:top w:w="0" w:type="dxa"/>
            <w:left w:w="108" w:type="dxa"/>
            <w:bottom w:w="0" w:type="dxa"/>
            <w:right w:w="108" w:type="dxa"/>
          </w:tblCellMar>
        </w:tblPrEx>
        <w:trPr>
          <w:trHeight w:val="680" w:hRule="atLeast"/>
        </w:trPr>
        <w:tc>
          <w:tcPr>
            <w:tcW w:w="4431" w:type="pct"/>
            <w:gridSpan w:val="5"/>
            <w:tcBorders>
              <w:top w:val="single" w:color="000000" w:sz="4" w:space="0"/>
              <w:left w:val="single" w:color="000000" w:sz="8" w:space="0"/>
              <w:bottom w:val="single" w:color="000000" w:sz="8" w:space="0"/>
              <w:right w:val="single" w:color="000000" w:sz="4" w:space="0"/>
            </w:tcBorders>
            <w:noWrap w:val="0"/>
            <w:vAlign w:val="center"/>
          </w:tcPr>
          <w:p w14:paraId="429FFC29">
            <w:pPr>
              <w:widowControl/>
              <w:jc w:val="center"/>
              <w:rPr>
                <w:rFonts w:ascii="宋体" w:hAnsi="宋体" w:cs="Arial"/>
                <w:color w:val="auto"/>
                <w:kern w:val="0"/>
                <w:szCs w:val="21"/>
              </w:rPr>
            </w:pPr>
            <w:r>
              <w:rPr>
                <w:rFonts w:hint="eastAsia" w:ascii="宋体" w:hAnsi="宋体" w:cs="Arial"/>
                <w:color w:val="auto"/>
                <w:kern w:val="0"/>
                <w:szCs w:val="21"/>
              </w:rPr>
              <w:t>合  计</w:t>
            </w:r>
          </w:p>
        </w:tc>
        <w:tc>
          <w:tcPr>
            <w:tcW w:w="569" w:type="pct"/>
            <w:tcBorders>
              <w:top w:val="nil"/>
              <w:left w:val="nil"/>
              <w:bottom w:val="single" w:color="000000" w:sz="8" w:space="0"/>
              <w:right w:val="single" w:color="000000" w:sz="8" w:space="0"/>
            </w:tcBorders>
            <w:noWrap w:val="0"/>
            <w:vAlign w:val="center"/>
          </w:tcPr>
          <w:p w14:paraId="68911973">
            <w:pPr>
              <w:widowControl/>
              <w:jc w:val="right"/>
              <w:rPr>
                <w:rFonts w:ascii="宋体" w:hAnsi="宋体" w:cs="Arial"/>
                <w:color w:val="auto"/>
                <w:kern w:val="0"/>
                <w:szCs w:val="21"/>
              </w:rPr>
            </w:pPr>
          </w:p>
        </w:tc>
      </w:tr>
    </w:tbl>
    <w:p w14:paraId="1D8BEEDD">
      <w:pPr>
        <w:spacing w:before="48" w:beforeLines="20" w:after="48" w:afterLines="20" w:line="540" w:lineRule="exact"/>
        <w:rPr>
          <w:rFonts w:hint="eastAsia" w:ascii="宋体" w:hAnsi="宋体"/>
          <w:color w:val="auto"/>
          <w:sz w:val="24"/>
          <w:szCs w:val="22"/>
        </w:rPr>
        <w:sectPr>
          <w:headerReference r:id="rId11" w:type="first"/>
          <w:footerReference r:id="rId13" w:type="first"/>
          <w:headerReference r:id="rId9" w:type="default"/>
          <w:headerReference r:id="rId10" w:type="even"/>
          <w:footerReference r:id="rId12" w:type="even"/>
          <w:footnotePr>
            <w:numFmt w:val="decimalEnclosedCircleChinese"/>
            <w:numRestart w:val="eachPage"/>
          </w:footnotePr>
          <w:pgSz w:w="11907" w:h="16840"/>
          <w:pgMar w:top="1418" w:right="1134" w:bottom="1134" w:left="1418" w:header="680" w:footer="907" w:gutter="0"/>
          <w:cols w:space="720" w:num="1"/>
          <w:docGrid w:linePitch="286" w:charSpace="0"/>
        </w:sectPr>
      </w:pPr>
    </w:p>
    <w:p w14:paraId="4DD80302">
      <w:pPr>
        <w:jc w:val="center"/>
        <w:outlineLvl w:val="2"/>
        <w:rPr>
          <w:rFonts w:hint="eastAsia"/>
          <w:color w:val="auto"/>
          <w:sz w:val="28"/>
          <w:szCs w:val="28"/>
        </w:rPr>
      </w:pPr>
      <w:bookmarkStart w:id="522" w:name="_Toc535241141"/>
      <w:r>
        <w:rPr>
          <w:rFonts w:hint="eastAsia"/>
          <w:color w:val="auto"/>
          <w:sz w:val="28"/>
          <w:szCs w:val="28"/>
        </w:rPr>
        <w:t>（十五）材料（工程设备）暂估单价一览表</w:t>
      </w:r>
      <w:bookmarkEnd w:id="522"/>
    </w:p>
    <w:p w14:paraId="1909564F">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1276"/>
        <w:gridCol w:w="4200"/>
        <w:gridCol w:w="1588"/>
        <w:gridCol w:w="1532"/>
        <w:gridCol w:w="1713"/>
      </w:tblGrid>
      <w:tr w14:paraId="7951C468">
        <w:tblPrEx>
          <w:tblCellMar>
            <w:top w:w="0" w:type="dxa"/>
            <w:left w:w="108" w:type="dxa"/>
            <w:bottom w:w="0" w:type="dxa"/>
            <w:right w:w="108" w:type="dxa"/>
          </w:tblCellMar>
        </w:tblPrEx>
        <w:trPr>
          <w:trHeight w:val="690" w:hRule="atLeast"/>
        </w:trPr>
        <w:tc>
          <w:tcPr>
            <w:tcW w:w="619"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D7F09C5">
            <w:pPr>
              <w:widowControl/>
              <w:jc w:val="center"/>
              <w:rPr>
                <w:rFonts w:ascii="黑体" w:hAnsi="黑体" w:eastAsia="黑体" w:cs="Arial"/>
                <w:color w:val="auto"/>
                <w:kern w:val="0"/>
                <w:szCs w:val="21"/>
              </w:rPr>
            </w:pPr>
            <w:bookmarkStart w:id="523" w:name="_Toc44996373"/>
            <w:bookmarkStart w:id="524" w:name="_Toc17215711"/>
            <w:r>
              <w:rPr>
                <w:rFonts w:hint="eastAsia" w:ascii="黑体" w:hAnsi="黑体" w:eastAsia="黑体" w:cs="Arial"/>
                <w:color w:val="auto"/>
                <w:kern w:val="0"/>
                <w:szCs w:val="21"/>
              </w:rPr>
              <w:t>序号</w:t>
            </w:r>
          </w:p>
        </w:tc>
        <w:tc>
          <w:tcPr>
            <w:tcW w:w="2037" w:type="pct"/>
            <w:tcBorders>
              <w:top w:val="single" w:color="000000" w:sz="8" w:space="0"/>
              <w:left w:val="nil"/>
              <w:bottom w:val="single" w:color="000000" w:sz="4" w:space="0"/>
              <w:right w:val="single" w:color="000000" w:sz="4" w:space="0"/>
            </w:tcBorders>
            <w:shd w:val="clear" w:color="FFFFFF" w:fill="FFFFFF"/>
            <w:noWrap w:val="0"/>
            <w:vAlign w:val="center"/>
          </w:tcPr>
          <w:p w14:paraId="75002DE1">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材料(工程设备)名称、规格、型号</w:t>
            </w:r>
          </w:p>
        </w:tc>
        <w:tc>
          <w:tcPr>
            <w:tcW w:w="770" w:type="pct"/>
            <w:tcBorders>
              <w:top w:val="single" w:color="000000" w:sz="8" w:space="0"/>
              <w:left w:val="nil"/>
              <w:bottom w:val="single" w:color="000000" w:sz="4" w:space="0"/>
              <w:right w:val="single" w:color="000000" w:sz="4" w:space="0"/>
            </w:tcBorders>
            <w:shd w:val="clear" w:color="FFFFFF" w:fill="FFFFFF"/>
            <w:noWrap w:val="0"/>
            <w:vAlign w:val="center"/>
          </w:tcPr>
          <w:p w14:paraId="4CFC2284">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计量单位</w:t>
            </w:r>
          </w:p>
        </w:tc>
        <w:tc>
          <w:tcPr>
            <w:tcW w:w="743" w:type="pct"/>
            <w:tcBorders>
              <w:top w:val="single" w:color="000000" w:sz="8" w:space="0"/>
              <w:left w:val="nil"/>
              <w:bottom w:val="single" w:color="000000" w:sz="4" w:space="0"/>
              <w:right w:val="single" w:color="000000" w:sz="4" w:space="0"/>
            </w:tcBorders>
            <w:shd w:val="clear" w:color="FFFFFF" w:fill="FFFFFF"/>
            <w:noWrap w:val="0"/>
            <w:vAlign w:val="center"/>
          </w:tcPr>
          <w:p w14:paraId="6247F2D0">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数量</w:t>
            </w:r>
          </w:p>
        </w:tc>
        <w:tc>
          <w:tcPr>
            <w:tcW w:w="831" w:type="pct"/>
            <w:tcBorders>
              <w:top w:val="single" w:color="000000" w:sz="8" w:space="0"/>
              <w:left w:val="nil"/>
              <w:bottom w:val="single" w:color="000000" w:sz="4" w:space="0"/>
              <w:right w:val="single" w:color="000000" w:sz="8" w:space="0"/>
            </w:tcBorders>
            <w:shd w:val="clear" w:color="FFFFFF" w:fill="FFFFFF"/>
            <w:noWrap w:val="0"/>
            <w:vAlign w:val="center"/>
          </w:tcPr>
          <w:p w14:paraId="710BA03A">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单价(元)</w:t>
            </w:r>
          </w:p>
        </w:tc>
      </w:tr>
      <w:tr w14:paraId="69AEDAF3">
        <w:tblPrEx>
          <w:tblCellMar>
            <w:top w:w="0" w:type="dxa"/>
            <w:left w:w="108" w:type="dxa"/>
            <w:bottom w:w="0" w:type="dxa"/>
            <w:right w:w="108" w:type="dxa"/>
          </w:tblCellMar>
        </w:tblPrEx>
        <w:trPr>
          <w:trHeight w:val="680" w:hRule="atLeast"/>
        </w:trPr>
        <w:tc>
          <w:tcPr>
            <w:tcW w:w="619" w:type="pct"/>
            <w:tcBorders>
              <w:top w:val="nil"/>
              <w:left w:val="single" w:color="000000" w:sz="8" w:space="0"/>
              <w:bottom w:val="single" w:color="000000" w:sz="4" w:space="0"/>
              <w:right w:val="single" w:color="000000" w:sz="4" w:space="0"/>
            </w:tcBorders>
            <w:noWrap w:val="0"/>
            <w:vAlign w:val="center"/>
          </w:tcPr>
          <w:p w14:paraId="6F55201D">
            <w:pPr>
              <w:widowControl/>
              <w:jc w:val="center"/>
              <w:rPr>
                <w:rFonts w:ascii="宋体" w:hAnsi="宋体" w:cs="Arial"/>
                <w:color w:val="auto"/>
                <w:kern w:val="0"/>
                <w:szCs w:val="21"/>
              </w:rPr>
            </w:pPr>
          </w:p>
        </w:tc>
        <w:tc>
          <w:tcPr>
            <w:tcW w:w="2037" w:type="pct"/>
            <w:tcBorders>
              <w:top w:val="single" w:color="000000" w:sz="4" w:space="0"/>
              <w:left w:val="nil"/>
              <w:bottom w:val="single" w:color="000000" w:sz="4" w:space="0"/>
              <w:right w:val="single" w:color="000000" w:sz="4" w:space="0"/>
            </w:tcBorders>
            <w:noWrap w:val="0"/>
            <w:vAlign w:val="center"/>
          </w:tcPr>
          <w:p w14:paraId="47E5216F">
            <w:pPr>
              <w:widowControl/>
              <w:jc w:val="left"/>
              <w:rPr>
                <w:rFonts w:ascii="宋体" w:hAnsi="宋体" w:cs="Arial"/>
                <w:color w:val="auto"/>
                <w:kern w:val="0"/>
                <w:szCs w:val="21"/>
              </w:rPr>
            </w:pPr>
          </w:p>
        </w:tc>
        <w:tc>
          <w:tcPr>
            <w:tcW w:w="770" w:type="pct"/>
            <w:tcBorders>
              <w:top w:val="single" w:color="000000" w:sz="4" w:space="0"/>
              <w:left w:val="nil"/>
              <w:bottom w:val="single" w:color="000000" w:sz="4" w:space="0"/>
              <w:right w:val="single" w:color="000000" w:sz="4" w:space="0"/>
            </w:tcBorders>
            <w:noWrap w:val="0"/>
            <w:vAlign w:val="center"/>
          </w:tcPr>
          <w:p w14:paraId="4B3F30CB">
            <w:pPr>
              <w:widowControl/>
              <w:jc w:val="center"/>
              <w:rPr>
                <w:rFonts w:ascii="宋体" w:hAnsi="宋体" w:cs="Arial"/>
                <w:color w:val="auto"/>
                <w:kern w:val="0"/>
                <w:szCs w:val="21"/>
              </w:rPr>
            </w:pPr>
          </w:p>
        </w:tc>
        <w:tc>
          <w:tcPr>
            <w:tcW w:w="743" w:type="pct"/>
            <w:tcBorders>
              <w:top w:val="single" w:color="000000" w:sz="4" w:space="0"/>
              <w:left w:val="nil"/>
              <w:bottom w:val="single" w:color="000000" w:sz="4" w:space="0"/>
              <w:right w:val="single" w:color="000000" w:sz="4" w:space="0"/>
            </w:tcBorders>
            <w:noWrap w:val="0"/>
            <w:vAlign w:val="center"/>
          </w:tcPr>
          <w:p w14:paraId="3FDBDDED">
            <w:pPr>
              <w:widowControl/>
              <w:jc w:val="right"/>
              <w:rPr>
                <w:rFonts w:ascii="宋体" w:hAnsi="宋体" w:cs="Arial"/>
                <w:color w:val="auto"/>
                <w:kern w:val="0"/>
                <w:szCs w:val="21"/>
              </w:rPr>
            </w:pPr>
          </w:p>
        </w:tc>
        <w:tc>
          <w:tcPr>
            <w:tcW w:w="831" w:type="pct"/>
            <w:tcBorders>
              <w:top w:val="nil"/>
              <w:left w:val="nil"/>
              <w:bottom w:val="single" w:color="000000" w:sz="4" w:space="0"/>
              <w:right w:val="single" w:color="000000" w:sz="8" w:space="0"/>
            </w:tcBorders>
            <w:noWrap w:val="0"/>
            <w:vAlign w:val="center"/>
          </w:tcPr>
          <w:p w14:paraId="5C6F4B66">
            <w:pPr>
              <w:widowControl/>
              <w:jc w:val="right"/>
              <w:rPr>
                <w:rFonts w:ascii="宋体" w:hAnsi="宋体" w:cs="Arial"/>
                <w:color w:val="auto"/>
                <w:kern w:val="0"/>
                <w:szCs w:val="21"/>
              </w:rPr>
            </w:pPr>
          </w:p>
        </w:tc>
      </w:tr>
      <w:tr w14:paraId="16781CB6">
        <w:tblPrEx>
          <w:tblCellMar>
            <w:top w:w="0" w:type="dxa"/>
            <w:left w:w="108" w:type="dxa"/>
            <w:bottom w:w="0" w:type="dxa"/>
            <w:right w:w="108" w:type="dxa"/>
          </w:tblCellMar>
        </w:tblPrEx>
        <w:trPr>
          <w:trHeight w:val="680" w:hRule="atLeast"/>
        </w:trPr>
        <w:tc>
          <w:tcPr>
            <w:tcW w:w="619" w:type="pct"/>
            <w:tcBorders>
              <w:top w:val="nil"/>
              <w:left w:val="single" w:color="000000" w:sz="8" w:space="0"/>
              <w:bottom w:val="single" w:color="000000" w:sz="4" w:space="0"/>
              <w:right w:val="single" w:color="000000" w:sz="4" w:space="0"/>
            </w:tcBorders>
            <w:noWrap w:val="0"/>
            <w:vAlign w:val="center"/>
          </w:tcPr>
          <w:p w14:paraId="29ED8C0F">
            <w:pPr>
              <w:widowControl/>
              <w:jc w:val="center"/>
              <w:rPr>
                <w:rFonts w:ascii="宋体" w:hAnsi="宋体" w:cs="Arial"/>
                <w:color w:val="auto"/>
                <w:kern w:val="0"/>
                <w:szCs w:val="21"/>
              </w:rPr>
            </w:pPr>
          </w:p>
        </w:tc>
        <w:tc>
          <w:tcPr>
            <w:tcW w:w="2037" w:type="pct"/>
            <w:tcBorders>
              <w:top w:val="single" w:color="000000" w:sz="4" w:space="0"/>
              <w:left w:val="nil"/>
              <w:bottom w:val="single" w:color="000000" w:sz="4" w:space="0"/>
              <w:right w:val="single" w:color="000000" w:sz="4" w:space="0"/>
            </w:tcBorders>
            <w:noWrap w:val="0"/>
            <w:vAlign w:val="center"/>
          </w:tcPr>
          <w:p w14:paraId="444F00DA">
            <w:pPr>
              <w:widowControl/>
              <w:jc w:val="left"/>
              <w:rPr>
                <w:rFonts w:ascii="宋体" w:hAnsi="宋体" w:cs="Arial"/>
                <w:color w:val="auto"/>
                <w:kern w:val="0"/>
                <w:szCs w:val="21"/>
              </w:rPr>
            </w:pPr>
          </w:p>
        </w:tc>
        <w:tc>
          <w:tcPr>
            <w:tcW w:w="770" w:type="pct"/>
            <w:tcBorders>
              <w:top w:val="single" w:color="000000" w:sz="4" w:space="0"/>
              <w:left w:val="nil"/>
              <w:bottom w:val="single" w:color="000000" w:sz="4" w:space="0"/>
              <w:right w:val="single" w:color="000000" w:sz="4" w:space="0"/>
            </w:tcBorders>
            <w:noWrap w:val="0"/>
            <w:vAlign w:val="center"/>
          </w:tcPr>
          <w:p w14:paraId="652EF3CA">
            <w:pPr>
              <w:widowControl/>
              <w:jc w:val="center"/>
              <w:rPr>
                <w:rFonts w:ascii="宋体" w:hAnsi="宋体" w:cs="Arial"/>
                <w:color w:val="auto"/>
                <w:kern w:val="0"/>
                <w:szCs w:val="21"/>
              </w:rPr>
            </w:pPr>
          </w:p>
        </w:tc>
        <w:tc>
          <w:tcPr>
            <w:tcW w:w="743" w:type="pct"/>
            <w:tcBorders>
              <w:top w:val="single" w:color="000000" w:sz="4" w:space="0"/>
              <w:left w:val="nil"/>
              <w:bottom w:val="single" w:color="000000" w:sz="4" w:space="0"/>
              <w:right w:val="single" w:color="000000" w:sz="4" w:space="0"/>
            </w:tcBorders>
            <w:noWrap w:val="0"/>
            <w:vAlign w:val="center"/>
          </w:tcPr>
          <w:p w14:paraId="54C5EEAC">
            <w:pPr>
              <w:widowControl/>
              <w:jc w:val="right"/>
              <w:rPr>
                <w:rFonts w:ascii="宋体" w:hAnsi="宋体" w:cs="Arial"/>
                <w:color w:val="auto"/>
                <w:kern w:val="0"/>
                <w:szCs w:val="21"/>
              </w:rPr>
            </w:pPr>
          </w:p>
        </w:tc>
        <w:tc>
          <w:tcPr>
            <w:tcW w:w="831" w:type="pct"/>
            <w:tcBorders>
              <w:top w:val="nil"/>
              <w:left w:val="nil"/>
              <w:bottom w:val="single" w:color="000000" w:sz="4" w:space="0"/>
              <w:right w:val="single" w:color="000000" w:sz="8" w:space="0"/>
            </w:tcBorders>
            <w:noWrap w:val="0"/>
            <w:vAlign w:val="center"/>
          </w:tcPr>
          <w:p w14:paraId="680ECB05">
            <w:pPr>
              <w:widowControl/>
              <w:jc w:val="right"/>
              <w:rPr>
                <w:rFonts w:ascii="宋体" w:hAnsi="宋体" w:cs="Arial"/>
                <w:color w:val="auto"/>
                <w:kern w:val="0"/>
                <w:szCs w:val="21"/>
              </w:rPr>
            </w:pPr>
          </w:p>
        </w:tc>
      </w:tr>
      <w:tr w14:paraId="46A63970">
        <w:tblPrEx>
          <w:tblCellMar>
            <w:top w:w="0" w:type="dxa"/>
            <w:left w:w="108" w:type="dxa"/>
            <w:bottom w:w="0" w:type="dxa"/>
            <w:right w:w="108" w:type="dxa"/>
          </w:tblCellMar>
        </w:tblPrEx>
        <w:trPr>
          <w:trHeight w:val="680" w:hRule="atLeast"/>
        </w:trPr>
        <w:tc>
          <w:tcPr>
            <w:tcW w:w="619" w:type="pct"/>
            <w:tcBorders>
              <w:top w:val="nil"/>
              <w:left w:val="single" w:color="000000" w:sz="8" w:space="0"/>
              <w:bottom w:val="single" w:color="000000" w:sz="4" w:space="0"/>
              <w:right w:val="single" w:color="000000" w:sz="4" w:space="0"/>
            </w:tcBorders>
            <w:noWrap w:val="0"/>
            <w:vAlign w:val="center"/>
          </w:tcPr>
          <w:p w14:paraId="39712183">
            <w:pPr>
              <w:widowControl/>
              <w:jc w:val="center"/>
              <w:rPr>
                <w:rFonts w:ascii="宋体" w:hAnsi="宋体" w:cs="Arial"/>
                <w:color w:val="auto"/>
                <w:kern w:val="0"/>
                <w:szCs w:val="21"/>
              </w:rPr>
            </w:pPr>
          </w:p>
        </w:tc>
        <w:tc>
          <w:tcPr>
            <w:tcW w:w="2037" w:type="pct"/>
            <w:tcBorders>
              <w:top w:val="single" w:color="000000" w:sz="4" w:space="0"/>
              <w:left w:val="nil"/>
              <w:bottom w:val="single" w:color="000000" w:sz="4" w:space="0"/>
              <w:right w:val="single" w:color="000000" w:sz="4" w:space="0"/>
            </w:tcBorders>
            <w:noWrap w:val="0"/>
            <w:vAlign w:val="center"/>
          </w:tcPr>
          <w:p w14:paraId="7FB650A8">
            <w:pPr>
              <w:widowControl/>
              <w:jc w:val="left"/>
              <w:rPr>
                <w:rFonts w:ascii="宋体" w:hAnsi="宋体" w:cs="Arial"/>
                <w:color w:val="auto"/>
                <w:kern w:val="0"/>
                <w:szCs w:val="21"/>
              </w:rPr>
            </w:pPr>
          </w:p>
        </w:tc>
        <w:tc>
          <w:tcPr>
            <w:tcW w:w="770" w:type="pct"/>
            <w:tcBorders>
              <w:top w:val="single" w:color="000000" w:sz="4" w:space="0"/>
              <w:left w:val="nil"/>
              <w:bottom w:val="single" w:color="000000" w:sz="4" w:space="0"/>
              <w:right w:val="single" w:color="000000" w:sz="4" w:space="0"/>
            </w:tcBorders>
            <w:noWrap w:val="0"/>
            <w:vAlign w:val="center"/>
          </w:tcPr>
          <w:p w14:paraId="642439C1">
            <w:pPr>
              <w:widowControl/>
              <w:jc w:val="center"/>
              <w:rPr>
                <w:rFonts w:ascii="宋体" w:hAnsi="宋体" w:cs="Arial"/>
                <w:color w:val="auto"/>
                <w:kern w:val="0"/>
                <w:szCs w:val="21"/>
              </w:rPr>
            </w:pPr>
          </w:p>
        </w:tc>
        <w:tc>
          <w:tcPr>
            <w:tcW w:w="743" w:type="pct"/>
            <w:tcBorders>
              <w:top w:val="single" w:color="000000" w:sz="4" w:space="0"/>
              <w:left w:val="nil"/>
              <w:bottom w:val="single" w:color="000000" w:sz="4" w:space="0"/>
              <w:right w:val="single" w:color="000000" w:sz="4" w:space="0"/>
            </w:tcBorders>
            <w:noWrap w:val="0"/>
            <w:vAlign w:val="center"/>
          </w:tcPr>
          <w:p w14:paraId="79955D9A">
            <w:pPr>
              <w:widowControl/>
              <w:jc w:val="right"/>
              <w:rPr>
                <w:rFonts w:ascii="宋体" w:hAnsi="宋体" w:cs="Arial"/>
                <w:color w:val="auto"/>
                <w:kern w:val="0"/>
                <w:szCs w:val="21"/>
              </w:rPr>
            </w:pPr>
          </w:p>
        </w:tc>
        <w:tc>
          <w:tcPr>
            <w:tcW w:w="831" w:type="pct"/>
            <w:tcBorders>
              <w:top w:val="nil"/>
              <w:left w:val="nil"/>
              <w:bottom w:val="single" w:color="000000" w:sz="4" w:space="0"/>
              <w:right w:val="single" w:color="000000" w:sz="8" w:space="0"/>
            </w:tcBorders>
            <w:noWrap w:val="0"/>
            <w:vAlign w:val="center"/>
          </w:tcPr>
          <w:p w14:paraId="16FF3D76">
            <w:pPr>
              <w:widowControl/>
              <w:jc w:val="right"/>
              <w:rPr>
                <w:rFonts w:ascii="宋体" w:hAnsi="宋体" w:cs="Arial"/>
                <w:color w:val="auto"/>
                <w:kern w:val="0"/>
                <w:szCs w:val="21"/>
              </w:rPr>
            </w:pPr>
          </w:p>
        </w:tc>
      </w:tr>
      <w:tr w14:paraId="6D9AC95F">
        <w:tblPrEx>
          <w:tblCellMar>
            <w:top w:w="0" w:type="dxa"/>
            <w:left w:w="108" w:type="dxa"/>
            <w:bottom w:w="0" w:type="dxa"/>
            <w:right w:w="108" w:type="dxa"/>
          </w:tblCellMar>
        </w:tblPrEx>
        <w:trPr>
          <w:trHeight w:val="680" w:hRule="atLeast"/>
        </w:trPr>
        <w:tc>
          <w:tcPr>
            <w:tcW w:w="619" w:type="pct"/>
            <w:tcBorders>
              <w:top w:val="nil"/>
              <w:left w:val="single" w:color="000000" w:sz="8" w:space="0"/>
              <w:bottom w:val="single" w:color="000000" w:sz="4" w:space="0"/>
              <w:right w:val="single" w:color="000000" w:sz="4" w:space="0"/>
            </w:tcBorders>
            <w:noWrap w:val="0"/>
            <w:vAlign w:val="center"/>
          </w:tcPr>
          <w:p w14:paraId="66C2AB5C">
            <w:pPr>
              <w:widowControl/>
              <w:jc w:val="center"/>
              <w:rPr>
                <w:rFonts w:hint="eastAsia" w:ascii="宋体" w:hAnsi="宋体" w:cs="Arial"/>
                <w:color w:val="auto"/>
                <w:kern w:val="0"/>
                <w:szCs w:val="21"/>
              </w:rPr>
            </w:pPr>
          </w:p>
        </w:tc>
        <w:tc>
          <w:tcPr>
            <w:tcW w:w="2037" w:type="pct"/>
            <w:tcBorders>
              <w:top w:val="single" w:color="000000" w:sz="4" w:space="0"/>
              <w:left w:val="nil"/>
              <w:bottom w:val="single" w:color="000000" w:sz="4" w:space="0"/>
              <w:right w:val="single" w:color="000000" w:sz="4" w:space="0"/>
            </w:tcBorders>
            <w:noWrap w:val="0"/>
            <w:vAlign w:val="center"/>
          </w:tcPr>
          <w:p w14:paraId="7A2F2CFE">
            <w:pPr>
              <w:widowControl/>
              <w:jc w:val="left"/>
              <w:rPr>
                <w:rFonts w:hint="eastAsia" w:ascii="宋体" w:hAnsi="宋体" w:cs="Arial"/>
                <w:color w:val="auto"/>
                <w:kern w:val="0"/>
                <w:szCs w:val="21"/>
              </w:rPr>
            </w:pPr>
          </w:p>
        </w:tc>
        <w:tc>
          <w:tcPr>
            <w:tcW w:w="770" w:type="pct"/>
            <w:tcBorders>
              <w:top w:val="single" w:color="000000" w:sz="4" w:space="0"/>
              <w:left w:val="nil"/>
              <w:bottom w:val="single" w:color="000000" w:sz="4" w:space="0"/>
              <w:right w:val="single" w:color="000000" w:sz="4" w:space="0"/>
            </w:tcBorders>
            <w:noWrap w:val="0"/>
            <w:vAlign w:val="center"/>
          </w:tcPr>
          <w:p w14:paraId="29D5B5D5">
            <w:pPr>
              <w:widowControl/>
              <w:jc w:val="center"/>
              <w:rPr>
                <w:rFonts w:hint="eastAsia" w:ascii="宋体" w:hAnsi="宋体" w:cs="Arial"/>
                <w:color w:val="auto"/>
                <w:kern w:val="0"/>
                <w:szCs w:val="21"/>
              </w:rPr>
            </w:pPr>
          </w:p>
        </w:tc>
        <w:tc>
          <w:tcPr>
            <w:tcW w:w="743" w:type="pct"/>
            <w:tcBorders>
              <w:top w:val="single" w:color="000000" w:sz="4" w:space="0"/>
              <w:left w:val="nil"/>
              <w:bottom w:val="single" w:color="000000" w:sz="4" w:space="0"/>
              <w:right w:val="single" w:color="000000" w:sz="4" w:space="0"/>
            </w:tcBorders>
            <w:noWrap w:val="0"/>
            <w:vAlign w:val="center"/>
          </w:tcPr>
          <w:p w14:paraId="7D6AAB7B">
            <w:pPr>
              <w:widowControl/>
              <w:jc w:val="right"/>
              <w:rPr>
                <w:rFonts w:hint="eastAsia" w:ascii="宋体" w:hAnsi="宋体" w:cs="Arial"/>
                <w:color w:val="auto"/>
                <w:kern w:val="0"/>
                <w:szCs w:val="21"/>
              </w:rPr>
            </w:pPr>
          </w:p>
        </w:tc>
        <w:tc>
          <w:tcPr>
            <w:tcW w:w="831" w:type="pct"/>
            <w:tcBorders>
              <w:top w:val="nil"/>
              <w:left w:val="nil"/>
              <w:bottom w:val="single" w:color="000000" w:sz="4" w:space="0"/>
              <w:right w:val="single" w:color="000000" w:sz="8" w:space="0"/>
            </w:tcBorders>
            <w:noWrap w:val="0"/>
            <w:vAlign w:val="center"/>
          </w:tcPr>
          <w:p w14:paraId="697A288D">
            <w:pPr>
              <w:widowControl/>
              <w:jc w:val="right"/>
              <w:rPr>
                <w:rFonts w:hint="eastAsia" w:ascii="宋体" w:hAnsi="宋体" w:cs="Arial"/>
                <w:color w:val="auto"/>
                <w:kern w:val="0"/>
                <w:szCs w:val="21"/>
              </w:rPr>
            </w:pPr>
          </w:p>
        </w:tc>
      </w:tr>
      <w:bookmarkEnd w:id="523"/>
      <w:bookmarkEnd w:id="524"/>
    </w:tbl>
    <w:p w14:paraId="2A2EBBC2">
      <w:pPr>
        <w:jc w:val="center"/>
        <w:rPr>
          <w:rFonts w:hint="eastAsia"/>
          <w:color w:val="auto"/>
          <w:sz w:val="28"/>
          <w:szCs w:val="28"/>
        </w:rPr>
      </w:pPr>
      <w:bookmarkStart w:id="525" w:name="_Toc535241142"/>
      <w:bookmarkStart w:id="526" w:name="_Toc171742000"/>
      <w:bookmarkStart w:id="527" w:name="_Toc17215716"/>
      <w:bookmarkStart w:id="528" w:name="_Toc171581377"/>
      <w:bookmarkStart w:id="529" w:name="_Toc171581557"/>
      <w:bookmarkStart w:id="530" w:name="_Toc44996378"/>
    </w:p>
    <w:p w14:paraId="26FCF9BC">
      <w:pPr>
        <w:jc w:val="center"/>
        <w:outlineLvl w:val="2"/>
        <w:rPr>
          <w:rFonts w:hint="eastAsia"/>
          <w:color w:val="auto"/>
          <w:sz w:val="28"/>
          <w:szCs w:val="28"/>
        </w:rPr>
      </w:pPr>
      <w:r>
        <w:rPr>
          <w:rFonts w:hint="eastAsia"/>
          <w:color w:val="auto"/>
          <w:sz w:val="28"/>
          <w:szCs w:val="28"/>
        </w:rPr>
        <w:t>（十六）发包人提供材料（工程设备）一览表</w:t>
      </w:r>
      <w:bookmarkEnd w:id="525"/>
    </w:p>
    <w:p w14:paraId="6918656F">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946"/>
        <w:gridCol w:w="3126"/>
        <w:gridCol w:w="1188"/>
        <w:gridCol w:w="1342"/>
        <w:gridCol w:w="1474"/>
        <w:gridCol w:w="1142"/>
        <w:gridCol w:w="1091"/>
      </w:tblGrid>
      <w:tr w14:paraId="35DD4F14">
        <w:tblPrEx>
          <w:tblCellMar>
            <w:top w:w="0" w:type="dxa"/>
            <w:left w:w="108" w:type="dxa"/>
            <w:bottom w:w="0" w:type="dxa"/>
            <w:right w:w="108" w:type="dxa"/>
          </w:tblCellMar>
        </w:tblPrEx>
        <w:trPr>
          <w:trHeight w:val="690" w:hRule="atLeast"/>
        </w:trPr>
        <w:tc>
          <w:tcPr>
            <w:tcW w:w="459"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60A7E0D">
            <w:pPr>
              <w:widowControl/>
              <w:jc w:val="center"/>
              <w:rPr>
                <w:rFonts w:ascii="黑体" w:hAnsi="黑体" w:eastAsia="黑体" w:cs="Arial"/>
                <w:color w:val="auto"/>
                <w:kern w:val="0"/>
                <w:szCs w:val="21"/>
              </w:rPr>
            </w:pPr>
            <w:r>
              <w:rPr>
                <w:rFonts w:hint="eastAsia" w:ascii="黑体" w:hAnsi="黑体" w:eastAsia="黑体" w:cs="Arial"/>
                <w:color w:val="auto"/>
                <w:kern w:val="0"/>
                <w:szCs w:val="21"/>
              </w:rPr>
              <w:t xml:space="preserve"> 序号</w:t>
            </w:r>
          </w:p>
        </w:tc>
        <w:tc>
          <w:tcPr>
            <w:tcW w:w="1516" w:type="pct"/>
            <w:tcBorders>
              <w:top w:val="single" w:color="000000" w:sz="8" w:space="0"/>
              <w:left w:val="nil"/>
              <w:bottom w:val="single" w:color="000000" w:sz="4" w:space="0"/>
              <w:right w:val="single" w:color="000000" w:sz="4" w:space="0"/>
            </w:tcBorders>
            <w:shd w:val="clear" w:color="FFFFFF" w:fill="FFFFFF"/>
            <w:noWrap w:val="0"/>
            <w:vAlign w:val="center"/>
          </w:tcPr>
          <w:p w14:paraId="02360F85">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材料(工程设备)名称、规格、型号</w:t>
            </w:r>
          </w:p>
        </w:tc>
        <w:tc>
          <w:tcPr>
            <w:tcW w:w="576" w:type="pct"/>
            <w:tcBorders>
              <w:top w:val="single" w:color="000000" w:sz="8" w:space="0"/>
              <w:left w:val="nil"/>
              <w:bottom w:val="single" w:color="000000" w:sz="4" w:space="0"/>
              <w:right w:val="single" w:color="000000" w:sz="4" w:space="0"/>
            </w:tcBorders>
            <w:shd w:val="clear" w:color="FFFFFF" w:fill="FFFFFF"/>
            <w:noWrap w:val="0"/>
            <w:vAlign w:val="center"/>
          </w:tcPr>
          <w:p w14:paraId="140F3A00">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计量单位</w:t>
            </w:r>
          </w:p>
        </w:tc>
        <w:tc>
          <w:tcPr>
            <w:tcW w:w="651" w:type="pct"/>
            <w:tcBorders>
              <w:top w:val="single" w:color="000000" w:sz="8" w:space="0"/>
              <w:left w:val="nil"/>
              <w:bottom w:val="single" w:color="000000" w:sz="4" w:space="0"/>
              <w:right w:val="single" w:color="000000" w:sz="4" w:space="0"/>
            </w:tcBorders>
            <w:shd w:val="clear" w:color="FFFFFF" w:fill="FFFFFF"/>
            <w:noWrap w:val="0"/>
            <w:vAlign w:val="center"/>
          </w:tcPr>
          <w:p w14:paraId="0E7BE0DA">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数量</w:t>
            </w:r>
          </w:p>
        </w:tc>
        <w:tc>
          <w:tcPr>
            <w:tcW w:w="715" w:type="pct"/>
            <w:tcBorders>
              <w:top w:val="single" w:color="000000" w:sz="8" w:space="0"/>
              <w:left w:val="nil"/>
              <w:bottom w:val="single" w:color="000000" w:sz="4" w:space="0"/>
              <w:right w:val="single" w:color="000000" w:sz="4" w:space="0"/>
            </w:tcBorders>
            <w:shd w:val="clear" w:color="FFFFFF" w:fill="FFFFFF"/>
            <w:noWrap w:val="0"/>
            <w:vAlign w:val="center"/>
          </w:tcPr>
          <w:p w14:paraId="2EA97089">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单价(元)</w:t>
            </w:r>
          </w:p>
        </w:tc>
        <w:tc>
          <w:tcPr>
            <w:tcW w:w="554" w:type="pct"/>
            <w:tcBorders>
              <w:top w:val="single" w:color="000000" w:sz="8" w:space="0"/>
              <w:left w:val="nil"/>
              <w:bottom w:val="single" w:color="000000" w:sz="4" w:space="0"/>
              <w:right w:val="single" w:color="000000" w:sz="4" w:space="0"/>
            </w:tcBorders>
            <w:shd w:val="clear" w:color="FFFFFF" w:fill="FFFFFF"/>
            <w:noWrap w:val="0"/>
            <w:vAlign w:val="center"/>
          </w:tcPr>
          <w:p w14:paraId="650201E1">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合价(元)</w:t>
            </w:r>
          </w:p>
        </w:tc>
        <w:tc>
          <w:tcPr>
            <w:tcW w:w="529" w:type="pct"/>
            <w:tcBorders>
              <w:top w:val="single" w:color="000000" w:sz="8" w:space="0"/>
              <w:left w:val="nil"/>
              <w:bottom w:val="single" w:color="000000" w:sz="4" w:space="0"/>
              <w:right w:val="single" w:color="000000" w:sz="8" w:space="0"/>
            </w:tcBorders>
            <w:shd w:val="clear" w:color="FFFFFF" w:fill="FFFFFF"/>
            <w:noWrap w:val="0"/>
            <w:vAlign w:val="center"/>
          </w:tcPr>
          <w:p w14:paraId="771D0212">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备注</w:t>
            </w:r>
          </w:p>
        </w:tc>
      </w:tr>
      <w:tr w14:paraId="145EB1B1">
        <w:tblPrEx>
          <w:tblCellMar>
            <w:top w:w="0" w:type="dxa"/>
            <w:left w:w="108" w:type="dxa"/>
            <w:bottom w:w="0" w:type="dxa"/>
            <w:right w:w="108" w:type="dxa"/>
          </w:tblCellMar>
        </w:tblPrEx>
        <w:trPr>
          <w:trHeight w:val="680" w:hRule="atLeast"/>
        </w:trPr>
        <w:tc>
          <w:tcPr>
            <w:tcW w:w="459" w:type="pct"/>
            <w:tcBorders>
              <w:top w:val="nil"/>
              <w:left w:val="single" w:color="000000" w:sz="8" w:space="0"/>
              <w:bottom w:val="single" w:color="000000" w:sz="4" w:space="0"/>
              <w:right w:val="single" w:color="000000" w:sz="4" w:space="0"/>
            </w:tcBorders>
            <w:noWrap w:val="0"/>
            <w:vAlign w:val="center"/>
          </w:tcPr>
          <w:p w14:paraId="0C94FC27">
            <w:pPr>
              <w:widowControl/>
              <w:jc w:val="center"/>
              <w:rPr>
                <w:rFonts w:ascii="宋体" w:hAnsi="宋体" w:cs="Arial"/>
                <w:color w:val="auto"/>
                <w:kern w:val="0"/>
                <w:szCs w:val="21"/>
              </w:rPr>
            </w:pPr>
          </w:p>
        </w:tc>
        <w:tc>
          <w:tcPr>
            <w:tcW w:w="1516" w:type="pct"/>
            <w:tcBorders>
              <w:top w:val="single" w:color="000000" w:sz="4" w:space="0"/>
              <w:left w:val="nil"/>
              <w:bottom w:val="single" w:color="000000" w:sz="4" w:space="0"/>
              <w:right w:val="single" w:color="000000" w:sz="4" w:space="0"/>
            </w:tcBorders>
            <w:noWrap w:val="0"/>
            <w:vAlign w:val="center"/>
          </w:tcPr>
          <w:p w14:paraId="6378D911">
            <w:pPr>
              <w:widowControl/>
              <w:jc w:val="left"/>
              <w:rPr>
                <w:rFonts w:ascii="宋体" w:hAnsi="宋体" w:cs="Arial"/>
                <w:color w:val="auto"/>
                <w:kern w:val="0"/>
                <w:szCs w:val="21"/>
              </w:rPr>
            </w:pPr>
          </w:p>
        </w:tc>
        <w:tc>
          <w:tcPr>
            <w:tcW w:w="576" w:type="pct"/>
            <w:tcBorders>
              <w:top w:val="nil"/>
              <w:left w:val="nil"/>
              <w:bottom w:val="single" w:color="000000" w:sz="4" w:space="0"/>
              <w:right w:val="single" w:color="000000" w:sz="4" w:space="0"/>
            </w:tcBorders>
            <w:noWrap w:val="0"/>
            <w:vAlign w:val="center"/>
          </w:tcPr>
          <w:p w14:paraId="11D6B8D9">
            <w:pPr>
              <w:widowControl/>
              <w:jc w:val="center"/>
              <w:rPr>
                <w:rFonts w:ascii="宋体" w:hAnsi="宋体" w:cs="Arial"/>
                <w:color w:val="auto"/>
                <w:kern w:val="0"/>
                <w:szCs w:val="21"/>
              </w:rPr>
            </w:pPr>
          </w:p>
        </w:tc>
        <w:tc>
          <w:tcPr>
            <w:tcW w:w="651" w:type="pct"/>
            <w:tcBorders>
              <w:top w:val="single" w:color="000000" w:sz="4" w:space="0"/>
              <w:left w:val="nil"/>
              <w:bottom w:val="single" w:color="000000" w:sz="4" w:space="0"/>
              <w:right w:val="single" w:color="000000" w:sz="4" w:space="0"/>
            </w:tcBorders>
            <w:noWrap w:val="0"/>
            <w:vAlign w:val="center"/>
          </w:tcPr>
          <w:p w14:paraId="487A13DC">
            <w:pPr>
              <w:widowControl/>
              <w:jc w:val="right"/>
              <w:rPr>
                <w:rFonts w:ascii="宋体" w:hAnsi="宋体" w:cs="Arial"/>
                <w:color w:val="auto"/>
                <w:kern w:val="0"/>
                <w:szCs w:val="21"/>
              </w:rPr>
            </w:pPr>
          </w:p>
        </w:tc>
        <w:tc>
          <w:tcPr>
            <w:tcW w:w="715" w:type="pct"/>
            <w:tcBorders>
              <w:top w:val="single" w:color="000000" w:sz="4" w:space="0"/>
              <w:left w:val="nil"/>
              <w:bottom w:val="single" w:color="000000" w:sz="4" w:space="0"/>
              <w:right w:val="single" w:color="000000" w:sz="4" w:space="0"/>
            </w:tcBorders>
            <w:noWrap w:val="0"/>
            <w:vAlign w:val="center"/>
          </w:tcPr>
          <w:p w14:paraId="34381EAC">
            <w:pPr>
              <w:widowControl/>
              <w:jc w:val="right"/>
              <w:rPr>
                <w:rFonts w:ascii="宋体" w:hAnsi="宋体" w:cs="Arial"/>
                <w:color w:val="auto"/>
                <w:kern w:val="0"/>
                <w:szCs w:val="21"/>
              </w:rPr>
            </w:pPr>
          </w:p>
        </w:tc>
        <w:tc>
          <w:tcPr>
            <w:tcW w:w="554" w:type="pct"/>
            <w:tcBorders>
              <w:top w:val="nil"/>
              <w:left w:val="nil"/>
              <w:bottom w:val="single" w:color="000000" w:sz="4" w:space="0"/>
              <w:right w:val="single" w:color="000000" w:sz="4" w:space="0"/>
            </w:tcBorders>
            <w:noWrap w:val="0"/>
            <w:vAlign w:val="center"/>
          </w:tcPr>
          <w:p w14:paraId="4564B638">
            <w:pPr>
              <w:widowControl/>
              <w:jc w:val="right"/>
              <w:rPr>
                <w:rFonts w:ascii="宋体" w:hAnsi="宋体" w:cs="Arial"/>
                <w:color w:val="auto"/>
                <w:kern w:val="0"/>
                <w:szCs w:val="21"/>
              </w:rPr>
            </w:pPr>
          </w:p>
        </w:tc>
        <w:tc>
          <w:tcPr>
            <w:tcW w:w="529" w:type="pct"/>
            <w:tcBorders>
              <w:top w:val="nil"/>
              <w:left w:val="nil"/>
              <w:bottom w:val="single" w:color="000000" w:sz="4" w:space="0"/>
              <w:right w:val="single" w:color="000000" w:sz="8" w:space="0"/>
            </w:tcBorders>
            <w:noWrap w:val="0"/>
            <w:vAlign w:val="center"/>
          </w:tcPr>
          <w:p w14:paraId="51A6427D">
            <w:pPr>
              <w:widowControl/>
              <w:jc w:val="left"/>
              <w:rPr>
                <w:rFonts w:ascii="宋体" w:hAnsi="宋体" w:cs="Arial"/>
                <w:color w:val="auto"/>
                <w:kern w:val="0"/>
                <w:szCs w:val="21"/>
              </w:rPr>
            </w:pPr>
          </w:p>
        </w:tc>
      </w:tr>
      <w:tr w14:paraId="0AB35DC8">
        <w:tblPrEx>
          <w:tblCellMar>
            <w:top w:w="0" w:type="dxa"/>
            <w:left w:w="108" w:type="dxa"/>
            <w:bottom w:w="0" w:type="dxa"/>
            <w:right w:w="108" w:type="dxa"/>
          </w:tblCellMar>
        </w:tblPrEx>
        <w:trPr>
          <w:trHeight w:val="680" w:hRule="atLeast"/>
        </w:trPr>
        <w:tc>
          <w:tcPr>
            <w:tcW w:w="459" w:type="pct"/>
            <w:tcBorders>
              <w:top w:val="nil"/>
              <w:left w:val="single" w:color="000000" w:sz="8" w:space="0"/>
              <w:bottom w:val="single" w:color="000000" w:sz="4" w:space="0"/>
              <w:right w:val="single" w:color="000000" w:sz="4" w:space="0"/>
            </w:tcBorders>
            <w:noWrap w:val="0"/>
            <w:vAlign w:val="center"/>
          </w:tcPr>
          <w:p w14:paraId="7D3E347D">
            <w:pPr>
              <w:widowControl/>
              <w:jc w:val="center"/>
              <w:rPr>
                <w:rFonts w:ascii="宋体" w:hAnsi="宋体" w:cs="Arial"/>
                <w:color w:val="auto"/>
                <w:kern w:val="0"/>
                <w:szCs w:val="21"/>
              </w:rPr>
            </w:pPr>
          </w:p>
        </w:tc>
        <w:tc>
          <w:tcPr>
            <w:tcW w:w="1516" w:type="pct"/>
            <w:tcBorders>
              <w:top w:val="single" w:color="000000" w:sz="4" w:space="0"/>
              <w:left w:val="nil"/>
              <w:bottom w:val="single" w:color="000000" w:sz="4" w:space="0"/>
              <w:right w:val="single" w:color="000000" w:sz="4" w:space="0"/>
            </w:tcBorders>
            <w:noWrap w:val="0"/>
            <w:vAlign w:val="center"/>
          </w:tcPr>
          <w:p w14:paraId="5A744007">
            <w:pPr>
              <w:widowControl/>
              <w:jc w:val="left"/>
              <w:rPr>
                <w:rFonts w:ascii="宋体" w:hAnsi="宋体" w:cs="Arial"/>
                <w:color w:val="auto"/>
                <w:kern w:val="0"/>
                <w:szCs w:val="21"/>
              </w:rPr>
            </w:pPr>
          </w:p>
        </w:tc>
        <w:tc>
          <w:tcPr>
            <w:tcW w:w="576" w:type="pct"/>
            <w:tcBorders>
              <w:top w:val="nil"/>
              <w:left w:val="nil"/>
              <w:bottom w:val="single" w:color="000000" w:sz="4" w:space="0"/>
              <w:right w:val="single" w:color="000000" w:sz="4" w:space="0"/>
            </w:tcBorders>
            <w:noWrap w:val="0"/>
            <w:vAlign w:val="center"/>
          </w:tcPr>
          <w:p w14:paraId="2A9D4BA5">
            <w:pPr>
              <w:widowControl/>
              <w:jc w:val="center"/>
              <w:rPr>
                <w:rFonts w:ascii="宋体" w:hAnsi="宋体" w:cs="Arial"/>
                <w:color w:val="auto"/>
                <w:kern w:val="0"/>
                <w:szCs w:val="21"/>
              </w:rPr>
            </w:pPr>
          </w:p>
        </w:tc>
        <w:tc>
          <w:tcPr>
            <w:tcW w:w="651" w:type="pct"/>
            <w:tcBorders>
              <w:top w:val="single" w:color="000000" w:sz="4" w:space="0"/>
              <w:left w:val="nil"/>
              <w:bottom w:val="single" w:color="000000" w:sz="4" w:space="0"/>
              <w:right w:val="single" w:color="000000" w:sz="4" w:space="0"/>
            </w:tcBorders>
            <w:noWrap w:val="0"/>
            <w:vAlign w:val="center"/>
          </w:tcPr>
          <w:p w14:paraId="0011BE75">
            <w:pPr>
              <w:widowControl/>
              <w:jc w:val="right"/>
              <w:rPr>
                <w:rFonts w:ascii="宋体" w:hAnsi="宋体" w:cs="Arial"/>
                <w:color w:val="auto"/>
                <w:kern w:val="0"/>
                <w:szCs w:val="21"/>
              </w:rPr>
            </w:pPr>
          </w:p>
        </w:tc>
        <w:tc>
          <w:tcPr>
            <w:tcW w:w="715" w:type="pct"/>
            <w:tcBorders>
              <w:top w:val="single" w:color="000000" w:sz="4" w:space="0"/>
              <w:left w:val="nil"/>
              <w:bottom w:val="single" w:color="000000" w:sz="4" w:space="0"/>
              <w:right w:val="single" w:color="000000" w:sz="4" w:space="0"/>
            </w:tcBorders>
            <w:noWrap w:val="0"/>
            <w:vAlign w:val="center"/>
          </w:tcPr>
          <w:p w14:paraId="5BF30644">
            <w:pPr>
              <w:widowControl/>
              <w:jc w:val="right"/>
              <w:rPr>
                <w:rFonts w:ascii="宋体" w:hAnsi="宋体" w:cs="Arial"/>
                <w:color w:val="auto"/>
                <w:kern w:val="0"/>
                <w:szCs w:val="21"/>
              </w:rPr>
            </w:pPr>
          </w:p>
        </w:tc>
        <w:tc>
          <w:tcPr>
            <w:tcW w:w="554" w:type="pct"/>
            <w:tcBorders>
              <w:top w:val="nil"/>
              <w:left w:val="nil"/>
              <w:bottom w:val="single" w:color="000000" w:sz="4" w:space="0"/>
              <w:right w:val="single" w:color="000000" w:sz="4" w:space="0"/>
            </w:tcBorders>
            <w:noWrap w:val="0"/>
            <w:vAlign w:val="center"/>
          </w:tcPr>
          <w:p w14:paraId="53D49A50">
            <w:pPr>
              <w:widowControl/>
              <w:jc w:val="right"/>
              <w:rPr>
                <w:rFonts w:ascii="宋体" w:hAnsi="宋体" w:cs="Arial"/>
                <w:color w:val="auto"/>
                <w:kern w:val="0"/>
                <w:szCs w:val="21"/>
              </w:rPr>
            </w:pPr>
          </w:p>
        </w:tc>
        <w:tc>
          <w:tcPr>
            <w:tcW w:w="529" w:type="pct"/>
            <w:tcBorders>
              <w:top w:val="nil"/>
              <w:left w:val="nil"/>
              <w:bottom w:val="single" w:color="000000" w:sz="4" w:space="0"/>
              <w:right w:val="single" w:color="000000" w:sz="8" w:space="0"/>
            </w:tcBorders>
            <w:noWrap w:val="0"/>
            <w:vAlign w:val="center"/>
          </w:tcPr>
          <w:p w14:paraId="7612A296">
            <w:pPr>
              <w:widowControl/>
              <w:jc w:val="left"/>
              <w:rPr>
                <w:rFonts w:ascii="宋体" w:hAnsi="宋体" w:cs="Arial"/>
                <w:color w:val="auto"/>
                <w:kern w:val="0"/>
                <w:szCs w:val="21"/>
              </w:rPr>
            </w:pPr>
          </w:p>
        </w:tc>
      </w:tr>
      <w:tr w14:paraId="2273D060">
        <w:tblPrEx>
          <w:tblCellMar>
            <w:top w:w="0" w:type="dxa"/>
            <w:left w:w="108" w:type="dxa"/>
            <w:bottom w:w="0" w:type="dxa"/>
            <w:right w:w="108" w:type="dxa"/>
          </w:tblCellMar>
        </w:tblPrEx>
        <w:trPr>
          <w:trHeight w:val="680" w:hRule="atLeast"/>
        </w:trPr>
        <w:tc>
          <w:tcPr>
            <w:tcW w:w="459" w:type="pct"/>
            <w:tcBorders>
              <w:top w:val="nil"/>
              <w:left w:val="single" w:color="000000" w:sz="8" w:space="0"/>
              <w:bottom w:val="single" w:color="000000" w:sz="4" w:space="0"/>
              <w:right w:val="single" w:color="000000" w:sz="4" w:space="0"/>
            </w:tcBorders>
            <w:noWrap w:val="0"/>
            <w:vAlign w:val="center"/>
          </w:tcPr>
          <w:p w14:paraId="7DD164F8">
            <w:pPr>
              <w:widowControl/>
              <w:jc w:val="center"/>
              <w:rPr>
                <w:rFonts w:hint="eastAsia" w:ascii="宋体" w:hAnsi="宋体" w:cs="Arial"/>
                <w:color w:val="auto"/>
                <w:kern w:val="0"/>
                <w:szCs w:val="21"/>
              </w:rPr>
            </w:pPr>
          </w:p>
        </w:tc>
        <w:tc>
          <w:tcPr>
            <w:tcW w:w="1516" w:type="pct"/>
            <w:tcBorders>
              <w:top w:val="single" w:color="000000" w:sz="4" w:space="0"/>
              <w:left w:val="nil"/>
              <w:bottom w:val="single" w:color="000000" w:sz="4" w:space="0"/>
              <w:right w:val="single" w:color="000000" w:sz="4" w:space="0"/>
            </w:tcBorders>
            <w:noWrap w:val="0"/>
            <w:vAlign w:val="center"/>
          </w:tcPr>
          <w:p w14:paraId="1D41B043">
            <w:pPr>
              <w:widowControl/>
              <w:jc w:val="left"/>
              <w:rPr>
                <w:rFonts w:hint="eastAsia" w:ascii="宋体" w:hAnsi="宋体" w:cs="Arial"/>
                <w:color w:val="auto"/>
                <w:kern w:val="0"/>
                <w:szCs w:val="21"/>
              </w:rPr>
            </w:pPr>
          </w:p>
        </w:tc>
        <w:tc>
          <w:tcPr>
            <w:tcW w:w="576" w:type="pct"/>
            <w:tcBorders>
              <w:top w:val="nil"/>
              <w:left w:val="nil"/>
              <w:bottom w:val="single" w:color="000000" w:sz="4" w:space="0"/>
              <w:right w:val="single" w:color="000000" w:sz="4" w:space="0"/>
            </w:tcBorders>
            <w:noWrap w:val="0"/>
            <w:vAlign w:val="center"/>
          </w:tcPr>
          <w:p w14:paraId="35FF53CB">
            <w:pPr>
              <w:widowControl/>
              <w:jc w:val="center"/>
              <w:rPr>
                <w:rFonts w:hint="eastAsia" w:ascii="宋体" w:hAnsi="宋体" w:cs="Arial"/>
                <w:color w:val="auto"/>
                <w:kern w:val="0"/>
                <w:szCs w:val="21"/>
              </w:rPr>
            </w:pPr>
          </w:p>
        </w:tc>
        <w:tc>
          <w:tcPr>
            <w:tcW w:w="651" w:type="pct"/>
            <w:tcBorders>
              <w:top w:val="single" w:color="000000" w:sz="4" w:space="0"/>
              <w:left w:val="nil"/>
              <w:bottom w:val="single" w:color="000000" w:sz="4" w:space="0"/>
              <w:right w:val="single" w:color="000000" w:sz="4" w:space="0"/>
            </w:tcBorders>
            <w:noWrap w:val="0"/>
            <w:vAlign w:val="center"/>
          </w:tcPr>
          <w:p w14:paraId="0EF94E15">
            <w:pPr>
              <w:widowControl/>
              <w:jc w:val="right"/>
              <w:rPr>
                <w:rFonts w:hint="eastAsia" w:ascii="宋体" w:hAnsi="宋体" w:cs="Arial"/>
                <w:color w:val="auto"/>
                <w:kern w:val="0"/>
                <w:szCs w:val="21"/>
              </w:rPr>
            </w:pPr>
          </w:p>
        </w:tc>
        <w:tc>
          <w:tcPr>
            <w:tcW w:w="715" w:type="pct"/>
            <w:tcBorders>
              <w:top w:val="single" w:color="000000" w:sz="4" w:space="0"/>
              <w:left w:val="nil"/>
              <w:bottom w:val="single" w:color="000000" w:sz="4" w:space="0"/>
              <w:right w:val="single" w:color="000000" w:sz="4" w:space="0"/>
            </w:tcBorders>
            <w:noWrap w:val="0"/>
            <w:vAlign w:val="center"/>
          </w:tcPr>
          <w:p w14:paraId="629DA564">
            <w:pPr>
              <w:widowControl/>
              <w:jc w:val="right"/>
              <w:rPr>
                <w:rFonts w:hint="eastAsia" w:ascii="宋体" w:hAnsi="宋体" w:cs="Arial"/>
                <w:color w:val="auto"/>
                <w:kern w:val="0"/>
                <w:szCs w:val="21"/>
              </w:rPr>
            </w:pPr>
          </w:p>
        </w:tc>
        <w:tc>
          <w:tcPr>
            <w:tcW w:w="554" w:type="pct"/>
            <w:tcBorders>
              <w:top w:val="nil"/>
              <w:left w:val="nil"/>
              <w:bottom w:val="single" w:color="000000" w:sz="4" w:space="0"/>
              <w:right w:val="single" w:color="000000" w:sz="4" w:space="0"/>
            </w:tcBorders>
            <w:noWrap w:val="0"/>
            <w:vAlign w:val="center"/>
          </w:tcPr>
          <w:p w14:paraId="5BAB8A95">
            <w:pPr>
              <w:widowControl/>
              <w:jc w:val="right"/>
              <w:rPr>
                <w:rFonts w:hint="eastAsia" w:ascii="宋体" w:hAnsi="宋体" w:cs="Arial"/>
                <w:color w:val="auto"/>
                <w:kern w:val="0"/>
                <w:szCs w:val="21"/>
              </w:rPr>
            </w:pPr>
          </w:p>
        </w:tc>
        <w:tc>
          <w:tcPr>
            <w:tcW w:w="529" w:type="pct"/>
            <w:tcBorders>
              <w:top w:val="nil"/>
              <w:left w:val="nil"/>
              <w:bottom w:val="single" w:color="000000" w:sz="4" w:space="0"/>
              <w:right w:val="single" w:color="000000" w:sz="8" w:space="0"/>
            </w:tcBorders>
            <w:noWrap w:val="0"/>
            <w:vAlign w:val="center"/>
          </w:tcPr>
          <w:p w14:paraId="007EFD40">
            <w:pPr>
              <w:widowControl/>
              <w:jc w:val="left"/>
              <w:rPr>
                <w:rFonts w:hint="eastAsia" w:ascii="宋体" w:hAnsi="宋体" w:cs="Arial"/>
                <w:color w:val="auto"/>
                <w:kern w:val="0"/>
                <w:szCs w:val="21"/>
              </w:rPr>
            </w:pPr>
          </w:p>
        </w:tc>
      </w:tr>
    </w:tbl>
    <w:p w14:paraId="6F61DB6C">
      <w:pPr>
        <w:tabs>
          <w:tab w:val="left" w:pos="0"/>
        </w:tabs>
        <w:spacing w:before="48" w:beforeLines="20" w:after="48" w:afterLines="20" w:line="540" w:lineRule="exact"/>
        <w:ind w:right="-212"/>
        <w:jc w:val="left"/>
        <w:rPr>
          <w:rFonts w:ascii="宋体" w:hAnsi="宋体"/>
          <w:color w:val="auto"/>
          <w:sz w:val="24"/>
          <w:szCs w:val="22"/>
        </w:rPr>
      </w:pPr>
    </w:p>
    <w:p w14:paraId="58C545BB">
      <w:pPr>
        <w:jc w:val="center"/>
        <w:outlineLvl w:val="2"/>
        <w:rPr>
          <w:rFonts w:hint="eastAsia"/>
          <w:color w:val="auto"/>
          <w:sz w:val="28"/>
          <w:szCs w:val="28"/>
        </w:rPr>
      </w:pPr>
      <w:r>
        <w:rPr>
          <w:color w:val="auto"/>
          <w:sz w:val="28"/>
          <w:szCs w:val="28"/>
        </w:rPr>
        <w:br w:type="page"/>
      </w:r>
      <w:bookmarkStart w:id="531" w:name="_Toc535241143"/>
      <w:bookmarkStart w:id="532" w:name="_Toc460660253"/>
      <w:bookmarkStart w:id="533" w:name="_Toc460227138"/>
      <w:r>
        <w:rPr>
          <w:rFonts w:hint="eastAsia"/>
          <w:color w:val="auto"/>
          <w:sz w:val="28"/>
          <w:szCs w:val="28"/>
        </w:rPr>
        <w:t>（十七）承包人提供材料（工程设备）一览表</w:t>
      </w:r>
      <w:bookmarkEnd w:id="531"/>
    </w:p>
    <w:p w14:paraId="6DD9CDF4">
      <w:pPr>
        <w:adjustRightInd w:val="0"/>
        <w:snapToGrid w:val="0"/>
        <w:spacing w:before="48" w:beforeLines="20" w:after="48" w:afterLines="20" w:line="540" w:lineRule="exact"/>
        <w:rPr>
          <w:rFonts w:hint="eastAsia" w:ascii="宋体" w:hAnsi="宋体"/>
          <w:color w:val="auto"/>
          <w:szCs w:val="21"/>
        </w:rPr>
      </w:pPr>
      <w:r>
        <w:rPr>
          <w:rFonts w:hint="eastAsia" w:ascii="宋体" w:hAnsi="宋体"/>
          <w:color w:val="auto"/>
          <w:szCs w:val="21"/>
        </w:rPr>
        <w:t>工程名称：                          标段：                        第   页共   页</w:t>
      </w:r>
    </w:p>
    <w:tbl>
      <w:tblPr>
        <w:tblStyle w:val="53"/>
        <w:tblW w:w="5000" w:type="pct"/>
        <w:tblInd w:w="0" w:type="dxa"/>
        <w:tblLayout w:type="autofit"/>
        <w:tblCellMar>
          <w:top w:w="0" w:type="dxa"/>
          <w:left w:w="108" w:type="dxa"/>
          <w:bottom w:w="0" w:type="dxa"/>
          <w:right w:w="108" w:type="dxa"/>
        </w:tblCellMar>
      </w:tblPr>
      <w:tblGrid>
        <w:gridCol w:w="713"/>
        <w:gridCol w:w="2367"/>
        <w:gridCol w:w="839"/>
        <w:gridCol w:w="1194"/>
        <w:gridCol w:w="1194"/>
        <w:gridCol w:w="1530"/>
        <w:gridCol w:w="1530"/>
        <w:gridCol w:w="942"/>
      </w:tblGrid>
      <w:tr w14:paraId="035E49E3">
        <w:tblPrEx>
          <w:tblCellMar>
            <w:top w:w="0" w:type="dxa"/>
            <w:left w:w="108" w:type="dxa"/>
            <w:bottom w:w="0" w:type="dxa"/>
            <w:right w:w="108" w:type="dxa"/>
          </w:tblCellMar>
        </w:tblPrEx>
        <w:trPr>
          <w:trHeight w:val="750" w:hRule="atLeast"/>
        </w:trPr>
        <w:tc>
          <w:tcPr>
            <w:tcW w:w="34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7EC11876">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序号</w:t>
            </w:r>
          </w:p>
        </w:tc>
        <w:tc>
          <w:tcPr>
            <w:tcW w:w="1148" w:type="pct"/>
            <w:tcBorders>
              <w:top w:val="single" w:color="000000" w:sz="8" w:space="0"/>
              <w:left w:val="nil"/>
              <w:bottom w:val="single" w:color="000000" w:sz="4" w:space="0"/>
              <w:right w:val="single" w:color="000000" w:sz="4" w:space="0"/>
            </w:tcBorders>
            <w:shd w:val="clear" w:color="FFFFFF" w:fill="FFFFFF"/>
            <w:noWrap w:val="0"/>
            <w:vAlign w:val="center"/>
          </w:tcPr>
          <w:p w14:paraId="3AFD6986">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材料（工程设备）名称、规格、型号</w:t>
            </w:r>
          </w:p>
        </w:tc>
        <w:tc>
          <w:tcPr>
            <w:tcW w:w="407" w:type="pct"/>
            <w:tcBorders>
              <w:top w:val="single" w:color="000000" w:sz="8" w:space="0"/>
              <w:left w:val="nil"/>
              <w:bottom w:val="single" w:color="000000" w:sz="4" w:space="0"/>
              <w:right w:val="single" w:color="000000" w:sz="4" w:space="0"/>
            </w:tcBorders>
            <w:shd w:val="clear" w:color="FFFFFF" w:fill="FFFFFF"/>
            <w:noWrap w:val="0"/>
            <w:vAlign w:val="center"/>
          </w:tcPr>
          <w:p w14:paraId="5B5831D4">
            <w:pPr>
              <w:widowControl/>
              <w:jc w:val="center"/>
              <w:rPr>
                <w:rFonts w:ascii="黑体" w:hAnsi="黑体" w:eastAsia="黑体" w:cs="Arial"/>
                <w:color w:val="auto"/>
                <w:kern w:val="0"/>
                <w:szCs w:val="21"/>
              </w:rPr>
            </w:pPr>
            <w:r>
              <w:rPr>
                <w:rFonts w:hint="eastAsia" w:ascii="黑体" w:hAnsi="黑体" w:eastAsia="黑体" w:cs="Arial"/>
                <w:color w:val="auto"/>
                <w:kern w:val="0"/>
                <w:szCs w:val="21"/>
              </w:rPr>
              <w:t>计量单位</w:t>
            </w:r>
          </w:p>
        </w:tc>
        <w:tc>
          <w:tcPr>
            <w:tcW w:w="579" w:type="pct"/>
            <w:tcBorders>
              <w:top w:val="single" w:color="000000" w:sz="8" w:space="0"/>
              <w:left w:val="nil"/>
              <w:bottom w:val="single" w:color="000000" w:sz="4" w:space="0"/>
              <w:right w:val="single" w:color="000000" w:sz="4" w:space="0"/>
            </w:tcBorders>
            <w:shd w:val="clear" w:color="FFFFFF" w:fill="FFFFFF"/>
            <w:noWrap w:val="0"/>
            <w:vAlign w:val="center"/>
          </w:tcPr>
          <w:p w14:paraId="28F8BA6A">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数量</w:t>
            </w:r>
          </w:p>
        </w:tc>
        <w:tc>
          <w:tcPr>
            <w:tcW w:w="579" w:type="pct"/>
            <w:tcBorders>
              <w:top w:val="single" w:color="000000" w:sz="8" w:space="0"/>
              <w:left w:val="nil"/>
              <w:bottom w:val="single" w:color="000000" w:sz="4" w:space="0"/>
              <w:right w:val="single" w:color="000000" w:sz="4" w:space="0"/>
            </w:tcBorders>
            <w:shd w:val="clear" w:color="FFFFFF" w:fill="FFFFFF"/>
            <w:noWrap w:val="0"/>
            <w:vAlign w:val="center"/>
          </w:tcPr>
          <w:p w14:paraId="6F54C8EA">
            <w:pPr>
              <w:widowControl/>
              <w:jc w:val="center"/>
              <w:rPr>
                <w:rFonts w:ascii="黑体" w:hAnsi="黑体" w:eastAsia="黑体" w:cs="Arial"/>
                <w:color w:val="auto"/>
                <w:kern w:val="0"/>
                <w:szCs w:val="21"/>
              </w:rPr>
            </w:pPr>
            <w:r>
              <w:rPr>
                <w:rFonts w:hint="eastAsia" w:ascii="黑体" w:hAnsi="黑体" w:eastAsia="黑体" w:cs="Arial"/>
                <w:color w:val="auto"/>
                <w:kern w:val="0"/>
                <w:szCs w:val="21"/>
              </w:rPr>
              <w:t>风险系数(%)</w:t>
            </w:r>
          </w:p>
        </w:tc>
        <w:tc>
          <w:tcPr>
            <w:tcW w:w="742" w:type="pct"/>
            <w:tcBorders>
              <w:top w:val="single" w:color="000000" w:sz="8" w:space="0"/>
              <w:left w:val="nil"/>
              <w:bottom w:val="single" w:color="000000" w:sz="4" w:space="0"/>
              <w:right w:val="single" w:color="000000" w:sz="4" w:space="0"/>
            </w:tcBorders>
            <w:shd w:val="clear" w:color="FFFFFF" w:fill="FFFFFF"/>
            <w:noWrap w:val="0"/>
            <w:vAlign w:val="center"/>
          </w:tcPr>
          <w:p w14:paraId="6903DDFE">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基准单价</w:t>
            </w:r>
          </w:p>
        </w:tc>
        <w:tc>
          <w:tcPr>
            <w:tcW w:w="742" w:type="pct"/>
            <w:tcBorders>
              <w:top w:val="single" w:color="000000" w:sz="8" w:space="0"/>
              <w:left w:val="nil"/>
              <w:bottom w:val="single" w:color="000000" w:sz="4" w:space="0"/>
              <w:right w:val="single" w:color="000000" w:sz="4" w:space="0"/>
            </w:tcBorders>
            <w:shd w:val="clear" w:color="FFFFFF" w:fill="FFFFFF"/>
            <w:noWrap w:val="0"/>
            <w:vAlign w:val="center"/>
          </w:tcPr>
          <w:p w14:paraId="1CFF1531">
            <w:pPr>
              <w:widowControl/>
              <w:jc w:val="center"/>
              <w:rPr>
                <w:rFonts w:ascii="黑体" w:hAnsi="黑体" w:eastAsia="黑体" w:cs="Arial"/>
                <w:color w:val="auto"/>
                <w:kern w:val="0"/>
                <w:szCs w:val="21"/>
              </w:rPr>
            </w:pPr>
            <w:r>
              <w:rPr>
                <w:rFonts w:hint="eastAsia" w:ascii="黑体" w:hAnsi="黑体" w:eastAsia="黑体" w:cs="Arial"/>
                <w:color w:val="auto"/>
                <w:kern w:val="0"/>
                <w:szCs w:val="21"/>
              </w:rPr>
              <w:t>投标单价</w:t>
            </w:r>
          </w:p>
        </w:tc>
        <w:tc>
          <w:tcPr>
            <w:tcW w:w="457" w:type="pct"/>
            <w:tcBorders>
              <w:top w:val="single" w:color="000000" w:sz="8" w:space="0"/>
              <w:left w:val="nil"/>
              <w:bottom w:val="single" w:color="000000" w:sz="4" w:space="0"/>
              <w:right w:val="single" w:color="000000" w:sz="8" w:space="0"/>
            </w:tcBorders>
            <w:shd w:val="clear" w:color="FFFFFF" w:fill="FFFFFF"/>
            <w:noWrap w:val="0"/>
            <w:vAlign w:val="center"/>
          </w:tcPr>
          <w:p w14:paraId="126E5B27">
            <w:pPr>
              <w:widowControl/>
              <w:jc w:val="center"/>
              <w:rPr>
                <w:rFonts w:ascii="黑体" w:hAnsi="黑体" w:eastAsia="黑体" w:cs="Arial"/>
                <w:color w:val="auto"/>
                <w:kern w:val="0"/>
                <w:szCs w:val="21"/>
              </w:rPr>
            </w:pPr>
            <w:r>
              <w:rPr>
                <w:rFonts w:hint="eastAsia" w:ascii="黑体" w:hAnsi="黑体" w:eastAsia="黑体" w:cs="Arial"/>
                <w:color w:val="auto"/>
                <w:kern w:val="0"/>
                <w:szCs w:val="21"/>
              </w:rPr>
              <w:t>备注</w:t>
            </w:r>
          </w:p>
        </w:tc>
      </w:tr>
      <w:tr w14:paraId="39F4F599">
        <w:tblPrEx>
          <w:tblCellMar>
            <w:top w:w="0" w:type="dxa"/>
            <w:left w:w="108" w:type="dxa"/>
            <w:bottom w:w="0" w:type="dxa"/>
            <w:right w:w="108" w:type="dxa"/>
          </w:tblCellMar>
        </w:tblPrEx>
        <w:trPr>
          <w:trHeight w:val="680" w:hRule="atLeast"/>
        </w:trPr>
        <w:tc>
          <w:tcPr>
            <w:tcW w:w="346" w:type="pct"/>
            <w:tcBorders>
              <w:top w:val="nil"/>
              <w:left w:val="single" w:color="000000" w:sz="8" w:space="0"/>
              <w:bottom w:val="single" w:color="000000" w:sz="4" w:space="0"/>
              <w:right w:val="single" w:color="000000" w:sz="4" w:space="0"/>
            </w:tcBorders>
            <w:noWrap w:val="0"/>
            <w:vAlign w:val="center"/>
          </w:tcPr>
          <w:p w14:paraId="79E90D22">
            <w:pPr>
              <w:widowControl/>
              <w:jc w:val="center"/>
              <w:rPr>
                <w:rFonts w:ascii="宋体" w:hAnsi="宋体" w:cs="Arial"/>
                <w:color w:val="auto"/>
                <w:kern w:val="0"/>
                <w:szCs w:val="21"/>
              </w:rPr>
            </w:pPr>
          </w:p>
        </w:tc>
        <w:tc>
          <w:tcPr>
            <w:tcW w:w="1148" w:type="pct"/>
            <w:tcBorders>
              <w:top w:val="nil"/>
              <w:left w:val="nil"/>
              <w:bottom w:val="single" w:color="000000" w:sz="4" w:space="0"/>
              <w:right w:val="single" w:color="000000" w:sz="4" w:space="0"/>
            </w:tcBorders>
            <w:noWrap w:val="0"/>
            <w:vAlign w:val="center"/>
          </w:tcPr>
          <w:p w14:paraId="37D23417">
            <w:pPr>
              <w:widowControl/>
              <w:jc w:val="left"/>
              <w:rPr>
                <w:rFonts w:ascii="宋体" w:hAnsi="宋体" w:cs="Arial"/>
                <w:color w:val="auto"/>
                <w:kern w:val="0"/>
                <w:szCs w:val="21"/>
              </w:rPr>
            </w:pPr>
          </w:p>
        </w:tc>
        <w:tc>
          <w:tcPr>
            <w:tcW w:w="407" w:type="pct"/>
            <w:tcBorders>
              <w:top w:val="single" w:color="000000" w:sz="4" w:space="0"/>
              <w:left w:val="nil"/>
              <w:bottom w:val="single" w:color="000000" w:sz="4" w:space="0"/>
              <w:right w:val="single" w:color="000000" w:sz="4" w:space="0"/>
            </w:tcBorders>
            <w:noWrap w:val="0"/>
            <w:vAlign w:val="center"/>
          </w:tcPr>
          <w:p w14:paraId="4F0EA165">
            <w:pPr>
              <w:widowControl/>
              <w:jc w:val="center"/>
              <w:rPr>
                <w:rFonts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17F77D94">
            <w:pPr>
              <w:widowControl/>
              <w:jc w:val="right"/>
              <w:rPr>
                <w:rFonts w:ascii="宋体" w:hAnsi="宋体" w:cs="Arial"/>
                <w:color w:val="auto"/>
                <w:kern w:val="0"/>
                <w:szCs w:val="21"/>
              </w:rPr>
            </w:pPr>
          </w:p>
        </w:tc>
        <w:tc>
          <w:tcPr>
            <w:tcW w:w="579" w:type="pct"/>
            <w:tcBorders>
              <w:top w:val="single" w:color="000000" w:sz="4" w:space="0"/>
              <w:left w:val="nil"/>
              <w:bottom w:val="single" w:color="000000" w:sz="4" w:space="0"/>
              <w:right w:val="single" w:color="000000" w:sz="4" w:space="0"/>
            </w:tcBorders>
            <w:noWrap w:val="0"/>
            <w:vAlign w:val="center"/>
          </w:tcPr>
          <w:p w14:paraId="151A9639">
            <w:pPr>
              <w:widowControl/>
              <w:jc w:val="right"/>
              <w:rPr>
                <w:rFonts w:ascii="宋体" w:hAnsi="宋体" w:cs="Arial"/>
                <w:color w:val="auto"/>
                <w:kern w:val="0"/>
                <w:szCs w:val="21"/>
              </w:rPr>
            </w:pPr>
          </w:p>
        </w:tc>
        <w:tc>
          <w:tcPr>
            <w:tcW w:w="742" w:type="pct"/>
            <w:tcBorders>
              <w:top w:val="single" w:color="000000" w:sz="4" w:space="0"/>
              <w:left w:val="nil"/>
              <w:bottom w:val="single" w:color="000000" w:sz="4" w:space="0"/>
              <w:right w:val="single" w:color="000000" w:sz="4" w:space="0"/>
            </w:tcBorders>
            <w:noWrap w:val="0"/>
            <w:vAlign w:val="center"/>
          </w:tcPr>
          <w:p w14:paraId="4BFE63F8">
            <w:pPr>
              <w:widowControl/>
              <w:jc w:val="right"/>
              <w:rPr>
                <w:rFonts w:ascii="宋体" w:hAnsi="宋体" w:cs="Arial"/>
                <w:color w:val="auto"/>
                <w:kern w:val="0"/>
                <w:szCs w:val="21"/>
              </w:rPr>
            </w:pPr>
          </w:p>
        </w:tc>
        <w:tc>
          <w:tcPr>
            <w:tcW w:w="742" w:type="pct"/>
            <w:tcBorders>
              <w:top w:val="nil"/>
              <w:left w:val="nil"/>
              <w:bottom w:val="single" w:color="000000" w:sz="4" w:space="0"/>
              <w:right w:val="single" w:color="000000" w:sz="4" w:space="0"/>
            </w:tcBorders>
            <w:noWrap w:val="0"/>
            <w:vAlign w:val="center"/>
          </w:tcPr>
          <w:p w14:paraId="7FB472D2">
            <w:pPr>
              <w:widowControl/>
              <w:jc w:val="right"/>
              <w:rPr>
                <w:rFonts w:ascii="宋体" w:hAnsi="宋体" w:cs="Arial"/>
                <w:color w:val="auto"/>
                <w:kern w:val="0"/>
                <w:szCs w:val="21"/>
              </w:rPr>
            </w:pPr>
          </w:p>
        </w:tc>
        <w:tc>
          <w:tcPr>
            <w:tcW w:w="457" w:type="pct"/>
            <w:tcBorders>
              <w:top w:val="nil"/>
              <w:left w:val="nil"/>
              <w:bottom w:val="single" w:color="000000" w:sz="4" w:space="0"/>
              <w:right w:val="single" w:color="000000" w:sz="8" w:space="0"/>
            </w:tcBorders>
            <w:noWrap w:val="0"/>
            <w:vAlign w:val="center"/>
          </w:tcPr>
          <w:p w14:paraId="2A475D5E">
            <w:pPr>
              <w:widowControl/>
              <w:jc w:val="left"/>
              <w:rPr>
                <w:rFonts w:ascii="宋体" w:hAnsi="宋体" w:cs="Arial"/>
                <w:color w:val="auto"/>
                <w:kern w:val="0"/>
                <w:szCs w:val="21"/>
              </w:rPr>
            </w:pPr>
          </w:p>
        </w:tc>
      </w:tr>
      <w:tr w14:paraId="4202BBD2">
        <w:tblPrEx>
          <w:tblCellMar>
            <w:top w:w="0" w:type="dxa"/>
            <w:left w:w="108" w:type="dxa"/>
            <w:bottom w:w="0" w:type="dxa"/>
            <w:right w:w="108" w:type="dxa"/>
          </w:tblCellMar>
        </w:tblPrEx>
        <w:trPr>
          <w:trHeight w:val="680" w:hRule="atLeast"/>
        </w:trPr>
        <w:tc>
          <w:tcPr>
            <w:tcW w:w="346" w:type="pct"/>
            <w:tcBorders>
              <w:top w:val="nil"/>
              <w:left w:val="single" w:color="000000" w:sz="8" w:space="0"/>
              <w:bottom w:val="single" w:color="000000" w:sz="4" w:space="0"/>
              <w:right w:val="single" w:color="000000" w:sz="4" w:space="0"/>
            </w:tcBorders>
            <w:noWrap w:val="0"/>
            <w:vAlign w:val="center"/>
          </w:tcPr>
          <w:p w14:paraId="2FF4DBE3">
            <w:pPr>
              <w:widowControl/>
              <w:jc w:val="center"/>
              <w:rPr>
                <w:rFonts w:ascii="宋体" w:hAnsi="宋体" w:cs="Arial"/>
                <w:color w:val="auto"/>
                <w:kern w:val="0"/>
                <w:szCs w:val="21"/>
              </w:rPr>
            </w:pPr>
          </w:p>
        </w:tc>
        <w:tc>
          <w:tcPr>
            <w:tcW w:w="1148" w:type="pct"/>
            <w:tcBorders>
              <w:top w:val="nil"/>
              <w:left w:val="nil"/>
              <w:bottom w:val="single" w:color="000000" w:sz="4" w:space="0"/>
              <w:right w:val="single" w:color="000000" w:sz="4" w:space="0"/>
            </w:tcBorders>
            <w:noWrap w:val="0"/>
            <w:vAlign w:val="center"/>
          </w:tcPr>
          <w:p w14:paraId="4B820F9B">
            <w:pPr>
              <w:widowControl/>
              <w:jc w:val="left"/>
              <w:rPr>
                <w:rFonts w:ascii="宋体" w:hAnsi="宋体" w:cs="Arial"/>
                <w:color w:val="auto"/>
                <w:kern w:val="0"/>
                <w:szCs w:val="21"/>
              </w:rPr>
            </w:pPr>
          </w:p>
        </w:tc>
        <w:tc>
          <w:tcPr>
            <w:tcW w:w="407" w:type="pct"/>
            <w:tcBorders>
              <w:top w:val="single" w:color="000000" w:sz="4" w:space="0"/>
              <w:left w:val="nil"/>
              <w:bottom w:val="single" w:color="000000" w:sz="4" w:space="0"/>
              <w:right w:val="single" w:color="000000" w:sz="4" w:space="0"/>
            </w:tcBorders>
            <w:noWrap w:val="0"/>
            <w:vAlign w:val="center"/>
          </w:tcPr>
          <w:p w14:paraId="7C935ABF">
            <w:pPr>
              <w:widowControl/>
              <w:jc w:val="center"/>
              <w:rPr>
                <w:rFonts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496BABC2">
            <w:pPr>
              <w:widowControl/>
              <w:jc w:val="right"/>
              <w:rPr>
                <w:rFonts w:ascii="宋体" w:hAnsi="宋体" w:cs="Arial"/>
                <w:color w:val="auto"/>
                <w:kern w:val="0"/>
                <w:szCs w:val="21"/>
              </w:rPr>
            </w:pPr>
          </w:p>
        </w:tc>
        <w:tc>
          <w:tcPr>
            <w:tcW w:w="579" w:type="pct"/>
            <w:tcBorders>
              <w:top w:val="single" w:color="000000" w:sz="4" w:space="0"/>
              <w:left w:val="nil"/>
              <w:bottom w:val="single" w:color="000000" w:sz="4" w:space="0"/>
              <w:right w:val="single" w:color="000000" w:sz="4" w:space="0"/>
            </w:tcBorders>
            <w:noWrap w:val="0"/>
            <w:vAlign w:val="center"/>
          </w:tcPr>
          <w:p w14:paraId="72857488">
            <w:pPr>
              <w:widowControl/>
              <w:jc w:val="right"/>
              <w:rPr>
                <w:rFonts w:ascii="宋体" w:hAnsi="宋体" w:cs="Arial"/>
                <w:color w:val="auto"/>
                <w:kern w:val="0"/>
                <w:szCs w:val="21"/>
              </w:rPr>
            </w:pPr>
          </w:p>
        </w:tc>
        <w:tc>
          <w:tcPr>
            <w:tcW w:w="742" w:type="pct"/>
            <w:tcBorders>
              <w:top w:val="single" w:color="000000" w:sz="4" w:space="0"/>
              <w:left w:val="nil"/>
              <w:bottom w:val="single" w:color="000000" w:sz="4" w:space="0"/>
              <w:right w:val="single" w:color="000000" w:sz="4" w:space="0"/>
            </w:tcBorders>
            <w:noWrap w:val="0"/>
            <w:vAlign w:val="center"/>
          </w:tcPr>
          <w:p w14:paraId="232F7E16">
            <w:pPr>
              <w:widowControl/>
              <w:jc w:val="right"/>
              <w:rPr>
                <w:rFonts w:ascii="宋体" w:hAnsi="宋体" w:cs="Arial"/>
                <w:color w:val="auto"/>
                <w:kern w:val="0"/>
                <w:szCs w:val="21"/>
              </w:rPr>
            </w:pPr>
          </w:p>
        </w:tc>
        <w:tc>
          <w:tcPr>
            <w:tcW w:w="742" w:type="pct"/>
            <w:tcBorders>
              <w:top w:val="nil"/>
              <w:left w:val="nil"/>
              <w:bottom w:val="single" w:color="000000" w:sz="4" w:space="0"/>
              <w:right w:val="single" w:color="000000" w:sz="4" w:space="0"/>
            </w:tcBorders>
            <w:noWrap w:val="0"/>
            <w:vAlign w:val="center"/>
          </w:tcPr>
          <w:p w14:paraId="5B7C940A">
            <w:pPr>
              <w:widowControl/>
              <w:jc w:val="right"/>
              <w:rPr>
                <w:rFonts w:ascii="宋体" w:hAnsi="宋体" w:cs="Arial"/>
                <w:color w:val="auto"/>
                <w:kern w:val="0"/>
                <w:szCs w:val="21"/>
              </w:rPr>
            </w:pPr>
          </w:p>
        </w:tc>
        <w:tc>
          <w:tcPr>
            <w:tcW w:w="457" w:type="pct"/>
            <w:tcBorders>
              <w:top w:val="nil"/>
              <w:left w:val="nil"/>
              <w:bottom w:val="single" w:color="000000" w:sz="4" w:space="0"/>
              <w:right w:val="single" w:color="000000" w:sz="8" w:space="0"/>
            </w:tcBorders>
            <w:noWrap w:val="0"/>
            <w:vAlign w:val="center"/>
          </w:tcPr>
          <w:p w14:paraId="1F45C619">
            <w:pPr>
              <w:widowControl/>
              <w:jc w:val="left"/>
              <w:rPr>
                <w:rFonts w:ascii="宋体" w:hAnsi="宋体" w:cs="Arial"/>
                <w:color w:val="auto"/>
                <w:kern w:val="0"/>
                <w:szCs w:val="21"/>
              </w:rPr>
            </w:pPr>
          </w:p>
        </w:tc>
      </w:tr>
      <w:tr w14:paraId="73C49357">
        <w:tblPrEx>
          <w:tblCellMar>
            <w:top w:w="0" w:type="dxa"/>
            <w:left w:w="108" w:type="dxa"/>
            <w:bottom w:w="0" w:type="dxa"/>
            <w:right w:w="108" w:type="dxa"/>
          </w:tblCellMar>
        </w:tblPrEx>
        <w:trPr>
          <w:trHeight w:val="680" w:hRule="atLeast"/>
        </w:trPr>
        <w:tc>
          <w:tcPr>
            <w:tcW w:w="346" w:type="pct"/>
            <w:tcBorders>
              <w:top w:val="nil"/>
              <w:left w:val="single" w:color="000000" w:sz="8" w:space="0"/>
              <w:bottom w:val="single" w:color="000000" w:sz="4" w:space="0"/>
              <w:right w:val="single" w:color="000000" w:sz="4" w:space="0"/>
            </w:tcBorders>
            <w:noWrap w:val="0"/>
            <w:vAlign w:val="center"/>
          </w:tcPr>
          <w:p w14:paraId="0550E257">
            <w:pPr>
              <w:widowControl/>
              <w:jc w:val="center"/>
              <w:rPr>
                <w:rFonts w:hint="eastAsia" w:ascii="宋体" w:hAnsi="宋体" w:cs="Arial"/>
                <w:color w:val="auto"/>
                <w:kern w:val="0"/>
                <w:szCs w:val="21"/>
              </w:rPr>
            </w:pPr>
          </w:p>
        </w:tc>
        <w:tc>
          <w:tcPr>
            <w:tcW w:w="1148" w:type="pct"/>
            <w:tcBorders>
              <w:top w:val="nil"/>
              <w:left w:val="nil"/>
              <w:bottom w:val="single" w:color="000000" w:sz="4" w:space="0"/>
              <w:right w:val="single" w:color="000000" w:sz="4" w:space="0"/>
            </w:tcBorders>
            <w:noWrap w:val="0"/>
            <w:vAlign w:val="center"/>
          </w:tcPr>
          <w:p w14:paraId="63D5AE38">
            <w:pPr>
              <w:widowControl/>
              <w:jc w:val="left"/>
              <w:rPr>
                <w:rFonts w:hint="eastAsia" w:ascii="宋体" w:hAnsi="宋体" w:cs="Arial"/>
                <w:color w:val="auto"/>
                <w:kern w:val="0"/>
                <w:szCs w:val="21"/>
              </w:rPr>
            </w:pPr>
          </w:p>
        </w:tc>
        <w:tc>
          <w:tcPr>
            <w:tcW w:w="407" w:type="pct"/>
            <w:tcBorders>
              <w:top w:val="single" w:color="000000" w:sz="4" w:space="0"/>
              <w:left w:val="nil"/>
              <w:bottom w:val="single" w:color="000000" w:sz="4" w:space="0"/>
              <w:right w:val="single" w:color="000000" w:sz="4" w:space="0"/>
            </w:tcBorders>
            <w:noWrap w:val="0"/>
            <w:vAlign w:val="center"/>
          </w:tcPr>
          <w:p w14:paraId="6B6245DB">
            <w:pPr>
              <w:widowControl/>
              <w:jc w:val="center"/>
              <w:rPr>
                <w:rFonts w:hint="eastAsia" w:ascii="宋体" w:hAnsi="宋体" w:cs="Arial"/>
                <w:color w:val="auto"/>
                <w:kern w:val="0"/>
                <w:szCs w:val="21"/>
              </w:rPr>
            </w:pPr>
          </w:p>
        </w:tc>
        <w:tc>
          <w:tcPr>
            <w:tcW w:w="579" w:type="pct"/>
            <w:tcBorders>
              <w:top w:val="nil"/>
              <w:left w:val="nil"/>
              <w:bottom w:val="single" w:color="000000" w:sz="4" w:space="0"/>
              <w:right w:val="single" w:color="000000" w:sz="4" w:space="0"/>
            </w:tcBorders>
            <w:noWrap w:val="0"/>
            <w:vAlign w:val="center"/>
          </w:tcPr>
          <w:p w14:paraId="0BECAD67">
            <w:pPr>
              <w:widowControl/>
              <w:jc w:val="right"/>
              <w:rPr>
                <w:rFonts w:hint="eastAsia" w:ascii="宋体" w:hAnsi="宋体" w:cs="Arial"/>
                <w:color w:val="auto"/>
                <w:kern w:val="0"/>
                <w:szCs w:val="21"/>
              </w:rPr>
            </w:pPr>
          </w:p>
        </w:tc>
        <w:tc>
          <w:tcPr>
            <w:tcW w:w="579" w:type="pct"/>
            <w:tcBorders>
              <w:top w:val="single" w:color="000000" w:sz="4" w:space="0"/>
              <w:left w:val="nil"/>
              <w:bottom w:val="single" w:color="000000" w:sz="4" w:space="0"/>
              <w:right w:val="single" w:color="000000" w:sz="4" w:space="0"/>
            </w:tcBorders>
            <w:noWrap w:val="0"/>
            <w:vAlign w:val="center"/>
          </w:tcPr>
          <w:p w14:paraId="2D0F0C5C">
            <w:pPr>
              <w:widowControl/>
              <w:jc w:val="right"/>
              <w:rPr>
                <w:rFonts w:hint="eastAsia" w:ascii="宋体" w:hAnsi="宋体" w:cs="Arial"/>
                <w:color w:val="auto"/>
                <w:kern w:val="0"/>
                <w:szCs w:val="21"/>
              </w:rPr>
            </w:pPr>
          </w:p>
        </w:tc>
        <w:tc>
          <w:tcPr>
            <w:tcW w:w="742" w:type="pct"/>
            <w:tcBorders>
              <w:top w:val="single" w:color="000000" w:sz="4" w:space="0"/>
              <w:left w:val="nil"/>
              <w:bottom w:val="single" w:color="000000" w:sz="4" w:space="0"/>
              <w:right w:val="single" w:color="000000" w:sz="4" w:space="0"/>
            </w:tcBorders>
            <w:noWrap w:val="0"/>
            <w:vAlign w:val="center"/>
          </w:tcPr>
          <w:p w14:paraId="3F8383F5">
            <w:pPr>
              <w:widowControl/>
              <w:jc w:val="right"/>
              <w:rPr>
                <w:rFonts w:hint="eastAsia" w:ascii="宋体" w:hAnsi="宋体" w:cs="Arial"/>
                <w:color w:val="auto"/>
                <w:kern w:val="0"/>
                <w:szCs w:val="21"/>
              </w:rPr>
            </w:pPr>
          </w:p>
        </w:tc>
        <w:tc>
          <w:tcPr>
            <w:tcW w:w="742" w:type="pct"/>
            <w:tcBorders>
              <w:top w:val="nil"/>
              <w:left w:val="nil"/>
              <w:bottom w:val="single" w:color="000000" w:sz="4" w:space="0"/>
              <w:right w:val="single" w:color="000000" w:sz="4" w:space="0"/>
            </w:tcBorders>
            <w:noWrap w:val="0"/>
            <w:vAlign w:val="center"/>
          </w:tcPr>
          <w:p w14:paraId="25AD5CEF">
            <w:pPr>
              <w:widowControl/>
              <w:jc w:val="right"/>
              <w:rPr>
                <w:rFonts w:hint="eastAsia" w:ascii="宋体" w:hAnsi="宋体" w:cs="Arial"/>
                <w:color w:val="auto"/>
                <w:kern w:val="0"/>
                <w:szCs w:val="21"/>
              </w:rPr>
            </w:pPr>
          </w:p>
        </w:tc>
        <w:tc>
          <w:tcPr>
            <w:tcW w:w="457" w:type="pct"/>
            <w:tcBorders>
              <w:top w:val="nil"/>
              <w:left w:val="nil"/>
              <w:bottom w:val="single" w:color="000000" w:sz="4" w:space="0"/>
              <w:right w:val="single" w:color="000000" w:sz="8" w:space="0"/>
            </w:tcBorders>
            <w:noWrap w:val="0"/>
            <w:vAlign w:val="center"/>
          </w:tcPr>
          <w:p w14:paraId="4F32841E">
            <w:pPr>
              <w:widowControl/>
              <w:jc w:val="left"/>
              <w:rPr>
                <w:rFonts w:hint="eastAsia" w:ascii="宋体" w:hAnsi="宋体" w:cs="Arial"/>
                <w:color w:val="auto"/>
                <w:kern w:val="0"/>
                <w:szCs w:val="21"/>
              </w:rPr>
            </w:pPr>
          </w:p>
        </w:tc>
      </w:tr>
    </w:tbl>
    <w:p w14:paraId="10179CF8">
      <w:pPr>
        <w:rPr>
          <w:rFonts w:hint="eastAsia"/>
          <w:color w:val="auto"/>
        </w:rPr>
      </w:pPr>
    </w:p>
    <w:p w14:paraId="037F6742">
      <w:pPr>
        <w:jc w:val="center"/>
        <w:outlineLvl w:val="2"/>
        <w:rPr>
          <w:color w:val="auto"/>
          <w:sz w:val="28"/>
          <w:szCs w:val="28"/>
        </w:rPr>
      </w:pPr>
      <w:bookmarkStart w:id="534" w:name="_Toc535241144"/>
      <w:r>
        <w:rPr>
          <w:color w:val="auto"/>
          <w:sz w:val="28"/>
          <w:szCs w:val="28"/>
        </w:rPr>
        <w:br w:type="page"/>
      </w:r>
      <w:bookmarkStart w:id="535" w:name="_Toc526759717"/>
      <w:bookmarkStart w:id="536" w:name="_Toc518922054"/>
      <w:bookmarkStart w:id="537" w:name="_Toc532910386"/>
      <w:bookmarkStart w:id="538" w:name="_Toc532910666"/>
      <w:bookmarkStart w:id="539" w:name="_Toc518575601"/>
      <w:r>
        <w:rPr>
          <w:rFonts w:hint="eastAsia"/>
          <w:color w:val="auto"/>
          <w:sz w:val="28"/>
          <w:szCs w:val="28"/>
        </w:rPr>
        <w:t>（十八）招标人推荐的材料品牌响应表</w:t>
      </w:r>
      <w:bookmarkEnd w:id="535"/>
      <w:bookmarkEnd w:id="536"/>
      <w:bookmarkEnd w:id="537"/>
      <w:bookmarkEnd w:id="538"/>
      <w:bookmarkEnd w:id="539"/>
    </w:p>
    <w:p w14:paraId="3B362675">
      <w:pPr>
        <w:spacing w:before="20" w:after="20" w:line="540" w:lineRule="exact"/>
        <w:rPr>
          <w:rFonts w:hint="eastAsia" w:ascii="宋体" w:hAnsi="宋体"/>
          <w:color w:val="auto"/>
          <w:szCs w:val="21"/>
        </w:rPr>
      </w:pPr>
      <w:r>
        <w:rPr>
          <w:rFonts w:hint="eastAsia" w:ascii="宋体" w:hAnsi="宋体"/>
          <w:color w:val="auto"/>
          <w:szCs w:val="21"/>
        </w:rPr>
        <w:t>工程名称：                                              第   页共   页</w:t>
      </w:r>
    </w:p>
    <w:p w14:paraId="0E4EFE32">
      <w:pPr>
        <w:spacing w:before="20" w:after="20" w:line="540" w:lineRule="exact"/>
        <w:jc w:val="center"/>
        <w:outlineLvl w:val="3"/>
        <w:rPr>
          <w:rFonts w:hint="eastAsia" w:ascii="Calibri" w:hAnsi="Calibri"/>
          <w:color w:val="auto"/>
          <w:sz w:val="24"/>
          <w:szCs w:val="22"/>
        </w:rPr>
      </w:pPr>
      <w:r>
        <w:rPr>
          <w:rFonts w:ascii="宋体" w:hAnsi="宋体" w:cs="宋体"/>
          <w:b/>
          <w:color w:val="auto"/>
          <w:szCs w:val="21"/>
        </w:rPr>
        <w:t>品牌推荐表</w:t>
      </w:r>
    </w:p>
    <w:tbl>
      <w:tblPr>
        <w:tblStyle w:val="53"/>
        <w:tblpPr w:leftFromText="180" w:rightFromText="180" w:vertAnchor="text" w:horzAnchor="page" w:tblpX="1471" w:tblpY="910"/>
        <w:tblOverlap w:val="never"/>
        <w:tblW w:w="90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5"/>
        <w:gridCol w:w="1489"/>
        <w:gridCol w:w="5439"/>
        <w:gridCol w:w="1390"/>
      </w:tblGrid>
      <w:tr w14:paraId="75512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053" w:type="dxa"/>
            <w:gridSpan w:val="4"/>
            <w:tcBorders>
              <w:top w:val="nil"/>
              <w:left w:val="nil"/>
              <w:bottom w:val="nil"/>
              <w:right w:val="nil"/>
            </w:tcBorders>
            <w:noWrap w:val="0"/>
            <w:vAlign w:val="center"/>
          </w:tcPr>
          <w:p w14:paraId="7DABCDF4">
            <w:pPr>
              <w:keepNext w:val="0"/>
              <w:keepLines w:val="0"/>
              <w:widowControl/>
              <w:suppressLineNumbers w:val="0"/>
              <w:jc w:val="both"/>
              <w:textAlignment w:val="center"/>
              <w:rPr>
                <w:rFonts w:hint="eastAsia" w:ascii="宋体" w:hAnsi="宋体" w:eastAsia="宋体" w:cs="宋体"/>
                <w:b/>
                <w:bCs/>
                <w:i w:val="0"/>
                <w:iCs w:val="0"/>
                <w:color w:val="auto"/>
                <w:sz w:val="40"/>
                <w:szCs w:val="40"/>
                <w:u w:val="none"/>
              </w:rPr>
            </w:pPr>
          </w:p>
        </w:tc>
      </w:tr>
      <w:tr w14:paraId="52946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35" w:type="dxa"/>
            <w:vMerge w:val="restart"/>
            <w:tcBorders>
              <w:top w:val="single" w:color="000000" w:sz="8" w:space="0"/>
              <w:left w:val="single" w:color="000000" w:sz="8" w:space="0"/>
              <w:bottom w:val="single" w:color="000000" w:sz="4" w:space="0"/>
              <w:right w:val="single" w:color="000000" w:sz="4" w:space="0"/>
            </w:tcBorders>
            <w:noWrap w:val="0"/>
            <w:vAlign w:val="center"/>
          </w:tcPr>
          <w:p w14:paraId="66E819D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489" w:type="dxa"/>
            <w:vMerge w:val="restart"/>
            <w:tcBorders>
              <w:top w:val="single" w:color="000000" w:sz="8" w:space="0"/>
              <w:left w:val="single" w:color="000000" w:sz="4" w:space="0"/>
              <w:bottom w:val="single" w:color="000000" w:sz="4" w:space="0"/>
              <w:right w:val="single" w:color="000000" w:sz="4" w:space="0"/>
            </w:tcBorders>
            <w:noWrap w:val="0"/>
            <w:vAlign w:val="center"/>
          </w:tcPr>
          <w:p w14:paraId="17E65EE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材料名称</w:t>
            </w:r>
          </w:p>
        </w:tc>
        <w:tc>
          <w:tcPr>
            <w:tcW w:w="5439" w:type="dxa"/>
            <w:vMerge w:val="restart"/>
            <w:tcBorders>
              <w:top w:val="single" w:color="000000" w:sz="8" w:space="0"/>
              <w:left w:val="single" w:color="000000" w:sz="4" w:space="0"/>
              <w:bottom w:val="single" w:color="000000" w:sz="4" w:space="0"/>
              <w:right w:val="single" w:color="000000" w:sz="4" w:space="0"/>
            </w:tcBorders>
            <w:noWrap w:val="0"/>
            <w:vAlign w:val="center"/>
          </w:tcPr>
          <w:p w14:paraId="68AE765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推荐入库品牌</w:t>
            </w:r>
          </w:p>
        </w:tc>
        <w:tc>
          <w:tcPr>
            <w:tcW w:w="1390" w:type="dxa"/>
            <w:vMerge w:val="restart"/>
            <w:tcBorders>
              <w:top w:val="single" w:color="000000" w:sz="8" w:space="0"/>
              <w:left w:val="single" w:color="000000" w:sz="4" w:space="0"/>
              <w:bottom w:val="single" w:color="000000" w:sz="4" w:space="0"/>
              <w:right w:val="single" w:color="000000" w:sz="8" w:space="0"/>
            </w:tcBorders>
            <w:noWrap w:val="0"/>
            <w:vAlign w:val="center"/>
          </w:tcPr>
          <w:p w14:paraId="5AFB65CF">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备注</w:t>
            </w:r>
          </w:p>
        </w:tc>
      </w:tr>
      <w:tr w14:paraId="5D504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35" w:type="dxa"/>
            <w:vMerge w:val="continue"/>
            <w:tcBorders>
              <w:top w:val="single" w:color="000000" w:sz="8" w:space="0"/>
              <w:left w:val="single" w:color="000000" w:sz="8" w:space="0"/>
              <w:bottom w:val="single" w:color="000000" w:sz="4" w:space="0"/>
              <w:right w:val="single" w:color="000000" w:sz="4" w:space="0"/>
            </w:tcBorders>
            <w:noWrap w:val="0"/>
            <w:vAlign w:val="center"/>
          </w:tcPr>
          <w:p w14:paraId="2C818DF7">
            <w:pPr>
              <w:jc w:val="center"/>
              <w:rPr>
                <w:rFonts w:hint="eastAsia" w:ascii="宋体" w:hAnsi="宋体" w:eastAsia="宋体" w:cs="宋体"/>
                <w:b/>
                <w:bCs/>
                <w:i w:val="0"/>
                <w:iCs w:val="0"/>
                <w:color w:val="auto"/>
                <w:sz w:val="21"/>
                <w:szCs w:val="21"/>
                <w:u w:val="none"/>
              </w:rPr>
            </w:pPr>
          </w:p>
        </w:tc>
        <w:tc>
          <w:tcPr>
            <w:tcW w:w="1489" w:type="dxa"/>
            <w:vMerge w:val="continue"/>
            <w:tcBorders>
              <w:top w:val="single" w:color="000000" w:sz="8" w:space="0"/>
              <w:left w:val="single" w:color="000000" w:sz="4" w:space="0"/>
              <w:bottom w:val="single" w:color="000000" w:sz="4" w:space="0"/>
              <w:right w:val="single" w:color="000000" w:sz="4" w:space="0"/>
            </w:tcBorders>
            <w:noWrap w:val="0"/>
            <w:vAlign w:val="center"/>
          </w:tcPr>
          <w:p w14:paraId="79681C44">
            <w:pPr>
              <w:jc w:val="center"/>
              <w:rPr>
                <w:rFonts w:hint="eastAsia" w:ascii="宋体" w:hAnsi="宋体" w:eastAsia="宋体" w:cs="宋体"/>
                <w:b/>
                <w:bCs/>
                <w:i w:val="0"/>
                <w:iCs w:val="0"/>
                <w:color w:val="auto"/>
                <w:sz w:val="21"/>
                <w:szCs w:val="21"/>
                <w:u w:val="none"/>
              </w:rPr>
            </w:pPr>
          </w:p>
        </w:tc>
        <w:tc>
          <w:tcPr>
            <w:tcW w:w="5439" w:type="dxa"/>
            <w:vMerge w:val="continue"/>
            <w:tcBorders>
              <w:top w:val="single" w:color="000000" w:sz="8" w:space="0"/>
              <w:left w:val="single" w:color="000000" w:sz="4" w:space="0"/>
              <w:bottom w:val="single" w:color="000000" w:sz="4" w:space="0"/>
              <w:right w:val="single" w:color="000000" w:sz="4" w:space="0"/>
            </w:tcBorders>
            <w:noWrap w:val="0"/>
            <w:vAlign w:val="center"/>
          </w:tcPr>
          <w:p w14:paraId="52C9AB16">
            <w:pPr>
              <w:jc w:val="center"/>
              <w:rPr>
                <w:rFonts w:hint="eastAsia" w:ascii="宋体" w:hAnsi="宋体" w:eastAsia="宋体" w:cs="宋体"/>
                <w:b/>
                <w:bCs/>
                <w:i w:val="0"/>
                <w:iCs w:val="0"/>
                <w:color w:val="auto"/>
                <w:sz w:val="21"/>
                <w:szCs w:val="21"/>
                <w:u w:val="none"/>
              </w:rPr>
            </w:pPr>
          </w:p>
        </w:tc>
        <w:tc>
          <w:tcPr>
            <w:tcW w:w="1390" w:type="dxa"/>
            <w:vMerge w:val="continue"/>
            <w:tcBorders>
              <w:top w:val="single" w:color="000000" w:sz="8" w:space="0"/>
              <w:left w:val="single" w:color="000000" w:sz="4" w:space="0"/>
              <w:bottom w:val="single" w:color="000000" w:sz="4" w:space="0"/>
              <w:right w:val="single" w:color="000000" w:sz="8" w:space="0"/>
            </w:tcBorders>
            <w:noWrap w:val="0"/>
            <w:vAlign w:val="center"/>
          </w:tcPr>
          <w:p w14:paraId="3B1ADA7F">
            <w:pPr>
              <w:jc w:val="center"/>
              <w:rPr>
                <w:rFonts w:hint="eastAsia" w:ascii="宋体" w:hAnsi="宋体" w:eastAsia="宋体" w:cs="宋体"/>
                <w:b/>
                <w:bCs/>
                <w:i w:val="0"/>
                <w:iCs w:val="0"/>
                <w:color w:val="auto"/>
                <w:sz w:val="21"/>
                <w:szCs w:val="21"/>
                <w:u w:val="none"/>
              </w:rPr>
            </w:pPr>
          </w:p>
        </w:tc>
      </w:tr>
      <w:tr w14:paraId="709F9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00FB2248">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一</w:t>
            </w:r>
          </w:p>
        </w:tc>
        <w:tc>
          <w:tcPr>
            <w:tcW w:w="8318" w:type="dxa"/>
            <w:gridSpan w:val="3"/>
            <w:tcBorders>
              <w:top w:val="single" w:color="000000" w:sz="4" w:space="0"/>
              <w:left w:val="single" w:color="000000" w:sz="4" w:space="0"/>
              <w:bottom w:val="single" w:color="000000" w:sz="4" w:space="0"/>
              <w:right w:val="single" w:color="000000" w:sz="8" w:space="0"/>
            </w:tcBorders>
            <w:noWrap w:val="0"/>
            <w:vAlign w:val="center"/>
          </w:tcPr>
          <w:p w14:paraId="62C4C26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土建工程类</w:t>
            </w:r>
          </w:p>
        </w:tc>
      </w:tr>
      <w:tr w14:paraId="76396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7"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76C9A42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3AF4716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水泥</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7336593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海螺牌（安徽海螺水泥股份有限公司）；铁鹏牌（中国铁路物资安徽铁鹏水泥有限公司）；“铸”字牌（安徽省巢铸水泥厂有限公司）</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08898B1E">
            <w:pPr>
              <w:jc w:val="center"/>
              <w:rPr>
                <w:rFonts w:hint="eastAsia" w:ascii="宋体" w:hAnsi="宋体" w:eastAsia="宋体" w:cs="宋体"/>
                <w:i w:val="0"/>
                <w:iCs w:val="0"/>
                <w:color w:val="auto"/>
                <w:sz w:val="21"/>
                <w:szCs w:val="21"/>
                <w:u w:val="none"/>
              </w:rPr>
            </w:pPr>
          </w:p>
        </w:tc>
      </w:tr>
      <w:tr w14:paraId="4CF53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2"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44E7436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44ABB33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钢材（钢筋、钢结构及装饰用型钢、原材等）</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7A6587C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马钢（产地马鞍山）、首钢、马长江（产地当涂县）、沙钢、安钢信阳、宝武鄂钢、宝武武钢</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4BBD1BD">
            <w:pPr>
              <w:jc w:val="left"/>
              <w:rPr>
                <w:rFonts w:hint="eastAsia" w:ascii="宋体" w:hAnsi="宋体" w:eastAsia="宋体" w:cs="宋体"/>
                <w:i w:val="0"/>
                <w:iCs w:val="0"/>
                <w:color w:val="auto"/>
                <w:sz w:val="21"/>
                <w:szCs w:val="21"/>
                <w:u w:val="none"/>
              </w:rPr>
            </w:pPr>
          </w:p>
        </w:tc>
      </w:tr>
      <w:tr w14:paraId="6C7C0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217DED8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598BC428">
            <w:pPr>
              <w:keepNext w:val="0"/>
              <w:keepLines w:val="0"/>
              <w:widowControl/>
              <w:suppressLineNumbers w:val="0"/>
              <w:jc w:val="center"/>
              <w:textAlignment w:val="center"/>
              <w:rPr>
                <w:rFonts w:ascii="新宋体" w:hAnsi="新宋体" w:eastAsia="新宋体" w:cs="新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防水材料（包括防水卷材、防水涂料）</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7A5DA34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东方雨虹、北新禹王、大禹、科顺、卓宝</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2057A728">
            <w:pPr>
              <w:rPr>
                <w:rFonts w:hint="eastAsia" w:ascii="宋体" w:hAnsi="宋体" w:eastAsia="宋体" w:cs="宋体"/>
                <w:i w:val="0"/>
                <w:iCs w:val="0"/>
                <w:color w:val="auto"/>
                <w:sz w:val="21"/>
                <w:szCs w:val="21"/>
                <w:u w:val="none"/>
              </w:rPr>
            </w:pPr>
          </w:p>
        </w:tc>
      </w:tr>
      <w:tr w14:paraId="19F2F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579B0F2B">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二</w:t>
            </w:r>
          </w:p>
        </w:tc>
        <w:tc>
          <w:tcPr>
            <w:tcW w:w="8318" w:type="dxa"/>
            <w:gridSpan w:val="3"/>
            <w:tcBorders>
              <w:top w:val="single" w:color="000000" w:sz="4" w:space="0"/>
              <w:left w:val="single" w:color="000000" w:sz="4" w:space="0"/>
              <w:bottom w:val="single" w:color="000000" w:sz="4" w:space="0"/>
              <w:right w:val="single" w:color="000000" w:sz="8" w:space="0"/>
            </w:tcBorders>
            <w:noWrap w:val="0"/>
            <w:vAlign w:val="center"/>
          </w:tcPr>
          <w:p w14:paraId="33A057D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装饰装修类</w:t>
            </w:r>
          </w:p>
        </w:tc>
      </w:tr>
      <w:tr w14:paraId="691DD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5" w:type="dxa"/>
            <w:tcBorders>
              <w:top w:val="single" w:color="000000" w:sz="4" w:space="0"/>
              <w:left w:val="single" w:color="000000" w:sz="8" w:space="0"/>
              <w:bottom w:val="single" w:color="000000" w:sz="4" w:space="0"/>
              <w:right w:val="single" w:color="000000" w:sz="4" w:space="0"/>
            </w:tcBorders>
            <w:shd w:val="clear" w:color="auto" w:fill="FFFFFF"/>
            <w:noWrap w:val="0"/>
            <w:vAlign w:val="center"/>
          </w:tcPr>
          <w:p w14:paraId="17833BC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1</w:t>
            </w:r>
          </w:p>
        </w:tc>
        <w:tc>
          <w:tcPr>
            <w:tcW w:w="148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6B1C6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内墙涂料（含乳胶漆、水性漆、无机涂料及艺术涂料）</w:t>
            </w:r>
          </w:p>
        </w:tc>
        <w:tc>
          <w:tcPr>
            <w:tcW w:w="543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A9E3E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多乐士、立邦、紫荆花、华润、三棵树、嘉宝莉</w:t>
            </w:r>
          </w:p>
        </w:tc>
        <w:tc>
          <w:tcPr>
            <w:tcW w:w="1390" w:type="dxa"/>
            <w:tcBorders>
              <w:top w:val="single" w:color="000000" w:sz="4" w:space="0"/>
              <w:left w:val="single" w:color="000000" w:sz="4" w:space="0"/>
              <w:bottom w:val="single" w:color="000000" w:sz="4" w:space="0"/>
              <w:right w:val="single" w:color="000000" w:sz="8" w:space="0"/>
            </w:tcBorders>
            <w:shd w:val="clear" w:color="auto" w:fill="FFFFFF"/>
            <w:noWrap w:val="0"/>
            <w:vAlign w:val="center"/>
          </w:tcPr>
          <w:p w14:paraId="4BCF81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使用与品牌配套的腻子粉、底漆、罩面漆</w:t>
            </w:r>
          </w:p>
        </w:tc>
      </w:tr>
      <w:tr w14:paraId="5595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735" w:type="dxa"/>
            <w:tcBorders>
              <w:top w:val="single" w:color="000000" w:sz="4" w:space="0"/>
              <w:left w:val="single" w:color="000000" w:sz="8" w:space="0"/>
              <w:bottom w:val="single" w:color="000000" w:sz="4" w:space="0"/>
              <w:right w:val="single" w:color="000000" w:sz="4" w:space="0"/>
            </w:tcBorders>
            <w:shd w:val="clear" w:color="auto" w:fill="FFFFFF"/>
            <w:noWrap w:val="0"/>
            <w:vAlign w:val="center"/>
          </w:tcPr>
          <w:p w14:paraId="1C74404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2</w:t>
            </w:r>
          </w:p>
        </w:tc>
        <w:tc>
          <w:tcPr>
            <w:tcW w:w="148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68EC9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装饰砂浆</w:t>
            </w:r>
          </w:p>
        </w:tc>
        <w:tc>
          <w:tcPr>
            <w:tcW w:w="543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D9984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快可美（德国）、汉高（德国）、西卡（瑞士）、堡密特</w:t>
            </w:r>
          </w:p>
        </w:tc>
        <w:tc>
          <w:tcPr>
            <w:tcW w:w="1390" w:type="dxa"/>
            <w:tcBorders>
              <w:top w:val="single" w:color="000000" w:sz="4" w:space="0"/>
              <w:left w:val="single" w:color="000000" w:sz="4" w:space="0"/>
              <w:bottom w:val="single" w:color="000000" w:sz="4" w:space="0"/>
              <w:right w:val="single" w:color="000000" w:sz="8" w:space="0"/>
            </w:tcBorders>
            <w:shd w:val="clear" w:color="auto" w:fill="FFFFFF"/>
            <w:noWrap w:val="0"/>
            <w:vAlign w:val="center"/>
          </w:tcPr>
          <w:p w14:paraId="0C6156DD">
            <w:pPr>
              <w:rPr>
                <w:rFonts w:hint="eastAsia" w:ascii="宋体" w:hAnsi="宋体" w:eastAsia="宋体" w:cs="宋体"/>
                <w:i w:val="0"/>
                <w:iCs w:val="0"/>
                <w:color w:val="auto"/>
                <w:sz w:val="21"/>
                <w:szCs w:val="21"/>
                <w:u w:val="none"/>
              </w:rPr>
            </w:pPr>
          </w:p>
        </w:tc>
      </w:tr>
      <w:tr w14:paraId="58AC8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311C9BB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3</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1ACEC32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瓷片、瓷砖、陶瓷薄板、岩板</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5B01FFE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金意陶、斯米克、新中源、冠珠、强辉、宏宇、金舵</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7A82ABF9">
            <w:pPr>
              <w:rPr>
                <w:rFonts w:hint="eastAsia" w:ascii="宋体" w:hAnsi="宋体" w:eastAsia="宋体" w:cs="宋体"/>
                <w:i w:val="0"/>
                <w:iCs w:val="0"/>
                <w:color w:val="auto"/>
                <w:sz w:val="24"/>
                <w:szCs w:val="24"/>
                <w:u w:val="none"/>
              </w:rPr>
            </w:pPr>
          </w:p>
        </w:tc>
      </w:tr>
      <w:tr w14:paraId="752B3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6078CE9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4</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4B0AC93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石膏板</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355BBE9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龙牌、泰山、可耐福、圣戈班·杰科、杰森</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2B568AAE">
            <w:pPr>
              <w:jc w:val="center"/>
              <w:rPr>
                <w:rFonts w:hint="eastAsia" w:ascii="宋体" w:hAnsi="宋体" w:eastAsia="宋体" w:cs="宋体"/>
                <w:i w:val="0"/>
                <w:iCs w:val="0"/>
                <w:color w:val="auto"/>
                <w:sz w:val="24"/>
                <w:szCs w:val="24"/>
                <w:u w:val="none"/>
              </w:rPr>
            </w:pPr>
          </w:p>
        </w:tc>
      </w:tr>
      <w:tr w14:paraId="76DC2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394D82D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4"/>
                <w:szCs w:val="24"/>
                <w:u w:val="none"/>
                <w:lang w:val="en-US" w:eastAsia="zh-CN" w:bidi="ar"/>
              </w:rPr>
              <w:t>5</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3F56BBD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轻钢龙骨</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4189C7E6">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龙牌、泰山、可耐福、圣戈班·杰科、杰森</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3BF1EFD">
            <w:pPr>
              <w:jc w:val="center"/>
              <w:rPr>
                <w:rFonts w:hint="eastAsia" w:ascii="宋体" w:hAnsi="宋体" w:eastAsia="宋体" w:cs="宋体"/>
                <w:i w:val="0"/>
                <w:iCs w:val="0"/>
                <w:color w:val="auto"/>
                <w:sz w:val="24"/>
                <w:szCs w:val="24"/>
                <w:u w:val="none"/>
              </w:rPr>
            </w:pPr>
          </w:p>
        </w:tc>
      </w:tr>
      <w:tr w14:paraId="6C09F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2D1DC59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4"/>
                <w:szCs w:val="24"/>
                <w:u w:val="none"/>
                <w:lang w:val="en-US" w:eastAsia="zh-CN" w:bidi="ar"/>
              </w:rPr>
              <w:t>6</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0A44CBF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木工板/阻燃板/多层板</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319B6709">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兔宝宝、千年舟、莫干山</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24A0642A">
            <w:pPr>
              <w:rPr>
                <w:rFonts w:hint="eastAsia" w:ascii="宋体" w:hAnsi="宋体" w:eastAsia="宋体" w:cs="宋体"/>
                <w:i w:val="0"/>
                <w:iCs w:val="0"/>
                <w:color w:val="auto"/>
                <w:sz w:val="24"/>
                <w:szCs w:val="24"/>
                <w:u w:val="none"/>
              </w:rPr>
            </w:pPr>
          </w:p>
        </w:tc>
      </w:tr>
      <w:tr w14:paraId="0650E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27CF786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4"/>
                <w:szCs w:val="24"/>
                <w:u w:val="none"/>
                <w:lang w:val="en-US" w:eastAsia="zh-CN" w:bidi="ar"/>
              </w:rPr>
              <w:t>7</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7CB1F64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（木）油漆</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3603DAF0">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立邦、嘉宝莉、多乐士、三棵树、华润</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B46A8DF">
            <w:pPr>
              <w:rPr>
                <w:rFonts w:hint="eastAsia" w:ascii="宋体" w:hAnsi="宋体" w:eastAsia="宋体" w:cs="宋体"/>
                <w:i w:val="0"/>
                <w:iCs w:val="0"/>
                <w:color w:val="auto"/>
                <w:sz w:val="24"/>
                <w:szCs w:val="24"/>
                <w:u w:val="none"/>
              </w:rPr>
            </w:pPr>
          </w:p>
        </w:tc>
      </w:tr>
      <w:tr w14:paraId="3CA6F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0F7BA8CA">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4"/>
                <w:szCs w:val="24"/>
                <w:u w:val="none"/>
                <w:lang w:val="en-US" w:eastAsia="zh-CN" w:bidi="ar"/>
              </w:rPr>
              <w:t>8</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1B1E3B3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木地板（强化地板、实木复合地板、实木地板）</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3DAD67E9">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生活家、圣象、肯帝亚、大自然、安心、德尔、宏耐</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73230371">
            <w:pPr>
              <w:rPr>
                <w:rFonts w:hint="eastAsia" w:ascii="宋体" w:hAnsi="宋体" w:eastAsia="宋体" w:cs="宋体"/>
                <w:i w:val="0"/>
                <w:iCs w:val="0"/>
                <w:color w:val="auto"/>
                <w:sz w:val="24"/>
                <w:szCs w:val="24"/>
                <w:u w:val="none"/>
              </w:rPr>
            </w:pPr>
          </w:p>
        </w:tc>
      </w:tr>
      <w:tr w14:paraId="0FFFC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4F33BEF3">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4"/>
                <w:szCs w:val="24"/>
                <w:u w:val="none"/>
                <w:lang w:val="en-US" w:eastAsia="zh-CN" w:bidi="ar"/>
              </w:rPr>
              <w:t>9</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46CBD3E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室内柜导轨、铰链</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3F07C688">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国产优质</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0F6A645C">
            <w:pPr>
              <w:rPr>
                <w:rFonts w:hint="eastAsia" w:ascii="宋体" w:hAnsi="宋体" w:eastAsia="宋体" w:cs="宋体"/>
                <w:i w:val="0"/>
                <w:iCs w:val="0"/>
                <w:color w:val="auto"/>
                <w:sz w:val="24"/>
                <w:szCs w:val="24"/>
                <w:u w:val="none"/>
              </w:rPr>
            </w:pPr>
          </w:p>
        </w:tc>
      </w:tr>
      <w:tr w14:paraId="468AD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12D1D674">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4"/>
                <w:szCs w:val="24"/>
                <w:u w:val="none"/>
                <w:lang w:val="en-US" w:eastAsia="zh-CN" w:bidi="ar"/>
              </w:rPr>
              <w:t>10</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7E4012B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室内门锁、执手及五金</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6760BE59">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国产优质</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2C037A4A">
            <w:pPr>
              <w:rPr>
                <w:rFonts w:hint="eastAsia" w:ascii="宋体" w:hAnsi="宋体" w:eastAsia="宋体" w:cs="宋体"/>
                <w:i w:val="0"/>
                <w:iCs w:val="0"/>
                <w:color w:val="auto"/>
                <w:sz w:val="24"/>
                <w:szCs w:val="24"/>
                <w:u w:val="none"/>
              </w:rPr>
            </w:pPr>
          </w:p>
        </w:tc>
      </w:tr>
      <w:tr w14:paraId="6EDAD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6D9479A6">
            <w:pPr>
              <w:keepNext w:val="0"/>
              <w:keepLines w:val="0"/>
              <w:widowControl/>
              <w:suppressLineNumbers w:val="0"/>
              <w:jc w:val="center"/>
              <w:textAlignment w:val="center"/>
              <w:rPr>
                <w:rFonts w:hint="eastAsia" w:ascii="宋体" w:hAnsi="宋体" w:eastAsia="宋体" w:cs="宋体"/>
                <w:b/>
                <w:bCs/>
                <w:i w:val="0"/>
                <w:iCs w:val="0"/>
                <w:color w:val="auto"/>
                <w:kern w:val="2"/>
                <w:sz w:val="24"/>
                <w:szCs w:val="24"/>
                <w:u w:val="none"/>
                <w:lang w:val="en-US" w:eastAsia="zh-CN" w:bidi="ar-SA"/>
              </w:rPr>
            </w:pPr>
            <w:r>
              <w:rPr>
                <w:rFonts w:hint="eastAsia" w:ascii="宋体" w:hAnsi="宋体" w:eastAsia="宋体" w:cs="宋体"/>
                <w:b/>
                <w:bCs/>
                <w:i w:val="0"/>
                <w:iCs w:val="0"/>
                <w:color w:val="auto"/>
                <w:kern w:val="0"/>
                <w:sz w:val="24"/>
                <w:szCs w:val="24"/>
                <w:u w:val="none"/>
                <w:lang w:val="en-US" w:eastAsia="zh-CN" w:bidi="ar"/>
              </w:rPr>
              <w:t>三</w:t>
            </w:r>
          </w:p>
        </w:tc>
        <w:tc>
          <w:tcPr>
            <w:tcW w:w="8318" w:type="dxa"/>
            <w:gridSpan w:val="3"/>
            <w:tcBorders>
              <w:top w:val="single" w:color="000000" w:sz="4" w:space="0"/>
              <w:left w:val="single" w:color="000000" w:sz="4" w:space="0"/>
              <w:bottom w:val="single" w:color="000000" w:sz="4" w:space="0"/>
              <w:right w:val="single" w:color="000000" w:sz="8" w:space="0"/>
            </w:tcBorders>
            <w:noWrap w:val="0"/>
            <w:vAlign w:val="center"/>
          </w:tcPr>
          <w:p w14:paraId="27E77CCB">
            <w:pPr>
              <w:keepNext w:val="0"/>
              <w:keepLines w:val="0"/>
              <w:widowControl/>
              <w:suppressLineNumbers w:val="0"/>
              <w:jc w:val="center"/>
              <w:textAlignment w:val="center"/>
              <w:rPr>
                <w:rFonts w:hint="eastAsia" w:ascii="宋体" w:hAnsi="宋体" w:eastAsia="宋体" w:cs="宋体"/>
                <w:b/>
                <w:bCs/>
                <w:i w:val="0"/>
                <w:iCs w:val="0"/>
                <w:color w:val="auto"/>
                <w:kern w:val="2"/>
                <w:sz w:val="24"/>
                <w:szCs w:val="24"/>
                <w:u w:val="none"/>
                <w:lang w:val="en-US" w:eastAsia="zh-CN" w:bidi="ar-SA"/>
              </w:rPr>
            </w:pPr>
            <w:r>
              <w:rPr>
                <w:rFonts w:hint="eastAsia" w:ascii="宋体" w:hAnsi="宋体" w:eastAsia="宋体" w:cs="宋体"/>
                <w:b/>
                <w:bCs/>
                <w:i w:val="0"/>
                <w:iCs w:val="0"/>
                <w:color w:val="auto"/>
                <w:kern w:val="0"/>
                <w:sz w:val="24"/>
                <w:szCs w:val="24"/>
                <w:u w:val="none"/>
                <w:lang w:val="en-US" w:eastAsia="zh-CN" w:bidi="ar"/>
              </w:rPr>
              <w:t>门窗型材类</w:t>
            </w:r>
          </w:p>
        </w:tc>
      </w:tr>
      <w:tr w14:paraId="57765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2599E0C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55758C1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铝型材（含铝合金门窗幕墙）</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24E2892F">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亚铝、兴发、广亚、凤铝、南山</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2201A926">
            <w:pPr>
              <w:rPr>
                <w:rFonts w:hint="eastAsia" w:ascii="宋体" w:hAnsi="宋体" w:eastAsia="宋体" w:cs="宋体"/>
                <w:i w:val="0"/>
                <w:iCs w:val="0"/>
                <w:color w:val="auto"/>
                <w:sz w:val="24"/>
                <w:szCs w:val="24"/>
                <w:u w:val="none"/>
              </w:rPr>
            </w:pPr>
          </w:p>
        </w:tc>
      </w:tr>
      <w:tr w14:paraId="6DDAC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6B876A3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255FAE1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玻璃</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66FF6962">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南玻、耀皮、台玻、信义、金晶（超白玻）</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4F2A5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项目根据情况选用“原厂原片代加工”及“原厂合片”两种模式其一</w:t>
            </w:r>
          </w:p>
        </w:tc>
      </w:tr>
      <w:tr w14:paraId="2A281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77E2113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7A8AF73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门窗/幕墙五金件</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0222E8FB">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五金件推荐品牌：“立兴”牌、“坚朗”牌、“合和”牌、山东“国强”牌</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434DD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包含地弹簧</w:t>
            </w:r>
          </w:p>
        </w:tc>
      </w:tr>
      <w:tr w14:paraId="59C49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15F8D84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2DBB5B0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密封胶/结构胶/防火胶</w:t>
            </w:r>
          </w:p>
        </w:tc>
        <w:tc>
          <w:tcPr>
            <w:tcW w:w="5439" w:type="dxa"/>
            <w:tcBorders>
              <w:top w:val="single" w:color="000000" w:sz="4" w:space="0"/>
              <w:left w:val="single" w:color="000000" w:sz="4" w:space="0"/>
              <w:bottom w:val="single" w:color="000000" w:sz="4" w:space="0"/>
              <w:right w:val="single" w:color="000000" w:sz="4" w:space="0"/>
            </w:tcBorders>
            <w:noWrap w:val="0"/>
            <w:vAlign w:val="center"/>
          </w:tcPr>
          <w:p w14:paraId="31673E7E">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广东白云、杭州之江、郑州中原牌、安泰、硅宝</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B5DE484">
            <w:pPr>
              <w:rPr>
                <w:rFonts w:hint="eastAsia" w:ascii="宋体" w:hAnsi="宋体" w:eastAsia="宋体" w:cs="宋体"/>
                <w:i w:val="0"/>
                <w:iCs w:val="0"/>
                <w:color w:val="auto"/>
                <w:sz w:val="24"/>
                <w:szCs w:val="24"/>
                <w:u w:val="none"/>
              </w:rPr>
            </w:pPr>
          </w:p>
        </w:tc>
      </w:tr>
      <w:tr w14:paraId="34E7B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40CC45A3">
            <w:pPr>
              <w:keepNext w:val="0"/>
              <w:keepLines w:val="0"/>
              <w:widowControl/>
              <w:suppressLineNumbers w:val="0"/>
              <w:jc w:val="center"/>
              <w:textAlignment w:val="center"/>
              <w:rPr>
                <w:rFonts w:hint="eastAsia" w:ascii="宋体" w:hAnsi="宋体" w:eastAsia="宋体" w:cs="宋体"/>
                <w:b/>
                <w:bCs/>
                <w:i w:val="0"/>
                <w:iCs w:val="0"/>
                <w:color w:val="auto"/>
                <w:kern w:val="2"/>
                <w:sz w:val="24"/>
                <w:szCs w:val="24"/>
                <w:u w:val="none"/>
                <w:lang w:val="en-US" w:eastAsia="zh-CN" w:bidi="ar-SA"/>
              </w:rPr>
            </w:pPr>
            <w:r>
              <w:rPr>
                <w:rFonts w:hint="eastAsia" w:ascii="宋体" w:hAnsi="宋体" w:eastAsia="宋体" w:cs="宋体"/>
                <w:b/>
                <w:bCs/>
                <w:i w:val="0"/>
                <w:iCs w:val="0"/>
                <w:color w:val="auto"/>
                <w:kern w:val="0"/>
                <w:sz w:val="24"/>
                <w:szCs w:val="24"/>
                <w:u w:val="none"/>
                <w:lang w:val="en-US" w:eastAsia="zh-CN" w:bidi="ar"/>
              </w:rPr>
              <w:t>四</w:t>
            </w:r>
          </w:p>
        </w:tc>
        <w:tc>
          <w:tcPr>
            <w:tcW w:w="8318" w:type="dxa"/>
            <w:gridSpan w:val="3"/>
            <w:tcBorders>
              <w:top w:val="single" w:color="000000" w:sz="4" w:space="0"/>
              <w:left w:val="single" w:color="000000" w:sz="4" w:space="0"/>
              <w:bottom w:val="single" w:color="000000" w:sz="4" w:space="0"/>
              <w:right w:val="single" w:color="000000" w:sz="8" w:space="0"/>
            </w:tcBorders>
            <w:noWrap w:val="0"/>
            <w:vAlign w:val="center"/>
          </w:tcPr>
          <w:p w14:paraId="1B9D89EE">
            <w:pPr>
              <w:keepNext w:val="0"/>
              <w:keepLines w:val="0"/>
              <w:widowControl/>
              <w:suppressLineNumbers w:val="0"/>
              <w:jc w:val="center"/>
              <w:textAlignment w:val="center"/>
              <w:rPr>
                <w:rFonts w:hint="eastAsia" w:ascii="宋体" w:hAnsi="宋体" w:eastAsia="宋体" w:cs="宋体"/>
                <w:b/>
                <w:bCs/>
                <w:i w:val="0"/>
                <w:iCs w:val="0"/>
                <w:color w:val="auto"/>
                <w:kern w:val="2"/>
                <w:sz w:val="24"/>
                <w:szCs w:val="24"/>
                <w:u w:val="none"/>
                <w:lang w:val="en-US" w:eastAsia="zh-CN" w:bidi="ar-SA"/>
              </w:rPr>
            </w:pPr>
            <w:r>
              <w:rPr>
                <w:rFonts w:hint="eastAsia" w:ascii="宋体" w:hAnsi="宋体" w:eastAsia="宋体" w:cs="宋体"/>
                <w:b/>
                <w:bCs/>
                <w:i w:val="0"/>
                <w:iCs w:val="0"/>
                <w:color w:val="auto"/>
                <w:kern w:val="0"/>
                <w:sz w:val="24"/>
                <w:szCs w:val="24"/>
                <w:u w:val="none"/>
                <w:lang w:val="en-US" w:eastAsia="zh-CN" w:bidi="ar"/>
              </w:rPr>
              <w:t>常规安装工程类</w:t>
            </w:r>
          </w:p>
        </w:tc>
      </w:tr>
      <w:tr w14:paraId="77696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4E7C4A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1</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0E5688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空调</w:t>
            </w:r>
          </w:p>
        </w:tc>
        <w:tc>
          <w:tcPr>
            <w:tcW w:w="5439" w:type="dxa"/>
            <w:tcBorders>
              <w:top w:val="single" w:color="000000" w:sz="4" w:space="0"/>
              <w:left w:val="single" w:color="000000" w:sz="4" w:space="0"/>
              <w:bottom w:val="single" w:color="000000" w:sz="4" w:space="0"/>
              <w:right w:val="nil"/>
            </w:tcBorders>
            <w:noWrap w:val="0"/>
            <w:vAlign w:val="center"/>
          </w:tcPr>
          <w:p w14:paraId="3235524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 xml:space="preserve">                                                               格力、美的、海尔、海信日立</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E348847">
            <w:pPr>
              <w:jc w:val="left"/>
              <w:rPr>
                <w:rFonts w:hint="eastAsia" w:ascii="宋体" w:hAnsi="宋体" w:eastAsia="宋体" w:cs="宋体"/>
                <w:i w:val="0"/>
                <w:iCs w:val="0"/>
                <w:color w:val="auto"/>
                <w:sz w:val="22"/>
                <w:szCs w:val="22"/>
                <w:u w:val="none"/>
              </w:rPr>
            </w:pPr>
          </w:p>
        </w:tc>
      </w:tr>
      <w:tr w14:paraId="11E9A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04747F4C">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kern w:val="0"/>
                <w:sz w:val="24"/>
                <w:szCs w:val="24"/>
                <w:u w:val="none"/>
                <w:lang w:val="en-US" w:eastAsia="zh-CN" w:bidi="ar"/>
              </w:rPr>
              <w:t>2</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0B9498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管道保温</w:t>
            </w:r>
          </w:p>
        </w:tc>
        <w:tc>
          <w:tcPr>
            <w:tcW w:w="5439" w:type="dxa"/>
            <w:tcBorders>
              <w:top w:val="single" w:color="000000" w:sz="4" w:space="0"/>
              <w:left w:val="single" w:color="000000" w:sz="4" w:space="0"/>
              <w:bottom w:val="single" w:color="000000" w:sz="4" w:space="0"/>
              <w:right w:val="nil"/>
            </w:tcBorders>
            <w:noWrap w:val="0"/>
            <w:vAlign w:val="center"/>
          </w:tcPr>
          <w:p w14:paraId="637068F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华美、福乐斯、赢胜、华美奥美斯</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02C9952A">
            <w:pPr>
              <w:jc w:val="left"/>
              <w:rPr>
                <w:rFonts w:hint="eastAsia" w:ascii="宋体" w:hAnsi="宋体" w:eastAsia="宋体" w:cs="宋体"/>
                <w:i w:val="0"/>
                <w:iCs w:val="0"/>
                <w:color w:val="auto"/>
                <w:sz w:val="22"/>
                <w:szCs w:val="22"/>
                <w:u w:val="none"/>
              </w:rPr>
            </w:pPr>
          </w:p>
        </w:tc>
      </w:tr>
      <w:tr w14:paraId="2A275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56509A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3</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4BDE31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铜管</w:t>
            </w:r>
          </w:p>
        </w:tc>
        <w:tc>
          <w:tcPr>
            <w:tcW w:w="5439" w:type="dxa"/>
            <w:tcBorders>
              <w:top w:val="single" w:color="000000" w:sz="4" w:space="0"/>
              <w:left w:val="single" w:color="000000" w:sz="4" w:space="0"/>
              <w:bottom w:val="single" w:color="000000" w:sz="4" w:space="0"/>
              <w:right w:val="nil"/>
            </w:tcBorders>
            <w:noWrap w:val="0"/>
            <w:vAlign w:val="center"/>
          </w:tcPr>
          <w:p w14:paraId="62C7379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明旺、青岛宏泰、 鲸龙 、浙江宏磊、张铜、中佳</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0B9F4A0D">
            <w:pPr>
              <w:jc w:val="left"/>
              <w:rPr>
                <w:rFonts w:hint="eastAsia" w:ascii="宋体" w:hAnsi="宋体" w:eastAsia="宋体" w:cs="宋体"/>
                <w:i w:val="0"/>
                <w:iCs w:val="0"/>
                <w:color w:val="auto"/>
                <w:sz w:val="22"/>
                <w:szCs w:val="22"/>
                <w:u w:val="none"/>
              </w:rPr>
            </w:pPr>
          </w:p>
        </w:tc>
      </w:tr>
      <w:tr w14:paraId="08A61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29A4EB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4</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680AA4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电工套管、塑料穿线管</w:t>
            </w:r>
          </w:p>
        </w:tc>
        <w:tc>
          <w:tcPr>
            <w:tcW w:w="5439" w:type="dxa"/>
            <w:tcBorders>
              <w:top w:val="single" w:color="000000" w:sz="4" w:space="0"/>
              <w:left w:val="single" w:color="000000" w:sz="4" w:space="0"/>
              <w:bottom w:val="single" w:color="000000" w:sz="4" w:space="0"/>
              <w:right w:val="nil"/>
            </w:tcBorders>
            <w:noWrap w:val="0"/>
            <w:vAlign w:val="center"/>
          </w:tcPr>
          <w:p w14:paraId="607C033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联塑、公元、康泰、华亚</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2CB4E506">
            <w:pPr>
              <w:jc w:val="left"/>
              <w:rPr>
                <w:rFonts w:hint="eastAsia" w:ascii="宋体" w:hAnsi="宋体" w:eastAsia="宋体" w:cs="宋体"/>
                <w:i w:val="0"/>
                <w:iCs w:val="0"/>
                <w:color w:val="auto"/>
                <w:sz w:val="22"/>
                <w:szCs w:val="22"/>
                <w:u w:val="none"/>
              </w:rPr>
            </w:pPr>
          </w:p>
        </w:tc>
      </w:tr>
      <w:tr w14:paraId="71A7C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25FA2A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5</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513FD4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给、排水系列（塑料管、钢丝网骨架管）</w:t>
            </w:r>
          </w:p>
        </w:tc>
        <w:tc>
          <w:tcPr>
            <w:tcW w:w="5439" w:type="dxa"/>
            <w:tcBorders>
              <w:top w:val="single" w:color="000000" w:sz="4" w:space="0"/>
              <w:left w:val="single" w:color="000000" w:sz="4" w:space="0"/>
              <w:bottom w:val="single" w:color="000000" w:sz="4" w:space="0"/>
              <w:right w:val="nil"/>
            </w:tcBorders>
            <w:noWrap w:val="0"/>
            <w:vAlign w:val="center"/>
          </w:tcPr>
          <w:p w14:paraId="4098E8D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联塑、国通、公元、欧波</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3562A0AC">
            <w:pPr>
              <w:jc w:val="center"/>
              <w:rPr>
                <w:rFonts w:hint="eastAsia" w:ascii="宋体" w:hAnsi="宋体" w:eastAsia="宋体" w:cs="宋体"/>
                <w:i w:val="0"/>
                <w:iCs w:val="0"/>
                <w:color w:val="auto"/>
                <w:sz w:val="22"/>
                <w:szCs w:val="22"/>
                <w:u w:val="none"/>
              </w:rPr>
            </w:pPr>
          </w:p>
        </w:tc>
      </w:tr>
      <w:tr w14:paraId="2C139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26EABC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6</w:t>
            </w:r>
          </w:p>
        </w:tc>
        <w:tc>
          <w:tcPr>
            <w:tcW w:w="1489" w:type="dxa"/>
            <w:tcBorders>
              <w:top w:val="single" w:color="000000" w:sz="4" w:space="0"/>
              <w:left w:val="single" w:color="000000" w:sz="4" w:space="0"/>
              <w:bottom w:val="nil"/>
              <w:right w:val="single" w:color="000000" w:sz="4" w:space="0"/>
            </w:tcBorders>
            <w:noWrap w:val="0"/>
            <w:vAlign w:val="center"/>
          </w:tcPr>
          <w:p w14:paraId="6256EE4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镀锌管材</w:t>
            </w:r>
          </w:p>
        </w:tc>
        <w:tc>
          <w:tcPr>
            <w:tcW w:w="5439" w:type="dxa"/>
            <w:tcBorders>
              <w:top w:val="single" w:color="000000" w:sz="4" w:space="0"/>
              <w:left w:val="single" w:color="000000" w:sz="4" w:space="0"/>
              <w:bottom w:val="single" w:color="000000" w:sz="4" w:space="0"/>
              <w:right w:val="nil"/>
            </w:tcBorders>
            <w:noWrap w:val="0"/>
            <w:vAlign w:val="center"/>
          </w:tcPr>
          <w:p w14:paraId="7D7538F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友发钢管、河北衡水华岐、浙江金洲牌、天津利达</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58FA41E8">
            <w:pPr>
              <w:jc w:val="left"/>
              <w:rPr>
                <w:rFonts w:hint="eastAsia" w:ascii="宋体" w:hAnsi="宋体" w:eastAsia="宋体" w:cs="宋体"/>
                <w:i w:val="0"/>
                <w:iCs w:val="0"/>
                <w:color w:val="auto"/>
                <w:sz w:val="22"/>
                <w:szCs w:val="22"/>
                <w:u w:val="none"/>
              </w:rPr>
            </w:pPr>
          </w:p>
        </w:tc>
      </w:tr>
      <w:tr w14:paraId="1FFED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325380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7</w:t>
            </w:r>
          </w:p>
        </w:tc>
        <w:tc>
          <w:tcPr>
            <w:tcW w:w="1489" w:type="dxa"/>
            <w:tcBorders>
              <w:top w:val="single" w:color="000000" w:sz="4" w:space="0"/>
              <w:left w:val="single" w:color="000000" w:sz="4" w:space="0"/>
              <w:bottom w:val="nil"/>
              <w:right w:val="single" w:color="000000" w:sz="4" w:space="0"/>
            </w:tcBorders>
            <w:noWrap w:val="0"/>
            <w:vAlign w:val="center"/>
          </w:tcPr>
          <w:p w14:paraId="31A773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钢制/铸铁管材</w:t>
            </w:r>
          </w:p>
        </w:tc>
        <w:tc>
          <w:tcPr>
            <w:tcW w:w="5439" w:type="dxa"/>
            <w:tcBorders>
              <w:top w:val="single" w:color="000000" w:sz="4" w:space="0"/>
              <w:left w:val="single" w:color="000000" w:sz="4" w:space="0"/>
              <w:bottom w:val="single" w:color="000000" w:sz="4" w:space="0"/>
              <w:right w:val="nil"/>
            </w:tcBorders>
            <w:noWrap w:val="0"/>
            <w:vAlign w:val="center"/>
          </w:tcPr>
          <w:p w14:paraId="07A6D1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新兴、泫氏、圣戈班、汇鑫源、济钢</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283C93E2">
            <w:pPr>
              <w:jc w:val="left"/>
              <w:rPr>
                <w:rFonts w:hint="eastAsia" w:ascii="宋体" w:hAnsi="宋体" w:eastAsia="宋体" w:cs="宋体"/>
                <w:i w:val="0"/>
                <w:iCs w:val="0"/>
                <w:color w:val="auto"/>
                <w:sz w:val="24"/>
                <w:szCs w:val="24"/>
                <w:u w:val="none"/>
              </w:rPr>
            </w:pPr>
          </w:p>
        </w:tc>
      </w:tr>
      <w:tr w14:paraId="670E9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339A94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8</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2905746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不锈钢管材</w:t>
            </w:r>
          </w:p>
        </w:tc>
        <w:tc>
          <w:tcPr>
            <w:tcW w:w="5439" w:type="dxa"/>
            <w:tcBorders>
              <w:top w:val="single" w:color="000000" w:sz="4" w:space="0"/>
              <w:left w:val="single" w:color="000000" w:sz="4" w:space="0"/>
              <w:bottom w:val="single" w:color="000000" w:sz="4" w:space="0"/>
              <w:right w:val="nil"/>
            </w:tcBorders>
            <w:noWrap w:val="0"/>
            <w:vAlign w:val="center"/>
          </w:tcPr>
          <w:p w14:paraId="4FBD34B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正康、美亚、共同管业、联塑、民乐管业</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30E16806">
            <w:pPr>
              <w:jc w:val="left"/>
              <w:rPr>
                <w:rFonts w:hint="eastAsia" w:ascii="宋体" w:hAnsi="宋体" w:eastAsia="宋体" w:cs="宋体"/>
                <w:i w:val="0"/>
                <w:iCs w:val="0"/>
                <w:color w:val="auto"/>
                <w:sz w:val="24"/>
                <w:szCs w:val="24"/>
                <w:u w:val="none"/>
              </w:rPr>
            </w:pPr>
          </w:p>
        </w:tc>
      </w:tr>
      <w:tr w14:paraId="268DB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15E61E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9</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329C4C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智能疏散与应急照明</w:t>
            </w:r>
          </w:p>
        </w:tc>
        <w:tc>
          <w:tcPr>
            <w:tcW w:w="5439" w:type="dxa"/>
            <w:tcBorders>
              <w:top w:val="single" w:color="000000" w:sz="4" w:space="0"/>
              <w:left w:val="single" w:color="000000" w:sz="4" w:space="0"/>
              <w:bottom w:val="single" w:color="000000" w:sz="4" w:space="0"/>
              <w:right w:val="nil"/>
            </w:tcBorders>
            <w:noWrap w:val="0"/>
            <w:vAlign w:val="center"/>
          </w:tcPr>
          <w:p w14:paraId="071BD8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 xml:space="preserve">  蚌埠依爱、深圳泰和安、青岛鼎信、北京动力源、浙江台谊</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089E2270">
            <w:pPr>
              <w:jc w:val="left"/>
              <w:rPr>
                <w:rFonts w:hint="eastAsia" w:ascii="宋体" w:hAnsi="宋体" w:eastAsia="宋体" w:cs="宋体"/>
                <w:i w:val="0"/>
                <w:iCs w:val="0"/>
                <w:color w:val="auto"/>
                <w:sz w:val="24"/>
                <w:szCs w:val="24"/>
                <w:u w:val="none"/>
              </w:rPr>
            </w:pPr>
          </w:p>
        </w:tc>
      </w:tr>
      <w:tr w14:paraId="4EE97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4E5ECF00">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4"/>
                <w:szCs w:val="24"/>
                <w:u w:val="none"/>
                <w:lang w:val="en-US" w:eastAsia="zh-CN" w:bidi="ar"/>
              </w:rPr>
              <w:t>10</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2BCBFE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开关插座</w:t>
            </w:r>
          </w:p>
        </w:tc>
        <w:tc>
          <w:tcPr>
            <w:tcW w:w="5439" w:type="dxa"/>
            <w:tcBorders>
              <w:top w:val="single" w:color="000000" w:sz="4" w:space="0"/>
              <w:left w:val="single" w:color="000000" w:sz="4" w:space="0"/>
              <w:bottom w:val="single" w:color="000000" w:sz="4" w:space="0"/>
              <w:right w:val="nil"/>
            </w:tcBorders>
            <w:noWrap w:val="0"/>
            <w:vAlign w:val="center"/>
          </w:tcPr>
          <w:p w14:paraId="63B4390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ABB、施耐德、西门子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                                                                     </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77EDF88B">
            <w:pPr>
              <w:jc w:val="left"/>
              <w:rPr>
                <w:rFonts w:hint="eastAsia" w:ascii="宋体" w:hAnsi="宋体" w:eastAsia="宋体" w:cs="宋体"/>
                <w:i w:val="0"/>
                <w:iCs w:val="0"/>
                <w:color w:val="auto"/>
                <w:sz w:val="24"/>
                <w:szCs w:val="24"/>
                <w:u w:val="none"/>
              </w:rPr>
            </w:pPr>
          </w:p>
        </w:tc>
      </w:tr>
      <w:tr w14:paraId="4E920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19DE6E64">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4"/>
                <w:szCs w:val="24"/>
                <w:u w:val="none"/>
                <w:lang w:val="en-US" w:eastAsia="zh-CN" w:bidi="ar"/>
              </w:rPr>
              <w:t>11</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644FF9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室内照明灯具</w:t>
            </w:r>
          </w:p>
        </w:tc>
        <w:tc>
          <w:tcPr>
            <w:tcW w:w="5439" w:type="dxa"/>
            <w:tcBorders>
              <w:top w:val="single" w:color="000000" w:sz="4" w:space="0"/>
              <w:left w:val="single" w:color="000000" w:sz="4" w:space="0"/>
              <w:bottom w:val="single" w:color="000000" w:sz="4" w:space="0"/>
              <w:right w:val="nil"/>
            </w:tcBorders>
            <w:noWrap w:val="0"/>
            <w:vAlign w:val="center"/>
          </w:tcPr>
          <w:p w14:paraId="3E2D83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欧司朗、西顿、飞利浦、松下</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1688688C">
            <w:pPr>
              <w:jc w:val="left"/>
              <w:rPr>
                <w:rFonts w:hint="eastAsia" w:ascii="宋体" w:hAnsi="宋体" w:eastAsia="宋体" w:cs="宋体"/>
                <w:i w:val="0"/>
                <w:iCs w:val="0"/>
                <w:color w:val="auto"/>
                <w:sz w:val="24"/>
                <w:szCs w:val="24"/>
                <w:u w:val="none"/>
              </w:rPr>
            </w:pPr>
          </w:p>
        </w:tc>
      </w:tr>
      <w:tr w14:paraId="20D7A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7"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401C6758">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4"/>
                <w:szCs w:val="24"/>
                <w:u w:val="none"/>
                <w:lang w:val="en-US" w:eastAsia="zh-CN" w:bidi="ar"/>
              </w:rPr>
              <w:t>12</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6E61EF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4"/>
                <w:szCs w:val="24"/>
                <w:u w:val="none"/>
                <w:lang w:val="en-US" w:eastAsia="zh-CN" w:bidi="ar"/>
              </w:rPr>
              <w:t>断路器及双电源开关（低压）</w:t>
            </w:r>
          </w:p>
        </w:tc>
        <w:tc>
          <w:tcPr>
            <w:tcW w:w="5439" w:type="dxa"/>
            <w:tcBorders>
              <w:top w:val="single" w:color="000000" w:sz="4" w:space="0"/>
              <w:left w:val="single" w:color="000000" w:sz="4" w:space="0"/>
              <w:bottom w:val="single" w:color="000000" w:sz="4" w:space="0"/>
              <w:right w:val="nil"/>
            </w:tcBorders>
            <w:noWrap w:val="0"/>
            <w:vAlign w:val="center"/>
          </w:tcPr>
          <w:p w14:paraId="480C42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4"/>
                <w:szCs w:val="24"/>
                <w:u w:val="none"/>
                <w:lang w:val="en-US" w:eastAsia="zh-CN" w:bidi="ar"/>
              </w:rPr>
              <w:t>ABB、施耐德、西门子</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23E9883">
            <w:pPr>
              <w:jc w:val="left"/>
              <w:rPr>
                <w:rFonts w:hint="eastAsia" w:ascii="宋体" w:hAnsi="宋体" w:eastAsia="宋体" w:cs="宋体"/>
                <w:i w:val="0"/>
                <w:iCs w:val="0"/>
                <w:color w:val="auto"/>
                <w:sz w:val="24"/>
                <w:szCs w:val="24"/>
                <w:u w:val="none"/>
              </w:rPr>
            </w:pPr>
          </w:p>
        </w:tc>
      </w:tr>
      <w:tr w14:paraId="5BB27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3535B716">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五</w:t>
            </w:r>
          </w:p>
        </w:tc>
        <w:tc>
          <w:tcPr>
            <w:tcW w:w="8318" w:type="dxa"/>
            <w:gridSpan w:val="3"/>
            <w:tcBorders>
              <w:top w:val="single" w:color="000000" w:sz="4" w:space="0"/>
              <w:left w:val="single" w:color="000000" w:sz="4" w:space="0"/>
              <w:bottom w:val="single" w:color="000000" w:sz="4" w:space="0"/>
              <w:right w:val="single" w:color="000000" w:sz="8" w:space="0"/>
            </w:tcBorders>
            <w:noWrap w:val="0"/>
            <w:vAlign w:val="center"/>
          </w:tcPr>
          <w:p w14:paraId="2501266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智能化系统</w:t>
            </w:r>
          </w:p>
        </w:tc>
      </w:tr>
      <w:tr w14:paraId="06865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46A1C7C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36C02EB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计算机网络系统（交换机）</w:t>
            </w:r>
          </w:p>
        </w:tc>
        <w:tc>
          <w:tcPr>
            <w:tcW w:w="5439" w:type="dxa"/>
            <w:tcBorders>
              <w:top w:val="single" w:color="000000" w:sz="4" w:space="0"/>
              <w:left w:val="single" w:color="000000" w:sz="4" w:space="0"/>
              <w:bottom w:val="single" w:color="000000" w:sz="4" w:space="0"/>
              <w:right w:val="nil"/>
            </w:tcBorders>
            <w:noWrap w:val="0"/>
            <w:vAlign w:val="center"/>
          </w:tcPr>
          <w:p w14:paraId="27F95489">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锐捷、华为、新华三、思科、中兴、迈普</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04459CEB">
            <w:pPr>
              <w:jc w:val="left"/>
              <w:rPr>
                <w:rFonts w:hint="eastAsia" w:ascii="宋体" w:hAnsi="宋体" w:eastAsia="宋体" w:cs="宋体"/>
                <w:i w:val="0"/>
                <w:iCs w:val="0"/>
                <w:color w:val="auto"/>
                <w:sz w:val="24"/>
                <w:szCs w:val="24"/>
                <w:u w:val="none"/>
              </w:rPr>
            </w:pPr>
          </w:p>
        </w:tc>
      </w:tr>
      <w:tr w14:paraId="5360C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55ECF83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3EF8504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智能照明</w:t>
            </w:r>
          </w:p>
        </w:tc>
        <w:tc>
          <w:tcPr>
            <w:tcW w:w="5439" w:type="dxa"/>
            <w:tcBorders>
              <w:top w:val="single" w:color="000000" w:sz="4" w:space="0"/>
              <w:left w:val="single" w:color="000000" w:sz="4" w:space="0"/>
              <w:bottom w:val="single" w:color="000000" w:sz="4" w:space="0"/>
              <w:right w:val="nil"/>
            </w:tcBorders>
            <w:noWrap w:val="0"/>
            <w:vAlign w:val="center"/>
          </w:tcPr>
          <w:p w14:paraId="366CD5B0">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路创、ABB、西门子、飞利浦、欧普</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28ADD512">
            <w:pPr>
              <w:jc w:val="left"/>
              <w:rPr>
                <w:rFonts w:hint="eastAsia" w:ascii="宋体" w:hAnsi="宋体" w:eastAsia="宋体" w:cs="宋体"/>
                <w:i w:val="0"/>
                <w:iCs w:val="0"/>
                <w:color w:val="auto"/>
                <w:sz w:val="24"/>
                <w:szCs w:val="24"/>
                <w:u w:val="none"/>
              </w:rPr>
            </w:pPr>
          </w:p>
        </w:tc>
      </w:tr>
      <w:tr w14:paraId="1789D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1F363B2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4A573DE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桥架</w:t>
            </w:r>
          </w:p>
        </w:tc>
        <w:tc>
          <w:tcPr>
            <w:tcW w:w="5439" w:type="dxa"/>
            <w:tcBorders>
              <w:top w:val="single" w:color="000000" w:sz="4" w:space="0"/>
              <w:left w:val="single" w:color="000000" w:sz="4" w:space="0"/>
              <w:bottom w:val="single" w:color="000000" w:sz="4" w:space="0"/>
              <w:right w:val="nil"/>
            </w:tcBorders>
            <w:noWrap w:val="0"/>
            <w:vAlign w:val="center"/>
          </w:tcPr>
          <w:p w14:paraId="2F8F479D">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上海振大、安徽精工、安徽华瑞桥架、安徽昇鑫电气、江苏大全</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AB1E097">
            <w:pPr>
              <w:jc w:val="left"/>
              <w:rPr>
                <w:rFonts w:hint="eastAsia" w:ascii="宋体" w:hAnsi="宋体" w:eastAsia="宋体" w:cs="宋体"/>
                <w:i w:val="0"/>
                <w:iCs w:val="0"/>
                <w:color w:val="auto"/>
                <w:sz w:val="24"/>
                <w:szCs w:val="24"/>
                <w:u w:val="none"/>
              </w:rPr>
            </w:pPr>
          </w:p>
        </w:tc>
      </w:tr>
      <w:tr w14:paraId="619AD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16CFEA5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58E75D0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电工套管、塑料穿线管</w:t>
            </w:r>
          </w:p>
        </w:tc>
        <w:tc>
          <w:tcPr>
            <w:tcW w:w="5439" w:type="dxa"/>
            <w:tcBorders>
              <w:top w:val="single" w:color="000000" w:sz="4" w:space="0"/>
              <w:left w:val="single" w:color="000000" w:sz="4" w:space="0"/>
              <w:bottom w:val="single" w:color="000000" w:sz="4" w:space="0"/>
              <w:right w:val="nil"/>
            </w:tcBorders>
            <w:noWrap w:val="0"/>
            <w:vAlign w:val="center"/>
          </w:tcPr>
          <w:p w14:paraId="09999570">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联塑、公元、康泰、华亚</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0C04C10E">
            <w:pPr>
              <w:jc w:val="left"/>
              <w:rPr>
                <w:rFonts w:hint="eastAsia" w:ascii="宋体" w:hAnsi="宋体" w:eastAsia="宋体" w:cs="宋体"/>
                <w:i w:val="0"/>
                <w:iCs w:val="0"/>
                <w:color w:val="auto"/>
                <w:sz w:val="24"/>
                <w:szCs w:val="24"/>
                <w:u w:val="none"/>
              </w:rPr>
            </w:pPr>
          </w:p>
        </w:tc>
      </w:tr>
      <w:tr w14:paraId="7CB61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1F43A71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4AFCA6D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电线（缆）</w:t>
            </w:r>
          </w:p>
        </w:tc>
        <w:tc>
          <w:tcPr>
            <w:tcW w:w="5439" w:type="dxa"/>
            <w:tcBorders>
              <w:top w:val="single" w:color="000000" w:sz="4" w:space="0"/>
              <w:left w:val="single" w:color="000000" w:sz="4" w:space="0"/>
              <w:bottom w:val="single" w:color="000000" w:sz="4" w:space="0"/>
              <w:right w:val="nil"/>
            </w:tcBorders>
            <w:noWrap w:val="0"/>
            <w:vAlign w:val="center"/>
          </w:tcPr>
          <w:p w14:paraId="4E1415E6">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安徽绿宝、安徽伟光、安徽虹都、天龙伟业、中大元通、华盛</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1E6F4BCC">
            <w:pPr>
              <w:jc w:val="left"/>
              <w:rPr>
                <w:rFonts w:hint="eastAsia" w:ascii="宋体" w:hAnsi="宋体" w:eastAsia="宋体" w:cs="宋体"/>
                <w:i w:val="0"/>
                <w:iCs w:val="0"/>
                <w:color w:val="auto"/>
                <w:sz w:val="24"/>
                <w:szCs w:val="24"/>
                <w:u w:val="none"/>
              </w:rPr>
            </w:pPr>
          </w:p>
        </w:tc>
      </w:tr>
      <w:tr w14:paraId="68F28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347DFF2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5715423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网络线缆</w:t>
            </w:r>
          </w:p>
        </w:tc>
        <w:tc>
          <w:tcPr>
            <w:tcW w:w="5439" w:type="dxa"/>
            <w:tcBorders>
              <w:top w:val="single" w:color="000000" w:sz="4" w:space="0"/>
              <w:left w:val="single" w:color="000000" w:sz="4" w:space="0"/>
              <w:bottom w:val="single" w:color="000000" w:sz="4" w:space="0"/>
              <w:right w:val="nil"/>
            </w:tcBorders>
            <w:noWrap w:val="0"/>
            <w:vAlign w:val="center"/>
          </w:tcPr>
          <w:p w14:paraId="2E69B5B7">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爱谱华顿、天诚、帝一、帝华、上诚</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65A63FFD">
            <w:pPr>
              <w:jc w:val="left"/>
              <w:rPr>
                <w:rFonts w:hint="eastAsia" w:ascii="宋体" w:hAnsi="宋体" w:eastAsia="宋体" w:cs="宋体"/>
                <w:i w:val="0"/>
                <w:iCs w:val="0"/>
                <w:color w:val="auto"/>
                <w:sz w:val="24"/>
                <w:szCs w:val="24"/>
                <w:u w:val="none"/>
              </w:rPr>
            </w:pPr>
          </w:p>
        </w:tc>
      </w:tr>
      <w:tr w14:paraId="0F42E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735" w:type="dxa"/>
            <w:tcBorders>
              <w:top w:val="single" w:color="000000" w:sz="4" w:space="0"/>
              <w:left w:val="single" w:color="000000" w:sz="8" w:space="0"/>
              <w:bottom w:val="single" w:color="000000" w:sz="4" w:space="0"/>
              <w:right w:val="single" w:color="000000" w:sz="4" w:space="0"/>
            </w:tcBorders>
            <w:noWrap w:val="0"/>
            <w:vAlign w:val="center"/>
          </w:tcPr>
          <w:p w14:paraId="5152950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14:paraId="11EAE8B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智能门锁</w:t>
            </w:r>
          </w:p>
        </w:tc>
        <w:tc>
          <w:tcPr>
            <w:tcW w:w="5439" w:type="dxa"/>
            <w:tcBorders>
              <w:top w:val="single" w:color="000000" w:sz="4" w:space="0"/>
              <w:left w:val="single" w:color="000000" w:sz="4" w:space="0"/>
              <w:bottom w:val="single" w:color="000000" w:sz="4" w:space="0"/>
              <w:right w:val="nil"/>
            </w:tcBorders>
            <w:noWrap w:val="0"/>
            <w:vAlign w:val="center"/>
          </w:tcPr>
          <w:p w14:paraId="4B8E2267">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凯迪仕、海贝斯、德施曼、鹿客</w:t>
            </w:r>
          </w:p>
        </w:tc>
        <w:tc>
          <w:tcPr>
            <w:tcW w:w="1390" w:type="dxa"/>
            <w:tcBorders>
              <w:top w:val="single" w:color="000000" w:sz="4" w:space="0"/>
              <w:left w:val="single" w:color="000000" w:sz="4" w:space="0"/>
              <w:bottom w:val="single" w:color="000000" w:sz="4" w:space="0"/>
              <w:right w:val="single" w:color="000000" w:sz="8" w:space="0"/>
            </w:tcBorders>
            <w:noWrap w:val="0"/>
            <w:vAlign w:val="center"/>
          </w:tcPr>
          <w:p w14:paraId="5E4A9408">
            <w:pPr>
              <w:jc w:val="left"/>
              <w:rPr>
                <w:rFonts w:hint="eastAsia" w:ascii="宋体" w:hAnsi="宋体" w:eastAsia="宋体" w:cs="宋体"/>
                <w:i w:val="0"/>
                <w:iCs w:val="0"/>
                <w:color w:val="auto"/>
                <w:sz w:val="24"/>
                <w:szCs w:val="24"/>
                <w:u w:val="none"/>
              </w:rPr>
            </w:pPr>
          </w:p>
        </w:tc>
      </w:tr>
    </w:tbl>
    <w:p w14:paraId="420A6B7E">
      <w:pPr>
        <w:adjustRightInd w:val="0"/>
        <w:snapToGrid w:val="0"/>
        <w:spacing w:line="360" w:lineRule="auto"/>
        <w:jc w:val="left"/>
        <w:rPr>
          <w:rFonts w:hint="eastAsia" w:ascii="仿宋_GB2312" w:hAnsi="宋体"/>
          <w:color w:val="auto"/>
          <w:szCs w:val="18"/>
        </w:rPr>
      </w:pPr>
    </w:p>
    <w:p w14:paraId="77A0EF85">
      <w:pPr>
        <w:adjustRightInd w:val="0"/>
        <w:snapToGrid w:val="0"/>
        <w:spacing w:line="360" w:lineRule="auto"/>
        <w:jc w:val="left"/>
        <w:rPr>
          <w:rFonts w:hint="eastAsia" w:ascii="仿宋_GB2312" w:hAnsi="宋体"/>
          <w:color w:val="auto"/>
          <w:szCs w:val="18"/>
        </w:rPr>
      </w:pPr>
    </w:p>
    <w:p w14:paraId="7C8501EF">
      <w:pPr>
        <w:adjustRightInd w:val="0"/>
        <w:snapToGrid w:val="0"/>
        <w:spacing w:line="360" w:lineRule="auto"/>
        <w:jc w:val="left"/>
        <w:rPr>
          <w:rFonts w:hint="eastAsia" w:ascii="仿宋_GB2312" w:hAnsi="宋体"/>
          <w:color w:val="auto"/>
          <w:szCs w:val="18"/>
        </w:rPr>
      </w:pPr>
    </w:p>
    <w:p w14:paraId="1243FCB7">
      <w:pPr>
        <w:adjustRightInd w:val="0"/>
        <w:snapToGrid w:val="0"/>
        <w:spacing w:line="360" w:lineRule="auto"/>
        <w:jc w:val="left"/>
        <w:rPr>
          <w:rFonts w:hint="eastAsia" w:ascii="仿宋_GB2312" w:hAnsi="宋体"/>
          <w:color w:val="auto"/>
          <w:szCs w:val="18"/>
        </w:rPr>
      </w:pPr>
    </w:p>
    <w:p w14:paraId="5A330E88">
      <w:pPr>
        <w:adjustRightInd w:val="0"/>
        <w:snapToGrid w:val="0"/>
        <w:spacing w:line="360" w:lineRule="auto"/>
        <w:jc w:val="left"/>
        <w:rPr>
          <w:rFonts w:hint="eastAsia" w:ascii="仿宋_GB2312" w:hAnsi="宋体"/>
          <w:color w:val="auto"/>
          <w:szCs w:val="18"/>
        </w:rPr>
      </w:pPr>
    </w:p>
    <w:p w14:paraId="614D5D56">
      <w:pPr>
        <w:adjustRightInd w:val="0"/>
        <w:snapToGrid w:val="0"/>
        <w:spacing w:line="360" w:lineRule="auto"/>
        <w:jc w:val="left"/>
        <w:rPr>
          <w:rFonts w:hint="eastAsia" w:ascii="仿宋_GB2312" w:hAnsi="宋体"/>
          <w:color w:val="auto"/>
          <w:szCs w:val="18"/>
        </w:rPr>
      </w:pPr>
    </w:p>
    <w:p w14:paraId="3522A533">
      <w:pPr>
        <w:adjustRightInd w:val="0"/>
        <w:snapToGrid w:val="0"/>
        <w:spacing w:line="360" w:lineRule="auto"/>
        <w:jc w:val="left"/>
        <w:rPr>
          <w:rFonts w:hint="eastAsia" w:ascii="仿宋_GB2312" w:hAnsi="宋体"/>
          <w:color w:val="auto"/>
          <w:szCs w:val="18"/>
        </w:rPr>
      </w:pPr>
    </w:p>
    <w:p w14:paraId="41CFC109">
      <w:pPr>
        <w:adjustRightInd w:val="0"/>
        <w:snapToGrid w:val="0"/>
        <w:spacing w:line="360" w:lineRule="auto"/>
        <w:jc w:val="left"/>
        <w:rPr>
          <w:rFonts w:hint="eastAsia" w:ascii="仿宋_GB2312" w:hAnsi="宋体"/>
          <w:color w:val="auto"/>
          <w:szCs w:val="18"/>
        </w:rPr>
      </w:pPr>
    </w:p>
    <w:p w14:paraId="297E6443">
      <w:pPr>
        <w:adjustRightInd w:val="0"/>
        <w:snapToGrid w:val="0"/>
        <w:spacing w:line="360" w:lineRule="auto"/>
        <w:jc w:val="left"/>
        <w:rPr>
          <w:rFonts w:hint="eastAsia" w:ascii="仿宋_GB2312" w:hAnsi="宋体"/>
          <w:color w:val="auto"/>
          <w:szCs w:val="18"/>
        </w:rPr>
      </w:pPr>
    </w:p>
    <w:p w14:paraId="0E50534D">
      <w:pPr>
        <w:adjustRightInd w:val="0"/>
        <w:snapToGrid w:val="0"/>
        <w:spacing w:line="360" w:lineRule="auto"/>
        <w:jc w:val="left"/>
        <w:rPr>
          <w:rFonts w:hint="eastAsia" w:ascii="仿宋_GB2312" w:hAnsi="宋体"/>
          <w:color w:val="auto"/>
          <w:szCs w:val="18"/>
        </w:rPr>
      </w:pPr>
    </w:p>
    <w:p w14:paraId="1042A413">
      <w:pPr>
        <w:adjustRightInd w:val="0"/>
        <w:snapToGrid w:val="0"/>
        <w:spacing w:line="360" w:lineRule="auto"/>
        <w:jc w:val="left"/>
        <w:rPr>
          <w:rFonts w:hint="eastAsia" w:ascii="仿宋_GB2312" w:hAnsi="宋体"/>
          <w:color w:val="auto"/>
          <w:szCs w:val="18"/>
        </w:rPr>
      </w:pPr>
    </w:p>
    <w:p w14:paraId="18BF436B">
      <w:pPr>
        <w:adjustRightInd w:val="0"/>
        <w:snapToGrid w:val="0"/>
        <w:spacing w:line="360" w:lineRule="auto"/>
        <w:jc w:val="left"/>
        <w:rPr>
          <w:rFonts w:hint="eastAsia" w:ascii="仿宋_GB2312" w:hAnsi="宋体"/>
          <w:color w:val="auto"/>
          <w:szCs w:val="18"/>
        </w:rPr>
      </w:pPr>
    </w:p>
    <w:p w14:paraId="230C94C5">
      <w:pPr>
        <w:adjustRightInd w:val="0"/>
        <w:snapToGrid w:val="0"/>
        <w:spacing w:line="360" w:lineRule="auto"/>
        <w:jc w:val="left"/>
        <w:rPr>
          <w:rFonts w:hint="eastAsia" w:ascii="仿宋_GB2312" w:hAnsi="宋体"/>
          <w:color w:val="auto"/>
          <w:szCs w:val="18"/>
        </w:rPr>
      </w:pPr>
    </w:p>
    <w:p w14:paraId="532C18F6">
      <w:pPr>
        <w:adjustRightInd w:val="0"/>
        <w:snapToGrid w:val="0"/>
        <w:spacing w:line="360" w:lineRule="auto"/>
        <w:jc w:val="left"/>
        <w:rPr>
          <w:rFonts w:hint="eastAsia" w:ascii="仿宋_GB2312" w:hAnsi="宋体"/>
          <w:color w:val="auto"/>
          <w:szCs w:val="18"/>
        </w:rPr>
      </w:pPr>
    </w:p>
    <w:p w14:paraId="5036FC26">
      <w:pPr>
        <w:adjustRightInd w:val="0"/>
        <w:snapToGrid w:val="0"/>
        <w:spacing w:line="360" w:lineRule="auto"/>
        <w:jc w:val="left"/>
        <w:rPr>
          <w:rFonts w:hint="eastAsia" w:ascii="仿宋_GB2312" w:hAnsi="宋体"/>
          <w:color w:val="auto"/>
          <w:szCs w:val="18"/>
        </w:rPr>
      </w:pPr>
    </w:p>
    <w:p w14:paraId="54F2C44E">
      <w:pPr>
        <w:adjustRightInd w:val="0"/>
        <w:snapToGrid w:val="0"/>
        <w:spacing w:line="360" w:lineRule="auto"/>
        <w:jc w:val="left"/>
        <w:rPr>
          <w:rFonts w:hint="eastAsia" w:ascii="仿宋_GB2312" w:hAnsi="宋体"/>
          <w:color w:val="auto"/>
          <w:szCs w:val="18"/>
        </w:rPr>
      </w:pPr>
    </w:p>
    <w:p w14:paraId="5083269B">
      <w:pPr>
        <w:adjustRightInd w:val="0"/>
        <w:snapToGrid w:val="0"/>
        <w:spacing w:line="360" w:lineRule="auto"/>
        <w:jc w:val="left"/>
        <w:rPr>
          <w:rFonts w:hint="eastAsia" w:ascii="仿宋_GB2312" w:hAnsi="宋体"/>
          <w:color w:val="auto"/>
          <w:szCs w:val="18"/>
        </w:rPr>
      </w:pPr>
    </w:p>
    <w:p w14:paraId="3F41DBDE">
      <w:pPr>
        <w:adjustRightInd w:val="0"/>
        <w:snapToGrid w:val="0"/>
        <w:spacing w:line="360" w:lineRule="auto"/>
        <w:jc w:val="left"/>
        <w:rPr>
          <w:rFonts w:hint="eastAsia" w:ascii="仿宋_GB2312" w:hAnsi="宋体"/>
          <w:color w:val="auto"/>
          <w:szCs w:val="18"/>
        </w:rPr>
      </w:pPr>
    </w:p>
    <w:p w14:paraId="05398CE0">
      <w:pPr>
        <w:adjustRightInd w:val="0"/>
        <w:snapToGrid w:val="0"/>
        <w:spacing w:line="360" w:lineRule="auto"/>
        <w:jc w:val="left"/>
        <w:rPr>
          <w:rFonts w:hint="eastAsia" w:ascii="仿宋_GB2312" w:hAnsi="宋体"/>
          <w:color w:val="auto"/>
          <w:szCs w:val="18"/>
        </w:rPr>
      </w:pPr>
    </w:p>
    <w:p w14:paraId="63553C8E">
      <w:pPr>
        <w:adjustRightInd w:val="0"/>
        <w:snapToGrid w:val="0"/>
        <w:spacing w:line="360" w:lineRule="auto"/>
        <w:jc w:val="left"/>
        <w:rPr>
          <w:rFonts w:hint="eastAsia" w:ascii="仿宋_GB2312" w:hAnsi="宋体"/>
          <w:color w:val="auto"/>
          <w:szCs w:val="18"/>
        </w:rPr>
      </w:pPr>
    </w:p>
    <w:p w14:paraId="5F01213B">
      <w:pPr>
        <w:adjustRightInd w:val="0"/>
        <w:snapToGrid w:val="0"/>
        <w:spacing w:line="360" w:lineRule="auto"/>
        <w:jc w:val="left"/>
        <w:rPr>
          <w:rFonts w:hint="eastAsia" w:ascii="仿宋_GB2312" w:hAnsi="宋体"/>
          <w:color w:val="auto"/>
          <w:szCs w:val="18"/>
        </w:rPr>
      </w:pPr>
    </w:p>
    <w:p w14:paraId="79641F5C">
      <w:pPr>
        <w:adjustRightInd w:val="0"/>
        <w:snapToGrid w:val="0"/>
        <w:spacing w:line="360" w:lineRule="auto"/>
        <w:jc w:val="left"/>
        <w:rPr>
          <w:rFonts w:hint="eastAsia" w:ascii="仿宋_GB2312" w:hAnsi="宋体"/>
          <w:color w:val="auto"/>
          <w:szCs w:val="18"/>
        </w:rPr>
      </w:pPr>
    </w:p>
    <w:p w14:paraId="31BB9798">
      <w:pPr>
        <w:adjustRightInd w:val="0"/>
        <w:snapToGrid w:val="0"/>
        <w:spacing w:line="360" w:lineRule="auto"/>
        <w:jc w:val="left"/>
        <w:rPr>
          <w:rFonts w:hint="eastAsia" w:ascii="仿宋_GB2312" w:hAnsi="宋体"/>
          <w:color w:val="auto"/>
          <w:szCs w:val="18"/>
        </w:rPr>
      </w:pPr>
    </w:p>
    <w:p w14:paraId="746DE960">
      <w:pPr>
        <w:adjustRightInd w:val="0"/>
        <w:snapToGrid w:val="0"/>
        <w:spacing w:line="360" w:lineRule="auto"/>
        <w:jc w:val="left"/>
        <w:rPr>
          <w:rFonts w:hint="eastAsia" w:ascii="仿宋_GB2312" w:hAnsi="宋体"/>
          <w:color w:val="auto"/>
          <w:szCs w:val="18"/>
        </w:rPr>
      </w:pPr>
    </w:p>
    <w:p w14:paraId="09212317">
      <w:pPr>
        <w:adjustRightInd w:val="0"/>
        <w:snapToGrid w:val="0"/>
        <w:spacing w:line="360" w:lineRule="auto"/>
        <w:jc w:val="left"/>
        <w:rPr>
          <w:rFonts w:hint="eastAsia" w:ascii="仿宋_GB2312" w:hAnsi="宋体"/>
          <w:color w:val="auto"/>
          <w:szCs w:val="18"/>
        </w:rPr>
      </w:pPr>
    </w:p>
    <w:p w14:paraId="5A4C3A94">
      <w:pPr>
        <w:adjustRightInd w:val="0"/>
        <w:snapToGrid w:val="0"/>
        <w:spacing w:line="360" w:lineRule="auto"/>
        <w:jc w:val="left"/>
        <w:rPr>
          <w:rFonts w:hint="eastAsia" w:ascii="仿宋_GB2312" w:hAnsi="宋体"/>
          <w:color w:val="auto"/>
          <w:szCs w:val="18"/>
        </w:rPr>
      </w:pPr>
    </w:p>
    <w:p w14:paraId="201877E1">
      <w:pPr>
        <w:adjustRightInd w:val="0"/>
        <w:snapToGrid w:val="0"/>
        <w:spacing w:line="360" w:lineRule="auto"/>
        <w:jc w:val="left"/>
        <w:rPr>
          <w:rFonts w:hint="eastAsia" w:ascii="仿宋_GB2312" w:hAnsi="宋体"/>
          <w:color w:val="auto"/>
          <w:szCs w:val="18"/>
        </w:rPr>
      </w:pPr>
    </w:p>
    <w:p w14:paraId="749E9F2F">
      <w:pPr>
        <w:jc w:val="center"/>
        <w:outlineLvl w:val="2"/>
        <w:rPr>
          <w:rFonts w:ascii="宋体" w:hAnsi="宋体" w:cs="宋体"/>
          <w:b/>
          <w:color w:val="auto"/>
          <w:sz w:val="18"/>
          <w:szCs w:val="18"/>
          <w:lang w:val="zh-CN"/>
        </w:rPr>
      </w:pPr>
    </w:p>
    <w:p w14:paraId="0664D12D">
      <w:pPr>
        <w:jc w:val="both"/>
        <w:outlineLvl w:val="2"/>
        <w:rPr>
          <w:rFonts w:hint="eastAsia"/>
          <w:color w:val="auto"/>
          <w:sz w:val="28"/>
          <w:szCs w:val="28"/>
        </w:rPr>
      </w:pPr>
      <w:r>
        <w:rPr>
          <w:rFonts w:ascii="宋体" w:hAnsi="宋体" w:cs="宋体"/>
          <w:b/>
          <w:color w:val="auto"/>
          <w:sz w:val="18"/>
          <w:szCs w:val="18"/>
          <w:lang w:val="zh-CN"/>
        </w:rPr>
        <w:br w:type="page"/>
      </w:r>
      <w:r>
        <w:rPr>
          <w:rFonts w:hint="eastAsia"/>
          <w:color w:val="auto"/>
          <w:sz w:val="28"/>
          <w:szCs w:val="28"/>
        </w:rPr>
        <w:t>（十九）降低投标报价说明、证明材料</w:t>
      </w:r>
      <w:bookmarkEnd w:id="532"/>
      <w:bookmarkEnd w:id="533"/>
      <w:bookmarkEnd w:id="534"/>
    </w:p>
    <w:p w14:paraId="0C9188D1">
      <w:pPr>
        <w:jc w:val="center"/>
        <w:rPr>
          <w:rFonts w:hint="eastAsia" w:ascii="宋体" w:hAnsi="宋体"/>
          <w:color w:val="auto"/>
          <w:kern w:val="0"/>
          <w:sz w:val="30"/>
          <w:szCs w:val="22"/>
        </w:rPr>
      </w:pPr>
    </w:p>
    <w:tbl>
      <w:tblPr>
        <w:tblStyle w:val="5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309"/>
      </w:tblGrid>
      <w:tr w14:paraId="2B763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4" w:hRule="atLeast"/>
          <w:jc w:val="center"/>
        </w:trPr>
        <w:tc>
          <w:tcPr>
            <w:tcW w:w="5000" w:type="pct"/>
            <w:noWrap w:val="0"/>
            <w:vAlign w:val="top"/>
          </w:tcPr>
          <w:p w14:paraId="62AC8811">
            <w:pPr>
              <w:spacing w:before="20" w:after="20" w:line="540" w:lineRule="exact"/>
              <w:rPr>
                <w:rFonts w:hint="eastAsia" w:ascii="宋体" w:hAnsi="宋体"/>
                <w:color w:val="auto"/>
                <w:sz w:val="24"/>
                <w:szCs w:val="22"/>
              </w:rPr>
            </w:pPr>
          </w:p>
        </w:tc>
      </w:tr>
    </w:tbl>
    <w:p w14:paraId="245D917F">
      <w:pPr>
        <w:spacing w:line="360" w:lineRule="auto"/>
        <w:ind w:firstLine="420" w:firstLineChars="200"/>
        <w:jc w:val="left"/>
        <w:rPr>
          <w:rFonts w:ascii="宋体" w:hAnsi="宋体" w:cs="仿宋"/>
          <w:bCs/>
          <w:color w:val="auto"/>
          <w:szCs w:val="18"/>
        </w:rPr>
      </w:pPr>
      <w:r>
        <w:rPr>
          <w:rFonts w:hint="eastAsia" w:ascii="宋体" w:hAnsi="宋体"/>
          <w:color w:val="auto"/>
          <w:szCs w:val="21"/>
        </w:rPr>
        <w:t>1. 本</w:t>
      </w:r>
      <w:r>
        <w:rPr>
          <w:rFonts w:hint="eastAsia" w:ascii="宋体" w:hAnsi="宋体" w:cs="仿宋"/>
          <w:bCs/>
          <w:color w:val="auto"/>
          <w:szCs w:val="18"/>
        </w:rPr>
        <w:t>项资料格式不作统一规定，由投标人自行设计。投标人根据其报价情况，自行确定是否提供。</w:t>
      </w:r>
    </w:p>
    <w:p w14:paraId="0B36C8BE">
      <w:pPr>
        <w:spacing w:line="360" w:lineRule="auto"/>
        <w:ind w:firstLine="420" w:firstLineChars="200"/>
        <w:jc w:val="left"/>
        <w:rPr>
          <w:rFonts w:hint="eastAsia" w:ascii="宋体" w:hAnsi="宋体" w:cs="仿宋"/>
          <w:bCs/>
          <w:color w:val="auto"/>
          <w:szCs w:val="18"/>
        </w:rPr>
      </w:pPr>
      <w:r>
        <w:rPr>
          <w:rFonts w:hint="eastAsia" w:ascii="宋体" w:hAnsi="宋体" w:cs="仿宋"/>
          <w:bCs/>
          <w:color w:val="auto"/>
          <w:szCs w:val="18"/>
        </w:rPr>
        <w:t>2. 本项资料包括在人工、材料、机械消耗量、价格、施工措施、方案及其他方面有降低工程造价的相关证明资料。</w:t>
      </w:r>
    </w:p>
    <w:p w14:paraId="0BF5DCA6">
      <w:pPr>
        <w:spacing w:line="360" w:lineRule="auto"/>
        <w:ind w:firstLine="420" w:firstLineChars="200"/>
        <w:jc w:val="left"/>
        <w:rPr>
          <w:rFonts w:hint="eastAsia" w:ascii="宋体" w:hAnsi="宋体"/>
          <w:color w:val="auto"/>
          <w:szCs w:val="21"/>
        </w:rPr>
      </w:pPr>
      <w:r>
        <w:rPr>
          <w:rFonts w:hint="eastAsia" w:ascii="宋体" w:hAnsi="宋体" w:cs="仿宋"/>
          <w:bCs/>
          <w:color w:val="auto"/>
          <w:szCs w:val="18"/>
        </w:rPr>
        <w:t>3. 投标</w:t>
      </w:r>
      <w:r>
        <w:rPr>
          <w:rFonts w:hint="eastAsia" w:ascii="宋体" w:hAnsi="宋体"/>
          <w:color w:val="auto"/>
          <w:szCs w:val="21"/>
        </w:rPr>
        <w:t>人在制作投标文件时该页可放置在商务文件：投标所需证明材料中。</w:t>
      </w:r>
    </w:p>
    <w:p w14:paraId="62614E7C">
      <w:pPr>
        <w:rPr>
          <w:rFonts w:hint="eastAsia"/>
          <w:color w:val="auto"/>
        </w:rPr>
      </w:pPr>
    </w:p>
    <w:p w14:paraId="4FF0502A">
      <w:pPr>
        <w:rPr>
          <w:color w:val="auto"/>
          <w:sz w:val="28"/>
          <w:szCs w:val="28"/>
        </w:rPr>
      </w:pPr>
      <w:bookmarkStart w:id="540" w:name="_Toc460660254"/>
      <w:bookmarkStart w:id="541" w:name="_Toc535241145"/>
      <w:bookmarkStart w:id="542" w:name="_Toc460227139"/>
    </w:p>
    <w:p w14:paraId="3478F48A">
      <w:pPr>
        <w:jc w:val="center"/>
        <w:rPr>
          <w:rFonts w:hint="eastAsia"/>
          <w:color w:val="auto"/>
        </w:rPr>
      </w:pPr>
      <w:r>
        <w:rPr>
          <w:color w:val="auto"/>
        </w:rPr>
        <w:br w:type="page"/>
      </w:r>
    </w:p>
    <w:p w14:paraId="2657B954">
      <w:pPr>
        <w:jc w:val="center"/>
        <w:outlineLvl w:val="2"/>
        <w:rPr>
          <w:rFonts w:hint="eastAsia"/>
          <w:color w:val="auto"/>
          <w:sz w:val="28"/>
          <w:szCs w:val="28"/>
        </w:rPr>
      </w:pPr>
      <w:r>
        <w:rPr>
          <w:rFonts w:hint="eastAsia"/>
          <w:color w:val="auto"/>
          <w:sz w:val="28"/>
          <w:szCs w:val="28"/>
        </w:rPr>
        <w:t>（二十）投标报价需要说明的其他资料</w:t>
      </w:r>
      <w:bookmarkEnd w:id="526"/>
      <w:bookmarkEnd w:id="527"/>
      <w:bookmarkEnd w:id="528"/>
      <w:bookmarkEnd w:id="529"/>
      <w:bookmarkEnd w:id="530"/>
      <w:bookmarkEnd w:id="540"/>
      <w:bookmarkEnd w:id="541"/>
      <w:bookmarkEnd w:id="542"/>
    </w:p>
    <w:p w14:paraId="2CEF87E0">
      <w:pPr>
        <w:jc w:val="center"/>
        <w:rPr>
          <w:rFonts w:hint="eastAsia"/>
          <w:color w:val="auto"/>
          <w:sz w:val="28"/>
          <w:szCs w:val="28"/>
        </w:rPr>
      </w:pPr>
    </w:p>
    <w:p w14:paraId="3418D96E">
      <w:pPr>
        <w:spacing w:line="360" w:lineRule="auto"/>
        <w:ind w:firstLine="420" w:firstLineChars="200"/>
        <w:jc w:val="left"/>
        <w:rPr>
          <w:rFonts w:hint="eastAsia" w:ascii="宋体" w:hAnsi="宋体" w:cs="仿宋"/>
          <w:bCs/>
          <w:color w:val="auto"/>
          <w:szCs w:val="18"/>
        </w:rPr>
      </w:pPr>
      <w:r>
        <w:rPr>
          <w:rFonts w:hint="eastAsia" w:ascii="宋体" w:hAnsi="宋体"/>
          <w:color w:val="auto"/>
          <w:szCs w:val="21"/>
        </w:rPr>
        <w:t>投标人认为</w:t>
      </w:r>
      <w:r>
        <w:rPr>
          <w:rFonts w:hint="eastAsia" w:ascii="宋体" w:hAnsi="宋体" w:cs="仿宋"/>
          <w:bCs/>
          <w:color w:val="auto"/>
          <w:szCs w:val="18"/>
        </w:rPr>
        <w:t>需对其投标报价进行其他补充说明及证明材料。</w:t>
      </w:r>
    </w:p>
    <w:p w14:paraId="39214A49">
      <w:pPr>
        <w:spacing w:line="360" w:lineRule="auto"/>
        <w:ind w:firstLine="420" w:firstLineChars="200"/>
        <w:jc w:val="left"/>
        <w:rPr>
          <w:rFonts w:hint="eastAsia" w:ascii="宋体" w:hAnsi="宋体"/>
          <w:b/>
          <w:color w:val="auto"/>
          <w:sz w:val="24"/>
          <w:highlight w:val="none"/>
        </w:rPr>
      </w:pPr>
      <w:r>
        <w:rPr>
          <w:rFonts w:hint="eastAsia" w:ascii="宋体" w:hAnsi="宋体" w:cs="仿宋"/>
          <w:bCs/>
          <w:color w:val="auto"/>
          <w:szCs w:val="18"/>
        </w:rPr>
        <w:t>投标人在制作</w:t>
      </w:r>
      <w:r>
        <w:rPr>
          <w:rFonts w:hint="eastAsia" w:ascii="宋体" w:hAnsi="宋体"/>
          <w:color w:val="auto"/>
          <w:szCs w:val="21"/>
        </w:rPr>
        <w:t>投标文件时该页可放置在报价文件：投标所需证明材料中。</w:t>
      </w:r>
      <w:bookmarkEnd w:id="42"/>
      <w:bookmarkEnd w:id="43"/>
      <w:bookmarkEnd w:id="44"/>
    </w:p>
    <w:sectPr>
      <w:headerReference r:id="rId14" w:type="default"/>
      <w:footerReference r:id="rId15" w:type="default"/>
      <w:pgSz w:w="11907" w:h="16840"/>
      <w:pgMar w:top="1440" w:right="567" w:bottom="1440" w:left="1247" w:header="851" w:footer="992" w:gutter="0"/>
      <w:pgNumType w:fmt="decimal" w:start="1"/>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宋体-18030">
    <w:altName w:val="微软雅黑"/>
    <w:panose1 w:val="02010609060101010101"/>
    <w:charset w:val="86"/>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C0C75">
    <w:pPr>
      <w:pStyle w:val="32"/>
      <w:jc w:val="center"/>
    </w:pPr>
    <w:r>
      <w:fldChar w:fldCharType="begin"/>
    </w:r>
    <w:r>
      <w:instrText xml:space="preserve">PAGE   \* MERGEFORMAT</w:instrText>
    </w:r>
    <w:r>
      <w:fldChar w:fldCharType="separate"/>
    </w:r>
    <w:r>
      <w:rPr>
        <w:lang w:val="zh-CN"/>
      </w:rPr>
      <w:t>3</w:t>
    </w:r>
    <w:r>
      <w:fldChar w:fldCharType="end"/>
    </w:r>
  </w:p>
  <w:p w14:paraId="629FBA54">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45E00">
    <w:pPr>
      <w:pStyle w:val="32"/>
      <w:framePr w:wrap="around" w:vAnchor="text" w:hAnchor="margin" w:xAlign="center" w:y="1"/>
      <w:rPr>
        <w:rStyle w:val="56"/>
      </w:rPr>
    </w:pPr>
    <w:r>
      <w:fldChar w:fldCharType="begin"/>
    </w:r>
    <w:r>
      <w:rPr>
        <w:rStyle w:val="56"/>
      </w:rPr>
      <w:instrText xml:space="preserve">PAGE  </w:instrText>
    </w:r>
    <w:r>
      <w:fldChar w:fldCharType="separate"/>
    </w:r>
    <w:r>
      <w:fldChar w:fldCharType="end"/>
    </w:r>
  </w:p>
  <w:p w14:paraId="4A03381F">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05CEE">
    <w:pPr>
      <w:pStyle w:val="32"/>
      <w:jc w:val="center"/>
    </w:pPr>
    <w:r>
      <w:fldChar w:fldCharType="begin"/>
    </w:r>
    <w:r>
      <w:instrText xml:space="preserve">PAGE   \* MERGEFORMAT</w:instrText>
    </w:r>
    <w:r>
      <w:fldChar w:fldCharType="separate"/>
    </w:r>
    <w:r>
      <w:rPr>
        <w:lang w:val="zh-CN"/>
      </w:rPr>
      <w:t>96</w:t>
    </w:r>
    <w:r>
      <w:fldChar w:fldCharType="end"/>
    </w:r>
  </w:p>
  <w:p w14:paraId="4CBD9A31">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5CBBA">
    <w:pPr>
      <w:pStyle w:val="32"/>
      <w:framePr w:wrap="around" w:vAnchor="text" w:hAnchor="margin" w:xAlign="center" w:y="1"/>
      <w:rPr>
        <w:rStyle w:val="56"/>
      </w:rPr>
    </w:pPr>
    <w:r>
      <w:fldChar w:fldCharType="begin"/>
    </w:r>
    <w:r>
      <w:rPr>
        <w:rStyle w:val="56"/>
        <w:highlight w:val="white"/>
      </w:rPr>
      <w:instrText xml:space="preserve">PAGE  </w:instrText>
    </w:r>
    <w:r>
      <w:fldChar w:fldCharType="separate"/>
    </w:r>
    <w:r>
      <w:rPr>
        <w:rStyle w:val="56"/>
        <w:highlight w:val="white"/>
      </w:rPr>
      <w:t>1</w:t>
    </w:r>
    <w:r>
      <w:fldChar w:fldCharType="end"/>
    </w:r>
  </w:p>
  <w:p w14:paraId="3A28A9E6">
    <w:pPr>
      <w:pStyle w:val="3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DBC7A">
    <w:pPr>
      <w:pStyle w:val="3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9756B">
    <w:pPr>
      <w:pStyle w:val="32"/>
      <w:jc w:val="center"/>
      <w:rPr>
        <w:szCs w:val="2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47B707">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7447B707">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68A7E8">
                          <w:pPr>
                            <w:pStyle w:val="32"/>
                            <w:jc w:val="center"/>
                            <w:rPr>
                              <w:rFonts w:hint="eastAsia" w:eastAsia="宋体"/>
                              <w:lang w:val="en-US" w:eastAsia="zh-CN"/>
                            </w:rPr>
                          </w:pP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F68A7E8">
                    <w:pPr>
                      <w:pStyle w:val="32"/>
                      <w:jc w:val="center"/>
                      <w:rPr>
                        <w:rFonts w:hint="eastAsia"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9BFD4">
    <w:pPr>
      <w:pStyle w:val="34"/>
      <w:jc w:val="left"/>
    </w:pPr>
    <w:r>
      <w:rPr>
        <w:rFonts w:hint="eastAsia"/>
      </w:rPr>
      <w:t>网招B4类建设工程招标文件-2018.3.1版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D2944">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FB81C">
    <w:pPr>
      <w:pStyle w:val="34"/>
    </w:pPr>
    <w:r>
      <w:rPr>
        <w:rFonts w:hint="eastAsia"/>
      </w:rPr>
      <w:t>建设工程招标文件（非网招）20160127版本</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99D75">
    <w:pPr>
      <w:pStyle w:val="34"/>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C739F">
    <w:pPr>
      <w:pStyle w:val="34"/>
      <w:framePr w:wrap="around" w:vAnchor="text" w:hAnchor="margin" w:xAlign="right" w:y="1"/>
      <w:rPr>
        <w:rStyle w:val="56"/>
      </w:rPr>
    </w:pPr>
    <w:r>
      <w:fldChar w:fldCharType="begin"/>
    </w:r>
    <w:r>
      <w:rPr>
        <w:rStyle w:val="56"/>
        <w:highlight w:val="white"/>
      </w:rPr>
      <w:instrText xml:space="preserve">PAGE  </w:instrText>
    </w:r>
    <w:r>
      <w:fldChar w:fldCharType="separate"/>
    </w:r>
    <w:r>
      <w:fldChar w:fldCharType="end"/>
    </w:r>
  </w:p>
  <w:p w14:paraId="580ABF2C">
    <w:pPr>
      <w:pStyle w:val="34"/>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01979">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96111">
    <w:pPr>
      <w:pStyle w:val="34"/>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2502"/>
        </w:tabs>
        <w:ind w:left="2502" w:hanging="432"/>
      </w:pPr>
      <w:rPr>
        <w:rFonts w:hint="default"/>
      </w:rPr>
    </w:lvl>
    <w:lvl w:ilvl="1" w:tentative="0">
      <w:start w:val="1"/>
      <w:numFmt w:val="decimal"/>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101"/>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1">
    <w:nsid w:val="0000000D"/>
    <w:multiLevelType w:val="multilevel"/>
    <w:tmpl w:val="0000000D"/>
    <w:lvl w:ilvl="0" w:tentative="0">
      <w:start w:val="1"/>
      <w:numFmt w:val="decimal"/>
      <w:pStyle w:val="7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0E"/>
    <w:multiLevelType w:val="multilevel"/>
    <w:tmpl w:val="0000000E"/>
    <w:lvl w:ilvl="0" w:tentative="0">
      <w:start w:val="1"/>
      <w:numFmt w:val="decimal"/>
      <w:pStyle w:val="68"/>
      <w:lvlText w:val="%1"/>
      <w:lvlJc w:val="left"/>
      <w:pPr>
        <w:tabs>
          <w:tab w:val="left" w:pos="425"/>
        </w:tabs>
        <w:ind w:left="425" w:hanging="425"/>
      </w:pPr>
      <w:rPr>
        <w:rFonts w:hint="default" w:ascii="Arial" w:hAnsi="Arial" w:eastAsia="黑体"/>
        <w:b w:val="0"/>
        <w:i w:val="0"/>
        <w:sz w:val="28"/>
      </w:rPr>
    </w:lvl>
    <w:lvl w:ilvl="1" w:tentative="0">
      <w:start w:val="1"/>
      <w:numFmt w:val="decimal"/>
      <w:pStyle w:val="69"/>
      <w:lvlText w:val="%1.%2"/>
      <w:lvlJc w:val="left"/>
      <w:pPr>
        <w:tabs>
          <w:tab w:val="left" w:pos="992"/>
        </w:tabs>
        <w:ind w:left="992" w:hanging="567"/>
      </w:pPr>
      <w:rPr>
        <w:rFonts w:hint="default" w:ascii="Arial" w:hAnsi="Arial" w:eastAsia="黑体"/>
        <w:b w:val="0"/>
        <w:i w:val="0"/>
        <w:sz w:val="24"/>
      </w:rPr>
    </w:lvl>
    <w:lvl w:ilvl="2" w:tentative="0">
      <w:start w:val="1"/>
      <w:numFmt w:val="decimal"/>
      <w:pStyle w:val="97"/>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79975319"/>
    <w:multiLevelType w:val="singleLevel"/>
    <w:tmpl w:val="79975319"/>
    <w:lvl w:ilvl="0" w:tentative="0">
      <w:start w:val="3"/>
      <w:numFmt w:val="chineseCounting"/>
      <w:suff w:val="nothing"/>
      <w:lvlText w:val="%1．"/>
      <w:lvlJc w:val="left"/>
      <w:rPr>
        <w:rFonts w:hint="eastAsia"/>
      </w:rPr>
    </w:lvl>
  </w:abstractNum>
  <w:abstractNum w:abstractNumId="4">
    <w:nsid w:val="7F7E5238"/>
    <w:multiLevelType w:val="multilevel"/>
    <w:tmpl w:val="7F7E5238"/>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9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303"/>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yMTc3ZTJjZjMwMGU3NzkzNmUyNTY1MmM3N2FjNjMifQ=="/>
  </w:docVars>
  <w:rsids>
    <w:rsidRoot w:val="00172A27"/>
    <w:rsid w:val="0001340A"/>
    <w:rsid w:val="000225C2"/>
    <w:rsid w:val="00035C13"/>
    <w:rsid w:val="00075D08"/>
    <w:rsid w:val="000930AE"/>
    <w:rsid w:val="0009394F"/>
    <w:rsid w:val="00094396"/>
    <w:rsid w:val="000A19DC"/>
    <w:rsid w:val="000A2736"/>
    <w:rsid w:val="000A78D6"/>
    <w:rsid w:val="000C079B"/>
    <w:rsid w:val="000C3994"/>
    <w:rsid w:val="000C39FF"/>
    <w:rsid w:val="000D160E"/>
    <w:rsid w:val="000D7107"/>
    <w:rsid w:val="000E248D"/>
    <w:rsid w:val="000E2CE6"/>
    <w:rsid w:val="000E48B4"/>
    <w:rsid w:val="000F0C8D"/>
    <w:rsid w:val="00106FA6"/>
    <w:rsid w:val="00115F0F"/>
    <w:rsid w:val="00117A99"/>
    <w:rsid w:val="00121679"/>
    <w:rsid w:val="00121698"/>
    <w:rsid w:val="00126DE2"/>
    <w:rsid w:val="0012790B"/>
    <w:rsid w:val="00131D57"/>
    <w:rsid w:val="00140BAA"/>
    <w:rsid w:val="001438D5"/>
    <w:rsid w:val="00144761"/>
    <w:rsid w:val="001471B3"/>
    <w:rsid w:val="00154933"/>
    <w:rsid w:val="00156779"/>
    <w:rsid w:val="0016125F"/>
    <w:rsid w:val="00164142"/>
    <w:rsid w:val="00170FFD"/>
    <w:rsid w:val="00172F0D"/>
    <w:rsid w:val="001B34E0"/>
    <w:rsid w:val="001B5F99"/>
    <w:rsid w:val="001C207B"/>
    <w:rsid w:val="001C251A"/>
    <w:rsid w:val="001C4FB7"/>
    <w:rsid w:val="001C5EBA"/>
    <w:rsid w:val="001D6A6C"/>
    <w:rsid w:val="001E126A"/>
    <w:rsid w:val="00207542"/>
    <w:rsid w:val="00207DDE"/>
    <w:rsid w:val="00210B37"/>
    <w:rsid w:val="00212838"/>
    <w:rsid w:val="00240588"/>
    <w:rsid w:val="0024094F"/>
    <w:rsid w:val="002415E9"/>
    <w:rsid w:val="0026359C"/>
    <w:rsid w:val="00282E1A"/>
    <w:rsid w:val="00290511"/>
    <w:rsid w:val="00290616"/>
    <w:rsid w:val="00293FFE"/>
    <w:rsid w:val="002B56A6"/>
    <w:rsid w:val="002C3D7C"/>
    <w:rsid w:val="002F007B"/>
    <w:rsid w:val="003152A3"/>
    <w:rsid w:val="00316163"/>
    <w:rsid w:val="00323D92"/>
    <w:rsid w:val="00330D02"/>
    <w:rsid w:val="003842B0"/>
    <w:rsid w:val="003858C5"/>
    <w:rsid w:val="003920AD"/>
    <w:rsid w:val="00397E22"/>
    <w:rsid w:val="003B0071"/>
    <w:rsid w:val="003B101B"/>
    <w:rsid w:val="003C2861"/>
    <w:rsid w:val="003C7FFC"/>
    <w:rsid w:val="003E2793"/>
    <w:rsid w:val="003E6130"/>
    <w:rsid w:val="003E7F27"/>
    <w:rsid w:val="00401EDF"/>
    <w:rsid w:val="00406B56"/>
    <w:rsid w:val="004212EE"/>
    <w:rsid w:val="0042488C"/>
    <w:rsid w:val="00433975"/>
    <w:rsid w:val="00436C0E"/>
    <w:rsid w:val="00436EDE"/>
    <w:rsid w:val="00462686"/>
    <w:rsid w:val="00463938"/>
    <w:rsid w:val="00465D60"/>
    <w:rsid w:val="0048490E"/>
    <w:rsid w:val="004A5B81"/>
    <w:rsid w:val="004B7BC7"/>
    <w:rsid w:val="004E4D34"/>
    <w:rsid w:val="004E71CA"/>
    <w:rsid w:val="004F27AD"/>
    <w:rsid w:val="005030A5"/>
    <w:rsid w:val="00506038"/>
    <w:rsid w:val="00511C4C"/>
    <w:rsid w:val="005628F2"/>
    <w:rsid w:val="00572B01"/>
    <w:rsid w:val="00573E74"/>
    <w:rsid w:val="00575CC0"/>
    <w:rsid w:val="0058324F"/>
    <w:rsid w:val="00592618"/>
    <w:rsid w:val="005B3B9F"/>
    <w:rsid w:val="005C1789"/>
    <w:rsid w:val="005C1B0B"/>
    <w:rsid w:val="005E1802"/>
    <w:rsid w:val="005E3F56"/>
    <w:rsid w:val="005F445C"/>
    <w:rsid w:val="005F6839"/>
    <w:rsid w:val="00620FDE"/>
    <w:rsid w:val="00634109"/>
    <w:rsid w:val="0063477B"/>
    <w:rsid w:val="00634A19"/>
    <w:rsid w:val="00637586"/>
    <w:rsid w:val="0064066F"/>
    <w:rsid w:val="00641BAF"/>
    <w:rsid w:val="006554A6"/>
    <w:rsid w:val="00685C6C"/>
    <w:rsid w:val="0068792F"/>
    <w:rsid w:val="006910FA"/>
    <w:rsid w:val="006940D2"/>
    <w:rsid w:val="006945D6"/>
    <w:rsid w:val="006A6410"/>
    <w:rsid w:val="006C3F3B"/>
    <w:rsid w:val="006C41EC"/>
    <w:rsid w:val="006C723D"/>
    <w:rsid w:val="006D0069"/>
    <w:rsid w:val="006D5C26"/>
    <w:rsid w:val="006E2FDD"/>
    <w:rsid w:val="006E38DD"/>
    <w:rsid w:val="006E6125"/>
    <w:rsid w:val="006F78D2"/>
    <w:rsid w:val="0070522B"/>
    <w:rsid w:val="00723FFB"/>
    <w:rsid w:val="00725FEC"/>
    <w:rsid w:val="00742EE8"/>
    <w:rsid w:val="00755FCA"/>
    <w:rsid w:val="007570F7"/>
    <w:rsid w:val="007615A0"/>
    <w:rsid w:val="0076362F"/>
    <w:rsid w:val="00766ADF"/>
    <w:rsid w:val="007700A1"/>
    <w:rsid w:val="007705B7"/>
    <w:rsid w:val="0077211F"/>
    <w:rsid w:val="007739F6"/>
    <w:rsid w:val="0077467D"/>
    <w:rsid w:val="00776A5F"/>
    <w:rsid w:val="00780E75"/>
    <w:rsid w:val="007834BA"/>
    <w:rsid w:val="00795B4A"/>
    <w:rsid w:val="007963A3"/>
    <w:rsid w:val="007A5E1C"/>
    <w:rsid w:val="007B6A4D"/>
    <w:rsid w:val="007C0F61"/>
    <w:rsid w:val="007E48B4"/>
    <w:rsid w:val="007F25F3"/>
    <w:rsid w:val="007F7815"/>
    <w:rsid w:val="008069DB"/>
    <w:rsid w:val="0080782C"/>
    <w:rsid w:val="00833FC9"/>
    <w:rsid w:val="008369BF"/>
    <w:rsid w:val="00860122"/>
    <w:rsid w:val="00860BE3"/>
    <w:rsid w:val="00865C6B"/>
    <w:rsid w:val="00870A82"/>
    <w:rsid w:val="008A1144"/>
    <w:rsid w:val="008B5DB6"/>
    <w:rsid w:val="008B7944"/>
    <w:rsid w:val="008C5B75"/>
    <w:rsid w:val="008D280E"/>
    <w:rsid w:val="008D6C20"/>
    <w:rsid w:val="008D6D40"/>
    <w:rsid w:val="008D796A"/>
    <w:rsid w:val="008E23B2"/>
    <w:rsid w:val="008F025F"/>
    <w:rsid w:val="008F45F9"/>
    <w:rsid w:val="00902CCF"/>
    <w:rsid w:val="00921F96"/>
    <w:rsid w:val="0092630C"/>
    <w:rsid w:val="00937F61"/>
    <w:rsid w:val="009418BB"/>
    <w:rsid w:val="00942E88"/>
    <w:rsid w:val="009457D4"/>
    <w:rsid w:val="009773FF"/>
    <w:rsid w:val="00983394"/>
    <w:rsid w:val="00985782"/>
    <w:rsid w:val="00985A88"/>
    <w:rsid w:val="009A27EE"/>
    <w:rsid w:val="009A2DC5"/>
    <w:rsid w:val="009A3585"/>
    <w:rsid w:val="009B3998"/>
    <w:rsid w:val="009C205B"/>
    <w:rsid w:val="009C3099"/>
    <w:rsid w:val="009C4861"/>
    <w:rsid w:val="009F53DA"/>
    <w:rsid w:val="009F6FD0"/>
    <w:rsid w:val="00A00D00"/>
    <w:rsid w:val="00A01395"/>
    <w:rsid w:val="00A068BA"/>
    <w:rsid w:val="00A06AEE"/>
    <w:rsid w:val="00A12815"/>
    <w:rsid w:val="00A27E3A"/>
    <w:rsid w:val="00A32D10"/>
    <w:rsid w:val="00A36F65"/>
    <w:rsid w:val="00A519D0"/>
    <w:rsid w:val="00A6571B"/>
    <w:rsid w:val="00A74730"/>
    <w:rsid w:val="00A856A4"/>
    <w:rsid w:val="00A93417"/>
    <w:rsid w:val="00AA282E"/>
    <w:rsid w:val="00AC2F76"/>
    <w:rsid w:val="00AD35ED"/>
    <w:rsid w:val="00B021A5"/>
    <w:rsid w:val="00B26AFD"/>
    <w:rsid w:val="00B2793B"/>
    <w:rsid w:val="00B27B7A"/>
    <w:rsid w:val="00B306A1"/>
    <w:rsid w:val="00B32758"/>
    <w:rsid w:val="00B431EB"/>
    <w:rsid w:val="00B57E57"/>
    <w:rsid w:val="00B6642A"/>
    <w:rsid w:val="00BB678D"/>
    <w:rsid w:val="00BC5C8C"/>
    <w:rsid w:val="00BD29A9"/>
    <w:rsid w:val="00BE53CB"/>
    <w:rsid w:val="00BE6DD5"/>
    <w:rsid w:val="00C035CD"/>
    <w:rsid w:val="00C07565"/>
    <w:rsid w:val="00C11EAB"/>
    <w:rsid w:val="00C16575"/>
    <w:rsid w:val="00C258CD"/>
    <w:rsid w:val="00C37EA2"/>
    <w:rsid w:val="00C4328B"/>
    <w:rsid w:val="00C45F34"/>
    <w:rsid w:val="00C561F1"/>
    <w:rsid w:val="00C67BDE"/>
    <w:rsid w:val="00CA23FA"/>
    <w:rsid w:val="00CB0D03"/>
    <w:rsid w:val="00CB1F56"/>
    <w:rsid w:val="00CB4BD4"/>
    <w:rsid w:val="00CB4D9A"/>
    <w:rsid w:val="00CB7DEC"/>
    <w:rsid w:val="00CC74B8"/>
    <w:rsid w:val="00CD580B"/>
    <w:rsid w:val="00CD6009"/>
    <w:rsid w:val="00CD78AA"/>
    <w:rsid w:val="00CE4B20"/>
    <w:rsid w:val="00CF1B95"/>
    <w:rsid w:val="00D020D1"/>
    <w:rsid w:val="00D10704"/>
    <w:rsid w:val="00D2394E"/>
    <w:rsid w:val="00D37825"/>
    <w:rsid w:val="00D4023D"/>
    <w:rsid w:val="00D45644"/>
    <w:rsid w:val="00D62030"/>
    <w:rsid w:val="00D634A6"/>
    <w:rsid w:val="00D67B2D"/>
    <w:rsid w:val="00D70994"/>
    <w:rsid w:val="00D763BD"/>
    <w:rsid w:val="00D76C49"/>
    <w:rsid w:val="00D77AA5"/>
    <w:rsid w:val="00D913E0"/>
    <w:rsid w:val="00D94544"/>
    <w:rsid w:val="00D94619"/>
    <w:rsid w:val="00D95E46"/>
    <w:rsid w:val="00DB4E2D"/>
    <w:rsid w:val="00DC1F8B"/>
    <w:rsid w:val="00DF67BA"/>
    <w:rsid w:val="00E134A1"/>
    <w:rsid w:val="00E224BF"/>
    <w:rsid w:val="00E22C87"/>
    <w:rsid w:val="00E23115"/>
    <w:rsid w:val="00E41365"/>
    <w:rsid w:val="00E4440C"/>
    <w:rsid w:val="00E52070"/>
    <w:rsid w:val="00E93340"/>
    <w:rsid w:val="00EA027C"/>
    <w:rsid w:val="00EB2D26"/>
    <w:rsid w:val="00EB700E"/>
    <w:rsid w:val="00ED2238"/>
    <w:rsid w:val="00EE370A"/>
    <w:rsid w:val="00EF6B80"/>
    <w:rsid w:val="00F04DFA"/>
    <w:rsid w:val="00F067FA"/>
    <w:rsid w:val="00F10E4B"/>
    <w:rsid w:val="00F2654A"/>
    <w:rsid w:val="00F33DAA"/>
    <w:rsid w:val="00F400DC"/>
    <w:rsid w:val="00F47ADB"/>
    <w:rsid w:val="00F52692"/>
    <w:rsid w:val="00F52DB5"/>
    <w:rsid w:val="00F60F8D"/>
    <w:rsid w:val="00F92908"/>
    <w:rsid w:val="00F94B3B"/>
    <w:rsid w:val="00FA03CB"/>
    <w:rsid w:val="00FA048B"/>
    <w:rsid w:val="00FA0B39"/>
    <w:rsid w:val="00FA4BE7"/>
    <w:rsid w:val="00FA77BF"/>
    <w:rsid w:val="00FD1D01"/>
    <w:rsid w:val="00FE4EC7"/>
    <w:rsid w:val="00FE5EB8"/>
    <w:rsid w:val="00FF3873"/>
    <w:rsid w:val="01190CD3"/>
    <w:rsid w:val="017B0ECF"/>
    <w:rsid w:val="030C6B9D"/>
    <w:rsid w:val="032A05A1"/>
    <w:rsid w:val="03F262FE"/>
    <w:rsid w:val="05DC0389"/>
    <w:rsid w:val="077918E2"/>
    <w:rsid w:val="080F68DC"/>
    <w:rsid w:val="09B35E22"/>
    <w:rsid w:val="0A2B2280"/>
    <w:rsid w:val="0AEA2669"/>
    <w:rsid w:val="0B5A78B0"/>
    <w:rsid w:val="0B75226E"/>
    <w:rsid w:val="0CE95936"/>
    <w:rsid w:val="0D151D23"/>
    <w:rsid w:val="0D4103F4"/>
    <w:rsid w:val="0D517F6C"/>
    <w:rsid w:val="0D591CFB"/>
    <w:rsid w:val="0D70587D"/>
    <w:rsid w:val="0D8F6CE5"/>
    <w:rsid w:val="0D9131B4"/>
    <w:rsid w:val="0E4C465A"/>
    <w:rsid w:val="0E514BA9"/>
    <w:rsid w:val="0F8E619D"/>
    <w:rsid w:val="0FD94D4C"/>
    <w:rsid w:val="101C4917"/>
    <w:rsid w:val="123B32DA"/>
    <w:rsid w:val="124F64A1"/>
    <w:rsid w:val="127E4B70"/>
    <w:rsid w:val="13BF1AC2"/>
    <w:rsid w:val="14197F4D"/>
    <w:rsid w:val="1588638E"/>
    <w:rsid w:val="15D50633"/>
    <w:rsid w:val="165D5409"/>
    <w:rsid w:val="166B48A0"/>
    <w:rsid w:val="16F45074"/>
    <w:rsid w:val="16FC5D9B"/>
    <w:rsid w:val="172368D2"/>
    <w:rsid w:val="17834DE9"/>
    <w:rsid w:val="17F16374"/>
    <w:rsid w:val="1A313E0D"/>
    <w:rsid w:val="1BE72911"/>
    <w:rsid w:val="1C4C37B9"/>
    <w:rsid w:val="1D097FE3"/>
    <w:rsid w:val="1E905351"/>
    <w:rsid w:val="1F9E3BCA"/>
    <w:rsid w:val="21B60BF9"/>
    <w:rsid w:val="23203542"/>
    <w:rsid w:val="23285A18"/>
    <w:rsid w:val="240C20F5"/>
    <w:rsid w:val="276F595A"/>
    <w:rsid w:val="29531D9D"/>
    <w:rsid w:val="299553EC"/>
    <w:rsid w:val="29BD3F19"/>
    <w:rsid w:val="29D42705"/>
    <w:rsid w:val="2ADC147B"/>
    <w:rsid w:val="2ADE4D64"/>
    <w:rsid w:val="2B2534D7"/>
    <w:rsid w:val="2C056941"/>
    <w:rsid w:val="2C1C4834"/>
    <w:rsid w:val="2D8E6D7A"/>
    <w:rsid w:val="2F3E39E2"/>
    <w:rsid w:val="2FF95846"/>
    <w:rsid w:val="30BA79B9"/>
    <w:rsid w:val="31566A52"/>
    <w:rsid w:val="31AB0CDA"/>
    <w:rsid w:val="31D73965"/>
    <w:rsid w:val="32B27C01"/>
    <w:rsid w:val="32E965DF"/>
    <w:rsid w:val="33366222"/>
    <w:rsid w:val="367120E1"/>
    <w:rsid w:val="373F5ED2"/>
    <w:rsid w:val="389F5A24"/>
    <w:rsid w:val="39087C01"/>
    <w:rsid w:val="39836185"/>
    <w:rsid w:val="3A5D5440"/>
    <w:rsid w:val="3A73207F"/>
    <w:rsid w:val="3B4E7503"/>
    <w:rsid w:val="3C923FD8"/>
    <w:rsid w:val="3CC4744B"/>
    <w:rsid w:val="3D9424D5"/>
    <w:rsid w:val="3DAF6D45"/>
    <w:rsid w:val="3DC5397A"/>
    <w:rsid w:val="3ECA09E9"/>
    <w:rsid w:val="3FB95217"/>
    <w:rsid w:val="405065A5"/>
    <w:rsid w:val="40F81320"/>
    <w:rsid w:val="414B7535"/>
    <w:rsid w:val="415E35C6"/>
    <w:rsid w:val="416A390E"/>
    <w:rsid w:val="41AB521D"/>
    <w:rsid w:val="41BA02BB"/>
    <w:rsid w:val="424A24F4"/>
    <w:rsid w:val="428B7B0F"/>
    <w:rsid w:val="429C7054"/>
    <w:rsid w:val="42C40BE2"/>
    <w:rsid w:val="43EC454D"/>
    <w:rsid w:val="450F4B6E"/>
    <w:rsid w:val="459D445A"/>
    <w:rsid w:val="47140AC9"/>
    <w:rsid w:val="481A5BAC"/>
    <w:rsid w:val="48D56A43"/>
    <w:rsid w:val="4B493F7E"/>
    <w:rsid w:val="4C9F3B15"/>
    <w:rsid w:val="4CC82BA6"/>
    <w:rsid w:val="4DCD0CBD"/>
    <w:rsid w:val="4DFC16FF"/>
    <w:rsid w:val="4EAF6BC7"/>
    <w:rsid w:val="4EDD6607"/>
    <w:rsid w:val="4F252466"/>
    <w:rsid w:val="4F5A71E7"/>
    <w:rsid w:val="500E40D0"/>
    <w:rsid w:val="512F03DB"/>
    <w:rsid w:val="5307177D"/>
    <w:rsid w:val="539267AF"/>
    <w:rsid w:val="543264A9"/>
    <w:rsid w:val="545B2CD1"/>
    <w:rsid w:val="554A03C4"/>
    <w:rsid w:val="56FDD9F0"/>
    <w:rsid w:val="570E3BC9"/>
    <w:rsid w:val="573236AD"/>
    <w:rsid w:val="58457CD0"/>
    <w:rsid w:val="59813B96"/>
    <w:rsid w:val="5A431F22"/>
    <w:rsid w:val="5AD92B11"/>
    <w:rsid w:val="5B302BB8"/>
    <w:rsid w:val="5C917115"/>
    <w:rsid w:val="5C9A1041"/>
    <w:rsid w:val="5CB511A8"/>
    <w:rsid w:val="5DE85D9D"/>
    <w:rsid w:val="5E6162CC"/>
    <w:rsid w:val="5F8913FD"/>
    <w:rsid w:val="60C06604"/>
    <w:rsid w:val="615862B8"/>
    <w:rsid w:val="6216372D"/>
    <w:rsid w:val="633640E0"/>
    <w:rsid w:val="64332182"/>
    <w:rsid w:val="645E7AB0"/>
    <w:rsid w:val="648B3387"/>
    <w:rsid w:val="64EFC06C"/>
    <w:rsid w:val="65402FF4"/>
    <w:rsid w:val="65A7466B"/>
    <w:rsid w:val="67881E4E"/>
    <w:rsid w:val="697F1BC4"/>
    <w:rsid w:val="69FB26F0"/>
    <w:rsid w:val="6A7A6FDF"/>
    <w:rsid w:val="6E496FBD"/>
    <w:rsid w:val="6EAD10FE"/>
    <w:rsid w:val="6EBD4430"/>
    <w:rsid w:val="6F98180B"/>
    <w:rsid w:val="6FB62D34"/>
    <w:rsid w:val="70537742"/>
    <w:rsid w:val="709B35B6"/>
    <w:rsid w:val="71C53799"/>
    <w:rsid w:val="724972EE"/>
    <w:rsid w:val="728575CB"/>
    <w:rsid w:val="72A5179F"/>
    <w:rsid w:val="72DA16A4"/>
    <w:rsid w:val="73245671"/>
    <w:rsid w:val="74697EA8"/>
    <w:rsid w:val="753B06B2"/>
    <w:rsid w:val="761346AD"/>
    <w:rsid w:val="76AF09F8"/>
    <w:rsid w:val="77270DF0"/>
    <w:rsid w:val="77A33CA2"/>
    <w:rsid w:val="77ED24B1"/>
    <w:rsid w:val="78275322"/>
    <w:rsid w:val="789D19E7"/>
    <w:rsid w:val="792425B9"/>
    <w:rsid w:val="7A1403B0"/>
    <w:rsid w:val="7A2559F9"/>
    <w:rsid w:val="7B620BCC"/>
    <w:rsid w:val="7BDA46B9"/>
    <w:rsid w:val="7C020BE6"/>
    <w:rsid w:val="7C0D02B4"/>
    <w:rsid w:val="7CF66286"/>
    <w:rsid w:val="7DDA8DE2"/>
    <w:rsid w:val="7F0D1A18"/>
    <w:rsid w:val="7F9839DA"/>
    <w:rsid w:val="E7BBD729"/>
    <w:rsid w:val="EFFF56E5"/>
    <w:rsid w:val="FBF997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eastAsia="宋体"/>
      <w:b/>
      <w:kern w:val="44"/>
      <w:sz w:val="30"/>
      <w:lang w:val="en-US" w:eastAsia="zh-CN"/>
    </w:rPr>
  </w:style>
  <w:style w:type="paragraph" w:styleId="3">
    <w:name w:val="heading 2"/>
    <w:basedOn w:val="1"/>
    <w:next w:val="1"/>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paragraph" w:styleId="4">
    <w:name w:val="heading 3"/>
    <w:basedOn w:val="1"/>
    <w:next w:val="1"/>
    <w:qFormat/>
    <w:uiPriority w:val="0"/>
    <w:pPr>
      <w:keepNext/>
      <w:keepLines/>
      <w:spacing w:before="260" w:beforeLines="0" w:beforeAutospacing="0" w:after="260" w:afterLines="0" w:afterAutospacing="0" w:line="413" w:lineRule="auto"/>
      <w:jc w:val="center"/>
      <w:outlineLvl w:val="2"/>
    </w:pPr>
    <w:rPr>
      <w:rFonts w:ascii="宋体"/>
      <w:b/>
      <w:sz w:val="32"/>
    </w:rPr>
  </w:style>
  <w:style w:type="paragraph" w:styleId="5">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kern w:val="2"/>
      <w:sz w:val="28"/>
      <w:lang w:val="en-US" w:eastAsia="zh-CN"/>
    </w:rPr>
  </w:style>
  <w:style w:type="paragraph" w:styleId="6">
    <w:name w:val="heading 5"/>
    <w:basedOn w:val="1"/>
    <w:next w:val="1"/>
    <w:qFormat/>
    <w:uiPriority w:val="0"/>
    <w:pPr>
      <w:keepNext/>
      <w:outlineLvl w:val="4"/>
    </w:pPr>
    <w:rPr>
      <w:rFonts w:ascii="宋体" w:hAnsi="Arial"/>
      <w:sz w:val="28"/>
    </w:rPr>
  </w:style>
  <w:style w:type="paragraph" w:styleId="7">
    <w:name w:val="heading 6"/>
    <w:basedOn w:val="1"/>
    <w:next w:val="1"/>
    <w:qFormat/>
    <w:uiPriority w:val="0"/>
    <w:pPr>
      <w:keepNext/>
      <w:autoSpaceDE w:val="0"/>
      <w:autoSpaceDN w:val="0"/>
      <w:adjustRightInd w:val="0"/>
      <w:spacing w:before="156" w:beforeLines="50" w:beforeAutospacing="0" w:after="156" w:afterLines="50" w:afterAutospacing="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beforeLines="0" w:beforeAutospacing="0" w:after="64" w:afterLines="0" w:afterAutospacing="0" w:line="317" w:lineRule="auto"/>
      <w:ind w:rightChars="-10" w:firstLine="464" w:firstLineChars="225"/>
      <w:jc w:val="left"/>
      <w:outlineLvl w:val="6"/>
    </w:pPr>
    <w:rPr>
      <w:rFonts w:ascii="Arial" w:hAnsi="Arial" w:eastAsia="仿宋_GB2312"/>
      <w:b/>
      <w:spacing w:val="-4"/>
      <w:sz w:val="24"/>
    </w:rPr>
  </w:style>
  <w:style w:type="paragraph" w:styleId="9">
    <w:name w:val="heading 8"/>
    <w:basedOn w:val="1"/>
    <w:next w:val="1"/>
    <w:qFormat/>
    <w:uiPriority w:val="0"/>
    <w:pPr>
      <w:keepNext/>
      <w:keepLines/>
      <w:spacing w:line="400" w:lineRule="exact"/>
      <w:jc w:val="center"/>
      <w:outlineLvl w:val="7"/>
    </w:pPr>
    <w:rPr>
      <w:rFonts w:ascii="宋体" w:hAnsi="宋体" w:eastAsia="黑体"/>
      <w:sz w:val="32"/>
      <w:szCs w:val="32"/>
    </w:rPr>
  </w:style>
  <w:style w:type="paragraph" w:styleId="10">
    <w:name w:val="heading 9"/>
    <w:basedOn w:val="9"/>
    <w:next w:val="1"/>
    <w:qFormat/>
    <w:uiPriority w:val="0"/>
    <w:pPr>
      <w:tabs>
        <w:tab w:val="left" w:pos="2160"/>
      </w:tabs>
      <w:ind w:left="1559" w:hanging="1559"/>
      <w:outlineLvl w:val="8"/>
    </w:pPr>
    <w:rPr>
      <w:rFonts w:ascii="Times New Roman" w:hAnsi="Times New Roman" w:eastAsia="宋体"/>
      <w:b/>
      <w:bCs/>
      <w:sz w:val="30"/>
      <w:szCs w:val="18"/>
    </w:rPr>
  </w:style>
  <w:style w:type="character" w:default="1" w:styleId="54">
    <w:name w:val="Default Paragraph Font"/>
    <w:qFormat/>
    <w:uiPriority w:val="0"/>
  </w:style>
  <w:style w:type="table" w:default="1" w:styleId="53">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260"/>
      <w:jc w:val="left"/>
    </w:pPr>
  </w:style>
  <w:style w:type="paragraph" w:styleId="12">
    <w:name w:val="table of authorities"/>
    <w:basedOn w:val="1"/>
    <w:next w:val="1"/>
    <w:qFormat/>
    <w:uiPriority w:val="0"/>
    <w:pPr>
      <w:ind w:left="420" w:leftChars="200"/>
    </w:pPr>
  </w:style>
  <w:style w:type="paragraph" w:styleId="13">
    <w:name w:val="index 8"/>
    <w:basedOn w:val="1"/>
    <w:next w:val="1"/>
    <w:qFormat/>
    <w:uiPriority w:val="0"/>
    <w:pPr>
      <w:ind w:left="1400" w:leftChars="1400"/>
    </w:pPr>
  </w:style>
  <w:style w:type="paragraph" w:styleId="14">
    <w:name w:val="Normal Indent"/>
    <w:basedOn w:val="1"/>
    <w:qFormat/>
    <w:uiPriority w:val="0"/>
    <w:pPr>
      <w:ind w:firstLine="420" w:firstLineChars="200"/>
    </w:pPr>
  </w:style>
  <w:style w:type="paragraph" w:styleId="15">
    <w:name w:val="index 5"/>
    <w:basedOn w:val="1"/>
    <w:next w:val="1"/>
    <w:qFormat/>
    <w:uiPriority w:val="0"/>
    <w:pPr>
      <w:ind w:left="800" w:leftChars="800"/>
    </w:pPr>
  </w:style>
  <w:style w:type="paragraph" w:styleId="16">
    <w:name w:val="Document Map"/>
    <w:basedOn w:val="1"/>
    <w:qFormat/>
    <w:uiPriority w:val="0"/>
    <w:pPr>
      <w:shd w:val="clear" w:color="auto" w:fill="000080"/>
    </w:pPr>
  </w:style>
  <w:style w:type="paragraph" w:styleId="17">
    <w:name w:val="toa heading"/>
    <w:basedOn w:val="1"/>
    <w:next w:val="1"/>
    <w:qFormat/>
    <w:uiPriority w:val="0"/>
    <w:pPr>
      <w:spacing w:before="120" w:beforeLines="0" w:beforeAutospacing="0"/>
    </w:pPr>
    <w:rPr>
      <w:rFonts w:ascii="Arial" w:hAnsi="Arial"/>
      <w:b/>
    </w:rPr>
  </w:style>
  <w:style w:type="paragraph" w:styleId="18">
    <w:name w:val="annotation text"/>
    <w:basedOn w:val="1"/>
    <w:qFormat/>
    <w:uiPriority w:val="0"/>
    <w:pPr>
      <w:jc w:val="left"/>
    </w:pPr>
  </w:style>
  <w:style w:type="paragraph" w:styleId="19">
    <w:name w:val="index 6"/>
    <w:basedOn w:val="1"/>
    <w:next w:val="1"/>
    <w:qFormat/>
    <w:uiPriority w:val="0"/>
    <w:pPr>
      <w:ind w:left="1000" w:leftChars="1000"/>
    </w:pPr>
  </w:style>
  <w:style w:type="paragraph" w:styleId="20">
    <w:name w:val="Body Text 3"/>
    <w:basedOn w:val="1"/>
    <w:qFormat/>
    <w:uiPriority w:val="0"/>
    <w:rPr>
      <w:rFonts w:ascii="黑体" w:hAnsi="Arial" w:eastAsia="黑体"/>
      <w:b/>
      <w:sz w:val="28"/>
    </w:rPr>
  </w:style>
  <w:style w:type="paragraph" w:styleId="21">
    <w:name w:val="Body Text"/>
    <w:basedOn w:val="1"/>
    <w:qFormat/>
    <w:uiPriority w:val="0"/>
    <w:rPr>
      <w:rFonts w:ascii="宋体" w:hAnsi="Arial"/>
      <w:sz w:val="28"/>
    </w:rPr>
  </w:style>
  <w:style w:type="paragraph" w:styleId="22">
    <w:name w:val="Body Text Indent"/>
    <w:basedOn w:val="1"/>
    <w:qFormat/>
    <w:uiPriority w:val="0"/>
    <w:pPr>
      <w:ind w:firstLine="645"/>
    </w:pPr>
    <w:rPr>
      <w:rFonts w:ascii="楷体_GB2312" w:eastAsia="楷体_GB2312"/>
      <w:sz w:val="32"/>
    </w:rPr>
  </w:style>
  <w:style w:type="paragraph" w:styleId="23">
    <w:name w:val="index 4"/>
    <w:basedOn w:val="1"/>
    <w:next w:val="1"/>
    <w:qFormat/>
    <w:uiPriority w:val="0"/>
    <w:pPr>
      <w:ind w:left="600" w:leftChars="600"/>
    </w:pPr>
  </w:style>
  <w:style w:type="paragraph" w:styleId="24">
    <w:name w:val="toc 5"/>
    <w:basedOn w:val="1"/>
    <w:next w:val="1"/>
    <w:qFormat/>
    <w:uiPriority w:val="0"/>
    <w:pPr>
      <w:ind w:left="840"/>
      <w:jc w:val="left"/>
    </w:pPr>
  </w:style>
  <w:style w:type="paragraph" w:styleId="25">
    <w:name w:val="toc 3"/>
    <w:basedOn w:val="1"/>
    <w:next w:val="1"/>
    <w:qFormat/>
    <w:uiPriority w:val="0"/>
    <w:pPr>
      <w:ind w:left="420"/>
      <w:jc w:val="left"/>
    </w:pPr>
    <w:rPr>
      <w:i/>
    </w:rPr>
  </w:style>
  <w:style w:type="paragraph" w:styleId="26">
    <w:name w:val="Plain Text"/>
    <w:basedOn w:val="1"/>
    <w:qFormat/>
    <w:uiPriority w:val="0"/>
    <w:rPr>
      <w:rFonts w:ascii="宋体" w:hAnsi="Courier New"/>
    </w:rPr>
  </w:style>
  <w:style w:type="paragraph" w:styleId="27">
    <w:name w:val="toc 8"/>
    <w:basedOn w:val="1"/>
    <w:next w:val="1"/>
    <w:qFormat/>
    <w:uiPriority w:val="0"/>
    <w:pPr>
      <w:ind w:left="1470"/>
      <w:jc w:val="left"/>
    </w:pPr>
  </w:style>
  <w:style w:type="paragraph" w:styleId="28">
    <w:name w:val="index 3"/>
    <w:basedOn w:val="1"/>
    <w:next w:val="1"/>
    <w:qFormat/>
    <w:uiPriority w:val="0"/>
    <w:pPr>
      <w:ind w:left="400" w:leftChars="400"/>
    </w:pPr>
  </w:style>
  <w:style w:type="paragraph" w:styleId="29">
    <w:name w:val="Date"/>
    <w:basedOn w:val="1"/>
    <w:next w:val="1"/>
    <w:link w:val="61"/>
    <w:qFormat/>
    <w:uiPriority w:val="0"/>
    <w:rPr>
      <w:b/>
      <w:sz w:val="28"/>
    </w:rPr>
  </w:style>
  <w:style w:type="paragraph" w:styleId="30">
    <w:name w:val="Body Text Indent 2"/>
    <w:basedOn w:val="1"/>
    <w:qFormat/>
    <w:uiPriority w:val="0"/>
    <w:pPr>
      <w:ind w:left="630" w:firstLine="645"/>
    </w:pPr>
    <w:rPr>
      <w:rFonts w:ascii="Arial" w:hAnsi="Arial" w:eastAsia="仿宋_GB2312"/>
      <w:sz w:val="32"/>
    </w:rPr>
  </w:style>
  <w:style w:type="paragraph" w:styleId="31">
    <w:name w:val="Balloon Text"/>
    <w:basedOn w:val="1"/>
    <w:qFormat/>
    <w:uiPriority w:val="0"/>
    <w:rPr>
      <w:sz w:val="18"/>
    </w:rPr>
  </w:style>
  <w:style w:type="paragraph" w:styleId="32">
    <w:name w:val="footer"/>
    <w:basedOn w:val="1"/>
    <w:link w:val="62"/>
    <w:qFormat/>
    <w:uiPriority w:val="0"/>
    <w:pPr>
      <w:tabs>
        <w:tab w:val="center" w:pos="4153"/>
        <w:tab w:val="right" w:pos="8306"/>
      </w:tabs>
      <w:snapToGrid w:val="0"/>
      <w:jc w:val="left"/>
    </w:pPr>
    <w:rPr>
      <w:sz w:val="18"/>
    </w:rPr>
  </w:style>
  <w:style w:type="paragraph" w:styleId="33">
    <w:name w:val="envelope return"/>
    <w:basedOn w:val="1"/>
    <w:qFormat/>
    <w:uiPriority w:val="99"/>
    <w:pPr>
      <w:widowControl/>
    </w:pPr>
    <w:rPr>
      <w:kern w:val="0"/>
      <w:sz w:val="22"/>
      <w:lang w:eastAsia="en-US"/>
    </w:rPr>
  </w:style>
  <w:style w:type="paragraph" w:styleId="34">
    <w:name w:val="header"/>
    <w:basedOn w:val="1"/>
    <w:link w:val="63"/>
    <w:qFormat/>
    <w:uiPriority w:val="0"/>
    <w:pPr>
      <w:pBdr>
        <w:bottom w:val="single" w:color="auto" w:sz="6" w:space="1"/>
      </w:pBdr>
      <w:tabs>
        <w:tab w:val="center" w:pos="4153"/>
        <w:tab w:val="right" w:pos="8306"/>
      </w:tabs>
      <w:snapToGrid w:val="0"/>
      <w:jc w:val="center"/>
    </w:pPr>
    <w:rPr>
      <w:sz w:val="18"/>
    </w:rPr>
  </w:style>
  <w:style w:type="paragraph" w:styleId="35">
    <w:name w:val="toc 1"/>
    <w:basedOn w:val="1"/>
    <w:next w:val="1"/>
    <w:qFormat/>
    <w:uiPriority w:val="0"/>
    <w:pPr>
      <w:spacing w:before="120" w:beforeLines="0" w:beforeAutospacing="0" w:after="120" w:afterLines="0" w:afterAutospacing="0"/>
      <w:jc w:val="left"/>
    </w:pPr>
    <w:rPr>
      <w:caps/>
    </w:rPr>
  </w:style>
  <w:style w:type="paragraph" w:styleId="36">
    <w:name w:val="toc 4"/>
    <w:basedOn w:val="1"/>
    <w:next w:val="1"/>
    <w:qFormat/>
    <w:uiPriority w:val="0"/>
    <w:pPr>
      <w:ind w:left="630"/>
      <w:jc w:val="left"/>
    </w:pPr>
  </w:style>
  <w:style w:type="paragraph" w:styleId="37">
    <w:name w:val="index heading"/>
    <w:basedOn w:val="1"/>
    <w:next w:val="38"/>
    <w:qFormat/>
    <w:uiPriority w:val="0"/>
    <w:rPr>
      <w:rFonts w:eastAsia="宋体"/>
      <w:kern w:val="2"/>
      <w:sz w:val="21"/>
      <w:lang w:val="en-US" w:eastAsia="zh-CN"/>
    </w:rPr>
  </w:style>
  <w:style w:type="paragraph" w:styleId="38">
    <w:name w:val="index 1"/>
    <w:basedOn w:val="1"/>
    <w:next w:val="1"/>
    <w:qFormat/>
    <w:uiPriority w:val="0"/>
    <w:pPr>
      <w:jc w:val="center"/>
    </w:pPr>
    <w:rPr>
      <w:rFonts w:ascii="仿宋_GB2312" w:eastAsia="仿宋_GB2312"/>
      <w:b/>
      <w:sz w:val="28"/>
    </w:rPr>
  </w:style>
  <w:style w:type="paragraph" w:styleId="39">
    <w:name w:val="List"/>
    <w:basedOn w:val="1"/>
    <w:qFormat/>
    <w:uiPriority w:val="0"/>
    <w:pPr>
      <w:ind w:left="200" w:hanging="200" w:hangingChars="200"/>
    </w:pPr>
    <w:rPr>
      <w:rFonts w:ascii="Calibri" w:hAnsi="Calibri"/>
      <w:szCs w:val="22"/>
    </w:rPr>
  </w:style>
  <w:style w:type="paragraph" w:styleId="40">
    <w:name w:val="footnote text"/>
    <w:basedOn w:val="1"/>
    <w:unhideWhenUsed/>
    <w:qFormat/>
    <w:uiPriority w:val="0"/>
    <w:pPr>
      <w:snapToGrid w:val="0"/>
      <w:jc w:val="left"/>
    </w:pPr>
    <w:rPr>
      <w:sz w:val="18"/>
      <w:szCs w:val="18"/>
    </w:rPr>
  </w:style>
  <w:style w:type="paragraph" w:styleId="41">
    <w:name w:val="toc 6"/>
    <w:basedOn w:val="1"/>
    <w:next w:val="1"/>
    <w:qFormat/>
    <w:uiPriority w:val="0"/>
    <w:pPr>
      <w:ind w:left="1050"/>
      <w:jc w:val="left"/>
    </w:pPr>
  </w:style>
  <w:style w:type="paragraph" w:styleId="42">
    <w:name w:val="Body Text Indent 3"/>
    <w:basedOn w:val="1"/>
    <w:qFormat/>
    <w:uiPriority w:val="0"/>
    <w:pPr>
      <w:ind w:firstLine="645"/>
    </w:pPr>
    <w:rPr>
      <w:rFonts w:ascii="仿宋_GB2312" w:hAnsi="Arial" w:eastAsia="仿宋_GB2312"/>
      <w:color w:val="000000"/>
      <w:sz w:val="30"/>
    </w:rPr>
  </w:style>
  <w:style w:type="paragraph" w:styleId="43">
    <w:name w:val="index 7"/>
    <w:basedOn w:val="1"/>
    <w:next w:val="1"/>
    <w:qFormat/>
    <w:uiPriority w:val="0"/>
    <w:pPr>
      <w:ind w:left="1200" w:leftChars="1200"/>
    </w:pPr>
  </w:style>
  <w:style w:type="paragraph" w:styleId="44">
    <w:name w:val="index 9"/>
    <w:basedOn w:val="1"/>
    <w:next w:val="1"/>
    <w:qFormat/>
    <w:uiPriority w:val="0"/>
    <w:pPr>
      <w:ind w:left="1600" w:leftChars="1600"/>
    </w:pPr>
  </w:style>
  <w:style w:type="paragraph" w:styleId="45">
    <w:name w:val="toc 2"/>
    <w:basedOn w:val="1"/>
    <w:next w:val="1"/>
    <w:qFormat/>
    <w:uiPriority w:val="0"/>
    <w:pPr>
      <w:ind w:left="210"/>
      <w:jc w:val="left"/>
    </w:pPr>
    <w:rPr>
      <w:smallCaps/>
      <w:sz w:val="28"/>
    </w:rPr>
  </w:style>
  <w:style w:type="paragraph" w:styleId="46">
    <w:name w:val="toc 9"/>
    <w:basedOn w:val="1"/>
    <w:next w:val="1"/>
    <w:qFormat/>
    <w:uiPriority w:val="0"/>
    <w:pPr>
      <w:ind w:left="1680"/>
      <w:jc w:val="left"/>
    </w:pPr>
  </w:style>
  <w:style w:type="paragraph" w:styleId="47">
    <w:name w:val="Body Text 2"/>
    <w:basedOn w:val="1"/>
    <w:qFormat/>
    <w:uiPriority w:val="0"/>
    <w:rPr>
      <w:rFonts w:ascii="仿宋_GB2312" w:eastAsia="仿宋_GB2312"/>
      <w:b/>
      <w:sz w:val="24"/>
    </w:rPr>
  </w:style>
  <w:style w:type="paragraph" w:styleId="48">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49">
    <w:name w:val="index 2"/>
    <w:basedOn w:val="1"/>
    <w:next w:val="1"/>
    <w:qFormat/>
    <w:uiPriority w:val="0"/>
    <w:pPr>
      <w:ind w:left="200" w:leftChars="200"/>
    </w:pPr>
  </w:style>
  <w:style w:type="paragraph" w:styleId="50">
    <w:name w:val="annotation subject"/>
    <w:basedOn w:val="18"/>
    <w:next w:val="18"/>
    <w:qFormat/>
    <w:uiPriority w:val="0"/>
    <w:rPr>
      <w:b/>
      <w:bCs/>
    </w:rPr>
  </w:style>
  <w:style w:type="paragraph" w:styleId="51">
    <w:name w:val="Body Text First Indent"/>
    <w:basedOn w:val="21"/>
    <w:qFormat/>
    <w:uiPriority w:val="0"/>
    <w:pPr>
      <w:autoSpaceDE w:val="0"/>
      <w:autoSpaceDN w:val="0"/>
      <w:adjustRightInd w:val="0"/>
      <w:spacing w:line="360" w:lineRule="auto"/>
      <w:ind w:rightChars="-10" w:firstLine="425" w:firstLineChars="225"/>
    </w:pPr>
    <w:rPr>
      <w:rFonts w:ascii="Arial" w:hAnsi="Arial" w:eastAsia="仿宋_GB2312"/>
      <w:kern w:val="0"/>
      <w:sz w:val="24"/>
    </w:rPr>
  </w:style>
  <w:style w:type="paragraph" w:styleId="52">
    <w:name w:val="Body Text First Indent 2"/>
    <w:basedOn w:val="22"/>
    <w:next w:val="39"/>
    <w:qFormat/>
    <w:uiPriority w:val="99"/>
    <w:pPr>
      <w:widowControl/>
      <w:spacing w:before="100" w:beforeAutospacing="1" w:after="100" w:afterAutospacing="1"/>
    </w:pPr>
    <w:rPr>
      <w:sz w:val="24"/>
      <w:szCs w:val="24"/>
    </w:r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0"/>
    <w:rPr>
      <w:color w:val="CC0033"/>
    </w:rPr>
  </w:style>
  <w:style w:type="character" w:styleId="59">
    <w:name w:val="Hyperlink"/>
    <w:qFormat/>
    <w:uiPriority w:val="0"/>
    <w:rPr>
      <w:color w:val="0000FF"/>
      <w:u w:val="single"/>
    </w:rPr>
  </w:style>
  <w:style w:type="character" w:styleId="60">
    <w:name w:val="annotation reference"/>
    <w:qFormat/>
    <w:uiPriority w:val="0"/>
    <w:rPr>
      <w:sz w:val="21"/>
      <w:szCs w:val="21"/>
    </w:rPr>
  </w:style>
  <w:style w:type="character" w:customStyle="1" w:styleId="61">
    <w:name w:val=" Char Char1"/>
    <w:link w:val="29"/>
    <w:qFormat/>
    <w:uiPriority w:val="0"/>
    <w:rPr>
      <w:b/>
      <w:kern w:val="2"/>
      <w:sz w:val="28"/>
    </w:rPr>
  </w:style>
  <w:style w:type="character" w:customStyle="1" w:styleId="62">
    <w:name w:val=" Char Char"/>
    <w:link w:val="32"/>
    <w:qFormat/>
    <w:uiPriority w:val="0"/>
    <w:rPr>
      <w:kern w:val="2"/>
      <w:sz w:val="18"/>
    </w:rPr>
  </w:style>
  <w:style w:type="character" w:customStyle="1" w:styleId="63">
    <w:name w:val=" Char Char2"/>
    <w:link w:val="34"/>
    <w:qFormat/>
    <w:uiPriority w:val="0"/>
    <w:rPr>
      <w:kern w:val="2"/>
      <w:sz w:val="18"/>
    </w:rPr>
  </w:style>
  <w:style w:type="character" w:customStyle="1" w:styleId="64">
    <w:name w:val="索引标题 Char Char"/>
    <w:qFormat/>
    <w:uiPriority w:val="0"/>
    <w:rPr>
      <w:rFonts w:eastAsia="宋体"/>
      <w:kern w:val="2"/>
      <w:sz w:val="21"/>
      <w:lang w:val="en-US" w:eastAsia="zh-CN"/>
    </w:rPr>
  </w:style>
  <w:style w:type="character" w:customStyle="1" w:styleId="65">
    <w:name w:val="标题 1 Char"/>
    <w:qFormat/>
    <w:uiPriority w:val="0"/>
    <w:rPr>
      <w:rFonts w:eastAsia="宋体"/>
      <w:b/>
      <w:kern w:val="44"/>
      <w:sz w:val="30"/>
      <w:lang w:val="en-US" w:eastAsia="zh-CN"/>
    </w:rPr>
  </w:style>
  <w:style w:type="character" w:customStyle="1" w:styleId="66">
    <w:name w:val="标题 4 Char"/>
    <w:qFormat/>
    <w:uiPriority w:val="0"/>
    <w:rPr>
      <w:rFonts w:ascii="Arial" w:hAnsi="Arial" w:eastAsia="黑体"/>
      <w:b/>
      <w:kern w:val="2"/>
      <w:sz w:val="28"/>
      <w:lang w:val="en-US" w:eastAsia="zh-CN"/>
    </w:rPr>
  </w:style>
  <w:style w:type="paragraph" w:customStyle="1" w:styleId="67">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68">
    <w:name w:val="二级标题"/>
    <w:basedOn w:val="1"/>
    <w:next w:val="69"/>
    <w:qFormat/>
    <w:uiPriority w:val="0"/>
    <w:pPr>
      <w:numPr>
        <w:ilvl w:val="0"/>
        <w:numId w:val="1"/>
      </w:numPr>
      <w:tabs>
        <w:tab w:val="left" w:pos="992"/>
        <w:tab w:val="clear" w:pos="425"/>
      </w:tabs>
      <w:ind w:left="992" w:hanging="567"/>
      <w:outlineLvl w:val="1"/>
    </w:pPr>
    <w:rPr>
      <w:rFonts w:ascii="黑体" w:eastAsia="黑体"/>
      <w:sz w:val="28"/>
    </w:rPr>
  </w:style>
  <w:style w:type="paragraph" w:customStyle="1" w:styleId="69">
    <w:name w:val="文章正文"/>
    <w:basedOn w:val="1"/>
    <w:qFormat/>
    <w:uiPriority w:val="0"/>
    <w:pPr>
      <w:numPr>
        <w:ilvl w:val="1"/>
        <w:numId w:val="1"/>
      </w:numPr>
      <w:spacing w:before="156" w:beforeLines="50" w:after="156" w:afterLines="50" w:line="320" w:lineRule="exact"/>
      <w:ind w:left="0" w:firstLine="200" w:firstLineChars="200"/>
    </w:pPr>
    <w:rPr>
      <w:rFonts w:ascii="仿宋_GB2312" w:eastAsia="仿宋_GB2312"/>
      <w:sz w:val="28"/>
    </w:rPr>
  </w:style>
  <w:style w:type="paragraph" w:customStyle="1" w:styleId="70">
    <w:name w:val="font5"/>
    <w:basedOn w:val="1"/>
    <w:qFormat/>
    <w:uiPriority w:val="0"/>
    <w:pPr>
      <w:widowControl/>
      <w:spacing w:before="100" w:beforeLines="0" w:beforeAutospacing="1" w:after="100" w:afterLines="0" w:afterAutospacing="1"/>
      <w:jc w:val="left"/>
    </w:pPr>
    <w:rPr>
      <w:rFonts w:hint="eastAsia" w:ascii="宋体" w:hAnsi="宋体"/>
      <w:kern w:val="0"/>
      <w:sz w:val="18"/>
    </w:rPr>
  </w:style>
  <w:style w:type="paragraph" w:customStyle="1" w:styleId="71">
    <w:name w:val="正文（缩进）"/>
    <w:basedOn w:val="1"/>
    <w:qFormat/>
    <w:uiPriority w:val="0"/>
    <w:pPr>
      <w:widowControl/>
      <w:spacing w:before="156" w:beforeLines="0" w:beforeAutospacing="0" w:after="156" w:afterLines="0" w:afterAutospacing="0"/>
      <w:ind w:firstLine="480" w:firstLineChars="200"/>
      <w:jc w:val="left"/>
    </w:pPr>
    <w:rPr>
      <w:rFonts w:ascii="仿宋_GB2312" w:eastAsia="仿宋_GB2312"/>
      <w:kern w:val="0"/>
      <w:sz w:val="24"/>
    </w:rPr>
  </w:style>
  <w:style w:type="paragraph" w:customStyle="1" w:styleId="72">
    <w:name w:val="Blockquote_0"/>
    <w:basedOn w:val="73"/>
    <w:qFormat/>
    <w:uiPriority w:val="0"/>
    <w:pPr>
      <w:autoSpaceDE w:val="0"/>
      <w:autoSpaceDN w:val="0"/>
      <w:adjustRightInd w:val="0"/>
      <w:spacing w:before="100" w:after="100"/>
      <w:ind w:left="360" w:right="360"/>
      <w:jc w:val="left"/>
    </w:pPr>
    <w:rPr>
      <w:kern w:val="0"/>
      <w:sz w:val="24"/>
      <w:szCs w:val="20"/>
    </w:rPr>
  </w:style>
  <w:style w:type="paragraph" w:customStyle="1" w:styleId="73">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32"/>
    </w:rPr>
  </w:style>
  <w:style w:type="paragraph" w:customStyle="1" w:styleId="75">
    <w:name w:val="Char Char Char Char Char"/>
    <w:basedOn w:val="1"/>
    <w:qFormat/>
    <w:uiPriority w:val="0"/>
    <w:rPr>
      <w:rFonts w:ascii="Tahoma" w:hAnsi="Tahoma"/>
      <w:sz w:val="24"/>
    </w:rPr>
  </w:style>
  <w:style w:type="paragraph" w:customStyle="1" w:styleId="76">
    <w:name w:val="样式1"/>
    <w:basedOn w:val="1"/>
    <w:qFormat/>
    <w:uiPriority w:val="0"/>
    <w:pPr>
      <w:numPr>
        <w:ilvl w:val="0"/>
        <w:numId w:val="2"/>
      </w:numPr>
      <w:adjustRightInd w:val="0"/>
      <w:textAlignment w:val="baseline"/>
    </w:pPr>
    <w:rPr>
      <w:rFonts w:ascii="宋体" w:hAnsi="宋体"/>
      <w:kern w:val="0"/>
    </w:rPr>
  </w:style>
  <w:style w:type="paragraph" w:customStyle="1" w:styleId="77">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Normal_2"/>
    <w:qFormat/>
    <w:uiPriority w:val="0"/>
    <w:rPr>
      <w:rFonts w:ascii="Times New Roman" w:hAnsi="Times New Roman" w:eastAsia="Times New Roman" w:cs="Times New Roman"/>
      <w:sz w:val="24"/>
      <w:szCs w:val="24"/>
      <w:lang w:bidi="ar-SA"/>
    </w:rPr>
  </w:style>
  <w:style w:type="paragraph" w:customStyle="1" w:styleId="79">
    <w:name w:val="Char"/>
    <w:basedOn w:val="1"/>
    <w:qFormat/>
    <w:uiPriority w:val="0"/>
    <w:rPr>
      <w:rFonts w:ascii="Tahoma" w:hAnsi="Tahoma"/>
      <w:sz w:val="24"/>
    </w:rPr>
  </w:style>
  <w:style w:type="paragraph" w:customStyle="1" w:styleId="80">
    <w:name w:val="正文缩进_0"/>
    <w:basedOn w:val="73"/>
    <w:unhideWhenUsed/>
    <w:qFormat/>
    <w:uiPriority w:val="0"/>
    <w:pPr>
      <w:ind w:firstLine="420" w:firstLineChars="200"/>
    </w:pPr>
    <w:rPr>
      <w:rFonts w:ascii="Calibri" w:hAnsi="Calibri"/>
      <w:bCs/>
      <w:szCs w:val="32"/>
    </w:rPr>
  </w:style>
  <w:style w:type="paragraph" w:customStyle="1" w:styleId="81">
    <w:name w:val="Default Paragraph Char Char Char Char"/>
    <w:basedOn w:val="1"/>
    <w:next w:val="1"/>
    <w:qFormat/>
    <w:uiPriority w:val="0"/>
    <w:pPr>
      <w:widowControl/>
      <w:spacing w:line="360" w:lineRule="auto"/>
      <w:jc w:val="left"/>
    </w:pPr>
    <w:rPr>
      <w:kern w:val="0"/>
      <w:lang w:eastAsia="en-US"/>
    </w:rPr>
  </w:style>
  <w:style w:type="paragraph" w:customStyle="1" w:styleId="82">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
    <w:name w:val="font8"/>
    <w:basedOn w:val="1"/>
    <w:qFormat/>
    <w:uiPriority w:val="0"/>
    <w:pPr>
      <w:widowControl/>
      <w:spacing w:before="100" w:beforeLines="0" w:beforeAutospacing="1" w:after="100" w:afterLines="0" w:afterAutospacing="1"/>
      <w:jc w:val="left"/>
    </w:pPr>
    <w:rPr>
      <w:rFonts w:hint="eastAsia" w:ascii="宋体" w:hAnsi="宋体"/>
      <w:color w:val="000000"/>
      <w:kern w:val="0"/>
      <w:sz w:val="32"/>
    </w:rPr>
  </w:style>
  <w:style w:type="paragraph" w:customStyle="1" w:styleId="84">
    <w:name w:val="D&amp;L"/>
    <w:basedOn w:val="34"/>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5">
    <w:name w:val="Char Char Char"/>
    <w:basedOn w:val="1"/>
    <w:qFormat/>
    <w:uiPriority w:val="0"/>
    <w:rPr>
      <w:rFonts w:ascii="Tahoma" w:hAnsi="Tahoma"/>
      <w:sz w:val="24"/>
    </w:rPr>
  </w:style>
  <w:style w:type="paragraph" w:customStyle="1" w:styleId="86">
    <w:name w:val="基本文字 Char"/>
    <w:basedOn w:val="1"/>
    <w:qFormat/>
    <w:uiPriority w:val="0"/>
    <w:pPr>
      <w:spacing w:before="156" w:beforeLines="0" w:beforeAutospacing="0" w:line="400" w:lineRule="atLeast"/>
      <w:ind w:firstLine="540" w:firstLineChars="225"/>
    </w:pPr>
    <w:rPr>
      <w:sz w:val="24"/>
    </w:rPr>
  </w:style>
  <w:style w:type="paragraph" w:customStyle="1" w:styleId="87">
    <w:name w:val=" Char"/>
    <w:basedOn w:val="1"/>
    <w:qFormat/>
    <w:uiPriority w:val="0"/>
  </w:style>
  <w:style w:type="paragraph" w:customStyle="1" w:styleId="88">
    <w:name w:val=" Char1"/>
    <w:basedOn w:val="1"/>
    <w:qFormat/>
    <w:uiPriority w:val="0"/>
    <w:rPr>
      <w:rFonts w:ascii="Tahoma" w:hAnsi="Tahoma"/>
      <w:sz w:val="24"/>
    </w:rPr>
  </w:style>
  <w:style w:type="paragraph" w:customStyle="1" w:styleId="89">
    <w:name w:val="font7"/>
    <w:basedOn w:val="1"/>
    <w:qFormat/>
    <w:uiPriority w:val="0"/>
    <w:pPr>
      <w:widowControl/>
      <w:spacing w:before="100" w:beforeLines="0" w:beforeAutospacing="1" w:after="100" w:afterLines="0" w:afterAutospacing="1"/>
      <w:jc w:val="left"/>
    </w:pPr>
    <w:rPr>
      <w:rFonts w:hint="eastAsia" w:ascii="幼圆" w:hAnsi="宋体" w:eastAsia="幼圆"/>
      <w:kern w:val="0"/>
      <w:sz w:val="32"/>
    </w:rPr>
  </w:style>
  <w:style w:type="paragraph" w:customStyle="1" w:styleId="90">
    <w:name w:val="font6"/>
    <w:basedOn w:val="1"/>
    <w:qFormat/>
    <w:uiPriority w:val="0"/>
    <w:pPr>
      <w:widowControl/>
      <w:spacing w:before="100" w:beforeLines="0" w:beforeAutospacing="1" w:after="100" w:afterLines="0" w:afterAutospacing="1"/>
      <w:jc w:val="left"/>
    </w:pPr>
    <w:rPr>
      <w:rFonts w:hint="eastAsia" w:ascii="宋体" w:hAnsi="宋体"/>
      <w:kern w:val="0"/>
      <w:sz w:val="18"/>
    </w:rPr>
  </w:style>
  <w:style w:type="paragraph" w:customStyle="1" w:styleId="91">
    <w:name w:val="Blockquote"/>
    <w:basedOn w:val="1"/>
    <w:qFormat/>
    <w:uiPriority w:val="0"/>
    <w:pPr>
      <w:autoSpaceDE w:val="0"/>
      <w:autoSpaceDN w:val="0"/>
      <w:adjustRightInd w:val="0"/>
      <w:spacing w:before="100" w:beforeLines="0" w:after="100" w:afterLines="0"/>
      <w:ind w:left="360" w:right="360"/>
      <w:jc w:val="left"/>
    </w:pPr>
    <w:rPr>
      <w:kern w:val="0"/>
      <w:sz w:val="24"/>
    </w:rPr>
  </w:style>
  <w:style w:type="paragraph" w:customStyle="1" w:styleId="92">
    <w:name w:val=" Char Char Char"/>
    <w:basedOn w:val="1"/>
    <w:qFormat/>
    <w:uiPriority w:val="0"/>
    <w:rPr>
      <w:rFonts w:ascii="Tahoma" w:hAnsi="Tahoma"/>
      <w:sz w:val="24"/>
    </w:rPr>
  </w:style>
  <w:style w:type="paragraph" w:customStyle="1" w:styleId="9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32"/>
    </w:rPr>
  </w:style>
  <w:style w:type="paragraph" w:customStyle="1" w:styleId="94">
    <w:name w:val="Char Char Char Char Char Char Char1 Char"/>
    <w:basedOn w:val="1"/>
    <w:qFormat/>
    <w:uiPriority w:val="0"/>
    <w:rPr>
      <w:rFonts w:ascii="Tahoma" w:hAnsi="Tahoma"/>
      <w:sz w:val="24"/>
    </w:rPr>
  </w:style>
  <w:style w:type="paragraph" w:customStyle="1" w:styleId="9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6">
    <w:name w:val="标题 3_0"/>
    <w:basedOn w:val="73"/>
    <w:next w:val="80"/>
    <w:qFormat/>
    <w:uiPriority w:val="0"/>
    <w:pPr>
      <w:keepNext/>
      <w:keepLines/>
      <w:widowControl/>
      <w:numPr>
        <w:ilvl w:val="2"/>
        <w:numId w:val="3"/>
      </w:numPr>
      <w:spacing w:before="120" w:after="120" w:line="360" w:lineRule="auto"/>
      <w:jc w:val="center"/>
      <w:outlineLvl w:val="2"/>
    </w:pPr>
    <w:rPr>
      <w:b/>
      <w:kern w:val="0"/>
      <w:sz w:val="32"/>
      <w:szCs w:val="20"/>
    </w:rPr>
  </w:style>
  <w:style w:type="paragraph" w:customStyle="1" w:styleId="97">
    <w:name w:val="一级标题"/>
    <w:basedOn w:val="1"/>
    <w:next w:val="68"/>
    <w:qFormat/>
    <w:uiPriority w:val="0"/>
    <w:pPr>
      <w:numPr>
        <w:ilvl w:val="2"/>
        <w:numId w:val="1"/>
      </w:numPr>
      <w:tabs>
        <w:tab w:val="left" w:pos="425"/>
        <w:tab w:val="clear" w:pos="1418"/>
      </w:tabs>
      <w:spacing w:after="312" w:afterLines="100"/>
      <w:ind w:left="850" w:hanging="425"/>
      <w:outlineLvl w:val="0"/>
    </w:pPr>
    <w:rPr>
      <w:rFonts w:ascii="黑体" w:eastAsia="黑体"/>
      <w:sz w:val="30"/>
    </w:rPr>
  </w:style>
  <w:style w:type="paragraph" w:customStyle="1" w:styleId="98">
    <w:name w:val="font9"/>
    <w:basedOn w:val="1"/>
    <w:qFormat/>
    <w:uiPriority w:val="0"/>
    <w:pPr>
      <w:widowControl/>
      <w:spacing w:before="100" w:beforeLines="0" w:beforeAutospacing="1" w:after="100" w:afterLines="0" w:afterAutospacing="1"/>
      <w:jc w:val="left"/>
    </w:pPr>
    <w:rPr>
      <w:rFonts w:hint="eastAsia" w:ascii="幼圆" w:hAnsi="宋体" w:eastAsia="幼圆"/>
      <w:kern w:val="0"/>
      <w:sz w:val="32"/>
    </w:rPr>
  </w:style>
  <w:style w:type="paragraph" w:customStyle="1" w:styleId="99">
    <w:name w:val="列出段落"/>
    <w:basedOn w:val="1"/>
    <w:qFormat/>
    <w:uiPriority w:val="0"/>
    <w:pPr>
      <w:ind w:firstLine="420" w:firstLineChars="200"/>
    </w:pPr>
    <w:rPr>
      <w:szCs w:val="24"/>
    </w:rPr>
  </w:style>
  <w:style w:type="paragraph" w:customStyle="1" w:styleId="10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hint="eastAsia" w:ascii="幼圆" w:hAnsi="宋体" w:eastAsia="幼圆"/>
      <w:kern w:val="0"/>
      <w:sz w:val="32"/>
    </w:rPr>
  </w:style>
  <w:style w:type="paragraph" w:customStyle="1" w:styleId="101">
    <w:name w:val="SUR-需求定义-第4级"/>
    <w:basedOn w:val="5"/>
    <w:next w:val="1"/>
    <w:qFormat/>
    <w:uiPriority w:val="0"/>
    <w:pPr>
      <w:numPr>
        <w:ilvl w:val="3"/>
        <w:numId w:val="4"/>
      </w:numPr>
      <w:tabs>
        <w:tab w:val="left" w:pos="1080"/>
        <w:tab w:val="clear" w:pos="2934"/>
      </w:tabs>
      <w:spacing w:before="0" w:beforeLines="0" w:after="0" w:afterLines="0"/>
      <w:ind w:left="-283" w:firstLine="283"/>
      <w:jc w:val="left"/>
    </w:pPr>
    <w:rPr>
      <w:b w:val="0"/>
      <w:color w:val="0000FF"/>
      <w:sz w:val="24"/>
    </w:rPr>
  </w:style>
  <w:style w:type="paragraph" w:customStyle="1" w:styleId="102">
    <w:name w:val="xl31"/>
    <w:basedOn w:val="1"/>
    <w:qFormat/>
    <w:uiPriority w:val="0"/>
    <w:pPr>
      <w:widowControl/>
      <w:spacing w:before="100" w:beforeLines="0" w:beforeAutospacing="1" w:after="100" w:afterLines="0" w:afterAutospacing="1"/>
      <w:jc w:val="center"/>
    </w:pPr>
    <w:rPr>
      <w:rFonts w:ascii="宋体" w:hAnsi="宋体"/>
      <w:b/>
      <w:kern w:val="0"/>
      <w:sz w:val="28"/>
    </w:rPr>
  </w:style>
  <w:style w:type="paragraph" w:customStyle="1" w:styleId="10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pPr>
    <w:rPr>
      <w:rFonts w:hint="eastAsia" w:ascii="幼圆" w:hAnsi="宋体" w:eastAsia="幼圆"/>
      <w:kern w:val="0"/>
      <w:sz w:val="32"/>
    </w:rPr>
  </w:style>
  <w:style w:type="paragraph" w:customStyle="1" w:styleId="104">
    <w:name w:val="Normal_1"/>
    <w:qFormat/>
    <w:uiPriority w:val="0"/>
    <w:rPr>
      <w:rFonts w:ascii="Times New Roman" w:hAnsi="Times New Roman" w:eastAsia="Times New Roman" w:cs="Times New Roman"/>
      <w:sz w:val="24"/>
      <w:szCs w:val="24"/>
      <w:lang w:bidi="ar-SA"/>
    </w:rPr>
  </w:style>
  <w:style w:type="paragraph" w:customStyle="1" w:styleId="105">
    <w:name w:val="Normal_3"/>
    <w:qFormat/>
    <w:uiPriority w:val="0"/>
    <w:rPr>
      <w:rFonts w:ascii="Times New Roman" w:hAnsi="Times New Roman" w:eastAsia="Times New Roman" w:cs="Times New Roman"/>
      <w:sz w:val="24"/>
      <w:szCs w:val="24"/>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3172</Words>
  <Characters>3265</Characters>
  <Lines>133</Lines>
  <Paragraphs>37</Paragraphs>
  <TotalTime>32</TotalTime>
  <ScaleCrop>false</ScaleCrop>
  <LinksUpToDate>false</LinksUpToDate>
  <CharactersWithSpaces>6501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2012-06-23T01:32:00Z</dcterms:created>
  <dc:creator>lyl</dc:creator>
  <cp:lastModifiedBy>WPS_1487763300</cp:lastModifiedBy>
  <cp:lastPrinted>2020-11-21T02:35:00Z</cp:lastPrinted>
  <dcterms:modified xsi:type="dcterms:W3CDTF">2026-06-02T07:41:42Z</dcterms:modified>
  <dc:title>  </dc:title>
  <cp:revision>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F8B3251F88681946CBB1A1689CB063E0_43</vt:lpwstr>
  </property>
  <property fmtid="{D5CDD505-2E9C-101B-9397-08002B2CF9AE}" pid="4" name="KSOTemplateDocerSaveRecord">
    <vt:lpwstr>eyJoZGlkIjoiM2YyMGQ4YzlhMzllYjk4YjQ3ZjJhYzliYzM5ZDBkZjMiLCJ1c2VySWQiOiIyNjU2MjU1ODkifQ==</vt:lpwstr>
  </property>
</Properties>
</file>