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DA2C0">
      <w:pPr>
        <w:jc w:val="center"/>
        <w:rPr>
          <w:rFonts w:ascii="仿宋_GB2312" w:eastAsia="仿宋_GB2312"/>
          <w:b/>
          <w:bCs/>
          <w:sz w:val="44"/>
          <w:szCs w:val="44"/>
        </w:rPr>
      </w:pPr>
      <w:r>
        <w:rPr>
          <w:rFonts w:hint="eastAsia" w:ascii="仿宋_GB2312" w:eastAsia="仿宋_GB2312"/>
          <w:b/>
          <w:bCs/>
          <w:sz w:val="44"/>
          <w:szCs w:val="44"/>
        </w:rPr>
        <w:t>工程量清单总说明</w:t>
      </w:r>
    </w:p>
    <w:p w14:paraId="14608ED8">
      <w:pPr>
        <w:spacing w:line="540" w:lineRule="exact"/>
        <w:ind w:firstLine="120" w:firstLineChars="50"/>
        <w:rPr>
          <w:rFonts w:hint="eastAsia" w:ascii="仿宋_GB2312" w:hAnsi="宋体" w:eastAsia="仿宋_GB2312" w:cs="宋体"/>
          <w:bCs/>
          <w:color w:val="auto"/>
          <w:sz w:val="24"/>
          <w:szCs w:val="24"/>
          <w:highlight w:val="none"/>
        </w:rPr>
      </w:pPr>
      <w:r>
        <w:rPr>
          <w:rFonts w:hint="eastAsia" w:ascii="仿宋_GB2312" w:hAnsi="宋体" w:eastAsia="仿宋_GB2312" w:cs="宋体"/>
          <w:bCs/>
          <w:sz w:val="24"/>
          <w:szCs w:val="24"/>
        </w:rPr>
        <w:t>工程名称：</w:t>
      </w:r>
      <w:r>
        <w:rPr>
          <w:rFonts w:hint="eastAsia" w:ascii="仿宋_GB2312" w:hAnsi="宋体" w:eastAsia="仿宋_GB2312" w:cs="宋体"/>
          <w:bCs/>
          <w:sz w:val="24"/>
          <w:szCs w:val="24"/>
          <w:lang w:val="en-US" w:eastAsia="zh-CN"/>
        </w:rPr>
        <w:t xml:space="preserve">磨滩圩圩谷13区楼栋外立面彩绘及构筑物制作安装工程    </w:t>
      </w:r>
      <w:r>
        <w:rPr>
          <w:rFonts w:hint="eastAsia" w:ascii="仿宋_GB2312" w:hAnsi="宋体" w:eastAsia="仿宋_GB2312" w:cs="宋体"/>
          <w:bCs/>
          <w:sz w:val="24"/>
          <w:szCs w:val="24"/>
        </w:rPr>
        <w:t>项目编号:</w:t>
      </w:r>
      <w:r>
        <w:rPr>
          <w:rFonts w:hint="eastAsia" w:ascii="仿宋_GB2312" w:hAnsi="宋体" w:eastAsia="仿宋_GB2312" w:cs="宋体"/>
          <w:bCs/>
          <w:color w:val="FF0000"/>
          <w:sz w:val="24"/>
          <w:szCs w:val="24"/>
        </w:rPr>
        <w:t xml:space="preserve"> </w:t>
      </w:r>
      <w:r>
        <w:rPr>
          <w:rFonts w:hint="eastAsia" w:ascii="仿宋_GB2312" w:hAnsi="宋体" w:eastAsia="仿宋_GB2312" w:cs="宋体"/>
          <w:bCs/>
          <w:color w:val="auto"/>
          <w:sz w:val="24"/>
          <w:szCs w:val="24"/>
          <w:highlight w:val="none"/>
        </w:rPr>
        <w:t>******</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14:paraId="087B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3" w:hRule="atLeast"/>
        </w:trPr>
        <w:tc>
          <w:tcPr>
            <w:tcW w:w="5000" w:type="pct"/>
          </w:tcPr>
          <w:p w14:paraId="73862E21">
            <w:pPr>
              <w:spacing w:line="480" w:lineRule="exact"/>
              <w:ind w:firstLine="562" w:firstLineChars="200"/>
              <w:rPr>
                <w:rFonts w:hint="eastAsia" w:ascii="仿宋_GB2312" w:hAnsi="宋体" w:eastAsia="仿宋_GB2312" w:cs="宋体"/>
                <w:b/>
                <w:bCs/>
                <w:sz w:val="28"/>
                <w:szCs w:val="28"/>
              </w:rPr>
            </w:pPr>
            <w:r>
              <w:rPr>
                <w:rFonts w:hint="eastAsia" w:ascii="仿宋_GB2312" w:hAnsi="宋体" w:eastAsia="仿宋_GB2312" w:cs="宋体"/>
                <w:b/>
                <w:bCs/>
                <w:sz w:val="28"/>
                <w:szCs w:val="28"/>
              </w:rPr>
              <w:t>一、工程概况：</w:t>
            </w:r>
          </w:p>
          <w:p w14:paraId="0C8687D0">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本项目位于合肥市包河区大圩镇磨滩旅游度假区，本次招标范围</w:t>
            </w:r>
            <w:bookmarkStart w:id="0" w:name="_Hlk213082659"/>
            <w:r>
              <w:rPr>
                <w:rFonts w:hint="eastAsia" w:ascii="仿宋_GB2312" w:hAnsi="宋体" w:eastAsia="仿宋_GB2312" w:cs="宋体"/>
                <w:sz w:val="28"/>
                <w:szCs w:val="28"/>
                <w:lang w:val="en-US" w:eastAsia="zh-CN"/>
              </w:rPr>
              <w:t>主要包括圩圩谷13区外立面增加彩绘（含方案深化）及装饰构筑物</w:t>
            </w:r>
            <w:r>
              <w:rPr>
                <w:rFonts w:hint="eastAsia" w:ascii="仿宋_GB2312" w:hAnsi="宋体" w:eastAsia="仿宋_GB2312" w:cs="宋体"/>
                <w:sz w:val="28"/>
                <w:szCs w:val="28"/>
              </w:rPr>
              <w:t>。</w:t>
            </w:r>
            <w:bookmarkEnd w:id="0"/>
          </w:p>
          <w:p w14:paraId="159C93CE">
            <w:pPr>
              <w:spacing w:line="480" w:lineRule="exact"/>
              <w:ind w:firstLine="562" w:firstLineChars="200"/>
              <w:rPr>
                <w:rFonts w:hint="eastAsia" w:ascii="仿宋_GB2312" w:hAnsi="宋体" w:eastAsia="仿宋_GB2312" w:cs="宋体"/>
                <w:b/>
                <w:bCs/>
                <w:sz w:val="28"/>
                <w:szCs w:val="28"/>
              </w:rPr>
            </w:pPr>
            <w:r>
              <w:rPr>
                <w:rFonts w:hint="eastAsia" w:ascii="仿宋_GB2312" w:hAnsi="宋体" w:eastAsia="仿宋_GB2312" w:cs="宋体"/>
                <w:b/>
                <w:bCs/>
                <w:sz w:val="28"/>
                <w:szCs w:val="28"/>
              </w:rPr>
              <w:t>二、工程招标范围：</w:t>
            </w:r>
          </w:p>
          <w:p w14:paraId="32DEF63E">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见本项目招标补疑中的招标范围。</w:t>
            </w:r>
          </w:p>
          <w:p w14:paraId="2E99690A">
            <w:pPr>
              <w:spacing w:line="480" w:lineRule="exact"/>
              <w:ind w:firstLine="562" w:firstLineChars="200"/>
              <w:rPr>
                <w:rFonts w:hint="eastAsia" w:ascii="仿宋_GB2312" w:hAnsi="宋体" w:eastAsia="仿宋_GB2312" w:cs="宋体"/>
                <w:b/>
                <w:bCs/>
                <w:sz w:val="28"/>
                <w:szCs w:val="28"/>
              </w:rPr>
            </w:pPr>
            <w:r>
              <w:rPr>
                <w:rFonts w:hint="eastAsia" w:ascii="仿宋_GB2312" w:hAnsi="宋体" w:eastAsia="仿宋_GB2312" w:cs="宋体"/>
                <w:b/>
                <w:bCs/>
                <w:sz w:val="28"/>
                <w:szCs w:val="28"/>
              </w:rPr>
              <w:t>三、工程量清单编制依据</w:t>
            </w:r>
          </w:p>
          <w:p w14:paraId="4E5F672B">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1、</w:t>
            </w:r>
            <w:r>
              <w:rPr>
                <w:rFonts w:hint="eastAsia" w:ascii="仿宋_GB2312" w:hAnsi="宋体" w:eastAsia="仿宋_GB2312" w:cs="宋体"/>
                <w:sz w:val="28"/>
                <w:szCs w:val="28"/>
                <w:lang w:val="en-US" w:eastAsia="zh-CN"/>
              </w:rPr>
              <w:t>磨滩圩圩谷13区楼栋外立面彩绘及构筑物制作安装工程</w:t>
            </w:r>
            <w:r>
              <w:rPr>
                <w:rFonts w:hint="eastAsia" w:ascii="仿宋_GB2312" w:hAnsi="宋体" w:eastAsia="仿宋_GB2312" w:cs="宋体"/>
                <w:sz w:val="28"/>
                <w:szCs w:val="28"/>
              </w:rPr>
              <w:t>招标文件；</w:t>
            </w:r>
          </w:p>
          <w:p w14:paraId="661050FD">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2、</w:t>
            </w:r>
            <w:r>
              <w:rPr>
                <w:rFonts w:hint="eastAsia" w:ascii="仿宋_GB2312" w:hAnsi="宋体" w:eastAsia="仿宋_GB2312" w:cs="宋体"/>
                <w:sz w:val="28"/>
                <w:szCs w:val="28"/>
                <w:lang w:val="en-US" w:eastAsia="zh-CN"/>
              </w:rPr>
              <w:t>磨滩圩圩谷13区楼栋外立面彩绘及构筑物制作安装工程施工</w:t>
            </w:r>
            <w:r>
              <w:rPr>
                <w:rFonts w:hint="eastAsia" w:ascii="仿宋_GB2312" w:hAnsi="宋体" w:eastAsia="仿宋_GB2312" w:cs="宋体"/>
                <w:sz w:val="28"/>
                <w:szCs w:val="28"/>
              </w:rPr>
              <w:t>图设计文件；具体详见本项目招标图纸目录；</w:t>
            </w:r>
          </w:p>
          <w:p w14:paraId="2266CDA4">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3、</w:t>
            </w:r>
            <w:r>
              <w:rPr>
                <w:rFonts w:hint="eastAsia" w:ascii="仿宋_GB2312" w:hAnsi="宋体" w:eastAsia="仿宋_GB2312" w:cs="宋体"/>
                <w:sz w:val="28"/>
                <w:szCs w:val="28"/>
                <w:lang w:val="en-US" w:eastAsia="zh-CN"/>
              </w:rPr>
              <w:t>磨滩圩圩谷13区楼栋外立面彩绘及构筑物制作安装工程</w:t>
            </w:r>
            <w:bookmarkStart w:id="1" w:name="_GoBack"/>
            <w:bookmarkEnd w:id="1"/>
            <w:r>
              <w:rPr>
                <w:rFonts w:hint="eastAsia" w:ascii="仿宋_GB2312" w:hAnsi="宋体" w:eastAsia="仿宋_GB2312" w:cs="宋体"/>
                <w:sz w:val="28"/>
                <w:szCs w:val="28"/>
              </w:rPr>
              <w:t>招标补疑；</w:t>
            </w:r>
          </w:p>
          <w:p w14:paraId="64ED08E0">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4、安徽省建设工程计价依据动态调整（第</w:t>
            </w:r>
            <w:r>
              <w:rPr>
                <w:rFonts w:hint="eastAsia" w:ascii="仿宋_GB2312" w:hAnsi="宋体" w:eastAsia="仿宋_GB2312" w:cs="宋体"/>
                <w:sz w:val="28"/>
                <w:szCs w:val="28"/>
                <w:lang w:val="en-US" w:eastAsia="zh-CN"/>
              </w:rPr>
              <w:t>2</w:t>
            </w:r>
            <w:r>
              <w:rPr>
                <w:rFonts w:hint="eastAsia" w:ascii="仿宋_GB2312" w:hAnsi="宋体" w:eastAsia="仿宋_GB2312" w:cs="宋体"/>
                <w:sz w:val="28"/>
                <w:szCs w:val="28"/>
              </w:rPr>
              <w:t>期）；</w:t>
            </w:r>
          </w:p>
          <w:p w14:paraId="60DECCE7">
            <w:pPr>
              <w:widowControl w:val="0"/>
              <w:adjustRightInd w:val="0"/>
              <w:snapToGrid w:val="0"/>
              <w:spacing w:line="440" w:lineRule="exact"/>
              <w:ind w:firstLine="560" w:firstLineChars="200"/>
              <w:rPr>
                <w:rFonts w:hint="eastAsia" w:ascii="仿宋_GB2312" w:hAnsi="宋体" w:eastAsia="仿宋_GB2312" w:cs="宋体"/>
                <w:bCs/>
                <w:sz w:val="28"/>
                <w:szCs w:val="28"/>
              </w:rPr>
            </w:pPr>
            <w:r>
              <w:rPr>
                <w:rFonts w:hint="eastAsia" w:ascii="仿宋_GB2312" w:hAnsi="宋体" w:eastAsia="仿宋_GB2312" w:cs="宋体"/>
                <w:bCs/>
                <w:sz w:val="28"/>
                <w:szCs w:val="28"/>
              </w:rPr>
              <w:t>5、2018版安徽省建设工程计价依据；</w:t>
            </w:r>
          </w:p>
          <w:p w14:paraId="5E679AB9">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6、安徽省装配式建筑工程计价定额、安徽省房屋修缮工程计价定额、安徽省市政设施养护维修工程计价定额；</w:t>
            </w:r>
          </w:p>
          <w:p w14:paraId="68702848">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7、关于贯彻执行《2018版安徽省建设工程计价依据动态调整（第1期）》的通知合建监管〔2024〕13号。</w:t>
            </w:r>
          </w:p>
          <w:p w14:paraId="2D41D13F">
            <w:pPr>
              <w:spacing w:line="480" w:lineRule="exact"/>
              <w:ind w:firstLine="562" w:firstLineChars="200"/>
              <w:rPr>
                <w:rFonts w:hint="eastAsia" w:ascii="仿宋_GB2312" w:hAnsi="宋体" w:eastAsia="仿宋_GB2312" w:cs="宋体"/>
                <w:sz w:val="28"/>
                <w:szCs w:val="28"/>
              </w:rPr>
            </w:pPr>
            <w:r>
              <w:rPr>
                <w:rFonts w:hint="eastAsia" w:ascii="仿宋_GB2312" w:hAnsi="宋体" w:eastAsia="仿宋_GB2312" w:cs="宋体"/>
                <w:b/>
                <w:bCs/>
                <w:sz w:val="28"/>
                <w:szCs w:val="28"/>
              </w:rPr>
              <w:t>四、工程量清单编制及报价要求</w:t>
            </w:r>
          </w:p>
          <w:p w14:paraId="51053B66">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1、工程量清单列出的每个细目已包含涉及到与该细目有关的全部工程内容，投标人应将工程量清单与投标人须知、合同通用条款、专用条款以及技术规范和图纸一起对照阅读。</w:t>
            </w:r>
          </w:p>
          <w:p w14:paraId="50C485E8">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2、除非合同另有规定，分部分项工程量清单中每一项综合单价均已包括完成一个规定计量单位项目所需的人工费、材料费、机械费和综合费。</w:t>
            </w:r>
          </w:p>
          <w:p w14:paraId="1E51E48F">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3、本项目工程量清单依据2018版安徽省建设工程计价依据、安徽省装配式建筑工程计价定额、安徽省房屋修缮工程计价定额、安徽省市政设施养护维修工程计价定额、安徽省建设工程计价依据动态调整（第1期）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p>
          <w:p w14:paraId="46B9FC2B">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680BDCA1">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2A1BF29E">
            <w:pPr>
              <w:widowControl w:val="0"/>
              <w:adjustRightInd w:val="0"/>
              <w:snapToGrid w:val="0"/>
              <w:spacing w:line="440" w:lineRule="exact"/>
              <w:ind w:firstLine="562" w:firstLineChars="200"/>
              <w:rPr>
                <w:rFonts w:hint="eastAsia" w:ascii="仿宋_GB2312" w:hAnsi="宋体" w:eastAsia="仿宋_GB2312"/>
                <w:b/>
                <w:sz w:val="28"/>
              </w:rPr>
            </w:pPr>
            <w:r>
              <w:rPr>
                <w:rFonts w:hint="eastAsia" w:ascii="仿宋_GB2312" w:hAnsi="宋体" w:eastAsia="仿宋_GB2312" w:cs="宋体"/>
                <w:b/>
                <w:bCs/>
                <w:sz w:val="28"/>
                <w:szCs w:val="28"/>
              </w:rPr>
              <w:t>五、</w:t>
            </w:r>
            <w:r>
              <w:rPr>
                <w:rFonts w:hint="eastAsia" w:ascii="仿宋_GB2312" w:hAnsi="宋体" w:eastAsia="仿宋_GB2312"/>
                <w:b/>
                <w:sz w:val="28"/>
              </w:rPr>
              <w:t>税率计算：</w:t>
            </w:r>
          </w:p>
          <w:p w14:paraId="68F9915E">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本项目采用一般计税方法，增值税税率按照9%计算，建设工程造价=税前工程造价*（1+9%）。</w:t>
            </w:r>
          </w:p>
          <w:p w14:paraId="20903EE6">
            <w:pPr>
              <w:widowControl w:val="0"/>
              <w:adjustRightInd w:val="0"/>
              <w:snapToGrid w:val="0"/>
              <w:spacing w:line="440" w:lineRule="exact"/>
              <w:ind w:firstLine="562" w:firstLineChars="200"/>
              <w:rPr>
                <w:rFonts w:hint="eastAsia" w:ascii="仿宋_GB2312" w:hAnsi="宋体" w:eastAsia="仿宋_GB2312"/>
                <w:sz w:val="28"/>
              </w:rPr>
            </w:pPr>
            <w:r>
              <w:rPr>
                <w:rFonts w:hint="eastAsia" w:ascii="仿宋_GB2312" w:hAnsi="宋体" w:eastAsia="仿宋_GB2312"/>
                <w:b/>
                <w:sz w:val="28"/>
              </w:rPr>
              <w:t>六、其他需要说明的问题：</w:t>
            </w:r>
          </w:p>
          <w:p w14:paraId="58C9BC7E">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1、工程量清单及其计价格式中所有要求签字、盖章的地方，必须由规定的单位和人员签字、盖章。</w:t>
            </w:r>
          </w:p>
          <w:p w14:paraId="4E511DCA">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2、工程量清单及其计价格式中的任何内容不得随意删除或涂改。</w:t>
            </w:r>
          </w:p>
          <w:p w14:paraId="1FEAA9A9">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 xml:space="preserve">3、金额（价格）均应以 </w:t>
            </w:r>
            <w:r>
              <w:rPr>
                <w:rFonts w:hint="eastAsia" w:ascii="仿宋_GB2312" w:hAnsi="宋体" w:eastAsia="仿宋_GB2312"/>
                <w:bCs/>
                <w:sz w:val="28"/>
                <w:u w:val="single"/>
              </w:rPr>
              <w:t>人民币</w:t>
            </w:r>
            <w:r>
              <w:rPr>
                <w:rFonts w:hint="eastAsia" w:ascii="仿宋_GB2312" w:hAnsi="宋体" w:eastAsia="仿宋_GB2312"/>
                <w:b/>
                <w:sz w:val="28"/>
              </w:rPr>
              <w:t xml:space="preserve"> </w:t>
            </w:r>
            <w:r>
              <w:rPr>
                <w:rFonts w:hint="eastAsia" w:ascii="仿宋_GB2312" w:hAnsi="宋体" w:eastAsia="仿宋_GB2312"/>
                <w:sz w:val="28"/>
              </w:rPr>
              <w:t>表示。</w:t>
            </w:r>
          </w:p>
        </w:tc>
      </w:tr>
    </w:tbl>
    <w:p w14:paraId="058F3187">
      <w:pPr>
        <w:jc w:val="center"/>
        <w:rPr>
          <w:rFonts w:ascii="仿宋_GB2312" w:eastAsia="仿宋_GB2312"/>
        </w:rPr>
      </w:pPr>
    </w:p>
    <w:sectPr>
      <w:pgSz w:w="11906" w:h="16838"/>
      <w:pgMar w:top="567" w:right="991" w:bottom="517" w:left="1134" w:header="567" w:footer="51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08"/>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GU2OWZlZDM5ZmEyYmRkZjhmNGU4MmUyMDcyM2NkYjcifQ=="/>
  </w:docVars>
  <w:rsids>
    <w:rsidRoot w:val="002E6BB6"/>
    <w:rsid w:val="00001C2A"/>
    <w:rsid w:val="000133D4"/>
    <w:rsid w:val="000357CD"/>
    <w:rsid w:val="00036734"/>
    <w:rsid w:val="00036909"/>
    <w:rsid w:val="000407E8"/>
    <w:rsid w:val="0007144D"/>
    <w:rsid w:val="000816F2"/>
    <w:rsid w:val="00091F32"/>
    <w:rsid w:val="000C2110"/>
    <w:rsid w:val="000F49D2"/>
    <w:rsid w:val="00117447"/>
    <w:rsid w:val="0012098A"/>
    <w:rsid w:val="00125A0C"/>
    <w:rsid w:val="00136922"/>
    <w:rsid w:val="00147BFC"/>
    <w:rsid w:val="001704AD"/>
    <w:rsid w:val="001A0833"/>
    <w:rsid w:val="001A1C83"/>
    <w:rsid w:val="001B16E0"/>
    <w:rsid w:val="001C25FB"/>
    <w:rsid w:val="001D44EA"/>
    <w:rsid w:val="00200308"/>
    <w:rsid w:val="00210A17"/>
    <w:rsid w:val="00232FFD"/>
    <w:rsid w:val="00241029"/>
    <w:rsid w:val="0025207C"/>
    <w:rsid w:val="0025456B"/>
    <w:rsid w:val="00264847"/>
    <w:rsid w:val="0027226F"/>
    <w:rsid w:val="002D4B0E"/>
    <w:rsid w:val="002E6BB6"/>
    <w:rsid w:val="003433ED"/>
    <w:rsid w:val="00356D03"/>
    <w:rsid w:val="003818FC"/>
    <w:rsid w:val="003A57FA"/>
    <w:rsid w:val="003B24CC"/>
    <w:rsid w:val="003C3E79"/>
    <w:rsid w:val="003D31B9"/>
    <w:rsid w:val="00414B44"/>
    <w:rsid w:val="00414E4E"/>
    <w:rsid w:val="00420F8A"/>
    <w:rsid w:val="00456861"/>
    <w:rsid w:val="00466A6E"/>
    <w:rsid w:val="00492C71"/>
    <w:rsid w:val="004C016C"/>
    <w:rsid w:val="00502D1B"/>
    <w:rsid w:val="00502D87"/>
    <w:rsid w:val="005175A5"/>
    <w:rsid w:val="005404B3"/>
    <w:rsid w:val="00557BE9"/>
    <w:rsid w:val="00565E0A"/>
    <w:rsid w:val="005864B4"/>
    <w:rsid w:val="005F5A40"/>
    <w:rsid w:val="005F6C48"/>
    <w:rsid w:val="00622E42"/>
    <w:rsid w:val="00642975"/>
    <w:rsid w:val="00644604"/>
    <w:rsid w:val="00656D1C"/>
    <w:rsid w:val="00694C03"/>
    <w:rsid w:val="006A7D45"/>
    <w:rsid w:val="006B40BA"/>
    <w:rsid w:val="006C424F"/>
    <w:rsid w:val="006F7F35"/>
    <w:rsid w:val="00722ED0"/>
    <w:rsid w:val="00747755"/>
    <w:rsid w:val="00751080"/>
    <w:rsid w:val="007514CD"/>
    <w:rsid w:val="00761810"/>
    <w:rsid w:val="0077301D"/>
    <w:rsid w:val="007C112A"/>
    <w:rsid w:val="007F0E05"/>
    <w:rsid w:val="007F2F50"/>
    <w:rsid w:val="007F4E50"/>
    <w:rsid w:val="00862F9C"/>
    <w:rsid w:val="00877A7A"/>
    <w:rsid w:val="008A3FED"/>
    <w:rsid w:val="008C0137"/>
    <w:rsid w:val="00963E4E"/>
    <w:rsid w:val="009A6FB2"/>
    <w:rsid w:val="00A275DC"/>
    <w:rsid w:val="00A57536"/>
    <w:rsid w:val="00A653EC"/>
    <w:rsid w:val="00A70AB0"/>
    <w:rsid w:val="00A82FC4"/>
    <w:rsid w:val="00AD33E2"/>
    <w:rsid w:val="00B141BF"/>
    <w:rsid w:val="00B22DA3"/>
    <w:rsid w:val="00B25465"/>
    <w:rsid w:val="00B50C17"/>
    <w:rsid w:val="00B560CA"/>
    <w:rsid w:val="00B70FC3"/>
    <w:rsid w:val="00BC52F1"/>
    <w:rsid w:val="00BE3667"/>
    <w:rsid w:val="00BE6D3F"/>
    <w:rsid w:val="00BF6FCC"/>
    <w:rsid w:val="00C26DC4"/>
    <w:rsid w:val="00C95811"/>
    <w:rsid w:val="00D43527"/>
    <w:rsid w:val="00D5118D"/>
    <w:rsid w:val="00D71560"/>
    <w:rsid w:val="00D74574"/>
    <w:rsid w:val="00D87314"/>
    <w:rsid w:val="00DA16FF"/>
    <w:rsid w:val="00DD1476"/>
    <w:rsid w:val="00E0738F"/>
    <w:rsid w:val="00E45666"/>
    <w:rsid w:val="00E92EFF"/>
    <w:rsid w:val="00EA1235"/>
    <w:rsid w:val="00EA26B6"/>
    <w:rsid w:val="00EC7F70"/>
    <w:rsid w:val="00F10AD7"/>
    <w:rsid w:val="00F32E83"/>
    <w:rsid w:val="00F43CFB"/>
    <w:rsid w:val="00F56EC1"/>
    <w:rsid w:val="00F63E3E"/>
    <w:rsid w:val="00F71DEA"/>
    <w:rsid w:val="00F72F77"/>
    <w:rsid w:val="00F74299"/>
    <w:rsid w:val="00FC137D"/>
    <w:rsid w:val="00FD19AC"/>
    <w:rsid w:val="00FD4762"/>
    <w:rsid w:val="00FE63C7"/>
    <w:rsid w:val="00FF2C13"/>
    <w:rsid w:val="01CD4C25"/>
    <w:rsid w:val="020B718F"/>
    <w:rsid w:val="0221640D"/>
    <w:rsid w:val="03500737"/>
    <w:rsid w:val="05475744"/>
    <w:rsid w:val="059646A8"/>
    <w:rsid w:val="077F1A75"/>
    <w:rsid w:val="078D1913"/>
    <w:rsid w:val="0981726F"/>
    <w:rsid w:val="09E70E62"/>
    <w:rsid w:val="0B972A57"/>
    <w:rsid w:val="0C3D5DC6"/>
    <w:rsid w:val="0EA52A14"/>
    <w:rsid w:val="10702A89"/>
    <w:rsid w:val="12A32A1A"/>
    <w:rsid w:val="14A83AA2"/>
    <w:rsid w:val="16C72702"/>
    <w:rsid w:val="16D93E6A"/>
    <w:rsid w:val="192E31DC"/>
    <w:rsid w:val="19B039F4"/>
    <w:rsid w:val="1A251391"/>
    <w:rsid w:val="1B795CE7"/>
    <w:rsid w:val="1CAB676A"/>
    <w:rsid w:val="200129AF"/>
    <w:rsid w:val="211C7EA0"/>
    <w:rsid w:val="2139193C"/>
    <w:rsid w:val="2654670D"/>
    <w:rsid w:val="27871000"/>
    <w:rsid w:val="284E189E"/>
    <w:rsid w:val="297C30D0"/>
    <w:rsid w:val="2A2E7CD8"/>
    <w:rsid w:val="2AB7207E"/>
    <w:rsid w:val="2B403BAE"/>
    <w:rsid w:val="2BEB60F0"/>
    <w:rsid w:val="2CE874C7"/>
    <w:rsid w:val="2CFD5DBC"/>
    <w:rsid w:val="2E903C71"/>
    <w:rsid w:val="2EF810D6"/>
    <w:rsid w:val="2F1C1F31"/>
    <w:rsid w:val="2F7144B7"/>
    <w:rsid w:val="30F2395A"/>
    <w:rsid w:val="31936BEF"/>
    <w:rsid w:val="332066A9"/>
    <w:rsid w:val="36023975"/>
    <w:rsid w:val="378D53C9"/>
    <w:rsid w:val="3BC347FC"/>
    <w:rsid w:val="3C1A386F"/>
    <w:rsid w:val="419E307B"/>
    <w:rsid w:val="446C42AE"/>
    <w:rsid w:val="44E9036F"/>
    <w:rsid w:val="458260FB"/>
    <w:rsid w:val="45C82E91"/>
    <w:rsid w:val="46B10076"/>
    <w:rsid w:val="46BD6FA1"/>
    <w:rsid w:val="48CB6EF8"/>
    <w:rsid w:val="49370DC0"/>
    <w:rsid w:val="49696E21"/>
    <w:rsid w:val="49C90F48"/>
    <w:rsid w:val="49CE7280"/>
    <w:rsid w:val="49E74B3F"/>
    <w:rsid w:val="49F8457E"/>
    <w:rsid w:val="4ABE45E3"/>
    <w:rsid w:val="4B3E0170"/>
    <w:rsid w:val="4C7A1FAF"/>
    <w:rsid w:val="4D6773BC"/>
    <w:rsid w:val="4DC414FF"/>
    <w:rsid w:val="51BD639D"/>
    <w:rsid w:val="52971E9A"/>
    <w:rsid w:val="53CC00F4"/>
    <w:rsid w:val="552A4A28"/>
    <w:rsid w:val="55E31B91"/>
    <w:rsid w:val="582253B3"/>
    <w:rsid w:val="58B80C39"/>
    <w:rsid w:val="5A6D10C6"/>
    <w:rsid w:val="5B3A4083"/>
    <w:rsid w:val="5B575C59"/>
    <w:rsid w:val="5B720A84"/>
    <w:rsid w:val="5C56673B"/>
    <w:rsid w:val="5C781710"/>
    <w:rsid w:val="5CAD45AE"/>
    <w:rsid w:val="5CEB6982"/>
    <w:rsid w:val="5D027639"/>
    <w:rsid w:val="5F1713B9"/>
    <w:rsid w:val="5F341C2C"/>
    <w:rsid w:val="5F9C3133"/>
    <w:rsid w:val="60D32996"/>
    <w:rsid w:val="62372E29"/>
    <w:rsid w:val="630E7706"/>
    <w:rsid w:val="653D52F3"/>
    <w:rsid w:val="65A94DB4"/>
    <w:rsid w:val="663B6188"/>
    <w:rsid w:val="672F7744"/>
    <w:rsid w:val="67A73EA3"/>
    <w:rsid w:val="68F429EC"/>
    <w:rsid w:val="6A165A2D"/>
    <w:rsid w:val="6BA33A3F"/>
    <w:rsid w:val="6D8A34B6"/>
    <w:rsid w:val="6DAC7AA3"/>
    <w:rsid w:val="6F6F2F06"/>
    <w:rsid w:val="6F735498"/>
    <w:rsid w:val="710B4757"/>
    <w:rsid w:val="71CC7FD4"/>
    <w:rsid w:val="72683D3C"/>
    <w:rsid w:val="73391DB7"/>
    <w:rsid w:val="73890CE6"/>
    <w:rsid w:val="73B1393F"/>
    <w:rsid w:val="74AB2A41"/>
    <w:rsid w:val="75614273"/>
    <w:rsid w:val="77301F27"/>
    <w:rsid w:val="776B0053"/>
    <w:rsid w:val="7908278D"/>
    <w:rsid w:val="7A422B66"/>
    <w:rsid w:val="7D6C11B9"/>
    <w:rsid w:val="7DDA1E5B"/>
    <w:rsid w:val="7FB86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line="320" w:lineRule="atLeast"/>
      <w:ind w:firstLine="425"/>
    </w:pPr>
    <w:rPr>
      <w:szCs w:val="20"/>
    </w:rPr>
  </w:style>
  <w:style w:type="paragraph" w:styleId="4">
    <w:name w:val="footer"/>
    <w:basedOn w:val="1"/>
    <w:link w:val="23"/>
    <w:unhideWhenUsed/>
    <w:qFormat/>
    <w:uiPriority w:val="99"/>
    <w:pPr>
      <w:tabs>
        <w:tab w:val="center" w:pos="4153"/>
        <w:tab w:val="right" w:pos="8306"/>
      </w:tabs>
      <w:snapToGrid w:val="0"/>
    </w:pPr>
    <w:rPr>
      <w:sz w:val="18"/>
      <w:szCs w:val="18"/>
    </w:rPr>
  </w:style>
  <w:style w:type="paragraph" w:styleId="5">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pPr>
    <w:rPr>
      <w:rFonts w:cs="Times New Roman"/>
      <w:kern w:val="0"/>
      <w:sz w:val="24"/>
    </w:rPr>
  </w:style>
  <w:style w:type="character" w:styleId="9">
    <w:name w:val="Strong"/>
    <w:basedOn w:val="8"/>
    <w:qFormat/>
    <w:uiPriority w:val="22"/>
    <w:rPr>
      <w:b/>
    </w:rPr>
  </w:style>
  <w:style w:type="character" w:styleId="10">
    <w:name w:val="FollowedHyperlink"/>
    <w:basedOn w:val="8"/>
    <w:semiHidden/>
    <w:unhideWhenUsed/>
    <w:qFormat/>
    <w:uiPriority w:val="99"/>
    <w:rPr>
      <w:color w:val="800080"/>
      <w:u w:val="none"/>
    </w:rPr>
  </w:style>
  <w:style w:type="character" w:styleId="11">
    <w:name w:val="Emphasis"/>
    <w:basedOn w:val="8"/>
    <w:qFormat/>
    <w:uiPriority w:val="20"/>
    <w:rPr>
      <w:b/>
    </w:rPr>
  </w:style>
  <w:style w:type="character" w:styleId="12">
    <w:name w:val="HTML Definition"/>
    <w:basedOn w:val="8"/>
    <w:semiHidden/>
    <w:unhideWhenUsed/>
    <w:qFormat/>
    <w:uiPriority w:val="99"/>
  </w:style>
  <w:style w:type="character" w:styleId="13">
    <w:name w:val="HTML Typewriter"/>
    <w:basedOn w:val="8"/>
    <w:semiHidden/>
    <w:unhideWhenUsed/>
    <w:qFormat/>
    <w:uiPriority w:val="99"/>
    <w:rPr>
      <w:rFonts w:hint="default" w:ascii="monospace" w:hAnsi="monospace" w:eastAsia="monospace" w:cs="monospace"/>
      <w:sz w:val="20"/>
    </w:rPr>
  </w:style>
  <w:style w:type="character" w:styleId="14">
    <w:name w:val="HTML Acronym"/>
    <w:basedOn w:val="8"/>
    <w:semiHidden/>
    <w:unhideWhenUsed/>
    <w:qFormat/>
    <w:uiPriority w:val="99"/>
  </w:style>
  <w:style w:type="character" w:styleId="15">
    <w:name w:val="HTML Variable"/>
    <w:basedOn w:val="8"/>
    <w:semiHidden/>
    <w:unhideWhenUsed/>
    <w:qFormat/>
    <w:uiPriority w:val="99"/>
  </w:style>
  <w:style w:type="character" w:styleId="16">
    <w:name w:val="Hyperlink"/>
    <w:basedOn w:val="8"/>
    <w:semiHidden/>
    <w:unhideWhenUsed/>
    <w:qFormat/>
    <w:uiPriority w:val="99"/>
    <w:rPr>
      <w:color w:val="0000FF"/>
      <w:u w:val="none"/>
    </w:rPr>
  </w:style>
  <w:style w:type="character" w:styleId="17">
    <w:name w:val="HTML Code"/>
    <w:basedOn w:val="8"/>
    <w:semiHidden/>
    <w:unhideWhenUsed/>
    <w:qFormat/>
    <w:uiPriority w:val="99"/>
    <w:rPr>
      <w:rFonts w:hint="default" w:ascii="monospace" w:hAnsi="monospace" w:eastAsia="monospace" w:cs="monospace"/>
      <w:sz w:val="20"/>
      <w:bdr w:val="single" w:color="888888" w:sz="2" w:space="0"/>
      <w:shd w:val="clear" w:color="auto" w:fill="F2F4F9"/>
    </w:rPr>
  </w:style>
  <w:style w:type="character" w:styleId="18">
    <w:name w:val="HTML Cite"/>
    <w:basedOn w:val="8"/>
    <w:semiHidden/>
    <w:unhideWhenUsed/>
    <w:qFormat/>
    <w:uiPriority w:val="99"/>
  </w:style>
  <w:style w:type="character" w:styleId="19">
    <w:name w:val="HTML Keyboard"/>
    <w:basedOn w:val="8"/>
    <w:semiHidden/>
    <w:unhideWhenUsed/>
    <w:qFormat/>
    <w:uiPriority w:val="99"/>
    <w:rPr>
      <w:rFonts w:ascii="monospace" w:hAnsi="monospace" w:eastAsia="monospace" w:cs="monospace"/>
      <w:sz w:val="20"/>
    </w:rPr>
  </w:style>
  <w:style w:type="character" w:styleId="20">
    <w:name w:val="HTML Sample"/>
    <w:basedOn w:val="8"/>
    <w:semiHidden/>
    <w:unhideWhenUsed/>
    <w:qFormat/>
    <w:uiPriority w:val="99"/>
    <w:rPr>
      <w:rFonts w:hint="default" w:ascii="monospace" w:hAnsi="monospace" w:eastAsia="monospace" w:cs="monospace"/>
    </w:rPr>
  </w:style>
  <w:style w:type="paragraph" w:customStyle="1" w:styleId="21">
    <w:name w:val="_Style 2"/>
    <w:basedOn w:val="2"/>
    <w:next w:val="1"/>
    <w:qFormat/>
    <w:uiPriority w:val="0"/>
    <w:pPr>
      <w:spacing w:before="480" w:after="0" w:line="276" w:lineRule="auto"/>
      <w:ind w:firstLine="7168"/>
    </w:pPr>
    <w:rPr>
      <w:rFonts w:ascii="Cambria"/>
      <w:sz w:val="28"/>
    </w:rPr>
  </w:style>
  <w:style w:type="character" w:customStyle="1" w:styleId="22">
    <w:name w:val="页眉 字符"/>
    <w:basedOn w:val="8"/>
    <w:link w:val="5"/>
    <w:qFormat/>
    <w:uiPriority w:val="99"/>
    <w:rPr>
      <w:sz w:val="18"/>
      <w:szCs w:val="18"/>
    </w:rPr>
  </w:style>
  <w:style w:type="character" w:customStyle="1" w:styleId="23">
    <w:name w:val="页脚 字符"/>
    <w:basedOn w:val="8"/>
    <w:link w:val="4"/>
    <w:qFormat/>
    <w:uiPriority w:val="99"/>
    <w:rPr>
      <w:sz w:val="18"/>
      <w:szCs w:val="18"/>
    </w:rPr>
  </w:style>
  <w:style w:type="character" w:customStyle="1" w:styleId="24">
    <w:name w:val="mini-outputtext1"/>
    <w:basedOn w:val="8"/>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Stimulsoft Reports 2014.2.2000 from 13 October 2014</Company>
  <Pages>2</Pages>
  <Words>1075</Words>
  <Characters>1097</Characters>
  <Lines>25</Lines>
  <Paragraphs>27</Paragraphs>
  <TotalTime>2</TotalTime>
  <ScaleCrop>false</ScaleCrop>
  <LinksUpToDate>false</LinksUpToDate>
  <CharactersWithSpaces>1127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2019-05-07T09:10:00Z</dcterms:created>
  <dc:creator>asus</dc:creator>
  <cp:lastModifiedBy>15556922229</cp:lastModifiedBy>
  <dcterms:modified xsi:type="dcterms:W3CDTF">2026-06-03T07:11:34Z</dcterms:modified>
  <dc:subject>新站高新区税务局办事大厅装修改造工程施工</dc:subject>
  <dc:title>新站高新区税务局办事大厅装修改造工程施工</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26106FA402E14D7F9DBC6ECF5F32B637</vt:lpwstr>
  </property>
  <property fmtid="{D5CDD505-2E9C-101B-9397-08002B2CF9AE}" pid="4" name="commondata">
    <vt:lpwstr>eyJoZGlkIjoiY2NhOGU3MGEyMDcxMTBkODM0ZTA5M2M4OWJiMWRlM2IifQ==</vt:lpwstr>
  </property>
  <property fmtid="{D5CDD505-2E9C-101B-9397-08002B2CF9AE}" pid="5" name="KSOTemplateDocerSaveRecord">
    <vt:lpwstr>eyJoZGlkIjoiOGM0NjdjYTI5ZjkwOTUzNTMzNjdkMzBkNDdkMzQyYmEiLCJ1c2VySWQiOiI1OTkyODE3NTIifQ==</vt:lpwstr>
  </property>
</Properties>
</file>