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245092759"/>
          <w:bookmarkStart w:id="2" w:name="_Toc328559326"/>
        </w:p>
        <w:p w14:paraId="0F12E62B">
          <w:pPr>
            <w:spacing w:line="900" w:lineRule="exact"/>
            <w:jc w:val="center"/>
            <w:rPr>
              <w:rFonts w:hint="eastAsia" w:ascii="微软雅黑" w:hAnsi="微软雅黑" w:eastAsia="微软雅黑" w:cs="微软雅黑"/>
              <w:caps/>
              <w:sz w:val="22"/>
              <w:szCs w:val="22"/>
              <w:lang w:val="zh-CN"/>
            </w:rPr>
          </w:pPr>
        </w:p>
        <w:p w14:paraId="2B321EED">
          <w:pPr>
            <w:spacing w:line="900" w:lineRule="exact"/>
            <w:jc w:val="center"/>
            <w:rPr>
              <w:rFonts w:hint="default" w:ascii="宋体" w:hAnsi="宋体" w:eastAsia="黑体"/>
              <w:b/>
              <w:bCs/>
              <w:sz w:val="84"/>
              <w:szCs w:val="84"/>
              <w:lang w:val="en-US" w:eastAsia="zh-CN"/>
            </w:rPr>
          </w:pPr>
          <w:r>
            <w:rPr>
              <w:rFonts w:hint="eastAsia" w:eastAsia="黑体"/>
              <w:b/>
              <w:bCs/>
              <w:sz w:val="56"/>
              <w:szCs w:val="56"/>
              <w:lang w:val="en-US" w:eastAsia="zh-CN"/>
            </w:rPr>
            <w:t>滨河湾A地块营销管理系统</w:t>
          </w:r>
        </w:p>
        <w:p w14:paraId="0C01D06A">
          <w:pPr>
            <w:adjustRightInd w:val="0"/>
            <w:snapToGrid w:val="0"/>
            <w:spacing w:before="48" w:beforeLines="20" w:after="48" w:afterLines="20" w:line="940" w:lineRule="exact"/>
            <w:jc w:val="center"/>
            <w:rPr>
              <w:rFonts w:hint="eastAsia" w:ascii="宋体" w:hAnsi="宋体"/>
              <w:bCs/>
              <w:sz w:val="84"/>
              <w:szCs w:val="84"/>
              <w:lang w:val="en-US" w:eastAsia="zh-CN"/>
            </w:rPr>
          </w:pPr>
          <w:r>
            <w:rPr>
              <w:rFonts w:hint="eastAsia" w:ascii="宋体" w:hAnsi="宋体"/>
              <w:bCs/>
              <w:sz w:val="84"/>
              <w:szCs w:val="84"/>
              <w:lang w:val="en-US" w:eastAsia="zh-CN"/>
            </w:rPr>
            <w:t>采</w:t>
          </w:r>
        </w:p>
        <w:p w14:paraId="2CA1A266">
          <w:pPr>
            <w:adjustRightInd w:val="0"/>
            <w:snapToGrid w:val="0"/>
            <w:spacing w:before="48" w:beforeLines="20" w:after="48" w:afterLines="20" w:line="940" w:lineRule="exact"/>
            <w:jc w:val="center"/>
            <w:rPr>
              <w:rFonts w:hint="eastAsia" w:ascii="宋体" w:hAnsi="宋体" w:eastAsiaTheme="minorEastAsia"/>
              <w:bCs/>
              <w:sz w:val="84"/>
              <w:szCs w:val="84"/>
              <w:lang w:eastAsia="zh-CN"/>
            </w:rPr>
          </w:pPr>
          <w:r>
            <w:rPr>
              <w:rFonts w:hint="eastAsia" w:ascii="宋体" w:hAnsi="宋体"/>
              <w:bCs/>
              <w:sz w:val="84"/>
              <w:szCs w:val="84"/>
              <w:lang w:val="en-US" w:eastAsia="zh-CN"/>
            </w:rPr>
            <w:t>购</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eastAsiaTheme="minorEastAsia"/>
              <w:b/>
              <w:bCs/>
              <w:spacing w:val="-20"/>
              <w:sz w:val="36"/>
              <w:szCs w:val="36"/>
              <w:lang w:eastAsia="zh-CN"/>
            </w:rPr>
          </w:pPr>
          <w:r>
            <w:rPr>
              <w:rFonts w:hint="eastAsia" w:ascii="宋体" w:hAnsi="宋体"/>
              <w:b/>
              <w:bCs/>
              <w:spacing w:val="-20"/>
              <w:sz w:val="36"/>
              <w:szCs w:val="36"/>
              <w:lang w:val="en-US" w:eastAsia="zh-CN"/>
            </w:rPr>
            <w:t>采购</w:t>
          </w:r>
          <w:r>
            <w:rPr>
              <w:rFonts w:ascii="宋体" w:hAnsi="宋体"/>
              <w:b/>
              <w:bCs/>
              <w:spacing w:val="-20"/>
              <w:sz w:val="36"/>
              <w:szCs w:val="36"/>
            </w:rPr>
            <w:t>单位：</w:t>
          </w:r>
          <w:r>
            <w:rPr>
              <w:rFonts w:hint="eastAsia" w:ascii="宋体" w:hAnsi="宋体"/>
              <w:b/>
              <w:bCs/>
              <w:spacing w:val="-20"/>
              <w:sz w:val="36"/>
              <w:szCs w:val="36"/>
              <w:lang w:eastAsia="zh-CN"/>
            </w:rPr>
            <w:t>合肥滨投文化创意发展有限公司</w:t>
          </w:r>
        </w:p>
        <w:p w14:paraId="306CD661">
          <w:pPr>
            <w:tabs>
              <w:tab w:val="left" w:pos="420"/>
              <w:tab w:val="left" w:pos="4200"/>
            </w:tabs>
            <w:spacing w:line="1700" w:lineRule="exact"/>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E77C68A">
      <w:pPr>
        <w:spacing w:line="480" w:lineRule="auto"/>
        <w:ind w:firstLine="440" w:firstLineChars="200"/>
        <w:rPr>
          <w:rFonts w:hint="eastAsia" w:ascii="微软雅黑" w:hAnsi="微软雅黑" w:eastAsia="微软雅黑" w:cs="微软雅黑"/>
          <w:sz w:val="22"/>
          <w:szCs w:val="22"/>
        </w:rPr>
      </w:pPr>
      <w:bookmarkStart w:id="5" w:name="_Toc157065227"/>
      <w:r>
        <w:rPr>
          <w:rFonts w:hint="eastAsia" w:ascii="微软雅黑" w:hAnsi="微软雅黑" w:eastAsia="微软雅黑" w:cs="微软雅黑"/>
          <w:color w:val="000000"/>
          <w:sz w:val="22"/>
          <w:szCs w:val="22"/>
          <w:lang w:eastAsia="zh-CN"/>
        </w:rPr>
        <w:t>合肥滨投文化创意发展有限公司</w:t>
      </w:r>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val="en-US" w:eastAsia="zh-CN"/>
        </w:rPr>
        <w:t>滨河湾A地块营销管理系统</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color w:val="000000"/>
          <w:sz w:val="22"/>
          <w:szCs w:val="22"/>
        </w:rPr>
        <w:t>，欢迎具备条件的投标人参加投标。</w:t>
      </w:r>
    </w:p>
    <w:bookmarkEnd w:id="0"/>
    <w:bookmarkEnd w:id="1"/>
    <w:bookmarkEnd w:id="2"/>
    <w:p w14:paraId="544D64C5">
      <w:pPr>
        <w:pStyle w:val="2"/>
        <w:numPr>
          <w:ilvl w:val="0"/>
          <w:numId w:val="1"/>
        </w:numPr>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lang w:val="en-US" w:eastAsia="zh-CN"/>
        </w:rPr>
        <w:t>采购</w:t>
      </w:r>
      <w:r>
        <w:rPr>
          <w:rFonts w:hint="eastAsia" w:ascii="微软雅黑" w:hAnsi="微软雅黑" w:eastAsia="微软雅黑" w:cs="微软雅黑"/>
          <w:b/>
          <w:bCs/>
          <w:color w:val="000000"/>
          <w:sz w:val="22"/>
          <w:szCs w:val="22"/>
        </w:rPr>
        <w:t>公告</w:t>
      </w:r>
      <w:bookmarkEnd w:id="5"/>
    </w:p>
    <w:p w14:paraId="48FBA132">
      <w:pPr>
        <w:numPr>
          <w:ilvl w:val="0"/>
          <w:numId w:val="0"/>
        </w:numPr>
        <w:rPr>
          <w:rFonts w:hint="eastAsia"/>
        </w:rPr>
      </w:pPr>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w:t>
      </w:r>
      <w:r>
        <w:rPr>
          <w:rFonts w:hint="eastAsia" w:ascii="微软雅黑" w:hAnsi="微软雅黑" w:eastAsia="微软雅黑" w:cs="微软雅黑"/>
          <w:color w:val="000000"/>
          <w:sz w:val="22"/>
          <w:szCs w:val="22"/>
          <w:lang w:val="en-US" w:eastAsia="zh-CN"/>
        </w:rPr>
        <w:t>滨河湾A地块营销管理系统</w:t>
      </w:r>
      <w:r>
        <w:rPr>
          <w:rFonts w:hint="eastAsia" w:ascii="微软雅黑" w:hAnsi="微软雅黑" w:eastAsia="微软雅黑" w:cs="微软雅黑"/>
          <w:color w:val="000000"/>
          <w:sz w:val="22"/>
          <w:szCs w:val="22"/>
          <w:lang w:val="zh-CN"/>
        </w:rPr>
        <w:t>；</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控制价）：</w:t>
      </w:r>
      <w:r>
        <w:rPr>
          <w:rFonts w:hint="eastAsia" w:ascii="微软雅黑" w:hAnsi="微软雅黑" w:eastAsia="微软雅黑" w:cs="微软雅黑"/>
          <w:color w:val="000000"/>
          <w:sz w:val="22"/>
          <w:szCs w:val="22"/>
          <w:lang w:val="en-US" w:eastAsia="zh-CN"/>
        </w:rPr>
        <w:t>20</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4D375F57">
      <w:pPr>
        <w:autoSpaceDE w:val="0"/>
        <w:autoSpaceDN w:val="0"/>
        <w:adjustRightInd w:val="0"/>
        <w:spacing w:after="0" w:line="360" w:lineRule="auto"/>
        <w:ind w:firstLine="440" w:firstLineChars="200"/>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方式：公开招标。</w:t>
      </w: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5E37E262">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429279A1">
      <w:pPr>
        <w:numPr>
          <w:ilvl w:val="0"/>
          <w:numId w:val="2"/>
        </w:numPr>
        <w:tabs>
          <w:tab w:val="left" w:pos="312"/>
        </w:tabs>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应持有目标业务系统完整自主知识产权，提供国家版权局核发的软件著作权登记材料，佐证系统自研属性，知识产权无共有、侵权、权属纠纷等问题。系统需具备私有化本地部署能力，项目全部业务数据本地化单独存储，构建全流程数据闭环管控机制，从源头规避数据泄露风险，确保项目数据资产、用户隐私信息在安全性、完整性、合规性方面达到项目管控标准。</w:t>
      </w:r>
    </w:p>
    <w:p w14:paraId="439528C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w:t>
      </w:r>
      <w:r>
        <w:rPr>
          <w:rFonts w:hint="eastAsia" w:ascii="微软雅黑" w:hAnsi="微软雅黑" w:eastAsia="微软雅黑" w:cs="微软雅黑"/>
          <w:color w:val="000000"/>
          <w:sz w:val="22"/>
          <w:szCs w:val="22"/>
          <w:lang w:val="en-US" w:eastAsia="zh-CN"/>
        </w:rPr>
        <w:t>需</w:t>
      </w: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7238C2DF">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028FA83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lang w:eastAsia="zh-CN"/>
        </w:rPr>
      </w:pPr>
      <w:r>
        <w:rPr>
          <w:rFonts w:hint="eastAsia" w:ascii="微软雅黑" w:hAnsi="微软雅黑" w:eastAsia="微软雅黑" w:cs="微软雅黑"/>
          <w:b/>
          <w:bCs/>
          <w:color w:val="000000"/>
          <w:sz w:val="22"/>
          <w:szCs w:val="22"/>
        </w:rPr>
        <w:t>三、评标方法</w:t>
      </w:r>
      <w:r>
        <w:rPr>
          <w:rFonts w:hint="eastAsia" w:ascii="微软雅黑" w:hAnsi="微软雅黑" w:eastAsia="微软雅黑" w:cs="微软雅黑"/>
          <w:b/>
          <w:bCs/>
          <w:color w:val="000000"/>
          <w:sz w:val="22"/>
          <w:szCs w:val="22"/>
          <w:lang w:eastAsia="zh-CN"/>
        </w:rPr>
        <w:t>（</w:t>
      </w:r>
      <w:r>
        <w:rPr>
          <w:rFonts w:hint="eastAsia" w:ascii="微软雅黑" w:hAnsi="微软雅黑" w:eastAsia="微软雅黑" w:cs="微软雅黑"/>
          <w:b/>
          <w:bCs/>
          <w:color w:val="000000"/>
          <w:sz w:val="22"/>
          <w:szCs w:val="22"/>
          <w:lang w:val="en-US" w:eastAsia="zh-CN"/>
        </w:rPr>
        <w:t>最低价中标</w:t>
      </w:r>
      <w:r>
        <w:rPr>
          <w:rFonts w:hint="eastAsia" w:ascii="微软雅黑" w:hAnsi="微软雅黑" w:eastAsia="微软雅黑" w:cs="微软雅黑"/>
          <w:b/>
          <w:bCs/>
          <w:color w:val="000000"/>
          <w:sz w:val="22"/>
          <w:szCs w:val="22"/>
          <w:lang w:eastAsia="zh-CN"/>
        </w:rPr>
        <w:t>）</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eastAsia="zh-CN"/>
        </w:rPr>
        <w:t>、若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（一）报名材料</w:t>
      </w:r>
    </w:p>
    <w:p w14:paraId="14539EC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附件1：投标函 加盖公章；</w:t>
      </w:r>
    </w:p>
    <w:p w14:paraId="260FCA7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附件2：法人授权委托书 加盖公章；</w:t>
      </w:r>
    </w:p>
    <w:p w14:paraId="152A36B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附件3：投标人信用承诺函 加盖公章；</w:t>
      </w:r>
    </w:p>
    <w:p w14:paraId="04BA23D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rPr>
        <w:t>附件4：资质证明文件（营业执照</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业绩证明、有效资质证书</w:t>
      </w:r>
      <w:r>
        <w:rPr>
          <w:rFonts w:hint="eastAsia" w:ascii="微软雅黑" w:hAnsi="微软雅黑" w:eastAsia="微软雅黑" w:cs="微软雅黑"/>
          <w:color w:val="000000"/>
          <w:sz w:val="22"/>
          <w:szCs w:val="22"/>
        </w:rPr>
        <w:t>等） 加盖公章</w:t>
      </w:r>
      <w:r>
        <w:rPr>
          <w:rFonts w:hint="eastAsia" w:ascii="微软雅黑" w:hAnsi="微软雅黑" w:eastAsia="微软雅黑" w:cs="微软雅黑"/>
          <w:color w:val="000000"/>
          <w:sz w:val="22"/>
          <w:szCs w:val="22"/>
          <w:lang w:eastAsia="zh-CN"/>
        </w:rPr>
        <w:t>。</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（二）投标</w:t>
      </w:r>
      <w:r>
        <w:rPr>
          <w:rFonts w:hint="eastAsia" w:ascii="微软雅黑" w:hAnsi="微软雅黑" w:eastAsia="微软雅黑" w:cs="微软雅黑"/>
          <w:sz w:val="22"/>
          <w:szCs w:val="22"/>
          <w:lang w:val="en-US" w:eastAsia="zh-CN"/>
        </w:rPr>
        <w:t>文件</w:t>
      </w:r>
    </w:p>
    <w:p w14:paraId="60EB5964">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bookmarkStart w:id="6" w:name="_Hlk200707264"/>
      <w:r>
        <w:rPr>
          <w:rFonts w:hint="eastAsia" w:ascii="微软雅黑" w:hAnsi="微软雅黑" w:eastAsia="微软雅黑" w:cs="微软雅黑"/>
          <w:color w:val="000000"/>
          <w:sz w:val="22"/>
          <w:szCs w:val="22"/>
          <w:lang w:val="en-US" w:eastAsia="zh-CN"/>
        </w:rPr>
        <w:t>附件1：</w:t>
      </w:r>
      <w:r>
        <w:rPr>
          <w:rFonts w:hint="eastAsia" w:ascii="微软雅黑" w:hAnsi="微软雅黑" w:eastAsia="微软雅黑" w:cs="微软雅黑"/>
          <w:color w:val="000000"/>
          <w:sz w:val="22"/>
          <w:szCs w:val="22"/>
        </w:rPr>
        <w:t>投标报价</w:t>
      </w:r>
      <w:r>
        <w:rPr>
          <w:rFonts w:hint="eastAsia" w:ascii="微软雅黑" w:hAnsi="微软雅黑" w:eastAsia="微软雅黑" w:cs="微软雅黑"/>
          <w:color w:val="000000"/>
          <w:sz w:val="22"/>
          <w:szCs w:val="22"/>
          <w:lang w:val="en-US" w:eastAsia="zh-CN"/>
        </w:rPr>
        <w:t>函</w:t>
      </w:r>
      <w:r>
        <w:rPr>
          <w:rFonts w:hint="eastAsia" w:ascii="微软雅黑" w:hAnsi="微软雅黑" w:eastAsia="微软雅黑" w:cs="微软雅黑"/>
          <w:color w:val="000000"/>
          <w:sz w:val="22"/>
          <w:szCs w:val="22"/>
        </w:rPr>
        <w:t>加盖公章；</w:t>
      </w:r>
    </w:p>
    <w:p w14:paraId="5F8C31A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rPr>
        <w:t>：报价清单加盖公章。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文件“招投标日程表”规定的时间、地点，向</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人密封盖章提交投标文件，于</w:t>
      </w:r>
      <w:r>
        <w:rPr>
          <w:rFonts w:hint="eastAsia" w:ascii="微软雅黑" w:hAnsi="微软雅黑" w:eastAsia="微软雅黑" w:cs="微软雅黑"/>
          <w:sz w:val="22"/>
          <w:szCs w:val="22"/>
          <w:highlight w:val="none"/>
          <w:lang w:val="en-US" w:eastAsia="zh-CN"/>
        </w:rPr>
        <w:t>6</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日</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时</w:t>
      </w:r>
      <w:r>
        <w:rPr>
          <w:rFonts w:hint="eastAsia" w:ascii="微软雅黑" w:hAnsi="微软雅黑" w:eastAsia="微软雅黑" w:cs="微软雅黑"/>
          <w:sz w:val="22"/>
          <w:szCs w:val="22"/>
        </w:rPr>
        <w:t>前送至</w:t>
      </w:r>
      <w:r>
        <w:rPr>
          <w:rFonts w:hint="eastAsia" w:ascii="微软雅黑" w:hAnsi="微软雅黑" w:eastAsia="微软雅黑" w:cs="微软雅黑"/>
          <w:sz w:val="22"/>
          <w:szCs w:val="22"/>
          <w:lang w:eastAsia="zh-CN"/>
        </w:rPr>
        <w:t>合肥滨投文化创意发展有限公司</w:t>
      </w:r>
      <w:r>
        <w:rPr>
          <w:rFonts w:hint="eastAsia" w:ascii="微软雅黑" w:hAnsi="微软雅黑" w:eastAsia="微软雅黑" w:cs="微软雅黑"/>
          <w:sz w:val="22"/>
          <w:szCs w:val="22"/>
        </w:rPr>
        <w:t>，地址：合肥市包河区徽州大道1388号401。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6"/>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朱陈</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w:t>
      </w:r>
    </w:p>
    <w:p w14:paraId="2B3F9D18">
      <w:pPr>
        <w:numPr>
          <w:ilvl w:val="0"/>
          <w:numId w:val="4"/>
        </w:num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1"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60"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1"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文件发布</w:t>
            </w:r>
          </w:p>
        </w:tc>
        <w:tc>
          <w:tcPr>
            <w:tcW w:w="1760" w:type="pct"/>
            <w:vAlign w:val="center"/>
          </w:tcPr>
          <w:p w14:paraId="1D4D1B9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26</w:t>
            </w:r>
            <w:r>
              <w:rPr>
                <w:rFonts w:hint="eastAsia" w:ascii="微软雅黑" w:hAnsi="微软雅黑" w:eastAsia="微软雅黑" w:cs="微软雅黑"/>
                <w:highlight w:val="none"/>
              </w:rPr>
              <w:t>日</w:t>
            </w:r>
          </w:p>
        </w:tc>
        <w:tc>
          <w:tcPr>
            <w:tcW w:w="1760"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文件提交</w:t>
            </w:r>
          </w:p>
        </w:tc>
        <w:tc>
          <w:tcPr>
            <w:tcW w:w="1760" w:type="pct"/>
            <w:vAlign w:val="center"/>
          </w:tcPr>
          <w:p w14:paraId="245E970C">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截至202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p>
          <w:p w14:paraId="532700BE">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29</w:t>
            </w:r>
            <w:r>
              <w:rPr>
                <w:rFonts w:hint="eastAsia" w:ascii="微软雅黑" w:hAnsi="微软雅黑" w:eastAsia="微软雅黑" w:cs="微软雅黑"/>
                <w:highlight w:val="none"/>
              </w:rPr>
              <w:t>日</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时</w:t>
            </w:r>
          </w:p>
        </w:tc>
        <w:tc>
          <w:tcPr>
            <w:tcW w:w="1760"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1"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60" w:type="pct"/>
            <w:vAlign w:val="center"/>
          </w:tcPr>
          <w:p w14:paraId="5D92231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30</w:t>
            </w:r>
            <w:r>
              <w:rPr>
                <w:rFonts w:hint="eastAsia" w:ascii="微软雅黑" w:hAnsi="微软雅黑" w:eastAsia="微软雅黑" w:cs="微软雅黑"/>
                <w:highlight w:val="none"/>
              </w:rPr>
              <w:t>日（暂定）</w:t>
            </w:r>
          </w:p>
        </w:tc>
        <w:tc>
          <w:tcPr>
            <w:tcW w:w="1760"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合肥滨湖集团5楼开标室（暂定）</w:t>
            </w:r>
          </w:p>
        </w:tc>
      </w:tr>
    </w:tbl>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lang w:val="en-US" w:eastAsia="zh-CN"/>
        </w:rPr>
        <w:t>具体以甲方通知为准</w:t>
      </w:r>
      <w:r>
        <w:rPr>
          <w:rFonts w:ascii="微软雅黑" w:hAnsi="微软雅黑" w:eastAsia="微软雅黑" w:cs="微软雅黑"/>
        </w:rPr>
        <w:t>。</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20</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26A592DF">
      <w:pPr>
        <w:pStyle w:val="3"/>
        <w:spacing w:line="500" w:lineRule="exact"/>
        <w:jc w:val="center"/>
        <w:rPr>
          <w:rFonts w:hint="eastAsia" w:ascii="宋体" w:hAnsi="宋体" w:eastAsia="宋体" w:cs="宋体"/>
          <w:b/>
          <w:bCs/>
          <w:sz w:val="30"/>
          <w:szCs w:val="30"/>
          <w:highlight w:val="none"/>
        </w:rPr>
      </w:pPr>
      <w:bookmarkStart w:id="7" w:name="_Toc273602342"/>
      <w:bookmarkStart w:id="8" w:name="_Toc245092762"/>
      <w:bookmarkStart w:id="9" w:name="_Toc39733479"/>
      <w:bookmarkStart w:id="10" w:name="_Toc22397"/>
      <w:r>
        <w:rPr>
          <w:rFonts w:hint="eastAsia" w:ascii="微软雅黑" w:hAnsi="微软雅黑" w:eastAsia="微软雅黑" w:cs="微软雅黑"/>
          <w:b/>
          <w:bCs/>
          <w:sz w:val="22"/>
          <w:szCs w:val="22"/>
        </w:rPr>
        <w:t>第二章 招标人要求</w:t>
      </w:r>
    </w:p>
    <w:p w14:paraId="42FC0CBC">
      <w:pPr>
        <w:pStyle w:val="3"/>
        <w:numPr>
          <w:ilvl w:val="0"/>
          <w:numId w:val="5"/>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报价要求</w:t>
      </w:r>
    </w:p>
    <w:p w14:paraId="16C46867">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高投标限价20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48DF5BCF">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成交供应商自行承担成交至实际服务期间市场价格波动风险。</w:t>
      </w:r>
    </w:p>
    <w:p w14:paraId="3A17C66D">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供应商所报价格包含合同约定服务内容、利润、税费等全部费用、并作为结算依据。</w:t>
      </w:r>
    </w:p>
    <w:p w14:paraId="76EA58BE">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投标报价含国家规定的增值税在内的含税价格，同时应列明增值税税点。</w:t>
      </w:r>
    </w:p>
    <w:p w14:paraId="1C93D589">
      <w:pPr>
        <w:pStyle w:val="3"/>
        <w:numPr>
          <w:ilvl w:val="0"/>
          <w:numId w:val="5"/>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说明</w:t>
      </w:r>
    </w:p>
    <w:p w14:paraId="38F2DA52">
      <w:pPr>
        <w:pStyle w:val="3"/>
        <w:numPr>
          <w:ilvl w:val="0"/>
          <w:numId w:val="0"/>
        </w:numPr>
        <w:spacing w:line="360" w:lineRule="auto"/>
        <w:ind w:left="630" w:leftChars="0" w:firstLine="440" w:firstLineChars="200"/>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本项目最终解释权归采购人所有。</w:t>
      </w:r>
    </w:p>
    <w:p w14:paraId="7BE06E71">
      <w:pPr>
        <w:pStyle w:val="3"/>
        <w:spacing w:line="500" w:lineRule="exact"/>
        <w:jc w:val="center"/>
        <w:rPr>
          <w:rFonts w:hint="eastAsia" w:ascii="微软雅黑" w:hAnsi="微软雅黑" w:eastAsia="微软雅黑" w:cs="微软雅黑"/>
          <w:b/>
          <w:bCs/>
          <w:sz w:val="22"/>
          <w:szCs w:val="22"/>
        </w:rPr>
      </w:pPr>
    </w:p>
    <w:p w14:paraId="64BB835B">
      <w:pPr>
        <w:pStyle w:val="3"/>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lang w:val="en-US" w:eastAsia="zh-CN"/>
        </w:rPr>
        <w:t>三</w:t>
      </w:r>
      <w:r>
        <w:rPr>
          <w:rFonts w:hint="eastAsia" w:ascii="微软雅黑" w:hAnsi="微软雅黑" w:eastAsia="微软雅黑" w:cs="微软雅黑"/>
          <w:b/>
          <w:bCs/>
          <w:sz w:val="22"/>
          <w:szCs w:val="22"/>
        </w:rPr>
        <w:t>章 评标办法</w:t>
      </w:r>
      <w:bookmarkEnd w:id="7"/>
      <w:bookmarkEnd w:id="8"/>
      <w:bookmarkEnd w:id="9"/>
      <w:bookmarkEnd w:id="10"/>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val="en-US" w:eastAsia="zh-CN"/>
        </w:rPr>
        <w:t>滨河湾A地块营销管理系统</w:t>
      </w:r>
      <w:r>
        <w:rPr>
          <w:rFonts w:hint="eastAsia" w:ascii="微软雅黑" w:hAnsi="微软雅黑" w:eastAsia="微软雅黑" w:cs="微软雅黑"/>
          <w:sz w:val="22"/>
          <w:szCs w:val="22"/>
        </w:rPr>
        <w:t>”项目的</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评标工作，保证项目评审工作的正常有序进行，依据《中华人民共和国政府采购法》、《中华人民共和国招标投标法》及其它相关法律法规，本着公开、公平、公正的原则，制定评标办法。</w:t>
      </w:r>
    </w:p>
    <w:p w14:paraId="0F5D2EDB">
      <w:pPr>
        <w:numPr>
          <w:ilvl w:val="0"/>
          <w:numId w:val="0"/>
        </w:numPr>
        <w:adjustRightInd w:val="0"/>
        <w:snapToGrid w:val="0"/>
        <w:spacing w:line="360" w:lineRule="auto"/>
        <w:ind w:left="420" w:leftChars="0" w:right="-10" w:rightChars="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第二条 </w:t>
      </w:r>
      <w:r>
        <w:rPr>
          <w:rFonts w:hint="eastAsia" w:ascii="微软雅黑" w:hAnsi="微软雅黑" w:eastAsia="微软雅黑" w:cs="微软雅黑"/>
          <w:sz w:val="22"/>
          <w:szCs w:val="22"/>
        </w:rPr>
        <w:t>本次项目评标采用</w:t>
      </w:r>
      <w:r>
        <w:rPr>
          <w:rFonts w:hint="eastAsia" w:ascii="微软雅黑" w:hAnsi="微软雅黑" w:eastAsia="微软雅黑" w:cs="微软雅黑"/>
          <w:sz w:val="22"/>
          <w:szCs w:val="22"/>
          <w:lang w:val="en-US" w:eastAsia="zh-CN"/>
        </w:rPr>
        <w:t>最低价中标</w:t>
      </w:r>
      <w:r>
        <w:rPr>
          <w:rFonts w:hint="eastAsia" w:ascii="微软雅黑" w:hAnsi="微软雅黑" w:eastAsia="微软雅黑" w:cs="微软雅黑"/>
          <w:sz w:val="22"/>
          <w:szCs w:val="22"/>
        </w:rPr>
        <w:t>法作为对投标人标书的比较方法。</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4782189">
      <w:pPr>
        <w:adjustRightInd w:val="0"/>
        <w:snapToGrid w:val="0"/>
        <w:spacing w:line="360" w:lineRule="auto"/>
        <w:ind w:right="-10" w:firstLine="440" w:firstLineChars="200"/>
        <w:rPr>
          <w:rFonts w:hint="eastAsia" w:ascii="微软雅黑" w:hAnsi="微软雅黑" w:eastAsia="微软雅黑" w:cs="微软雅黑"/>
          <w:sz w:val="22"/>
          <w:szCs w:val="22"/>
          <w:lang w:val="zh-CN" w:eastAsia="zh-CN"/>
        </w:rPr>
      </w:pPr>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35FA6757">
      <w:pPr>
        <w:rPr>
          <w:rFonts w:hint="eastAsia" w:ascii="微软雅黑" w:hAnsi="微软雅黑" w:eastAsia="微软雅黑" w:cs="微软雅黑"/>
          <w:b/>
          <w:sz w:val="21"/>
          <w:szCs w:val="21"/>
        </w:rPr>
      </w:pPr>
      <w:bookmarkStart w:id="12" w:name="_Toc20758"/>
      <w:bookmarkStart w:id="13" w:name="_Toc39733483"/>
      <w:bookmarkStart w:id="14" w:name="_Toc273602355"/>
      <w:bookmarkStart w:id="15" w:name="_Toc245714173"/>
      <w:bookmarkStart w:id="16" w:name="_Toc39733482"/>
      <w:bookmarkStart w:id="17" w:name="_Toc273602352"/>
      <w:bookmarkStart w:id="18" w:name="_Toc245714170"/>
      <w:bookmarkStart w:id="19" w:name="_Toc2829"/>
      <w:bookmarkStart w:id="20" w:name="_Toc245028818"/>
      <w:r>
        <w:rPr>
          <w:rFonts w:hint="eastAsia" w:ascii="微软雅黑" w:hAnsi="微软雅黑" w:eastAsia="微软雅黑" w:cs="微软雅黑"/>
          <w:sz w:val="22"/>
          <w:szCs w:val="22"/>
        </w:rPr>
        <w:br w:type="page"/>
      </w: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2"/>
      <w:bookmarkEnd w:id="13"/>
      <w:bookmarkEnd w:id="14"/>
      <w:bookmarkEnd w:id="15"/>
    </w:p>
    <w:p w14:paraId="75A88731">
      <w:pPr>
        <w:pStyle w:val="18"/>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合肥滨投文化创意发展有限公司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val="en-US" w:eastAsia="zh-CN"/>
        </w:rPr>
        <w:t>滨河湾A地块营销管理系统</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w:t>
      </w:r>
      <w:r>
        <w:rPr>
          <w:rFonts w:hint="eastAsia" w:ascii="微软雅黑" w:hAnsi="微软雅黑" w:eastAsia="微软雅黑" w:cs="微软雅黑"/>
          <w:lang w:eastAsia="zh-CN"/>
        </w:rPr>
        <w:t>采购文件</w:t>
      </w:r>
      <w:r>
        <w:rPr>
          <w:rFonts w:hint="eastAsia" w:ascii="微软雅黑" w:hAnsi="微软雅黑" w:eastAsia="微软雅黑" w:cs="微软雅黑"/>
        </w:rPr>
        <w:t>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w:t>
      </w:r>
      <w:r>
        <w:rPr>
          <w:rFonts w:hint="eastAsia" w:ascii="微软雅黑" w:hAnsi="微软雅黑" w:eastAsia="微软雅黑" w:cs="微软雅黑"/>
          <w:lang w:eastAsia="zh-CN"/>
        </w:rPr>
        <w:t>采购文件</w:t>
      </w:r>
      <w:r>
        <w:rPr>
          <w:rFonts w:hint="eastAsia" w:ascii="微软雅黑" w:hAnsi="微软雅黑" w:eastAsia="微软雅黑" w:cs="微软雅黑"/>
        </w:rPr>
        <w:t>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w:t>
      </w:r>
      <w:r>
        <w:rPr>
          <w:rFonts w:hint="eastAsia" w:ascii="微软雅黑" w:hAnsi="微软雅黑" w:eastAsia="微软雅黑" w:cs="微软雅黑"/>
          <w:lang w:eastAsia="zh-CN"/>
        </w:rPr>
        <w:t>采购文件</w:t>
      </w:r>
      <w:r>
        <w:rPr>
          <w:rFonts w:hint="eastAsia" w:ascii="微软雅黑" w:hAnsi="微软雅黑" w:eastAsia="微软雅黑" w:cs="微软雅黑"/>
        </w:rPr>
        <w:t>，包括</w:t>
      </w:r>
      <w:r>
        <w:rPr>
          <w:rFonts w:hint="eastAsia" w:ascii="微软雅黑" w:hAnsi="微软雅黑" w:eastAsia="微软雅黑" w:cs="微软雅黑"/>
          <w:lang w:eastAsia="zh-CN"/>
        </w:rPr>
        <w:t>采购文件</w:t>
      </w:r>
      <w:r>
        <w:rPr>
          <w:rFonts w:hint="eastAsia" w:ascii="微软雅黑" w:hAnsi="微软雅黑" w:eastAsia="微软雅黑" w:cs="微软雅黑"/>
        </w:rPr>
        <w:t>修改书（如有），参考资料及有关附件，我方正式认可本次</w:t>
      </w:r>
      <w:r>
        <w:rPr>
          <w:rFonts w:hint="eastAsia" w:ascii="微软雅黑" w:hAnsi="微软雅黑" w:eastAsia="微软雅黑" w:cs="微软雅黑"/>
          <w:lang w:eastAsia="zh-CN"/>
        </w:rPr>
        <w:t>采购文件</w:t>
      </w:r>
      <w:r>
        <w:rPr>
          <w:rFonts w:hint="eastAsia" w:ascii="微软雅黑" w:hAnsi="微软雅黑" w:eastAsia="微软雅黑" w:cs="微软雅黑"/>
        </w:rPr>
        <w:t>，并对</w:t>
      </w:r>
      <w:r>
        <w:rPr>
          <w:rFonts w:hint="eastAsia" w:ascii="微软雅黑" w:hAnsi="微软雅黑" w:eastAsia="微软雅黑" w:cs="微软雅黑"/>
          <w:lang w:eastAsia="zh-CN"/>
        </w:rPr>
        <w:t>采购文件</w:t>
      </w:r>
      <w:r>
        <w:rPr>
          <w:rFonts w:hint="eastAsia" w:ascii="微软雅黑" w:hAnsi="微软雅黑" w:eastAsia="微软雅黑" w:cs="微软雅黑"/>
        </w:rPr>
        <w:t>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w:t>
      </w:r>
      <w:r>
        <w:rPr>
          <w:rFonts w:hint="eastAsia" w:ascii="微软雅黑" w:hAnsi="微软雅黑" w:eastAsia="微软雅黑" w:cs="微软雅黑"/>
          <w:lang w:eastAsia="zh-CN"/>
        </w:rPr>
        <w:t>采购文件</w:t>
      </w:r>
      <w:r>
        <w:rPr>
          <w:rFonts w:hint="eastAsia" w:ascii="微软雅黑" w:hAnsi="微软雅黑" w:eastAsia="微软雅黑" w:cs="微软雅黑"/>
        </w:rPr>
        <w:t>规定的开标日期起遵循本投标文件，并在</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6"/>
    <w:bookmarkEnd w:id="17"/>
    <w:bookmarkEnd w:id="18"/>
    <w:bookmarkEnd w:id="19"/>
    <w:bookmarkEnd w:id="20"/>
    <w:p w14:paraId="15960438">
      <w:pPr>
        <w:pStyle w:val="4"/>
        <w:ind w:firstLine="440"/>
        <w:jc w:val="both"/>
        <w:rPr>
          <w:rFonts w:hint="eastAsia" w:ascii="微软雅黑" w:hAnsi="微软雅黑" w:eastAsia="微软雅黑" w:cs="微软雅黑"/>
          <w:sz w:val="22"/>
          <w:szCs w:val="22"/>
        </w:rPr>
      </w:pPr>
      <w:bookmarkStart w:id="21" w:name="_Toc273602356"/>
      <w:bookmarkStart w:id="22" w:name="_Toc39733484"/>
      <w:bookmarkStart w:id="23" w:name="_Toc245714174"/>
      <w:bookmarkStart w:id="24" w:name="_Toc10239"/>
      <w:bookmarkStart w:id="25" w:name="_Toc220232394"/>
      <w:bookmarkStart w:id="26" w:name="_Toc232592019"/>
      <w:r>
        <w:rPr>
          <w:rFonts w:hint="eastAsia" w:ascii="微软雅黑" w:hAnsi="微软雅黑" w:eastAsia="微软雅黑" w:cs="微软雅黑"/>
          <w:b/>
          <w:sz w:val="22"/>
          <w:szCs w:val="22"/>
        </w:rPr>
        <w:t>附件二：</w:t>
      </w:r>
    </w:p>
    <w:p w14:paraId="50162A95">
      <w:pPr>
        <w:pStyle w:val="4"/>
        <w:numPr>
          <w:ilvl w:val="0"/>
          <w:numId w:val="7"/>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1"/>
      <w:bookmarkEnd w:id="22"/>
      <w:bookmarkEnd w:id="23"/>
      <w:bookmarkEnd w:id="24"/>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lang w:eastAsia="zh-CN"/>
        </w:rPr>
        <w:t>合肥滨投文化创意发展有限公司</w:t>
      </w:r>
      <w:r>
        <w:rPr>
          <w:rFonts w:hint="eastAsia" w:ascii="微软雅黑" w:hAnsi="微软雅黑" w:eastAsia="微软雅黑" w:cs="微软雅黑"/>
          <w:u w:val="single"/>
          <w:lang w:val="en-US" w:eastAsia="zh-CN"/>
        </w:rPr>
        <w:t>滨河湾A地块营销管理系统</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7"/>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eastAsia="zh-CN"/>
        </w:rPr>
        <w:t>滨河湾A地块营销管理系统</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w:t>
      </w:r>
      <w:r>
        <w:rPr>
          <w:rFonts w:hint="eastAsia" w:ascii="微软雅黑" w:hAnsi="微软雅黑" w:eastAsia="微软雅黑" w:cs="微软雅黑"/>
          <w:lang w:eastAsia="zh-CN"/>
        </w:rPr>
        <w:t>采购文件</w:t>
      </w:r>
      <w:r>
        <w:rPr>
          <w:rFonts w:hint="eastAsia" w:ascii="微软雅黑" w:hAnsi="微软雅黑" w:eastAsia="微软雅黑" w:cs="微软雅黑"/>
        </w:rPr>
        <w:t>、合同条款，全面、及时地履行全部服务工作。交付的所有成果均符合</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74C4298E">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548B9AB7">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2360CF77">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0B5C1040">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5638F704">
      <w:pPr>
        <w:numPr>
          <w:ilvl w:val="0"/>
          <w:numId w:val="8"/>
        </w:numPr>
        <w:tabs>
          <w:tab w:val="left" w:pos="312"/>
        </w:tabs>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应持有目标业务系统完整自主知识产权，提供国家版权局核发的软件著作权登记材料，佐证系统自研属性，知识产权无共有、侵权、权属纠纷等问题。系统需具备私有化本地部署能力，项目全部业务数据本地化单独存储，构建全流程数据闭环管控机制，从源头规避数据泄露风险，确保项目数据资产、用户隐私信息在安全性、完整性、合规性方面达到项目管控标准。</w:t>
      </w:r>
    </w:p>
    <w:p w14:paraId="75A82CAB">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w:t>
      </w:r>
      <w:r>
        <w:rPr>
          <w:rFonts w:hint="eastAsia" w:ascii="微软雅黑" w:hAnsi="微软雅黑" w:eastAsia="微软雅黑" w:cs="微软雅黑"/>
          <w:color w:val="000000"/>
          <w:sz w:val="22"/>
          <w:szCs w:val="22"/>
          <w:lang w:val="en-US" w:eastAsia="zh-CN"/>
        </w:rPr>
        <w:t>需</w:t>
      </w: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13031545">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35EB68AE">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3B96DB5B">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E3E63DC">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32428806">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446C1924">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664DE6DC">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33B46419">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0EBE8251">
      <w:pPr>
        <w:rPr>
          <w:rFonts w:hint="eastAsia" w:ascii="微软雅黑" w:hAnsi="微软雅黑" w:eastAsia="微软雅黑" w:cs="微软雅黑"/>
          <w:kern w:val="2"/>
        </w:rPr>
      </w:pPr>
      <w:r>
        <w:rPr>
          <w:rFonts w:hint="eastAsia" w:ascii="微软雅黑" w:hAnsi="微软雅黑" w:eastAsia="微软雅黑" w:cs="微软雅黑"/>
          <w:color w:val="000000"/>
          <w:sz w:val="22"/>
          <w:lang w:val="zh-CN"/>
        </w:rPr>
        <w:t>在近三年内投标人或其法定代表人（单位负责人）有行贿犯罪行为的；</w:t>
      </w:r>
      <w:r>
        <w:rPr>
          <w:rFonts w:hint="eastAsia" w:ascii="微软雅黑" w:hAnsi="微软雅黑" w:eastAsia="微软雅黑" w:cs="微软雅黑"/>
          <w:kern w:val="2"/>
        </w:rPr>
        <w:br w:type="page"/>
      </w:r>
    </w:p>
    <w:bookmarkEnd w:id="25"/>
    <w:bookmarkEnd w:id="26"/>
    <w:p w14:paraId="02873617">
      <w:pPr>
        <w:spacing w:line="900" w:lineRule="exact"/>
        <w:ind w:firstLine="440"/>
        <w:jc w:val="center"/>
        <w:rPr>
          <w:rFonts w:hint="eastAsia" w:ascii="微软雅黑" w:hAnsi="微软雅黑" w:eastAsia="微软雅黑" w:cs="微软雅黑"/>
          <w:caps/>
          <w:sz w:val="22"/>
          <w:szCs w:val="22"/>
          <w:lang w:val="zh-CN"/>
        </w:rPr>
      </w:pPr>
    </w:p>
    <w:sdt>
      <w:sdtPr>
        <w:rPr>
          <w:rFonts w:hint="default" w:ascii="微软雅黑" w:hAnsi="微软雅黑" w:eastAsia="微软雅黑" w:cs="微软雅黑"/>
          <w:caps/>
          <w:sz w:val="22"/>
          <w:szCs w:val="22"/>
          <w:lang w:val="en-US"/>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lang w:val="en-US" w:eastAsia="zh-CN"/>
            </w:rPr>
            <w:t>滨河湾A地块营销管理系统</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hint="eastAsia" w:ascii="宋体" w:hAnsi="宋体"/>
              <w:bCs/>
              <w:sz w:val="36"/>
            </w:rPr>
            <w:t>月</w:t>
          </w:r>
        </w:p>
        <w:p w14:paraId="1D7662AF">
          <w:pPr>
            <w:pStyle w:val="27"/>
            <w:widowControl w:val="0"/>
            <w:spacing w:after="0" w:line="560" w:lineRule="exact"/>
            <w:ind w:left="0" w:leftChars="0" w:firstLine="440"/>
            <w:jc w:val="both"/>
          </w:pPr>
          <w:bookmarkStart w:id="28" w:name="_Toc273602363"/>
          <w:bookmarkStart w:id="29" w:name="_Toc240898303"/>
          <w:bookmarkStart w:id="30" w:name="_Toc270410845"/>
          <w:bookmarkStart w:id="31" w:name="_Toc328559344"/>
        </w:p>
      </w:sdtContent>
    </w:sdt>
    <w:p w14:paraId="596ABD54">
      <w:pPr>
        <w:pStyle w:val="27"/>
        <w:widowControl w:val="0"/>
        <w:spacing w:after="0" w:line="560" w:lineRule="exact"/>
        <w:ind w:left="0" w:leftChars="0" w:firstLine="440" w:firstLine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rPr>
        <w:t>一、</w:t>
      </w:r>
      <w:bookmarkEnd w:id="28"/>
      <w:bookmarkEnd w:id="29"/>
      <w:bookmarkEnd w:id="30"/>
      <w:bookmarkEnd w:id="31"/>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1. 我方已仔细研究         （项目名称）   </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2</w:t>
      </w:r>
      <w:r>
        <w:rPr>
          <w:rFonts w:hint="eastAsia" w:ascii="微软雅黑" w:hAnsi="微软雅黑" w:eastAsia="微软雅黑" w:cs="微软雅黑"/>
          <w:kern w:val="2"/>
          <w:sz w:val="22"/>
          <w:szCs w:val="22"/>
        </w:rPr>
        <w:t>. 我方已按</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要求详细审核并确认全部</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3</w:t>
      </w:r>
      <w:r>
        <w:rPr>
          <w:rFonts w:hint="eastAsia" w:ascii="微软雅黑" w:hAnsi="微软雅黑" w:eastAsia="微软雅黑" w:cs="微软雅黑"/>
          <w:kern w:val="2"/>
          <w:sz w:val="22"/>
          <w:szCs w:val="22"/>
        </w:rPr>
        <w:t>.（其他补充说明）。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2FA85F32">
      <w:pPr>
        <w:pStyle w:val="23"/>
        <w:ind w:left="420" w:hanging="420"/>
      </w:pPr>
    </w:p>
    <w:p w14:paraId="37AF5856">
      <w:pPr>
        <w:pStyle w:val="23"/>
        <w:ind w:left="420" w:hanging="420"/>
      </w:pPr>
    </w:p>
    <w:p w14:paraId="4AC70EAC">
      <w:pPr>
        <w:pStyle w:val="23"/>
        <w:ind w:left="420" w:hanging="420"/>
      </w:pPr>
    </w:p>
    <w:p w14:paraId="685F1FAC">
      <w:pPr>
        <w:pStyle w:val="27"/>
        <w:widowControl w:val="0"/>
        <w:numPr>
          <w:ilvl w:val="0"/>
          <w:numId w:val="7"/>
        </w:numPr>
        <w:spacing w:after="0" w:line="560" w:lineRule="exact"/>
        <w:ind w:left="0" w:leftChars="0" w:firstLine="0" w:firstLineChars="0"/>
        <w:jc w:val="both"/>
        <w:rPr>
          <w:rFonts w:hint="eastAsia"/>
        </w:rPr>
      </w:pP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056B8ABF">
      <w:pPr>
        <w:pStyle w:val="23"/>
        <w:jc w:val="center"/>
        <w:rPr>
          <w:rFonts w:hint="eastAsia"/>
          <w:sz w:val="36"/>
          <w:szCs w:val="40"/>
          <w:lang w:val="en-US" w:eastAsia="zh-CN"/>
        </w:rPr>
      </w:pPr>
    </w:p>
    <w:p w14:paraId="75CF8744">
      <w:pPr>
        <w:widowControl w:val="0"/>
        <w:spacing w:line="360" w:lineRule="auto"/>
        <w:ind w:firstLine="440"/>
        <w:rPr>
          <w:rFonts w:hint="eastAsia" w:ascii="微软雅黑" w:hAnsi="微软雅黑" w:eastAsia="微软雅黑" w:cs="微软雅黑"/>
          <w:b/>
          <w:sz w:val="22"/>
          <w:szCs w:val="22"/>
          <w:lang w:val="en-US" w:eastAsia="zh-CN"/>
        </w:rPr>
      </w:pPr>
      <w:r>
        <w:rPr>
          <w:rFonts w:hint="eastAsia" w:ascii="微软雅黑" w:hAnsi="微软雅黑" w:eastAsia="微软雅黑" w:cs="微软雅黑"/>
          <w:b/>
          <w:sz w:val="22"/>
          <w:szCs w:val="22"/>
          <w:lang w:val="en-US" w:eastAsia="zh-CN"/>
        </w:rPr>
        <w:t>见附件</w:t>
      </w:r>
    </w:p>
    <w:p w14:paraId="04E43B30">
      <w:pPr>
        <w:rPr>
          <w:rFonts w:hint="eastAsia" w:ascii="宋体" w:hAnsi="宋体" w:eastAsia="宋体" w:cs="宋体"/>
          <w:b/>
          <w:sz w:val="36"/>
          <w:szCs w:val="36"/>
          <w:lang w:eastAsia="zh-CN"/>
        </w:rPr>
      </w:pPr>
      <w:bookmarkStart w:id="32" w:name="_Toc247085853"/>
      <w:bookmarkStart w:id="33" w:name="_Toc501460777"/>
      <w:bookmarkStart w:id="34" w:name="_Toc247514197"/>
      <w:bookmarkStart w:id="35" w:name="_Toc152045610"/>
      <w:bookmarkStart w:id="36" w:name="_Toc152042388"/>
      <w:bookmarkStart w:id="37" w:name="_Toc247527798"/>
      <w:bookmarkStart w:id="38" w:name="_Toc300835199"/>
      <w:bookmarkStart w:id="39" w:name="_Toc144974829"/>
      <w:bookmarkStart w:id="40" w:name="_Toc246996338"/>
      <w:bookmarkStart w:id="41" w:name="_Toc179632787"/>
      <w:bookmarkStart w:id="42" w:name="_Toc246997081"/>
      <w:bookmarkStart w:id="43" w:name="_Toc184635122"/>
      <w:bookmarkStart w:id="44" w:name="_Toc152042549"/>
      <w:bookmarkStart w:id="45" w:name="_Toc144974578"/>
      <w:r>
        <w:rPr>
          <w:rFonts w:hint="eastAsia" w:ascii="宋体" w:hAnsi="宋体" w:eastAsia="宋体" w:cs="宋体"/>
          <w:b/>
          <w:sz w:val="36"/>
          <w:szCs w:val="36"/>
          <w:lang w:eastAsia="zh-CN"/>
        </w:rPr>
        <w:br w:type="page"/>
      </w:r>
    </w:p>
    <w:p w14:paraId="3BD42273">
      <w:pP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营销管理</w:t>
      </w:r>
      <w:r>
        <w:rPr>
          <w:rFonts w:hint="eastAsia" w:ascii="宋体" w:hAnsi="宋体" w:eastAsia="宋体" w:cs="宋体"/>
          <w:b/>
          <w:sz w:val="36"/>
          <w:szCs w:val="36"/>
          <w:lang w:eastAsia="zh-CN"/>
        </w:rPr>
        <w:t>系统</w:t>
      </w:r>
      <w:r>
        <w:rPr>
          <w:rFonts w:hint="eastAsia" w:ascii="宋体" w:hAnsi="宋体" w:eastAsia="宋体" w:cs="宋体"/>
          <w:b/>
          <w:sz w:val="36"/>
          <w:szCs w:val="36"/>
        </w:rPr>
        <w:t>合同</w:t>
      </w:r>
    </w:p>
    <w:p w14:paraId="23F6344E">
      <w:pPr>
        <w:spacing w:line="360" w:lineRule="auto"/>
        <w:rPr>
          <w:rFonts w:hint="eastAsia" w:ascii="宋体" w:hAnsi="宋体" w:eastAsia="宋体" w:cs="宋体"/>
          <w:b/>
          <w:sz w:val="24"/>
          <w:szCs w:val="24"/>
        </w:rPr>
      </w:pPr>
    </w:p>
    <w:bookmarkEnd w:id="32"/>
    <w:bookmarkEnd w:id="33"/>
    <w:bookmarkEnd w:id="34"/>
    <w:bookmarkEnd w:id="35"/>
    <w:bookmarkEnd w:id="36"/>
    <w:bookmarkEnd w:id="37"/>
    <w:bookmarkEnd w:id="38"/>
    <w:bookmarkEnd w:id="39"/>
    <w:bookmarkEnd w:id="40"/>
    <w:bookmarkEnd w:id="41"/>
    <w:bookmarkEnd w:id="42"/>
    <w:bookmarkEnd w:id="43"/>
    <w:bookmarkEnd w:id="44"/>
    <w:bookmarkEnd w:id="45"/>
    <w:p w14:paraId="7F77C1A6">
      <w:pPr>
        <w:keepNext w:val="0"/>
        <w:keepLines w:val="0"/>
        <w:widowControl/>
        <w:suppressLineNumbers w:val="0"/>
        <w:spacing w:line="240" w:lineRule="auto"/>
        <w:jc w:val="left"/>
        <w:rPr>
          <w:rFonts w:hint="eastAsia" w:ascii="微软雅黑" w:hAnsi="微软雅黑" w:eastAsia="微软雅黑" w:cs="微软雅黑"/>
          <w:b/>
          <w:color w:val="000000"/>
          <w:szCs w:val="21"/>
          <w:u w:val="single"/>
        </w:rPr>
      </w:pPr>
      <w:r>
        <w:rPr>
          <w:rFonts w:hint="eastAsia" w:ascii="微软雅黑" w:hAnsi="微软雅黑" w:eastAsia="微软雅黑" w:cs="微软雅黑"/>
          <w:b/>
          <w:color w:val="000000"/>
          <w:szCs w:val="21"/>
        </w:rPr>
        <w:t>甲方：</w:t>
      </w:r>
      <w:r>
        <w:rPr>
          <w:rFonts w:hint="eastAsia" w:ascii="微软雅黑" w:hAnsi="微软雅黑" w:eastAsia="微软雅黑" w:cs="微软雅黑"/>
          <w:b/>
          <w:color w:val="000000"/>
          <w:szCs w:val="21"/>
          <w:lang w:val="en-US" w:eastAsia="zh-CN"/>
        </w:rPr>
        <w:t>合肥滨投文化创意发展有限公司</w:t>
      </w:r>
      <w:r>
        <w:rPr>
          <w:rFonts w:hint="eastAsia" w:ascii="微软雅黑" w:hAnsi="微软雅黑" w:eastAsia="微软雅黑" w:cs="微软雅黑"/>
          <w:b/>
          <w:szCs w:val="21"/>
        </w:rPr>
        <w:t xml:space="preserve">     </w:t>
      </w:r>
    </w:p>
    <w:p w14:paraId="1E175ADC">
      <w:pPr>
        <w:spacing w:line="360" w:lineRule="auto"/>
        <w:jc w:val="left"/>
        <w:rPr>
          <w:rFonts w:hint="eastAsia" w:ascii="微软雅黑" w:hAnsi="微软雅黑" w:eastAsia="微软雅黑" w:cs="微软雅黑"/>
          <w:b/>
          <w:i/>
          <w:color w:val="FF0000"/>
          <w:szCs w:val="21"/>
        </w:rPr>
      </w:pPr>
      <w:r>
        <w:rPr>
          <w:rFonts w:hint="eastAsia" w:ascii="微软雅黑" w:hAnsi="微软雅黑" w:eastAsia="微软雅黑" w:cs="微软雅黑"/>
          <w:b/>
          <w:color w:val="000000"/>
          <w:szCs w:val="21"/>
        </w:rPr>
        <w:t>乙方：</w:t>
      </w:r>
      <w:r>
        <w:rPr>
          <w:rFonts w:hint="eastAsia" w:ascii="微软雅黑" w:hAnsi="微软雅黑" w:eastAsia="微软雅黑" w:cs="微软雅黑"/>
          <w:b/>
          <w:szCs w:val="21"/>
        </w:rPr>
        <w:t xml:space="preserve">                            </w:t>
      </w:r>
      <w:r>
        <w:rPr>
          <w:rFonts w:hint="eastAsia" w:ascii="微软雅黑" w:hAnsi="微软雅黑" w:eastAsia="微软雅黑" w:cs="微软雅黑"/>
          <w:b/>
          <w:i/>
          <w:color w:val="FF0000"/>
          <w:szCs w:val="21"/>
        </w:rPr>
        <w:t xml:space="preserve"> </w:t>
      </w:r>
    </w:p>
    <w:p w14:paraId="7413E7EE">
      <w:pPr>
        <w:pStyle w:val="13"/>
        <w:spacing w:line="400" w:lineRule="exact"/>
        <w:ind w:right="12" w:firstLine="1"/>
        <w:jc w:val="left"/>
        <w:rPr>
          <w:rFonts w:hint="eastAsia" w:ascii="微软雅黑" w:hAnsi="微软雅黑" w:eastAsia="微软雅黑" w:cs="微软雅黑"/>
          <w:sz w:val="21"/>
          <w:szCs w:val="21"/>
        </w:rPr>
      </w:pPr>
    </w:p>
    <w:p w14:paraId="77422FF5">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甲乙双方在平等、互利的基础上，遵循自愿、公平和诚信的原则，依照《中华人民共和国民法典》及其他有关法律、行政法规，经友好协商，达成如下合同：</w:t>
      </w:r>
    </w:p>
    <w:p w14:paraId="3A30204E">
      <w:pPr>
        <w:widowControl/>
        <w:numPr>
          <w:ilvl w:val="0"/>
          <w:numId w:val="9"/>
        </w:numPr>
        <w:tabs>
          <w:tab w:val="left" w:pos="993"/>
          <w:tab w:val="clear" w:pos="1161"/>
        </w:tabs>
        <w:autoSpaceDE w:val="0"/>
        <w:autoSpaceDN w:val="0"/>
        <w:spacing w:before="31" w:beforeLines="10" w:after="31" w:afterLines="10" w:line="360" w:lineRule="exact"/>
        <w:ind w:left="991" w:hanging="991" w:hangingChars="472"/>
        <w:jc w:val="left"/>
        <w:textAlignment w:val="bottom"/>
        <w:outlineLvl w:val="0"/>
        <w:rPr>
          <w:rFonts w:hint="eastAsia" w:ascii="微软雅黑" w:hAnsi="微软雅黑" w:eastAsia="微软雅黑" w:cs="微软雅黑"/>
          <w:b/>
          <w:szCs w:val="21"/>
        </w:rPr>
      </w:pPr>
      <w:bookmarkStart w:id="46" w:name="OLE_LINK4"/>
      <w:bookmarkStart w:id="47" w:name="OLE_LINK3"/>
      <w:r>
        <w:rPr>
          <w:rFonts w:hint="eastAsia" w:ascii="微软雅黑" w:hAnsi="微软雅黑" w:eastAsia="微软雅黑" w:cs="微软雅黑"/>
          <w:b/>
          <w:szCs w:val="21"/>
        </w:rPr>
        <w:t xml:space="preserve">购买的服务项目及费用标准 </w:t>
      </w:r>
    </w:p>
    <w:p w14:paraId="7175CAE0">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乙方为甲方提供网站技术服务，费用标准如下：</w:t>
      </w:r>
    </w:p>
    <w:p w14:paraId="115D462E">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服务费用说明：</w:t>
      </w:r>
    </w:p>
    <w:tbl>
      <w:tblPr>
        <w:tblStyle w:val="28"/>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1830"/>
        <w:gridCol w:w="1105"/>
        <w:gridCol w:w="1248"/>
        <w:gridCol w:w="1086"/>
        <w:gridCol w:w="1105"/>
      </w:tblGrid>
      <w:tr w14:paraId="75F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42" w:type="pct"/>
            <w:noWrap/>
            <w:vAlign w:val="center"/>
          </w:tcPr>
          <w:p w14:paraId="207DD5FD">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产品名称</w:t>
            </w:r>
          </w:p>
        </w:tc>
        <w:tc>
          <w:tcPr>
            <w:tcW w:w="964" w:type="pct"/>
            <w:noWrap/>
            <w:vAlign w:val="center"/>
          </w:tcPr>
          <w:p w14:paraId="5BA1DE2F">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lang w:val="en-US" w:eastAsia="zh-Hans"/>
              </w:rPr>
            </w:pPr>
            <w:r>
              <w:rPr>
                <w:rFonts w:hint="eastAsia" w:ascii="微软雅黑" w:hAnsi="微软雅黑" w:eastAsia="微软雅黑" w:cs="微软雅黑"/>
                <w:b/>
                <w:bCs/>
                <w:color w:val="000000"/>
                <w:kern w:val="0"/>
                <w:szCs w:val="21"/>
                <w:highlight w:val="none"/>
                <w:lang w:val="en-US" w:eastAsia="zh-Hans"/>
              </w:rPr>
              <w:t>项目</w:t>
            </w:r>
          </w:p>
        </w:tc>
        <w:tc>
          <w:tcPr>
            <w:tcW w:w="582" w:type="pct"/>
            <w:noWrap/>
            <w:vAlign w:val="center"/>
          </w:tcPr>
          <w:p w14:paraId="3391C717">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val="en-US" w:eastAsia="zh-CN" w:bidi="ar-SA"/>
              </w:rPr>
            </w:pPr>
            <w:r>
              <w:rPr>
                <w:rFonts w:hint="eastAsia" w:ascii="微软雅黑" w:hAnsi="微软雅黑" w:eastAsia="微软雅黑" w:cs="微软雅黑"/>
                <w:b/>
                <w:bCs/>
                <w:kern w:val="0"/>
                <w:szCs w:val="21"/>
                <w:highlight w:val="none"/>
              </w:rPr>
              <w:t>数量</w:t>
            </w:r>
          </w:p>
        </w:tc>
        <w:tc>
          <w:tcPr>
            <w:tcW w:w="657" w:type="pct"/>
            <w:noWrap/>
            <w:vAlign w:val="center"/>
          </w:tcPr>
          <w:p w14:paraId="5FB2782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服务期(月)</w:t>
            </w:r>
          </w:p>
        </w:tc>
        <w:tc>
          <w:tcPr>
            <w:tcW w:w="568" w:type="pct"/>
            <w:noWrap w:val="0"/>
            <w:vAlign w:val="center"/>
          </w:tcPr>
          <w:p w14:paraId="79A8613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实际成交价格（元）</w:t>
            </w:r>
          </w:p>
        </w:tc>
        <w:tc>
          <w:tcPr>
            <w:tcW w:w="582" w:type="pct"/>
            <w:noWrap w:val="0"/>
            <w:vAlign w:val="center"/>
          </w:tcPr>
          <w:p w14:paraId="24697576">
            <w:pPr>
              <w:widowControl/>
              <w:spacing w:before="156" w:beforeLines="50" w:after="156" w:afterLines="50" w:line="360" w:lineRule="exact"/>
              <w:jc w:val="center"/>
              <w:rPr>
                <w:rFonts w:hint="eastAsia" w:ascii="微软雅黑" w:hAnsi="微软雅黑" w:eastAsia="微软雅黑" w:cs="微软雅黑"/>
                <w:b/>
                <w:bCs/>
                <w:kern w:val="0"/>
                <w:szCs w:val="21"/>
                <w:highlight w:val="none"/>
                <w:lang w:val="en-US" w:eastAsia="zh-CN"/>
              </w:rPr>
            </w:pPr>
            <w:r>
              <w:rPr>
                <w:rFonts w:hint="eastAsia" w:ascii="微软雅黑" w:hAnsi="微软雅黑" w:eastAsia="微软雅黑" w:cs="微软雅黑"/>
                <w:b/>
                <w:bCs/>
                <w:kern w:val="0"/>
                <w:szCs w:val="21"/>
                <w:highlight w:val="none"/>
                <w:lang w:val="en-US" w:eastAsia="zh-CN"/>
              </w:rPr>
              <w:t>续费价格（元）</w:t>
            </w:r>
          </w:p>
        </w:tc>
      </w:tr>
      <w:tr w14:paraId="40D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restart"/>
            <w:noWrap/>
            <w:vAlign w:val="center"/>
          </w:tcPr>
          <w:p w14:paraId="308DEE4B">
            <w:pPr>
              <w:jc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滨河湾A地块营销管理系统</w:t>
            </w:r>
          </w:p>
        </w:tc>
        <w:tc>
          <w:tcPr>
            <w:tcW w:w="964" w:type="pct"/>
            <w:shd w:val="clear" w:color="auto" w:fill="auto"/>
            <w:noWrap/>
            <w:vAlign w:val="center"/>
          </w:tcPr>
          <w:p w14:paraId="66610050">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bidi="ar-SA"/>
              </w:rPr>
              <w:t>销售系统</w:t>
            </w:r>
          </w:p>
        </w:tc>
        <w:tc>
          <w:tcPr>
            <w:tcW w:w="582" w:type="pct"/>
            <w:noWrap/>
            <w:vAlign w:val="center"/>
          </w:tcPr>
          <w:p w14:paraId="2D3B3D4C">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192A2FB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86385E4">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4B5239C8">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8DE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152048A7">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27F55CE4">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渠道登记系统</w:t>
            </w:r>
          </w:p>
        </w:tc>
        <w:tc>
          <w:tcPr>
            <w:tcW w:w="582" w:type="pct"/>
            <w:noWrap/>
            <w:vAlign w:val="center"/>
          </w:tcPr>
          <w:p w14:paraId="5C63FEF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B7444F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7BFE9CF">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A23B0B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F8E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74921996">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130E5907">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sz w:val="22"/>
                <w:szCs w:val="22"/>
                <w:highlight w:val="none"/>
                <w:lang w:val="en-US" w:eastAsia="zh-CN"/>
              </w:rPr>
              <w:t>渠道风控系统</w:t>
            </w:r>
          </w:p>
        </w:tc>
        <w:tc>
          <w:tcPr>
            <w:tcW w:w="582" w:type="pct"/>
            <w:noWrap/>
            <w:vAlign w:val="center"/>
          </w:tcPr>
          <w:p w14:paraId="305B113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2</w:t>
            </w:r>
          </w:p>
        </w:tc>
        <w:tc>
          <w:tcPr>
            <w:tcW w:w="657" w:type="pct"/>
            <w:noWrap/>
            <w:vAlign w:val="center"/>
          </w:tcPr>
          <w:p w14:paraId="3835D22E">
            <w:pPr>
              <w:widowControl/>
              <w:spacing w:before="156" w:beforeLines="50" w:after="156" w:afterLines="50" w:line="360" w:lineRule="exact"/>
              <w:jc w:val="center"/>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10F651B">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37035B1">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4F9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3853E012">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38FDBE47">
            <w:pPr>
              <w:widowControl/>
              <w:spacing w:before="156" w:beforeLines="50" w:after="156" w:afterLines="50" w:line="360" w:lineRule="exact"/>
              <w:jc w:val="center"/>
              <w:rPr>
                <w:rFonts w:hint="default"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售楼管理系统</w:t>
            </w:r>
          </w:p>
        </w:tc>
        <w:tc>
          <w:tcPr>
            <w:tcW w:w="582" w:type="pct"/>
            <w:noWrap/>
            <w:vAlign w:val="center"/>
          </w:tcPr>
          <w:p w14:paraId="18C134E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0E2227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0FA2E5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0FDE9C73">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0B46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417" w:type="pct"/>
            <w:gridSpan w:val="5"/>
            <w:noWrap/>
            <w:vAlign w:val="center"/>
          </w:tcPr>
          <w:p w14:paraId="0CBCE933">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r>
              <w:rPr>
                <w:rFonts w:hint="eastAsia" w:ascii="微软雅黑" w:hAnsi="微软雅黑" w:eastAsia="微软雅黑" w:cs="微软雅黑"/>
                <w:b/>
                <w:bCs/>
                <w:kern w:val="0"/>
                <w:sz w:val="21"/>
                <w:szCs w:val="21"/>
                <w:highlight w:val="none"/>
                <w:lang w:val="en-US" w:eastAsia="zh-Hans"/>
              </w:rPr>
              <w:t>合计</w:t>
            </w:r>
            <w:r>
              <w:rPr>
                <w:rFonts w:hint="eastAsia" w:ascii="微软雅黑" w:hAnsi="微软雅黑" w:eastAsia="微软雅黑" w:cs="微软雅黑"/>
                <w:b/>
                <w:bCs/>
                <w:kern w:val="0"/>
                <w:sz w:val="21"/>
                <w:szCs w:val="21"/>
                <w:highlight w:val="none"/>
                <w:lang w:eastAsia="zh-Hans"/>
              </w:rPr>
              <w:t>：</w:t>
            </w:r>
          </w:p>
        </w:tc>
        <w:tc>
          <w:tcPr>
            <w:tcW w:w="582" w:type="pct"/>
            <w:noWrap w:val="0"/>
            <w:vAlign w:val="center"/>
          </w:tcPr>
          <w:p w14:paraId="0E6D4EBB">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p>
        </w:tc>
      </w:tr>
    </w:tbl>
    <w:p w14:paraId="26B5BFC8">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甲方购买的服务内容</w:t>
      </w:r>
      <w:r>
        <w:rPr>
          <w:rFonts w:hint="eastAsia" w:ascii="微软雅黑" w:hAnsi="微软雅黑" w:eastAsia="微软雅黑" w:cs="微软雅黑"/>
          <w:b w:val="0"/>
          <w:bCs w:val="0"/>
          <w:szCs w:val="21"/>
          <w:lang w:val="en-GB"/>
        </w:rPr>
        <w:t>总价为</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含税</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 xml:space="preserve">税率：  不含税价格：  </w:t>
      </w:r>
      <w:r>
        <w:rPr>
          <w:rFonts w:hint="eastAsia" w:ascii="微软雅黑" w:hAnsi="微软雅黑" w:eastAsia="微软雅黑" w:cs="微软雅黑"/>
          <w:b w:val="0"/>
          <w:bCs w:val="0"/>
          <w:szCs w:val="21"/>
          <w:lang w:val="en-GB"/>
        </w:rPr>
        <w:t>。</w:t>
      </w:r>
    </w:p>
    <w:p w14:paraId="408B58A4">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b w:val="0"/>
          <w:bCs w:val="0"/>
          <w:szCs w:val="21"/>
          <w:lang w:val="en-GB" w:eastAsia="zh-CN"/>
        </w:rPr>
      </w:pPr>
      <w:r>
        <w:rPr>
          <w:rFonts w:hint="eastAsia" w:ascii="微软雅黑" w:hAnsi="微软雅黑" w:eastAsia="微软雅黑" w:cs="微软雅黑"/>
          <w:b w:val="0"/>
          <w:bCs w:val="0"/>
          <w:szCs w:val="21"/>
          <w:lang w:val="en-US" w:eastAsia="zh-CN"/>
        </w:rPr>
        <w:t>续费说明：服务期限到期后，如甲方需继续使用本服务，在服务期限到期前1个月内与乙方续签服务协议，并向乙方支付下一年的费用。续费金额为：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p>
    <w:bookmarkEnd w:id="46"/>
    <w:bookmarkEnd w:id="47"/>
    <w:p w14:paraId="13F0918C">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bookmarkStart w:id="48" w:name="_Toc241620184"/>
      <w:r>
        <w:rPr>
          <w:rFonts w:hint="eastAsia" w:ascii="微软雅黑" w:hAnsi="微软雅黑" w:eastAsia="微软雅黑" w:cs="微软雅黑"/>
          <w:b/>
          <w:szCs w:val="21"/>
        </w:rPr>
        <w:t>付款方式</w:t>
      </w:r>
    </w:p>
    <w:p w14:paraId="4484DAA7">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付款方式：</w:t>
      </w:r>
    </w:p>
    <w:p w14:paraId="0C74D200">
      <w:pPr>
        <w:pStyle w:val="77"/>
        <w:numPr>
          <w:ilvl w:val="0"/>
          <w:numId w:val="0"/>
        </w:numPr>
        <w:autoSpaceDE w:val="0"/>
        <w:autoSpaceDN w:val="0"/>
        <w:adjustRightInd w:val="0"/>
        <w:spacing w:before="156" w:beforeLines="50" w:after="156" w:afterLines="50" w:line="360" w:lineRule="exact"/>
        <w:ind w:left="1054" w:leftChars="502" w:firstLine="0" w:firstLineChars="0"/>
        <w:jc w:val="left"/>
        <w:rPr>
          <w:rFonts w:hint="default" w:ascii="微软雅黑" w:hAnsi="微软雅黑" w:eastAsia="微软雅黑" w:cs="微软雅黑"/>
          <w:b w:val="0"/>
          <w:bCs w:val="0"/>
          <w:szCs w:val="21"/>
          <w:lang w:val="en-US" w:eastAsia="zh-CN"/>
        </w:rPr>
      </w:pPr>
      <w:r>
        <w:rPr>
          <w:rFonts w:hint="eastAsia" w:ascii="微软雅黑" w:hAnsi="微软雅黑" w:eastAsia="微软雅黑" w:cs="微软雅黑"/>
          <w:b w:val="0"/>
          <w:bCs w:val="0"/>
          <w:szCs w:val="21"/>
          <w:lang w:val="en-US" w:eastAsia="zh-CN"/>
        </w:rPr>
        <w:t>验收合格后30</w:t>
      </w:r>
      <w:r>
        <w:rPr>
          <w:rFonts w:hint="eastAsia" w:ascii="微软雅黑" w:hAnsi="微软雅黑" w:eastAsia="微软雅黑" w:cs="微软雅黑"/>
          <w:color w:val="000000"/>
          <w:szCs w:val="21"/>
          <w:lang w:val="en-US" w:eastAsia="zh-CN"/>
        </w:rPr>
        <w:t>个工作日内</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支付全部款项，即</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lang w:val="en-GB"/>
        </w:rPr>
        <w:t>。</w:t>
      </w:r>
    </w:p>
    <w:p w14:paraId="0A09E204">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szCs w:val="21"/>
          <w:lang w:val="en-GB"/>
        </w:rPr>
      </w:pPr>
      <w:r>
        <w:rPr>
          <w:rFonts w:hint="eastAsia" w:ascii="微软雅黑" w:hAnsi="微软雅黑" w:eastAsia="微软雅黑" w:cs="微软雅黑"/>
          <w:kern w:val="0"/>
          <w:szCs w:val="21"/>
          <w:lang w:val="en-GB"/>
        </w:rPr>
        <w:t>以上款项请甲方以转账的方式支付，乙方不接受支票或现金等付款形式。支付以上款项</w:t>
      </w:r>
      <w:r>
        <w:rPr>
          <w:rFonts w:hint="eastAsia" w:ascii="微软雅黑" w:hAnsi="微软雅黑" w:eastAsia="微软雅黑" w:cs="微软雅黑"/>
          <w:kern w:val="0"/>
          <w:szCs w:val="21"/>
          <w:lang w:val="en-GB" w:eastAsia="zh-CN"/>
        </w:rPr>
        <w:t>前</w:t>
      </w:r>
      <w:r>
        <w:rPr>
          <w:rFonts w:hint="eastAsia" w:ascii="微软雅黑" w:hAnsi="微软雅黑" w:eastAsia="微软雅黑" w:cs="微软雅黑"/>
          <w:kern w:val="0"/>
          <w:szCs w:val="21"/>
          <w:lang w:val="en-GB"/>
        </w:rPr>
        <w:t>，</w:t>
      </w:r>
      <w:r>
        <w:rPr>
          <w:rFonts w:hint="eastAsia" w:ascii="微软雅黑" w:hAnsi="微软雅黑" w:eastAsia="微软雅黑" w:cs="微软雅黑"/>
          <w:bCs/>
          <w:color w:val="000000"/>
          <w:kern w:val="0"/>
          <w:shd w:val="clear" w:color="auto" w:fill="FFFFFF"/>
        </w:rPr>
        <w:t>乙方向甲方提供与付款金额等额的含</w:t>
      </w:r>
      <w:r>
        <w:rPr>
          <w:rFonts w:hint="eastAsia" w:ascii="微软雅黑" w:hAnsi="微软雅黑" w:eastAsia="微软雅黑" w:cs="微软雅黑"/>
          <w:kern w:val="0"/>
          <w:szCs w:val="21"/>
          <w:lang w:val="en-GB"/>
        </w:rPr>
        <w:t>税增值税专用服务发票，如</w:t>
      </w:r>
      <w:r>
        <w:rPr>
          <w:rFonts w:hint="eastAsia" w:ascii="微软雅黑" w:hAnsi="微软雅黑" w:eastAsia="微软雅黑" w:cs="微软雅黑"/>
          <w:szCs w:val="21"/>
          <w:lang w:val="en-GB"/>
        </w:rPr>
        <w:t>甲方已接收乙方发票，在发票开具的360天内不能付款或不能退回乙方发票，给乙方造成的税金损失由甲方承担。</w:t>
      </w:r>
    </w:p>
    <w:p w14:paraId="0C9F8568">
      <w:pPr>
        <w:numPr>
          <w:ilvl w:val="1"/>
          <w:numId w:val="11"/>
        </w:numPr>
        <w:spacing w:before="156" w:beforeLines="50" w:after="156" w:afterLines="50" w:line="360" w:lineRule="exact"/>
        <w:ind w:hanging="567"/>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乙方接受汇款的基本账户信息如下：</w:t>
      </w:r>
    </w:p>
    <w:tbl>
      <w:tblPr>
        <w:tblStyle w:val="28"/>
        <w:tblW w:w="0" w:type="auto"/>
        <w:tblInd w:w="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5701"/>
      </w:tblGrid>
      <w:tr w14:paraId="5515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793AFD05">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开户名称</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08A9837">
            <w:pPr>
              <w:adjustRightInd w:val="0"/>
              <w:snapToGrid w:val="0"/>
              <w:spacing w:before="156" w:beforeLines="50" w:after="156" w:afterLines="50" w:line="360" w:lineRule="exact"/>
              <w:rPr>
                <w:rFonts w:hint="eastAsia" w:ascii="微软雅黑" w:hAnsi="微软雅黑" w:eastAsia="微软雅黑" w:cs="微软雅黑"/>
                <w:szCs w:val="21"/>
                <w:u w:val="none"/>
              </w:rPr>
            </w:pPr>
          </w:p>
        </w:tc>
      </w:tr>
      <w:tr w14:paraId="283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BF45E58">
            <w:pPr>
              <w:adjustRightInd w:val="0"/>
              <w:snapToGrid w:val="0"/>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szCs w:val="21"/>
              </w:rPr>
              <w:t>开户银行</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3047B397">
            <w:pPr>
              <w:pStyle w:val="38"/>
              <w:autoSpaceDE w:val="0"/>
              <w:autoSpaceDN w:val="0"/>
              <w:adjustRightInd w:val="0"/>
              <w:spacing w:before="156" w:beforeLines="50" w:after="156" w:afterLines="50" w:line="360" w:lineRule="exact"/>
              <w:ind w:left="0" w:leftChars="0" w:firstLine="0" w:firstLineChars="0"/>
              <w:jc w:val="left"/>
              <w:rPr>
                <w:rFonts w:hint="eastAsia" w:ascii="微软雅黑" w:hAnsi="微软雅黑" w:eastAsia="微软雅黑" w:cs="微软雅黑"/>
                <w:szCs w:val="21"/>
                <w:u w:val="none"/>
              </w:rPr>
            </w:pPr>
          </w:p>
        </w:tc>
      </w:tr>
      <w:tr w14:paraId="1CC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91E5134">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银行账号</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F0A9ABD">
            <w:pPr>
              <w:adjustRightInd w:val="0"/>
              <w:snapToGrid w:val="0"/>
              <w:spacing w:before="156" w:beforeLines="50" w:after="156" w:afterLines="50" w:line="360" w:lineRule="exact"/>
              <w:rPr>
                <w:rFonts w:hint="eastAsia" w:ascii="微软雅黑" w:hAnsi="微软雅黑" w:eastAsia="微软雅黑" w:cs="微软雅黑"/>
                <w:color w:val="000000"/>
                <w:szCs w:val="21"/>
                <w:u w:val="none"/>
              </w:rPr>
            </w:pPr>
          </w:p>
        </w:tc>
      </w:tr>
    </w:tbl>
    <w:p w14:paraId="2933279F">
      <w:pPr>
        <w:pStyle w:val="77"/>
        <w:autoSpaceDE w:val="0"/>
        <w:autoSpaceDN w:val="0"/>
        <w:adjustRightInd w:val="0"/>
        <w:spacing w:before="156" w:beforeLines="50" w:after="156" w:afterLines="50" w:line="360" w:lineRule="exact"/>
        <w:ind w:left="992"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lang w:val="en-GB"/>
        </w:rPr>
        <w:t>非经乙方书面确认，甲方向上述指定账户以外账户进行的付款均不能视为甲方向乙方支付本合同项下的费用。</w:t>
      </w:r>
    </w:p>
    <w:p w14:paraId="3302B16E">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甲方权利与义务</w:t>
      </w:r>
    </w:p>
    <w:p w14:paraId="14960CC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已获得必要的许可和授权，有权按本合同约定使用所购买的服务，包括但不限于在其最终用户充分知情的前提下，真实、准确、完整的告知其最终用户（1）甲方和乙方（作为相关个人信息处理者）的名称和联系方式；（2）甲方收集、存储、使用及委托乙方共同处理其个人信息的种类及处理目的、处理方式、保存期限。甲方应确保取得最终用户自愿、明确的授权并明确告知最终用户撤回相关授权的方式和程序。甲方保证</w:t>
      </w:r>
      <w:r>
        <w:rPr>
          <w:rFonts w:hint="eastAsia" w:ascii="微软雅黑" w:hAnsi="微软雅黑" w:eastAsia="微软雅黑" w:cs="微软雅黑"/>
          <w:color w:val="000000"/>
          <w:szCs w:val="21"/>
          <w:lang w:eastAsia="zh-Hans"/>
        </w:rPr>
        <w:t>不强迫用户进行不合理的“一揽子授权”，并应为用户提供访问、更正、删除其个人信息及撤销授权的途径。</w:t>
      </w:r>
    </w:p>
    <w:p w14:paraId="23CCEABE">
      <w:pPr>
        <w:numPr>
          <w:ilvl w:val="0"/>
          <w:numId w:val="12"/>
        </w:numP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甲方应保证其取得最终用户的如下授权，并承担取得不能的不利后果，否则所产生的任何后果及因此对乙方造成的损失由甲方承担，授权内容必须包括：</w:t>
      </w:r>
    </w:p>
    <w:p w14:paraId="027B8272">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1）最终用户充分知悉并自愿同意甲方收集、存储其个人信息，包括姓名、身份证号、联系方式、家庭住址、银行账号、银行流水、定位信息、行踪轨迹、通话录音等为提供</w:t>
      </w:r>
      <w:r>
        <w:rPr>
          <w:rFonts w:hint="eastAsia" w:ascii="微软雅黑" w:hAnsi="微软雅黑" w:eastAsia="微软雅黑" w:cs="微软雅黑"/>
          <w:color w:val="000000"/>
          <w:szCs w:val="21"/>
          <w:u w:val="single"/>
        </w:rPr>
        <w:t>【 】服务所需要的相关信息以满足【 】</w:t>
      </w:r>
      <w:r>
        <w:rPr>
          <w:rFonts w:hint="eastAsia" w:ascii="微软雅黑" w:hAnsi="微软雅黑" w:eastAsia="微软雅黑" w:cs="微软雅黑"/>
          <w:color w:val="000000"/>
          <w:szCs w:val="21"/>
        </w:rPr>
        <w:t xml:space="preserve">服务需求； </w:t>
      </w:r>
    </w:p>
    <w:p w14:paraId="1ADEC129">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2）最终用户知悉并同意乙方为甲方处理其个人信息提供技术支持服务并受甲方委托共同处理其个人信息，用于本合同所述服务；</w:t>
      </w:r>
    </w:p>
    <w:p w14:paraId="66D7255C">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最终用户知悉（1）甲方和乙方（作为相关个人信息处理者）的名称和联系方式；（2）在本服务中涉及的其个人信息的种类及处理目的、处理方式、保存期限；（3）访问、更正、删除其个人信息及撤回相关授权的方式和程序等。</w:t>
      </w:r>
    </w:p>
    <w:p w14:paraId="0DF40998">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保证提交的内容不能含有任何违反国家有关法律、法规及中华人民共和国承认或加入的国际条约，包括但不限于危害国家安全、淫秽色情、虚假、侮辱、诽谤、恐吓或骚扰、侵犯他人版权或人身权或其他合法权益以及有违社会公序良俗的内容或指向这些内容的链接，否则独自承担所产生的法律责任。</w:t>
      </w:r>
    </w:p>
    <w:p w14:paraId="5D4EFC6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甲乙双方明确乙方仅是本合同项下服务及技术的提供方，为甲方收集、存储、使用其最终客户的个人信息提供技术服务支持，并接受甲方委托协助甲方对其收集的最终客户个人信息进行</w:t>
      </w:r>
      <w:r>
        <w:rPr>
          <w:rFonts w:hint="eastAsia" w:ascii="微软雅黑" w:hAnsi="微软雅黑" w:eastAsia="微软雅黑" w:cs="微软雅黑"/>
          <w:kern w:val="24"/>
          <w:szCs w:val="21"/>
        </w:rPr>
        <w:t>加工、提供、传输、删除处理。</w:t>
      </w:r>
      <w:r>
        <w:rPr>
          <w:rFonts w:hint="eastAsia" w:ascii="微软雅黑" w:hAnsi="微软雅黑" w:eastAsia="微软雅黑" w:cs="微软雅黑"/>
          <w:color w:val="000000"/>
          <w:szCs w:val="21"/>
        </w:rPr>
        <w:t>甲方承诺在有关法律、法规允许范围内仅基于商业目的使用乙方的服务，不得从事任何</w:t>
      </w:r>
      <w:r>
        <w:rPr>
          <w:rFonts w:hint="eastAsia" w:ascii="微软雅黑" w:hAnsi="微软雅黑" w:eastAsia="微软雅黑" w:cs="微软雅黑"/>
          <w:color w:val="000000"/>
          <w:szCs w:val="21"/>
          <w:lang w:eastAsia="zh-Hans"/>
        </w:rPr>
        <w:t>非法获取、</w:t>
      </w:r>
      <w:r>
        <w:rPr>
          <w:rFonts w:hint="eastAsia" w:ascii="微软雅黑" w:hAnsi="微软雅黑" w:eastAsia="微软雅黑" w:cs="微软雅黑"/>
          <w:color w:val="000000"/>
          <w:szCs w:val="21"/>
        </w:rPr>
        <w:t>滥用或出售或泄露个人身份信息、侵犯个人隐私、肖像等合法权益的活动。</w:t>
      </w:r>
    </w:p>
    <w:p w14:paraId="430D1807">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甲方在处理最终用户个人信息的过程中应遵守《中华人民共和国个人信息保护法》及GB/T35273—2020《信息安全技术 个人信息安全规范》的规定，包括但不限于在处理个人信息的过程中采取加密、去标识化等安全措施；对个人生物识别信息与个人身份信息分开存储；在告知最终用户的个人信息保存期限到期前对相关个人信息进行删除；授权访问处理个人信息的人员遵循最小必要原则，对可访问人员范围及访问操作权限作相应限制；从数据访问、维护的流程、权限等各维度完善内部控制制度；发现安全缺陷、漏洞时，及时采取补救措施。乙方亦可根据相关法律法规的规定，对甲方提出其他合规要求并给予甲方必要的技术支持。</w:t>
      </w:r>
    </w:p>
    <w:p w14:paraId="20EFDBDA">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由于甲方在开展相关业务的过程中未能遵守相关法律法规的规定及本合同的约定而导致的任何法律纠纷及不利后果及</w:t>
      </w:r>
      <w:r>
        <w:rPr>
          <w:rFonts w:hint="eastAsia" w:ascii="微软雅黑" w:hAnsi="微软雅黑" w:eastAsia="微软雅黑" w:cs="微软雅黑"/>
          <w:color w:val="000000"/>
          <w:szCs w:val="21"/>
        </w:rPr>
        <w:t>甲方通过乙方所提供的服务进行商务活动所引起的一切法律纠纷均</w:t>
      </w:r>
      <w:r>
        <w:rPr>
          <w:rFonts w:hint="eastAsia" w:ascii="微软雅黑" w:hAnsi="微软雅黑" w:eastAsia="微软雅黑" w:cs="微软雅黑"/>
          <w:color w:val="000000"/>
          <w:szCs w:val="21"/>
          <w:lang w:eastAsia="zh-Hans"/>
        </w:rPr>
        <w:t>由甲方自行负责，</w:t>
      </w:r>
      <w:r>
        <w:rPr>
          <w:rFonts w:hint="eastAsia" w:ascii="微软雅黑" w:hAnsi="微软雅黑" w:eastAsia="微软雅黑" w:cs="微软雅黑"/>
          <w:color w:val="000000"/>
          <w:szCs w:val="21"/>
        </w:rPr>
        <w:t>与乙方无关。由于甲方侵害其最终用户个人信息权益而导致乙方承担连带责任或受到行政处罚的，乙方有权向甲方追索，并要求甲方赔偿其直接及间接损失。如甲方违反本合同第3.1-3.4条的保证，视为甲方严重违约，乙方有权单方解除合同，并追究甲方的违约责任。</w:t>
      </w:r>
    </w:p>
    <w:p w14:paraId="264C4430">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甲方对其在乙方所提供的服务平台注册的用户名和密码的安全性负全部责任，并对以其用户名进行的所有活动和事件负全部责任。</w:t>
      </w:r>
    </w:p>
    <w:p w14:paraId="3DECF27B">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营销管理系统</w:t>
      </w:r>
      <w:r>
        <w:rPr>
          <w:rFonts w:hint="eastAsia" w:ascii="微软雅黑" w:hAnsi="微软雅黑" w:eastAsia="微软雅黑" w:cs="微软雅黑"/>
          <w:color w:val="000000"/>
          <w:szCs w:val="21"/>
        </w:rPr>
        <w:t>“对购房者提供服务时，如出现第三方恶意攻击，应按照之前双方商定的风险应对预案和乙方建议进行紧急处理（包括但不限于暂停或取消当前服务/活动），未遵循乙方明确建议所造成的一切损失由甲方自行承担。</w:t>
      </w:r>
    </w:p>
    <w:p w14:paraId="4201FBA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案场管理系统</w:t>
      </w:r>
      <w:r>
        <w:rPr>
          <w:rFonts w:hint="eastAsia" w:ascii="微软雅黑" w:hAnsi="微软雅黑" w:eastAsia="微软雅黑" w:cs="微软雅黑"/>
          <w:color w:val="000000"/>
          <w:szCs w:val="21"/>
        </w:rPr>
        <w:t>“时上传的图片、文字等内容的版权、合规性由甲方承担，如因甲方违规行为（包括但不限于被政府机关定义为违反广告法虚假宣传等），导致任何法律纠纷及不利后果，均由甲方自行承担。因此导致乙方承担连带责任（包括但不限于受到政府主管部门处罚）的，乙方有权向甲方追索，并要求甲方赔偿其直接及间接损失。</w:t>
      </w:r>
    </w:p>
    <w:p w14:paraId="0E46021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当甲方所购买的服务到期时，甲方应及时向乙方续费，否则，乙方有权停止提供服务，包括但不限于不再提供项目自到期后新生成的数据、停止产品现有功能使用等。如因甲方没有及时续费而造成服务停止，乙方不承担责任。</w:t>
      </w:r>
    </w:p>
    <w:p w14:paraId="24ED9E04">
      <w:pPr>
        <w:numPr>
          <w:ilvl w:val="0"/>
          <w:numId w:val="12"/>
        </w:numPr>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color w:val="000000"/>
          <w:szCs w:val="21"/>
        </w:rPr>
        <w:t>甲方承诺严格遵守知识产权承诺，只在其业务范围内使用已购买的产品服务，禁止出售乙方产品；禁止基于商业目的对乙方的产品和服务进行模仿、二次开发、破解、编译、反向工程等；禁止复制和模仿乙方的设计理念、界面、功能和图表；</w:t>
      </w:r>
      <w:r>
        <w:rPr>
          <w:rFonts w:hint="eastAsia" w:ascii="微软雅黑" w:hAnsi="微软雅黑" w:eastAsia="微软雅黑" w:cs="微软雅黑"/>
          <w:szCs w:val="21"/>
        </w:rPr>
        <w:t>禁止未经乙方许可基于此项服务或内容进行修改或制造派生其他产品；禁止向</w:t>
      </w:r>
      <w:r>
        <w:rPr>
          <w:rFonts w:hint="eastAsia" w:ascii="微软雅黑" w:hAnsi="微软雅黑" w:eastAsia="微软雅黑" w:cs="微软雅黑"/>
          <w:color w:val="000000"/>
          <w:szCs w:val="21"/>
        </w:rPr>
        <w:t>任何第三方泄露乙方受知识产权保护的内容，不得有导致乙方知识产权被损害的行为，比如引进与乙方类似的竞争对手，向乙方的竞争对手展示乙方的软件等行为。如甲方有上述违约行为，</w:t>
      </w:r>
      <w:r>
        <w:rPr>
          <w:rFonts w:hint="eastAsia" w:ascii="微软雅黑" w:hAnsi="微软雅黑" w:eastAsia="微软雅黑" w:cs="微软雅黑"/>
          <w:szCs w:val="21"/>
        </w:rPr>
        <w:t>乙方有权中止合作并追究甲方的违约及/或侵权责任。</w:t>
      </w:r>
    </w:p>
    <w:p w14:paraId="40445D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甲方对自主进入和管理乙方及其关联方所提供的各类产品与服务的口令、密码的完整性和保密性负责。因甲方维护不当或保密不当致使数据、口令、密码等丢失或泄漏所引起的一切损失和后果均由甲方自行承担。</w:t>
      </w:r>
    </w:p>
    <w:p w14:paraId="283A48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甲方对存放在乙方及其关联方服务上的数据内容负责，如因上传、发布的公开信息违反法律法规、部门规章或国家政策，由此造成的全部结果及责任由甲方自行承担。</w:t>
      </w:r>
    </w:p>
    <w:p w14:paraId="0F2443D6">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甲方理解并认可，乙方及其关联方的应用部署在公有云上（如：阿里云</w:t>
      </w:r>
      <w:r>
        <w:rPr>
          <w:rFonts w:hint="eastAsia" w:ascii="微软雅黑" w:hAnsi="微软雅黑" w:eastAsia="微软雅黑" w:cs="微软雅黑"/>
          <w:color w:val="000000"/>
          <w:szCs w:val="21"/>
          <w:lang w:val="en-US" w:eastAsia="zh-CN"/>
        </w:rPr>
        <w:t>等</w:t>
      </w:r>
      <w:r>
        <w:rPr>
          <w:rFonts w:hint="eastAsia" w:ascii="微软雅黑" w:hAnsi="微软雅黑" w:eastAsia="微软雅黑" w:cs="微软雅黑"/>
          <w:color w:val="000000"/>
          <w:szCs w:val="21"/>
        </w:rPr>
        <w:t>），但公有云在必要时将会对乙方及其关联方使用的服务进行迁移。因为技术的局限性，公有云服务可能因为迁移产生暂时的服务不稳定。公有云承诺将尽可能提高技术并减少对乙方及其关联方在服务上的产品和服务的影响。</w:t>
      </w:r>
    </w:p>
    <w:p w14:paraId="032B21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甲方理解并认可，鉴于计算机、互联网的特殊性，乙方及其关联方在进行服务器配置、维护时，需要短时间中断服务；或者由于Internet上的通路阻塞造成网站访问速度下降。</w:t>
      </w:r>
    </w:p>
    <w:p w14:paraId="71F449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合同中涉及提供的标的物清单需甲方指定的项目经理签字确认，签字后视为该节点已完成。</w:t>
      </w:r>
    </w:p>
    <w:p w14:paraId="2D07F15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合同中涉及提供的标的物清单需甲方指定的项目对接人签字确认，签字后视为该节点已完成。如在合同执行过程中，甲方指定项目对接人离职，则由甲方另行书面指定项目对接人信息。</w:t>
      </w:r>
    </w:p>
    <w:bookmarkEnd w:id="48"/>
    <w:p w14:paraId="555C2192">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乙方权利与义务</w:t>
      </w:r>
    </w:p>
    <w:p w14:paraId="5E87F314">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乙方在收到甲方按本合同规定支付的全额款项后3个工作日，为甲方开通合同范围所约定软件管理账号及相应功能。</w:t>
      </w:r>
    </w:p>
    <w:p w14:paraId="67B56361">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乙方有义务保障甲方所购服务平台的稳定性。若由于乙方原因，导致功能异常、数据丢失或使用故障，乙方将在工作日两个小时之内响应，并积极推动问题，直至解决。</w:t>
      </w:r>
    </w:p>
    <w:p w14:paraId="5BF38EDB">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应当从组织结构和技术角度保护甲方的用户数据安全，并承诺不公开甲方的保密信息，除非甲方授权乙方透露这些信息，或者相应的法律程序要求乙方提供甲方的用户信息。对于甲方在使用乙方产品及服务过程中收集的最终用户个人信息，乙方为甲方在个人信息处理的过程中提供加密、去标识化等安全措施的技术支持。</w:t>
      </w:r>
      <w:r>
        <w:rPr>
          <w:rFonts w:hint="eastAsia" w:ascii="微软雅黑" w:hAnsi="微软雅黑" w:eastAsia="微软雅黑" w:cs="微软雅黑"/>
          <w:color w:val="000000"/>
          <w:szCs w:val="21"/>
          <w:lang w:val="en-US" w:eastAsia="zh-CN"/>
        </w:rPr>
        <w:t>未经甲方同意乙方禁止以各种形式使用甲方的用户信息，否则赔偿给甲方造成的全部损失。</w:t>
      </w:r>
    </w:p>
    <w:p w14:paraId="27F302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乙方不向其他任何第三方保证和承诺甲方提交的网页和信息符合注册标准，甲方自行对其网站提供的内容、产品、服务等承担全部责任。</w:t>
      </w:r>
    </w:p>
    <w:p w14:paraId="26CC3CF9">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乙方有权随时删除含有任何危害国家安全、淫秽色情、虚假、侮辱、诽谤、恐吓或骚扰、侵犯他人版权或人身权或其他合法权益等违法或有违社会公序良俗的内容或指向这些内容链接的网站。</w:t>
      </w:r>
    </w:p>
    <w:p w14:paraId="34BC40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乙方保留为维护系统而短暂停止服务的权利，在暂停服务之前，乙方将会通过网站及其他线上途径对甲方予以公告，乙方承诺短暂停止服务的时间不超过1个工作日。</w:t>
      </w:r>
    </w:p>
    <w:p w14:paraId="4E04BFC8">
      <w:pPr>
        <w:numPr>
          <w:ilvl w:val="0"/>
          <w:numId w:val="13"/>
        </w:numPr>
        <w:spacing w:before="156" w:beforeLines="50" w:after="156" w:afterLines="50" w:line="360" w:lineRule="exact"/>
        <w:jc w:val="left"/>
        <w:rPr>
          <w:rFonts w:hint="eastAsia" w:ascii="微软雅黑" w:hAnsi="微软雅黑" w:eastAsia="微软雅黑" w:cs="微软雅黑"/>
          <w:szCs w:val="21"/>
        </w:rPr>
      </w:pPr>
      <w:r>
        <w:rPr>
          <w:rFonts w:hint="eastAsia" w:ascii="微软雅黑" w:hAnsi="微软雅黑" w:eastAsia="微软雅黑" w:cs="微软雅黑"/>
          <w:szCs w:val="21"/>
        </w:rPr>
        <w:t>乙方仅作为软件平台服务提供方，不参与甲方的具体业务。甲方使用乙方软件平台直接或间接所产生的各项收益无需与乙方分享，同样乙方对甲方使用软件平台直接或间接所产生的各类损失也不承担任何责任。</w:t>
      </w:r>
    </w:p>
    <w:p w14:paraId="3CF56271">
      <w:pPr>
        <w:numPr>
          <w:ilvl w:val="0"/>
          <w:numId w:val="13"/>
        </w:numPr>
        <w:spacing w:before="156" w:beforeLines="50" w:after="156" w:afterLines="50" w:line="360" w:lineRule="exac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乙方为甲方处理其最终用户的个人信息提供技术支持并受甲方委托对相关个人信息进行加工、提供、传输、删除处理。乙方承诺，</w:t>
      </w:r>
      <w:r>
        <w:rPr>
          <w:rFonts w:hint="eastAsia" w:ascii="微软雅黑" w:hAnsi="微软雅黑" w:eastAsia="微软雅黑" w:cs="微软雅黑"/>
          <w:color w:val="000000"/>
          <w:szCs w:val="21"/>
          <w:lang w:eastAsia="zh-Hans"/>
        </w:rPr>
        <w:t>在处理最终用户个人信息的过程中应遵守《中华人民共和国个人信息保护法》及GB/T35273—2020《信息安全技术 个人信息安全规范》的规定，包括在处理个人信息的过程中采取加密、去标识化等安全措施；对个人生物识别信息与个人身份信息分开存储；根据甲方的要求及通知对相关个人信息进行删除；授权访问处理个人信息的人员遵循最小必要原则，对可访问人员范围及访问操作权限作相应限制；协助甲方就数据访问、维护的流程、权限完善内部控制制度；发现安全缺陷、漏洞时，及时采取补救措施。甲方亦可根据相关法律法规的规定，对乙方提出其他合规要求并给予乙方必要的合规支持。</w:t>
      </w:r>
    </w:p>
    <w:p w14:paraId="5124983E">
      <w:pPr>
        <w:numPr>
          <w:ilvl w:val="0"/>
          <w:numId w:val="13"/>
        </w:numPr>
        <w:spacing w:before="156" w:beforeLines="50" w:after="156" w:afterLines="50" w:line="360" w:lineRule="exact"/>
        <w:jc w:val="left"/>
        <w:rPr>
          <w:rFonts w:hint="eastAsia" w:ascii="微软雅黑" w:hAnsi="微软雅黑" w:eastAsia="微软雅黑" w:cs="微软雅黑"/>
          <w:color w:val="000000"/>
          <w:szCs w:val="21"/>
          <w:lang w:eastAsia="zh-Hans"/>
        </w:rPr>
      </w:pPr>
      <w:r>
        <w:rPr>
          <w:rFonts w:hint="eastAsia" w:ascii="微软雅黑" w:hAnsi="微软雅黑" w:eastAsia="微软雅黑" w:cs="微软雅黑"/>
          <w:b w:val="0"/>
          <w:bCs w:val="0"/>
          <w:color w:val="000000"/>
          <w:lang w:val="en-US" w:eastAsia="zh-CN"/>
        </w:rPr>
        <w:t>乙方应当保证其对提供的软件具有相应的知识产权，甲方作为善意且无过错的购买人，如果因知识产权等原因导致甲方赔偿的，乙方应当承担所有的赔偿责任及甲方的诉讼成本（包括但不限于诉讼费、保全费、律师费、诉责险费用等等）。</w:t>
      </w:r>
    </w:p>
    <w:p w14:paraId="39A3C01D">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免责条款</w:t>
      </w:r>
    </w:p>
    <w:p w14:paraId="2CCAFEC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乙方对因甲方自身原因引起的该许可平台被误用或被擅自修改、计算机设备故障、操作失误、病毒、网络、黑客入侵等情况造成的损失不负责任</w:t>
      </w:r>
      <w:r>
        <w:rPr>
          <w:rFonts w:hint="eastAsia" w:ascii="微软雅黑" w:hAnsi="微软雅黑" w:eastAsia="微软雅黑" w:cs="微软雅黑"/>
          <w:szCs w:val="21"/>
          <w:lang w:val="en-GB"/>
        </w:rPr>
        <w:t>。</w:t>
      </w:r>
    </w:p>
    <w:p w14:paraId="138B5A96">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乙方所提供的部分平台服务，需微信公众号的支持。如因微信公众号平台自身发生变动、或者</w:t>
      </w:r>
      <w:r>
        <w:rPr>
          <w:rFonts w:hint="eastAsia" w:ascii="微软雅黑" w:hAnsi="微软雅黑" w:eastAsia="微软雅黑" w:cs="微软雅黑"/>
          <w:szCs w:val="21"/>
          <w:lang w:val="en-US" w:eastAsia="zh-CN"/>
        </w:rPr>
        <w:t>非因乙方原因</w:t>
      </w:r>
      <w:r>
        <w:rPr>
          <w:rFonts w:hint="eastAsia" w:ascii="微软雅黑" w:hAnsi="微软雅黑" w:eastAsia="微软雅黑" w:cs="微软雅黑"/>
          <w:szCs w:val="21"/>
        </w:rPr>
        <w:t>导致的微信公众账号被封及其他协议双方不能预见、不能避免并不能克服的客观情况，导致本协议不能履行或不能完全履行时，乙方均不承担责任</w:t>
      </w:r>
      <w:r>
        <w:rPr>
          <w:rFonts w:hint="eastAsia" w:ascii="微软雅黑" w:hAnsi="微软雅黑" w:eastAsia="微软雅黑" w:cs="微软雅黑"/>
          <w:szCs w:val="21"/>
          <w:lang w:eastAsia="zh-CN"/>
        </w:rPr>
        <w:t>。</w:t>
      </w:r>
    </w:p>
    <w:p w14:paraId="23FE711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法律规定的不可抗力造成的无法正常履约，或不可抗力造成给对方的损失或损害。</w:t>
      </w:r>
    </w:p>
    <w:p w14:paraId="2096F9AF">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合同的解除和终止</w:t>
      </w:r>
    </w:p>
    <w:p w14:paraId="674870D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在服务</w:t>
      </w:r>
      <w:r>
        <w:rPr>
          <w:rFonts w:hint="eastAsia" w:ascii="微软雅黑" w:hAnsi="微软雅黑" w:eastAsia="微软雅黑" w:cs="微软雅黑"/>
          <w:szCs w:val="21"/>
          <w:lang w:val="en-GB"/>
        </w:rPr>
        <w:t>期限到期前1个月内，双方可以就终止或变更本服务合同向另一方发出书面通知，如截至服务期限到期之日双方均未书面通知另一方终止或变更服务合同，则本协议自动延期一年，以此类推。如甲方或乙方书面通知另一方终止本服务合同的，则</w:t>
      </w:r>
      <w:r>
        <w:rPr>
          <w:rFonts w:hint="eastAsia" w:ascii="微软雅黑" w:hAnsi="微软雅黑" w:eastAsia="微软雅黑" w:cs="微软雅黑"/>
          <w:color w:val="000000"/>
          <w:szCs w:val="21"/>
        </w:rPr>
        <w:t>双方的责任和义务履行完毕后本合同终止；如甲方或乙方书面通知另一方变更本服务合同的，则双方应另行协商签署补充协议或重新签署服务合同。</w:t>
      </w:r>
    </w:p>
    <w:p w14:paraId="55EF1A75">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甲方未依照本合同约定支付费用，乙方可暂停相关服务，逾期超过30日，乙方有权解除本合同。在甲方遵守本合同各项约定的前提下，乙方未依照本合同约定的期限开通账号时，每逾期一天，应按延迟交付的授权许可费的0.05%向甲方支付违约金。逾期超过30日，甲方有权解除本合同，乙方已收到的未达到服务标准的款项应退还甲方。</w:t>
      </w:r>
    </w:p>
    <w:p w14:paraId="591E057E">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乙任何一方不得无故单方面解除合同。合同其中一方根本性的或严重地违反本合同约定的主要义务，守约方应给予其不少于30日的合理期限，以便违约方纠正其违约行为。若违约方在前述期限内仍未纠正其违约行为，则守约方可以书面通知违约方解除合同，合同在书面通知到达违约方之日解除。若造成守约方损失的，违约方应向守约方进行赔偿。</w:t>
      </w:r>
    </w:p>
    <w:p w14:paraId="32333CA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当双方协议提前解除合同或合同到期终止时，乙方有权即时停止甲方账号、密码等一切服务。</w:t>
      </w:r>
    </w:p>
    <w:p w14:paraId="24606B04">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如果合同被终止，乙方可应甲方要求在合同终止后的30日之内，向甲方提供一个关于甲方专属数据信息的文件或获取甲方专属数据信息文件的方法。在合同终止90天后，乙方有权删除甲方的数据信息。</w:t>
      </w:r>
      <w:r>
        <w:rPr>
          <w:rFonts w:hint="eastAsia" w:ascii="微软雅黑" w:hAnsi="微软雅黑" w:eastAsia="微软雅黑" w:cs="微软雅黑"/>
          <w:szCs w:val="21"/>
          <w:lang w:val="en-US" w:eastAsia="zh-CN"/>
        </w:rPr>
        <w:t>乙方拒不提供的，应当按合同金额30%赔偿甲方。</w:t>
      </w:r>
    </w:p>
    <w:p w14:paraId="3EDF1DFC">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因不可抗力或者其他意外事件，使得服务条款的履行不可能、不必要或者无意义的，遭受不可抗力、意外事件的一方不承担责任。</w:t>
      </w:r>
    </w:p>
    <w:p w14:paraId="32A56890">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不可抗力、意外事件是指不能预见、不能克服并不能避免且对一方或双方当事人造成重大影响的客观事件，包括但不限于自然灾害如洪水、地震、瘟疫流行等以及社会事件如战争、动乱、政府行为、电信主干线路中断、黑客、网路堵塞、电信部门技术调整和政府管制、相关法律法规调整等。</w:t>
      </w:r>
    </w:p>
    <w:p w14:paraId="67176011">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color w:val="000000"/>
          <w:szCs w:val="21"/>
        </w:rPr>
      </w:pPr>
      <w:r>
        <w:rPr>
          <w:rFonts w:hint="eastAsia" w:ascii="微软雅黑" w:hAnsi="微软雅黑" w:eastAsia="微软雅黑" w:cs="微软雅黑"/>
          <w:b/>
          <w:szCs w:val="21"/>
        </w:rPr>
        <w:t>合同生效及其他</w:t>
      </w:r>
    </w:p>
    <w:p w14:paraId="321D9A2B">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本合同的订立、效力、履行和解释均受中华人民共和国法律的管辖。本合同约定的服务只限于在中国大陆境内（不含港澳台）使用。甲方如要将服务在前述区域之外使用必须取得乙方的书面同意。</w:t>
      </w:r>
    </w:p>
    <w:p w14:paraId="4B933AA5">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本合同自双方授权代表签字并加盖公章或合同专用章之日起成立并生效；本合同</w:t>
      </w:r>
      <w:r>
        <w:rPr>
          <w:rFonts w:hint="eastAsia" w:ascii="微软雅黑" w:hAnsi="微软雅黑" w:eastAsia="微软雅黑" w:cs="微软雅黑"/>
          <w:szCs w:val="21"/>
          <w:u w:val="single"/>
          <w:lang w:val="en-GB"/>
        </w:rPr>
        <w:t>壹式</w:t>
      </w:r>
      <w:r>
        <w:rPr>
          <w:rFonts w:hint="eastAsia" w:ascii="微软雅黑" w:hAnsi="微软雅黑" w:eastAsia="微软雅黑" w:cs="微软雅黑"/>
          <w:szCs w:val="21"/>
          <w:u w:val="single"/>
          <w:lang w:val="en-US" w:eastAsia="zh-CN"/>
        </w:rPr>
        <w:t>肆</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u w:val="single"/>
          <w:lang w:val="en-US" w:eastAsia="zh-CN"/>
        </w:rPr>
        <w:t>甲</w:t>
      </w:r>
      <w:r>
        <w:rPr>
          <w:rFonts w:hint="eastAsia" w:ascii="微软雅黑" w:hAnsi="微软雅黑" w:eastAsia="微软雅黑" w:cs="微软雅黑"/>
          <w:szCs w:val="21"/>
          <w:u w:val="single"/>
          <w:lang w:val="en-GB"/>
        </w:rPr>
        <w:t>方执</w:t>
      </w:r>
      <w:r>
        <w:rPr>
          <w:rFonts w:hint="eastAsia" w:ascii="微软雅黑" w:hAnsi="微软雅黑" w:eastAsia="微软雅黑" w:cs="微软雅黑"/>
          <w:szCs w:val="21"/>
          <w:u w:val="single"/>
          <w:lang w:val="en-US" w:eastAsia="zh-CN"/>
        </w:rPr>
        <w:t>叁</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lang w:val="en-GB"/>
        </w:rPr>
        <w:t>，</w:t>
      </w:r>
      <w:r>
        <w:rPr>
          <w:rFonts w:hint="eastAsia" w:ascii="微软雅黑" w:hAnsi="微软雅黑" w:eastAsia="微软雅黑" w:cs="微软雅黑"/>
          <w:szCs w:val="21"/>
          <w:u w:val="single"/>
          <w:lang w:val="en-US" w:eastAsia="zh-CN"/>
        </w:rPr>
        <w:t>乙方执壹份，</w:t>
      </w:r>
      <w:r>
        <w:rPr>
          <w:rFonts w:hint="eastAsia" w:ascii="微软雅黑" w:hAnsi="微软雅黑" w:eastAsia="微软雅黑" w:cs="微软雅黑"/>
          <w:szCs w:val="21"/>
          <w:lang w:val="en-GB"/>
        </w:rPr>
        <w:t>具有同等法律效力。</w:t>
      </w:r>
    </w:p>
    <w:p w14:paraId="3A04C08D">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承认并同意将本合同文本作为双方合同完整的和唯一的表述，以取代此前双方有关此项目内容的所有口头、书面、及其他通信方式中的表述。任何不在本合同书面约定条款范围内的口头承诺对甲乙双方不具备约束力</w:t>
      </w:r>
      <w:r>
        <w:rPr>
          <w:rFonts w:hint="eastAsia" w:ascii="微软雅黑" w:hAnsi="微软雅黑" w:eastAsia="微软雅黑" w:cs="微软雅黑"/>
          <w:szCs w:val="21"/>
          <w:lang w:val="en-GB" w:eastAsia="zh-CN"/>
        </w:rPr>
        <w:t>。</w:t>
      </w:r>
    </w:p>
    <w:p w14:paraId="530295E1">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对本合同进行的任何更改和补充，均应由双方授权代表签字并加盖公司公章或合同专用章方有效，所有更改、附件、补充协议将成为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2A66BB7F">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本合同所涉及的所有赔偿，双方的赔偿责任均为有限责任，最高赔偿金额不超过本合同实际履行金额。</w:t>
      </w:r>
    </w:p>
    <w:p w14:paraId="3BFB9517">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本合同涉及的价格约定(包括但不限于续费等)具有时效性的约定，其有效期为自签约之日起1年内有效。</w:t>
      </w:r>
    </w:p>
    <w:p w14:paraId="0EC00EE6">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基于双方属于长期合作的性质，双方合作期间，为保证各自无保留的投入优秀人员到合作项目的持续服务中，未经对方书面同意，任何一方不得聘用对方在职或离职不超过一年的员工，也不得变相假借第三名义实施此操作。</w:t>
      </w:r>
    </w:p>
    <w:p w14:paraId="111F4E00">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双方应本着互谅互解的原则，协商解决因本合同引起的或与本合同有关的任何争议；协商解决不成的，任何一方均有权向</w:t>
      </w:r>
      <w:r>
        <w:rPr>
          <w:rFonts w:hint="eastAsia" w:ascii="微软雅黑" w:hAnsi="微软雅黑" w:eastAsia="微软雅黑" w:cs="微软雅黑"/>
          <w:szCs w:val="21"/>
          <w:lang w:val="en-US" w:eastAsia="zh-CN"/>
        </w:rPr>
        <w:t>甲方</w:t>
      </w:r>
      <w:r>
        <w:rPr>
          <w:rFonts w:hint="eastAsia" w:ascii="微软雅黑" w:hAnsi="微软雅黑" w:eastAsia="微软雅黑" w:cs="微软雅黑"/>
          <w:szCs w:val="21"/>
          <w:lang w:val="en-GB"/>
        </w:rPr>
        <w:t>所在地法院起诉。</w:t>
      </w:r>
    </w:p>
    <w:p w14:paraId="611AF8B4">
      <w:pPr>
        <w:pStyle w:val="77"/>
        <w:widowControl w:val="0"/>
        <w:numPr>
          <w:ilvl w:val="0"/>
          <w:numId w:val="0"/>
        </w:numPr>
        <w:tabs>
          <w:tab w:val="left" w:pos="992"/>
        </w:tabs>
        <w:autoSpaceDE w:val="0"/>
        <w:autoSpaceDN w:val="0"/>
        <w:adjustRightInd w:val="0"/>
        <w:spacing w:before="156" w:beforeLines="50" w:after="156" w:afterLines="50" w:line="360" w:lineRule="exact"/>
        <w:jc w:val="left"/>
        <w:rPr>
          <w:rFonts w:hint="eastAsia" w:ascii="微软雅黑" w:hAnsi="微软雅黑" w:eastAsia="微软雅黑" w:cs="微软雅黑"/>
          <w:szCs w:val="21"/>
          <w:lang w:val="en-GB"/>
        </w:rPr>
      </w:pPr>
    </w:p>
    <w:p w14:paraId="716CB6B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759DDCB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57219A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3974B845">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7BD6C7C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D79126C">
      <w:pPr>
        <w:widowControl w:val="0"/>
        <w:spacing w:line="360" w:lineRule="auto"/>
        <w:ind w:firstLine="440"/>
        <w:rPr>
          <w:rFonts w:hint="eastAsia" w:ascii="微软雅黑" w:hAnsi="微软雅黑" w:eastAsia="微软雅黑" w:cs="微软雅黑"/>
          <w:b/>
          <w:sz w:val="22"/>
          <w:szCs w:val="22"/>
        </w:rPr>
      </w:pP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bookmarkStart w:id="49" w:name="_GoBack"/>
      <w:bookmarkEnd w:id="49"/>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eastAsiaTheme="minorEastAsia"/>
        <w:lang w:eastAsia="zh-CN"/>
      </w:rPr>
    </w:pPr>
    <w:r>
      <w:rPr>
        <w:rFonts w:hint="eastAsia"/>
        <w:lang w:eastAsia="zh-CN"/>
      </w:rPr>
      <w:t>合肥滨投文化创意发展有限公司</w:t>
    </w:r>
    <w:r>
      <w:rPr>
        <w:rFonts w:hint="eastAsia"/>
      </w:rPr>
      <w:t>-</w:t>
    </w:r>
    <w:r>
      <w:rPr>
        <w:rFonts w:hint="eastAsia"/>
        <w:lang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eastAsiaTheme="minorEastAsia"/>
        <w:lang w:eastAsia="zh-CN"/>
      </w:rPr>
    </w:pPr>
    <w:r>
      <w:rPr>
        <w:rFonts w:hint="eastAsia"/>
        <w:lang w:eastAsia="zh-CN"/>
      </w:rPr>
      <w:t>合肥滨投文化创意发展有限公司</w:t>
    </w:r>
    <w:r>
      <w:rPr>
        <w:rFonts w:hint="eastAsia"/>
      </w:rPr>
      <w:t>-</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519B"/>
    <w:multiLevelType w:val="singleLevel"/>
    <w:tmpl w:val="94E3519B"/>
    <w:lvl w:ilvl="0" w:tentative="0">
      <w:start w:val="5"/>
      <w:numFmt w:val="chineseCounting"/>
      <w:suff w:val="nothing"/>
      <w:lvlText w:val="%1、"/>
      <w:lvlJc w:val="left"/>
      <w:rPr>
        <w:rFonts w:hint="eastAsia"/>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B825DF89"/>
    <w:multiLevelType w:val="singleLevel"/>
    <w:tmpl w:val="B825DF89"/>
    <w:lvl w:ilvl="0" w:tentative="0">
      <w:start w:val="1"/>
      <w:numFmt w:val="decimal"/>
      <w:lvlText w:val="%1."/>
      <w:lvlJc w:val="left"/>
      <w:pPr>
        <w:ind w:left="425" w:hanging="425"/>
      </w:pPr>
      <w:rPr>
        <w:rFonts w:hint="default"/>
      </w:rPr>
    </w:lvl>
  </w:abstractNum>
  <w:abstractNum w:abstractNumId="3">
    <w:nsid w:val="F2135C52"/>
    <w:multiLevelType w:val="singleLevel"/>
    <w:tmpl w:val="F2135C52"/>
    <w:lvl w:ilvl="0" w:tentative="0">
      <w:start w:val="1"/>
      <w:numFmt w:val="decimal"/>
      <w:lvlText w:val="%1."/>
      <w:lvlJc w:val="left"/>
      <w:pPr>
        <w:ind w:left="425" w:hanging="425"/>
      </w:pPr>
      <w:rPr>
        <w:rFonts w:hint="default"/>
      </w:rPr>
    </w:lvl>
  </w:abstractNum>
  <w:abstractNum w:abstractNumId="4">
    <w:nsid w:val="00000006"/>
    <w:multiLevelType w:val="singleLevel"/>
    <w:tmpl w:val="00000006"/>
    <w:lvl w:ilvl="0" w:tentative="0">
      <w:start w:val="1"/>
      <w:numFmt w:val="decimal"/>
      <w:lvlText w:val="%1."/>
      <w:lvlJc w:val="left"/>
      <w:pPr>
        <w:ind w:left="1055" w:hanging="425"/>
      </w:pPr>
      <w:rPr>
        <w:rFonts w:hint="default"/>
      </w:rPr>
    </w:lvl>
  </w:abstractNum>
  <w:abstractNum w:abstractNumId="5">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6">
    <w:nsid w:val="167B220B"/>
    <w:multiLevelType w:val="multilevel"/>
    <w:tmpl w:val="167B220B"/>
    <w:lvl w:ilvl="0" w:tentative="0">
      <w:start w:val="1"/>
      <w:numFmt w:val="decimal"/>
      <w:lvlText w:val="1.%1"/>
      <w:lvlJc w:val="left"/>
      <w:pPr>
        <w:tabs>
          <w:tab w:val="left" w:pos="992"/>
        </w:tabs>
        <w:ind w:left="992" w:hanging="567"/>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68EFB3B"/>
    <w:multiLevelType w:val="singleLevel"/>
    <w:tmpl w:val="168EFB3B"/>
    <w:lvl w:ilvl="0" w:tentative="0">
      <w:start w:val="1"/>
      <w:numFmt w:val="chineseCounting"/>
      <w:suff w:val="space"/>
      <w:lvlText w:val="第%1章"/>
      <w:lvlJc w:val="left"/>
      <w:rPr>
        <w:rFonts w:hint="eastAsia"/>
      </w:rPr>
    </w:lvl>
  </w:abstractNum>
  <w:abstractNum w:abstractNumId="8">
    <w:nsid w:val="33835CC1"/>
    <w:multiLevelType w:val="multilevel"/>
    <w:tmpl w:val="33835CC1"/>
    <w:lvl w:ilvl="0" w:tentative="0">
      <w:start w:val="1"/>
      <w:numFmt w:val="decimal"/>
      <w:lvlText w:val="6.%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3F74871"/>
    <w:multiLevelType w:val="multilevel"/>
    <w:tmpl w:val="33F74871"/>
    <w:lvl w:ilvl="0" w:tentative="0">
      <w:start w:val="3"/>
      <w:numFmt w:val="decimal"/>
      <w:lvlText w:val="%1"/>
      <w:lvlJc w:val="left"/>
      <w:pPr>
        <w:ind w:left="375" w:hanging="375"/>
      </w:pPr>
      <w:rPr>
        <w:rFonts w:hint="default"/>
      </w:rPr>
    </w:lvl>
    <w:lvl w:ilvl="1" w:tentative="0">
      <w:start w:val="1"/>
      <w:numFmt w:val="decimal"/>
      <w:lvlText w:val="2.%2"/>
      <w:lvlJc w:val="left"/>
      <w:pPr>
        <w:tabs>
          <w:tab w:val="left" w:pos="992"/>
        </w:tabs>
        <w:ind w:left="992" w:hanging="566"/>
      </w:pPr>
      <w:rPr>
        <w:rFonts w:hint="eastAsia"/>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39C441BA"/>
    <w:multiLevelType w:val="multilevel"/>
    <w:tmpl w:val="39C441BA"/>
    <w:lvl w:ilvl="0" w:tentative="0">
      <w:start w:val="1"/>
      <w:numFmt w:val="decimal"/>
      <w:lvlText w:val="5.%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AD5A51"/>
    <w:multiLevelType w:val="multilevel"/>
    <w:tmpl w:val="41AD5A51"/>
    <w:lvl w:ilvl="0" w:tentative="0">
      <w:start w:val="1"/>
      <w:numFmt w:val="decimal"/>
      <w:lvlText w:val="4.%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4E6196B"/>
    <w:multiLevelType w:val="multilevel"/>
    <w:tmpl w:val="64E6196B"/>
    <w:lvl w:ilvl="0" w:tentative="0">
      <w:start w:val="1"/>
      <w:numFmt w:val="japaneseCounting"/>
      <w:lvlText w:val="第%1条"/>
      <w:lvlJc w:val="left"/>
      <w:pPr>
        <w:tabs>
          <w:tab w:val="left" w:pos="1161"/>
        </w:tabs>
        <w:ind w:left="1161" w:hanging="73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76F5673"/>
    <w:multiLevelType w:val="multilevel"/>
    <w:tmpl w:val="676F5673"/>
    <w:lvl w:ilvl="0" w:tentative="0">
      <w:start w:val="1"/>
      <w:numFmt w:val="decimal"/>
      <w:lvlText w:val="7.%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D2F5A"/>
    <w:multiLevelType w:val="multilevel"/>
    <w:tmpl w:val="72AD2F5A"/>
    <w:lvl w:ilvl="0" w:tentative="0">
      <w:start w:val="1"/>
      <w:numFmt w:val="decimal"/>
      <w:lvlText w:val="3.%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2"/>
  </w:num>
  <w:num w:numId="4">
    <w:abstractNumId w:val="0"/>
  </w:num>
  <w:num w:numId="5">
    <w:abstractNumId w:val="5"/>
  </w:num>
  <w:num w:numId="6">
    <w:abstractNumId w:val="4"/>
  </w:num>
  <w:num w:numId="7">
    <w:abstractNumId w:val="1"/>
  </w:num>
  <w:num w:numId="8">
    <w:abstractNumId w:val="3"/>
  </w:num>
  <w:num w:numId="9">
    <w:abstractNumId w:val="13"/>
  </w:num>
  <w:num w:numId="10">
    <w:abstractNumId w:val="6"/>
  </w:num>
  <w:num w:numId="11">
    <w:abstractNumId w:val="9"/>
  </w:num>
  <w:num w:numId="12">
    <w:abstractNumId w:val="15"/>
  </w:num>
  <w:num w:numId="13">
    <w:abstractNumId w:val="11"/>
  </w:num>
  <w:num w:numId="14">
    <w:abstractNumId w:val="1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2ABC"/>
    <w:rsid w:val="00F75BE8"/>
    <w:rsid w:val="00F8325C"/>
    <w:rsid w:val="00FA3068"/>
    <w:rsid w:val="00FB2E99"/>
    <w:rsid w:val="00FB59A2"/>
    <w:rsid w:val="00FC031C"/>
    <w:rsid w:val="00FC1A9F"/>
    <w:rsid w:val="00FC51A0"/>
    <w:rsid w:val="00FD279F"/>
    <w:rsid w:val="00FD67D1"/>
    <w:rsid w:val="00FF54BE"/>
    <w:rsid w:val="017B7436"/>
    <w:rsid w:val="02F30758"/>
    <w:rsid w:val="03A81E16"/>
    <w:rsid w:val="04846602"/>
    <w:rsid w:val="06677B55"/>
    <w:rsid w:val="0AD7450A"/>
    <w:rsid w:val="0B4D5B5D"/>
    <w:rsid w:val="0CA82AC4"/>
    <w:rsid w:val="0CB97065"/>
    <w:rsid w:val="0CCC783D"/>
    <w:rsid w:val="0DBB1446"/>
    <w:rsid w:val="0E4B63E2"/>
    <w:rsid w:val="0E835DB0"/>
    <w:rsid w:val="0FA06742"/>
    <w:rsid w:val="0FF938A4"/>
    <w:rsid w:val="10AE6120"/>
    <w:rsid w:val="10DC4D6D"/>
    <w:rsid w:val="11437FDD"/>
    <w:rsid w:val="11BF74BA"/>
    <w:rsid w:val="13801830"/>
    <w:rsid w:val="14135500"/>
    <w:rsid w:val="145324C0"/>
    <w:rsid w:val="148B75BC"/>
    <w:rsid w:val="17283918"/>
    <w:rsid w:val="178F4411"/>
    <w:rsid w:val="19AF06A3"/>
    <w:rsid w:val="1BB03DF0"/>
    <w:rsid w:val="1C0E2142"/>
    <w:rsid w:val="1DB326ED"/>
    <w:rsid w:val="1E027E59"/>
    <w:rsid w:val="1E2307E2"/>
    <w:rsid w:val="1EDA5344"/>
    <w:rsid w:val="20A26995"/>
    <w:rsid w:val="216D64F7"/>
    <w:rsid w:val="22936046"/>
    <w:rsid w:val="233F732B"/>
    <w:rsid w:val="23754E06"/>
    <w:rsid w:val="23E86965"/>
    <w:rsid w:val="24183AA4"/>
    <w:rsid w:val="24294678"/>
    <w:rsid w:val="26DA0EF9"/>
    <w:rsid w:val="27756BD0"/>
    <w:rsid w:val="29351A27"/>
    <w:rsid w:val="2B8101D0"/>
    <w:rsid w:val="2BD63337"/>
    <w:rsid w:val="2C7F154B"/>
    <w:rsid w:val="2D7A4752"/>
    <w:rsid w:val="2E670113"/>
    <w:rsid w:val="2F565974"/>
    <w:rsid w:val="328048CA"/>
    <w:rsid w:val="340C668B"/>
    <w:rsid w:val="34841DF8"/>
    <w:rsid w:val="34E55CBD"/>
    <w:rsid w:val="35185979"/>
    <w:rsid w:val="35B72ADD"/>
    <w:rsid w:val="35D92DDF"/>
    <w:rsid w:val="362679F2"/>
    <w:rsid w:val="364D1A66"/>
    <w:rsid w:val="366C4B34"/>
    <w:rsid w:val="36C6190C"/>
    <w:rsid w:val="38B05B5E"/>
    <w:rsid w:val="390E601C"/>
    <w:rsid w:val="3951646F"/>
    <w:rsid w:val="39CB4418"/>
    <w:rsid w:val="3D2F3C4D"/>
    <w:rsid w:val="3D515CC1"/>
    <w:rsid w:val="3DD26770"/>
    <w:rsid w:val="3EAA2AF7"/>
    <w:rsid w:val="41280C70"/>
    <w:rsid w:val="413F40CA"/>
    <w:rsid w:val="41D06605"/>
    <w:rsid w:val="42825B5F"/>
    <w:rsid w:val="42DA7A6B"/>
    <w:rsid w:val="42FD72C9"/>
    <w:rsid w:val="44363A36"/>
    <w:rsid w:val="44380293"/>
    <w:rsid w:val="44FF48D5"/>
    <w:rsid w:val="463D43E9"/>
    <w:rsid w:val="47344AD0"/>
    <w:rsid w:val="47C32A20"/>
    <w:rsid w:val="48D27575"/>
    <w:rsid w:val="49AF59EA"/>
    <w:rsid w:val="4B4038E1"/>
    <w:rsid w:val="4C573B2F"/>
    <w:rsid w:val="4CB05149"/>
    <w:rsid w:val="4D061577"/>
    <w:rsid w:val="4EEB299E"/>
    <w:rsid w:val="4F8537C2"/>
    <w:rsid w:val="4FC610F0"/>
    <w:rsid w:val="508C0B11"/>
    <w:rsid w:val="513220D6"/>
    <w:rsid w:val="514E2DFA"/>
    <w:rsid w:val="52121074"/>
    <w:rsid w:val="52457E67"/>
    <w:rsid w:val="52A32E2E"/>
    <w:rsid w:val="54F71AA5"/>
    <w:rsid w:val="55A726C6"/>
    <w:rsid w:val="55BC0494"/>
    <w:rsid w:val="56312E1F"/>
    <w:rsid w:val="56710779"/>
    <w:rsid w:val="56BA279D"/>
    <w:rsid w:val="571275F0"/>
    <w:rsid w:val="571961BE"/>
    <w:rsid w:val="57E131EF"/>
    <w:rsid w:val="5A292701"/>
    <w:rsid w:val="5A64617C"/>
    <w:rsid w:val="5DDA2B31"/>
    <w:rsid w:val="5EC20B10"/>
    <w:rsid w:val="60256EF4"/>
    <w:rsid w:val="665222AE"/>
    <w:rsid w:val="698931BC"/>
    <w:rsid w:val="69A668E3"/>
    <w:rsid w:val="6A3168BA"/>
    <w:rsid w:val="6B7F31B3"/>
    <w:rsid w:val="6DDB2AEC"/>
    <w:rsid w:val="6F2179F2"/>
    <w:rsid w:val="70660DD2"/>
    <w:rsid w:val="71056437"/>
    <w:rsid w:val="736336EB"/>
    <w:rsid w:val="7401172F"/>
    <w:rsid w:val="75F0011F"/>
    <w:rsid w:val="79D1077D"/>
    <w:rsid w:val="7AC61E33"/>
    <w:rsid w:val="7B7C2003"/>
    <w:rsid w:val="7C041228"/>
    <w:rsid w:val="7C1C7002"/>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 w:type="paragraph" w:customStyle="1" w:styleId="77">
    <w:name w:val="彩色列表 - 强调文字颜色 11"/>
    <w:basedOn w:val="1"/>
    <w:qFormat/>
    <w:uiPriority w:val="34"/>
    <w:pPr>
      <w:ind w:firstLine="420" w:firstLineChars="200"/>
    </w:pPr>
  </w:style>
  <w:style w:type="paragraph" w:customStyle="1" w:styleId="78">
    <w:name w:val="Table Text"/>
    <w:basedOn w:val="1"/>
    <w:qFormat/>
    <w:uiPriority w:val="0"/>
    <w:rPr>
      <w:rFonts w:ascii="宋体" w:hAnsi="宋体" w:eastAsia="宋体" w:cs="宋体"/>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5285</Words>
  <Characters>5527</Characters>
  <Lines>142</Lines>
  <Paragraphs>97</Paragraphs>
  <TotalTime>33</TotalTime>
  <ScaleCrop>false</ScaleCrop>
  <LinksUpToDate>false</LinksUpToDate>
  <CharactersWithSpaces>6096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 劳瑞</cp:lastModifiedBy>
  <cp:lastPrinted>2026-06-26T02:22:00Z</cp:lastPrinted>
  <dcterms:modified xsi:type="dcterms:W3CDTF">2026-06-26T08:35:37Z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C210FAB31D4447849B9C6D5DD539FDA6_13</vt:lpwstr>
  </property>
  <property fmtid="{D5CDD505-2E9C-101B-9397-08002B2CF9AE}" pid="4" name="KSOTemplateDocerSaveRecord">
    <vt:lpwstr>eyJoZGlkIjoiMzMxYzgzYmZkNzhhZTFhZmMxMzBjYjBjNTI0NzhiOTIiLCJ1c2VySWQiOiI1NTg4NjAxMzAifQ==</vt:lpwstr>
  </property>
</Properties>
</file>