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245092759"/>
          <w:bookmarkStart w:id="1" w:name="_Toc328559326"/>
          <w:bookmarkStart w:id="2" w:name="_Toc273602339"/>
          <w:r>
            <w:rPr>
              <w:rFonts w:hint="eastAsia" w:ascii="微软雅黑" w:hAnsi="微软雅黑" w:eastAsia="微软雅黑" w:cs="微软雅黑"/>
              <w:b/>
              <w:bCs/>
              <w:sz w:val="56"/>
              <w:szCs w:val="56"/>
              <w:highlight w:val="none"/>
              <w:lang w:val="en-US" w:eastAsia="zh-CN"/>
            </w:rPr>
            <w:t>嘉玺、金宁府项目户模制作与安装服务</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七</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嘉玺、金宁府项目户模制作与安装服务</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3"/>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项目名称：嘉玺、金宁府项目户模制作与安装服务；</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（自2023年1月1日起，与至少2家不同开发商分别签订的沙盘制作等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业务合同，且每份合同金额不低于3万元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业绩证明（自2023年1月1日起，与至少2家不同开发商分别签订的沙盘制作等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业务合同，且每份合同金额不低于3万元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bookmarkStart w:id="31" w:name="_GoBack"/>
      <w:bookmarkEnd w:id="31"/>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6"/>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17时15分</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2397"/>
      <w:bookmarkStart w:id="7" w:name="_Toc273602342"/>
      <w:bookmarkStart w:id="8" w:name="_Toc245092762"/>
      <w:bookmarkStart w:id="9" w:name="_Toc39733479"/>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3"/>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嘉玺、金宁府项目户模制作与安装服务</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73602352"/>
      <w:bookmarkStart w:id="12" w:name="_Toc245714170"/>
      <w:bookmarkStart w:id="13" w:name="_Toc245028818"/>
      <w:bookmarkStart w:id="14" w:name="_Toc39733482"/>
      <w:bookmarkStart w:id="15"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5"/>
        <w:spacing w:line="360" w:lineRule="auto"/>
        <w:rPr>
          <w:rFonts w:hint="eastAsia" w:ascii="微软雅黑" w:hAnsi="微软雅黑" w:eastAsia="微软雅黑" w:cs="微软雅黑"/>
          <w:b/>
          <w:sz w:val="21"/>
          <w:szCs w:val="21"/>
          <w:highlight w:val="none"/>
        </w:rPr>
      </w:pPr>
      <w:bookmarkStart w:id="16" w:name="_Toc245714173"/>
      <w:bookmarkStart w:id="17" w:name="_Toc20758"/>
      <w:bookmarkStart w:id="18" w:name="_Toc39733483"/>
      <w:bookmarkStart w:id="19" w:name="_Toc273602355"/>
      <w:r>
        <w:rPr>
          <w:rFonts w:hint="eastAsia" w:ascii="微软雅黑" w:hAnsi="微软雅黑" w:eastAsia="微软雅黑" w:cs="微软雅黑"/>
          <w:b/>
          <w:sz w:val="21"/>
          <w:szCs w:val="21"/>
          <w:highlight w:val="none"/>
        </w:rPr>
        <w:t>附件一：</w:t>
      </w:r>
    </w:p>
    <w:p w14:paraId="7CB830BA">
      <w:pPr>
        <w:pStyle w:val="5"/>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20"/>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4"/>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val="zh-CN"/>
        </w:rPr>
        <w:t>嘉玺、金宁府项目户模制作与安装服务</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5"/>
        <w:spacing w:line="360" w:lineRule="auto"/>
        <w:jc w:val="both"/>
        <w:rPr>
          <w:rFonts w:hint="eastAsia" w:ascii="微软雅黑" w:hAnsi="微软雅黑" w:eastAsia="微软雅黑" w:cs="微软雅黑"/>
          <w:sz w:val="22"/>
          <w:szCs w:val="22"/>
          <w:highlight w:val="none"/>
        </w:rPr>
      </w:pPr>
      <w:bookmarkStart w:id="20" w:name="_Toc273602356"/>
      <w:bookmarkStart w:id="21" w:name="_Toc245714174"/>
      <w:bookmarkStart w:id="22" w:name="_Toc10239"/>
      <w:bookmarkStart w:id="23" w:name="_Toc39733484"/>
      <w:bookmarkStart w:id="24" w:name="_Toc232592019"/>
      <w:bookmarkStart w:id="25" w:name="_Toc220232394"/>
      <w:r>
        <w:rPr>
          <w:rFonts w:hint="eastAsia" w:ascii="微软雅黑" w:hAnsi="微软雅黑" w:eastAsia="微软雅黑" w:cs="微软雅黑"/>
          <w:b/>
          <w:sz w:val="22"/>
          <w:szCs w:val="22"/>
          <w:highlight w:val="none"/>
        </w:rPr>
        <w:t>附件二：</w:t>
      </w:r>
    </w:p>
    <w:p w14:paraId="5AA6625E">
      <w:pPr>
        <w:pStyle w:val="5"/>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9"/>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嘉玺、金宁府项目户模制作与安装服务</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9"/>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9"/>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9"/>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9"/>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9"/>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嘉玺、金宁府项目户模制作与安装服务</w:t>
      </w:r>
      <w:r>
        <w:rPr>
          <w:rFonts w:hint="eastAsia" w:ascii="微软雅黑" w:hAnsi="微软雅黑" w:eastAsia="微软雅黑" w:cs="微软雅黑"/>
          <w:highlight w:val="none"/>
        </w:rPr>
        <w:t>”的投标活动。我公司郑重承诺如下：</w:t>
      </w:r>
    </w:p>
    <w:p w14:paraId="52DDEC9F">
      <w:pPr>
        <w:pStyle w:val="19"/>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9"/>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9"/>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9"/>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9"/>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9"/>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9"/>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w:t>
      </w:r>
      <w:r>
        <w:rPr>
          <w:rFonts w:hint="eastAsia" w:ascii="微软雅黑" w:hAnsi="微软雅黑" w:eastAsia="微软雅黑" w:cs="微软雅黑"/>
          <w:kern w:val="2"/>
          <w:szCs w:val="21"/>
          <w:highlight w:val="none"/>
          <w:lang w:val="en-US" w:eastAsia="zh-CN"/>
        </w:rPr>
        <w:t>2</w:t>
      </w:r>
      <w:r>
        <w:rPr>
          <w:rFonts w:hint="eastAsia" w:ascii="微软雅黑" w:hAnsi="微软雅黑" w:eastAsia="微软雅黑" w:cs="微软雅黑"/>
          <w:kern w:val="2"/>
          <w:szCs w:val="21"/>
          <w:highlight w:val="none"/>
        </w:rPr>
        <w:t>家不同开发商分别签订的</w:t>
      </w:r>
      <w:r>
        <w:rPr>
          <w:rFonts w:hint="eastAsia" w:ascii="微软雅黑" w:hAnsi="微软雅黑" w:eastAsia="微软雅黑" w:cs="微软雅黑"/>
          <w:kern w:val="2"/>
          <w:szCs w:val="21"/>
          <w:highlight w:val="none"/>
          <w:lang w:val="en-US" w:eastAsia="zh-CN"/>
        </w:rPr>
        <w:t>沙盘制作</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3</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keepNext w:val="0"/>
        <w:keepLines w:val="0"/>
        <w:pageBreakBefore w:val="0"/>
        <w:widowControl/>
        <w:kinsoku/>
        <w:wordWrap/>
        <w:overflowPunct/>
        <w:topLinePunct w:val="0"/>
        <w:autoSpaceDE/>
        <w:autoSpaceDN/>
        <w:bidi w:val="0"/>
        <w:adjustRightInd/>
        <w:spacing w:line="312" w:lineRule="auto"/>
        <w:textAlignment w:val="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keepNext w:val="0"/>
        <w:keepLines w:val="0"/>
        <w:pageBreakBefore w:val="0"/>
        <w:widowControl/>
        <w:kinsoku/>
        <w:wordWrap/>
        <w:overflowPunct/>
        <w:topLinePunct w:val="0"/>
        <w:autoSpaceDE/>
        <w:autoSpaceDN/>
        <w:bidi w:val="0"/>
        <w:adjustRightInd/>
        <w:spacing w:line="312" w:lineRule="auto"/>
        <w:jc w:val="center"/>
        <w:textAlignment w:val="auto"/>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line="312" w:lineRule="auto"/>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嘉玺、金宁府项目户模制作与安装服务</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沙盘户模制作与深化设计：</w:t>
      </w:r>
      <w:r>
        <w:rPr>
          <w:rFonts w:hint="eastAsia" w:ascii="微软雅黑" w:hAnsi="微软雅黑" w:eastAsia="微软雅黑" w:cs="微软雅黑"/>
          <w:sz w:val="24"/>
          <w:szCs w:val="24"/>
          <w:lang w:val="en-US" w:eastAsia="zh-CN"/>
        </w:rPr>
        <w:t>乙方需严格按照本项目招标文件及相关技术规范要求，完成沙盘及户模的图纸深化设计、材料选型与制作工作。制作前须向甲方提交完整的制作方案（含材质说明、尺寸标注、灯光效果、工艺细节等），经甲方书面确认后方可投入生产。</w:t>
      </w:r>
    </w:p>
    <w:p w14:paraId="502398A5">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样品制作与确认：</w:t>
      </w:r>
      <w:r>
        <w:rPr>
          <w:rFonts w:hint="eastAsia" w:ascii="微软雅黑" w:hAnsi="微软雅黑" w:eastAsia="微软雅黑" w:cs="微软雅黑"/>
          <w:sz w:val="24"/>
          <w:szCs w:val="24"/>
          <w:lang w:val="en-US" w:eastAsia="zh-CN"/>
        </w:rPr>
        <w:t>乙方在批量制作前，需先制作一套标准户型模型（含对应沙盘局部样板）作为封样样品，提交甲方进行材质、色彩、比例、灯光色温等质量验收。样品经甲方验收合格并签字封样后，乙方方可开展全部模型的批量制作。</w:t>
      </w:r>
    </w:p>
    <w:p w14:paraId="6A621FF9">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安装调试与现场配合：</w:t>
      </w:r>
      <w:r>
        <w:rPr>
          <w:rFonts w:hint="eastAsia" w:ascii="微软雅黑" w:hAnsi="微软雅黑" w:eastAsia="微软雅黑" w:cs="微软雅黑"/>
          <w:sz w:val="24"/>
          <w:szCs w:val="24"/>
          <w:lang w:val="en-US" w:eastAsia="zh-CN"/>
        </w:rPr>
        <w:t>乙方需安排不少于2名专业技术人员在约定时间内完成沙盘及户模的现场安装、灯光调试及系统联调工作，确保模型运行稳定、展示效果达标。安装期间须服从甲方现场管理，做好成品保护及安全文明施工。</w:t>
      </w:r>
    </w:p>
    <w:p w14:paraId="4F2806EB">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最终效果验收：</w:t>
      </w:r>
      <w:r>
        <w:rPr>
          <w:rFonts w:hint="eastAsia" w:ascii="微软雅黑" w:hAnsi="微软雅黑" w:eastAsia="微软雅黑" w:cs="微软雅黑"/>
          <w:sz w:val="24"/>
          <w:szCs w:val="24"/>
          <w:lang w:val="en-US" w:eastAsia="zh-CN"/>
        </w:rPr>
        <w:t>沙盘户模全部安装调试完毕后，乙方须向甲方提交整体实景照片及灯光演示视频。甲方将对照招标文件、确认的深化图纸及封样样品进行逐项验收，验收不合格部分乙方需无条件整改直至符合甲方要求。</w:t>
      </w:r>
    </w:p>
    <w:p w14:paraId="1CE27D1F">
      <w:pPr>
        <w:pStyle w:val="19"/>
        <w:keepNext w:val="0"/>
        <w:keepLines w:val="0"/>
        <w:pageBreakBefore w:val="0"/>
        <w:widowControl/>
        <w:numPr>
          <w:ilvl w:val="0"/>
          <w:numId w:val="6"/>
        </w:numPr>
        <w:kinsoku/>
        <w:wordWrap/>
        <w:overflowPunct/>
        <w:topLinePunct w:val="0"/>
        <w:autoSpaceDE/>
        <w:autoSpaceDN/>
        <w:bidi w:val="0"/>
        <w:adjustRightInd/>
        <w:snapToGrid w:val="0"/>
        <w:spacing w:after="0" w:line="312"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交付资料与售后保障：</w:t>
      </w:r>
      <w:r>
        <w:rPr>
          <w:rFonts w:hint="eastAsia" w:ascii="微软雅黑" w:hAnsi="微软雅黑" w:eastAsia="微软雅黑" w:cs="微软雅黑"/>
          <w:sz w:val="24"/>
          <w:szCs w:val="24"/>
          <w:lang w:val="en-US" w:eastAsia="zh-CN"/>
        </w:rPr>
        <w:t>项目验收通过后，乙方需向甲方交付沙盘户模的完整竣工资料（含模型结构图、电路布线图、灯光控制系统说明、维护保养手册等），并提供不少于12个月的免费质保服务，质保期内接到甲方维修通知后须在48小时内到场处理。</w:t>
      </w:r>
    </w:p>
    <w:p w14:paraId="654989FE">
      <w:pPr>
        <w:pStyle w:val="19"/>
        <w:keepNext w:val="0"/>
        <w:keepLines w:val="0"/>
        <w:pageBreakBefore w:val="0"/>
        <w:widowControl/>
        <w:kinsoku/>
        <w:wordWrap/>
        <w:overflowPunct/>
        <w:topLinePunct w:val="0"/>
        <w:autoSpaceDE/>
        <w:autoSpaceDN/>
        <w:bidi w:val="0"/>
        <w:adjustRightInd/>
        <w:snapToGrid w:val="0"/>
        <w:spacing w:after="0" w:line="312"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
              <w:bCs/>
              <w:sz w:val="56"/>
              <w:szCs w:val="56"/>
              <w:highlight w:val="none"/>
              <w:lang w:val="en-US" w:eastAsia="zh-CN"/>
            </w:rPr>
            <w:t>嘉玺、金宁府项目户模制作与安装服务</w:t>
          </w: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3602363"/>
          <w:bookmarkStart w:id="28" w:name="_Toc270410845"/>
          <w:bookmarkStart w:id="29" w:name="_Toc328559344"/>
          <w:bookmarkStart w:id="30" w:name="_Toc24089830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2FBD1BF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2E25367E">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嘉玺、金宁府项目户模制作与安装服务</w:t>
      </w:r>
      <w:r>
        <w:rPr>
          <w:rFonts w:hint="eastAsia" w:ascii="微软雅黑" w:hAnsi="微软雅黑" w:eastAsia="微软雅黑" w:cs="微软雅黑"/>
          <w:b/>
          <w:bCs/>
          <w:kern w:val="2"/>
          <w:sz w:val="32"/>
          <w:szCs w:val="32"/>
          <w14:ligatures w14:val="none"/>
        </w:rPr>
        <w:t>合同</w:t>
      </w:r>
    </w:p>
    <w:p w14:paraId="636683A4">
      <w:pPr>
        <w:shd w:val="clear" w:color="auto" w:fill="auto"/>
        <w:rPr>
          <w:rFonts w:hint="eastAsia" w:ascii="宋体" w:hAnsi="宋体" w:eastAsia="宋体" w:cs="宋体"/>
          <w:sz w:val="24"/>
          <w:szCs w:val="32"/>
        </w:rPr>
      </w:pPr>
    </w:p>
    <w:p w14:paraId="684FD556">
      <w:pPr>
        <w:shd w:val="clear" w:color="auto" w:fill="auto"/>
        <w:rPr>
          <w:rFonts w:hint="eastAsia" w:ascii="宋体" w:hAnsi="宋体" w:eastAsia="宋体" w:cs="宋体"/>
          <w:b/>
          <w:bCs/>
          <w:sz w:val="24"/>
          <w:szCs w:val="32"/>
        </w:rPr>
      </w:pPr>
      <w:r>
        <w:rPr>
          <w:rFonts w:hint="eastAsia" w:ascii="宋体" w:hAnsi="宋体" w:eastAsia="宋体" w:cs="宋体"/>
          <w:b/>
          <w:bCs/>
          <w:sz w:val="24"/>
          <w:szCs w:val="32"/>
        </w:rPr>
        <w:t>甲方（委托方）： 合肥市包河区城市更新建设有限公司</w:t>
      </w:r>
    </w:p>
    <w:p w14:paraId="5CE05140">
      <w:pPr>
        <w:shd w:val="clear" w:color="auto" w:fill="auto"/>
        <w:rPr>
          <w:rFonts w:hint="eastAsia" w:ascii="宋体" w:hAnsi="宋体" w:eastAsia="宋体" w:cs="宋体"/>
          <w:sz w:val="24"/>
          <w:szCs w:val="32"/>
        </w:rPr>
      </w:pPr>
    </w:p>
    <w:p w14:paraId="1DF0775B">
      <w:pPr>
        <w:shd w:val="clear" w:color="auto" w:fill="auto"/>
        <w:rPr>
          <w:rFonts w:hint="eastAsia" w:ascii="宋体" w:hAnsi="宋体" w:eastAsia="宋体" w:cs="宋体"/>
          <w:b/>
          <w:bCs/>
          <w:sz w:val="24"/>
          <w:szCs w:val="32"/>
        </w:rPr>
      </w:pPr>
      <w:r>
        <w:rPr>
          <w:rFonts w:hint="eastAsia" w:ascii="宋体" w:hAnsi="宋体" w:eastAsia="宋体" w:cs="宋体"/>
          <w:b/>
          <w:bCs/>
          <w:sz w:val="24"/>
          <w:szCs w:val="32"/>
        </w:rPr>
        <w:t xml:space="preserve">乙方（受托方）： </w:t>
      </w:r>
    </w:p>
    <w:p w14:paraId="0714543B">
      <w:pPr>
        <w:shd w:val="clear" w:color="auto" w:fill="auto"/>
        <w:rPr>
          <w:rFonts w:hint="eastAsia" w:ascii="宋体" w:hAnsi="宋体" w:eastAsia="宋体" w:cs="宋体"/>
          <w:sz w:val="24"/>
          <w:szCs w:val="32"/>
        </w:rPr>
      </w:pPr>
    </w:p>
    <w:p w14:paraId="0BF019E5">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为保证模型设计服务任务的顺利完成，甲乙双方根据《中华人民共和国合同法》条款，本着平等互利，经甲、乙双方协商一致，等价有偿之原则，签订以下合同条款。</w:t>
      </w:r>
    </w:p>
    <w:p w14:paraId="104064EB">
      <w:pPr>
        <w:numPr>
          <w:ilvl w:val="0"/>
          <w:numId w:val="7"/>
        </w:num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模型名称：</w:t>
      </w:r>
    </w:p>
    <w:p w14:paraId="75EF08F5">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嘉玺、金宁府项目户模制作与安装。</w:t>
      </w:r>
    </w:p>
    <w:p w14:paraId="369C1E02">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二、项目整体沙盘、户型模型内容与说明：</w:t>
      </w:r>
    </w:p>
    <w:p w14:paraId="526054CF">
      <w:pPr>
        <w:pStyle w:val="2"/>
        <w:shd w:val="clear" w:color="auto" w:fill="auto"/>
        <w:ind w:firstLine="720" w:firstLineChars="300"/>
        <w:rPr>
          <w:rFonts w:hint="default" w:ascii="宋体" w:hAnsi="宋体" w:eastAsia="宋体" w:cs="宋体"/>
          <w:sz w:val="24"/>
          <w:szCs w:val="32"/>
          <w:lang w:val="en-US" w:eastAsia="zh-CN" w:bidi="ar-SA"/>
        </w:rPr>
      </w:pPr>
      <w:r>
        <w:rPr>
          <w:rFonts w:hint="eastAsia" w:ascii="宋体" w:hAnsi="宋体" w:eastAsia="宋体" w:cs="宋体"/>
          <w:sz w:val="24"/>
          <w:szCs w:val="32"/>
          <w:lang w:val="en-US" w:eastAsia="zh-CN" w:bidi="ar-SA"/>
        </w:rPr>
        <w:t>见附件</w:t>
      </w:r>
    </w:p>
    <w:p w14:paraId="3F2B18C9">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三、工期及进度：</w:t>
      </w:r>
    </w:p>
    <w:p w14:paraId="0D954952">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1、户模工期：</w:t>
      </w:r>
    </w:p>
    <w:p w14:paraId="6653D0D2">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户模工期为</w:t>
      </w:r>
      <w:r>
        <w:rPr>
          <w:rFonts w:hint="eastAsia" w:ascii="宋体" w:hAnsi="宋体" w:eastAsia="宋体" w:cs="宋体"/>
          <w:sz w:val="24"/>
          <w:szCs w:val="32"/>
          <w:u w:val="single"/>
          <w:lang w:val="en-US" w:eastAsia="zh-CN"/>
        </w:rPr>
        <w:t>30</w:t>
      </w:r>
      <w:r>
        <w:rPr>
          <w:rFonts w:hint="eastAsia" w:ascii="宋体" w:hAnsi="宋体" w:eastAsia="宋体" w:cs="宋体"/>
          <w:sz w:val="24"/>
          <w:szCs w:val="32"/>
        </w:rPr>
        <w:t>个工作日，从签订合同并由甲方提供完整、准确的图纸资料第二天起，往后推算</w:t>
      </w:r>
      <w:r>
        <w:rPr>
          <w:rFonts w:hint="eastAsia" w:ascii="宋体" w:hAnsi="宋体" w:eastAsia="宋体" w:cs="宋体"/>
          <w:sz w:val="24"/>
          <w:szCs w:val="32"/>
          <w:u w:val="single"/>
          <w:lang w:val="en-US" w:eastAsia="zh-CN"/>
        </w:rPr>
        <w:t>30</w:t>
      </w:r>
      <w:r>
        <w:rPr>
          <w:rFonts w:hint="eastAsia" w:ascii="宋体" w:hAnsi="宋体" w:eastAsia="宋体" w:cs="宋体"/>
          <w:sz w:val="24"/>
          <w:szCs w:val="32"/>
        </w:rPr>
        <w:t>天即为乙方交货日期，交货日期为</w:t>
      </w:r>
      <w:r>
        <w:rPr>
          <w:rFonts w:hint="eastAsia" w:ascii="宋体" w:hAnsi="宋体" w:eastAsia="宋体" w:cs="宋体"/>
          <w:sz w:val="24"/>
          <w:szCs w:val="32"/>
          <w:u w:val="single"/>
        </w:rPr>
        <w:t xml:space="preserve">     </w:t>
      </w:r>
      <w:r>
        <w:rPr>
          <w:rFonts w:hint="eastAsia" w:ascii="宋体" w:hAnsi="宋体" w:eastAsia="宋体" w:cs="宋体"/>
          <w:sz w:val="24"/>
          <w:szCs w:val="32"/>
        </w:rPr>
        <w:t>年</w:t>
      </w:r>
      <w:r>
        <w:rPr>
          <w:rFonts w:hint="eastAsia" w:ascii="宋体" w:hAnsi="宋体" w:eastAsia="宋体" w:cs="宋体"/>
          <w:sz w:val="24"/>
          <w:szCs w:val="32"/>
          <w:u w:val="single"/>
        </w:rPr>
        <w:t xml:space="preserve">      </w:t>
      </w:r>
      <w:r>
        <w:rPr>
          <w:rFonts w:hint="eastAsia" w:ascii="宋体" w:hAnsi="宋体" w:eastAsia="宋体" w:cs="宋体"/>
          <w:sz w:val="24"/>
          <w:szCs w:val="32"/>
        </w:rPr>
        <w:t>月</w:t>
      </w:r>
      <w:r>
        <w:rPr>
          <w:rFonts w:hint="eastAsia" w:ascii="宋体" w:hAnsi="宋体" w:eastAsia="宋体" w:cs="宋体"/>
          <w:sz w:val="24"/>
          <w:szCs w:val="32"/>
          <w:u w:val="single"/>
        </w:rPr>
        <w:t xml:space="preserve">      </w:t>
      </w:r>
      <w:r>
        <w:rPr>
          <w:rFonts w:hint="eastAsia" w:ascii="宋体" w:hAnsi="宋体" w:eastAsia="宋体" w:cs="宋体"/>
          <w:sz w:val="24"/>
          <w:szCs w:val="32"/>
        </w:rPr>
        <w:t>日。</w:t>
      </w:r>
    </w:p>
    <w:p w14:paraId="09AF0D6F">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注：模型服务过程中因甲方对建筑结构、外立面材质、颜色的不确定，或景观标高、铺装、绿化布置的不确定，造成的工作停滞或滞后，交付日期将相应顺延，具体延期日期双方协商确定。</w:t>
      </w:r>
    </w:p>
    <w:p w14:paraId="1EDB7A43">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2、户模设计进度对接与内容：</w:t>
      </w:r>
    </w:p>
    <w:p w14:paraId="6CB3C162">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进度对接人的确定：</w:t>
      </w:r>
    </w:p>
    <w:p w14:paraId="55F216B9">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甲方提供符合沙盘与户模设计服务需求的CAD电子文件资料，乙方根据甲方提供资料图纸，在</w:t>
      </w:r>
      <w:r>
        <w:rPr>
          <w:rFonts w:hint="eastAsia" w:ascii="宋体" w:hAnsi="宋体" w:eastAsia="宋体" w:cs="宋体"/>
          <w:sz w:val="24"/>
          <w:szCs w:val="32"/>
          <w:lang w:val="en-US" w:eastAsia="zh-CN"/>
        </w:rPr>
        <w:t>3</w:t>
      </w:r>
      <w:r>
        <w:rPr>
          <w:rFonts w:hint="eastAsia" w:ascii="宋体" w:hAnsi="宋体" w:eastAsia="宋体" w:cs="宋体"/>
          <w:sz w:val="24"/>
          <w:szCs w:val="32"/>
        </w:rPr>
        <w:t>个工作日内向甲方拟提户模排版方案，由甲方审核，共同拟定并落实户模设计方案，经甲方签字确认即可开始全面动工，开始上述模型服务设计，乙方应确保在预定工期内完工，由甲方签字确认的图纸资料和合同约定为依据进行验收。</w:t>
      </w:r>
    </w:p>
    <w:p w14:paraId="1F82C897">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 xml:space="preserve">甲方授权项目负责人：             联系电话：                 </w:t>
      </w:r>
    </w:p>
    <w:p w14:paraId="7F2BD6A5">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 xml:space="preserve">乙方授权项目负责人：             联系电话：       </w:t>
      </w:r>
    </w:p>
    <w:p w14:paraId="4F2CE74E">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对接工作内容：</w:t>
      </w:r>
    </w:p>
    <w:p w14:paraId="17441A9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（1）阶段性验收（对接、沟通工作）主要包括：设计制图、户模主体设计、材质、颜色（乙方提供色卡或色样，经甲方确认，方可上色）、地形高差、环境成型、灯效等。</w:t>
      </w:r>
    </w:p>
    <w:p w14:paraId="56D5EB5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（2）乙方根据每个阶段工作进度通知甲方，甲方接到乙方电话（或书面）通知后，对乙方阶段性完成后的工作进行确认。</w:t>
      </w:r>
    </w:p>
    <w:p w14:paraId="72F5A1A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乙方在户模制作过程中，甲方有权修改或调整已提供给乙方的图纸、电子文件、文字说明书，乙方应按照甲方的要求进行相应调整或维修，甲方无需另行支付任何费用。如因甲方需求调整已制作完成的户模成品造成重大修改的，甲方增补相应的成本费用，具体金额由双方协调后另签补充协议。</w:t>
      </w:r>
    </w:p>
    <w:p w14:paraId="42DBA348">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（4）在甲方无特殊说明的情况下，乙方以甲方阶段性验收负责人为甲方指定联系人进行本合同项下相关事项的联系。</w:t>
      </w:r>
    </w:p>
    <w:p w14:paraId="392D8BA0">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乙方户模完工后，甲方接到乙方书面通知后对乙方已完成的户模进行整体现场（乙方工作现场）验收，验收参照甲方提供的签字图纸、图片为准，初次验收合格的，甲方签字确认，如有微调整，以书面提出调整点，并签字确认交乙方实施。</w:t>
      </w:r>
    </w:p>
    <w:p w14:paraId="0D02A7EA">
      <w:pPr>
        <w:shd w:val="clear" w:color="auto" w:fill="auto"/>
        <w:spacing w:line="360" w:lineRule="auto"/>
        <w:rPr>
          <w:rFonts w:hint="eastAsia" w:ascii="宋体" w:hAnsi="宋体" w:eastAsia="宋体" w:cs="宋体"/>
          <w:sz w:val="24"/>
          <w:szCs w:val="32"/>
        </w:rPr>
      </w:pPr>
    </w:p>
    <w:p w14:paraId="21D2936E">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四、交付方式及地点：</w:t>
      </w:r>
    </w:p>
    <w:p w14:paraId="364C7FCC">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1、交货地点：</w:t>
      </w:r>
      <w:r>
        <w:rPr>
          <w:rFonts w:hint="eastAsia" w:ascii="宋体" w:hAnsi="宋体" w:eastAsia="宋体" w:cs="宋体"/>
          <w:sz w:val="24"/>
          <w:szCs w:val="32"/>
          <w:u w:val="single"/>
          <w:lang w:val="en-US" w:eastAsia="zh-CN"/>
        </w:rPr>
        <w:t>嘉玺展厅及金宁府展厅</w:t>
      </w:r>
      <w:r>
        <w:rPr>
          <w:rFonts w:hint="eastAsia" w:ascii="宋体" w:hAnsi="宋体" w:eastAsia="宋体" w:cs="宋体"/>
          <w:sz w:val="24"/>
          <w:szCs w:val="32"/>
          <w:u w:val="single"/>
        </w:rPr>
        <w:t>。</w:t>
      </w:r>
    </w:p>
    <w:p w14:paraId="7992590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2、户模在乙方场所经甲方初次验收确认后启运并由乙方承担运输费用，验收标准按合同有关条款及甲方授权人提供的签字图纸为准。</w:t>
      </w:r>
    </w:p>
    <w:p w14:paraId="36DE2526">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3、户模在运输过程中有损坏的，由乙方负责。</w:t>
      </w:r>
    </w:p>
    <w:p w14:paraId="385A0F8C">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4、户模送至甲方指定交货地点安装调试完毕经甲方最终验收合格后，甲方签字确认即认可乙方交付完毕。若7天内，甲方既不验收也未对户模提出任何异议，视为乙方制作的户模为合格产品。</w:t>
      </w:r>
    </w:p>
    <w:p w14:paraId="32BA138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5、户模送至甲方指定地点调试正常使用并验收合格后，乙方不承担户模的最终成果与第三方引起的争议所产生的责任，乙方户模交付后，相关的权利义务亦相应转移。</w:t>
      </w:r>
    </w:p>
    <w:p w14:paraId="0B3BF1B3">
      <w:pPr>
        <w:shd w:val="clear" w:color="auto" w:fill="auto"/>
        <w:spacing w:line="360" w:lineRule="auto"/>
        <w:rPr>
          <w:rFonts w:hint="eastAsia" w:ascii="宋体" w:hAnsi="宋体" w:eastAsia="宋体" w:cs="宋体"/>
          <w:sz w:val="24"/>
          <w:szCs w:val="32"/>
        </w:rPr>
      </w:pPr>
    </w:p>
    <w:p w14:paraId="5FF21E24">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五、沙盘</w:t>
      </w:r>
      <w:r>
        <w:rPr>
          <w:rFonts w:hint="eastAsia" w:ascii="宋体" w:hAnsi="宋体" w:eastAsia="宋体" w:cs="宋体"/>
          <w:b/>
          <w:bCs/>
          <w:sz w:val="24"/>
          <w:szCs w:val="32"/>
          <w:lang w:val="en-US" w:eastAsia="zh-CN"/>
        </w:rPr>
        <w:t>与</w:t>
      </w:r>
      <w:r>
        <w:rPr>
          <w:rFonts w:hint="eastAsia" w:ascii="宋体" w:hAnsi="宋体" w:eastAsia="宋体" w:cs="宋体"/>
          <w:b/>
          <w:bCs/>
          <w:sz w:val="24"/>
          <w:szCs w:val="32"/>
        </w:rPr>
        <w:t>户模价格及付款方式：</w:t>
      </w:r>
    </w:p>
    <w:p w14:paraId="5096CFF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1、本合同沙盘与户模设计服务安装费用，不含税总价计人民币￥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w:t>
      </w:r>
      <w:r>
        <w:rPr>
          <w:rFonts w:hint="eastAsia" w:ascii="宋体" w:hAnsi="宋体" w:eastAsia="宋体" w:cs="宋体"/>
          <w:sz w:val="24"/>
          <w:szCs w:val="32"/>
          <w:u w:val="single"/>
        </w:rPr>
        <w:t xml:space="preserve">                 </w:t>
      </w:r>
      <w:r>
        <w:rPr>
          <w:rFonts w:hint="eastAsia" w:ascii="宋体" w:hAnsi="宋体" w:eastAsia="宋体" w:cs="宋体"/>
          <w:sz w:val="24"/>
          <w:szCs w:val="32"/>
        </w:rPr>
        <w:t>整），增值税税费计人民币￥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w:t>
      </w:r>
      <w:r>
        <w:rPr>
          <w:rFonts w:hint="eastAsia" w:ascii="宋体" w:hAnsi="宋体" w:eastAsia="宋体" w:cs="宋体"/>
          <w:sz w:val="24"/>
          <w:szCs w:val="32"/>
          <w:u w:val="single"/>
        </w:rPr>
        <w:t xml:space="preserve">                </w:t>
      </w:r>
      <w:r>
        <w:rPr>
          <w:rFonts w:hint="eastAsia" w:ascii="宋体" w:hAnsi="宋体" w:eastAsia="宋体" w:cs="宋体"/>
          <w:sz w:val="24"/>
          <w:szCs w:val="32"/>
        </w:rPr>
        <w:t>整），合同总价款合计为人民币¥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w:t>
      </w:r>
      <w:r>
        <w:rPr>
          <w:rFonts w:hint="eastAsia" w:ascii="宋体" w:hAnsi="宋体" w:eastAsia="宋体" w:cs="宋体"/>
          <w:sz w:val="24"/>
          <w:szCs w:val="32"/>
          <w:u w:val="single"/>
        </w:rPr>
        <w:t xml:space="preserve">               </w:t>
      </w:r>
      <w:r>
        <w:rPr>
          <w:rFonts w:hint="eastAsia" w:ascii="宋体" w:hAnsi="宋体" w:eastAsia="宋体" w:cs="宋体"/>
          <w:sz w:val="24"/>
          <w:szCs w:val="32"/>
        </w:rPr>
        <w:t>整）。</w:t>
      </w:r>
    </w:p>
    <w:p w14:paraId="6617F17D">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2、付款方式：</w:t>
      </w:r>
    </w:p>
    <w:p w14:paraId="0004D57B">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（1）制作安装完成，运至甲方现场安装并经甲方验收合格后，甲方支付竣工结算款，即沙盘与户模合同总价款的</w:t>
      </w:r>
      <w:r>
        <w:rPr>
          <w:rFonts w:hint="eastAsia" w:ascii="宋体" w:hAnsi="宋体" w:eastAsia="宋体" w:cs="宋体"/>
          <w:sz w:val="24"/>
          <w:szCs w:val="32"/>
          <w:u w:val="single"/>
          <w:lang w:val="en-US" w:eastAsia="zh-CN"/>
        </w:rPr>
        <w:t>9</w:t>
      </w:r>
      <w:r>
        <w:rPr>
          <w:rFonts w:hint="eastAsia" w:ascii="宋体" w:hAnsi="宋体" w:eastAsia="宋体" w:cs="宋体"/>
          <w:sz w:val="24"/>
          <w:szCs w:val="32"/>
          <w:u w:val="single"/>
        </w:rPr>
        <w:t>0%</w:t>
      </w:r>
      <w:r>
        <w:rPr>
          <w:rFonts w:hint="eastAsia" w:ascii="宋体" w:hAnsi="宋体" w:eastAsia="宋体" w:cs="宋体"/>
          <w:sz w:val="24"/>
          <w:szCs w:val="32"/>
        </w:rPr>
        <w:t>，人民币¥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w:t>
      </w:r>
      <w:r>
        <w:rPr>
          <w:rFonts w:hint="eastAsia" w:ascii="宋体" w:hAnsi="宋体" w:eastAsia="宋体" w:cs="宋体"/>
          <w:sz w:val="24"/>
          <w:szCs w:val="32"/>
          <w:u w:val="single"/>
        </w:rPr>
        <w:t xml:space="preserve">                  </w:t>
      </w:r>
      <w:r>
        <w:rPr>
          <w:rFonts w:hint="eastAsia" w:ascii="宋体" w:hAnsi="宋体" w:eastAsia="宋体" w:cs="宋体"/>
          <w:sz w:val="24"/>
          <w:szCs w:val="32"/>
        </w:rPr>
        <w:t>整）。</w:t>
      </w:r>
    </w:p>
    <w:p w14:paraId="6DE95A08">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3</w:t>
      </w:r>
      <w:r>
        <w:rPr>
          <w:rFonts w:hint="eastAsia" w:ascii="宋体" w:hAnsi="宋体" w:eastAsia="宋体" w:cs="宋体"/>
          <w:sz w:val="24"/>
          <w:szCs w:val="32"/>
        </w:rPr>
        <w:t>）户模交付后，验收合格后</w:t>
      </w:r>
      <w:r>
        <w:rPr>
          <w:rFonts w:hint="eastAsia" w:ascii="宋体" w:hAnsi="宋体" w:eastAsia="宋体" w:cs="宋体"/>
          <w:sz w:val="24"/>
          <w:szCs w:val="32"/>
          <w:u w:val="single"/>
        </w:rPr>
        <w:t>12</w:t>
      </w:r>
      <w:r>
        <w:rPr>
          <w:rFonts w:hint="eastAsia" w:ascii="宋体" w:hAnsi="宋体" w:eastAsia="宋体" w:cs="宋体"/>
          <w:sz w:val="24"/>
          <w:szCs w:val="32"/>
        </w:rPr>
        <w:t>个月内，甲方支付质保金，即户模合同总价款的</w:t>
      </w:r>
      <w:r>
        <w:rPr>
          <w:rFonts w:hint="eastAsia" w:ascii="宋体" w:hAnsi="宋体" w:eastAsia="宋体" w:cs="宋体"/>
          <w:sz w:val="24"/>
          <w:szCs w:val="32"/>
          <w:u w:val="single"/>
        </w:rPr>
        <w:t>10%</w:t>
      </w:r>
      <w:r>
        <w:rPr>
          <w:rFonts w:hint="eastAsia" w:ascii="宋体" w:hAnsi="宋体" w:eastAsia="宋体" w:cs="宋体"/>
          <w:sz w:val="24"/>
          <w:szCs w:val="32"/>
        </w:rPr>
        <w:t>，人民币¥</w:t>
      </w:r>
      <w:r>
        <w:rPr>
          <w:rFonts w:hint="eastAsia" w:ascii="宋体" w:hAnsi="宋体" w:eastAsia="宋体" w:cs="宋体"/>
          <w:sz w:val="24"/>
          <w:szCs w:val="32"/>
          <w:u w:val="single"/>
        </w:rPr>
        <w:t xml:space="preserve">      </w:t>
      </w:r>
      <w:r>
        <w:rPr>
          <w:rFonts w:hint="eastAsia" w:ascii="宋体" w:hAnsi="宋体" w:eastAsia="宋体" w:cs="宋体"/>
          <w:sz w:val="24"/>
          <w:szCs w:val="32"/>
        </w:rPr>
        <w:t>元（大写：      整）。</w:t>
      </w:r>
    </w:p>
    <w:p w14:paraId="5E55BB85">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4</w:t>
      </w:r>
      <w:r>
        <w:rPr>
          <w:rFonts w:hint="eastAsia" w:ascii="宋体" w:hAnsi="宋体" w:eastAsia="宋体" w:cs="宋体"/>
          <w:sz w:val="24"/>
          <w:szCs w:val="32"/>
        </w:rPr>
        <w:t>）甲方支付每期款项前，乙方须向甲方开具合格等额有效（</w:t>
      </w:r>
      <w:r>
        <w:rPr>
          <w:rFonts w:hint="eastAsia" w:ascii="宋体" w:hAnsi="宋体" w:eastAsia="宋体" w:cs="宋体"/>
          <w:sz w:val="24"/>
          <w:szCs w:val="32"/>
          <w:u w:val="single"/>
        </w:rPr>
        <w:t xml:space="preserve">  </w:t>
      </w:r>
      <w:r>
        <w:rPr>
          <w:rFonts w:hint="eastAsia" w:ascii="宋体" w:hAnsi="宋体" w:eastAsia="宋体" w:cs="宋体"/>
          <w:sz w:val="24"/>
          <w:szCs w:val="32"/>
        </w:rPr>
        <w:t>%税率）增值税发票。</w:t>
      </w:r>
    </w:p>
    <w:p w14:paraId="4CAEBE7A">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（4）支付方式，以转账汇款形式支付。</w:t>
      </w:r>
    </w:p>
    <w:p w14:paraId="3FBBE475">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乙方公司名称：</w:t>
      </w:r>
    </w:p>
    <w:p w14:paraId="150A7A4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纳税人识别号：</w:t>
      </w:r>
    </w:p>
    <w:p w14:paraId="10CD421F">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开户银行：</w:t>
      </w:r>
    </w:p>
    <w:p w14:paraId="346A8FB5">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开户账号：</w:t>
      </w:r>
    </w:p>
    <w:p w14:paraId="2BA67C09">
      <w:pPr>
        <w:shd w:val="clear" w:color="auto" w:fill="auto"/>
        <w:spacing w:line="360" w:lineRule="auto"/>
        <w:rPr>
          <w:rFonts w:hint="eastAsia" w:ascii="宋体" w:hAnsi="宋体" w:eastAsia="宋体" w:cs="宋体"/>
          <w:sz w:val="24"/>
          <w:szCs w:val="32"/>
        </w:rPr>
      </w:pPr>
    </w:p>
    <w:p w14:paraId="69C4AC90">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六、甲乙双方权利和义务</w:t>
      </w:r>
    </w:p>
    <w:p w14:paraId="12AA0389">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1、甲方权利和义务：</w:t>
      </w:r>
    </w:p>
    <w:p w14:paraId="36208D0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（1）甲方应按合同条款约定时间向乙方支付户模设计服务费用，以便乙方顺利开展工作。</w:t>
      </w:r>
    </w:p>
    <w:p w14:paraId="7841C79D">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（2）甲方向乙方提供准确、清晰的图纸和数据（各建筑物、结构物平面、立面、剖面、效果图、景观效果图、总平CAD及景观彩图、各建筑施工及建材说明），</w:t>
      </w:r>
    </w:p>
    <w:p w14:paraId="7A50857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以及文字说明，供乙方进行户模设计，并以此作为评审户模的依据。</w:t>
      </w:r>
    </w:p>
    <w:p w14:paraId="67A85948">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（3）甲方有权对户模工艺和产品制作提出修改意见，乙方应按照甲方要求进行调整与修改。</w:t>
      </w:r>
    </w:p>
    <w:p w14:paraId="53740C4A">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（4）因甲方原因要求暂停或终止本合同，甲方应及时书面通知乙方，乙方已收的费用不予退回。</w:t>
      </w:r>
    </w:p>
    <w:p w14:paraId="1C45BF8E">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（5）甲方须按合同约定时间验收沙盘与户模，甲方在收到乙方相应发票后，方予支付合同不同阶段约定款项。</w:t>
      </w:r>
    </w:p>
    <w:p w14:paraId="60D17742">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2、乙方权利与义务</w:t>
      </w:r>
    </w:p>
    <w:p w14:paraId="663C82D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（1）乙方根据本合同约定的工期及进度计划保质保量施工。</w:t>
      </w:r>
    </w:p>
    <w:p w14:paraId="383393E3">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（2）乙方应对甲方提供的图纸资料负责保密。</w:t>
      </w:r>
    </w:p>
    <w:p w14:paraId="09A49A54">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（3）乙方应按照合同约定的交货时间和交货地点将户模交付给甲方。</w:t>
      </w:r>
    </w:p>
    <w:p w14:paraId="4EF521E6">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在承揽此户模设计制作时，乙方已经清楚和明白合同内的所有条款。乙方须确保一切施工是符合此项工程的设计，质量的要求，安全要求，工程进度。倘若乙方违反任何合同签订的责任，甲方在任何时间或情况下有权向乙方追究法律责任包括经济责任。</w:t>
      </w:r>
    </w:p>
    <w:p w14:paraId="42660F0E">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（5）乙方承诺在户模交付使用后，提供</w:t>
      </w:r>
      <w:r>
        <w:rPr>
          <w:rFonts w:hint="eastAsia" w:ascii="宋体" w:hAnsi="宋体" w:eastAsia="宋体" w:cs="宋体"/>
          <w:sz w:val="24"/>
          <w:szCs w:val="32"/>
          <w:u w:val="single"/>
        </w:rPr>
        <w:t xml:space="preserve">   </w:t>
      </w:r>
      <w:r>
        <w:rPr>
          <w:rFonts w:hint="eastAsia" w:ascii="宋体" w:hAnsi="宋体" w:eastAsia="宋体" w:cs="宋体"/>
          <w:sz w:val="24"/>
          <w:szCs w:val="32"/>
        </w:rPr>
        <w:t>年的免费维修工作，对非人为因素（外观漆的脱落，单体的断裂，开胶等质量问题）造成的损坏，乙方保证48小时内派驻专业人员，进行免费维修；</w:t>
      </w:r>
    </w:p>
    <w:p w14:paraId="6DFFD367">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（6）甲方在使用过程中对沙盘与户模造成人为损坏维修或对设计方案提出的重大修改，其维修费用和修改费用由双方协商并签订补充协议。</w:t>
      </w:r>
    </w:p>
    <w:p w14:paraId="26764344">
      <w:pPr>
        <w:shd w:val="clear" w:color="auto" w:fill="auto"/>
        <w:spacing w:line="360" w:lineRule="auto"/>
        <w:rPr>
          <w:rFonts w:hint="eastAsia" w:ascii="宋体" w:hAnsi="宋体" w:eastAsia="宋体" w:cs="宋体"/>
          <w:sz w:val="24"/>
          <w:szCs w:val="32"/>
        </w:rPr>
      </w:pPr>
    </w:p>
    <w:p w14:paraId="6A568C8B">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七、违约责任：</w:t>
      </w:r>
    </w:p>
    <w:p w14:paraId="65E7A296">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1、由于甲方不及时提供图纸资料或修改意见，引起户模的修改或返工，由双方协商按照实际情况顺延工期。</w:t>
      </w:r>
    </w:p>
    <w:p w14:paraId="0D4E569C">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2、乙方已制作完成的户模，如因甲方需求而需要对户模修改变动，甲方应给予乙方成本费用的补偿，具体补偿费用甲乙双方另行协商。</w:t>
      </w:r>
    </w:p>
    <w:p w14:paraId="17961C8C">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3、甲方对户模进行验收合格后，需按合同及时付清阶段性款项，如超过合同规定日期付款，按照未付款的金额按每日万分之五的标准额外向乙方支付违约金。</w:t>
      </w:r>
    </w:p>
    <w:p w14:paraId="44091FAA">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4、由于乙方模型质量未达到双方约定标准引起的返工或未按期完成户模造成的损失，除由乙方无条件按甲方要求继续完善服务外，如因此导致的延期交付使用，乙方应承担每天1000元的延期违约金。预期超过10日的，甲方有权单方解除合同，乙方已收取的费用应全部退回，同时乙方向甲方承担合同约定价款总额20%的违约金。</w:t>
      </w:r>
    </w:p>
    <w:p w14:paraId="2C578AB1">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5、由于甲方原因，在约定的时间内户模不能交付，成品或半成品户模需要占用乙方场地放置，如超过45天乙方可根据放置使用的场地面积每天向甲方收取适当费用。</w:t>
      </w:r>
    </w:p>
    <w:p w14:paraId="30BC29CD">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6、乙方不得将户模制作倒手转包给其他单位，否则甲方有权终止合同并有权要求乙方退还已付款项并承担由此给甲方造成的相应损失。</w:t>
      </w:r>
    </w:p>
    <w:p w14:paraId="184CC5D0">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7、乙方制作的户模半成品、成品以及制作工艺、方法等不得侵犯任何第三方的知识产权，如因此导致第三方向甲方主张权利的，由乙方承担全部赔偿责任，同时需另行向甲方承担合同约定价款总额20%的违约金。</w:t>
      </w:r>
    </w:p>
    <w:p w14:paraId="54ECDFC7">
      <w:pPr>
        <w:shd w:val="clear" w:color="auto" w:fill="auto"/>
        <w:spacing w:line="360" w:lineRule="auto"/>
        <w:rPr>
          <w:rFonts w:hint="eastAsia" w:ascii="宋体" w:hAnsi="宋体" w:eastAsia="宋体" w:cs="宋体"/>
          <w:sz w:val="24"/>
          <w:szCs w:val="32"/>
        </w:rPr>
      </w:pPr>
    </w:p>
    <w:p w14:paraId="2D40C422">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八、合同纠纷解决方式：</w:t>
      </w:r>
    </w:p>
    <w:p w14:paraId="645F01FD">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双方应共同遵守本合同，合同条款如有未尽事宜，甲乙双方可另行签署补充协议。如合同履行过程中发生争议的，双方可先协商解决，协商不成，可向甲方所在地人民法院起诉。</w:t>
      </w:r>
    </w:p>
    <w:p w14:paraId="2E47F66E">
      <w:pPr>
        <w:shd w:val="clear" w:color="auto" w:fill="auto"/>
        <w:spacing w:line="360" w:lineRule="auto"/>
        <w:rPr>
          <w:rFonts w:hint="eastAsia" w:ascii="宋体" w:hAnsi="宋体" w:eastAsia="宋体" w:cs="宋体"/>
          <w:sz w:val="24"/>
          <w:szCs w:val="32"/>
        </w:rPr>
      </w:pPr>
    </w:p>
    <w:p w14:paraId="34324EDE">
      <w:pPr>
        <w:shd w:val="clear" w:color="auto" w:fill="auto"/>
        <w:spacing w:line="360" w:lineRule="auto"/>
        <w:rPr>
          <w:rFonts w:hint="eastAsia" w:ascii="宋体" w:hAnsi="宋体" w:eastAsia="宋体" w:cs="宋体"/>
          <w:b/>
          <w:bCs/>
          <w:sz w:val="24"/>
          <w:szCs w:val="32"/>
        </w:rPr>
      </w:pPr>
      <w:r>
        <w:rPr>
          <w:rFonts w:hint="eastAsia" w:ascii="宋体" w:hAnsi="宋体" w:eastAsia="宋体" w:cs="宋体"/>
          <w:b/>
          <w:bCs/>
          <w:sz w:val="24"/>
          <w:szCs w:val="32"/>
        </w:rPr>
        <w:t>九、附则：</w:t>
      </w:r>
    </w:p>
    <w:p w14:paraId="29784B98">
      <w:pPr>
        <w:shd w:val="clear" w:color="auto" w:fill="auto"/>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本合同一式陆份，经双方签字盖章即时生效，甲方执肆份，乙方执贰份，具有同等法律效力。</w:t>
      </w:r>
    </w:p>
    <w:p w14:paraId="3DF5B82A">
      <w:pPr>
        <w:shd w:val="clear" w:color="auto" w:fill="auto"/>
        <w:spacing w:line="360" w:lineRule="auto"/>
        <w:rPr>
          <w:rFonts w:hint="eastAsia" w:ascii="宋体" w:hAnsi="宋体" w:eastAsia="宋体" w:cs="宋体"/>
          <w:sz w:val="24"/>
          <w:szCs w:val="32"/>
        </w:rPr>
      </w:pPr>
    </w:p>
    <w:p w14:paraId="2E47239F">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（以下无正文为签署页）</w:t>
      </w:r>
    </w:p>
    <w:p w14:paraId="6F2D4491">
      <w:pPr>
        <w:shd w:val="clear" w:color="auto" w:fill="auto"/>
        <w:rPr>
          <w:rFonts w:hint="eastAsia" w:ascii="宋体" w:hAnsi="宋体" w:eastAsia="宋体" w:cs="宋体"/>
          <w:sz w:val="24"/>
          <w:szCs w:val="32"/>
        </w:rPr>
      </w:pPr>
    </w:p>
    <w:p w14:paraId="69FC9638">
      <w:pPr>
        <w:shd w:val="clear" w:color="auto" w:fill="auto"/>
        <w:rPr>
          <w:rFonts w:hint="eastAsia" w:ascii="宋体" w:hAnsi="宋体" w:eastAsia="宋体" w:cs="宋体"/>
          <w:sz w:val="24"/>
          <w:szCs w:val="32"/>
        </w:rPr>
      </w:pPr>
    </w:p>
    <w:p w14:paraId="4EE30B50">
      <w:pPr>
        <w:shd w:val="clear" w:color="auto" w:fill="auto"/>
        <w:spacing w:line="360" w:lineRule="auto"/>
        <w:rPr>
          <w:rFonts w:hint="eastAsia" w:ascii="宋体" w:hAnsi="宋体" w:eastAsia="宋体" w:cs="宋体"/>
          <w:sz w:val="24"/>
          <w:szCs w:val="32"/>
        </w:rPr>
      </w:pPr>
    </w:p>
    <w:p w14:paraId="18EE927A">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甲方（盖章）：                             乙方（盖章）：</w:t>
      </w:r>
    </w:p>
    <w:p w14:paraId="7ADD49A0">
      <w:pPr>
        <w:shd w:val="clear" w:color="auto" w:fill="auto"/>
        <w:spacing w:line="360" w:lineRule="auto"/>
        <w:rPr>
          <w:rFonts w:hint="eastAsia" w:ascii="宋体" w:hAnsi="宋体" w:eastAsia="宋体" w:cs="宋体"/>
          <w:sz w:val="24"/>
          <w:szCs w:val="32"/>
        </w:rPr>
      </w:pPr>
    </w:p>
    <w:p w14:paraId="3DE7FA56">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 xml:space="preserve">代表人（签字）：                           代表人（签字）：   </w:t>
      </w:r>
    </w:p>
    <w:p w14:paraId="490A8D67">
      <w:pPr>
        <w:shd w:val="clear" w:color="auto" w:fill="auto"/>
        <w:spacing w:line="360" w:lineRule="auto"/>
        <w:rPr>
          <w:rFonts w:hint="eastAsia" w:ascii="宋体" w:hAnsi="宋体" w:eastAsia="宋体" w:cs="宋体"/>
          <w:sz w:val="24"/>
          <w:szCs w:val="32"/>
        </w:rPr>
      </w:pPr>
    </w:p>
    <w:p w14:paraId="4C4E9340">
      <w:pPr>
        <w:shd w:val="clear" w:color="auto" w:fill="auto"/>
        <w:spacing w:line="360" w:lineRule="auto"/>
        <w:rPr>
          <w:rFonts w:hint="eastAsia" w:ascii="宋体" w:hAnsi="宋体" w:eastAsia="宋体" w:cs="宋体"/>
          <w:sz w:val="24"/>
          <w:szCs w:val="32"/>
        </w:rPr>
      </w:pP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    月    日                        202</w:t>
      </w:r>
      <w:r>
        <w:rPr>
          <w:rFonts w:hint="eastAsia" w:ascii="宋体" w:hAnsi="宋体" w:eastAsia="宋体" w:cs="宋体"/>
          <w:sz w:val="24"/>
          <w:szCs w:val="32"/>
          <w:lang w:val="en-US" w:eastAsia="zh-CN"/>
        </w:rPr>
        <w:t>6</w:t>
      </w:r>
      <w:r>
        <w:rPr>
          <w:rFonts w:hint="eastAsia" w:ascii="宋体" w:hAnsi="宋体" w:eastAsia="宋体" w:cs="宋体"/>
          <w:sz w:val="24"/>
          <w:szCs w:val="32"/>
        </w:rPr>
        <w:t>年    月    日</w:t>
      </w:r>
    </w:p>
    <w:p w14:paraId="78C83D42">
      <w:pPr>
        <w:shd w:val="clear" w:color="auto" w:fill="auto"/>
        <w:tabs>
          <w:tab w:val="left" w:pos="1680"/>
        </w:tabs>
        <w:ind w:firstLine="1140"/>
        <w:rPr>
          <w:rFonts w:hint="eastAsia" w:ascii="宋体" w:hAnsi="宋体" w:eastAsia="宋体" w:cs="宋体"/>
          <w:szCs w:val="21"/>
        </w:rPr>
      </w:pPr>
    </w:p>
    <w:p w14:paraId="41C42402">
      <w:pPr>
        <w:widowControl/>
        <w:shd w:val="clear" w:color="auto" w:fill="auto"/>
        <w:spacing w:line="360" w:lineRule="auto"/>
        <w:ind w:firstLine="525" w:firstLineChars="250"/>
        <w:jc w:val="center"/>
        <w:rPr>
          <w:rFonts w:hint="eastAsia" w:ascii="宋体" w:hAnsi="宋体" w:eastAsia="宋体" w:cs="宋体"/>
        </w:rPr>
      </w:pPr>
    </w:p>
    <w:p w14:paraId="2E184D44">
      <w:pPr>
        <w:shd w:val="clear" w:color="auto" w:fill="auto"/>
        <w:rPr>
          <w:rFonts w:hint="eastAsia" w:ascii="宋体" w:hAnsi="宋体" w:eastAsia="宋体" w:cs="宋体"/>
        </w:rPr>
      </w:pPr>
    </w:p>
    <w:p w14:paraId="5E9267FC">
      <w:pPr>
        <w:pStyle w:val="2"/>
        <w:rPr>
          <w:rFonts w:hint="eastAsia" w:ascii="宋体" w:hAnsi="宋体" w:eastAsia="宋体" w:cs="宋体"/>
        </w:rPr>
      </w:pPr>
    </w:p>
    <w:p w14:paraId="3A968893">
      <w:pPr>
        <w:rPr>
          <w:rFonts w:hint="eastAsia"/>
        </w:rPr>
      </w:pPr>
    </w:p>
    <w:p w14:paraId="6CF7B8C6">
      <w:pPr>
        <w:rPr>
          <w:rFonts w:hint="eastAsia" w:ascii="宋体" w:hAnsi="宋体" w:eastAsia="宋体" w:cs="宋体"/>
        </w:rPr>
      </w:pPr>
    </w:p>
    <w:p w14:paraId="2E7F1454">
      <w:pPr>
        <w:shd w:val="clear" w:color="auto" w:fill="auto"/>
        <w:rPr>
          <w:rFonts w:hint="eastAsia" w:ascii="宋体" w:hAnsi="宋体" w:eastAsia="宋体" w:cs="宋体"/>
        </w:rPr>
      </w:pPr>
    </w:p>
    <w:p w14:paraId="1D893ECF">
      <w:pPr>
        <w:shd w:val="clear" w:color="auto" w:fill="auto"/>
        <w:rPr>
          <w:rFonts w:hint="eastAsia" w:ascii="宋体" w:hAnsi="宋体" w:eastAsia="宋体" w:cs="宋体"/>
          <w:sz w:val="24"/>
          <w:szCs w:val="32"/>
          <w:highlight w:val="none"/>
        </w:rPr>
      </w:pPr>
      <w:r>
        <w:rPr>
          <w:rFonts w:hint="eastAsia" w:ascii="宋体" w:hAnsi="宋体" w:eastAsia="宋体" w:cs="宋体"/>
          <w:sz w:val="24"/>
          <w:szCs w:val="32"/>
          <w:highlight w:val="none"/>
        </w:rPr>
        <w:t>附件一：《沙盘模型主要材料明细》</w:t>
      </w:r>
    </w:p>
    <w:p w14:paraId="07E8A345">
      <w:pPr>
        <w:pStyle w:val="2"/>
        <w:rPr>
          <w:rFonts w:hint="eastAsia"/>
        </w:rPr>
      </w:pPr>
    </w:p>
    <w:tbl>
      <w:tblPr>
        <w:tblStyle w:val="29"/>
        <w:tblW w:w="8918" w:type="dxa"/>
        <w:jc w:val="center"/>
        <w:tblLayout w:type="autofit"/>
        <w:tblCellMar>
          <w:top w:w="0" w:type="dxa"/>
          <w:left w:w="108" w:type="dxa"/>
          <w:bottom w:w="0" w:type="dxa"/>
          <w:right w:w="108" w:type="dxa"/>
        </w:tblCellMar>
      </w:tblPr>
      <w:tblGrid>
        <w:gridCol w:w="1377"/>
        <w:gridCol w:w="2433"/>
        <w:gridCol w:w="2149"/>
        <w:gridCol w:w="2959"/>
      </w:tblGrid>
      <w:tr w14:paraId="2C13F3E2">
        <w:tblPrEx>
          <w:tblCellMar>
            <w:top w:w="0" w:type="dxa"/>
            <w:left w:w="108" w:type="dxa"/>
            <w:bottom w:w="0" w:type="dxa"/>
            <w:right w:w="108" w:type="dxa"/>
          </w:tblCellMar>
        </w:tblPrEx>
        <w:trPr>
          <w:trHeight w:val="393" w:hRule="atLeast"/>
          <w:jc w:val="center"/>
        </w:trPr>
        <w:tc>
          <w:tcPr>
            <w:tcW w:w="3810" w:type="dxa"/>
            <w:gridSpan w:val="2"/>
            <w:tcBorders>
              <w:top w:val="single" w:color="000000" w:sz="4" w:space="0"/>
              <w:left w:val="single" w:color="000000" w:sz="4" w:space="0"/>
              <w:bottom w:val="single" w:color="000000" w:sz="4" w:space="0"/>
              <w:right w:val="single" w:color="000000" w:sz="4" w:space="0"/>
            </w:tcBorders>
            <w:noWrap/>
            <w:vAlign w:val="center"/>
          </w:tcPr>
          <w:p w14:paraId="4B75B43A">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类别</w:t>
            </w:r>
          </w:p>
        </w:tc>
        <w:tc>
          <w:tcPr>
            <w:tcW w:w="2149" w:type="dxa"/>
            <w:tcBorders>
              <w:top w:val="single" w:color="000000" w:sz="4" w:space="0"/>
              <w:left w:val="single" w:color="000000" w:sz="4" w:space="0"/>
              <w:bottom w:val="single" w:color="000000" w:sz="4" w:space="0"/>
              <w:right w:val="single" w:color="000000" w:sz="4" w:space="0"/>
            </w:tcBorders>
            <w:noWrap/>
            <w:vAlign w:val="center"/>
          </w:tcPr>
          <w:p w14:paraId="0A0FCAD6">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材质</w:t>
            </w:r>
          </w:p>
        </w:tc>
        <w:tc>
          <w:tcPr>
            <w:tcW w:w="2959" w:type="dxa"/>
            <w:tcBorders>
              <w:top w:val="single" w:color="000000" w:sz="4" w:space="0"/>
              <w:left w:val="single" w:color="000000" w:sz="4" w:space="0"/>
              <w:bottom w:val="single" w:color="000000" w:sz="4" w:space="0"/>
              <w:right w:val="single" w:color="000000" w:sz="4" w:space="0"/>
            </w:tcBorders>
            <w:noWrap/>
            <w:vAlign w:val="center"/>
          </w:tcPr>
          <w:p w14:paraId="667C0A01">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规格</w:t>
            </w:r>
          </w:p>
        </w:tc>
      </w:tr>
      <w:tr w14:paraId="66F67EAF">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B33C5D1">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主体结构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17E3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16B50">
            <w:pPr>
              <w:shd w:val="clear" w:color="auto" w:fill="auto"/>
              <w:jc w:val="center"/>
              <w:rPr>
                <w:rFonts w:hint="eastAsia" w:ascii="宋体" w:hAnsi="宋体" w:eastAsia="宋体" w:cs="宋体"/>
                <w:color w:val="000000"/>
                <w:sz w:val="22"/>
                <w:szCs w:val="22"/>
              </w:rPr>
            </w:pPr>
          </w:p>
        </w:tc>
      </w:tr>
      <w:tr w14:paraId="347BADD1">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2B70997">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底座外饰材料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8030E">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F3F9C">
            <w:pPr>
              <w:shd w:val="clear" w:color="auto" w:fill="auto"/>
              <w:jc w:val="center"/>
              <w:rPr>
                <w:rFonts w:hint="eastAsia" w:ascii="宋体" w:hAnsi="宋体" w:eastAsia="宋体" w:cs="宋体"/>
                <w:color w:val="000000"/>
                <w:sz w:val="22"/>
                <w:szCs w:val="22"/>
              </w:rPr>
            </w:pPr>
          </w:p>
        </w:tc>
      </w:tr>
      <w:tr w14:paraId="7D6A5ED9">
        <w:tblPrEx>
          <w:tblCellMar>
            <w:top w:w="0" w:type="dxa"/>
            <w:left w:w="108" w:type="dxa"/>
            <w:bottom w:w="0" w:type="dxa"/>
            <w:right w:w="108" w:type="dxa"/>
          </w:tblCellMar>
        </w:tblPrEx>
        <w:trPr>
          <w:trHeight w:val="3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2663816">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90D00">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主框架龙骨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D8BF8">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7984D">
            <w:pPr>
              <w:shd w:val="clear" w:color="auto" w:fill="auto"/>
              <w:jc w:val="center"/>
              <w:rPr>
                <w:rFonts w:hint="eastAsia" w:ascii="宋体" w:hAnsi="宋体" w:eastAsia="宋体" w:cs="宋体"/>
                <w:color w:val="000000"/>
                <w:sz w:val="22"/>
                <w:szCs w:val="22"/>
              </w:rPr>
            </w:pPr>
          </w:p>
        </w:tc>
      </w:tr>
      <w:tr w14:paraId="5412A324">
        <w:tblPrEx>
          <w:tblCellMar>
            <w:top w:w="0" w:type="dxa"/>
            <w:left w:w="108" w:type="dxa"/>
            <w:bottom w:w="0" w:type="dxa"/>
            <w:right w:w="108" w:type="dxa"/>
          </w:tblCellMar>
        </w:tblPrEx>
        <w:trPr>
          <w:trHeight w:val="3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9A2EFD">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89220">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C9BC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0ECF8">
            <w:pPr>
              <w:shd w:val="clear" w:color="auto" w:fill="auto"/>
              <w:jc w:val="center"/>
              <w:rPr>
                <w:rFonts w:hint="eastAsia" w:ascii="宋体" w:hAnsi="宋体" w:eastAsia="宋体" w:cs="宋体"/>
                <w:color w:val="000000"/>
                <w:sz w:val="22"/>
                <w:szCs w:val="22"/>
              </w:rPr>
            </w:pPr>
          </w:p>
        </w:tc>
      </w:tr>
      <w:tr w14:paraId="6A6F7197">
        <w:tblPrEx>
          <w:tblCellMar>
            <w:top w:w="0" w:type="dxa"/>
            <w:left w:w="108" w:type="dxa"/>
            <w:bottom w:w="0" w:type="dxa"/>
            <w:right w:w="108" w:type="dxa"/>
          </w:tblCellMar>
        </w:tblPrEx>
        <w:trPr>
          <w:trHeight w:val="3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4DB00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CD70E">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道路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20237">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78F46">
            <w:pPr>
              <w:shd w:val="clear" w:color="auto" w:fill="auto"/>
              <w:jc w:val="center"/>
              <w:rPr>
                <w:rFonts w:hint="eastAsia" w:ascii="宋体" w:hAnsi="宋体" w:eastAsia="宋体" w:cs="宋体"/>
                <w:color w:val="000000"/>
                <w:sz w:val="22"/>
                <w:szCs w:val="22"/>
              </w:rPr>
            </w:pPr>
          </w:p>
        </w:tc>
      </w:tr>
      <w:tr w14:paraId="52090E49">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21135C6">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护边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6CB60">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29EAA">
            <w:pPr>
              <w:shd w:val="clear" w:color="auto" w:fill="auto"/>
              <w:jc w:val="center"/>
              <w:rPr>
                <w:rFonts w:hint="eastAsia" w:ascii="宋体" w:hAnsi="宋体" w:eastAsia="宋体" w:cs="宋体"/>
                <w:color w:val="000000"/>
                <w:sz w:val="22"/>
                <w:szCs w:val="22"/>
              </w:rPr>
            </w:pPr>
          </w:p>
        </w:tc>
      </w:tr>
      <w:tr w14:paraId="3C262B16">
        <w:tblPrEx>
          <w:tblCellMar>
            <w:top w:w="0" w:type="dxa"/>
            <w:left w:w="108" w:type="dxa"/>
            <w:bottom w:w="0" w:type="dxa"/>
            <w:right w:w="108" w:type="dxa"/>
          </w:tblCellMar>
        </w:tblPrEx>
        <w:trPr>
          <w:trHeight w:val="3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C1F45BA">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主体建筑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AFEA7">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墙面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EF1D7">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989AC">
            <w:pPr>
              <w:shd w:val="clear" w:color="auto" w:fill="auto"/>
              <w:jc w:val="center"/>
              <w:rPr>
                <w:rFonts w:hint="eastAsia" w:ascii="宋体" w:hAnsi="宋体" w:eastAsia="宋体" w:cs="宋体"/>
                <w:color w:val="000000"/>
                <w:sz w:val="22"/>
                <w:szCs w:val="22"/>
              </w:rPr>
            </w:pPr>
          </w:p>
        </w:tc>
      </w:tr>
      <w:tr w14:paraId="698C6B20">
        <w:tblPrEx>
          <w:tblCellMar>
            <w:top w:w="0" w:type="dxa"/>
            <w:left w:w="108" w:type="dxa"/>
            <w:bottom w:w="0" w:type="dxa"/>
            <w:right w:w="108" w:type="dxa"/>
          </w:tblCellMar>
        </w:tblPrEx>
        <w:trPr>
          <w:trHeight w:val="3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0C8C5C">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26ACF">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玻璃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44E1E">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8AD36">
            <w:pPr>
              <w:shd w:val="clear" w:color="auto" w:fill="auto"/>
              <w:jc w:val="center"/>
              <w:rPr>
                <w:rFonts w:hint="eastAsia" w:ascii="宋体" w:hAnsi="宋体" w:eastAsia="宋体" w:cs="宋体"/>
                <w:color w:val="000000"/>
                <w:sz w:val="22"/>
                <w:szCs w:val="22"/>
              </w:rPr>
            </w:pPr>
          </w:p>
        </w:tc>
      </w:tr>
      <w:tr w14:paraId="3BC239E7">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0CF6E18">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绿化草坪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3BD12">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74199">
            <w:pPr>
              <w:shd w:val="clear" w:color="auto" w:fill="auto"/>
              <w:jc w:val="center"/>
              <w:rPr>
                <w:rFonts w:hint="eastAsia" w:ascii="宋体" w:hAnsi="宋体" w:eastAsia="宋体" w:cs="宋体"/>
                <w:color w:val="000000"/>
                <w:sz w:val="22"/>
                <w:szCs w:val="22"/>
              </w:rPr>
            </w:pPr>
          </w:p>
        </w:tc>
      </w:tr>
      <w:tr w14:paraId="2C11866B">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08FCB8B">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景观铺装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7BD9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AE065">
            <w:pPr>
              <w:shd w:val="clear" w:color="auto" w:fill="auto"/>
              <w:jc w:val="center"/>
              <w:rPr>
                <w:rFonts w:hint="eastAsia" w:ascii="宋体" w:hAnsi="宋体" w:eastAsia="宋体" w:cs="宋体"/>
                <w:color w:val="000000"/>
                <w:sz w:val="22"/>
                <w:szCs w:val="22"/>
              </w:rPr>
            </w:pPr>
          </w:p>
        </w:tc>
      </w:tr>
      <w:tr w14:paraId="44DF958C">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816F167">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植物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2C76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FD671">
            <w:pPr>
              <w:shd w:val="clear" w:color="auto" w:fill="auto"/>
              <w:jc w:val="center"/>
              <w:rPr>
                <w:rFonts w:hint="eastAsia" w:ascii="宋体" w:hAnsi="宋体" w:eastAsia="宋体" w:cs="宋体"/>
                <w:color w:val="000000"/>
                <w:sz w:val="22"/>
                <w:szCs w:val="22"/>
              </w:rPr>
            </w:pPr>
          </w:p>
        </w:tc>
      </w:tr>
      <w:tr w14:paraId="5521FD9C">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4FAC09C">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粘合剂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35E0A">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57727">
            <w:pPr>
              <w:shd w:val="clear" w:color="auto" w:fill="auto"/>
              <w:jc w:val="center"/>
              <w:rPr>
                <w:rFonts w:hint="eastAsia" w:ascii="宋体" w:hAnsi="宋体" w:eastAsia="宋体" w:cs="宋体"/>
                <w:color w:val="000000"/>
                <w:sz w:val="22"/>
                <w:szCs w:val="22"/>
              </w:rPr>
            </w:pPr>
          </w:p>
        </w:tc>
      </w:tr>
      <w:tr w14:paraId="19091E49">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793DFBB">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色彩涂料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1C1FB">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9B517">
            <w:pPr>
              <w:shd w:val="clear" w:color="auto" w:fill="auto"/>
              <w:jc w:val="center"/>
              <w:rPr>
                <w:rFonts w:hint="eastAsia" w:ascii="宋体" w:hAnsi="宋体" w:eastAsia="宋体" w:cs="宋体"/>
                <w:color w:val="000000"/>
                <w:sz w:val="22"/>
                <w:szCs w:val="22"/>
              </w:rPr>
            </w:pPr>
          </w:p>
        </w:tc>
      </w:tr>
      <w:tr w14:paraId="2C6AC2E9">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E976F45">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配景汽车及人物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ECE51">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4A1DD">
            <w:pPr>
              <w:shd w:val="clear" w:color="auto" w:fill="auto"/>
              <w:jc w:val="center"/>
              <w:rPr>
                <w:rFonts w:hint="eastAsia" w:ascii="宋体" w:hAnsi="宋体" w:eastAsia="宋体" w:cs="宋体"/>
                <w:color w:val="000000"/>
                <w:sz w:val="22"/>
                <w:szCs w:val="22"/>
              </w:rPr>
            </w:pPr>
          </w:p>
        </w:tc>
      </w:tr>
      <w:tr w14:paraId="26C935C4">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9D8A117">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灯光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09610">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84493">
            <w:pPr>
              <w:shd w:val="clear" w:color="auto" w:fill="auto"/>
              <w:jc w:val="center"/>
              <w:rPr>
                <w:rFonts w:hint="eastAsia" w:ascii="宋体" w:hAnsi="宋体" w:eastAsia="宋体" w:cs="宋体"/>
                <w:color w:val="000000"/>
                <w:sz w:val="22"/>
                <w:szCs w:val="22"/>
              </w:rPr>
            </w:pPr>
          </w:p>
        </w:tc>
      </w:tr>
      <w:tr w14:paraId="5A30419B">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F4807A3">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F156A">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994FC">
            <w:pPr>
              <w:shd w:val="clear" w:color="auto" w:fill="auto"/>
              <w:jc w:val="center"/>
              <w:rPr>
                <w:rFonts w:hint="eastAsia" w:ascii="宋体" w:hAnsi="宋体" w:eastAsia="宋体" w:cs="宋体"/>
                <w:color w:val="000000"/>
                <w:sz w:val="22"/>
                <w:szCs w:val="22"/>
              </w:rPr>
            </w:pPr>
          </w:p>
        </w:tc>
      </w:tr>
      <w:tr w14:paraId="0FBC6A5B">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CBBCCA4">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雕塑小品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C2F2E">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2FBF1">
            <w:pPr>
              <w:shd w:val="clear" w:color="auto" w:fill="auto"/>
              <w:jc w:val="center"/>
              <w:rPr>
                <w:rFonts w:hint="eastAsia" w:ascii="宋体" w:hAnsi="宋体" w:eastAsia="宋体" w:cs="宋体"/>
                <w:color w:val="000000"/>
                <w:sz w:val="22"/>
                <w:szCs w:val="22"/>
              </w:rPr>
            </w:pPr>
          </w:p>
        </w:tc>
      </w:tr>
      <w:tr w14:paraId="3F50F0CD">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D2A4BA4">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草坪庭院灯、路灯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D7239">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82719">
            <w:pPr>
              <w:shd w:val="clear" w:color="auto" w:fill="auto"/>
              <w:jc w:val="center"/>
              <w:rPr>
                <w:rFonts w:hint="eastAsia" w:ascii="宋体" w:hAnsi="宋体" w:eastAsia="宋体" w:cs="宋体"/>
                <w:color w:val="000000"/>
                <w:sz w:val="22"/>
                <w:szCs w:val="22"/>
              </w:rPr>
            </w:pPr>
          </w:p>
        </w:tc>
      </w:tr>
      <w:tr w14:paraId="5B55AD66">
        <w:tblPrEx>
          <w:tblCellMar>
            <w:top w:w="0" w:type="dxa"/>
            <w:left w:w="108" w:type="dxa"/>
            <w:bottom w:w="0" w:type="dxa"/>
            <w:right w:w="108" w:type="dxa"/>
          </w:tblCellMar>
        </w:tblPrEx>
        <w:trPr>
          <w:trHeight w:val="393"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231637A">
            <w:pPr>
              <w:widowControl/>
              <w:shd w:val="clear" w:color="auto" w:fill="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外围空地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FB3E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DA1CD">
            <w:pPr>
              <w:shd w:val="clear" w:color="auto" w:fill="auto"/>
              <w:jc w:val="center"/>
              <w:rPr>
                <w:rFonts w:hint="eastAsia" w:ascii="宋体" w:hAnsi="宋体" w:eastAsia="宋体" w:cs="宋体"/>
                <w:color w:val="000000"/>
                <w:sz w:val="22"/>
                <w:szCs w:val="22"/>
              </w:rPr>
            </w:pPr>
          </w:p>
        </w:tc>
      </w:tr>
      <w:tr w14:paraId="4228BBD7">
        <w:tblPrEx>
          <w:tblCellMar>
            <w:top w:w="0" w:type="dxa"/>
            <w:left w:w="108" w:type="dxa"/>
            <w:bottom w:w="0" w:type="dxa"/>
            <w:right w:w="108" w:type="dxa"/>
          </w:tblCellMar>
        </w:tblPrEx>
        <w:trPr>
          <w:trHeight w:val="393" w:hRule="atLeast"/>
          <w:jc w:val="center"/>
        </w:trPr>
        <w:tc>
          <w:tcPr>
            <w:tcW w:w="1377" w:type="dxa"/>
            <w:vMerge w:val="restart"/>
            <w:tcBorders>
              <w:top w:val="single" w:color="000000" w:sz="4" w:space="0"/>
              <w:left w:val="single" w:color="000000" w:sz="4" w:space="0"/>
              <w:right w:val="single" w:color="000000" w:sz="4" w:space="0"/>
            </w:tcBorders>
            <w:noWrap/>
            <w:vAlign w:val="center"/>
          </w:tcPr>
          <w:p w14:paraId="177CE16D">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09DE0">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主体结构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CF4C4">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0414D">
            <w:pPr>
              <w:shd w:val="clear" w:color="auto" w:fill="auto"/>
              <w:jc w:val="center"/>
              <w:rPr>
                <w:rFonts w:hint="eastAsia" w:ascii="宋体" w:hAnsi="宋体" w:eastAsia="宋体" w:cs="宋体"/>
                <w:color w:val="000000"/>
                <w:sz w:val="22"/>
                <w:szCs w:val="22"/>
              </w:rPr>
            </w:pPr>
          </w:p>
        </w:tc>
      </w:tr>
      <w:tr w14:paraId="315A8650">
        <w:tblPrEx>
          <w:tblCellMar>
            <w:top w:w="0" w:type="dxa"/>
            <w:left w:w="108" w:type="dxa"/>
            <w:bottom w:w="0" w:type="dxa"/>
            <w:right w:w="108" w:type="dxa"/>
          </w:tblCellMar>
        </w:tblPrEx>
        <w:trPr>
          <w:trHeight w:val="393" w:hRule="atLeast"/>
          <w:jc w:val="center"/>
        </w:trPr>
        <w:tc>
          <w:tcPr>
            <w:tcW w:w="1377" w:type="dxa"/>
            <w:vMerge w:val="continue"/>
            <w:tcBorders>
              <w:left w:val="single" w:color="000000" w:sz="4" w:space="0"/>
              <w:right w:val="single" w:color="000000" w:sz="4" w:space="0"/>
            </w:tcBorders>
            <w:noWrap/>
            <w:vAlign w:val="center"/>
          </w:tcPr>
          <w:p w14:paraId="12004A06">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38733">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主体建筑材料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DAC5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ADC31">
            <w:pPr>
              <w:shd w:val="clear" w:color="auto" w:fill="auto"/>
              <w:jc w:val="center"/>
              <w:rPr>
                <w:rFonts w:hint="eastAsia" w:ascii="宋体" w:hAnsi="宋体" w:eastAsia="宋体" w:cs="宋体"/>
                <w:color w:val="000000"/>
                <w:sz w:val="22"/>
                <w:szCs w:val="22"/>
              </w:rPr>
            </w:pPr>
          </w:p>
        </w:tc>
      </w:tr>
      <w:tr w14:paraId="7F9BE751">
        <w:tblPrEx>
          <w:tblCellMar>
            <w:top w:w="0" w:type="dxa"/>
            <w:left w:w="108" w:type="dxa"/>
            <w:bottom w:w="0" w:type="dxa"/>
            <w:right w:w="108" w:type="dxa"/>
          </w:tblCellMar>
        </w:tblPrEx>
        <w:trPr>
          <w:trHeight w:val="393" w:hRule="atLeast"/>
          <w:jc w:val="center"/>
        </w:trPr>
        <w:tc>
          <w:tcPr>
            <w:tcW w:w="1377" w:type="dxa"/>
            <w:vMerge w:val="continue"/>
            <w:tcBorders>
              <w:left w:val="single" w:color="000000" w:sz="4" w:space="0"/>
              <w:right w:val="single" w:color="000000" w:sz="4" w:space="0"/>
            </w:tcBorders>
            <w:noWrap/>
            <w:vAlign w:val="center"/>
          </w:tcPr>
          <w:p w14:paraId="2FE78FAA">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8CBB3">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底座材料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72FB9">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D5170">
            <w:pPr>
              <w:shd w:val="clear" w:color="auto" w:fill="auto"/>
              <w:jc w:val="center"/>
              <w:rPr>
                <w:rFonts w:hint="eastAsia" w:ascii="宋体" w:hAnsi="宋体" w:eastAsia="宋体" w:cs="宋体"/>
                <w:color w:val="000000"/>
                <w:sz w:val="22"/>
                <w:szCs w:val="22"/>
              </w:rPr>
            </w:pPr>
          </w:p>
        </w:tc>
      </w:tr>
      <w:tr w14:paraId="21ED5B43">
        <w:tblPrEx>
          <w:tblCellMar>
            <w:top w:w="0" w:type="dxa"/>
            <w:left w:w="108" w:type="dxa"/>
            <w:bottom w:w="0" w:type="dxa"/>
            <w:right w:w="108" w:type="dxa"/>
          </w:tblCellMar>
        </w:tblPrEx>
        <w:trPr>
          <w:trHeight w:val="393" w:hRule="atLeast"/>
          <w:jc w:val="center"/>
        </w:trPr>
        <w:tc>
          <w:tcPr>
            <w:tcW w:w="1377" w:type="dxa"/>
            <w:vMerge w:val="continue"/>
            <w:tcBorders>
              <w:left w:val="single" w:color="000000" w:sz="4" w:space="0"/>
              <w:right w:val="single" w:color="000000" w:sz="4" w:space="0"/>
            </w:tcBorders>
            <w:noWrap/>
            <w:vAlign w:val="center"/>
          </w:tcPr>
          <w:p w14:paraId="41FC5B3A">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42378">
            <w:pPr>
              <w:widowControl/>
              <w:shd w:val="clear" w:color="auto" w:fill="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底座外饰材料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7782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83B1E">
            <w:pPr>
              <w:shd w:val="clear" w:color="auto" w:fill="auto"/>
              <w:jc w:val="center"/>
              <w:rPr>
                <w:rFonts w:hint="eastAsia" w:ascii="宋体" w:hAnsi="宋体" w:eastAsia="宋体" w:cs="宋体"/>
                <w:color w:val="000000"/>
                <w:sz w:val="22"/>
                <w:szCs w:val="22"/>
              </w:rPr>
            </w:pPr>
          </w:p>
        </w:tc>
      </w:tr>
      <w:tr w14:paraId="245AFE06">
        <w:tblPrEx>
          <w:tblCellMar>
            <w:top w:w="0" w:type="dxa"/>
            <w:left w:w="108" w:type="dxa"/>
            <w:bottom w:w="0" w:type="dxa"/>
            <w:right w:w="108" w:type="dxa"/>
          </w:tblCellMar>
        </w:tblPrEx>
        <w:trPr>
          <w:trHeight w:val="393" w:hRule="atLeast"/>
          <w:jc w:val="center"/>
        </w:trPr>
        <w:tc>
          <w:tcPr>
            <w:tcW w:w="1377" w:type="dxa"/>
            <w:vMerge w:val="continue"/>
            <w:tcBorders>
              <w:left w:val="single" w:color="000000" w:sz="4" w:space="0"/>
              <w:bottom w:val="single" w:color="000000" w:sz="4" w:space="0"/>
              <w:right w:val="single" w:color="000000" w:sz="4" w:space="0"/>
            </w:tcBorders>
            <w:noWrap/>
            <w:vAlign w:val="center"/>
          </w:tcPr>
          <w:p w14:paraId="6A37C251">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1D8E1">
            <w:pPr>
              <w:widowControl/>
              <w:shd w:val="clear" w:color="auto" w:fill="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内部装修、电视及灯光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BF645">
            <w:pPr>
              <w:shd w:val="clear" w:color="auto" w:fill="auto"/>
              <w:jc w:val="center"/>
              <w:rPr>
                <w:rFonts w:hint="eastAsia"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84644">
            <w:pPr>
              <w:shd w:val="clear" w:color="auto" w:fill="auto"/>
              <w:jc w:val="center"/>
              <w:rPr>
                <w:rFonts w:hint="eastAsia" w:ascii="宋体" w:hAnsi="宋体" w:eastAsia="宋体" w:cs="宋体"/>
                <w:color w:val="000000"/>
                <w:sz w:val="22"/>
                <w:szCs w:val="22"/>
              </w:rPr>
            </w:pPr>
          </w:p>
        </w:tc>
      </w:tr>
    </w:tbl>
    <w:p w14:paraId="24EDDBAE">
      <w:pPr>
        <w:rPr>
          <w:rFonts w:hint="eastAsia" w:ascii="微软雅黑" w:hAnsi="微软雅黑" w:eastAsia="微软雅黑" w:cs="微软雅黑"/>
          <w:lang w:val="en-US" w:eastAsia="zh-CN"/>
        </w:rPr>
      </w:pPr>
    </w:p>
    <w:p w14:paraId="626D9CE1">
      <w:pPr>
        <w:rPr>
          <w:rFonts w:hint="eastAsia" w:ascii="微软雅黑" w:hAnsi="微软雅黑" w:eastAsia="微软雅黑" w:cs="微软雅黑"/>
          <w:lang w:val="en-US" w:eastAsia="zh-CN"/>
        </w:rPr>
      </w:pPr>
    </w:p>
    <w:p w14:paraId="2EDCDEB0">
      <w:pPr>
        <w:rPr>
          <w:rFonts w:hint="eastAsia" w:ascii="微软雅黑" w:hAnsi="微软雅黑" w:eastAsia="微软雅黑" w:cs="微软雅黑"/>
          <w:lang w:val="en-US" w:eastAsia="zh-CN"/>
        </w:rPr>
      </w:pPr>
    </w:p>
    <w:p w14:paraId="71F6A5D4">
      <w:pPr>
        <w:rPr>
          <w:rFonts w:hint="eastAsia" w:ascii="微软雅黑" w:hAnsi="微软雅黑" w:eastAsia="微软雅黑" w:cs="微软雅黑"/>
          <w:lang w:val="en-US" w:eastAsia="zh-CN"/>
        </w:rPr>
      </w:pPr>
    </w:p>
    <w:p w14:paraId="5F810FE7">
      <w:pPr>
        <w:rPr>
          <w:rFonts w:hint="eastAsia" w:ascii="微软雅黑" w:hAnsi="微软雅黑" w:eastAsia="微软雅黑" w:cs="微软雅黑"/>
          <w:lang w:val="en-US" w:eastAsia="zh-CN"/>
        </w:rPr>
      </w:pPr>
    </w:p>
    <w:p w14:paraId="2F03C147">
      <w:pPr>
        <w:rPr>
          <w:rFonts w:hint="eastAsia" w:ascii="微软雅黑" w:hAnsi="微软雅黑" w:eastAsia="微软雅黑" w:cs="微软雅黑"/>
          <w:lang w:val="en-US" w:eastAsia="zh-CN"/>
        </w:rPr>
      </w:pPr>
    </w:p>
    <w:p w14:paraId="32AD2FB1">
      <w:pPr>
        <w:rPr>
          <w:rFonts w:hint="eastAsia" w:ascii="微软雅黑" w:hAnsi="微软雅黑" w:eastAsia="微软雅黑" w:cs="微软雅黑"/>
          <w:lang w:val="en-US" w:eastAsia="zh-CN"/>
        </w:rPr>
      </w:pPr>
    </w:p>
    <w:p w14:paraId="14CACFB9">
      <w:pPr>
        <w:rPr>
          <w:rFonts w:hint="eastAsia" w:ascii="微软雅黑" w:hAnsi="微软雅黑" w:eastAsia="微软雅黑" w:cs="微软雅黑"/>
          <w:lang w:val="en-US" w:eastAsia="zh-CN"/>
        </w:rPr>
      </w:pPr>
    </w:p>
    <w:p w14:paraId="7E6AD747">
      <w:pPr>
        <w:rPr>
          <w:rFonts w:hint="eastAsia" w:ascii="微软雅黑" w:hAnsi="微软雅黑" w:eastAsia="微软雅黑" w:cs="微软雅黑"/>
          <w:lang w:val="en-US" w:eastAsia="zh-CN"/>
        </w:rPr>
      </w:pPr>
    </w:p>
    <w:p w14:paraId="54AF2D5C">
      <w:pPr>
        <w:rPr>
          <w:rFonts w:hint="eastAsia" w:ascii="微软雅黑" w:hAnsi="微软雅黑" w:eastAsia="微软雅黑" w:cs="微软雅黑"/>
          <w:lang w:val="en-US" w:eastAsia="zh-CN"/>
        </w:rPr>
      </w:pPr>
    </w:p>
    <w:p w14:paraId="0C57B0A4">
      <w:pPr>
        <w:rPr>
          <w:rFonts w:hint="eastAsia" w:ascii="微软雅黑" w:hAnsi="微软雅黑" w:eastAsia="微软雅黑" w:cs="微软雅黑"/>
          <w:lang w:val="en-US" w:eastAsia="zh-CN"/>
        </w:rPr>
      </w:pPr>
    </w:p>
    <w:p w14:paraId="454E3F53">
      <w:pPr>
        <w:rPr>
          <w:rFonts w:hint="eastAsia" w:ascii="微软雅黑" w:hAnsi="微软雅黑" w:eastAsia="微软雅黑" w:cs="微软雅黑"/>
          <w:lang w:val="en-US" w:eastAsia="zh-CN"/>
        </w:rPr>
      </w:pPr>
    </w:p>
    <w:p w14:paraId="7E5935DD">
      <w:pPr>
        <w:rPr>
          <w:rFonts w:hint="eastAsia" w:ascii="微软雅黑" w:hAnsi="微软雅黑" w:eastAsia="微软雅黑" w:cs="微软雅黑"/>
          <w:lang w:val="en-US" w:eastAsia="zh-CN"/>
        </w:rPr>
      </w:pPr>
    </w:p>
    <w:p w14:paraId="08D16BE1">
      <w:pPr>
        <w:rPr>
          <w:rFonts w:hint="eastAsia" w:ascii="微软雅黑" w:hAnsi="微软雅黑" w:eastAsia="微软雅黑" w:cs="微软雅黑"/>
          <w:lang w:val="en-US" w:eastAsia="zh-CN"/>
        </w:rPr>
      </w:pP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1"/>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1"/>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1"/>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2"/>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2"/>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D3AE2498"/>
    <w:multiLevelType w:val="singleLevel"/>
    <w:tmpl w:val="D3AE2498"/>
    <w:lvl w:ilvl="0" w:tentative="0">
      <w:start w:val="1"/>
      <w:numFmt w:val="decimal"/>
      <w:lvlText w:val="%1."/>
      <w:lvlJc w:val="left"/>
      <w:pPr>
        <w:ind w:left="425" w:hanging="425"/>
      </w:pPr>
      <w:rPr>
        <w:rFonts w:hint="default"/>
      </w:rPr>
    </w:lvl>
  </w:abstractNum>
  <w:abstractNum w:abstractNumId="3">
    <w:nsid w:val="DBA8BC84"/>
    <w:multiLevelType w:val="singleLevel"/>
    <w:tmpl w:val="DBA8BC84"/>
    <w:lvl w:ilvl="0" w:tentative="0">
      <w:start w:val="1"/>
      <w:numFmt w:val="chineseCounting"/>
      <w:suff w:val="nothing"/>
      <w:lvlText w:val="%1、"/>
      <w:lvlJc w:val="left"/>
      <w:rPr>
        <w:rFonts w:hint="eastAsia"/>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6165199F"/>
    <w:multiLevelType w:val="singleLevel"/>
    <w:tmpl w:val="6165199F"/>
    <w:lvl w:ilvl="0" w:tentative="0">
      <w:start w:val="1"/>
      <w:numFmt w:val="decimal"/>
      <w:lvlText w:val="(%1)"/>
      <w:lvlJc w:val="left"/>
      <w:pPr>
        <w:ind w:left="425" w:hanging="425"/>
      </w:pPr>
      <w:rPr>
        <w:rFonts w:hint="default"/>
      </w:rPr>
    </w:lvl>
  </w:abstractNum>
  <w:abstractNum w:abstractNumId="6">
    <w:nsid w:val="697026C9"/>
    <w:multiLevelType w:val="singleLevel"/>
    <w:tmpl w:val="697026C9"/>
    <w:lvl w:ilvl="0" w:tentative="0">
      <w:start w:val="1"/>
      <w:numFmt w:val="decimal"/>
      <w:lvlText w:val="%1."/>
      <w:lvlJc w:val="left"/>
      <w:pPr>
        <w:ind w:left="425" w:hanging="425"/>
      </w:pPr>
      <w:rPr>
        <w:rFonts w:hint="default"/>
        <w:b/>
        <w:bCs/>
      </w:r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C37DCE"/>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4AC4A61"/>
    <w:rsid w:val="25461841"/>
    <w:rsid w:val="25577F9C"/>
    <w:rsid w:val="26467BC7"/>
    <w:rsid w:val="26FE003E"/>
    <w:rsid w:val="271F4FD3"/>
    <w:rsid w:val="27381764"/>
    <w:rsid w:val="280821E0"/>
    <w:rsid w:val="28AF6D22"/>
    <w:rsid w:val="28B429F0"/>
    <w:rsid w:val="28DB0637"/>
    <w:rsid w:val="29030A9C"/>
    <w:rsid w:val="295B1778"/>
    <w:rsid w:val="2973086F"/>
    <w:rsid w:val="2AAE3069"/>
    <w:rsid w:val="2AE6436F"/>
    <w:rsid w:val="2B020403"/>
    <w:rsid w:val="2B6E5792"/>
    <w:rsid w:val="2B7663F5"/>
    <w:rsid w:val="2B8101D0"/>
    <w:rsid w:val="2C0836EF"/>
    <w:rsid w:val="2C665AE5"/>
    <w:rsid w:val="2C9F2C40"/>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26610"/>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B555FD"/>
    <w:rsid w:val="44270FE3"/>
    <w:rsid w:val="44C20575"/>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BD95878"/>
    <w:rsid w:val="5C480E38"/>
    <w:rsid w:val="5C62522F"/>
    <w:rsid w:val="5C6C0FCA"/>
    <w:rsid w:val="5CA61E20"/>
    <w:rsid w:val="5DDA2B31"/>
    <w:rsid w:val="5E7F03E5"/>
    <w:rsid w:val="5EB51972"/>
    <w:rsid w:val="5EFA30BA"/>
    <w:rsid w:val="5F2E65C5"/>
    <w:rsid w:val="5F8D561F"/>
    <w:rsid w:val="5FA647F3"/>
    <w:rsid w:val="5FBE274E"/>
    <w:rsid w:val="60132283"/>
    <w:rsid w:val="60256EF4"/>
    <w:rsid w:val="60A76A75"/>
    <w:rsid w:val="62721336"/>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EDA1FBD"/>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3">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4">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5">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6">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7">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8">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9">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0">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1">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style>
  <w:style w:type="paragraph" w:styleId="12">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3">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4">
    <w:name w:val="Body Text 3"/>
    <w:basedOn w:val="1"/>
    <w:link w:val="50"/>
    <w:autoRedefine/>
    <w:semiHidden/>
    <w:unhideWhenUsed/>
    <w:qFormat/>
    <w:uiPriority w:val="99"/>
    <w:pPr>
      <w:spacing w:after="120"/>
    </w:pPr>
    <w:rPr>
      <w:sz w:val="16"/>
      <w:szCs w:val="16"/>
    </w:rPr>
  </w:style>
  <w:style w:type="paragraph" w:styleId="15">
    <w:name w:val="Body Text"/>
    <w:basedOn w:val="1"/>
    <w:link w:val="42"/>
    <w:autoRedefine/>
    <w:qFormat/>
    <w:uiPriority w:val="1"/>
    <w:rPr>
      <w:rFonts w:ascii="宋体" w:hAnsi="Arial"/>
      <w:sz w:val="28"/>
    </w:rPr>
  </w:style>
  <w:style w:type="paragraph" w:styleId="16">
    <w:name w:val="Body Text Indent"/>
    <w:basedOn w:val="1"/>
    <w:next w:val="17"/>
    <w:link w:val="46"/>
    <w:autoRedefine/>
    <w:unhideWhenUsed/>
    <w:qFormat/>
    <w:uiPriority w:val="99"/>
    <w:pPr>
      <w:spacing w:after="120"/>
      <w:ind w:left="420" w:leftChars="200"/>
    </w:pPr>
  </w:style>
  <w:style w:type="paragraph" w:styleId="17">
    <w:name w:val="envelope return"/>
    <w:basedOn w:val="1"/>
    <w:autoRedefine/>
    <w:qFormat/>
    <w:uiPriority w:val="0"/>
    <w:rPr>
      <w:sz w:val="22"/>
      <w:szCs w:val="20"/>
      <w:lang w:val="en-GB" w:eastAsia="en-US"/>
    </w:rPr>
  </w:style>
  <w:style w:type="paragraph" w:styleId="18">
    <w:name w:val="toc 3"/>
    <w:basedOn w:val="1"/>
    <w:next w:val="1"/>
    <w:autoRedefine/>
    <w:unhideWhenUsed/>
    <w:qFormat/>
    <w:uiPriority w:val="39"/>
    <w:pPr>
      <w:ind w:left="840" w:leftChars="400"/>
    </w:pPr>
  </w:style>
  <w:style w:type="paragraph" w:styleId="19">
    <w:name w:val="Plain Text"/>
    <w:basedOn w:val="1"/>
    <w:link w:val="48"/>
    <w:autoRedefine/>
    <w:qFormat/>
    <w:uiPriority w:val="0"/>
    <w:rPr>
      <w:rFonts w:ascii="宋体" w:hAnsi="Courier New"/>
    </w:rPr>
  </w:style>
  <w:style w:type="paragraph" w:styleId="20">
    <w:name w:val="Date"/>
    <w:basedOn w:val="1"/>
    <w:next w:val="1"/>
    <w:link w:val="51"/>
    <w:autoRedefine/>
    <w:qFormat/>
    <w:uiPriority w:val="0"/>
    <w:rPr>
      <w:b/>
      <w:sz w:val="28"/>
    </w:rPr>
  </w:style>
  <w:style w:type="paragraph" w:styleId="21">
    <w:name w:val="footer"/>
    <w:basedOn w:val="1"/>
    <w:link w:val="38"/>
    <w:autoRedefine/>
    <w:unhideWhenUsed/>
    <w:qFormat/>
    <w:uiPriority w:val="99"/>
    <w:pPr>
      <w:tabs>
        <w:tab w:val="center" w:pos="4153"/>
        <w:tab w:val="right" w:pos="8306"/>
      </w:tabs>
      <w:snapToGrid w:val="0"/>
    </w:pPr>
    <w:rPr>
      <w:sz w:val="18"/>
      <w:szCs w:val="18"/>
    </w:rPr>
  </w:style>
  <w:style w:type="paragraph" w:styleId="22">
    <w:name w:val="header"/>
    <w:basedOn w:val="1"/>
    <w:link w:val="37"/>
    <w:autoRedefine/>
    <w:unhideWhenUsed/>
    <w:qFormat/>
    <w:uiPriority w:val="0"/>
    <w:pPr>
      <w:tabs>
        <w:tab w:val="center" w:pos="4153"/>
        <w:tab w:val="right" w:pos="8306"/>
      </w:tabs>
      <w:snapToGrid w:val="0"/>
      <w:jc w:val="center"/>
    </w:pPr>
    <w:rPr>
      <w:sz w:val="18"/>
      <w:szCs w:val="18"/>
    </w:rPr>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6"/>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2"/>
    <w:autoRedefine/>
    <w:qFormat/>
    <w:uiPriority w:val="0"/>
    <w:rPr>
      <w:sz w:val="18"/>
      <w:szCs w:val="18"/>
    </w:rPr>
  </w:style>
  <w:style w:type="character" w:customStyle="1" w:styleId="38">
    <w:name w:val="页脚 字符"/>
    <w:basedOn w:val="31"/>
    <w:link w:val="21"/>
    <w:autoRedefine/>
    <w:qFormat/>
    <w:uiPriority w:val="99"/>
    <w:rPr>
      <w:sz w:val="18"/>
      <w:szCs w:val="18"/>
    </w:rPr>
  </w:style>
  <w:style w:type="character" w:customStyle="1" w:styleId="39">
    <w:name w:val="标题 1 字符"/>
    <w:basedOn w:val="31"/>
    <w:link w:val="3"/>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4"/>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5"/>
    <w:autoRedefine/>
    <w:qFormat/>
    <w:uiPriority w:val="0"/>
    <w:rPr>
      <w:rFonts w:ascii="宋体" w:hAnsi="Arial" w:eastAsia="宋体" w:cs="Times New Roman"/>
      <w:sz w:val="28"/>
      <w:szCs w:val="20"/>
      <w14:ligatures w14:val="none"/>
    </w:rPr>
  </w:style>
  <w:style w:type="paragraph" w:customStyle="1" w:styleId="43">
    <w:name w:val="D&amp;L"/>
    <w:basedOn w:val="2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6"/>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5"/>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9"/>
    <w:autoRedefine/>
    <w:qFormat/>
    <w:uiPriority w:val="0"/>
    <w:rPr>
      <w:rFonts w:ascii="宋体" w:hAnsi="Courier New" w:eastAsia="宋体" w:cs="Times New Roman"/>
      <w:szCs w:val="20"/>
      <w14:ligatures w14:val="none"/>
    </w:rPr>
  </w:style>
  <w:style w:type="character" w:customStyle="1" w:styleId="49">
    <w:name w:val="标题 4 字符"/>
    <w:basedOn w:val="31"/>
    <w:link w:val="6"/>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4"/>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0"/>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7"/>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8"/>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9"/>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0"/>
    <w:autoRedefine/>
    <w:semiHidden/>
    <w:qFormat/>
    <w:uiPriority w:val="9"/>
    <w:rPr>
      <w:rFonts w:asciiTheme="majorHAnsi" w:hAnsiTheme="majorHAnsi" w:eastAsiaTheme="majorEastAsia" w:cstheme="majorBidi"/>
      <w:caps/>
    </w:rPr>
  </w:style>
  <w:style w:type="character" w:customStyle="1" w:styleId="58">
    <w:name w:val="标题 9 字符"/>
    <w:basedOn w:val="31"/>
    <w:link w:val="11"/>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3"/>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e8b5414b-012b-4f24-ae8d-74cdb33b46a9}">
  <ds:schemaRefs/>
</ds:datastoreItem>
</file>

<file path=docProps/app.xml><?xml version="1.0" encoding="utf-8"?>
<Properties xmlns="http://schemas.openxmlformats.org/officeDocument/2006/extended-properties" xmlns:vt="http://schemas.openxmlformats.org/officeDocument/2006/docPropsVTypes">
  <Template>Normal</Template>
  <Pages>23</Pages>
  <Words>7510</Words>
  <Characters>7678</Characters>
  <Lines>203</Lines>
  <Paragraphs>224</Paragraphs>
  <TotalTime>20</TotalTime>
  <ScaleCrop>false</ScaleCrop>
  <LinksUpToDate>false</LinksUpToDate>
  <CharactersWithSpaces>8520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2026-07-02T07:12:17Z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