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滨河湾A地块营销管理系统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eastAsiaTheme="minorEastAsia"/>
              <w:b/>
              <w:bCs/>
              <w:spacing w:val="-20"/>
              <w:sz w:val="36"/>
              <w:szCs w:val="36"/>
              <w:lang w:eastAsia="zh-CN"/>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lang w:eastAsia="zh-CN"/>
            </w:rPr>
            <w:t>合肥滨投文化创意发展有限公司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Toc157065227"/>
      <w:r>
        <w:rPr>
          <w:rFonts w:hint="eastAsia" w:ascii="微软雅黑" w:hAnsi="微软雅黑" w:eastAsia="微软雅黑" w:cs="微软雅黑"/>
          <w:color w:val="000000"/>
          <w:sz w:val="22"/>
          <w:szCs w:val="22"/>
          <w:lang w:eastAsia="zh-CN"/>
        </w:rPr>
        <w:t>合肥滨投文化创意发展有限公司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滨河湾A地块营销管理系统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5"/>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滨河湾A地块营销管理系统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439528C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6"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highlight w:val="none"/>
          <w:lang w:val="en-US" w:eastAsia="zh-CN"/>
        </w:rPr>
        <w:t>7</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w:t>
      </w:r>
      <w:r>
        <w:rPr>
          <w:rFonts w:hint="eastAsia" w:ascii="微软雅黑" w:hAnsi="微软雅黑" w:eastAsia="微软雅黑" w:cs="微软雅黑"/>
          <w:sz w:val="22"/>
          <w:szCs w:val="22"/>
          <w:lang w:eastAsia="zh-CN"/>
        </w:rPr>
        <w:t>合肥滨投文化创意发展有限公司</w:t>
      </w:r>
      <w:r>
        <w:rPr>
          <w:rFonts w:hint="eastAsia" w:ascii="微软雅黑" w:hAnsi="微软雅黑" w:eastAsia="微软雅黑" w:cs="微软雅黑"/>
          <w:sz w:val="22"/>
          <w:szCs w:val="22"/>
        </w:rPr>
        <w:t>，地址：合肥市包河区徽州大道1388号401。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朱陈</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4"/>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7" w:name="_Toc273602342"/>
      <w:bookmarkStart w:id="8" w:name="_Toc39733479"/>
      <w:bookmarkStart w:id="9" w:name="_Toc22397"/>
      <w:bookmarkStart w:id="10" w:name="_Toc245092762"/>
      <w:r>
        <w:rPr>
          <w:rFonts w:hint="eastAsia" w:ascii="微软雅黑" w:hAnsi="微软雅黑" w:eastAsia="微软雅黑" w:cs="微软雅黑"/>
          <w:b/>
          <w:bCs/>
          <w:sz w:val="22"/>
          <w:szCs w:val="22"/>
        </w:rPr>
        <w:t>第二章 招标人要求</w:t>
      </w:r>
    </w:p>
    <w:p w14:paraId="42FC0CBC">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滨河湾A地块营销管理系统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2" w:name="_Toc20758"/>
      <w:bookmarkStart w:id="13" w:name="_Toc39733483"/>
      <w:bookmarkStart w:id="14" w:name="_Toc273602355"/>
      <w:bookmarkStart w:id="15" w:name="_Toc245714173"/>
      <w:bookmarkStart w:id="16" w:name="_Toc245028818"/>
      <w:bookmarkStart w:id="17" w:name="_Toc273602352"/>
      <w:bookmarkStart w:id="18" w:name="_Toc245714170"/>
      <w:bookmarkStart w:id="19" w:name="_Toc39733482"/>
      <w:bookmarkStart w:id="20" w:name="_Toc2829"/>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滨河湾A地块营销管理系统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39733484"/>
      <w:bookmarkStart w:id="22" w:name="_Toc245714174"/>
      <w:bookmarkStart w:id="23" w:name="_Toc273602356"/>
      <w:bookmarkStart w:id="24" w:name="_Toc10239"/>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7"/>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74C4298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48B9AB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2360CF7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0B5C1040">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5638F704">
      <w:pPr>
        <w:numPr>
          <w:ilvl w:val="0"/>
          <w:numId w:val="8"/>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75A82CA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13031545">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35EB68A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3B96DB5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E3E63DC">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32428806">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46C1924">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64DE6DC">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33B46419">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EBE8251">
      <w:pPr>
        <w:rPr>
          <w:rFonts w:hint="eastAsia" w:ascii="微软雅黑" w:hAnsi="微软雅黑" w:eastAsia="微软雅黑" w:cs="微软雅黑"/>
          <w:kern w:val="2"/>
        </w:rPr>
      </w:pPr>
      <w:r>
        <w:rPr>
          <w:rFonts w:hint="eastAsia" w:ascii="微软雅黑" w:hAnsi="微软雅黑" w:eastAsia="微软雅黑" w:cs="微软雅黑"/>
          <w:color w:val="000000"/>
          <w:sz w:val="22"/>
          <w:lang w:val="zh-CN"/>
        </w:rPr>
        <w:t>在近三年内投标人或其法定代表人（单位负责人）有行贿犯罪行为的；</w:t>
      </w:r>
      <w:r>
        <w:rPr>
          <w:rFonts w:hint="eastAsia" w:ascii="微软雅黑" w:hAnsi="微软雅黑" w:eastAsia="微软雅黑" w:cs="微软雅黑"/>
          <w:kern w:val="2"/>
        </w:rPr>
        <w:br w:type="page"/>
      </w:r>
    </w:p>
    <w:bookmarkEnd w:id="25"/>
    <w:bookmarkEnd w:id="26"/>
    <w:p w14:paraId="02873617">
      <w:pPr>
        <w:spacing w:line="900" w:lineRule="exact"/>
        <w:ind w:firstLine="440"/>
        <w:jc w:val="center"/>
        <w:rPr>
          <w:rFonts w:hint="eastAsia" w:ascii="微软雅黑" w:hAnsi="微软雅黑" w:eastAsia="微软雅黑" w:cs="微软雅黑"/>
          <w:caps/>
          <w:sz w:val="22"/>
          <w:szCs w:val="22"/>
          <w:lang w:val="zh-CN"/>
        </w:rPr>
      </w:pPr>
      <w:bookmarkStart w:id="49" w:name="_GoBack"/>
      <w:bookmarkEnd w:id="49"/>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滨河湾A地块营销管理系统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8" w:name="_Toc328559344"/>
          <w:bookmarkStart w:id="29" w:name="_Toc273602363"/>
          <w:bookmarkStart w:id="30" w:name="_Toc270410845"/>
          <w:bookmarkStart w:id="31" w:name="_Toc240898303"/>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7"/>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2" w:name="_Toc144974829"/>
      <w:bookmarkStart w:id="33" w:name="_Toc246996338"/>
      <w:bookmarkStart w:id="34" w:name="_Toc179632787"/>
      <w:bookmarkStart w:id="35" w:name="_Toc152042388"/>
      <w:bookmarkStart w:id="36" w:name="_Toc246997081"/>
      <w:bookmarkStart w:id="37" w:name="_Toc247085853"/>
      <w:bookmarkStart w:id="38" w:name="_Toc247514197"/>
      <w:bookmarkStart w:id="39" w:name="_Toc152045610"/>
      <w:bookmarkStart w:id="40" w:name="_Toc247527798"/>
      <w:bookmarkStart w:id="41" w:name="_Toc300835199"/>
      <w:bookmarkStart w:id="42" w:name="_Toc501460777"/>
      <w:bookmarkStart w:id="43" w:name="_Toc184635122"/>
      <w:bookmarkStart w:id="44" w:name="_Toc144974578"/>
      <w:bookmarkStart w:id="45" w:name="_Toc152042549"/>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合肥滨投文化创意发展有限公司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6" w:name="OLE_LINK4"/>
      <w:bookmarkStart w:id="47"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1785"/>
        <w:gridCol w:w="1077"/>
        <w:gridCol w:w="1220"/>
        <w:gridCol w:w="1060"/>
        <w:gridCol w:w="1078"/>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滨河湾A地块营销管理系统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6"/>
    <w:bookmarkEnd w:id="47"/>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8"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8"/>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F2135C52"/>
    <w:multiLevelType w:val="singleLevel"/>
    <w:tmpl w:val="F2135C52"/>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2"/>
  </w:num>
  <w:num w:numId="4">
    <w:abstractNumId w:val="0"/>
  </w:num>
  <w:num w:numId="5">
    <w:abstractNumId w:val="5"/>
  </w:num>
  <w:num w:numId="6">
    <w:abstractNumId w:val="4"/>
  </w:num>
  <w:num w:numId="7">
    <w:abstractNumId w:val="1"/>
  </w:num>
  <w:num w:numId="8">
    <w:abstractNumId w:val="3"/>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5BC0494"/>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67F2C57"/>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3360</Words>
  <Characters>3495</Characters>
  <Lines>142</Lines>
  <Paragraphs>97</Paragraphs>
  <TotalTime>38</TotalTime>
  <ScaleCrop>false</ScaleCrop>
  <LinksUpToDate>false</LinksUpToDate>
  <CharactersWithSpaces>3740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zhuchen</cp:lastModifiedBy>
  <cp:lastPrinted>2026-06-26T02:22:00Z</cp:lastPrinted>
  <dcterms:modified xsi:type="dcterms:W3CDTF">2026-07-03T00:32:51Z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eyJoZGlkIjoiYWFjNDhjMzM3ZTdmYzhjMDE4NWI4YTI2ZmM3MjdjMzIiLCJ1c2VySWQiOiI0MTMyOTcxMDgifQ==</vt:lpwstr>
  </property>
</Properties>
</file>