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eastAsia" w:ascii="微软雅黑" w:hAnsi="微软雅黑" w:eastAsia="微软雅黑" w:cs="微软雅黑"/>
          <w:caps/>
          <w:sz w:val="22"/>
          <w:szCs w:val="22"/>
          <w:highlight w:val="none"/>
          <w:lang w:val="zh-CN"/>
        </w:rPr>
        <w:id w:val="652958763"/>
        <w:docPartObj>
          <w:docPartGallery w:val="Table of Contents"/>
          <w:docPartUnique/>
        </w:docPartObj>
      </w:sdtPr>
      <w:sdtEndPr>
        <w:rPr>
          <w:rFonts w:hint="eastAsia" w:ascii="微软雅黑" w:hAnsi="微软雅黑" w:eastAsia="微软雅黑" w:cs="微软雅黑"/>
          <w:caps/>
          <w:color w:val="000000"/>
          <w:sz w:val="24"/>
          <w:szCs w:val="24"/>
          <w:highlight w:val="none"/>
          <w:lang w:val="zh-CN"/>
        </w:rPr>
      </w:sdtEndPr>
      <w:sdtContent>
        <w:p w14:paraId="3EC20F31">
          <w:pPr>
            <w:spacing w:line="240" w:lineRule="auto"/>
            <w:jc w:val="center"/>
            <w:rPr>
              <w:rFonts w:hint="eastAsia" w:ascii="微软雅黑" w:hAnsi="微软雅黑" w:eastAsia="微软雅黑" w:cs="微软雅黑"/>
              <w:b/>
              <w:sz w:val="72"/>
              <w:szCs w:val="72"/>
              <w:highlight w:val="none"/>
            </w:rPr>
          </w:pPr>
          <w:bookmarkStart w:id="0" w:name="_Toc273602339"/>
          <w:bookmarkStart w:id="1" w:name="_Toc245092759"/>
          <w:bookmarkStart w:id="2" w:name="_Toc328559326"/>
          <w:r>
            <w:rPr>
              <w:rFonts w:hint="eastAsia" w:ascii="微软雅黑" w:hAnsi="微软雅黑" w:eastAsia="微软雅黑" w:cs="微软雅黑"/>
              <w:b/>
              <w:bCs/>
              <w:sz w:val="56"/>
              <w:szCs w:val="56"/>
              <w:highlight w:val="none"/>
              <w:lang w:val="zh-CN" w:eastAsia="zh-CN"/>
            </w:rPr>
            <w:t>嘉玺项目朋友圈信息流广告投放</w:t>
          </w:r>
        </w:p>
        <w:p w14:paraId="2432D4C0">
          <w:pPr>
            <w:adjustRightInd w:val="0"/>
            <w:snapToGrid w:val="0"/>
            <w:spacing w:before="48" w:beforeLines="20" w:after="48" w:afterLines="20" w:line="240" w:lineRule="auto"/>
            <w:jc w:val="center"/>
            <w:rPr>
              <w:rFonts w:hint="eastAsia" w:ascii="微软雅黑" w:hAnsi="微软雅黑" w:eastAsia="微软雅黑" w:cs="微软雅黑"/>
              <w:b/>
              <w:bCs/>
              <w:sz w:val="72"/>
              <w:szCs w:val="72"/>
              <w:highlight w:val="none"/>
            </w:rPr>
          </w:pPr>
        </w:p>
        <w:p w14:paraId="48D83196">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招</w:t>
          </w:r>
        </w:p>
        <w:p w14:paraId="45385C13">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标</w:t>
          </w:r>
        </w:p>
        <w:p w14:paraId="1469C809">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文</w:t>
          </w:r>
        </w:p>
        <w:p w14:paraId="3AA14135">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件</w:t>
          </w:r>
        </w:p>
        <w:p w14:paraId="16F4AD48">
          <w:pPr>
            <w:pStyle w:val="28"/>
            <w:spacing w:line="240" w:lineRule="auto"/>
            <w:rPr>
              <w:rFonts w:hint="eastAsia" w:ascii="微软雅黑" w:hAnsi="微软雅黑" w:eastAsia="微软雅黑" w:cs="微软雅黑"/>
              <w:b/>
              <w:sz w:val="30"/>
              <w:szCs w:val="30"/>
              <w:highlight w:val="none"/>
            </w:rPr>
          </w:pPr>
        </w:p>
        <w:p w14:paraId="174B289F">
          <w:pPr>
            <w:pStyle w:val="28"/>
            <w:spacing w:line="240" w:lineRule="auto"/>
            <w:rPr>
              <w:rFonts w:hint="eastAsia" w:ascii="微软雅黑" w:hAnsi="微软雅黑" w:eastAsia="微软雅黑" w:cs="微软雅黑"/>
              <w:b/>
              <w:sz w:val="30"/>
              <w:szCs w:val="30"/>
              <w:highlight w:val="none"/>
            </w:rPr>
          </w:pPr>
        </w:p>
        <w:p w14:paraId="5E31F66F">
          <w:pPr>
            <w:adjustRightInd w:val="0"/>
            <w:snapToGrid w:val="0"/>
            <w:spacing w:before="48" w:beforeLines="20" w:after="48" w:afterLines="20" w:line="240" w:lineRule="auto"/>
            <w:jc w:val="center"/>
            <w:rPr>
              <w:rFonts w:hint="eastAsia" w:ascii="微软雅黑" w:hAnsi="微软雅黑" w:eastAsia="微软雅黑" w:cs="微软雅黑"/>
              <w:b/>
              <w:bCs/>
              <w:spacing w:val="-20"/>
              <w:sz w:val="36"/>
              <w:szCs w:val="36"/>
              <w:highlight w:val="none"/>
            </w:rPr>
          </w:pPr>
          <w:r>
            <w:rPr>
              <w:rFonts w:hint="eastAsia" w:ascii="微软雅黑" w:hAnsi="微软雅黑" w:eastAsia="微软雅黑" w:cs="微软雅黑"/>
              <w:b/>
              <w:bCs/>
              <w:spacing w:val="-20"/>
              <w:sz w:val="36"/>
              <w:szCs w:val="36"/>
              <w:highlight w:val="none"/>
            </w:rPr>
            <w:t>招标单位：合肥市包河区城市更新建设有限公司</w:t>
          </w:r>
        </w:p>
        <w:p w14:paraId="7749C96A">
          <w:pPr>
            <w:tabs>
              <w:tab w:val="left" w:pos="420"/>
              <w:tab w:val="left" w:pos="4200"/>
            </w:tabs>
            <w:spacing w:line="240" w:lineRule="auto"/>
            <w:jc w:val="center"/>
            <w:rPr>
              <w:rFonts w:hint="eastAsia" w:ascii="微软雅黑" w:hAnsi="微软雅黑" w:eastAsia="微软雅黑" w:cs="微软雅黑"/>
              <w:sz w:val="32"/>
              <w:highlight w:val="none"/>
            </w:rPr>
          </w:pPr>
          <w:bookmarkStart w:id="3" w:name="_Toc245092758"/>
          <w:bookmarkStart w:id="4" w:name="_Toc273602338"/>
          <w:r>
            <w:rPr>
              <w:rFonts w:hint="eastAsia" w:ascii="微软雅黑" w:hAnsi="微软雅黑" w:eastAsia="微软雅黑" w:cs="微软雅黑"/>
              <w:bCs/>
              <w:sz w:val="36"/>
              <w:highlight w:val="none"/>
            </w:rPr>
            <w:t>二〇二</w:t>
          </w:r>
          <w:r>
            <w:rPr>
              <w:rFonts w:hint="eastAsia" w:ascii="微软雅黑" w:hAnsi="微软雅黑" w:eastAsia="微软雅黑" w:cs="微软雅黑"/>
              <w:bCs/>
              <w:sz w:val="36"/>
              <w:highlight w:val="none"/>
              <w:lang w:val="en-US" w:eastAsia="zh-CN"/>
            </w:rPr>
            <w:t>六</w:t>
          </w:r>
          <w:r>
            <w:rPr>
              <w:rFonts w:hint="eastAsia" w:ascii="微软雅黑" w:hAnsi="微软雅黑" w:eastAsia="微软雅黑" w:cs="微软雅黑"/>
              <w:bCs/>
              <w:sz w:val="36"/>
              <w:highlight w:val="none"/>
            </w:rPr>
            <w:t>年</w:t>
          </w:r>
          <w:r>
            <w:rPr>
              <w:rFonts w:hint="eastAsia" w:ascii="微软雅黑" w:hAnsi="微软雅黑" w:eastAsia="微软雅黑" w:cs="微软雅黑"/>
              <w:bCs/>
              <w:sz w:val="36"/>
              <w:highlight w:val="none"/>
              <w:lang w:val="en-US" w:eastAsia="zh-CN"/>
            </w:rPr>
            <w:t>七</w:t>
          </w:r>
          <w:r>
            <w:rPr>
              <w:rFonts w:hint="eastAsia" w:ascii="微软雅黑" w:hAnsi="微软雅黑" w:eastAsia="微软雅黑" w:cs="微软雅黑"/>
              <w:bCs/>
              <w:sz w:val="36"/>
              <w:highlight w:val="none"/>
            </w:rPr>
            <w:t>月</w:t>
          </w:r>
        </w:p>
        <w:p w14:paraId="55575583">
          <w:pPr>
            <w:tabs>
              <w:tab w:val="left" w:pos="4620"/>
            </w:tabs>
            <w:spacing w:line="360" w:lineRule="auto"/>
            <w:jc w:val="center"/>
            <w:rPr>
              <w:rFonts w:hint="eastAsia" w:ascii="微软雅黑" w:hAnsi="微软雅黑" w:eastAsia="微软雅黑" w:cs="微软雅黑"/>
              <w:b/>
              <w:sz w:val="32"/>
              <w:highlight w:val="none"/>
            </w:rPr>
            <w:sectPr>
              <w:headerReference r:id="rId5" w:type="default"/>
              <w:footerReference r:id="rId6" w:type="even"/>
              <w:pgSz w:w="11907" w:h="16840"/>
              <w:pgMar w:top="1440" w:right="1080" w:bottom="1440" w:left="1080" w:header="851" w:footer="992" w:gutter="0"/>
              <w:cols w:space="720" w:num="1"/>
              <w:docGrid w:linePitch="303" w:charSpace="0"/>
            </w:sectPr>
          </w:pPr>
        </w:p>
        <w:p w14:paraId="74FA0E0E">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p>
      </w:sdtContent>
    </w:sdt>
    <w:bookmarkEnd w:id="3"/>
    <w:bookmarkEnd w:id="4"/>
    <w:p w14:paraId="60EC4A23">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bookmarkStart w:id="5" w:name="_Hlk156310076"/>
      <w:bookmarkStart w:id="6" w:name="_Toc157065227"/>
      <w:r>
        <w:rPr>
          <w:rFonts w:hint="eastAsia" w:ascii="微软雅黑" w:hAnsi="微软雅黑" w:eastAsia="微软雅黑" w:cs="微软雅黑"/>
          <w:color w:val="000000"/>
          <w:sz w:val="24"/>
          <w:szCs w:val="24"/>
          <w:highlight w:val="none"/>
          <w:lang w:val="zh-CN"/>
        </w:rPr>
        <w:t>合肥市包河区城市更新建设有限公司</w:t>
      </w:r>
      <w:bookmarkEnd w:id="5"/>
      <w:r>
        <w:rPr>
          <w:rFonts w:hint="eastAsia" w:ascii="微软雅黑" w:hAnsi="微软雅黑" w:eastAsia="微软雅黑" w:cs="微软雅黑"/>
          <w:color w:val="000000"/>
          <w:sz w:val="24"/>
          <w:szCs w:val="24"/>
          <w:highlight w:val="none"/>
          <w:lang w:val="zh-CN"/>
        </w:rPr>
        <w:t>对</w:t>
      </w:r>
      <w:r>
        <w:rPr>
          <w:rFonts w:hint="eastAsia" w:ascii="微软雅黑" w:hAnsi="微软雅黑" w:eastAsia="微软雅黑" w:cs="微软雅黑"/>
          <w:b/>
          <w:bCs/>
          <w:color w:val="000000"/>
          <w:sz w:val="24"/>
          <w:szCs w:val="24"/>
          <w:highlight w:val="none"/>
          <w:u w:val="single"/>
          <w:lang w:val="zh-CN"/>
        </w:rPr>
        <w:t>“嘉玺项目朋友圈信息流广告投放”</w:t>
      </w:r>
      <w:r>
        <w:rPr>
          <w:rFonts w:hint="eastAsia" w:ascii="微软雅黑" w:hAnsi="微软雅黑" w:eastAsia="微软雅黑" w:cs="微软雅黑"/>
          <w:color w:val="000000"/>
          <w:sz w:val="24"/>
          <w:szCs w:val="24"/>
          <w:highlight w:val="none"/>
          <w:lang w:val="zh-CN"/>
        </w:rPr>
        <w:t>项目进行公开招标，欢迎具备条件的投标人参加投标。</w:t>
      </w:r>
    </w:p>
    <w:p w14:paraId="0226486E">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p>
    <w:p w14:paraId="226438B3">
      <w:pPr>
        <w:pStyle w:val="2"/>
        <w:spacing w:before="0" w:after="0" w:line="360" w:lineRule="auto"/>
        <w:jc w:val="center"/>
        <w:rPr>
          <w:rFonts w:hint="eastAsia" w:ascii="微软雅黑" w:hAnsi="微软雅黑" w:eastAsia="微软雅黑" w:cs="微软雅黑"/>
          <w:b/>
          <w:bCs/>
          <w:color w:val="000000"/>
          <w:sz w:val="36"/>
          <w:szCs w:val="36"/>
          <w:highlight w:val="none"/>
        </w:rPr>
      </w:pPr>
      <w:r>
        <w:rPr>
          <w:rFonts w:hint="eastAsia" w:ascii="微软雅黑" w:hAnsi="微软雅黑" w:eastAsia="微软雅黑" w:cs="微软雅黑"/>
          <w:b/>
          <w:bCs/>
          <w:color w:val="000000"/>
          <w:sz w:val="36"/>
          <w:szCs w:val="36"/>
          <w:highlight w:val="none"/>
        </w:rPr>
        <w:t xml:space="preserve">第一章 </w:t>
      </w:r>
      <w:bookmarkEnd w:id="0"/>
      <w:bookmarkEnd w:id="1"/>
      <w:bookmarkEnd w:id="2"/>
      <w:r>
        <w:rPr>
          <w:rFonts w:hint="eastAsia" w:ascii="微软雅黑" w:hAnsi="微软雅黑" w:eastAsia="微软雅黑" w:cs="微软雅黑"/>
          <w:b/>
          <w:bCs/>
          <w:color w:val="000000"/>
          <w:sz w:val="36"/>
          <w:szCs w:val="36"/>
          <w:highlight w:val="none"/>
        </w:rPr>
        <w:t>招标公告</w:t>
      </w:r>
      <w:bookmarkEnd w:id="6"/>
    </w:p>
    <w:p w14:paraId="504982A8">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一、项目名称及</w:t>
      </w:r>
      <w:r>
        <w:rPr>
          <w:rFonts w:hint="eastAsia" w:ascii="微软雅黑" w:hAnsi="微软雅黑" w:eastAsia="微软雅黑" w:cs="微软雅黑"/>
          <w:b/>
          <w:color w:val="000000"/>
          <w:sz w:val="32"/>
          <w:szCs w:val="32"/>
          <w:highlight w:val="none"/>
        </w:rPr>
        <w:t>需求</w:t>
      </w:r>
      <w:r>
        <w:rPr>
          <w:rFonts w:hint="eastAsia" w:ascii="微软雅黑" w:hAnsi="微软雅黑" w:eastAsia="微软雅黑" w:cs="微软雅黑"/>
          <w:b/>
          <w:color w:val="000000"/>
          <w:sz w:val="32"/>
          <w:szCs w:val="32"/>
          <w:highlight w:val="none"/>
          <w:lang w:val="zh-CN"/>
        </w:rPr>
        <w:t>：</w:t>
      </w:r>
    </w:p>
    <w:p w14:paraId="6D513EA5">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en-US" w:eastAsia="zh-CN"/>
        </w:rPr>
        <w:t xml:space="preserve">1. </w:t>
      </w:r>
      <w:r>
        <w:rPr>
          <w:rFonts w:hint="eastAsia" w:ascii="微软雅黑" w:hAnsi="微软雅黑" w:eastAsia="微软雅黑" w:cs="微软雅黑"/>
          <w:color w:val="000000"/>
          <w:sz w:val="24"/>
          <w:szCs w:val="24"/>
          <w:highlight w:val="none"/>
          <w:lang w:val="zh-CN"/>
        </w:rPr>
        <w:t>项目名称：</w:t>
      </w:r>
      <w:r>
        <w:rPr>
          <w:rFonts w:hint="eastAsia" w:ascii="微软雅黑" w:hAnsi="微软雅黑" w:eastAsia="微软雅黑" w:cs="微软雅黑"/>
          <w:color w:val="000000"/>
          <w:sz w:val="24"/>
          <w:szCs w:val="24"/>
          <w:highlight w:val="none"/>
          <w:lang w:val="en-US" w:eastAsia="zh-CN"/>
        </w:rPr>
        <w:t>嘉玺项目朋友圈信息流广告投放</w:t>
      </w:r>
    </w:p>
    <w:p w14:paraId="709F4C11">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 xml:space="preserve">2. </w:t>
      </w:r>
      <w:r>
        <w:rPr>
          <w:rFonts w:hint="eastAsia" w:ascii="微软雅黑" w:hAnsi="微软雅黑" w:eastAsia="微软雅黑" w:cs="微软雅黑"/>
          <w:color w:val="000000"/>
          <w:sz w:val="24"/>
          <w:szCs w:val="24"/>
          <w:highlight w:val="none"/>
          <w:lang w:val="zh-CN"/>
        </w:rPr>
        <w:t>预算金额：</w:t>
      </w:r>
      <w:r>
        <w:rPr>
          <w:rFonts w:hint="eastAsia" w:ascii="微软雅黑" w:hAnsi="微软雅黑" w:eastAsia="微软雅黑" w:cs="微软雅黑"/>
          <w:color w:val="000000"/>
          <w:sz w:val="24"/>
          <w:szCs w:val="24"/>
          <w:highlight w:val="none"/>
          <w:lang w:val="en-US" w:eastAsia="zh-CN"/>
        </w:rPr>
        <w:t>不超过8</w:t>
      </w:r>
      <w:r>
        <w:rPr>
          <w:rFonts w:hint="eastAsia" w:ascii="微软雅黑" w:hAnsi="微软雅黑" w:eastAsia="微软雅黑" w:cs="微软雅黑"/>
          <w:color w:val="000000"/>
          <w:sz w:val="24"/>
          <w:szCs w:val="24"/>
          <w:highlight w:val="none"/>
          <w:lang w:val="zh-CN"/>
        </w:rPr>
        <w:t>万元（含税）</w:t>
      </w:r>
    </w:p>
    <w:p w14:paraId="0641DFC8">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en-US" w:eastAsia="zh-CN"/>
        </w:rPr>
        <w:t xml:space="preserve">3. </w:t>
      </w:r>
      <w:r>
        <w:rPr>
          <w:rFonts w:hint="eastAsia" w:ascii="微软雅黑" w:hAnsi="微软雅黑" w:eastAsia="微软雅黑" w:cs="微软雅黑"/>
          <w:color w:val="000000"/>
          <w:sz w:val="24"/>
          <w:szCs w:val="24"/>
          <w:highlight w:val="none"/>
          <w:lang w:val="zh-CN"/>
        </w:rPr>
        <w:t>投放平台：</w:t>
      </w:r>
      <w:r>
        <w:rPr>
          <w:rFonts w:hint="eastAsia" w:ascii="微软雅黑" w:hAnsi="微软雅黑" w:eastAsia="微软雅黑" w:cs="微软雅黑"/>
          <w:color w:val="000000"/>
          <w:sz w:val="24"/>
          <w:szCs w:val="24"/>
          <w:highlight w:val="none"/>
          <w:lang w:val="en-US" w:eastAsia="zh-CN"/>
        </w:rPr>
        <w:t>朋友圈</w:t>
      </w:r>
    </w:p>
    <w:p w14:paraId="46F0E53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en-US" w:eastAsia="zh-CN"/>
        </w:rPr>
        <w:t xml:space="preserve">4. </w:t>
      </w:r>
      <w:r>
        <w:rPr>
          <w:rFonts w:hint="eastAsia" w:ascii="微软雅黑" w:hAnsi="微软雅黑" w:eastAsia="微软雅黑" w:cs="微软雅黑"/>
          <w:color w:val="000000"/>
          <w:sz w:val="24"/>
          <w:szCs w:val="24"/>
          <w:highlight w:val="none"/>
          <w:lang w:val="zh-CN"/>
        </w:rPr>
        <w:t>结算方式：</w:t>
      </w:r>
      <w:r>
        <w:rPr>
          <w:rFonts w:hint="eastAsia" w:ascii="微软雅黑" w:hAnsi="微软雅黑" w:eastAsia="微软雅黑" w:cs="微软雅黑"/>
          <w:color w:val="000000"/>
          <w:sz w:val="24"/>
          <w:szCs w:val="24"/>
          <w:highlight w:val="none"/>
          <w:lang w:val="en-US" w:eastAsia="zh-CN"/>
        </w:rPr>
        <w:t>在预算金额内，</w:t>
      </w:r>
      <w:r>
        <w:rPr>
          <w:rFonts w:hint="eastAsia" w:ascii="微软雅黑" w:hAnsi="微软雅黑" w:eastAsia="微软雅黑" w:cs="微软雅黑"/>
          <w:color w:val="000000"/>
          <w:sz w:val="24"/>
          <w:szCs w:val="24"/>
          <w:highlight w:val="none"/>
          <w:lang w:val="zh-CN"/>
        </w:rPr>
        <w:t>按 CPM（千次曝光成本）单价执行，据实结算</w:t>
      </w:r>
    </w:p>
    <w:p w14:paraId="3755E870">
      <w:pPr>
        <w:autoSpaceDE w:val="0"/>
        <w:autoSpaceDN w:val="0"/>
        <w:adjustRightInd w:val="0"/>
        <w:spacing w:after="0" w:line="360" w:lineRule="auto"/>
        <w:ind w:firstLine="480" w:firstLineChars="200"/>
        <w:jc w:val="both"/>
        <w:rPr>
          <w:rFonts w:hint="eastAsia" w:ascii="微软雅黑" w:hAnsi="微软雅黑" w:eastAsia="微软雅黑" w:cs="微软雅黑"/>
          <w:highlight w:val="none"/>
          <w:lang w:val="en-US" w:eastAsia="zh-CN"/>
        </w:rPr>
      </w:pPr>
      <w:r>
        <w:rPr>
          <w:rFonts w:hint="eastAsia" w:ascii="微软雅黑" w:hAnsi="微软雅黑" w:eastAsia="微软雅黑" w:cs="微软雅黑"/>
          <w:color w:val="000000"/>
          <w:sz w:val="24"/>
          <w:szCs w:val="24"/>
          <w:highlight w:val="none"/>
          <w:lang w:val="en-US" w:eastAsia="zh-CN"/>
        </w:rPr>
        <w:t>5. 招标方式：公开招标</w:t>
      </w:r>
    </w:p>
    <w:p w14:paraId="30A06430">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二、投标人资格条件</w:t>
      </w:r>
    </w:p>
    <w:p w14:paraId="7D659EA7">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1. 投标人应为中华人民共和国境内法律上和财务上独立的法人或依法登记注册的其他组织，合法运作并独立于招标人。法人下属不具备法人资格的分支机构参与投标的，应提供所属法人针对本项目或覆盖本项目的经营事项的有效授权。</w:t>
      </w:r>
    </w:p>
    <w:p w14:paraId="4B6F5057">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2. 投标人的法定代表人或负责人为同一人，存在控股、管理关系的不同投标人，不得参加同一标包投标或者未划分标包的同一招标项目投标。</w:t>
      </w:r>
    </w:p>
    <w:p w14:paraId="75771096">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3. 投标人具有独立承担民事责任的能力。</w:t>
      </w:r>
    </w:p>
    <w:p w14:paraId="746EF532">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4. 投标人资质要求：具有有效的营业执照，营业执照经营范围应包含与招标项目相关的业务许可。</w:t>
      </w:r>
    </w:p>
    <w:p w14:paraId="25E2E6D1">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zh-CN"/>
        </w:rPr>
        <w:t>5. 投标人须具备3年内房地产项目</w:t>
      </w:r>
      <w:r>
        <w:rPr>
          <w:rFonts w:hint="eastAsia" w:ascii="微软雅黑" w:hAnsi="微软雅黑" w:eastAsia="微软雅黑" w:cs="微软雅黑"/>
          <w:color w:val="000000"/>
          <w:sz w:val="24"/>
          <w:szCs w:val="24"/>
          <w:highlight w:val="none"/>
          <w:lang w:val="en-US" w:eastAsia="zh-CN"/>
        </w:rPr>
        <w:t>同类广告投放</w:t>
      </w:r>
      <w:r>
        <w:rPr>
          <w:rFonts w:hint="eastAsia" w:ascii="微软雅黑" w:hAnsi="微软雅黑" w:eastAsia="微软雅黑" w:cs="微软雅黑"/>
          <w:color w:val="000000"/>
          <w:sz w:val="24"/>
          <w:szCs w:val="24"/>
          <w:highlight w:val="none"/>
          <w:lang w:val="zh-CN"/>
        </w:rPr>
        <w:t>业绩，并附</w:t>
      </w:r>
      <w:r>
        <w:rPr>
          <w:rFonts w:hint="eastAsia" w:ascii="微软雅黑" w:hAnsi="微软雅黑" w:eastAsia="微软雅黑" w:cs="微软雅黑"/>
          <w:color w:val="000000"/>
          <w:sz w:val="24"/>
          <w:szCs w:val="24"/>
          <w:highlight w:val="none"/>
          <w:lang w:val="en-US" w:eastAsia="zh-CN"/>
        </w:rPr>
        <w:t>业绩证明（</w:t>
      </w:r>
      <w:r>
        <w:rPr>
          <w:rFonts w:hint="eastAsia" w:ascii="微软雅黑" w:hAnsi="微软雅黑" w:eastAsia="微软雅黑" w:cs="微软雅黑"/>
          <w:color w:val="000000"/>
          <w:sz w:val="24"/>
          <w:szCs w:val="24"/>
          <w:highlight w:val="none"/>
          <w:lang w:val="zh-CN" w:eastAsia="zh-CN"/>
        </w:rPr>
        <w:t>自2023年1月1日起与</w:t>
      </w:r>
      <w:r>
        <w:rPr>
          <w:rFonts w:hint="eastAsia" w:ascii="微软雅黑" w:hAnsi="微软雅黑" w:eastAsia="微软雅黑" w:cs="微软雅黑"/>
          <w:color w:val="000000"/>
          <w:sz w:val="24"/>
          <w:szCs w:val="24"/>
          <w:highlight w:val="none"/>
          <w:lang w:val="en-US" w:eastAsia="zh-CN"/>
        </w:rPr>
        <w:t>合肥市区内</w:t>
      </w:r>
      <w:r>
        <w:rPr>
          <w:rFonts w:hint="eastAsia" w:ascii="微软雅黑" w:hAnsi="微软雅黑" w:eastAsia="微软雅黑" w:cs="微软雅黑"/>
          <w:color w:val="000000"/>
          <w:sz w:val="24"/>
          <w:szCs w:val="24"/>
          <w:highlight w:val="none"/>
          <w:lang w:val="zh-CN" w:eastAsia="zh-CN"/>
        </w:rPr>
        <w:t>不同</w:t>
      </w:r>
      <w:r>
        <w:rPr>
          <w:rFonts w:hint="eastAsia" w:ascii="微软雅黑" w:hAnsi="微软雅黑" w:eastAsia="微软雅黑" w:cs="微软雅黑"/>
          <w:color w:val="000000"/>
          <w:sz w:val="24"/>
          <w:szCs w:val="24"/>
          <w:highlight w:val="none"/>
          <w:lang w:val="en-US" w:eastAsia="zh-CN"/>
        </w:rPr>
        <w:t>房地产</w:t>
      </w:r>
      <w:r>
        <w:rPr>
          <w:rFonts w:hint="eastAsia" w:ascii="微软雅黑" w:hAnsi="微软雅黑" w:eastAsia="微软雅黑" w:cs="微软雅黑"/>
          <w:color w:val="000000"/>
          <w:sz w:val="24"/>
          <w:szCs w:val="24"/>
          <w:highlight w:val="none"/>
          <w:lang w:val="zh-CN" w:eastAsia="zh-CN"/>
        </w:rPr>
        <w:t>开发商签订的至少</w:t>
      </w:r>
      <w:r>
        <w:rPr>
          <w:rFonts w:hint="eastAsia" w:ascii="微软雅黑" w:hAnsi="微软雅黑" w:eastAsia="微软雅黑" w:cs="微软雅黑"/>
          <w:color w:val="000000"/>
          <w:sz w:val="24"/>
          <w:szCs w:val="24"/>
          <w:highlight w:val="none"/>
          <w:lang w:val="en-US" w:eastAsia="zh-CN"/>
        </w:rPr>
        <w:t>3</w:t>
      </w:r>
      <w:r>
        <w:rPr>
          <w:rFonts w:hint="eastAsia" w:ascii="微软雅黑" w:hAnsi="微软雅黑" w:eastAsia="微软雅黑" w:cs="微软雅黑"/>
          <w:color w:val="000000"/>
          <w:sz w:val="24"/>
          <w:szCs w:val="24"/>
          <w:highlight w:val="none"/>
          <w:lang w:val="zh-CN" w:eastAsia="zh-CN"/>
        </w:rPr>
        <w:t>份</w:t>
      </w:r>
      <w:r>
        <w:rPr>
          <w:rFonts w:hint="eastAsia" w:ascii="微软雅黑" w:hAnsi="微软雅黑" w:eastAsia="微软雅黑" w:cs="微软雅黑"/>
          <w:color w:val="000000"/>
          <w:sz w:val="24"/>
          <w:szCs w:val="24"/>
          <w:highlight w:val="none"/>
          <w:lang w:val="en-US" w:eastAsia="zh-CN"/>
        </w:rPr>
        <w:t>同类广告投放</w:t>
      </w:r>
      <w:r>
        <w:rPr>
          <w:rFonts w:hint="eastAsia" w:ascii="微软雅黑" w:hAnsi="微软雅黑" w:eastAsia="微软雅黑" w:cs="微软雅黑"/>
          <w:color w:val="000000"/>
          <w:sz w:val="24"/>
          <w:szCs w:val="24"/>
          <w:highlight w:val="none"/>
          <w:lang w:val="zh-CN" w:eastAsia="zh-CN"/>
        </w:rPr>
        <w:t>合同，每份合同金额不低于</w:t>
      </w:r>
      <w:r>
        <w:rPr>
          <w:rFonts w:hint="eastAsia" w:ascii="微软雅黑" w:hAnsi="微软雅黑" w:eastAsia="微软雅黑" w:cs="微软雅黑"/>
          <w:color w:val="000000"/>
          <w:sz w:val="24"/>
          <w:szCs w:val="24"/>
          <w:highlight w:val="none"/>
          <w:lang w:val="en-US" w:eastAsia="zh-CN"/>
        </w:rPr>
        <w:t>10</w:t>
      </w:r>
      <w:r>
        <w:rPr>
          <w:rFonts w:hint="eastAsia" w:ascii="微软雅黑" w:hAnsi="微软雅黑" w:eastAsia="微软雅黑" w:cs="微软雅黑"/>
          <w:color w:val="000000"/>
          <w:sz w:val="24"/>
          <w:szCs w:val="24"/>
          <w:highlight w:val="none"/>
          <w:lang w:val="zh-CN" w:eastAsia="zh-CN"/>
        </w:rPr>
        <w:t>万元）</w:t>
      </w:r>
      <w:r>
        <w:rPr>
          <w:rFonts w:hint="eastAsia" w:ascii="微软雅黑" w:hAnsi="微软雅黑" w:eastAsia="微软雅黑" w:cs="微软雅黑"/>
          <w:color w:val="000000"/>
          <w:sz w:val="24"/>
          <w:szCs w:val="24"/>
          <w:highlight w:val="none"/>
          <w:lang w:val="en-US" w:eastAsia="zh-CN"/>
        </w:rPr>
        <w:t>；</w:t>
      </w:r>
    </w:p>
    <w:p w14:paraId="7AA98EC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6. 本项目不接受联合体投标。</w:t>
      </w:r>
    </w:p>
    <w:p w14:paraId="47433E1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7. 投标人不得存在以下不良信用记录情形：</w:t>
      </w:r>
    </w:p>
    <w:p w14:paraId="6A9DF204">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(1) 被责令停产停业，暂扣或者吊销许可证，暂扣或者吊销执照；</w:t>
      </w:r>
    </w:p>
    <w:p w14:paraId="6A0A432F">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(2) 进入清算程序，或被宣告破产，或其他丧失履约能力的情形；</w:t>
      </w:r>
    </w:p>
    <w:p w14:paraId="781314D8">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(3) 在国家企业信用信息公示系统（http://www.gsxt.gov.cn/）中被列入严重违法失信企业名 单；</w:t>
      </w:r>
    </w:p>
    <w:p w14:paraId="14E4401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(4) 在“信用中国”网站（http://www.creditchina.gov.cn/）中被列入失信被执行人名单；</w:t>
      </w:r>
    </w:p>
    <w:p w14:paraId="07BC67A4">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(5) 在“信用中国”网站（http://www.creditchina.gov.cn/）中被列入重大税收违法失信主 体名单；</w:t>
      </w:r>
    </w:p>
    <w:p w14:paraId="31E0B400">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(6) 在近三年内投标人或其法定代表人（单位负责人）有行贿犯罪行为的；</w:t>
      </w:r>
    </w:p>
    <w:p w14:paraId="2F2B3055">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p>
    <w:p w14:paraId="759DCF4B">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三、评标方法</w:t>
      </w:r>
    </w:p>
    <w:p w14:paraId="20BD937E">
      <w:pPr>
        <w:numPr>
          <w:ilvl w:val="0"/>
          <w:numId w:val="1"/>
        </w:numPr>
        <w:autoSpaceDE w:val="0"/>
        <w:autoSpaceDN w:val="0"/>
        <w:adjustRightInd w:val="0"/>
        <w:spacing w:after="0" w:line="360" w:lineRule="auto"/>
        <w:ind w:left="0" w:leftChars="0" w:firstLine="440" w:firstLineChars="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zh-CN"/>
        </w:rPr>
        <w:t>1.投标人投标报价的含税价不得高于招标控制价，否则其报价无效；</w:t>
      </w:r>
    </w:p>
    <w:p w14:paraId="451FC26B">
      <w:pPr>
        <w:numPr>
          <w:ilvl w:val="0"/>
          <w:numId w:val="1"/>
        </w:numPr>
        <w:autoSpaceDE w:val="0"/>
        <w:autoSpaceDN w:val="0"/>
        <w:adjustRightInd w:val="0"/>
        <w:spacing w:after="0" w:line="360" w:lineRule="auto"/>
        <w:ind w:left="0" w:leftChars="0" w:firstLine="440" w:firstLineChars="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zh-CN"/>
        </w:rPr>
        <w:t>经询价小组评审符合询价文件规定条件的有效投标人如低于三家，则本次招标流标（另行重新组织询价）；</w:t>
      </w:r>
    </w:p>
    <w:p w14:paraId="1304328A">
      <w:pPr>
        <w:numPr>
          <w:ilvl w:val="0"/>
          <w:numId w:val="1"/>
        </w:numPr>
        <w:autoSpaceDE w:val="0"/>
        <w:autoSpaceDN w:val="0"/>
        <w:adjustRightInd w:val="0"/>
        <w:spacing w:after="0" w:line="360" w:lineRule="auto"/>
        <w:ind w:left="0" w:leftChars="0" w:firstLine="440" w:firstLineChars="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zh-CN"/>
        </w:rPr>
        <w:t>在</w:t>
      </w:r>
      <w:r>
        <w:rPr>
          <w:rFonts w:hint="eastAsia" w:ascii="微软雅黑" w:hAnsi="微软雅黑" w:eastAsia="微软雅黑" w:cs="微软雅黑"/>
          <w:color w:val="000000"/>
          <w:sz w:val="24"/>
          <w:szCs w:val="24"/>
          <w:highlight w:val="none"/>
          <w:lang w:val="en-US" w:eastAsia="zh-CN"/>
        </w:rPr>
        <w:t>同一</w:t>
      </w:r>
      <w:r>
        <w:rPr>
          <w:rFonts w:hint="eastAsia" w:ascii="微软雅黑" w:hAnsi="微软雅黑" w:eastAsia="微软雅黑" w:cs="微软雅黑"/>
          <w:color w:val="000000"/>
          <w:sz w:val="24"/>
          <w:szCs w:val="24"/>
          <w:highlight w:val="none"/>
          <w:lang w:val="zh-CN"/>
        </w:rPr>
        <w:t>投标</w:t>
      </w:r>
      <w:r>
        <w:rPr>
          <w:rFonts w:hint="eastAsia" w:ascii="微软雅黑" w:hAnsi="微软雅黑" w:eastAsia="微软雅黑" w:cs="微软雅黑"/>
          <w:color w:val="000000"/>
          <w:sz w:val="24"/>
          <w:szCs w:val="24"/>
          <w:highlight w:val="none"/>
          <w:lang w:val="en-US" w:eastAsia="zh-CN"/>
        </w:rPr>
        <w:t>预算价下</w:t>
      </w:r>
      <w:r>
        <w:rPr>
          <w:rFonts w:hint="eastAsia" w:ascii="微软雅黑" w:hAnsi="微软雅黑" w:eastAsia="微软雅黑" w:cs="微软雅黑"/>
          <w:color w:val="000000"/>
          <w:sz w:val="24"/>
          <w:szCs w:val="24"/>
          <w:highlight w:val="none"/>
          <w:lang w:val="zh-CN"/>
        </w:rPr>
        <w:t>，以 CPM（千次曝光成本）税前单价作为核心评标依据，</w:t>
      </w:r>
      <w:r>
        <w:rPr>
          <w:rFonts w:hint="eastAsia" w:ascii="微软雅黑" w:hAnsi="微软雅黑" w:eastAsia="微软雅黑" w:cs="微软雅黑"/>
          <w:color w:val="000000"/>
          <w:sz w:val="24"/>
          <w:szCs w:val="24"/>
          <w:highlight w:val="none"/>
          <w:lang w:val="en-US" w:eastAsia="zh-CN"/>
        </w:rPr>
        <w:t>由低到高进行排序，最低价者中标。</w:t>
      </w:r>
      <w:r>
        <w:rPr>
          <w:rFonts w:hint="eastAsia" w:ascii="微软雅黑" w:hAnsi="微软雅黑" w:eastAsia="微软雅黑" w:cs="微软雅黑"/>
          <w:color w:val="000000"/>
          <w:sz w:val="24"/>
          <w:szCs w:val="24"/>
          <w:highlight w:val="none"/>
          <w:lang w:val="zh-CN"/>
        </w:rPr>
        <w:t>若CPM单价相同，则优先选择承诺</w:t>
      </w:r>
      <w:r>
        <w:rPr>
          <w:rFonts w:hint="eastAsia" w:ascii="微软雅黑" w:hAnsi="微软雅黑" w:eastAsia="微软雅黑" w:cs="微软雅黑"/>
          <w:color w:val="000000"/>
          <w:sz w:val="24"/>
          <w:szCs w:val="24"/>
          <w:highlight w:val="none"/>
          <w:lang w:val="en-US" w:eastAsia="zh-CN"/>
        </w:rPr>
        <w:t>线索获取</w:t>
      </w:r>
      <w:r>
        <w:rPr>
          <w:rFonts w:hint="eastAsia" w:ascii="微软雅黑" w:hAnsi="微软雅黑" w:eastAsia="微软雅黑" w:cs="微软雅黑"/>
          <w:color w:val="000000"/>
          <w:sz w:val="24"/>
          <w:szCs w:val="24"/>
          <w:highlight w:val="none"/>
          <w:lang w:val="zh-CN"/>
        </w:rPr>
        <w:t>量更高的投标人。</w:t>
      </w:r>
    </w:p>
    <w:p w14:paraId="1D005226">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en-US" w:eastAsia="zh-CN"/>
        </w:rPr>
        <w:t>若中标人因自身原因无法继续履行合同，其余投标方按报价从低到高依次递补。</w:t>
      </w:r>
    </w:p>
    <w:p w14:paraId="10493E23">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p>
    <w:p w14:paraId="55B3263B">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四、投标报名提交材料及格式要求</w:t>
      </w:r>
    </w:p>
    <w:p w14:paraId="6DCB7659">
      <w:pPr>
        <w:autoSpaceDE w:val="0"/>
        <w:autoSpaceDN w:val="0"/>
        <w:adjustRightInd w:val="0"/>
        <w:spacing w:after="0" w:line="360" w:lineRule="auto"/>
        <w:ind w:firstLine="480" w:firstLineChars="200"/>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1、</w:t>
      </w:r>
      <w:r>
        <w:rPr>
          <w:rFonts w:hint="eastAsia" w:ascii="微软雅黑" w:hAnsi="微软雅黑" w:eastAsia="微软雅黑" w:cs="微软雅黑"/>
          <w:b/>
          <w:bCs/>
          <w:color w:val="000000"/>
          <w:sz w:val="24"/>
          <w:szCs w:val="24"/>
          <w:highlight w:val="none"/>
          <w:lang w:val="zh-CN"/>
        </w:rPr>
        <w:t>报名材料</w:t>
      </w:r>
    </w:p>
    <w:p w14:paraId="08B29E3F">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附件1：投标函 加盖公章；</w:t>
      </w:r>
    </w:p>
    <w:p w14:paraId="59544CE7">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附件2：法人授权委托书 加盖公章；</w:t>
      </w:r>
    </w:p>
    <w:p w14:paraId="455FABF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附件3：投标人信用承诺函 加盖公章；</w:t>
      </w:r>
    </w:p>
    <w:p w14:paraId="276C387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附件4：资质证明文件（营业执照等） 、</w:t>
      </w:r>
      <w:r>
        <w:rPr>
          <w:rFonts w:hint="eastAsia" w:ascii="微软雅黑" w:hAnsi="微软雅黑" w:eastAsia="微软雅黑" w:cs="微软雅黑"/>
          <w:color w:val="000000"/>
          <w:sz w:val="24"/>
          <w:szCs w:val="24"/>
          <w:highlight w:val="none"/>
          <w:lang w:val="en-US" w:eastAsia="zh-CN"/>
        </w:rPr>
        <w:t xml:space="preserve">业绩证明文件 </w:t>
      </w:r>
      <w:r>
        <w:rPr>
          <w:rFonts w:hint="eastAsia" w:ascii="微软雅黑" w:hAnsi="微软雅黑" w:eastAsia="微软雅黑" w:cs="微软雅黑"/>
          <w:color w:val="000000"/>
          <w:sz w:val="24"/>
          <w:szCs w:val="24"/>
          <w:highlight w:val="none"/>
          <w:lang w:val="zh-CN"/>
        </w:rPr>
        <w:t>加盖公章；</w:t>
      </w:r>
    </w:p>
    <w:p w14:paraId="354304E2">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附件5：合作确认书 加盖公章。</w:t>
      </w:r>
    </w:p>
    <w:p w14:paraId="062D0830">
      <w:pPr>
        <w:autoSpaceDE w:val="0"/>
        <w:autoSpaceDN w:val="0"/>
        <w:adjustRightInd w:val="0"/>
        <w:spacing w:after="0" w:line="360" w:lineRule="auto"/>
        <w:ind w:firstLine="480" w:firstLineChars="200"/>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2、</w:t>
      </w:r>
      <w:r>
        <w:rPr>
          <w:rFonts w:hint="eastAsia" w:ascii="微软雅黑" w:hAnsi="微软雅黑" w:eastAsia="微软雅黑" w:cs="微软雅黑"/>
          <w:b/>
          <w:bCs/>
          <w:color w:val="000000"/>
          <w:sz w:val="24"/>
          <w:szCs w:val="24"/>
          <w:highlight w:val="none"/>
          <w:lang w:val="zh-CN"/>
        </w:rPr>
        <w:t>投标报价</w:t>
      </w:r>
    </w:p>
    <w:p w14:paraId="0478664E">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w:t>
      </w:r>
      <w:r>
        <w:rPr>
          <w:rFonts w:hint="eastAsia" w:ascii="微软雅黑" w:hAnsi="微软雅黑" w:eastAsia="微软雅黑" w:cs="微软雅黑"/>
          <w:color w:val="000000"/>
          <w:sz w:val="24"/>
          <w:szCs w:val="24"/>
          <w:highlight w:val="none"/>
          <w:lang w:val="en-US" w:eastAsia="zh-CN"/>
        </w:rPr>
        <w:t>1</w:t>
      </w:r>
      <w:r>
        <w:rPr>
          <w:rFonts w:hint="eastAsia" w:ascii="微软雅黑" w:hAnsi="微软雅黑" w:eastAsia="微软雅黑" w:cs="微软雅黑"/>
          <w:color w:val="000000"/>
          <w:sz w:val="24"/>
          <w:szCs w:val="24"/>
          <w:highlight w:val="none"/>
          <w:lang w:val="zh-CN"/>
        </w:rPr>
        <w:t>：投标报价</w:t>
      </w:r>
      <w:r>
        <w:rPr>
          <w:rFonts w:hint="eastAsia" w:ascii="微软雅黑" w:hAnsi="微软雅黑" w:eastAsia="微软雅黑" w:cs="微软雅黑"/>
          <w:color w:val="000000"/>
          <w:sz w:val="24"/>
          <w:szCs w:val="24"/>
          <w:highlight w:val="none"/>
          <w:lang w:val="en-US" w:eastAsia="zh-CN"/>
        </w:rPr>
        <w:t xml:space="preserve">函 </w:t>
      </w:r>
      <w:r>
        <w:rPr>
          <w:rFonts w:hint="eastAsia" w:ascii="微软雅黑" w:hAnsi="微软雅黑" w:eastAsia="微软雅黑" w:cs="微软雅黑"/>
          <w:color w:val="000000"/>
          <w:sz w:val="24"/>
          <w:szCs w:val="24"/>
          <w:highlight w:val="none"/>
          <w:lang w:val="zh-CN"/>
        </w:rPr>
        <w:t>加盖公章。</w:t>
      </w:r>
    </w:p>
    <w:p w14:paraId="1E330214">
      <w:pPr>
        <w:autoSpaceDE w:val="0"/>
        <w:autoSpaceDN w:val="0"/>
        <w:adjustRightInd w:val="0"/>
        <w:spacing w:after="0" w:line="360" w:lineRule="auto"/>
        <w:ind w:firstLine="480" w:firstLineChars="200"/>
        <w:jc w:val="both"/>
        <w:rPr>
          <w:rFonts w:hint="eastAsia" w:ascii="微软雅黑" w:hAnsi="微软雅黑" w:eastAsia="微软雅黑" w:cs="微软雅黑"/>
          <w:highlight w:val="none"/>
          <w:lang w:val="zh-CN"/>
        </w:rPr>
      </w:pPr>
      <w:r>
        <w:rPr>
          <w:rFonts w:hint="eastAsia" w:ascii="微软雅黑" w:hAnsi="微软雅黑" w:eastAsia="微软雅黑" w:cs="微软雅黑"/>
          <w:color w:val="000000"/>
          <w:sz w:val="24"/>
          <w:szCs w:val="24"/>
          <w:highlight w:val="none"/>
          <w:lang w:val="zh-CN"/>
        </w:rPr>
        <w:t>附件</w:t>
      </w:r>
      <w:r>
        <w:rPr>
          <w:rFonts w:hint="eastAsia" w:ascii="微软雅黑" w:hAnsi="微软雅黑" w:eastAsia="微软雅黑" w:cs="微软雅黑"/>
          <w:color w:val="000000"/>
          <w:sz w:val="24"/>
          <w:szCs w:val="24"/>
          <w:highlight w:val="none"/>
          <w:lang w:val="en-US" w:eastAsia="zh-CN"/>
        </w:rPr>
        <w:t>2</w:t>
      </w:r>
      <w:r>
        <w:rPr>
          <w:rFonts w:hint="eastAsia" w:ascii="微软雅黑" w:hAnsi="微软雅黑" w:eastAsia="微软雅黑" w:cs="微软雅黑"/>
          <w:color w:val="000000"/>
          <w:sz w:val="24"/>
          <w:szCs w:val="24"/>
          <w:highlight w:val="none"/>
          <w:lang w:val="zh-CN"/>
        </w:rPr>
        <w:t>：投标报价</w:t>
      </w:r>
      <w:r>
        <w:rPr>
          <w:rFonts w:hint="eastAsia" w:ascii="微软雅黑" w:hAnsi="微软雅黑" w:eastAsia="微软雅黑" w:cs="微软雅黑"/>
          <w:color w:val="000000"/>
          <w:sz w:val="24"/>
          <w:szCs w:val="24"/>
          <w:highlight w:val="none"/>
          <w:lang w:val="en-US" w:eastAsia="zh-CN"/>
        </w:rPr>
        <w:t xml:space="preserve">单 </w:t>
      </w:r>
      <w:r>
        <w:rPr>
          <w:rFonts w:hint="eastAsia" w:ascii="微软雅黑" w:hAnsi="微软雅黑" w:eastAsia="微软雅黑" w:cs="微软雅黑"/>
          <w:color w:val="000000"/>
          <w:sz w:val="24"/>
          <w:szCs w:val="24"/>
          <w:highlight w:val="none"/>
          <w:lang w:val="zh-CN"/>
        </w:rPr>
        <w:t>加盖公章。</w:t>
      </w:r>
    </w:p>
    <w:p w14:paraId="7683ECCA">
      <w:pPr>
        <w:autoSpaceDE w:val="0"/>
        <w:autoSpaceDN w:val="0"/>
        <w:adjustRightInd w:val="0"/>
        <w:spacing w:after="0" w:line="360" w:lineRule="auto"/>
        <w:ind w:firstLine="480" w:firstLineChars="200"/>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3、</w:t>
      </w:r>
      <w:r>
        <w:rPr>
          <w:rFonts w:hint="eastAsia" w:ascii="微软雅黑" w:hAnsi="微软雅黑" w:eastAsia="微软雅黑" w:cs="微软雅黑"/>
          <w:b/>
          <w:bCs/>
          <w:color w:val="000000"/>
          <w:sz w:val="24"/>
          <w:szCs w:val="24"/>
          <w:highlight w:val="none"/>
          <w:lang w:val="zh-CN"/>
        </w:rPr>
        <w:t>投标要求</w:t>
      </w:r>
    </w:p>
    <w:p w14:paraId="15B7457B">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投标人应按本招标文件“招投标日程表”规定的时间、地点，向招标人密封盖章提交投标文件，于</w:t>
      </w:r>
      <w:r>
        <w:rPr>
          <w:rFonts w:hint="eastAsia" w:ascii="微软雅黑" w:hAnsi="微软雅黑" w:eastAsia="微软雅黑" w:cs="微软雅黑"/>
          <w:color w:val="000000"/>
          <w:sz w:val="24"/>
          <w:szCs w:val="24"/>
          <w:highlight w:val="none"/>
          <w:lang w:val="en-US" w:eastAsia="zh-CN"/>
        </w:rPr>
        <w:t>8月4</w:t>
      </w:r>
      <w:r>
        <w:rPr>
          <w:rFonts w:hint="eastAsia" w:ascii="微软雅黑" w:hAnsi="微软雅黑" w:eastAsia="微软雅黑" w:cs="微软雅黑"/>
          <w:color w:val="000000"/>
          <w:sz w:val="24"/>
          <w:szCs w:val="24"/>
          <w:highlight w:val="none"/>
          <w:lang w:val="zh-CN"/>
        </w:rPr>
        <w:t>日</w:t>
      </w:r>
      <w:r>
        <w:rPr>
          <w:rFonts w:hint="eastAsia" w:ascii="微软雅黑" w:hAnsi="微软雅黑" w:eastAsia="微软雅黑" w:cs="微软雅黑"/>
          <w:color w:val="000000"/>
          <w:sz w:val="24"/>
          <w:szCs w:val="24"/>
          <w:highlight w:val="none"/>
          <w:lang w:val="en-US" w:eastAsia="zh-CN"/>
        </w:rPr>
        <w:t>17</w:t>
      </w:r>
      <w:r>
        <w:rPr>
          <w:rFonts w:hint="eastAsia" w:ascii="微软雅黑" w:hAnsi="微软雅黑" w:eastAsia="微软雅黑" w:cs="微软雅黑"/>
          <w:color w:val="000000"/>
          <w:sz w:val="24"/>
          <w:szCs w:val="24"/>
          <w:highlight w:val="none"/>
          <w:lang w:val="zh-CN"/>
        </w:rPr>
        <w:t>时前送至合肥市包河区城市更新建设有限公司，地址：合肥市包河区徽州大道1388号401。</w:t>
      </w:r>
    </w:p>
    <w:p w14:paraId="0E2A838A">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注：不接受任何形式邮寄文件或电子文件，请投标单位投标负责人密封盖章提交，并以当面确认签字为准。</w:t>
      </w:r>
    </w:p>
    <w:p w14:paraId="1B1956A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eastAsia="zh-CN"/>
        </w:rPr>
      </w:pPr>
      <w:r>
        <w:rPr>
          <w:rFonts w:hint="eastAsia" w:ascii="微软雅黑" w:hAnsi="微软雅黑" w:eastAsia="微软雅黑" w:cs="微软雅黑"/>
          <w:color w:val="000000"/>
          <w:sz w:val="24"/>
          <w:szCs w:val="24"/>
          <w:highlight w:val="none"/>
          <w:lang w:val="zh-CN"/>
        </w:rPr>
        <w:t>联系人：</w:t>
      </w:r>
      <w:r>
        <w:rPr>
          <w:rFonts w:hint="eastAsia" w:ascii="微软雅黑" w:hAnsi="微软雅黑" w:eastAsia="微软雅黑" w:cs="微软雅黑"/>
          <w:color w:val="000000"/>
          <w:sz w:val="24"/>
          <w:szCs w:val="24"/>
          <w:highlight w:val="none"/>
          <w:lang w:val="en-US" w:eastAsia="zh-CN"/>
        </w:rPr>
        <w:t>郭子奇</w:t>
      </w:r>
    </w:p>
    <w:p w14:paraId="578E1098">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报名热线：0551-63456711</w:t>
      </w:r>
    </w:p>
    <w:p w14:paraId="484EF27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联系地址：合肥市包河区徽州大道1388号4楼401</w:t>
      </w:r>
    </w:p>
    <w:p w14:paraId="71BC2F34">
      <w:pPr>
        <w:autoSpaceDE w:val="0"/>
        <w:autoSpaceDN w:val="0"/>
        <w:adjustRightInd w:val="0"/>
        <w:spacing w:after="0" w:line="360" w:lineRule="auto"/>
        <w:ind w:firstLine="480" w:firstLineChars="200"/>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4、</w:t>
      </w:r>
      <w:r>
        <w:rPr>
          <w:rFonts w:hint="eastAsia" w:ascii="微软雅黑" w:hAnsi="微软雅黑" w:eastAsia="微软雅黑" w:cs="微软雅黑"/>
          <w:b/>
          <w:bCs/>
          <w:color w:val="000000"/>
          <w:sz w:val="24"/>
          <w:szCs w:val="24"/>
          <w:highlight w:val="none"/>
          <w:lang w:val="zh-CN"/>
        </w:rPr>
        <w:t>开标</w:t>
      </w:r>
    </w:p>
    <w:p w14:paraId="49A507C5">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具体开标时间、地点详见本招标文件“招投标日程表”。</w:t>
      </w:r>
    </w:p>
    <w:p w14:paraId="5842B70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p>
    <w:p w14:paraId="460D2E94">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五、招标日程表</w:t>
      </w:r>
    </w:p>
    <w:tbl>
      <w:tblPr>
        <w:tblStyle w:val="29"/>
        <w:tblW w:w="49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1982"/>
        <w:gridCol w:w="3433"/>
        <w:gridCol w:w="3460"/>
      </w:tblGrid>
      <w:tr w14:paraId="2666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jc w:val="center"/>
        </w:trPr>
        <w:tc>
          <w:tcPr>
            <w:tcW w:w="393" w:type="pct"/>
            <w:vAlign w:val="center"/>
          </w:tcPr>
          <w:p w14:paraId="470A977C">
            <w:pPr>
              <w:keepNext w:val="0"/>
              <w:keepLines w:val="0"/>
              <w:pageBreakBefore w:val="0"/>
              <w:widowControl/>
              <w:tabs>
                <w:tab w:val="left" w:pos="993"/>
              </w:tabs>
              <w:kinsoku/>
              <w:wordWrap/>
              <w:overflowPunct/>
              <w:topLinePunct w:val="0"/>
              <w:bidi w:val="0"/>
              <w:snapToGrid/>
              <w:spacing w:after="0"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序号</w:t>
            </w:r>
          </w:p>
        </w:tc>
        <w:tc>
          <w:tcPr>
            <w:tcW w:w="1028" w:type="pct"/>
            <w:vAlign w:val="center"/>
          </w:tcPr>
          <w:p w14:paraId="448F9700">
            <w:pPr>
              <w:keepNext w:val="0"/>
              <w:keepLines w:val="0"/>
              <w:pageBreakBefore w:val="0"/>
              <w:widowControl/>
              <w:tabs>
                <w:tab w:val="left" w:pos="993"/>
              </w:tabs>
              <w:kinsoku/>
              <w:wordWrap/>
              <w:overflowPunct/>
              <w:topLinePunct w:val="0"/>
              <w:bidi w:val="0"/>
              <w:snapToGrid/>
              <w:spacing w:after="0"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内容</w:t>
            </w:r>
          </w:p>
        </w:tc>
        <w:tc>
          <w:tcPr>
            <w:tcW w:w="1781" w:type="pct"/>
            <w:vAlign w:val="center"/>
          </w:tcPr>
          <w:p w14:paraId="056AFC71">
            <w:pPr>
              <w:keepNext w:val="0"/>
              <w:keepLines w:val="0"/>
              <w:pageBreakBefore w:val="0"/>
              <w:widowControl/>
              <w:tabs>
                <w:tab w:val="left" w:pos="993"/>
              </w:tabs>
              <w:kinsoku/>
              <w:wordWrap/>
              <w:overflowPunct/>
              <w:topLinePunct w:val="0"/>
              <w:bidi w:val="0"/>
              <w:snapToGrid/>
              <w:spacing w:after="0"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时间</w:t>
            </w:r>
          </w:p>
        </w:tc>
        <w:tc>
          <w:tcPr>
            <w:tcW w:w="1796" w:type="pct"/>
            <w:vAlign w:val="center"/>
          </w:tcPr>
          <w:p w14:paraId="2320B409">
            <w:pPr>
              <w:keepNext w:val="0"/>
              <w:keepLines w:val="0"/>
              <w:pageBreakBefore w:val="0"/>
              <w:widowControl/>
              <w:tabs>
                <w:tab w:val="left" w:pos="993"/>
              </w:tabs>
              <w:kinsoku/>
              <w:wordWrap/>
              <w:overflowPunct/>
              <w:topLinePunct w:val="0"/>
              <w:bidi w:val="0"/>
              <w:snapToGrid/>
              <w:spacing w:after="0"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地点</w:t>
            </w:r>
          </w:p>
        </w:tc>
      </w:tr>
      <w:tr w14:paraId="2DE3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393" w:type="pct"/>
            <w:vAlign w:val="center"/>
          </w:tcPr>
          <w:p w14:paraId="6449F5F8">
            <w:pPr>
              <w:keepNext w:val="0"/>
              <w:keepLines w:val="0"/>
              <w:pageBreakBefore w:val="0"/>
              <w:widowControl/>
              <w:tabs>
                <w:tab w:val="left" w:pos="993"/>
              </w:tabs>
              <w:kinsoku/>
              <w:wordWrap/>
              <w:overflowPunct/>
              <w:topLinePunct w:val="0"/>
              <w:bidi w:val="0"/>
              <w:snapToGrid/>
              <w:spacing w:after="0"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w:t>
            </w:r>
          </w:p>
        </w:tc>
        <w:tc>
          <w:tcPr>
            <w:tcW w:w="1028" w:type="pct"/>
            <w:vAlign w:val="center"/>
          </w:tcPr>
          <w:p w14:paraId="5EEF0DAC">
            <w:pPr>
              <w:keepNext w:val="0"/>
              <w:keepLines w:val="0"/>
              <w:pageBreakBefore w:val="0"/>
              <w:widowControl/>
              <w:tabs>
                <w:tab w:val="left" w:pos="993"/>
              </w:tabs>
              <w:kinsoku/>
              <w:wordWrap/>
              <w:overflowPunct/>
              <w:topLinePunct w:val="0"/>
              <w:bidi w:val="0"/>
              <w:snapToGrid/>
              <w:spacing w:after="0"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招标文件发布</w:t>
            </w:r>
          </w:p>
        </w:tc>
        <w:tc>
          <w:tcPr>
            <w:tcW w:w="1781" w:type="pct"/>
            <w:shd w:val="clear" w:color="auto" w:fill="auto"/>
            <w:vAlign w:val="center"/>
          </w:tcPr>
          <w:p w14:paraId="2E36E9F7">
            <w:pPr>
              <w:keepNext w:val="0"/>
              <w:keepLines w:val="0"/>
              <w:pageBreakBefore w:val="0"/>
              <w:widowControl/>
              <w:tabs>
                <w:tab w:val="left" w:pos="993"/>
              </w:tabs>
              <w:kinsoku/>
              <w:wordWrap/>
              <w:overflowPunct/>
              <w:topLinePunct w:val="0"/>
              <w:bidi w:val="0"/>
              <w:snapToGrid/>
              <w:spacing w:after="0" w:line="240" w:lineRule="auto"/>
              <w:jc w:val="center"/>
              <w:rPr>
                <w:rFonts w:hint="eastAsia" w:ascii="微软雅黑" w:hAnsi="微软雅黑" w:eastAsia="微软雅黑" w:cs="微软雅黑"/>
                <w:sz w:val="24"/>
                <w:szCs w:val="24"/>
                <w:highlight w:val="none"/>
                <w:lang w:val="en-US" w:eastAsia="zh-CN" w:bidi="ar-SA"/>
              </w:rPr>
            </w:pPr>
            <w:r>
              <w:rPr>
                <w:rFonts w:hint="eastAsia" w:ascii="微软雅黑" w:hAnsi="微软雅黑" w:eastAsia="微软雅黑" w:cs="微软雅黑"/>
                <w:sz w:val="24"/>
                <w:szCs w:val="24"/>
                <w:highlight w:val="none"/>
              </w:rPr>
              <w:t>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7</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31</w:t>
            </w:r>
            <w:r>
              <w:rPr>
                <w:rFonts w:hint="eastAsia" w:ascii="微软雅黑" w:hAnsi="微软雅黑" w:eastAsia="微软雅黑" w:cs="微软雅黑"/>
                <w:sz w:val="24"/>
                <w:szCs w:val="24"/>
                <w:highlight w:val="none"/>
              </w:rPr>
              <w:t>日</w:t>
            </w:r>
          </w:p>
        </w:tc>
        <w:tc>
          <w:tcPr>
            <w:tcW w:w="1796" w:type="pct"/>
            <w:vAlign w:val="center"/>
          </w:tcPr>
          <w:p w14:paraId="1E5AB470">
            <w:pPr>
              <w:keepNext w:val="0"/>
              <w:keepLines w:val="0"/>
              <w:pageBreakBefore w:val="0"/>
              <w:widowControl/>
              <w:tabs>
                <w:tab w:val="left" w:pos="993"/>
              </w:tabs>
              <w:kinsoku/>
              <w:wordWrap/>
              <w:overflowPunct/>
              <w:topLinePunct w:val="0"/>
              <w:bidi w:val="0"/>
              <w:snapToGrid/>
              <w:spacing w:after="0"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合肥滨湖集团公共平台</w:t>
            </w:r>
          </w:p>
        </w:tc>
      </w:tr>
      <w:tr w14:paraId="407B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393" w:type="pct"/>
            <w:vAlign w:val="center"/>
          </w:tcPr>
          <w:p w14:paraId="3457D10E">
            <w:pPr>
              <w:keepNext w:val="0"/>
              <w:keepLines w:val="0"/>
              <w:pageBreakBefore w:val="0"/>
              <w:widowControl/>
              <w:tabs>
                <w:tab w:val="left" w:pos="993"/>
              </w:tabs>
              <w:kinsoku/>
              <w:wordWrap/>
              <w:overflowPunct/>
              <w:topLinePunct w:val="0"/>
              <w:bidi w:val="0"/>
              <w:snapToGrid/>
              <w:spacing w:after="0"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w:t>
            </w:r>
          </w:p>
        </w:tc>
        <w:tc>
          <w:tcPr>
            <w:tcW w:w="1028" w:type="pct"/>
            <w:vAlign w:val="center"/>
          </w:tcPr>
          <w:p w14:paraId="316CF1CE">
            <w:pPr>
              <w:keepNext w:val="0"/>
              <w:keepLines w:val="0"/>
              <w:pageBreakBefore w:val="0"/>
              <w:widowControl/>
              <w:tabs>
                <w:tab w:val="left" w:pos="993"/>
              </w:tabs>
              <w:kinsoku/>
              <w:wordWrap/>
              <w:overflowPunct/>
              <w:topLinePunct w:val="0"/>
              <w:bidi w:val="0"/>
              <w:snapToGrid/>
              <w:spacing w:after="0"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投标文件提交</w:t>
            </w:r>
          </w:p>
        </w:tc>
        <w:tc>
          <w:tcPr>
            <w:tcW w:w="1781" w:type="pct"/>
            <w:shd w:val="clear" w:color="auto" w:fill="auto"/>
            <w:vAlign w:val="center"/>
          </w:tcPr>
          <w:p w14:paraId="0F903BDE">
            <w:pPr>
              <w:keepNext w:val="0"/>
              <w:keepLines w:val="0"/>
              <w:pageBreakBefore w:val="0"/>
              <w:widowControl/>
              <w:tabs>
                <w:tab w:val="left" w:pos="993"/>
              </w:tabs>
              <w:kinsoku/>
              <w:wordWrap/>
              <w:overflowPunct/>
              <w:topLinePunct w:val="0"/>
              <w:bidi w:val="0"/>
              <w:snapToGrid/>
              <w:spacing w:after="0" w:line="240" w:lineRule="auto"/>
              <w:jc w:val="center"/>
              <w:rPr>
                <w:rFonts w:hint="eastAsia" w:ascii="微软雅黑" w:hAnsi="微软雅黑" w:eastAsia="微软雅黑" w:cs="微软雅黑"/>
                <w:sz w:val="24"/>
                <w:szCs w:val="24"/>
                <w:highlight w:val="none"/>
                <w:lang w:val="en-US" w:eastAsia="zh-CN" w:bidi="ar-SA"/>
              </w:rPr>
            </w:pPr>
            <w:r>
              <w:rPr>
                <w:rFonts w:hint="eastAsia" w:ascii="微软雅黑" w:hAnsi="微软雅黑" w:eastAsia="微软雅黑" w:cs="微软雅黑"/>
                <w:sz w:val="24"/>
                <w:szCs w:val="24"/>
                <w:highlight w:val="none"/>
              </w:rPr>
              <w:t>截至202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8</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4</w:t>
            </w:r>
            <w:r>
              <w:rPr>
                <w:rFonts w:hint="eastAsia" w:ascii="微软雅黑" w:hAnsi="微软雅黑" w:eastAsia="微软雅黑" w:cs="微软雅黑"/>
                <w:sz w:val="24"/>
                <w:szCs w:val="24"/>
                <w:highlight w:val="none"/>
              </w:rPr>
              <w:t>日</w:t>
            </w:r>
            <w:r>
              <w:rPr>
                <w:rFonts w:hint="eastAsia" w:ascii="微软雅黑" w:hAnsi="微软雅黑" w:eastAsia="微软雅黑" w:cs="微软雅黑"/>
                <w:sz w:val="24"/>
                <w:szCs w:val="24"/>
                <w:highlight w:val="none"/>
                <w:lang w:val="en-US" w:eastAsia="zh-CN"/>
              </w:rPr>
              <w:t>17</w:t>
            </w:r>
            <w:r>
              <w:rPr>
                <w:rFonts w:hint="eastAsia" w:ascii="微软雅黑" w:hAnsi="微软雅黑" w:eastAsia="微软雅黑" w:cs="微软雅黑"/>
                <w:sz w:val="24"/>
                <w:szCs w:val="24"/>
                <w:highlight w:val="none"/>
              </w:rPr>
              <w:t>时</w:t>
            </w:r>
          </w:p>
        </w:tc>
        <w:tc>
          <w:tcPr>
            <w:tcW w:w="1796" w:type="pct"/>
            <w:vAlign w:val="center"/>
          </w:tcPr>
          <w:p w14:paraId="052A44E4">
            <w:pPr>
              <w:keepNext w:val="0"/>
              <w:keepLines w:val="0"/>
              <w:pageBreakBefore w:val="0"/>
              <w:widowControl/>
              <w:tabs>
                <w:tab w:val="left" w:pos="993"/>
              </w:tabs>
              <w:kinsoku/>
              <w:wordWrap/>
              <w:overflowPunct/>
              <w:topLinePunct w:val="0"/>
              <w:bidi w:val="0"/>
              <w:snapToGrid/>
              <w:spacing w:after="0"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合肥市包河区徽州大道1388号</w:t>
            </w:r>
          </w:p>
        </w:tc>
      </w:tr>
      <w:tr w14:paraId="4491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93" w:type="pct"/>
            <w:vAlign w:val="center"/>
          </w:tcPr>
          <w:p w14:paraId="1007E191">
            <w:pPr>
              <w:keepNext w:val="0"/>
              <w:keepLines w:val="0"/>
              <w:pageBreakBefore w:val="0"/>
              <w:widowControl/>
              <w:tabs>
                <w:tab w:val="left" w:pos="993"/>
              </w:tabs>
              <w:kinsoku/>
              <w:wordWrap/>
              <w:overflowPunct/>
              <w:topLinePunct w:val="0"/>
              <w:bidi w:val="0"/>
              <w:snapToGrid/>
              <w:spacing w:after="0"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w:t>
            </w:r>
          </w:p>
        </w:tc>
        <w:tc>
          <w:tcPr>
            <w:tcW w:w="1028" w:type="pct"/>
            <w:vAlign w:val="center"/>
          </w:tcPr>
          <w:p w14:paraId="3B29318A">
            <w:pPr>
              <w:keepNext w:val="0"/>
              <w:keepLines w:val="0"/>
              <w:pageBreakBefore w:val="0"/>
              <w:widowControl/>
              <w:tabs>
                <w:tab w:val="left" w:pos="993"/>
              </w:tabs>
              <w:kinsoku/>
              <w:wordWrap/>
              <w:overflowPunct/>
              <w:topLinePunct w:val="0"/>
              <w:bidi w:val="0"/>
              <w:snapToGrid/>
              <w:spacing w:after="0"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开标时间、地点</w:t>
            </w:r>
          </w:p>
        </w:tc>
        <w:tc>
          <w:tcPr>
            <w:tcW w:w="1781" w:type="pct"/>
            <w:shd w:val="clear" w:color="auto" w:fill="auto"/>
            <w:vAlign w:val="center"/>
          </w:tcPr>
          <w:p w14:paraId="3CF1F0CA">
            <w:pPr>
              <w:keepNext w:val="0"/>
              <w:keepLines w:val="0"/>
              <w:pageBreakBefore w:val="0"/>
              <w:widowControl/>
              <w:tabs>
                <w:tab w:val="left" w:pos="993"/>
              </w:tabs>
              <w:kinsoku/>
              <w:wordWrap/>
              <w:overflowPunct/>
              <w:topLinePunct w:val="0"/>
              <w:bidi w:val="0"/>
              <w:snapToGrid/>
              <w:spacing w:after="0" w:line="240" w:lineRule="auto"/>
              <w:jc w:val="center"/>
              <w:rPr>
                <w:rFonts w:hint="eastAsia" w:ascii="微软雅黑" w:hAnsi="微软雅黑" w:eastAsia="微软雅黑" w:cs="微软雅黑"/>
                <w:sz w:val="24"/>
                <w:szCs w:val="24"/>
                <w:highlight w:val="none"/>
                <w:lang w:val="en-US" w:eastAsia="zh-CN" w:bidi="ar-SA"/>
              </w:rPr>
            </w:pPr>
            <w:r>
              <w:rPr>
                <w:rFonts w:hint="eastAsia" w:ascii="微软雅黑" w:hAnsi="微软雅黑" w:eastAsia="微软雅黑" w:cs="微软雅黑"/>
                <w:sz w:val="24"/>
                <w:szCs w:val="24"/>
                <w:highlight w:val="none"/>
              </w:rPr>
              <w:t>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8</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5</w:t>
            </w:r>
            <w:r>
              <w:rPr>
                <w:rFonts w:hint="eastAsia" w:ascii="微软雅黑" w:hAnsi="微软雅黑" w:eastAsia="微软雅黑" w:cs="微软雅黑"/>
                <w:sz w:val="24"/>
                <w:szCs w:val="24"/>
                <w:highlight w:val="none"/>
              </w:rPr>
              <w:t>日</w:t>
            </w:r>
            <w:r>
              <w:rPr>
                <w:rFonts w:hint="eastAsia" w:ascii="微软雅黑" w:hAnsi="微软雅黑" w:eastAsia="微软雅黑" w:cs="微软雅黑"/>
                <w:sz w:val="24"/>
                <w:szCs w:val="24"/>
                <w:highlight w:val="none"/>
                <w:lang w:val="en-US" w:eastAsia="zh-CN"/>
              </w:rPr>
              <w:t>9时</w:t>
            </w:r>
            <w:r>
              <w:rPr>
                <w:rFonts w:hint="eastAsia" w:ascii="微软雅黑" w:hAnsi="微软雅黑" w:eastAsia="微软雅黑" w:cs="微软雅黑"/>
                <w:sz w:val="24"/>
                <w:szCs w:val="24"/>
                <w:highlight w:val="none"/>
              </w:rPr>
              <w:t>（暂定）</w:t>
            </w:r>
          </w:p>
        </w:tc>
        <w:tc>
          <w:tcPr>
            <w:tcW w:w="1796" w:type="pct"/>
            <w:vAlign w:val="center"/>
          </w:tcPr>
          <w:p w14:paraId="13869334">
            <w:pPr>
              <w:keepNext w:val="0"/>
              <w:keepLines w:val="0"/>
              <w:pageBreakBefore w:val="0"/>
              <w:widowControl/>
              <w:tabs>
                <w:tab w:val="left" w:pos="993"/>
              </w:tabs>
              <w:kinsoku/>
              <w:wordWrap/>
              <w:overflowPunct/>
              <w:topLinePunct w:val="0"/>
              <w:bidi w:val="0"/>
              <w:snapToGrid/>
              <w:spacing w:after="0"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合肥滨湖集团</w:t>
            </w:r>
            <w:r>
              <w:rPr>
                <w:rFonts w:hint="eastAsia" w:ascii="微软雅黑" w:hAnsi="微软雅黑" w:eastAsia="微软雅黑" w:cs="微软雅黑"/>
                <w:sz w:val="24"/>
                <w:szCs w:val="24"/>
                <w:highlight w:val="none"/>
                <w:lang w:val="en-US" w:eastAsia="zh-CN"/>
              </w:rPr>
              <w:t>5</w:t>
            </w:r>
            <w:r>
              <w:rPr>
                <w:rFonts w:hint="eastAsia" w:ascii="微软雅黑" w:hAnsi="微软雅黑" w:eastAsia="微软雅黑" w:cs="微软雅黑"/>
                <w:sz w:val="24"/>
                <w:szCs w:val="24"/>
                <w:highlight w:val="none"/>
              </w:rPr>
              <w:t>楼</w:t>
            </w:r>
            <w:r>
              <w:rPr>
                <w:rFonts w:hint="eastAsia" w:ascii="微软雅黑" w:hAnsi="微软雅黑" w:eastAsia="微软雅黑" w:cs="微软雅黑"/>
                <w:sz w:val="24"/>
                <w:szCs w:val="24"/>
                <w:highlight w:val="none"/>
                <w:lang w:val="en-US" w:eastAsia="zh-CN"/>
              </w:rPr>
              <w:t>开标室</w:t>
            </w:r>
            <w:r>
              <w:rPr>
                <w:rFonts w:hint="eastAsia" w:ascii="微软雅黑" w:hAnsi="微软雅黑" w:eastAsia="微软雅黑" w:cs="微软雅黑"/>
                <w:sz w:val="24"/>
                <w:szCs w:val="24"/>
                <w:highlight w:val="none"/>
              </w:rPr>
              <w:t>（暂定）</w:t>
            </w:r>
          </w:p>
        </w:tc>
      </w:tr>
    </w:tbl>
    <w:p w14:paraId="21D32B69">
      <w:pPr>
        <w:numPr>
          <w:ilvl w:val="0"/>
          <w:numId w:val="0"/>
        </w:numPr>
        <w:autoSpaceDE w:val="0"/>
        <w:autoSpaceDN w:val="0"/>
        <w:adjustRightInd w:val="0"/>
        <w:spacing w:after="0" w:line="360" w:lineRule="auto"/>
        <w:ind w:leftChars="0"/>
        <w:jc w:val="both"/>
        <w:rPr>
          <w:rFonts w:hint="eastAsia" w:ascii="微软雅黑" w:hAnsi="微软雅黑" w:eastAsia="微软雅黑" w:cs="微软雅黑"/>
          <w:color w:val="000000"/>
          <w:sz w:val="24"/>
          <w:szCs w:val="24"/>
          <w:highlight w:val="none"/>
          <w:lang w:val="zh-CN"/>
        </w:rPr>
      </w:pPr>
    </w:p>
    <w:p w14:paraId="5DE76C8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预算金额：不超过</w:t>
      </w:r>
      <w:r>
        <w:rPr>
          <w:rFonts w:hint="eastAsia" w:ascii="微软雅黑" w:hAnsi="微软雅黑" w:eastAsia="微软雅黑" w:cs="微软雅黑"/>
          <w:color w:val="000000"/>
          <w:sz w:val="24"/>
          <w:szCs w:val="24"/>
          <w:highlight w:val="none"/>
          <w:lang w:val="en-US" w:eastAsia="zh-CN"/>
        </w:rPr>
        <w:t>8</w:t>
      </w:r>
      <w:r>
        <w:rPr>
          <w:rFonts w:hint="eastAsia" w:ascii="微软雅黑" w:hAnsi="微软雅黑" w:eastAsia="微软雅黑" w:cs="微软雅黑"/>
          <w:color w:val="000000"/>
          <w:sz w:val="24"/>
          <w:szCs w:val="24"/>
          <w:highlight w:val="none"/>
          <w:lang w:val="zh-CN"/>
        </w:rPr>
        <w:t>万元（含税）</w:t>
      </w:r>
    </w:p>
    <w:p w14:paraId="1DAFC2BA">
      <w:pPr>
        <w:numPr>
          <w:ilvl w:val="0"/>
          <w:numId w:val="2"/>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结算方式：</w:t>
      </w:r>
      <w:r>
        <w:rPr>
          <w:rFonts w:hint="eastAsia" w:ascii="微软雅黑" w:hAnsi="微软雅黑" w:eastAsia="微软雅黑" w:cs="微软雅黑"/>
          <w:color w:val="000000"/>
          <w:sz w:val="24"/>
          <w:szCs w:val="24"/>
          <w:highlight w:val="none"/>
          <w:lang w:val="en-US" w:eastAsia="zh-CN"/>
        </w:rPr>
        <w:t>在预算金额内，</w:t>
      </w:r>
      <w:r>
        <w:rPr>
          <w:rFonts w:hint="eastAsia" w:ascii="微软雅黑" w:hAnsi="微软雅黑" w:eastAsia="微软雅黑" w:cs="微软雅黑"/>
          <w:color w:val="000000"/>
          <w:sz w:val="24"/>
          <w:szCs w:val="24"/>
          <w:highlight w:val="none"/>
          <w:lang w:val="zh-CN"/>
        </w:rPr>
        <w:t>按 CPM（千次曝光成本）单价执行，据实结算</w:t>
      </w:r>
    </w:p>
    <w:p w14:paraId="73056DDF">
      <w:pPr>
        <w:keepNext w:val="0"/>
        <w:keepLines w:val="0"/>
        <w:pageBreakBefore w:val="0"/>
        <w:widowControl/>
        <w:numPr>
          <w:ilvl w:val="0"/>
          <w:numId w:val="2"/>
        </w:numPr>
        <w:kinsoku/>
        <w:wordWrap/>
        <w:overflowPunct/>
        <w:topLinePunct w:val="0"/>
        <w:autoSpaceDE w:val="0"/>
        <w:autoSpaceDN w:val="0"/>
        <w:bidi w:val="0"/>
        <w:adjustRightInd w:val="0"/>
        <w:snapToGrid/>
        <w:spacing w:after="0" w:line="360" w:lineRule="auto"/>
        <w:ind w:left="425" w:leftChars="0" w:hanging="425" w:firstLineChars="0"/>
        <w:jc w:val="both"/>
        <w:rPr>
          <w:rFonts w:hint="eastAsia" w:ascii="微软雅黑" w:hAnsi="微软雅黑" w:eastAsia="微软雅黑" w:cs="微软雅黑"/>
          <w:sz w:val="22"/>
          <w:highlight w:val="none"/>
          <w:lang w:val="en-US" w:eastAsia="zh-CN"/>
        </w:rPr>
      </w:pPr>
      <w:r>
        <w:rPr>
          <w:rFonts w:hint="eastAsia" w:ascii="微软雅黑" w:hAnsi="微软雅黑" w:eastAsia="微软雅黑" w:cs="微软雅黑"/>
          <w:b w:val="0"/>
          <w:bCs w:val="0"/>
          <w:color w:val="000000"/>
          <w:sz w:val="24"/>
          <w:szCs w:val="24"/>
          <w:highlight w:val="none"/>
          <w:lang w:val="en-US" w:eastAsia="zh-CN"/>
        </w:rPr>
        <w:t>招标内容</w:t>
      </w:r>
      <w:r>
        <w:rPr>
          <w:rFonts w:hint="eastAsia" w:ascii="微软雅黑" w:hAnsi="微软雅黑" w:eastAsia="微软雅黑" w:cs="微软雅黑"/>
          <w:b w:val="0"/>
          <w:bCs w:val="0"/>
          <w:color w:val="000000"/>
          <w:sz w:val="24"/>
          <w:szCs w:val="24"/>
          <w:highlight w:val="none"/>
          <w:lang w:val="zh-CN" w:eastAsia="zh-CN"/>
        </w:rPr>
        <w:t>：</w:t>
      </w:r>
      <w:r>
        <w:rPr>
          <w:rFonts w:hint="eastAsia" w:ascii="微软雅黑" w:hAnsi="微软雅黑" w:eastAsia="微软雅黑" w:cs="微软雅黑"/>
          <w:b w:val="0"/>
          <w:bCs w:val="0"/>
          <w:color w:val="000000"/>
          <w:sz w:val="24"/>
          <w:szCs w:val="24"/>
          <w:highlight w:val="none"/>
          <w:lang w:val="en-US" w:eastAsia="zh-CN"/>
        </w:rPr>
        <w:t>具体要求详见附件清单。</w:t>
      </w:r>
    </w:p>
    <w:p w14:paraId="12D083DE">
      <w:pPr>
        <w:rPr>
          <w:rFonts w:hint="eastAsia" w:ascii="微软雅黑" w:hAnsi="微软雅黑" w:eastAsia="微软雅黑" w:cs="微软雅黑"/>
          <w:sz w:val="22"/>
          <w:highlight w:val="none"/>
        </w:rPr>
      </w:pPr>
      <w:r>
        <w:rPr>
          <w:rFonts w:hint="eastAsia" w:ascii="微软雅黑" w:hAnsi="微软雅黑" w:eastAsia="微软雅黑" w:cs="微软雅黑"/>
          <w:sz w:val="22"/>
          <w:highlight w:val="none"/>
        </w:rPr>
        <w:br w:type="page"/>
      </w:r>
      <w:bookmarkStart w:id="58" w:name="_GoBack"/>
      <w:bookmarkEnd w:id="58"/>
    </w:p>
    <w:p w14:paraId="54E799A0">
      <w:pPr>
        <w:pStyle w:val="2"/>
        <w:spacing w:before="0" w:after="0" w:line="360" w:lineRule="auto"/>
        <w:jc w:val="center"/>
        <w:rPr>
          <w:rFonts w:hint="eastAsia" w:ascii="微软雅黑" w:hAnsi="微软雅黑" w:eastAsia="微软雅黑" w:cs="微软雅黑"/>
          <w:b/>
          <w:bCs/>
          <w:color w:val="000000"/>
          <w:sz w:val="36"/>
          <w:szCs w:val="36"/>
          <w:highlight w:val="none"/>
        </w:rPr>
      </w:pPr>
      <w:bookmarkStart w:id="7" w:name="_Toc245092762"/>
      <w:bookmarkStart w:id="8" w:name="_Toc39733479"/>
      <w:bookmarkStart w:id="9" w:name="_Toc273602342"/>
      <w:bookmarkStart w:id="10" w:name="_Toc22397"/>
      <w:r>
        <w:rPr>
          <w:rFonts w:hint="eastAsia" w:ascii="微软雅黑" w:hAnsi="微软雅黑" w:eastAsia="微软雅黑" w:cs="微软雅黑"/>
          <w:b/>
          <w:bCs/>
          <w:color w:val="000000"/>
          <w:sz w:val="36"/>
          <w:szCs w:val="36"/>
          <w:highlight w:val="none"/>
        </w:rPr>
        <w:t>第</w:t>
      </w:r>
      <w:bookmarkStart w:id="11" w:name="_Hlt240110027"/>
      <w:bookmarkEnd w:id="11"/>
      <w:r>
        <w:rPr>
          <w:rFonts w:hint="eastAsia" w:ascii="微软雅黑" w:hAnsi="微软雅黑" w:eastAsia="微软雅黑" w:cs="微软雅黑"/>
          <w:b/>
          <w:bCs/>
          <w:color w:val="000000"/>
          <w:sz w:val="36"/>
          <w:szCs w:val="36"/>
          <w:highlight w:val="none"/>
        </w:rPr>
        <w:t>二章 评标办法</w:t>
      </w:r>
      <w:bookmarkEnd w:id="7"/>
      <w:bookmarkEnd w:id="8"/>
      <w:bookmarkEnd w:id="9"/>
      <w:bookmarkEnd w:id="10"/>
    </w:p>
    <w:p w14:paraId="22C10717">
      <w:pPr>
        <w:tabs>
          <w:tab w:val="left" w:pos="360"/>
          <w:tab w:val="left" w:pos="540"/>
          <w:tab w:val="left" w:pos="3600"/>
          <w:tab w:val="left" w:pos="3780"/>
          <w:tab w:val="left" w:pos="8460"/>
          <w:tab w:val="left" w:pos="9180"/>
        </w:tabs>
        <w:adjustRightInd w:val="0"/>
        <w:snapToGrid w:val="0"/>
        <w:spacing w:line="360" w:lineRule="auto"/>
        <w:jc w:val="center"/>
        <w:rPr>
          <w:rFonts w:hint="eastAsia" w:ascii="微软雅黑" w:hAnsi="微软雅黑" w:eastAsia="微软雅黑" w:cs="微软雅黑"/>
          <w:b/>
          <w:sz w:val="28"/>
          <w:szCs w:val="28"/>
          <w:highlight w:val="none"/>
        </w:rPr>
      </w:pPr>
    </w:p>
    <w:p w14:paraId="2225B558">
      <w:pPr>
        <w:tabs>
          <w:tab w:val="left" w:pos="360"/>
          <w:tab w:val="left" w:pos="540"/>
          <w:tab w:val="left" w:pos="3600"/>
          <w:tab w:val="left" w:pos="3780"/>
          <w:tab w:val="left" w:pos="8460"/>
          <w:tab w:val="left" w:pos="9180"/>
        </w:tabs>
        <w:adjustRightInd w:val="0"/>
        <w:snapToGrid w:val="0"/>
        <w:spacing w:line="360" w:lineRule="auto"/>
        <w:jc w:val="center"/>
        <w:rPr>
          <w:rFonts w:hint="eastAsia" w:ascii="微软雅黑" w:hAnsi="微软雅黑" w:eastAsia="微软雅黑" w:cs="微软雅黑"/>
          <w:b/>
          <w:sz w:val="32"/>
          <w:szCs w:val="32"/>
          <w:highlight w:val="none"/>
        </w:rPr>
      </w:pPr>
      <w:r>
        <w:rPr>
          <w:rFonts w:hint="eastAsia" w:ascii="微软雅黑" w:hAnsi="微软雅黑" w:eastAsia="微软雅黑" w:cs="微软雅黑"/>
          <w:b/>
          <w:sz w:val="32"/>
          <w:szCs w:val="32"/>
          <w:highlight w:val="none"/>
        </w:rPr>
        <w:t>第一节 总  则</w:t>
      </w:r>
    </w:p>
    <w:p w14:paraId="2E8DD18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第一条</w:t>
      </w:r>
      <w:r>
        <w:rPr>
          <w:rFonts w:hint="eastAsia" w:ascii="微软雅黑" w:hAnsi="微软雅黑" w:eastAsia="微软雅黑" w:cs="微软雅黑"/>
          <w:color w:val="000000"/>
          <w:sz w:val="24"/>
          <w:szCs w:val="24"/>
          <w:highlight w:val="none"/>
          <w:lang w:val="zh-CN"/>
        </w:rPr>
        <w:t xml:space="preserve"> 为了做好“</w:t>
      </w:r>
      <w:r>
        <w:rPr>
          <w:rFonts w:hint="eastAsia" w:ascii="微软雅黑" w:hAnsi="微软雅黑" w:eastAsia="微软雅黑" w:cs="微软雅黑"/>
          <w:color w:val="000000"/>
          <w:sz w:val="24"/>
          <w:szCs w:val="24"/>
          <w:highlight w:val="none"/>
          <w:lang w:val="en-US" w:eastAsia="zh-CN"/>
        </w:rPr>
        <w:t>嘉玺项目朋友圈信息流广告投放</w:t>
      </w:r>
      <w:r>
        <w:rPr>
          <w:rFonts w:hint="eastAsia" w:ascii="微软雅黑" w:hAnsi="微软雅黑" w:eastAsia="微软雅黑" w:cs="微软雅黑"/>
          <w:color w:val="000000"/>
          <w:sz w:val="24"/>
          <w:szCs w:val="24"/>
          <w:highlight w:val="none"/>
          <w:lang w:val="zh-CN"/>
        </w:rPr>
        <w:t>”项目的招标评标工作，保证项目评审工作的正常有序进行，依据《中华人民共和国政府采购法》、《中华人民共和国招标投标法》及其它相关法律法规，本着公开、公平、公正的原则，制定评标办法。</w:t>
      </w:r>
    </w:p>
    <w:p w14:paraId="1A3FF85B">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第二条</w:t>
      </w:r>
      <w:r>
        <w:rPr>
          <w:rFonts w:hint="eastAsia" w:ascii="微软雅黑" w:hAnsi="微软雅黑" w:eastAsia="微软雅黑" w:cs="微软雅黑"/>
          <w:color w:val="000000"/>
          <w:sz w:val="24"/>
          <w:szCs w:val="24"/>
          <w:highlight w:val="none"/>
          <w:lang w:val="zh-CN"/>
        </w:rPr>
        <w:t xml:space="preserve"> 本次项目评标在</w:t>
      </w:r>
      <w:r>
        <w:rPr>
          <w:rFonts w:hint="eastAsia" w:ascii="微软雅黑" w:hAnsi="微软雅黑" w:eastAsia="微软雅黑" w:cs="微软雅黑"/>
          <w:color w:val="000000"/>
          <w:sz w:val="24"/>
          <w:szCs w:val="24"/>
          <w:highlight w:val="none"/>
          <w:lang w:val="en-US" w:eastAsia="zh-CN"/>
        </w:rPr>
        <w:t>同一</w:t>
      </w:r>
      <w:r>
        <w:rPr>
          <w:rFonts w:hint="eastAsia" w:ascii="微软雅黑" w:hAnsi="微软雅黑" w:eastAsia="微软雅黑" w:cs="微软雅黑"/>
          <w:color w:val="000000"/>
          <w:sz w:val="24"/>
          <w:szCs w:val="24"/>
          <w:highlight w:val="none"/>
          <w:lang w:val="zh-CN"/>
        </w:rPr>
        <w:t>投标</w:t>
      </w:r>
      <w:r>
        <w:rPr>
          <w:rFonts w:hint="eastAsia" w:ascii="微软雅黑" w:hAnsi="微软雅黑" w:eastAsia="微软雅黑" w:cs="微软雅黑"/>
          <w:color w:val="000000"/>
          <w:sz w:val="24"/>
          <w:szCs w:val="24"/>
          <w:highlight w:val="none"/>
          <w:lang w:val="en-US" w:eastAsia="zh-CN"/>
        </w:rPr>
        <w:t>预算价下</w:t>
      </w:r>
      <w:r>
        <w:rPr>
          <w:rFonts w:hint="eastAsia" w:ascii="微软雅黑" w:hAnsi="微软雅黑" w:eastAsia="微软雅黑" w:cs="微软雅黑"/>
          <w:color w:val="000000"/>
          <w:sz w:val="24"/>
          <w:szCs w:val="24"/>
          <w:highlight w:val="none"/>
          <w:lang w:val="zh-CN"/>
        </w:rPr>
        <w:t>，以 CPM（千次曝光成本）税前单价作为核心评标依据，</w:t>
      </w:r>
      <w:r>
        <w:rPr>
          <w:rFonts w:hint="eastAsia" w:ascii="微软雅黑" w:hAnsi="微软雅黑" w:eastAsia="微软雅黑" w:cs="微软雅黑"/>
          <w:color w:val="000000"/>
          <w:sz w:val="24"/>
          <w:szCs w:val="24"/>
          <w:highlight w:val="none"/>
          <w:lang w:val="en-US" w:eastAsia="zh-CN"/>
        </w:rPr>
        <w:t>以</w:t>
      </w:r>
      <w:r>
        <w:rPr>
          <w:rFonts w:hint="eastAsia" w:ascii="微软雅黑" w:hAnsi="微软雅黑" w:eastAsia="微软雅黑" w:cs="微软雅黑"/>
          <w:color w:val="000000"/>
          <w:sz w:val="24"/>
          <w:szCs w:val="24"/>
          <w:highlight w:val="none"/>
          <w:lang w:val="zh-CN"/>
        </w:rPr>
        <w:t>最低价中标确定合作单位。</w:t>
      </w:r>
    </w:p>
    <w:p w14:paraId="66EB83F7">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第三条</w:t>
      </w:r>
      <w:r>
        <w:rPr>
          <w:rFonts w:hint="eastAsia" w:ascii="微软雅黑" w:hAnsi="微软雅黑" w:eastAsia="微软雅黑" w:cs="微软雅黑"/>
          <w:color w:val="000000"/>
          <w:sz w:val="24"/>
          <w:szCs w:val="24"/>
          <w:highlight w:val="none"/>
          <w:lang w:val="zh-CN"/>
        </w:rPr>
        <w:t xml:space="preserve"> 采购人将组织不少于3人组成的评标委员会（以下简称评委会），负责本项目的评标工作。采购人内部监督小组，负责评标过程中的记录、联络及评委会交办的其他工作。</w:t>
      </w:r>
    </w:p>
    <w:p w14:paraId="3333DA4E">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第四条</w:t>
      </w:r>
      <w:r>
        <w:rPr>
          <w:rFonts w:hint="eastAsia" w:ascii="微软雅黑" w:hAnsi="微软雅黑" w:eastAsia="微软雅黑" w:cs="微软雅黑"/>
          <w:color w:val="000000"/>
          <w:sz w:val="24"/>
          <w:szCs w:val="24"/>
          <w:highlight w:val="none"/>
          <w:lang w:val="zh-CN"/>
        </w:rPr>
        <w:t xml:space="preserve"> 评委会按照“客观公正，实事求是”的原则，评价参加本次招标的投标人所提供的服务对招标文件的符合性及响应性。</w:t>
      </w:r>
    </w:p>
    <w:p w14:paraId="08A02514">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p>
    <w:p w14:paraId="29AB1095">
      <w:pPr>
        <w:tabs>
          <w:tab w:val="left" w:pos="360"/>
          <w:tab w:val="left" w:pos="540"/>
          <w:tab w:val="left" w:pos="3600"/>
          <w:tab w:val="left" w:pos="3780"/>
          <w:tab w:val="left" w:pos="8460"/>
          <w:tab w:val="left" w:pos="9180"/>
        </w:tabs>
        <w:adjustRightInd w:val="0"/>
        <w:snapToGrid w:val="0"/>
        <w:spacing w:line="360" w:lineRule="auto"/>
        <w:jc w:val="center"/>
        <w:rPr>
          <w:rFonts w:hint="eastAsia" w:ascii="微软雅黑" w:hAnsi="微软雅黑" w:eastAsia="微软雅黑" w:cs="微软雅黑"/>
          <w:b/>
          <w:sz w:val="32"/>
          <w:szCs w:val="32"/>
          <w:highlight w:val="none"/>
        </w:rPr>
      </w:pPr>
      <w:r>
        <w:rPr>
          <w:rFonts w:hint="eastAsia" w:ascii="微软雅黑" w:hAnsi="微软雅黑" w:eastAsia="微软雅黑" w:cs="微软雅黑"/>
          <w:b/>
          <w:sz w:val="32"/>
          <w:szCs w:val="32"/>
          <w:highlight w:val="none"/>
        </w:rPr>
        <w:t>第二节 评标程序及评审细则</w:t>
      </w:r>
    </w:p>
    <w:p w14:paraId="4BD3C8F2">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第五条</w:t>
      </w:r>
      <w:r>
        <w:rPr>
          <w:rFonts w:hint="eastAsia" w:ascii="微软雅黑" w:hAnsi="微软雅黑" w:eastAsia="微软雅黑" w:cs="微软雅黑"/>
          <w:color w:val="000000"/>
          <w:sz w:val="24"/>
          <w:szCs w:val="24"/>
          <w:highlight w:val="none"/>
          <w:lang w:val="zh-CN"/>
        </w:rPr>
        <w:t xml:space="preserve"> 评标工作于开标后进行。评委会应认真研究招标文件，至少应了解和熟悉以下内容：</w:t>
      </w:r>
    </w:p>
    <w:p w14:paraId="35CF4216">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（一）招标的目标；</w:t>
      </w:r>
    </w:p>
    <w:p w14:paraId="53B5E50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（二）招标项目的范围和性质；</w:t>
      </w:r>
    </w:p>
    <w:p w14:paraId="162BFA02">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（三）招标文件中规定的主要服务要求、标准和商务条款；</w:t>
      </w:r>
    </w:p>
    <w:p w14:paraId="7A415D00">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（四）招标文件规定的评标标准、评标方法和在评标过程中考虑的相关因素。</w:t>
      </w:r>
    </w:p>
    <w:p w14:paraId="422803C5">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第六条</w:t>
      </w:r>
      <w:r>
        <w:rPr>
          <w:rFonts w:hint="eastAsia" w:ascii="微软雅黑" w:hAnsi="微软雅黑" w:eastAsia="微软雅黑" w:cs="微软雅黑"/>
          <w:color w:val="000000"/>
          <w:sz w:val="24"/>
          <w:szCs w:val="24"/>
          <w:highlight w:val="none"/>
          <w:lang w:val="zh-CN"/>
        </w:rPr>
        <w:t xml:space="preserve"> 有效投标应符合以下原则：</w:t>
      </w:r>
    </w:p>
    <w:p w14:paraId="02EF7444">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（一）完全响应招标文件要求；</w:t>
      </w:r>
    </w:p>
    <w:p w14:paraId="3F6E416A">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（二）无重大偏离、保留或招标人不能接受的附加条件；</w:t>
      </w:r>
    </w:p>
    <w:p w14:paraId="1049ECF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（三）通过投标初审；</w:t>
      </w:r>
    </w:p>
    <w:p w14:paraId="3E63C29D">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（四）报价不高于限价；</w:t>
      </w:r>
    </w:p>
    <w:p w14:paraId="1999B7B1">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（五）评委会依据招标文件认定的其他原则。</w:t>
      </w:r>
    </w:p>
    <w:p w14:paraId="4C783BC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第七条</w:t>
      </w:r>
      <w:r>
        <w:rPr>
          <w:rFonts w:hint="eastAsia" w:ascii="微软雅黑" w:hAnsi="微软雅黑" w:eastAsia="微软雅黑" w:cs="微软雅黑"/>
          <w:color w:val="000000"/>
          <w:sz w:val="24"/>
          <w:szCs w:val="24"/>
          <w:highlight w:val="none"/>
          <w:lang w:val="zh-CN"/>
        </w:rPr>
        <w:t xml:space="preserve"> 评委会遵循公开、公平、公正和科学诚信的原则，对所有投标文件均采用相同程序和标准，进行评定。</w:t>
      </w:r>
    </w:p>
    <w:p w14:paraId="04BA0B5D">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第八条</w:t>
      </w:r>
      <w:r>
        <w:rPr>
          <w:rFonts w:hint="eastAsia" w:ascii="微软雅黑" w:hAnsi="微软雅黑" w:eastAsia="微软雅黑" w:cs="微软雅黑"/>
          <w:color w:val="000000"/>
          <w:sz w:val="24"/>
          <w:szCs w:val="24"/>
          <w:highlight w:val="none"/>
          <w:lang w:val="zh-CN"/>
        </w:rPr>
        <w:t xml:space="preserve"> 评审程序</w:t>
      </w:r>
    </w:p>
    <w:p w14:paraId="17F3EEC3">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zh-CN"/>
        </w:rPr>
        <w:t>本项目采用统一、低价评标法进行评审，评标委员会将依据报价表单进行评审。</w:t>
      </w:r>
      <w:bookmarkStart w:id="12" w:name="_Toc39733482"/>
      <w:bookmarkStart w:id="13" w:name="_Toc2829"/>
      <w:bookmarkStart w:id="14" w:name="_Toc245714170"/>
      <w:bookmarkStart w:id="15" w:name="_Toc245028818"/>
      <w:bookmarkStart w:id="16" w:name="_Toc273602352"/>
      <w:r>
        <w:rPr>
          <w:rFonts w:hint="eastAsia" w:ascii="微软雅黑" w:hAnsi="微软雅黑" w:eastAsia="微软雅黑" w:cs="微软雅黑"/>
          <w:color w:val="000000"/>
          <w:sz w:val="24"/>
          <w:szCs w:val="24"/>
          <w:highlight w:val="none"/>
          <w:lang w:val="zh-CN"/>
        </w:rPr>
        <w:t>在</w:t>
      </w:r>
      <w:r>
        <w:rPr>
          <w:rFonts w:hint="eastAsia" w:ascii="微软雅黑" w:hAnsi="微软雅黑" w:eastAsia="微软雅黑" w:cs="微软雅黑"/>
          <w:color w:val="000000"/>
          <w:sz w:val="24"/>
          <w:szCs w:val="24"/>
          <w:highlight w:val="none"/>
          <w:lang w:val="en-US" w:eastAsia="zh-CN"/>
        </w:rPr>
        <w:t>同一</w:t>
      </w:r>
      <w:r>
        <w:rPr>
          <w:rFonts w:hint="eastAsia" w:ascii="微软雅黑" w:hAnsi="微软雅黑" w:eastAsia="微软雅黑" w:cs="微软雅黑"/>
          <w:color w:val="000000"/>
          <w:sz w:val="24"/>
          <w:szCs w:val="24"/>
          <w:highlight w:val="none"/>
          <w:lang w:val="zh-CN"/>
        </w:rPr>
        <w:t>投标</w:t>
      </w:r>
      <w:r>
        <w:rPr>
          <w:rFonts w:hint="eastAsia" w:ascii="微软雅黑" w:hAnsi="微软雅黑" w:eastAsia="微软雅黑" w:cs="微软雅黑"/>
          <w:color w:val="000000"/>
          <w:sz w:val="24"/>
          <w:szCs w:val="24"/>
          <w:highlight w:val="none"/>
          <w:lang w:val="en-US" w:eastAsia="zh-CN"/>
        </w:rPr>
        <w:t>预算价下</w:t>
      </w:r>
      <w:r>
        <w:rPr>
          <w:rFonts w:hint="eastAsia" w:ascii="微软雅黑" w:hAnsi="微软雅黑" w:eastAsia="微软雅黑" w:cs="微软雅黑"/>
          <w:color w:val="000000"/>
          <w:sz w:val="24"/>
          <w:szCs w:val="24"/>
          <w:highlight w:val="none"/>
          <w:lang w:val="zh-CN"/>
        </w:rPr>
        <w:t>，以 CPM（千次曝光成本）</w:t>
      </w:r>
      <w:r>
        <w:rPr>
          <w:rFonts w:hint="eastAsia" w:ascii="微软雅黑" w:hAnsi="微软雅黑" w:eastAsia="微软雅黑" w:cs="微软雅黑"/>
          <w:color w:val="000000"/>
          <w:sz w:val="24"/>
          <w:szCs w:val="24"/>
          <w:highlight w:val="none"/>
          <w:lang w:val="en-US" w:eastAsia="zh-CN"/>
        </w:rPr>
        <w:t>税前</w:t>
      </w:r>
      <w:r>
        <w:rPr>
          <w:rFonts w:hint="eastAsia" w:ascii="微软雅黑" w:hAnsi="微软雅黑" w:eastAsia="微软雅黑" w:cs="微软雅黑"/>
          <w:color w:val="000000"/>
          <w:sz w:val="24"/>
          <w:szCs w:val="24"/>
          <w:highlight w:val="none"/>
          <w:lang w:val="zh-CN"/>
        </w:rPr>
        <w:t>单价作为核心评标依据，</w:t>
      </w:r>
      <w:r>
        <w:rPr>
          <w:rFonts w:hint="eastAsia" w:ascii="微软雅黑" w:hAnsi="微软雅黑" w:eastAsia="微软雅黑" w:cs="微软雅黑"/>
          <w:color w:val="000000"/>
          <w:sz w:val="24"/>
          <w:szCs w:val="24"/>
          <w:highlight w:val="none"/>
          <w:lang w:val="en-US" w:eastAsia="zh-CN"/>
        </w:rPr>
        <w:t>由低到高进行排序，最低价者中标。</w:t>
      </w:r>
      <w:r>
        <w:rPr>
          <w:rFonts w:hint="eastAsia" w:ascii="微软雅黑" w:hAnsi="微软雅黑" w:eastAsia="微软雅黑" w:cs="微软雅黑"/>
          <w:color w:val="000000"/>
          <w:sz w:val="24"/>
          <w:szCs w:val="24"/>
          <w:highlight w:val="none"/>
          <w:lang w:val="zh-CN"/>
        </w:rPr>
        <w:t>若CPM单价相同，则优先选择承诺</w:t>
      </w:r>
      <w:r>
        <w:rPr>
          <w:rFonts w:hint="eastAsia" w:ascii="微软雅黑" w:hAnsi="微软雅黑" w:eastAsia="微软雅黑" w:cs="微软雅黑"/>
          <w:color w:val="000000"/>
          <w:sz w:val="24"/>
          <w:szCs w:val="24"/>
          <w:highlight w:val="none"/>
          <w:lang w:val="en-US" w:eastAsia="zh-CN"/>
        </w:rPr>
        <w:t>线索获取</w:t>
      </w:r>
      <w:r>
        <w:rPr>
          <w:rFonts w:hint="eastAsia" w:ascii="微软雅黑" w:hAnsi="微软雅黑" w:eastAsia="微软雅黑" w:cs="微软雅黑"/>
          <w:color w:val="000000"/>
          <w:sz w:val="24"/>
          <w:szCs w:val="24"/>
          <w:highlight w:val="none"/>
          <w:lang w:val="zh-CN"/>
        </w:rPr>
        <w:t>量更高的投标人。</w:t>
      </w:r>
    </w:p>
    <w:p w14:paraId="31FAD1E0">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en-US" w:eastAsia="zh-CN"/>
        </w:rPr>
        <w:t>若中标人因自身原因无法继续履行合同，其余投标方按报价从低到高依次递补。</w:t>
      </w:r>
    </w:p>
    <w:p w14:paraId="64629518">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p>
    <w:p w14:paraId="05E8E33C">
      <w:pPr>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br w:type="page"/>
      </w:r>
    </w:p>
    <w:p w14:paraId="1FFA315B">
      <w:pPr>
        <w:pStyle w:val="4"/>
        <w:spacing w:line="360" w:lineRule="auto"/>
        <w:rPr>
          <w:rFonts w:hint="eastAsia" w:ascii="微软雅黑" w:hAnsi="微软雅黑" w:eastAsia="微软雅黑" w:cs="微软雅黑"/>
          <w:b/>
          <w:sz w:val="21"/>
          <w:szCs w:val="21"/>
          <w:highlight w:val="none"/>
        </w:rPr>
      </w:pPr>
      <w:bookmarkStart w:id="17" w:name="_Toc245714173"/>
      <w:bookmarkStart w:id="18" w:name="_Toc273602355"/>
      <w:bookmarkStart w:id="19" w:name="_Toc20758"/>
      <w:bookmarkStart w:id="20" w:name="_Toc39733483"/>
      <w:r>
        <w:rPr>
          <w:rFonts w:hint="eastAsia" w:ascii="微软雅黑" w:hAnsi="微软雅黑" w:eastAsia="微软雅黑" w:cs="微软雅黑"/>
          <w:b/>
          <w:sz w:val="21"/>
          <w:szCs w:val="21"/>
          <w:highlight w:val="none"/>
        </w:rPr>
        <w:t>附件一：</w:t>
      </w:r>
    </w:p>
    <w:p w14:paraId="7CB830BA">
      <w:pPr>
        <w:pStyle w:val="4"/>
        <w:spacing w:line="360" w:lineRule="auto"/>
        <w:jc w:val="center"/>
        <w:rPr>
          <w:rFonts w:hint="eastAsia" w:ascii="微软雅黑" w:hAnsi="微软雅黑" w:eastAsia="微软雅黑" w:cs="微软雅黑"/>
          <w:b/>
          <w:bCs/>
          <w:sz w:val="21"/>
          <w:szCs w:val="21"/>
          <w:highlight w:val="none"/>
        </w:rPr>
      </w:pPr>
      <w:r>
        <w:rPr>
          <w:rFonts w:hint="eastAsia" w:ascii="微软雅黑" w:hAnsi="微软雅黑" w:eastAsia="微软雅黑" w:cs="微软雅黑"/>
          <w:b/>
          <w:bCs/>
          <w:sz w:val="21"/>
          <w:szCs w:val="21"/>
          <w:highlight w:val="none"/>
        </w:rPr>
        <w:t>一、投标函</w:t>
      </w:r>
      <w:bookmarkEnd w:id="17"/>
      <w:bookmarkEnd w:id="18"/>
      <w:bookmarkEnd w:id="19"/>
      <w:bookmarkEnd w:id="20"/>
    </w:p>
    <w:p w14:paraId="2B0CB663">
      <w:pPr>
        <w:pStyle w:val="19"/>
        <w:spacing w:line="360" w:lineRule="auto"/>
        <w:rPr>
          <w:rFonts w:hint="eastAsia" w:ascii="微软雅黑" w:hAnsi="微软雅黑" w:eastAsia="微软雅黑" w:cs="微软雅黑"/>
          <w:sz w:val="21"/>
          <w:highlight w:val="none"/>
        </w:rPr>
      </w:pPr>
      <w:r>
        <w:rPr>
          <w:rFonts w:hint="eastAsia" w:ascii="微软雅黑" w:hAnsi="微软雅黑" w:eastAsia="微软雅黑" w:cs="微软雅黑"/>
          <w:sz w:val="21"/>
          <w:highlight w:val="none"/>
        </w:rPr>
        <w:t>致：合肥市包河区城市更新建设有限公司</w:t>
      </w:r>
    </w:p>
    <w:p w14:paraId="49484F88">
      <w:pPr>
        <w:pStyle w:val="3"/>
        <w:spacing w:line="360" w:lineRule="auto"/>
        <w:ind w:firstLine="420" w:firstLineChars="200"/>
        <w:rPr>
          <w:rFonts w:hint="eastAsia" w:ascii="微软雅黑" w:hAnsi="微软雅黑" w:eastAsia="微软雅黑" w:cs="微软雅黑"/>
          <w:dstrike/>
          <w:sz w:val="21"/>
          <w:szCs w:val="21"/>
          <w:highlight w:val="none"/>
        </w:rPr>
      </w:pPr>
      <w:r>
        <w:rPr>
          <w:rFonts w:hint="eastAsia" w:ascii="微软雅黑" w:hAnsi="微软雅黑" w:eastAsia="微软雅黑" w:cs="微软雅黑"/>
          <w:sz w:val="21"/>
          <w:szCs w:val="21"/>
          <w:highlight w:val="none"/>
        </w:rPr>
        <w:t>根据贵方</w:t>
      </w:r>
      <w:r>
        <w:rPr>
          <w:rFonts w:hint="eastAsia" w:ascii="微软雅黑" w:hAnsi="微软雅黑" w:eastAsia="微软雅黑" w:cs="微软雅黑"/>
          <w:sz w:val="21"/>
          <w:szCs w:val="21"/>
          <w:highlight w:val="none"/>
          <w:u w:val="single"/>
        </w:rPr>
        <w:t>“</w:t>
      </w:r>
      <w:r>
        <w:rPr>
          <w:rFonts w:hint="eastAsia" w:ascii="微软雅黑" w:hAnsi="微软雅黑" w:eastAsia="微软雅黑" w:cs="微软雅黑"/>
          <w:sz w:val="21"/>
          <w:szCs w:val="21"/>
          <w:highlight w:val="none"/>
          <w:u w:val="single"/>
          <w:lang w:eastAsia="zh-CN"/>
        </w:rPr>
        <w:t>嘉玺项目朋友圈信息流广告投放</w:t>
      </w:r>
      <w:r>
        <w:rPr>
          <w:rFonts w:hint="eastAsia" w:ascii="微软雅黑" w:hAnsi="微软雅黑" w:eastAsia="微软雅黑" w:cs="微软雅黑"/>
          <w:sz w:val="21"/>
          <w:szCs w:val="21"/>
          <w:highlight w:val="none"/>
          <w:u w:val="single"/>
        </w:rPr>
        <w:t>”</w:t>
      </w:r>
      <w:r>
        <w:rPr>
          <w:rFonts w:hint="eastAsia" w:ascii="微软雅黑" w:hAnsi="微软雅黑" w:eastAsia="微软雅黑" w:cs="微软雅黑"/>
          <w:sz w:val="21"/>
          <w:szCs w:val="21"/>
          <w:highlight w:val="none"/>
        </w:rPr>
        <w:t>项目的招标邀请书，正式授权下述签字人</w:t>
      </w:r>
      <w:r>
        <w:rPr>
          <w:rFonts w:hint="eastAsia" w:ascii="微软雅黑" w:hAnsi="微软雅黑" w:eastAsia="微软雅黑" w:cs="微软雅黑"/>
          <w:sz w:val="21"/>
          <w:szCs w:val="21"/>
          <w:highlight w:val="none"/>
          <w:u w:val="single"/>
        </w:rPr>
        <w:t xml:space="preserve">         　</w:t>
      </w:r>
      <w:r>
        <w:rPr>
          <w:rFonts w:hint="eastAsia" w:ascii="微软雅黑" w:hAnsi="微软雅黑" w:eastAsia="微软雅黑" w:cs="微软雅黑"/>
          <w:sz w:val="21"/>
          <w:szCs w:val="21"/>
          <w:highlight w:val="none"/>
        </w:rPr>
        <w:t>（姓名）代表投标人</w:t>
      </w:r>
      <w:r>
        <w:rPr>
          <w:rFonts w:hint="eastAsia" w:ascii="微软雅黑" w:hAnsi="微软雅黑" w:eastAsia="微软雅黑" w:cs="微软雅黑"/>
          <w:sz w:val="21"/>
          <w:szCs w:val="21"/>
          <w:highlight w:val="none"/>
          <w:u w:val="single"/>
        </w:rPr>
        <w:t xml:space="preserve">        　   </w:t>
      </w:r>
      <w:r>
        <w:rPr>
          <w:rFonts w:hint="eastAsia" w:ascii="微软雅黑" w:hAnsi="微软雅黑" w:eastAsia="微软雅黑" w:cs="微软雅黑"/>
          <w:sz w:val="21"/>
          <w:szCs w:val="21"/>
          <w:highlight w:val="none"/>
        </w:rPr>
        <w:t>（投标人全称），提交投标文件正本</w:t>
      </w:r>
      <w:r>
        <w:rPr>
          <w:rFonts w:hint="eastAsia" w:ascii="微软雅黑" w:hAnsi="微软雅黑" w:eastAsia="微软雅黑" w:cs="微软雅黑"/>
          <w:sz w:val="21"/>
          <w:szCs w:val="21"/>
          <w:highlight w:val="none"/>
          <w:u w:val="single"/>
        </w:rPr>
        <w:t>　</w:t>
      </w:r>
      <w:r>
        <w:rPr>
          <w:rFonts w:hint="eastAsia" w:ascii="微软雅黑" w:hAnsi="微软雅黑" w:eastAsia="微软雅黑" w:cs="微软雅黑"/>
          <w:sz w:val="21"/>
          <w:szCs w:val="21"/>
          <w:highlight w:val="none"/>
        </w:rPr>
        <w:t>份，副本</w:t>
      </w:r>
      <w:r>
        <w:rPr>
          <w:rFonts w:hint="eastAsia" w:ascii="微软雅黑" w:hAnsi="微软雅黑" w:eastAsia="微软雅黑" w:cs="微软雅黑"/>
          <w:b/>
          <w:sz w:val="21"/>
          <w:szCs w:val="21"/>
          <w:highlight w:val="none"/>
          <w:u w:val="single"/>
        </w:rPr>
        <w:t>　</w:t>
      </w:r>
      <w:r>
        <w:rPr>
          <w:rFonts w:hint="eastAsia" w:ascii="微软雅黑" w:hAnsi="微软雅黑" w:eastAsia="微软雅黑" w:cs="微软雅黑"/>
          <w:sz w:val="21"/>
          <w:szCs w:val="21"/>
          <w:highlight w:val="none"/>
        </w:rPr>
        <w:t>份。</w:t>
      </w:r>
    </w:p>
    <w:p w14:paraId="5521AAFF">
      <w:pPr>
        <w:spacing w:line="360" w:lineRule="auto"/>
        <w:rPr>
          <w:rFonts w:hint="eastAsia" w:ascii="微软雅黑" w:hAnsi="微软雅黑" w:eastAsia="微软雅黑" w:cs="微软雅黑"/>
          <w:highlight w:val="none"/>
        </w:rPr>
      </w:pPr>
    </w:p>
    <w:p w14:paraId="16025AC4">
      <w:pPr>
        <w:spacing w:line="360" w:lineRule="auto"/>
        <w:rPr>
          <w:rFonts w:hint="eastAsia" w:ascii="微软雅黑" w:hAnsi="微软雅黑" w:eastAsia="微软雅黑" w:cs="微软雅黑"/>
          <w:highlight w:val="none"/>
        </w:rPr>
      </w:pPr>
      <w:r>
        <w:rPr>
          <w:rFonts w:hint="eastAsia" w:ascii="微软雅黑" w:hAnsi="微软雅黑" w:eastAsia="微软雅黑" w:cs="微软雅黑"/>
          <w:highlight w:val="none"/>
        </w:rPr>
        <w:t>据此函，签字人兹宣布同意如下：</w:t>
      </w:r>
    </w:p>
    <w:p w14:paraId="7143F421">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（1）我方完全响应招标文件要求，如我方中标，我方承诺将服从采购方管理，严格按照采购方相关规定履行业务。</w:t>
      </w:r>
    </w:p>
    <w:p w14:paraId="6E2B7949">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（2）我方根据招标文件的规定，严格履行合同的责任和义务,并保证于招标方要求的日期内提供优质服务。</w:t>
      </w:r>
    </w:p>
    <w:p w14:paraId="1A62A680">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3）我方已详细审核全部招标文件，包括招标文件修改书（如有），参考资料及有关附件，我方正式认可本次招标文件，并对招标文件各项条款（包括开标时间）均无异议。我方知道必须放弃提出含糊不清或误解的问题的权利。</w:t>
      </w:r>
    </w:p>
    <w:p w14:paraId="6D848D41">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（4）我方同意从招标文件规定的开标日期起遵循本投标文件，并在招标文件规定的投标有效期之前均具有约束力。</w:t>
      </w:r>
    </w:p>
    <w:p w14:paraId="2F711ED8">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（5）我方声明投标文件所提供的一切资料真实、及时、有效。由于我方提供资料不实而造成的责任和后果由我方承担。我方同意按照贵方提出的要求，提供与投标有关的任何证据、数据或资料。</w:t>
      </w:r>
    </w:p>
    <w:p w14:paraId="43581C82">
      <w:pPr>
        <w:spacing w:line="360" w:lineRule="auto"/>
        <w:ind w:firstLine="630"/>
        <w:rPr>
          <w:rFonts w:hint="eastAsia" w:ascii="微软雅黑" w:hAnsi="微软雅黑" w:eastAsia="微软雅黑" w:cs="微软雅黑"/>
          <w:highlight w:val="none"/>
          <w:u w:val="single"/>
        </w:rPr>
      </w:pPr>
      <w:r>
        <w:rPr>
          <w:rFonts w:hint="eastAsia" w:ascii="微软雅黑" w:hAnsi="微软雅黑" w:eastAsia="微软雅黑" w:cs="微软雅黑"/>
          <w:highlight w:val="none"/>
        </w:rPr>
        <w:t>（6）与本投标有关的通讯地址：</w:t>
      </w:r>
      <w:r>
        <w:rPr>
          <w:rFonts w:hint="eastAsia" w:ascii="微软雅黑" w:hAnsi="微软雅黑" w:eastAsia="微软雅黑" w:cs="微软雅黑"/>
          <w:highlight w:val="none"/>
          <w:u w:val="single"/>
        </w:rPr>
        <w:t xml:space="preserve">                                  </w:t>
      </w:r>
    </w:p>
    <w:p w14:paraId="40128682">
      <w:pPr>
        <w:spacing w:line="360" w:lineRule="auto"/>
        <w:ind w:firstLine="630"/>
        <w:rPr>
          <w:rFonts w:hint="eastAsia" w:ascii="微软雅黑" w:hAnsi="微软雅黑" w:eastAsia="微软雅黑" w:cs="微软雅黑"/>
          <w:highlight w:val="none"/>
          <w:u w:val="single"/>
        </w:rPr>
      </w:pPr>
      <w:r>
        <w:rPr>
          <w:rFonts w:hint="eastAsia" w:ascii="微软雅黑" w:hAnsi="微软雅黑" w:eastAsia="微软雅黑" w:cs="微软雅黑"/>
          <w:highlight w:val="none"/>
        </w:rPr>
        <w:t>电    话：</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传    真：</w:t>
      </w:r>
      <w:r>
        <w:rPr>
          <w:rFonts w:hint="eastAsia" w:ascii="微软雅黑" w:hAnsi="微软雅黑" w:eastAsia="微软雅黑" w:cs="微软雅黑"/>
          <w:highlight w:val="none"/>
          <w:u w:val="single"/>
        </w:rPr>
        <w:t xml:space="preserve">                 </w:t>
      </w:r>
    </w:p>
    <w:p w14:paraId="19EB53F4">
      <w:pPr>
        <w:spacing w:line="360" w:lineRule="auto"/>
        <w:ind w:firstLine="630"/>
        <w:rPr>
          <w:rFonts w:hint="eastAsia" w:ascii="微软雅黑" w:hAnsi="微软雅黑" w:eastAsia="微软雅黑" w:cs="微软雅黑"/>
          <w:highlight w:val="none"/>
          <w:u w:val="single"/>
        </w:rPr>
      </w:pPr>
      <w:r>
        <w:rPr>
          <w:rFonts w:hint="eastAsia" w:ascii="微软雅黑" w:hAnsi="微软雅黑" w:eastAsia="微软雅黑" w:cs="微软雅黑"/>
          <w:highlight w:val="none"/>
        </w:rPr>
        <w:t>投标人（公章）：</w:t>
      </w:r>
      <w:r>
        <w:rPr>
          <w:rFonts w:hint="eastAsia" w:ascii="微软雅黑" w:hAnsi="微软雅黑" w:eastAsia="微软雅黑" w:cs="微软雅黑"/>
          <w:highlight w:val="none"/>
          <w:u w:val="single"/>
        </w:rPr>
        <w:t xml:space="preserve">                     </w:t>
      </w:r>
    </w:p>
    <w:p w14:paraId="2697B67A">
      <w:pPr>
        <w:tabs>
          <w:tab w:val="left" w:pos="630"/>
        </w:tabs>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日    期：</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 xml:space="preserve"> </w:t>
      </w:r>
    </w:p>
    <w:bookmarkEnd w:id="12"/>
    <w:bookmarkEnd w:id="13"/>
    <w:bookmarkEnd w:id="14"/>
    <w:bookmarkEnd w:id="15"/>
    <w:bookmarkEnd w:id="16"/>
    <w:p w14:paraId="0001BB09">
      <w:pPr>
        <w:pStyle w:val="4"/>
        <w:spacing w:line="360" w:lineRule="auto"/>
        <w:jc w:val="both"/>
        <w:rPr>
          <w:rFonts w:hint="eastAsia" w:ascii="微软雅黑" w:hAnsi="微软雅黑" w:eastAsia="微软雅黑" w:cs="微软雅黑"/>
          <w:sz w:val="22"/>
          <w:szCs w:val="22"/>
          <w:highlight w:val="none"/>
        </w:rPr>
      </w:pPr>
      <w:bookmarkStart w:id="21" w:name="_Toc273602356"/>
      <w:bookmarkStart w:id="22" w:name="_Toc10239"/>
      <w:bookmarkStart w:id="23" w:name="_Toc245714174"/>
      <w:bookmarkStart w:id="24" w:name="_Toc39733484"/>
      <w:bookmarkStart w:id="25" w:name="_Toc232592019"/>
      <w:bookmarkStart w:id="26" w:name="_Toc220232394"/>
      <w:r>
        <w:rPr>
          <w:rFonts w:hint="eastAsia" w:ascii="微软雅黑" w:hAnsi="微软雅黑" w:eastAsia="微软雅黑" w:cs="微软雅黑"/>
          <w:b/>
          <w:sz w:val="22"/>
          <w:szCs w:val="22"/>
          <w:highlight w:val="none"/>
        </w:rPr>
        <w:t>附件二：</w:t>
      </w:r>
    </w:p>
    <w:p w14:paraId="5AA6625E">
      <w:pPr>
        <w:pStyle w:val="4"/>
        <w:numPr>
          <w:ilvl w:val="0"/>
          <w:numId w:val="3"/>
        </w:numPr>
        <w:spacing w:line="360" w:lineRule="auto"/>
        <w:jc w:val="center"/>
        <w:rPr>
          <w:rFonts w:hint="eastAsia" w:ascii="微软雅黑" w:hAnsi="微软雅黑" w:eastAsia="微软雅黑" w:cs="微软雅黑"/>
          <w:b/>
          <w:bCs/>
          <w:sz w:val="21"/>
          <w:szCs w:val="21"/>
          <w:highlight w:val="none"/>
        </w:rPr>
      </w:pPr>
      <w:r>
        <w:rPr>
          <w:rFonts w:hint="eastAsia" w:ascii="微软雅黑" w:hAnsi="微软雅黑" w:eastAsia="微软雅黑" w:cs="微软雅黑"/>
          <w:b/>
          <w:bCs/>
          <w:sz w:val="21"/>
          <w:szCs w:val="21"/>
          <w:highlight w:val="none"/>
        </w:rPr>
        <w:t>投标授权书</w:t>
      </w:r>
      <w:bookmarkEnd w:id="21"/>
      <w:bookmarkEnd w:id="22"/>
      <w:bookmarkEnd w:id="23"/>
      <w:bookmarkEnd w:id="24"/>
    </w:p>
    <w:p w14:paraId="47CF6E85">
      <w:pPr>
        <w:spacing w:line="360" w:lineRule="auto"/>
        <w:rPr>
          <w:rFonts w:hint="eastAsia" w:ascii="微软雅黑" w:hAnsi="微软雅黑" w:eastAsia="微软雅黑" w:cs="微软雅黑"/>
          <w:highlight w:val="none"/>
        </w:rPr>
      </w:pPr>
    </w:p>
    <w:p w14:paraId="58E03FB6">
      <w:pPr>
        <w:pStyle w:val="18"/>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本授权书声明：</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（投标单位）授权本公司</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（投标人授权代表姓名、职务）代表本公司参加合肥市包河区城市更新建设有限公司</w:t>
      </w:r>
      <w:r>
        <w:rPr>
          <w:rFonts w:hint="eastAsia" w:ascii="微软雅黑" w:hAnsi="微软雅黑" w:eastAsia="微软雅黑" w:cs="微软雅黑"/>
          <w:highlight w:val="none"/>
          <w:u w:val="single"/>
          <w:lang w:eastAsia="zh-CN"/>
        </w:rPr>
        <w:t>嘉玺项目朋友圈信息流广告投放</w:t>
      </w:r>
      <w:r>
        <w:rPr>
          <w:rFonts w:hint="eastAsia" w:ascii="微软雅黑" w:hAnsi="微软雅黑" w:eastAsia="微软雅黑" w:cs="微软雅黑"/>
          <w:highlight w:val="none"/>
        </w:rPr>
        <w:t>项目，全权代表本公司处理投标过程的一切事宜，包括但不限于：投标、参与开标、谈判、签约等。投标人代表在投标过程中所签署的一切文件和处理与之有关的一切事务，本公司均予以认可并对此承担责任。投标人代表无转委托权。特此授权。</w:t>
      </w:r>
    </w:p>
    <w:p w14:paraId="5E9B289E">
      <w:pPr>
        <w:pStyle w:val="18"/>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本授权书自出具之日起生效。</w:t>
      </w:r>
    </w:p>
    <w:p w14:paraId="007A69F2">
      <w:pPr>
        <w:adjustRightInd w:val="0"/>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特此声明。</w:t>
      </w:r>
    </w:p>
    <w:p w14:paraId="59EAB19F">
      <w:pPr>
        <w:pStyle w:val="28"/>
        <w:spacing w:line="360" w:lineRule="auto"/>
        <w:ind w:left="0" w:leftChars="0"/>
        <w:rPr>
          <w:rFonts w:hint="eastAsia" w:ascii="微软雅黑" w:hAnsi="微软雅黑" w:eastAsia="微软雅黑" w:cs="微软雅黑"/>
          <w:szCs w:val="21"/>
          <w:highlight w:val="none"/>
        </w:rPr>
      </w:pPr>
    </w:p>
    <w:p w14:paraId="1BEF0B38">
      <w:pPr>
        <w:spacing w:line="360" w:lineRule="auto"/>
        <w:jc w:val="center"/>
        <w:rPr>
          <w:rFonts w:hint="eastAsia" w:ascii="微软雅黑" w:hAnsi="微软雅黑" w:eastAsia="微软雅黑" w:cs="微软雅黑"/>
          <w:highlight w:val="none"/>
        </w:rPr>
      </w:pPr>
      <w:r>
        <w:rPr>
          <w:rFonts w:hint="eastAsia" w:ascii="微软雅黑" w:hAnsi="微软雅黑" w:eastAsia="微软雅黑" w:cs="微软雅黑"/>
          <w:highlight w:val="none"/>
        </w:rPr>
        <mc:AlternateContent>
          <mc:Choice Requires="wps">
            <w:drawing>
              <wp:inline distT="0" distB="0" distL="114300" distR="114300">
                <wp:extent cx="2638425" cy="1749425"/>
                <wp:effectExtent l="4445" t="4445" r="5080" b="17780"/>
                <wp:docPr id="1" name="圆角矩形 1"/>
                <wp:cNvGraphicFramePr/>
                <a:graphic xmlns:a="http://schemas.openxmlformats.org/drawingml/2006/main">
                  <a:graphicData uri="http://schemas.microsoft.com/office/word/2010/wordprocessingShape">
                    <wps:wsp>
                      <wps:cNvSpPr>
                        <a:spLocks noRot="1"/>
                      </wps:cNvSpPr>
                      <wps:spPr>
                        <a:xfrm>
                          <a:off x="0" y="0"/>
                          <a:ext cx="2638425" cy="17494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276E5CB6">
                            <w:pPr>
                              <w:jc w:val="center"/>
                              <w:rPr>
                                <w:rFonts w:hint="eastAsia" w:ascii="微软雅黑" w:hAnsi="微软雅黑" w:eastAsia="微软雅黑" w:cs="微软雅黑"/>
                              </w:rPr>
                            </w:pPr>
                            <w:r>
                              <w:rPr>
                                <w:rFonts w:hint="eastAsia" w:ascii="微软雅黑" w:hAnsi="微软雅黑" w:eastAsia="微软雅黑" w:cs="微软雅黑"/>
                              </w:rPr>
                              <w:t>授权代表身份复印件正面</w:t>
                            </w:r>
                          </w:p>
                        </w:txbxContent>
                      </wps:txbx>
                      <wps:bodyPr upright="1"/>
                    </wps:wsp>
                  </a:graphicData>
                </a:graphic>
              </wp:inline>
            </w:drawing>
          </mc:Choice>
          <mc:Fallback>
            <w:pict>
              <v:roundrect id="_x0000_s1026" o:spid="_x0000_s1026" o:spt="2" style="height:137.75pt;width:207.75pt;" fillcolor="#FFFFFF" filled="t" stroked="t" coordsize="21600,21600" arcsize="0.166666666666667" o:gfxdata="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vAEgDTAAAABQEAAA8AAAAAAAAAAQAgAAAAIgAAAGRycy9kb3ducmV2LnhtbFBLAQIUABQA&#10;AAAIAIdO4kBhMH8JLgIAAHoEAAAOAAAAAAAAAAEAIAAAACIBAABkcnMvZTJvRG9jLnhtbFBLBQYA&#10;AAAABgAGAFkBAADCBQAAAAA=&#10;">
                <v:fill on="t" focussize="0,0"/>
                <v:stroke color="#000000" joinstyle="round"/>
                <v:imagedata o:title=""/>
                <o:lock v:ext="edit" rotation="t" aspectratio="f"/>
                <v:textbox>
                  <w:txbxContent>
                    <w:p w14:paraId="276E5CB6">
                      <w:pPr>
                        <w:jc w:val="center"/>
                        <w:rPr>
                          <w:rFonts w:hint="eastAsia" w:ascii="微软雅黑" w:hAnsi="微软雅黑" w:eastAsia="微软雅黑" w:cs="微软雅黑"/>
                        </w:rPr>
                      </w:pPr>
                      <w:r>
                        <w:rPr>
                          <w:rFonts w:hint="eastAsia" w:ascii="微软雅黑" w:hAnsi="微软雅黑" w:eastAsia="微软雅黑" w:cs="微软雅黑"/>
                        </w:rPr>
                        <w:t>授权代表身份复印件正面</w:t>
                      </w:r>
                    </w:p>
                  </w:txbxContent>
                </v:textbox>
                <w10:wrap type="none"/>
                <w10:anchorlock/>
              </v:roundrect>
            </w:pict>
          </mc:Fallback>
        </mc:AlternateContent>
      </w:r>
      <w:r>
        <w:rPr>
          <w:rFonts w:hint="eastAsia" w:ascii="微软雅黑" w:hAnsi="微软雅黑" w:eastAsia="微软雅黑" w:cs="微软雅黑"/>
          <w:highlight w:val="none"/>
          <w:lang w:val="en-US" w:eastAsia="zh-CN"/>
        </w:rPr>
        <w:t xml:space="preserve">  </w:t>
      </w:r>
      <w:r>
        <w:rPr>
          <w:rFonts w:hint="eastAsia" w:ascii="微软雅黑" w:hAnsi="微软雅黑" w:eastAsia="微软雅黑" w:cs="微软雅黑"/>
          <w:highlight w:val="none"/>
        </w:rPr>
        <mc:AlternateContent>
          <mc:Choice Requires="wps">
            <w:drawing>
              <wp:inline distT="0" distB="0" distL="114300" distR="114300">
                <wp:extent cx="2638425" cy="1749425"/>
                <wp:effectExtent l="4445" t="4445" r="5080" b="17780"/>
                <wp:docPr id="2" name="圆角矩形 2"/>
                <wp:cNvGraphicFramePr/>
                <a:graphic xmlns:a="http://schemas.openxmlformats.org/drawingml/2006/main">
                  <a:graphicData uri="http://schemas.microsoft.com/office/word/2010/wordprocessingShape">
                    <wps:wsp>
                      <wps:cNvSpPr>
                        <a:spLocks noRot="1"/>
                      </wps:cNvSpPr>
                      <wps:spPr>
                        <a:xfrm>
                          <a:off x="0" y="0"/>
                          <a:ext cx="2638425" cy="17494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4000C8A5">
                            <w:pPr>
                              <w:jc w:val="center"/>
                              <w:rPr>
                                <w:rFonts w:hint="eastAsia" w:ascii="微软雅黑" w:hAnsi="微软雅黑" w:eastAsia="微软雅黑" w:cs="微软雅黑"/>
                              </w:rPr>
                            </w:pPr>
                            <w:r>
                              <w:rPr>
                                <w:rFonts w:hint="eastAsia" w:ascii="微软雅黑" w:hAnsi="微软雅黑" w:eastAsia="微软雅黑" w:cs="微软雅黑"/>
                              </w:rPr>
                              <w:t>授权代表身份复印件反面</w:t>
                            </w:r>
                          </w:p>
                        </w:txbxContent>
                      </wps:txbx>
                      <wps:bodyPr upright="1"/>
                    </wps:wsp>
                  </a:graphicData>
                </a:graphic>
              </wp:inline>
            </w:drawing>
          </mc:Choice>
          <mc:Fallback>
            <w:pict>
              <v:roundrect id="_x0000_s1026" o:spid="_x0000_s1026" o:spt="2" style="height:137.75pt;width:207.75pt;" fillcolor="#FFFFFF" filled="t" stroked="t" coordsize="21600,21600" arcsize="0.166666666666667" o:gfxdata="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8ASANMAAAAFAQAADwAAAAAAAAABACAAAAAiAAAAZHJzL2Rvd25yZXYueG1sUEsBAhQA&#10;FAAAAAgAh07iQOVCTPMwAgAAegQAAA4AAAAAAAAAAQAgAAAAIgEAAGRycy9lMm9Eb2MueG1sUEsF&#10;BgAAAAAGAAYAWQEAAMQFAAAAAA==&#10;">
                <v:fill on="t" focussize="0,0"/>
                <v:stroke color="#000000" joinstyle="round"/>
                <v:imagedata o:title=""/>
                <o:lock v:ext="edit" rotation="t" aspectratio="f"/>
                <v:textbox>
                  <w:txbxContent>
                    <w:p w14:paraId="4000C8A5">
                      <w:pPr>
                        <w:jc w:val="center"/>
                        <w:rPr>
                          <w:rFonts w:hint="eastAsia" w:ascii="微软雅黑" w:hAnsi="微软雅黑" w:eastAsia="微软雅黑" w:cs="微软雅黑"/>
                        </w:rPr>
                      </w:pPr>
                      <w:r>
                        <w:rPr>
                          <w:rFonts w:hint="eastAsia" w:ascii="微软雅黑" w:hAnsi="微软雅黑" w:eastAsia="微软雅黑" w:cs="微软雅黑"/>
                        </w:rPr>
                        <w:t>授权代表身份复印件反面</w:t>
                      </w:r>
                    </w:p>
                  </w:txbxContent>
                </v:textbox>
                <w10:wrap type="none"/>
                <w10:anchorlock/>
              </v:roundrect>
            </w:pict>
          </mc:Fallback>
        </mc:AlternateContent>
      </w:r>
    </w:p>
    <w:p w14:paraId="11DB4952">
      <w:pPr>
        <w:adjustRightInd w:val="0"/>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投标人授权代表</w:t>
      </w:r>
      <w:r>
        <w:rPr>
          <w:rFonts w:hint="eastAsia" w:ascii="微软雅黑" w:hAnsi="微软雅黑" w:eastAsia="微软雅黑" w:cs="微软雅黑"/>
          <w:b/>
          <w:highlight w:val="none"/>
        </w:rPr>
        <w:t>（签字）</w:t>
      </w:r>
      <w:r>
        <w:rPr>
          <w:rFonts w:hint="eastAsia" w:ascii="微软雅黑" w:hAnsi="微软雅黑" w:eastAsia="微软雅黑" w:cs="微软雅黑"/>
          <w:highlight w:val="none"/>
        </w:rPr>
        <w:t>：</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 xml:space="preserve"> 性别：</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身份证号：</w:t>
      </w:r>
      <w:r>
        <w:rPr>
          <w:rFonts w:hint="eastAsia" w:ascii="微软雅黑" w:hAnsi="微软雅黑" w:eastAsia="微软雅黑" w:cs="微软雅黑"/>
          <w:highlight w:val="none"/>
          <w:u w:val="single"/>
        </w:rPr>
        <w:t xml:space="preserve">                  </w:t>
      </w:r>
    </w:p>
    <w:p w14:paraId="57E326BC">
      <w:pPr>
        <w:adjustRightInd w:val="0"/>
        <w:snapToGrid w:val="0"/>
        <w:spacing w:line="360" w:lineRule="auto"/>
        <w:ind w:firstLine="420" w:firstLineChars="200"/>
        <w:rPr>
          <w:rFonts w:hint="eastAsia" w:ascii="微软雅黑" w:hAnsi="微软雅黑" w:eastAsia="微软雅黑" w:cs="微软雅黑"/>
          <w:b/>
          <w:highlight w:val="none"/>
        </w:rPr>
      </w:pPr>
      <w:r>
        <w:rPr>
          <w:rFonts w:hint="eastAsia" w:ascii="微软雅黑" w:hAnsi="微软雅黑" w:eastAsia="微软雅黑" w:cs="微软雅黑"/>
          <w:b/>
          <w:highlight w:val="none"/>
        </w:rPr>
        <w:t>投标人（公章）：</w:t>
      </w:r>
      <w:r>
        <w:rPr>
          <w:rFonts w:hint="eastAsia" w:ascii="微软雅黑" w:hAnsi="微软雅黑" w:eastAsia="微软雅黑" w:cs="微软雅黑"/>
          <w:b/>
          <w:highlight w:val="none"/>
          <w:u w:val="single"/>
        </w:rPr>
        <w:t xml:space="preserve">                </w:t>
      </w:r>
    </w:p>
    <w:p w14:paraId="5BA8C90D">
      <w:pPr>
        <w:adjustRightInd w:val="0"/>
        <w:snapToGrid w:val="0"/>
        <w:spacing w:line="360" w:lineRule="auto"/>
        <w:ind w:firstLine="420" w:firstLineChars="200"/>
        <w:rPr>
          <w:rFonts w:hint="eastAsia" w:ascii="微软雅黑" w:hAnsi="微软雅黑" w:eastAsia="微软雅黑" w:cs="微软雅黑"/>
          <w:b/>
          <w:highlight w:val="none"/>
        </w:rPr>
      </w:pPr>
      <w:r>
        <w:rPr>
          <w:rFonts w:hint="eastAsia" w:ascii="微软雅黑" w:hAnsi="微软雅黑" w:eastAsia="微软雅黑" w:cs="微软雅黑"/>
          <w:b/>
          <w:highlight w:val="none"/>
        </w:rPr>
        <w:t>日期：</w:t>
      </w:r>
      <w:r>
        <w:rPr>
          <w:rFonts w:hint="eastAsia" w:ascii="微软雅黑" w:hAnsi="微软雅黑" w:eastAsia="微软雅黑" w:cs="微软雅黑"/>
          <w:b/>
          <w:highlight w:val="none"/>
          <w:u w:val="single"/>
        </w:rPr>
        <w:t xml:space="preserve">        </w:t>
      </w:r>
      <w:r>
        <w:rPr>
          <w:rFonts w:hint="eastAsia" w:ascii="微软雅黑" w:hAnsi="微软雅黑" w:eastAsia="微软雅黑" w:cs="微软雅黑"/>
          <w:b/>
          <w:highlight w:val="none"/>
        </w:rPr>
        <w:t>年</w:t>
      </w:r>
      <w:r>
        <w:rPr>
          <w:rFonts w:hint="eastAsia" w:ascii="微软雅黑" w:hAnsi="微软雅黑" w:eastAsia="微软雅黑" w:cs="微软雅黑"/>
          <w:b/>
          <w:highlight w:val="none"/>
          <w:u w:val="single"/>
        </w:rPr>
        <w:t xml:space="preserve">      </w:t>
      </w:r>
      <w:r>
        <w:rPr>
          <w:rFonts w:hint="eastAsia" w:ascii="微软雅黑" w:hAnsi="微软雅黑" w:eastAsia="微软雅黑" w:cs="微软雅黑"/>
          <w:b/>
          <w:highlight w:val="none"/>
        </w:rPr>
        <w:t>月</w:t>
      </w:r>
      <w:r>
        <w:rPr>
          <w:rFonts w:hint="eastAsia" w:ascii="微软雅黑" w:hAnsi="微软雅黑" w:eastAsia="微软雅黑" w:cs="微软雅黑"/>
          <w:b/>
          <w:highlight w:val="none"/>
          <w:u w:val="single"/>
        </w:rPr>
        <w:t xml:space="preserve">       </w:t>
      </w:r>
      <w:r>
        <w:rPr>
          <w:rFonts w:hint="eastAsia" w:ascii="微软雅黑" w:hAnsi="微软雅黑" w:eastAsia="微软雅黑" w:cs="微软雅黑"/>
          <w:b/>
          <w:highlight w:val="none"/>
        </w:rPr>
        <w:t>日</w:t>
      </w:r>
    </w:p>
    <w:p w14:paraId="74694BC9">
      <w:pPr>
        <w:pStyle w:val="18"/>
        <w:widowControl w:val="0"/>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注：本项目只允许有唯一的投标人授权代表，且必须为投标人在职员工并提供身份证复印件。</w:t>
      </w:r>
    </w:p>
    <w:p w14:paraId="732D5572">
      <w:pPr>
        <w:pStyle w:val="18"/>
        <w:snapToGrid w:val="0"/>
        <w:spacing w:line="360" w:lineRule="auto"/>
        <w:ind w:firstLine="420" w:firstLineChars="200"/>
        <w:rPr>
          <w:rFonts w:hint="eastAsia" w:ascii="微软雅黑" w:hAnsi="微软雅黑" w:eastAsia="微软雅黑" w:cs="微软雅黑"/>
          <w:b/>
          <w:kern w:val="2"/>
          <w:sz w:val="22"/>
          <w:szCs w:val="22"/>
          <w:highlight w:val="none"/>
        </w:rPr>
      </w:pPr>
      <w:r>
        <w:rPr>
          <w:rFonts w:hint="eastAsia" w:ascii="微软雅黑" w:hAnsi="微软雅黑" w:eastAsia="微软雅黑" w:cs="微软雅黑"/>
          <w:highlight w:val="none"/>
        </w:rPr>
        <w:br w:type="page"/>
      </w:r>
      <w:bookmarkStart w:id="27" w:name="_Toc515390052"/>
      <w:r>
        <w:rPr>
          <w:rFonts w:hint="eastAsia" w:ascii="微软雅黑" w:hAnsi="微软雅黑" w:eastAsia="微软雅黑" w:cs="微软雅黑"/>
          <w:b/>
          <w:kern w:val="2"/>
          <w:sz w:val="22"/>
          <w:szCs w:val="22"/>
          <w:highlight w:val="none"/>
        </w:rPr>
        <w:t>附件三：</w:t>
      </w:r>
    </w:p>
    <w:bookmarkEnd w:id="27"/>
    <w:p w14:paraId="19F58E93">
      <w:pPr>
        <w:pStyle w:val="4"/>
        <w:numPr>
          <w:ilvl w:val="0"/>
          <w:numId w:val="3"/>
        </w:numPr>
        <w:jc w:val="center"/>
        <w:rPr>
          <w:rFonts w:hint="eastAsia" w:ascii="微软雅黑" w:hAnsi="微软雅黑" w:eastAsia="微软雅黑" w:cs="微软雅黑"/>
          <w:b/>
          <w:bCs/>
        </w:rPr>
      </w:pPr>
      <w:r>
        <w:rPr>
          <w:rFonts w:hint="eastAsia" w:ascii="微软雅黑" w:hAnsi="微软雅黑" w:eastAsia="微软雅黑" w:cs="微软雅黑"/>
          <w:b/>
          <w:bCs/>
        </w:rPr>
        <w:t>投标人信用承诺</w:t>
      </w:r>
    </w:p>
    <w:p w14:paraId="5ABF11A2">
      <w:pPr>
        <w:pStyle w:val="18"/>
        <w:snapToGrid w:val="0"/>
        <w:spacing w:line="240" w:lineRule="auto"/>
        <w:ind w:firstLine="420" w:firstLineChars="200"/>
        <w:jc w:val="both"/>
        <w:rPr>
          <w:rFonts w:hint="eastAsia" w:ascii="微软雅黑" w:hAnsi="微软雅黑" w:eastAsia="微软雅黑" w:cs="微软雅黑"/>
          <w:u w:val="single"/>
        </w:rPr>
      </w:pPr>
      <w:r>
        <w:rPr>
          <w:rFonts w:hint="eastAsia" w:ascii="微软雅黑" w:hAnsi="微软雅黑" w:eastAsia="微软雅黑" w:cs="微软雅黑"/>
        </w:rPr>
        <w:t>致：</w:t>
      </w:r>
      <w:r>
        <w:rPr>
          <w:rFonts w:hint="eastAsia" w:ascii="微软雅黑" w:hAnsi="微软雅黑" w:eastAsia="微软雅黑" w:cs="微软雅黑"/>
          <w:u w:val="single"/>
        </w:rPr>
        <w:t xml:space="preserve">                           </w:t>
      </w:r>
    </w:p>
    <w:p w14:paraId="422A41D5">
      <w:pPr>
        <w:pStyle w:val="18"/>
        <w:snapToGrid w:val="0"/>
        <w:spacing w:line="240" w:lineRule="auto"/>
        <w:ind w:firstLine="420" w:firstLineChars="200"/>
        <w:jc w:val="both"/>
        <w:rPr>
          <w:rFonts w:hint="eastAsia" w:ascii="微软雅黑" w:hAnsi="微软雅黑" w:eastAsia="微软雅黑" w:cs="微软雅黑"/>
        </w:rPr>
      </w:pPr>
      <w:r>
        <w:rPr>
          <w:rFonts w:hint="eastAsia" w:ascii="微软雅黑" w:hAnsi="微软雅黑" w:eastAsia="微软雅黑" w:cs="微软雅黑"/>
        </w:rPr>
        <w:t>本公司</w:t>
      </w:r>
      <w:r>
        <w:rPr>
          <w:rFonts w:hint="eastAsia" w:ascii="微软雅黑" w:hAnsi="微软雅黑" w:eastAsia="微软雅黑" w:cs="微软雅黑"/>
          <w:u w:val="single"/>
        </w:rPr>
        <w:t xml:space="preserve">                         </w:t>
      </w:r>
      <w:r>
        <w:rPr>
          <w:rFonts w:hint="eastAsia" w:ascii="微软雅黑" w:hAnsi="微软雅黑" w:eastAsia="微软雅黑" w:cs="微软雅黑"/>
        </w:rPr>
        <w:t>，现正参与贵方组织的</w:t>
      </w:r>
      <w:r>
        <w:rPr>
          <w:rFonts w:hint="eastAsia" w:ascii="微软雅黑" w:hAnsi="微软雅黑" w:eastAsia="微软雅黑" w:cs="微软雅黑"/>
          <w:u w:val="single"/>
        </w:rPr>
        <w:t xml:space="preserve"> </w:t>
      </w:r>
      <w:r>
        <w:rPr>
          <w:rFonts w:hint="eastAsia" w:ascii="微软雅黑" w:hAnsi="微软雅黑" w:eastAsia="微软雅黑" w:cs="微软雅黑"/>
          <w:highlight w:val="none"/>
          <w:u w:val="single"/>
          <w:lang w:eastAsia="zh-CN"/>
        </w:rPr>
        <w:t>嘉玺项目朋友圈信息流广告投放</w:t>
      </w:r>
      <w:r>
        <w:rPr>
          <w:rFonts w:hint="eastAsia" w:ascii="微软雅黑" w:hAnsi="微软雅黑" w:eastAsia="微软雅黑" w:cs="微软雅黑"/>
          <w:u w:val="single"/>
        </w:rPr>
        <w:t xml:space="preserve"> </w:t>
      </w:r>
      <w:r>
        <w:rPr>
          <w:rFonts w:hint="eastAsia" w:ascii="微软雅黑" w:hAnsi="微软雅黑" w:eastAsia="微软雅黑" w:cs="微软雅黑"/>
        </w:rPr>
        <w:t xml:space="preserve"> 的投标活动。我公司郑重承诺如下：</w:t>
      </w:r>
    </w:p>
    <w:p w14:paraId="11E46716">
      <w:pPr>
        <w:pStyle w:val="18"/>
        <w:snapToGrid w:val="0"/>
        <w:spacing w:line="240" w:lineRule="auto"/>
        <w:ind w:firstLine="420" w:firstLineChars="200"/>
        <w:jc w:val="both"/>
        <w:rPr>
          <w:rFonts w:hint="eastAsia" w:ascii="微软雅黑" w:hAnsi="微软雅黑" w:eastAsia="微软雅黑" w:cs="微软雅黑"/>
        </w:rPr>
      </w:pPr>
      <w:r>
        <w:rPr>
          <w:rFonts w:hint="eastAsia" w:ascii="微软雅黑" w:hAnsi="微软雅黑" w:eastAsia="微软雅黑" w:cs="微软雅黑"/>
        </w:rPr>
        <w:t xml:space="preserve">一、关于投标资格的承诺 </w:t>
      </w:r>
    </w:p>
    <w:p w14:paraId="1CF9E035">
      <w:pPr>
        <w:pStyle w:val="18"/>
        <w:snapToGrid w:val="0"/>
        <w:spacing w:line="240" w:lineRule="auto"/>
        <w:ind w:firstLine="420" w:firstLineChars="200"/>
        <w:jc w:val="both"/>
        <w:rPr>
          <w:rFonts w:hint="eastAsia" w:ascii="微软雅黑" w:hAnsi="微软雅黑" w:eastAsia="微软雅黑" w:cs="微软雅黑"/>
        </w:rPr>
      </w:pPr>
      <w:r>
        <w:rPr>
          <w:rFonts w:hint="eastAsia" w:ascii="微软雅黑" w:hAnsi="微软雅黑" w:eastAsia="微软雅黑" w:cs="微软雅黑"/>
        </w:rPr>
        <w:t>我公司保证所提供的所有营业执照、资质证书、业绩证明、人员资质等投标资格文件均真实、合法、有效，无任何伪造、变造、涂改等情形。我们具备完全履行合同所必需的专业技术能力、设备设备和实践经验。</w:t>
      </w:r>
    </w:p>
    <w:p w14:paraId="4463B49D">
      <w:pPr>
        <w:pStyle w:val="18"/>
        <w:snapToGrid w:val="0"/>
        <w:spacing w:line="240" w:lineRule="auto"/>
        <w:ind w:firstLine="420" w:firstLineChars="200"/>
        <w:jc w:val="both"/>
        <w:rPr>
          <w:rFonts w:hint="eastAsia" w:ascii="微软雅黑" w:hAnsi="微软雅黑" w:eastAsia="微软雅黑" w:cs="微软雅黑"/>
        </w:rPr>
      </w:pPr>
      <w:r>
        <w:rPr>
          <w:rFonts w:hint="eastAsia" w:ascii="微软雅黑" w:hAnsi="微软雅黑" w:eastAsia="微软雅黑" w:cs="微软雅黑"/>
        </w:rPr>
        <w:t>二、 关于诚信投标的承诺</w:t>
      </w:r>
    </w:p>
    <w:p w14:paraId="33B6AE95">
      <w:pPr>
        <w:pStyle w:val="18"/>
        <w:snapToGrid w:val="0"/>
        <w:spacing w:line="240" w:lineRule="auto"/>
        <w:ind w:firstLine="420" w:firstLineChars="200"/>
        <w:jc w:val="both"/>
        <w:rPr>
          <w:rFonts w:hint="eastAsia" w:ascii="微软雅黑" w:hAnsi="微软雅黑" w:eastAsia="微软雅黑" w:cs="微软雅黑"/>
        </w:rPr>
      </w:pPr>
      <w:r>
        <w:rPr>
          <w:rFonts w:hint="eastAsia" w:ascii="微软雅黑" w:hAnsi="微软雅黑" w:eastAsia="微软雅黑" w:cs="微软雅黑"/>
        </w:rPr>
        <w:t>1. 杜绝围标串标：我司保证独立参与本次投标，绝不与其他投标人相互串通投标报价。</w:t>
      </w:r>
    </w:p>
    <w:p w14:paraId="78BA7178">
      <w:pPr>
        <w:pStyle w:val="18"/>
        <w:snapToGrid w:val="0"/>
        <w:spacing w:line="240" w:lineRule="auto"/>
        <w:ind w:firstLine="420" w:firstLineChars="200"/>
        <w:jc w:val="both"/>
        <w:rPr>
          <w:rFonts w:hint="eastAsia" w:ascii="微软雅黑" w:hAnsi="微软雅黑" w:eastAsia="微软雅黑" w:cs="微软雅黑"/>
        </w:rPr>
      </w:pPr>
      <w:r>
        <w:rPr>
          <w:rFonts w:hint="eastAsia" w:ascii="微软雅黑" w:hAnsi="微软雅黑" w:eastAsia="微软雅黑" w:cs="微软雅黑"/>
        </w:rPr>
        <w:t>2. 杜绝虚假应标：我司承诺投标文件中的所有内容（包括但不限于设计方案构思、团队人员配置、项目业绩、服务周期、技术方案等）均真实可信，无任何虚假和误导性陈述。</w:t>
      </w:r>
    </w:p>
    <w:p w14:paraId="65EC4FDA">
      <w:pPr>
        <w:pStyle w:val="18"/>
        <w:snapToGrid w:val="0"/>
        <w:spacing w:line="240" w:lineRule="auto"/>
        <w:ind w:firstLine="420" w:firstLineChars="200"/>
        <w:jc w:val="both"/>
        <w:rPr>
          <w:rFonts w:hint="eastAsia" w:ascii="微软雅黑" w:hAnsi="微软雅黑" w:eastAsia="微软雅黑" w:cs="微软雅黑"/>
        </w:rPr>
      </w:pPr>
      <w:r>
        <w:rPr>
          <w:rFonts w:hint="eastAsia" w:ascii="微软雅黑" w:hAnsi="微软雅黑" w:eastAsia="微软雅黑" w:cs="微软雅黑"/>
        </w:rPr>
        <w:t>三、 关于质量与服务的承诺</w:t>
      </w:r>
    </w:p>
    <w:p w14:paraId="35F0B6DB">
      <w:pPr>
        <w:pStyle w:val="18"/>
        <w:snapToGrid w:val="0"/>
        <w:spacing w:line="240" w:lineRule="auto"/>
        <w:ind w:firstLine="420" w:firstLineChars="200"/>
        <w:jc w:val="both"/>
        <w:rPr>
          <w:rFonts w:hint="eastAsia" w:ascii="微软雅黑" w:hAnsi="微软雅黑" w:eastAsia="微软雅黑" w:cs="微软雅黑"/>
        </w:rPr>
      </w:pPr>
      <w:r>
        <w:rPr>
          <w:rFonts w:hint="eastAsia" w:ascii="微软雅黑" w:hAnsi="微软雅黑" w:eastAsia="微软雅黑" w:cs="微软雅黑"/>
        </w:rPr>
        <w:t>1. 严格履行合同：将严格按照招标文件、合同条款，全面、及时地履行全部服务工作。交付的所有成果均符合招标文件规定的技术要求。若因我方原因导致成果质量未达到约定标准，愿无条件按合同约定进行修改直至达标，并承担相应的违约责任。</w:t>
      </w:r>
    </w:p>
    <w:p w14:paraId="4F0F6668">
      <w:pPr>
        <w:pStyle w:val="18"/>
        <w:snapToGrid w:val="0"/>
        <w:spacing w:line="240" w:lineRule="auto"/>
        <w:ind w:firstLine="420" w:firstLineChars="200"/>
        <w:jc w:val="both"/>
        <w:rPr>
          <w:rFonts w:hint="eastAsia" w:ascii="微软雅黑" w:hAnsi="微软雅黑" w:eastAsia="微软雅黑" w:cs="微软雅黑"/>
        </w:rPr>
      </w:pPr>
      <w:r>
        <w:rPr>
          <w:rFonts w:hint="eastAsia" w:ascii="微软雅黑" w:hAnsi="微软雅黑" w:eastAsia="微软雅黑" w:cs="微软雅黑"/>
        </w:rPr>
        <w:t>2. 提供优质服务：在项目实施过程中主动沟通，积极配合招标人的合理要求与监督。</w:t>
      </w:r>
    </w:p>
    <w:p w14:paraId="3CBAFB8C">
      <w:pPr>
        <w:pStyle w:val="18"/>
        <w:snapToGrid w:val="0"/>
        <w:spacing w:line="240" w:lineRule="auto"/>
        <w:ind w:firstLine="420" w:firstLineChars="200"/>
        <w:jc w:val="both"/>
        <w:rPr>
          <w:rFonts w:hint="eastAsia" w:ascii="微软雅黑" w:hAnsi="微软雅黑" w:eastAsia="微软雅黑" w:cs="微软雅黑"/>
        </w:rPr>
      </w:pPr>
      <w:r>
        <w:rPr>
          <w:rFonts w:hint="eastAsia" w:ascii="微软雅黑" w:hAnsi="微软雅黑" w:eastAsia="微软雅黑" w:cs="微软雅黑"/>
        </w:rPr>
        <w:t>四、 接受监督与违约自担的承诺 我公司完全理解并接受贵方为本次招标制定的各项规则。若我公司在投标或合同履行过程中违反上述任何承诺，愿无条件承担由此带来的一切法律责任及后果，包括但不限于：</w:t>
      </w:r>
    </w:p>
    <w:p w14:paraId="348E0AA9">
      <w:pPr>
        <w:pStyle w:val="18"/>
        <w:snapToGrid w:val="0"/>
        <w:spacing w:line="240" w:lineRule="auto"/>
        <w:ind w:firstLine="420" w:firstLineChars="200"/>
        <w:jc w:val="both"/>
        <w:rPr>
          <w:rFonts w:hint="eastAsia" w:ascii="微软雅黑" w:hAnsi="微软雅黑" w:eastAsia="微软雅黑" w:cs="微软雅黑"/>
        </w:rPr>
      </w:pPr>
      <w:r>
        <w:rPr>
          <w:rFonts w:hint="eastAsia" w:ascii="微软雅黑" w:hAnsi="微软雅黑" w:eastAsia="微软雅黑" w:cs="微软雅黑"/>
        </w:rPr>
        <w:t>· 接受贵方取消我方投标与中标资格；</w:t>
      </w:r>
    </w:p>
    <w:p w14:paraId="0404350F">
      <w:pPr>
        <w:pStyle w:val="18"/>
        <w:snapToGrid w:val="0"/>
        <w:spacing w:line="240" w:lineRule="auto"/>
        <w:ind w:firstLine="420" w:firstLineChars="200"/>
        <w:jc w:val="both"/>
        <w:rPr>
          <w:rFonts w:hint="eastAsia" w:ascii="微软雅黑" w:hAnsi="微软雅黑" w:eastAsia="微软雅黑" w:cs="微软雅黑"/>
        </w:rPr>
      </w:pPr>
      <w:r>
        <w:rPr>
          <w:rFonts w:hint="eastAsia" w:ascii="微软雅黑" w:hAnsi="微软雅黑" w:eastAsia="微软雅黑" w:cs="微软雅黑"/>
        </w:rPr>
        <w:t>· 列入不良信用记录名单，并接受市场准入限制；</w:t>
      </w:r>
    </w:p>
    <w:p w14:paraId="556B6C1A">
      <w:pPr>
        <w:pStyle w:val="18"/>
        <w:snapToGrid w:val="0"/>
        <w:spacing w:line="240" w:lineRule="auto"/>
        <w:ind w:firstLine="420" w:firstLineChars="200"/>
        <w:jc w:val="both"/>
        <w:rPr>
          <w:rFonts w:hint="eastAsia" w:ascii="微软雅黑" w:hAnsi="微软雅黑" w:eastAsia="微软雅黑" w:cs="微软雅黑"/>
        </w:rPr>
      </w:pPr>
      <w:r>
        <w:rPr>
          <w:rFonts w:hint="eastAsia" w:ascii="微软雅黑" w:hAnsi="微软雅黑" w:eastAsia="微软雅黑" w:cs="微软雅黑"/>
        </w:rPr>
        <w:t>特此承诺！</w:t>
      </w:r>
    </w:p>
    <w:p w14:paraId="634887F0">
      <w:pPr>
        <w:pStyle w:val="18"/>
        <w:snapToGrid w:val="0"/>
        <w:spacing w:line="240" w:lineRule="auto"/>
        <w:ind w:firstLine="420" w:firstLineChars="200"/>
        <w:jc w:val="right"/>
        <w:rPr>
          <w:rFonts w:hint="eastAsia" w:ascii="微软雅黑" w:hAnsi="微软雅黑" w:eastAsia="微软雅黑" w:cs="微软雅黑"/>
        </w:rPr>
      </w:pPr>
      <w:r>
        <w:rPr>
          <w:rFonts w:hint="eastAsia" w:ascii="微软雅黑" w:hAnsi="微软雅黑" w:eastAsia="微软雅黑" w:cs="微软雅黑"/>
        </w:rPr>
        <w:t xml:space="preserve">投标人（公章）：             </w:t>
      </w:r>
    </w:p>
    <w:p w14:paraId="3BA7E6C6">
      <w:pPr>
        <w:pStyle w:val="18"/>
        <w:snapToGrid w:val="0"/>
        <w:spacing w:line="360" w:lineRule="auto"/>
        <w:ind w:firstLine="420" w:firstLineChars="200"/>
        <w:jc w:val="right"/>
        <w:rPr>
          <w:rFonts w:hint="eastAsia" w:ascii="微软雅黑" w:hAnsi="微软雅黑" w:eastAsia="微软雅黑" w:cs="微软雅黑"/>
        </w:rPr>
      </w:pPr>
      <w:r>
        <w:rPr>
          <w:rFonts w:hint="eastAsia" w:ascii="微软雅黑" w:hAnsi="微软雅黑" w:eastAsia="微软雅黑" w:cs="微软雅黑"/>
        </w:rPr>
        <w:t>日  期：      年    月     日</w:t>
      </w:r>
    </w:p>
    <w:p w14:paraId="38077FE3">
      <w:pPr>
        <w:rPr>
          <w:rFonts w:hint="eastAsia" w:ascii="微软雅黑" w:hAnsi="微软雅黑" w:eastAsia="微软雅黑" w:cs="微软雅黑"/>
          <w:b/>
          <w:kern w:val="2"/>
          <w:sz w:val="22"/>
          <w:szCs w:val="22"/>
          <w:highlight w:val="none"/>
        </w:rPr>
      </w:pPr>
      <w:r>
        <w:rPr>
          <w:rFonts w:hint="eastAsia" w:ascii="微软雅黑" w:hAnsi="微软雅黑" w:eastAsia="微软雅黑" w:cs="微软雅黑"/>
          <w:b/>
          <w:kern w:val="2"/>
          <w:sz w:val="22"/>
          <w:szCs w:val="22"/>
          <w:highlight w:val="none"/>
        </w:rPr>
        <w:br w:type="page"/>
      </w:r>
    </w:p>
    <w:p w14:paraId="25AF9328">
      <w:pPr>
        <w:spacing w:line="360" w:lineRule="auto"/>
        <w:rPr>
          <w:rFonts w:hint="eastAsia" w:ascii="微软雅黑" w:hAnsi="微软雅黑" w:eastAsia="微软雅黑" w:cs="微软雅黑"/>
          <w:b/>
          <w:kern w:val="2"/>
          <w:sz w:val="22"/>
          <w:szCs w:val="22"/>
          <w:highlight w:val="none"/>
        </w:rPr>
      </w:pPr>
      <w:r>
        <w:rPr>
          <w:rFonts w:hint="eastAsia" w:ascii="微软雅黑" w:hAnsi="微软雅黑" w:eastAsia="微软雅黑" w:cs="微软雅黑"/>
          <w:b/>
          <w:kern w:val="2"/>
          <w:sz w:val="22"/>
          <w:szCs w:val="22"/>
          <w:highlight w:val="none"/>
        </w:rPr>
        <w:t>附件四：</w:t>
      </w:r>
    </w:p>
    <w:p w14:paraId="329DDB39">
      <w:pPr>
        <w:pStyle w:val="4"/>
        <w:numPr>
          <w:ilvl w:val="0"/>
          <w:numId w:val="3"/>
        </w:numPr>
        <w:jc w:val="center"/>
        <w:rPr>
          <w:rFonts w:hint="eastAsia" w:ascii="微软雅黑" w:hAnsi="微软雅黑" w:eastAsia="微软雅黑" w:cs="微软雅黑"/>
          <w:b/>
          <w:bCs/>
          <w:lang w:val="zh-CN" w:eastAsia="zh-CN"/>
        </w:rPr>
      </w:pPr>
      <w:r>
        <w:rPr>
          <w:rFonts w:hint="eastAsia" w:ascii="微软雅黑" w:hAnsi="微软雅黑" w:eastAsia="微软雅黑" w:cs="微软雅黑"/>
          <w:b/>
          <w:bCs/>
        </w:rPr>
        <w:t>资质证明文件</w:t>
      </w:r>
    </w:p>
    <w:p w14:paraId="3B3324C0">
      <w:pPr>
        <w:numPr>
          <w:ilvl w:val="0"/>
          <w:numId w:val="4"/>
        </w:numPr>
        <w:spacing w:line="360" w:lineRule="auto"/>
        <w:jc w:val="both"/>
        <w:rPr>
          <w:rFonts w:hint="eastAsia" w:ascii="微软雅黑" w:hAnsi="微软雅黑" w:eastAsia="微软雅黑" w:cs="微软雅黑"/>
          <w:color w:val="000000"/>
          <w:sz w:val="24"/>
          <w:szCs w:val="24"/>
          <w:highlight w:val="none"/>
          <w:lang w:val="zh-CN" w:eastAsia="zh-CN" w:bidi="ar-SA"/>
        </w:rPr>
      </w:pPr>
      <w:r>
        <w:rPr>
          <w:rFonts w:hint="eastAsia" w:ascii="微软雅黑" w:hAnsi="微软雅黑" w:eastAsia="微软雅黑" w:cs="微软雅黑"/>
          <w:color w:val="000000"/>
          <w:sz w:val="24"/>
          <w:szCs w:val="24"/>
          <w:highlight w:val="none"/>
          <w:lang w:val="zh-CN" w:eastAsia="zh-CN" w:bidi="ar-SA"/>
        </w:rPr>
        <w:t>营业执照：</w:t>
      </w:r>
      <w:r>
        <w:rPr>
          <w:rFonts w:hint="eastAsia" w:ascii="微软雅黑" w:hAnsi="微软雅黑" w:eastAsia="微软雅黑" w:cs="微软雅黑"/>
          <w:color w:val="000000"/>
          <w:sz w:val="24"/>
          <w:szCs w:val="24"/>
          <w:highlight w:val="none"/>
          <w:lang w:val="zh-CN"/>
        </w:rPr>
        <w:t>有效的营业执照，营业执照经营范围应包含与招标项目相关的业务许可</w:t>
      </w:r>
      <w:r>
        <w:rPr>
          <w:rFonts w:hint="eastAsia" w:ascii="微软雅黑" w:hAnsi="微软雅黑" w:eastAsia="微软雅黑" w:cs="微软雅黑"/>
          <w:color w:val="000000"/>
          <w:sz w:val="24"/>
          <w:szCs w:val="24"/>
          <w:highlight w:val="none"/>
          <w:lang w:val="zh-CN" w:eastAsia="zh-CN" w:bidi="ar-SA"/>
        </w:rPr>
        <w:t>；</w:t>
      </w:r>
    </w:p>
    <w:p w14:paraId="0918A53B">
      <w:pPr>
        <w:numPr>
          <w:ilvl w:val="0"/>
          <w:numId w:val="4"/>
        </w:numPr>
        <w:spacing w:line="360" w:lineRule="auto"/>
        <w:jc w:val="both"/>
        <w:rPr>
          <w:rFonts w:hint="eastAsia" w:ascii="微软雅黑" w:hAnsi="微软雅黑" w:eastAsia="微软雅黑" w:cs="微软雅黑"/>
          <w:color w:val="000000"/>
          <w:sz w:val="24"/>
          <w:szCs w:val="24"/>
          <w:highlight w:val="none"/>
          <w:lang w:val="zh-CN" w:eastAsia="zh-CN" w:bidi="ar-SA"/>
        </w:rPr>
      </w:pPr>
      <w:r>
        <w:rPr>
          <w:rFonts w:hint="eastAsia" w:ascii="微软雅黑" w:hAnsi="微软雅黑" w:eastAsia="微软雅黑" w:cs="微软雅黑"/>
          <w:color w:val="000000"/>
          <w:sz w:val="24"/>
          <w:szCs w:val="24"/>
          <w:highlight w:val="none"/>
          <w:lang w:val="en-US" w:eastAsia="zh-CN" w:bidi="ar-SA"/>
        </w:rPr>
        <w:t>业绩证明（自2023年1月1日起与合肥市区内不同房地产开发商签订的至少3份同类广告投放合同，每份合同金额不低于10万元</w:t>
      </w:r>
      <w:r>
        <w:rPr>
          <w:rFonts w:hint="eastAsia" w:ascii="微软雅黑" w:hAnsi="微软雅黑" w:eastAsia="微软雅黑" w:cs="微软雅黑"/>
          <w:color w:val="000000"/>
          <w:sz w:val="24"/>
          <w:szCs w:val="24"/>
          <w:highlight w:val="none"/>
          <w:lang w:val="zh-CN" w:eastAsia="zh-CN" w:bidi="ar-SA"/>
        </w:rPr>
        <w:t>）</w:t>
      </w:r>
      <w:r>
        <w:rPr>
          <w:rFonts w:hint="eastAsia" w:ascii="微软雅黑" w:hAnsi="微软雅黑" w:eastAsia="微软雅黑" w:cs="微软雅黑"/>
          <w:color w:val="000000"/>
          <w:sz w:val="24"/>
          <w:szCs w:val="24"/>
          <w:highlight w:val="none"/>
          <w:lang w:val="en-US" w:eastAsia="zh-CN" w:bidi="ar-SA"/>
        </w:rPr>
        <w:t>；</w:t>
      </w:r>
    </w:p>
    <w:p w14:paraId="378948BC">
      <w:pPr>
        <w:numPr>
          <w:ilvl w:val="0"/>
          <w:numId w:val="4"/>
        </w:numPr>
        <w:spacing w:line="360" w:lineRule="auto"/>
        <w:jc w:val="both"/>
        <w:rPr>
          <w:rFonts w:hint="eastAsia" w:ascii="微软雅黑" w:hAnsi="微软雅黑" w:eastAsia="微软雅黑" w:cs="微软雅黑"/>
          <w:color w:val="000000"/>
          <w:sz w:val="24"/>
          <w:szCs w:val="24"/>
          <w:highlight w:val="none"/>
          <w:lang w:val="zh-CN" w:eastAsia="zh-CN" w:bidi="ar-SA"/>
        </w:rPr>
      </w:pPr>
      <w:r>
        <w:rPr>
          <w:rFonts w:hint="eastAsia" w:ascii="微软雅黑" w:hAnsi="微软雅黑" w:eastAsia="微软雅黑" w:cs="微软雅黑"/>
          <w:color w:val="000000"/>
          <w:sz w:val="24"/>
          <w:szCs w:val="24"/>
          <w:highlight w:val="none"/>
          <w:lang w:val="zh-CN" w:eastAsia="zh-CN" w:bidi="ar-SA"/>
        </w:rPr>
        <w:t>招标文件要求的其他资格证明文件；</w:t>
      </w:r>
    </w:p>
    <w:p w14:paraId="7B048EF5">
      <w:pPr>
        <w:numPr>
          <w:ilvl w:val="0"/>
          <w:numId w:val="0"/>
        </w:numPr>
        <w:spacing w:line="360" w:lineRule="auto"/>
        <w:jc w:val="both"/>
        <w:rPr>
          <w:rFonts w:hint="eastAsia" w:ascii="微软雅黑" w:hAnsi="微软雅黑" w:eastAsia="微软雅黑" w:cs="微软雅黑"/>
          <w:b/>
          <w:bCs/>
          <w:kern w:val="2"/>
          <w:szCs w:val="21"/>
          <w:highlight w:val="none"/>
          <w:lang w:val="en-US" w:eastAsia="zh-CN"/>
        </w:rPr>
      </w:pPr>
      <w:r>
        <w:rPr>
          <w:rFonts w:hint="eastAsia" w:ascii="微软雅黑" w:hAnsi="微软雅黑" w:eastAsia="微软雅黑" w:cs="微软雅黑"/>
          <w:b/>
          <w:bCs/>
          <w:kern w:val="2"/>
          <w:szCs w:val="21"/>
          <w:highlight w:val="none"/>
          <w:lang w:val="en-US" w:eastAsia="zh-CN"/>
        </w:rPr>
        <w:t>业绩证明模版：</w:t>
      </w:r>
    </w:p>
    <w:p w14:paraId="49C73602">
      <w:pPr>
        <w:numPr>
          <w:ilvl w:val="0"/>
          <w:numId w:val="0"/>
        </w:numPr>
        <w:spacing w:line="240" w:lineRule="auto"/>
        <w:jc w:val="center"/>
        <w:rPr>
          <w:rFonts w:hint="eastAsia" w:ascii="微软雅黑" w:hAnsi="微软雅黑" w:eastAsia="微软雅黑" w:cs="微软雅黑"/>
          <w:b/>
          <w:bCs/>
          <w:kern w:val="2"/>
          <w:sz w:val="22"/>
          <w:szCs w:val="22"/>
          <w:highlight w:val="none"/>
          <w:lang w:val="en-US" w:eastAsia="zh-CN"/>
        </w:rPr>
      </w:pPr>
      <w:r>
        <w:rPr>
          <w:rFonts w:hint="eastAsia" w:ascii="微软雅黑" w:hAnsi="微软雅黑" w:eastAsia="微软雅黑" w:cs="微软雅黑"/>
          <w:b/>
          <w:bCs/>
          <w:kern w:val="2"/>
          <w:sz w:val="22"/>
          <w:szCs w:val="22"/>
          <w:highlight w:val="none"/>
          <w:lang w:val="en-US" w:eastAsia="zh-CN"/>
        </w:rPr>
        <w:t>业绩证明</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979"/>
        <w:gridCol w:w="4121"/>
        <w:gridCol w:w="1686"/>
        <w:gridCol w:w="1107"/>
      </w:tblGrid>
      <w:tr w14:paraId="30D3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5DFCDBC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序号</w:t>
            </w:r>
          </w:p>
        </w:tc>
        <w:tc>
          <w:tcPr>
            <w:tcW w:w="2025" w:type="dxa"/>
            <w:vAlign w:val="center"/>
          </w:tcPr>
          <w:p w14:paraId="732E03F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合作开发商</w:t>
            </w:r>
          </w:p>
        </w:tc>
        <w:tc>
          <w:tcPr>
            <w:tcW w:w="4230" w:type="dxa"/>
            <w:vAlign w:val="center"/>
          </w:tcPr>
          <w:p w14:paraId="2B15E59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合同名称</w:t>
            </w:r>
          </w:p>
        </w:tc>
        <w:tc>
          <w:tcPr>
            <w:tcW w:w="1723" w:type="dxa"/>
            <w:vAlign w:val="center"/>
          </w:tcPr>
          <w:p w14:paraId="6CABEB8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合同签订时间</w:t>
            </w:r>
          </w:p>
        </w:tc>
        <w:tc>
          <w:tcPr>
            <w:tcW w:w="1127" w:type="dxa"/>
            <w:vAlign w:val="center"/>
          </w:tcPr>
          <w:p w14:paraId="0A6CBF1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合同金额</w:t>
            </w:r>
          </w:p>
        </w:tc>
      </w:tr>
      <w:tr w14:paraId="4259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245F36F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1</w:t>
            </w:r>
          </w:p>
        </w:tc>
        <w:tc>
          <w:tcPr>
            <w:tcW w:w="2025" w:type="dxa"/>
            <w:vAlign w:val="center"/>
          </w:tcPr>
          <w:p w14:paraId="01268AA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228F1F52">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6D827D8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736AE288">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1072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57" w:type="dxa"/>
            <w:vAlign w:val="center"/>
          </w:tcPr>
          <w:p w14:paraId="25DB13D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2</w:t>
            </w:r>
          </w:p>
        </w:tc>
        <w:tc>
          <w:tcPr>
            <w:tcW w:w="2025" w:type="dxa"/>
            <w:vAlign w:val="center"/>
          </w:tcPr>
          <w:p w14:paraId="19CC1949">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7777CBD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18C4F1C2">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2A0FE220">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7189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57" w:type="dxa"/>
            <w:vAlign w:val="center"/>
          </w:tcPr>
          <w:p w14:paraId="0436CE4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3</w:t>
            </w:r>
          </w:p>
        </w:tc>
        <w:tc>
          <w:tcPr>
            <w:tcW w:w="2025" w:type="dxa"/>
            <w:vAlign w:val="center"/>
          </w:tcPr>
          <w:p w14:paraId="31D0D75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0FA4573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68DDC48F">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43B23ABC">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64A3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9962" w:type="dxa"/>
            <w:gridSpan w:val="5"/>
            <w:vAlign w:val="center"/>
          </w:tcPr>
          <w:p w14:paraId="418F15FB">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w:t>
            </w:r>
          </w:p>
        </w:tc>
      </w:tr>
      <w:tr w14:paraId="0CB2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9962" w:type="dxa"/>
            <w:gridSpan w:val="5"/>
            <w:vAlign w:val="center"/>
          </w:tcPr>
          <w:p w14:paraId="018D6960">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微软雅黑" w:hAnsi="微软雅黑" w:eastAsia="微软雅黑" w:cs="微软雅黑"/>
                <w:kern w:val="2"/>
                <w:szCs w:val="21"/>
                <w:highlight w:val="none"/>
                <w:lang w:val="en-US" w:eastAsia="zh-CN"/>
              </w:rPr>
            </w:pPr>
            <w:r>
              <w:rPr>
                <w:rFonts w:hint="eastAsia" w:ascii="微软雅黑" w:hAnsi="微软雅黑" w:eastAsia="微软雅黑" w:cs="微软雅黑"/>
                <w:kern w:val="2"/>
                <w:szCs w:val="21"/>
                <w:highlight w:val="none"/>
                <w:lang w:val="en-US" w:eastAsia="zh-CN"/>
              </w:rPr>
              <w:t>后附相关合同复印件</w:t>
            </w:r>
          </w:p>
        </w:tc>
      </w:tr>
    </w:tbl>
    <w:p w14:paraId="348871BA">
      <w:pPr>
        <w:spacing w:line="360" w:lineRule="auto"/>
        <w:jc w:val="center"/>
        <w:rPr>
          <w:rFonts w:hint="eastAsia" w:ascii="微软雅黑" w:hAnsi="微软雅黑" w:eastAsia="微软雅黑" w:cs="微软雅黑"/>
          <w:b/>
          <w:bCs/>
          <w:sz w:val="22"/>
          <w:szCs w:val="22"/>
          <w:highlight w:val="none"/>
        </w:rPr>
      </w:pPr>
    </w:p>
    <w:p w14:paraId="0802177A">
      <w:pPr>
        <w:numPr>
          <w:ilvl w:val="0"/>
          <w:numId w:val="0"/>
        </w:numPr>
        <w:spacing w:line="360" w:lineRule="auto"/>
        <w:jc w:val="both"/>
        <w:rPr>
          <w:rFonts w:hint="default" w:ascii="微软雅黑" w:hAnsi="微软雅黑" w:eastAsia="微软雅黑" w:cs="微软雅黑"/>
          <w:color w:val="000000"/>
          <w:sz w:val="24"/>
          <w:szCs w:val="24"/>
          <w:highlight w:val="none"/>
          <w:lang w:val="en-US" w:eastAsia="zh-CN" w:bidi="ar-SA"/>
        </w:rPr>
      </w:pPr>
    </w:p>
    <w:p w14:paraId="170F3230">
      <w:pPr>
        <w:spacing w:line="360" w:lineRule="auto"/>
        <w:jc w:val="center"/>
        <w:rPr>
          <w:rFonts w:hint="eastAsia" w:ascii="微软雅黑" w:hAnsi="微软雅黑" w:eastAsia="微软雅黑" w:cs="微软雅黑"/>
          <w:b/>
          <w:bCs/>
          <w:sz w:val="22"/>
          <w:szCs w:val="22"/>
          <w:highlight w:val="none"/>
        </w:rPr>
      </w:pPr>
    </w:p>
    <w:p w14:paraId="727180DB">
      <w:pPr>
        <w:pStyle w:val="4"/>
        <w:spacing w:line="360" w:lineRule="auto"/>
        <w:jc w:val="center"/>
        <w:rPr>
          <w:rFonts w:hint="eastAsia" w:ascii="微软雅黑" w:hAnsi="微软雅黑" w:eastAsia="微软雅黑" w:cs="微软雅黑"/>
          <w:sz w:val="22"/>
          <w:szCs w:val="22"/>
          <w:highlight w:val="none"/>
          <w:lang w:eastAsia="zh-CN"/>
        </w:rPr>
      </w:pPr>
    </w:p>
    <w:p w14:paraId="40FC5285">
      <w:pPr>
        <w:rPr>
          <w:rFonts w:hint="eastAsia" w:ascii="微软雅黑" w:hAnsi="微软雅黑" w:eastAsia="微软雅黑" w:cs="微软雅黑"/>
          <w:sz w:val="22"/>
          <w:szCs w:val="22"/>
          <w:highlight w:val="none"/>
          <w:lang w:eastAsia="zh-CN"/>
        </w:rPr>
      </w:pPr>
    </w:p>
    <w:p w14:paraId="1A81CAE5">
      <w:pPr>
        <w:rPr>
          <w:rFonts w:hint="eastAsia" w:ascii="微软雅黑" w:hAnsi="微软雅黑" w:eastAsia="微软雅黑" w:cs="微软雅黑"/>
          <w:sz w:val="22"/>
          <w:szCs w:val="22"/>
          <w:highlight w:val="none"/>
          <w:lang w:eastAsia="zh-CN"/>
        </w:rPr>
      </w:pPr>
    </w:p>
    <w:p w14:paraId="0C7E97E9">
      <w:pPr>
        <w:rPr>
          <w:rFonts w:hint="eastAsia" w:ascii="微软雅黑" w:hAnsi="微软雅黑" w:eastAsia="微软雅黑" w:cs="微软雅黑"/>
          <w:b/>
          <w:kern w:val="2"/>
          <w:sz w:val="22"/>
          <w:szCs w:val="22"/>
          <w:highlight w:val="none"/>
        </w:rPr>
      </w:pPr>
      <w:r>
        <w:rPr>
          <w:rFonts w:hint="eastAsia" w:ascii="微软雅黑" w:hAnsi="微软雅黑" w:eastAsia="微软雅黑" w:cs="微软雅黑"/>
          <w:b/>
          <w:kern w:val="2"/>
          <w:sz w:val="22"/>
          <w:szCs w:val="22"/>
          <w:highlight w:val="none"/>
        </w:rPr>
        <w:br w:type="page"/>
      </w:r>
    </w:p>
    <w:p w14:paraId="6D1741AE">
      <w:pPr>
        <w:spacing w:line="360" w:lineRule="auto"/>
        <w:rPr>
          <w:rFonts w:hint="eastAsia" w:ascii="微软雅黑" w:hAnsi="微软雅黑" w:eastAsia="微软雅黑" w:cs="微软雅黑"/>
          <w:b/>
          <w:kern w:val="2"/>
          <w:sz w:val="22"/>
          <w:szCs w:val="22"/>
          <w:highlight w:val="none"/>
          <w:lang w:val="en-US" w:eastAsia="zh-CN"/>
        </w:rPr>
      </w:pPr>
      <w:r>
        <w:rPr>
          <w:rFonts w:hint="eastAsia" w:ascii="微软雅黑" w:hAnsi="微软雅黑" w:eastAsia="微软雅黑" w:cs="微软雅黑"/>
          <w:b/>
          <w:kern w:val="2"/>
          <w:sz w:val="22"/>
          <w:szCs w:val="22"/>
          <w:highlight w:val="none"/>
        </w:rPr>
        <w:t>附件</w:t>
      </w:r>
      <w:r>
        <w:rPr>
          <w:rFonts w:hint="eastAsia" w:ascii="微软雅黑" w:hAnsi="微软雅黑" w:eastAsia="微软雅黑" w:cs="微软雅黑"/>
          <w:b/>
          <w:kern w:val="2"/>
          <w:sz w:val="22"/>
          <w:szCs w:val="22"/>
          <w:highlight w:val="none"/>
          <w:lang w:val="en-US" w:eastAsia="zh-CN"/>
        </w:rPr>
        <w:t>五：</w:t>
      </w:r>
    </w:p>
    <w:p w14:paraId="38BDC80D">
      <w:pPr>
        <w:jc w:val="cente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合作确认书</w:t>
      </w:r>
    </w:p>
    <w:p w14:paraId="7F2E2516">
      <w:pPr>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lang w:val="en-US" w:eastAsia="zh-CN"/>
        </w:rPr>
        <w:t xml:space="preserve">    </w:t>
      </w:r>
      <w:r>
        <w:rPr>
          <w:rFonts w:hint="eastAsia" w:ascii="微软雅黑" w:hAnsi="微软雅黑" w:eastAsia="微软雅黑" w:cs="微软雅黑"/>
          <w:color w:val="000000"/>
          <w:sz w:val="24"/>
          <w:szCs w:val="24"/>
          <w:lang w:val="zh-CN"/>
        </w:rPr>
        <w:t>合肥市包河区城市更新建设有限公司</w:t>
      </w:r>
      <w:r>
        <w:rPr>
          <w:rFonts w:hint="eastAsia" w:ascii="微软雅黑" w:hAnsi="微软雅黑" w:eastAsia="微软雅黑" w:cs="微软雅黑"/>
          <w:b/>
          <w:bCs/>
          <w:color w:val="000000"/>
          <w:sz w:val="24"/>
          <w:szCs w:val="24"/>
          <w:u w:val="single"/>
          <w:lang w:val="zh-CN"/>
        </w:rPr>
        <w:t>“嘉玺项目朋友圈信息流广告投放”</w:t>
      </w:r>
      <w:r>
        <w:rPr>
          <w:rFonts w:hint="eastAsia" w:ascii="微软雅黑" w:hAnsi="微软雅黑" w:eastAsia="微软雅黑" w:cs="微软雅黑"/>
          <w:color w:val="000000"/>
          <w:sz w:val="24"/>
          <w:szCs w:val="24"/>
          <w:lang w:val="zh-CN"/>
        </w:rPr>
        <w:t>项目</w:t>
      </w:r>
      <w:r>
        <w:rPr>
          <w:rFonts w:hint="eastAsia" w:ascii="微软雅黑" w:hAnsi="微软雅黑" w:eastAsia="微软雅黑" w:cs="微软雅黑"/>
          <w:color w:val="000000"/>
          <w:sz w:val="24"/>
          <w:szCs w:val="24"/>
          <w:lang w:val="en-US" w:eastAsia="zh-CN"/>
        </w:rPr>
        <w:t>合作要求如下：</w:t>
      </w:r>
    </w:p>
    <w:p w14:paraId="46AD9966">
      <w:pPr>
        <w:numPr>
          <w:ilvl w:val="0"/>
          <w:numId w:val="5"/>
        </w:numPr>
        <w:ind w:left="0" w:leftChars="0" w:firstLine="480" w:firstLineChars="200"/>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确保以报价单中约定的CPM单价执行，满足项目投放曝光量及获客线索量要求；</w:t>
      </w:r>
    </w:p>
    <w:p w14:paraId="67B89181">
      <w:pPr>
        <w:numPr>
          <w:ilvl w:val="0"/>
          <w:numId w:val="5"/>
        </w:numPr>
        <w:ind w:left="0" w:leftChars="0" w:firstLine="480" w:firstLineChars="200"/>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需按约定定向（年龄、地域、兴趣等）投放，如需调整定向投放策略，需提前书面告知甲方并获同意；</w:t>
      </w:r>
    </w:p>
    <w:p w14:paraId="4E030E0A">
      <w:pPr>
        <w:pageBreakBefore w:val="0"/>
        <w:numPr>
          <w:ilvl w:val="0"/>
          <w:numId w:val="5"/>
        </w:numPr>
        <w:kinsoku/>
        <w:wordWrap/>
        <w:overflowPunct/>
        <w:topLinePunct w:val="0"/>
        <w:bidi w:val="0"/>
        <w:spacing w:beforeAutospacing="0" w:after="0" w:afterAutospacing="0" w:line="360" w:lineRule="auto"/>
        <w:ind w:left="0" w:leftChars="0" w:firstLine="480" w:firstLineChars="200"/>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lang w:val="en-US" w:eastAsia="zh-CN"/>
        </w:rPr>
        <w:t>需</w:t>
      </w:r>
      <w:r>
        <w:rPr>
          <w:rFonts w:hint="eastAsia" w:ascii="微软雅黑" w:hAnsi="微软雅黑" w:eastAsia="微软雅黑" w:cs="微软雅黑"/>
          <w:color w:val="000000"/>
          <w:sz w:val="24"/>
        </w:rPr>
        <w:t>对全部投放素材进行全面合规性审核，严格规避平台违禁内容及违规情形，确保广告正常投放，</w:t>
      </w:r>
      <w:r>
        <w:rPr>
          <w:rFonts w:hint="eastAsia" w:ascii="微软雅黑" w:hAnsi="微软雅黑" w:eastAsia="微软雅黑" w:cs="微软雅黑"/>
          <w:color w:val="000000"/>
          <w:sz w:val="24"/>
          <w:lang w:val="en-US" w:eastAsia="zh-CN"/>
        </w:rPr>
        <w:t>不得出现广告</w:t>
      </w:r>
      <w:r>
        <w:rPr>
          <w:rFonts w:hint="eastAsia" w:ascii="微软雅黑" w:hAnsi="微软雅黑" w:eastAsia="微软雅黑" w:cs="微软雅黑"/>
          <w:color w:val="000000"/>
          <w:sz w:val="24"/>
        </w:rPr>
        <w:t>下线等问题</w:t>
      </w:r>
      <w:r>
        <w:rPr>
          <w:rFonts w:hint="eastAsia" w:ascii="微软雅黑" w:hAnsi="微软雅黑" w:eastAsia="微软雅黑" w:cs="微软雅黑"/>
          <w:color w:val="000000"/>
          <w:sz w:val="24"/>
          <w:lang w:eastAsia="zh-CN"/>
        </w:rPr>
        <w:t>；</w:t>
      </w:r>
    </w:p>
    <w:p w14:paraId="6088B9C4">
      <w:pPr>
        <w:pageBreakBefore w:val="0"/>
        <w:numPr>
          <w:ilvl w:val="0"/>
          <w:numId w:val="5"/>
        </w:numPr>
        <w:kinsoku/>
        <w:wordWrap/>
        <w:overflowPunct/>
        <w:topLinePunct w:val="0"/>
        <w:bidi w:val="0"/>
        <w:spacing w:beforeAutospacing="0" w:after="0" w:afterAutospacing="0" w:line="360" w:lineRule="auto"/>
        <w:ind w:left="0" w:leftChars="0" w:firstLine="480" w:firstLineChars="200"/>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lang w:val="en-US" w:eastAsia="zh-CN"/>
        </w:rPr>
        <w:t>朋友圈信息流广告投放需使用</w:t>
      </w:r>
      <w:r>
        <w:rPr>
          <w:rFonts w:hint="eastAsia" w:ascii="微软雅黑" w:hAnsi="微软雅黑" w:eastAsia="微软雅黑" w:cs="微软雅黑"/>
          <w:color w:val="000000"/>
          <w:sz w:val="24"/>
          <w:szCs w:val="24"/>
          <w:lang w:val="zh-CN"/>
        </w:rPr>
        <w:t>合肥市包河区城市更新建设有限公司</w:t>
      </w:r>
      <w:r>
        <w:rPr>
          <w:rFonts w:hint="eastAsia" w:ascii="微软雅黑" w:hAnsi="微软雅黑" w:eastAsia="微软雅黑" w:cs="微软雅黑"/>
          <w:color w:val="000000"/>
          <w:sz w:val="24"/>
          <w:szCs w:val="24"/>
          <w:lang w:val="en-US" w:eastAsia="zh-CN"/>
        </w:rPr>
        <w:t>主体账户进行投放，</w:t>
      </w:r>
      <w:r>
        <w:rPr>
          <w:rFonts w:hint="eastAsia" w:ascii="微软雅黑" w:hAnsi="微软雅黑" w:eastAsia="微软雅黑" w:cs="微软雅黑"/>
          <w:color w:val="000000"/>
          <w:sz w:val="24"/>
          <w:lang w:val="en-US" w:eastAsia="zh-CN"/>
        </w:rPr>
        <w:t>不得</w:t>
      </w:r>
      <w:r>
        <w:rPr>
          <w:rFonts w:hint="eastAsia" w:ascii="微软雅黑" w:hAnsi="微软雅黑" w:eastAsia="微软雅黑" w:cs="微软雅黑"/>
          <w:color w:val="000000"/>
          <w:sz w:val="24"/>
        </w:rPr>
        <w:t>出现封户</w:t>
      </w:r>
      <w:r>
        <w:rPr>
          <w:rFonts w:hint="eastAsia" w:ascii="微软雅黑" w:hAnsi="微软雅黑" w:eastAsia="微软雅黑" w:cs="微软雅黑"/>
          <w:color w:val="000000"/>
          <w:sz w:val="24"/>
          <w:lang w:val="en-US" w:eastAsia="zh-CN"/>
        </w:rPr>
        <w:t>等问题；</w:t>
      </w:r>
    </w:p>
    <w:p w14:paraId="1E602B72">
      <w:pPr>
        <w:pageBreakBefore w:val="0"/>
        <w:numPr>
          <w:ilvl w:val="0"/>
          <w:numId w:val="5"/>
        </w:numPr>
        <w:kinsoku/>
        <w:wordWrap/>
        <w:overflowPunct/>
        <w:topLinePunct w:val="0"/>
        <w:bidi w:val="0"/>
        <w:spacing w:beforeAutospacing="0" w:after="0" w:afterAutospacing="0" w:line="360" w:lineRule="auto"/>
        <w:ind w:left="0" w:leftChars="0" w:firstLine="480" w:firstLineChars="200"/>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rPr>
        <w:t>投放期间，乙方须按甲方要求提供后台数据，用于核验</w:t>
      </w:r>
      <w:r>
        <w:rPr>
          <w:rFonts w:hint="eastAsia" w:ascii="微软雅黑" w:hAnsi="微软雅黑" w:eastAsia="微软雅黑" w:cs="微软雅黑"/>
          <w:color w:val="000000"/>
          <w:sz w:val="24"/>
          <w:lang w:val="en-US" w:eastAsia="zh-CN"/>
        </w:rPr>
        <w:t>定向</w:t>
      </w:r>
      <w:r>
        <w:rPr>
          <w:rFonts w:hint="eastAsia" w:ascii="微软雅黑" w:hAnsi="微软雅黑" w:eastAsia="微软雅黑" w:cs="微软雅黑"/>
          <w:color w:val="000000"/>
          <w:sz w:val="24"/>
        </w:rPr>
        <w:t>投放曝光</w:t>
      </w:r>
      <w:r>
        <w:rPr>
          <w:rFonts w:hint="eastAsia" w:ascii="微软雅黑" w:hAnsi="微软雅黑" w:eastAsia="微软雅黑" w:cs="微软雅黑"/>
          <w:color w:val="000000"/>
          <w:sz w:val="24"/>
          <w:lang w:val="en-US" w:eastAsia="zh-CN"/>
        </w:rPr>
        <w:t>量</w:t>
      </w:r>
      <w:r>
        <w:rPr>
          <w:rFonts w:hint="eastAsia" w:ascii="微软雅黑" w:hAnsi="微软雅黑" w:eastAsia="微软雅黑" w:cs="微软雅黑"/>
          <w:color w:val="000000"/>
          <w:sz w:val="24"/>
        </w:rPr>
        <w:t>的真实性。若出现数据造假、投放范围不符等违约情形，甲方有权不予支付全部合作款项，且乙方应向甲方支付合同价款 50% 的违约金；若违约金不足以弥补甲方实际损失的，甲方有权就不足部分继续向乙方追偿。</w:t>
      </w:r>
    </w:p>
    <w:p w14:paraId="6A6C4448">
      <w:pPr>
        <w:autoSpaceDE w:val="0"/>
        <w:autoSpaceDN w:val="0"/>
        <w:adjustRightInd w:val="0"/>
        <w:spacing w:line="360" w:lineRule="auto"/>
        <w:ind w:firstLine="480" w:firstLineChars="200"/>
        <w:rPr>
          <w:rFonts w:hint="eastAsia" w:ascii="微软雅黑" w:hAnsi="微软雅黑" w:eastAsia="微软雅黑" w:cs="微软雅黑"/>
          <w:b/>
          <w:bCs/>
          <w:color w:val="000000"/>
          <w:sz w:val="24"/>
          <w:szCs w:val="24"/>
          <w:lang w:val="en-US" w:eastAsia="zh-CN"/>
        </w:rPr>
      </w:pPr>
      <w:r>
        <w:rPr>
          <w:rFonts w:hint="eastAsia" w:ascii="微软雅黑" w:hAnsi="微软雅黑" w:eastAsia="微软雅黑" w:cs="微软雅黑"/>
          <w:color w:val="000000"/>
          <w:sz w:val="24"/>
        </w:rPr>
        <w:t>如因乙方原因合作期内无法满足以上合作要求，将不予支付全部合作款项，并取消后续参与滨湖集团及其关联公司所有招标项目的资格。</w:t>
      </w:r>
    </w:p>
    <w:p w14:paraId="03529A48">
      <w:pPr>
        <w:numPr>
          <w:ilvl w:val="0"/>
          <w:numId w:val="0"/>
        </w:numPr>
        <w:ind w:firstLine="6243" w:firstLineChars="2600"/>
        <w:rPr>
          <w:rFonts w:hint="eastAsia" w:ascii="微软雅黑" w:hAnsi="微软雅黑" w:eastAsia="微软雅黑" w:cs="微软雅黑"/>
          <w:b/>
          <w:bCs/>
          <w:color w:val="000000"/>
          <w:sz w:val="24"/>
          <w:szCs w:val="24"/>
          <w:lang w:val="en-US" w:eastAsia="zh-CN"/>
        </w:rPr>
      </w:pPr>
      <w:r>
        <w:rPr>
          <w:rFonts w:hint="eastAsia" w:ascii="微软雅黑" w:hAnsi="微软雅黑" w:eastAsia="微软雅黑" w:cs="微软雅黑"/>
          <w:b/>
          <w:bCs/>
          <w:color w:val="000000"/>
          <w:sz w:val="24"/>
          <w:szCs w:val="24"/>
          <w:lang w:val="en-US" w:eastAsia="zh-CN"/>
        </w:rPr>
        <w:t>签字确认</w:t>
      </w:r>
    </w:p>
    <w:p w14:paraId="5F415E3D">
      <w:pPr>
        <w:numPr>
          <w:ilvl w:val="0"/>
          <w:numId w:val="0"/>
        </w:numPr>
        <w:ind w:firstLine="6243" w:firstLineChars="2600"/>
        <w:rPr>
          <w:rFonts w:hint="eastAsia" w:ascii="微软雅黑" w:hAnsi="微软雅黑" w:eastAsia="微软雅黑" w:cs="微软雅黑"/>
          <w:b/>
          <w:bCs/>
          <w:color w:val="000000"/>
          <w:sz w:val="24"/>
          <w:szCs w:val="24"/>
          <w:lang w:val="en-US" w:eastAsia="zh-CN"/>
        </w:rPr>
      </w:pPr>
      <w:r>
        <w:rPr>
          <w:rFonts w:hint="eastAsia" w:ascii="微软雅黑" w:hAnsi="微软雅黑" w:eastAsia="微软雅黑" w:cs="微软雅黑"/>
          <w:b/>
          <w:bCs/>
          <w:color w:val="000000"/>
          <w:sz w:val="24"/>
          <w:szCs w:val="24"/>
          <w:lang w:val="en-US" w:eastAsia="zh-CN"/>
        </w:rPr>
        <w:t>公司签章</w:t>
      </w:r>
    </w:p>
    <w:p w14:paraId="3483BEB7">
      <w:pPr>
        <w:numPr>
          <w:ilvl w:val="0"/>
          <w:numId w:val="0"/>
        </w:numPr>
        <w:ind w:firstLine="6243" w:firstLineChars="2600"/>
        <w:rPr>
          <w:rFonts w:hint="eastAsia" w:ascii="微软雅黑" w:hAnsi="微软雅黑" w:eastAsia="微软雅黑" w:cs="微软雅黑"/>
          <w:b/>
          <w:bCs/>
          <w:color w:val="000000"/>
          <w:sz w:val="24"/>
          <w:szCs w:val="24"/>
          <w:lang w:val="en-US" w:eastAsia="zh-CN"/>
        </w:rPr>
      </w:pPr>
      <w:r>
        <w:rPr>
          <w:rFonts w:hint="eastAsia" w:ascii="微软雅黑" w:hAnsi="微软雅黑" w:eastAsia="微软雅黑" w:cs="微软雅黑"/>
          <w:b/>
          <w:bCs/>
          <w:color w:val="000000"/>
          <w:sz w:val="24"/>
          <w:szCs w:val="24"/>
          <w:lang w:val="en-US" w:eastAsia="zh-CN"/>
        </w:rPr>
        <w:t>日期</w:t>
      </w:r>
    </w:p>
    <w:p w14:paraId="430A913A">
      <w:pPr>
        <w:pStyle w:val="28"/>
        <w:rPr>
          <w:rFonts w:hint="eastAsia" w:ascii="微软雅黑" w:hAnsi="微软雅黑" w:eastAsia="微软雅黑" w:cs="微软雅黑"/>
          <w:lang w:val="en-US" w:eastAsia="zh-CN"/>
        </w:rPr>
      </w:pPr>
    </w:p>
    <w:bookmarkEnd w:id="25"/>
    <w:bookmarkEnd w:id="26"/>
    <w:sdt>
      <w:sdtPr>
        <w:rPr>
          <w:rFonts w:hint="eastAsia" w:ascii="微软雅黑" w:hAnsi="微软雅黑" w:eastAsia="微软雅黑" w:cs="微软雅黑"/>
          <w:b/>
          <w:bCs/>
          <w:sz w:val="56"/>
          <w:szCs w:val="56"/>
          <w:highlight w:val="none"/>
          <w:lang w:val="zh-CN"/>
        </w:rPr>
        <w:id w:val="147452488"/>
        <w:docPartObj>
          <w:docPartGallery w:val="Table of Contents"/>
          <w:docPartUnique/>
        </w:docPartObj>
      </w:sdtPr>
      <w:sdtEndPr>
        <w:rPr>
          <w:rFonts w:hint="eastAsia" w:ascii="微软雅黑" w:hAnsi="微软雅黑" w:eastAsia="微软雅黑" w:cs="微软雅黑"/>
          <w:b/>
          <w:bCs/>
          <w:caps w:val="0"/>
          <w:sz w:val="22"/>
          <w:szCs w:val="22"/>
          <w:highlight w:val="none"/>
          <w:lang w:val="zh-CN"/>
        </w:rPr>
      </w:sdtEndPr>
      <w:sdtContent>
        <w:p w14:paraId="6C1DF9BD">
          <w:pPr>
            <w:spacing w:line="240" w:lineRule="auto"/>
            <w:jc w:val="center"/>
            <w:rPr>
              <w:rFonts w:hint="eastAsia" w:ascii="微软雅黑" w:hAnsi="微软雅黑" w:eastAsia="微软雅黑" w:cs="微软雅黑"/>
              <w:b/>
              <w:bCs/>
              <w:sz w:val="22"/>
              <w:szCs w:val="22"/>
              <w:highlight w:val="none"/>
              <w:lang w:val="zh-CN"/>
            </w:rPr>
          </w:pPr>
        </w:p>
        <w:p w14:paraId="6E439D04">
          <w:pPr>
            <w:spacing w:line="240" w:lineRule="auto"/>
            <w:jc w:val="center"/>
            <w:rPr>
              <w:rFonts w:hint="eastAsia" w:ascii="微软雅黑" w:hAnsi="微软雅黑" w:eastAsia="微软雅黑" w:cs="微软雅黑"/>
              <w:b/>
              <w:sz w:val="72"/>
              <w:szCs w:val="72"/>
              <w:highlight w:val="none"/>
            </w:rPr>
          </w:pPr>
          <w:r>
            <w:rPr>
              <w:rFonts w:hint="eastAsia" w:ascii="微软雅黑" w:hAnsi="微软雅黑" w:eastAsia="微软雅黑" w:cs="微软雅黑"/>
              <w:b/>
              <w:bCs/>
              <w:sz w:val="56"/>
              <w:szCs w:val="56"/>
              <w:highlight w:val="none"/>
              <w:lang w:val="zh-CN"/>
            </w:rPr>
            <w:t>嘉玺项目朋友圈信息流广告投放</w:t>
          </w:r>
          <w:r>
            <w:rPr>
              <w:rFonts w:hint="eastAsia" w:ascii="微软雅黑" w:hAnsi="微软雅黑" w:eastAsia="微软雅黑" w:cs="微软雅黑"/>
              <w:sz w:val="144"/>
              <w:szCs w:val="28"/>
              <w:highlight w:val="none"/>
            </w:rPr>
            <w:tab/>
          </w:r>
        </w:p>
        <w:p w14:paraId="0DF912BD">
          <w:pPr>
            <w:adjustRightInd w:val="0"/>
            <w:snapToGrid w:val="0"/>
            <w:spacing w:before="48" w:beforeLines="20" w:after="48" w:afterLines="20" w:line="240" w:lineRule="auto"/>
            <w:jc w:val="center"/>
            <w:rPr>
              <w:rFonts w:hint="eastAsia" w:ascii="微软雅黑" w:hAnsi="微软雅黑" w:eastAsia="微软雅黑" w:cs="微软雅黑"/>
              <w:bCs/>
              <w:sz w:val="24"/>
              <w:szCs w:val="24"/>
              <w:highlight w:val="none"/>
            </w:rPr>
          </w:pPr>
        </w:p>
        <w:p w14:paraId="7B3015B3">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投</w:t>
          </w:r>
        </w:p>
        <w:p w14:paraId="23210362">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标</w:t>
          </w:r>
        </w:p>
        <w:p w14:paraId="182D2C9A">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文</w:t>
          </w:r>
        </w:p>
        <w:p w14:paraId="07F66219">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件</w:t>
          </w:r>
        </w:p>
        <w:p w14:paraId="571F325C">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p>
        <w:p w14:paraId="3A6F7BA3">
          <w:pPr>
            <w:adjustRightInd w:val="0"/>
            <w:snapToGrid w:val="0"/>
            <w:spacing w:before="48" w:beforeLines="20" w:after="48" w:afterLines="20" w:line="240" w:lineRule="auto"/>
            <w:jc w:val="center"/>
            <w:rPr>
              <w:rFonts w:hint="eastAsia" w:ascii="微软雅黑" w:hAnsi="微软雅黑" w:eastAsia="微软雅黑" w:cs="微软雅黑"/>
              <w:b/>
              <w:bCs/>
              <w:spacing w:val="-20"/>
              <w:sz w:val="36"/>
              <w:szCs w:val="36"/>
              <w:highlight w:val="none"/>
              <w:u w:val="single"/>
            </w:rPr>
          </w:pPr>
          <w:r>
            <w:rPr>
              <w:rFonts w:hint="eastAsia" w:ascii="微软雅黑" w:hAnsi="微软雅黑" w:eastAsia="微软雅黑" w:cs="微软雅黑"/>
              <w:b/>
              <w:bCs/>
              <w:spacing w:val="-20"/>
              <w:sz w:val="36"/>
              <w:szCs w:val="36"/>
              <w:highlight w:val="none"/>
            </w:rPr>
            <w:t>投标单位：</w:t>
          </w:r>
        </w:p>
        <w:p w14:paraId="20FDE069">
          <w:pPr>
            <w:tabs>
              <w:tab w:val="left" w:pos="420"/>
              <w:tab w:val="left" w:pos="4200"/>
            </w:tabs>
            <w:spacing w:line="240" w:lineRule="auto"/>
            <w:jc w:val="center"/>
            <w:rPr>
              <w:rFonts w:hint="eastAsia" w:ascii="微软雅黑" w:hAnsi="微软雅黑" w:eastAsia="微软雅黑" w:cs="微软雅黑"/>
              <w:b/>
              <w:sz w:val="32"/>
              <w:highlight w:val="none"/>
            </w:rPr>
            <w:sectPr>
              <w:headerReference r:id="rId7" w:type="default"/>
              <w:footerReference r:id="rId8" w:type="even"/>
              <w:pgSz w:w="11907" w:h="16840"/>
              <w:pgMar w:top="1440" w:right="1080" w:bottom="1440" w:left="1080" w:header="851" w:footer="992" w:gutter="0"/>
              <w:cols w:space="720" w:num="1"/>
              <w:docGrid w:linePitch="303" w:charSpace="0"/>
            </w:sectPr>
          </w:pPr>
          <w:r>
            <w:rPr>
              <w:rFonts w:hint="eastAsia" w:ascii="微软雅黑" w:hAnsi="微软雅黑" w:eastAsia="微软雅黑" w:cs="微软雅黑"/>
              <w:bCs/>
              <w:sz w:val="36"/>
              <w:highlight w:val="none"/>
            </w:rPr>
            <w:t>二〇二</w:t>
          </w:r>
          <w:r>
            <w:rPr>
              <w:rFonts w:hint="eastAsia" w:ascii="微软雅黑" w:hAnsi="微软雅黑" w:eastAsia="微软雅黑" w:cs="微软雅黑"/>
              <w:bCs/>
              <w:sz w:val="36"/>
              <w:highlight w:val="none"/>
              <w:lang w:val="en-US" w:eastAsia="zh-CN"/>
            </w:rPr>
            <w:t>六</w:t>
          </w:r>
          <w:r>
            <w:rPr>
              <w:rFonts w:hint="eastAsia" w:ascii="微软雅黑" w:hAnsi="微软雅黑" w:eastAsia="微软雅黑" w:cs="微软雅黑"/>
              <w:bCs/>
              <w:sz w:val="36"/>
              <w:highlight w:val="none"/>
            </w:rPr>
            <w:t>年</w:t>
          </w:r>
          <w:r>
            <w:rPr>
              <w:rFonts w:hint="eastAsia" w:ascii="微软雅黑" w:hAnsi="微软雅黑" w:eastAsia="微软雅黑" w:cs="微软雅黑"/>
              <w:bCs/>
              <w:sz w:val="36"/>
              <w:highlight w:val="none"/>
              <w:lang w:val="en-US" w:eastAsia="zh-CN"/>
            </w:rPr>
            <w:t>七</w:t>
          </w:r>
          <w:r>
            <w:rPr>
              <w:rFonts w:hint="eastAsia" w:ascii="微软雅黑" w:hAnsi="微软雅黑" w:eastAsia="微软雅黑" w:cs="微软雅黑"/>
              <w:bCs/>
              <w:sz w:val="36"/>
              <w:highlight w:val="none"/>
            </w:rPr>
            <w:t>月</w:t>
          </w:r>
        </w:p>
        <w:p w14:paraId="3A20EA1A">
          <w:pPr>
            <w:pStyle w:val="28"/>
            <w:widowControl w:val="0"/>
            <w:spacing w:after="0" w:line="360" w:lineRule="auto"/>
            <w:ind w:left="0" w:leftChars="0"/>
            <w:jc w:val="both"/>
            <w:rPr>
              <w:rFonts w:hint="eastAsia" w:ascii="微软雅黑" w:hAnsi="微软雅黑" w:eastAsia="微软雅黑" w:cs="微软雅黑"/>
              <w:highlight w:val="none"/>
            </w:rPr>
          </w:pPr>
          <w:bookmarkStart w:id="28" w:name="_Toc273602363"/>
          <w:bookmarkStart w:id="29" w:name="_Toc270410845"/>
          <w:bookmarkStart w:id="30" w:name="_Toc328559344"/>
          <w:bookmarkStart w:id="31" w:name="_Toc240898303"/>
        </w:p>
      </w:sdtContent>
    </w:sdt>
    <w:p w14:paraId="5699CF01">
      <w:pPr>
        <w:pStyle w:val="28"/>
        <w:widowControl w:val="0"/>
        <w:spacing w:after="0" w:line="360" w:lineRule="auto"/>
        <w:ind w:left="0" w:leftChars="0"/>
        <w:jc w:val="both"/>
        <w:rPr>
          <w:rFonts w:hint="eastAsia" w:ascii="微软雅黑" w:hAnsi="微软雅黑" w:eastAsia="微软雅黑" w:cs="微软雅黑"/>
          <w:snapToGrid w:val="0"/>
          <w:color w:val="000000"/>
          <w:sz w:val="22"/>
          <w:szCs w:val="22"/>
          <w:highlight w:val="none"/>
          <w:u w:val="single"/>
          <w:lang w:val="en-US" w:eastAsia="zh-CN"/>
        </w:rPr>
      </w:pPr>
      <w:r>
        <w:rPr>
          <w:rFonts w:hint="eastAsia" w:ascii="微软雅黑" w:hAnsi="微软雅黑" w:eastAsia="微软雅黑" w:cs="微软雅黑"/>
          <w:b/>
          <w:kern w:val="2"/>
          <w:sz w:val="22"/>
          <w:szCs w:val="22"/>
          <w:highlight w:val="none"/>
        </w:rPr>
        <w:t>一、</w:t>
      </w:r>
      <w:bookmarkEnd w:id="28"/>
      <w:bookmarkEnd w:id="29"/>
      <w:bookmarkEnd w:id="30"/>
      <w:bookmarkEnd w:id="31"/>
      <w:r>
        <w:rPr>
          <w:rFonts w:hint="eastAsia" w:ascii="微软雅黑" w:hAnsi="微软雅黑" w:eastAsia="微软雅黑" w:cs="微软雅黑"/>
          <w:b/>
          <w:kern w:val="2"/>
          <w:sz w:val="22"/>
          <w:szCs w:val="22"/>
          <w:highlight w:val="none"/>
        </w:rPr>
        <w:t>投标报价</w:t>
      </w:r>
      <w:r>
        <w:rPr>
          <w:rFonts w:hint="eastAsia" w:ascii="微软雅黑" w:hAnsi="微软雅黑" w:eastAsia="微软雅黑" w:cs="微软雅黑"/>
          <w:b/>
          <w:kern w:val="2"/>
          <w:sz w:val="22"/>
          <w:szCs w:val="22"/>
          <w:highlight w:val="none"/>
          <w:lang w:val="en-US" w:eastAsia="zh-CN"/>
        </w:rPr>
        <w:t>函</w:t>
      </w:r>
    </w:p>
    <w:p w14:paraId="0834470C">
      <w:pPr>
        <w:widowControl w:val="0"/>
        <w:adjustRightInd w:val="0"/>
        <w:snapToGrid w:val="0"/>
        <w:spacing w:line="360" w:lineRule="auto"/>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            （招标人名称）：</w:t>
      </w:r>
    </w:p>
    <w:p w14:paraId="115218BF">
      <w:pPr>
        <w:widowControl w:val="0"/>
        <w:tabs>
          <w:tab w:val="left" w:pos="7560"/>
        </w:tabs>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1. 我方已仔细研究         （项目名称）   招标文件的全部内容，愿意以人民币</w:t>
      </w:r>
    </w:p>
    <w:p w14:paraId="1D71792A">
      <w:pPr>
        <w:widowControl w:val="0"/>
        <w:tabs>
          <w:tab w:val="left" w:pos="7560"/>
        </w:tabs>
        <w:adjustRightInd w:val="0"/>
        <w:snapToGrid w:val="0"/>
        <w:spacing w:line="360" w:lineRule="auto"/>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（大写）         元/千次曝光（¥         ）的投标</w:t>
      </w:r>
      <w:r>
        <w:rPr>
          <w:rFonts w:hint="eastAsia" w:ascii="微软雅黑" w:hAnsi="微软雅黑" w:eastAsia="微软雅黑" w:cs="微软雅黑"/>
          <w:kern w:val="2"/>
          <w:sz w:val="22"/>
          <w:szCs w:val="22"/>
          <w:highlight w:val="none"/>
          <w:lang w:val="en-US" w:eastAsia="zh-CN"/>
        </w:rPr>
        <w:t>单价</w:t>
      </w:r>
      <w:r>
        <w:rPr>
          <w:rFonts w:hint="eastAsia" w:ascii="微软雅黑" w:hAnsi="微软雅黑" w:eastAsia="微软雅黑" w:cs="微软雅黑"/>
          <w:kern w:val="2"/>
          <w:sz w:val="22"/>
          <w:szCs w:val="22"/>
          <w:highlight w:val="none"/>
        </w:rPr>
        <w:t>，按合同约定实施。</w:t>
      </w:r>
    </w:p>
    <w:p w14:paraId="631802D5">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2. 我方已按招标文件要求详细审核并确认全部招标文件及有关附件，充分理解投标价格不得低于企业个别成本有关规定。我方经成本核算，所填报的投标报价不低于企业个别成本。</w:t>
      </w:r>
    </w:p>
    <w:p w14:paraId="0881797E">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3.                           （其他补充说明）。</w:t>
      </w:r>
    </w:p>
    <w:p w14:paraId="05066C41">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p>
    <w:p w14:paraId="0E071B8A">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p>
    <w:p w14:paraId="597EAC6F">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p>
    <w:p w14:paraId="63A88C1A">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投  标  人：                          （盖单位章）</w:t>
      </w:r>
    </w:p>
    <w:p w14:paraId="7ACE8909">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法定代表人：                           （签字或盖章）</w:t>
      </w:r>
    </w:p>
    <w:p w14:paraId="64333639">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单位地址：                                        </w:t>
      </w:r>
    </w:p>
    <w:p w14:paraId="436D3B92">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邮政编码：           电话：            传真：     </w:t>
      </w:r>
    </w:p>
    <w:p w14:paraId="3824F3CE">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日期：           年          月             日</w:t>
      </w:r>
    </w:p>
    <w:p w14:paraId="76A0B745">
      <w:pPr>
        <w:pStyle w:val="28"/>
        <w:spacing w:line="360" w:lineRule="auto"/>
        <w:ind w:left="0" w:leftChars="0"/>
        <w:rPr>
          <w:rFonts w:hint="eastAsia" w:ascii="微软雅黑" w:hAnsi="微软雅黑" w:eastAsia="微软雅黑" w:cs="微软雅黑"/>
          <w:highlight w:val="none"/>
        </w:rPr>
      </w:pPr>
    </w:p>
    <w:p w14:paraId="31D24CB2">
      <w:pPr>
        <w:pStyle w:val="24"/>
        <w:spacing w:line="360" w:lineRule="auto"/>
        <w:ind w:left="420" w:hanging="420"/>
        <w:rPr>
          <w:rFonts w:hint="eastAsia" w:ascii="微软雅黑" w:hAnsi="微软雅黑" w:eastAsia="微软雅黑" w:cs="微软雅黑"/>
          <w:highlight w:val="none"/>
        </w:rPr>
      </w:pPr>
    </w:p>
    <w:p w14:paraId="00DB50D4">
      <w:pPr>
        <w:pStyle w:val="24"/>
        <w:spacing w:line="360" w:lineRule="auto"/>
        <w:ind w:left="420" w:hanging="420"/>
        <w:rPr>
          <w:rFonts w:hint="eastAsia" w:ascii="微软雅黑" w:hAnsi="微软雅黑" w:eastAsia="微软雅黑" w:cs="微软雅黑"/>
          <w:highlight w:val="none"/>
        </w:rPr>
      </w:pPr>
    </w:p>
    <w:p w14:paraId="3515BBC6">
      <w:pPr>
        <w:pStyle w:val="28"/>
        <w:widowControl w:val="0"/>
        <w:spacing w:after="0" w:line="360" w:lineRule="auto"/>
        <w:ind w:left="0" w:leftChars="0"/>
        <w:jc w:val="both"/>
        <w:rPr>
          <w:rFonts w:hint="eastAsia" w:ascii="微软雅黑" w:hAnsi="微软雅黑" w:eastAsia="微软雅黑" w:cs="微软雅黑"/>
          <w:b/>
          <w:sz w:val="22"/>
          <w:szCs w:val="22"/>
          <w:highlight w:val="none"/>
          <w:lang w:val="en-US" w:eastAsia="zh-CN"/>
        </w:rPr>
      </w:pPr>
      <w:r>
        <w:rPr>
          <w:rFonts w:hint="eastAsia" w:ascii="微软雅黑" w:hAnsi="微软雅黑" w:eastAsia="微软雅黑" w:cs="微软雅黑"/>
          <w:b/>
          <w:kern w:val="2"/>
          <w:sz w:val="22"/>
          <w:szCs w:val="22"/>
          <w:highlight w:val="none"/>
          <w:lang w:val="en-US" w:eastAsia="zh-CN"/>
        </w:rPr>
        <w:t>二</w:t>
      </w:r>
      <w:r>
        <w:rPr>
          <w:rFonts w:hint="eastAsia" w:ascii="微软雅黑" w:hAnsi="微软雅黑" w:eastAsia="微软雅黑" w:cs="微软雅黑"/>
          <w:b/>
          <w:kern w:val="2"/>
          <w:sz w:val="22"/>
          <w:szCs w:val="22"/>
          <w:highlight w:val="none"/>
        </w:rPr>
        <w:t>、投标报价</w:t>
      </w:r>
      <w:r>
        <w:rPr>
          <w:rFonts w:hint="eastAsia" w:ascii="微软雅黑" w:hAnsi="微软雅黑" w:eastAsia="微软雅黑" w:cs="微软雅黑"/>
          <w:b/>
          <w:kern w:val="2"/>
          <w:sz w:val="22"/>
          <w:szCs w:val="22"/>
          <w:highlight w:val="none"/>
          <w:lang w:val="en-US" w:eastAsia="zh-CN"/>
        </w:rPr>
        <w:t>单</w:t>
      </w:r>
    </w:p>
    <w:tbl>
      <w:tblPr>
        <w:tblStyle w:val="29"/>
        <w:tblW w:w="104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56"/>
        <w:gridCol w:w="1103"/>
        <w:gridCol w:w="1250"/>
        <w:gridCol w:w="1331"/>
        <w:gridCol w:w="1134"/>
        <w:gridCol w:w="2773"/>
        <w:gridCol w:w="1593"/>
      </w:tblGrid>
      <w:tr w14:paraId="005D5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jc w:val="center"/>
        </w:trPr>
        <w:tc>
          <w:tcPr>
            <w:tcW w:w="10440" w:type="dxa"/>
            <w:gridSpan w:val="7"/>
            <w:tcBorders>
              <w:top w:val="nil"/>
              <w:left w:val="nil"/>
              <w:bottom w:val="nil"/>
              <w:right w:val="nil"/>
            </w:tcBorders>
            <w:shd w:val="clear" w:color="auto" w:fill="auto"/>
            <w:noWrap/>
            <w:vAlign w:val="center"/>
          </w:tcPr>
          <w:p w14:paraId="18F06D85">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微软雅黑" w:hAnsi="微软雅黑" w:eastAsia="微软雅黑" w:cs="微软雅黑"/>
                <w:b/>
                <w:bCs/>
                <w:i w:val="0"/>
                <w:iCs w:val="0"/>
                <w:color w:val="000000"/>
                <w:kern w:val="0"/>
                <w:sz w:val="28"/>
                <w:szCs w:val="28"/>
                <w:u w:val="none"/>
              </w:rPr>
            </w:pPr>
            <w:r>
              <w:rPr>
                <w:rFonts w:hint="eastAsia" w:ascii="宋体" w:hAnsi="宋体" w:eastAsia="宋体" w:cs="宋体"/>
                <w:b/>
                <w:bCs/>
                <w:i w:val="0"/>
                <w:iCs w:val="0"/>
                <w:color w:val="000000"/>
                <w:kern w:val="0"/>
                <w:sz w:val="28"/>
                <w:szCs w:val="28"/>
                <w:u w:val="none"/>
                <w:lang w:val="en-US" w:eastAsia="zh-CN" w:bidi="ar"/>
              </w:rPr>
              <w:t>嘉玺项目朋友圈信息流广告投放报价单</w:t>
            </w:r>
          </w:p>
        </w:tc>
      </w:tr>
      <w:tr w14:paraId="12307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 w:hRule="atLeast"/>
          <w:jc w:val="center"/>
        </w:trPr>
        <w:tc>
          <w:tcPr>
            <w:tcW w:w="10440"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410F1C88">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center"/>
              <w:rPr>
                <w:rFonts w:hint="eastAsia" w:ascii="宋体" w:hAnsi="宋体" w:eastAsia="宋体" w:cs="宋体"/>
                <w:i w:val="0"/>
                <w:iCs w:val="0"/>
                <w:color w:val="000000"/>
                <w:kern w:val="0"/>
                <w:sz w:val="22"/>
                <w:szCs w:val="22"/>
                <w:u w:val="none"/>
              </w:rPr>
            </w:pPr>
            <w:r>
              <w:rPr>
                <w:rFonts w:hint="eastAsia" w:ascii="宋体" w:hAnsi="宋体" w:eastAsia="宋体" w:cs="宋体"/>
                <w:i w:val="0"/>
                <w:iCs w:val="0"/>
                <w:color w:val="000000"/>
                <w:kern w:val="0"/>
                <w:sz w:val="22"/>
                <w:szCs w:val="22"/>
                <w:u w:val="none"/>
                <w:lang w:val="en-US" w:eastAsia="zh-CN" w:bidi="ar"/>
              </w:rPr>
              <w:t>甲方：合肥市包河区城市更新建设有限公司</w:t>
            </w:r>
          </w:p>
        </w:tc>
      </w:tr>
      <w:tr w14:paraId="48D54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 w:hRule="atLeast"/>
          <w:jc w:val="center"/>
        </w:trPr>
        <w:tc>
          <w:tcPr>
            <w:tcW w:w="10440"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418C088C">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center"/>
              <w:rPr>
                <w:rFonts w:hint="eastAsia" w:ascii="宋体" w:hAnsi="宋体" w:eastAsia="宋体" w:cs="宋体"/>
                <w:i w:val="0"/>
                <w:iCs w:val="0"/>
                <w:color w:val="000000"/>
                <w:kern w:val="0"/>
                <w:sz w:val="22"/>
                <w:szCs w:val="22"/>
                <w:u w:val="none"/>
              </w:rPr>
            </w:pPr>
            <w:r>
              <w:rPr>
                <w:rFonts w:hint="eastAsia" w:ascii="宋体" w:hAnsi="宋体" w:eastAsia="宋体" w:cs="宋体"/>
                <w:i w:val="0"/>
                <w:iCs w:val="0"/>
                <w:color w:val="000000"/>
                <w:kern w:val="0"/>
                <w:sz w:val="22"/>
                <w:szCs w:val="22"/>
                <w:u w:val="none"/>
                <w:lang w:val="en-US" w:eastAsia="zh-CN" w:bidi="ar"/>
              </w:rPr>
              <w:t>乙方：</w:t>
            </w:r>
          </w:p>
        </w:tc>
      </w:tr>
      <w:tr w14:paraId="0AF29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9" w:hRule="atLeast"/>
          <w:jc w:val="center"/>
        </w:trPr>
        <w:tc>
          <w:tcPr>
            <w:tcW w:w="10440"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6F6E159D">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center"/>
              <w:rPr>
                <w:rFonts w:hint="eastAsia" w:ascii="宋体" w:hAnsi="宋体" w:eastAsia="宋体" w:cs="宋体"/>
                <w:i w:val="0"/>
                <w:iCs w:val="0"/>
                <w:color w:val="000000"/>
                <w:kern w:val="0"/>
                <w:sz w:val="22"/>
                <w:szCs w:val="22"/>
                <w:u w:val="none"/>
              </w:rPr>
            </w:pPr>
            <w:r>
              <w:rPr>
                <w:rFonts w:hint="eastAsia" w:ascii="宋体" w:hAnsi="宋体" w:eastAsia="宋体" w:cs="宋体"/>
                <w:i w:val="0"/>
                <w:iCs w:val="0"/>
                <w:color w:val="000000"/>
                <w:kern w:val="0"/>
                <w:sz w:val="22"/>
                <w:szCs w:val="22"/>
                <w:u w:val="none"/>
                <w:lang w:val="en-US" w:eastAsia="zh-CN" w:bidi="ar"/>
              </w:rPr>
              <w:t>公司办公地址：</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联系人：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联系电话：</w:t>
            </w:r>
          </w:p>
        </w:tc>
      </w:tr>
      <w:tr w14:paraId="0A42D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9" w:hRule="atLeast"/>
          <w:jc w:val="center"/>
        </w:trPr>
        <w:tc>
          <w:tcPr>
            <w:tcW w:w="1256" w:type="dxa"/>
            <w:tcBorders>
              <w:top w:val="nil"/>
              <w:left w:val="single" w:color="auto" w:sz="4" w:space="0"/>
              <w:bottom w:val="single" w:color="auto" w:sz="4" w:space="0"/>
              <w:right w:val="single" w:color="auto" w:sz="4" w:space="0"/>
            </w:tcBorders>
            <w:shd w:val="clear" w:color="auto" w:fill="auto"/>
            <w:noWrap/>
            <w:vAlign w:val="center"/>
          </w:tcPr>
          <w:p w14:paraId="39E28C26">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b/>
                <w:bCs/>
                <w:i w:val="0"/>
                <w:iCs w:val="0"/>
                <w:color w:val="auto"/>
                <w:kern w:val="0"/>
                <w:sz w:val="22"/>
                <w:szCs w:val="22"/>
                <w:u w:val="none"/>
              </w:rPr>
            </w:pPr>
            <w:r>
              <w:rPr>
                <w:rFonts w:hint="eastAsia" w:ascii="宋体" w:hAnsi="宋体" w:eastAsia="宋体" w:cs="宋体"/>
                <w:b/>
                <w:bCs/>
                <w:i w:val="0"/>
                <w:iCs w:val="0"/>
                <w:color w:val="auto"/>
                <w:kern w:val="0"/>
                <w:sz w:val="22"/>
                <w:szCs w:val="22"/>
                <w:u w:val="none"/>
                <w:lang w:val="en-US" w:eastAsia="zh-CN" w:bidi="ar"/>
              </w:rPr>
              <w:t>事项</w:t>
            </w:r>
          </w:p>
        </w:tc>
        <w:tc>
          <w:tcPr>
            <w:tcW w:w="1103" w:type="dxa"/>
            <w:tcBorders>
              <w:top w:val="nil"/>
              <w:left w:val="nil"/>
              <w:bottom w:val="single" w:color="auto" w:sz="4" w:space="0"/>
              <w:right w:val="single" w:color="auto" w:sz="4" w:space="0"/>
            </w:tcBorders>
            <w:shd w:val="clear" w:color="auto" w:fill="auto"/>
            <w:vAlign w:val="center"/>
          </w:tcPr>
          <w:p w14:paraId="71B6F92E">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b/>
                <w:bCs/>
                <w:i w:val="0"/>
                <w:iCs w:val="0"/>
                <w:color w:val="auto"/>
                <w:kern w:val="0"/>
                <w:sz w:val="22"/>
                <w:szCs w:val="22"/>
                <w:u w:val="none"/>
              </w:rPr>
            </w:pPr>
            <w:r>
              <w:rPr>
                <w:rFonts w:hint="eastAsia" w:ascii="宋体" w:hAnsi="宋体" w:eastAsia="宋体" w:cs="宋体"/>
                <w:b/>
                <w:bCs/>
                <w:i w:val="0"/>
                <w:iCs w:val="0"/>
                <w:color w:val="auto"/>
                <w:kern w:val="0"/>
                <w:sz w:val="22"/>
                <w:szCs w:val="22"/>
                <w:u w:val="none"/>
                <w:lang w:val="en-US" w:eastAsia="zh-CN" w:bidi="ar"/>
              </w:rPr>
              <w:t>报价项</w:t>
            </w:r>
          </w:p>
        </w:tc>
        <w:tc>
          <w:tcPr>
            <w:tcW w:w="1250" w:type="dxa"/>
            <w:tcBorders>
              <w:top w:val="nil"/>
              <w:left w:val="nil"/>
              <w:bottom w:val="single" w:color="auto" w:sz="4" w:space="0"/>
              <w:right w:val="single" w:color="auto" w:sz="4" w:space="0"/>
            </w:tcBorders>
            <w:shd w:val="clear" w:color="auto" w:fill="auto"/>
            <w:vAlign w:val="center"/>
          </w:tcPr>
          <w:p w14:paraId="52BAF1DF">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单价</w:t>
            </w:r>
          </w:p>
          <w:p w14:paraId="4FD16058">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b/>
                <w:bCs/>
                <w:i w:val="0"/>
                <w:iCs w:val="0"/>
                <w:color w:val="auto"/>
                <w:kern w:val="0"/>
                <w:sz w:val="22"/>
                <w:szCs w:val="22"/>
                <w:u w:val="none"/>
              </w:rPr>
            </w:pPr>
            <w:r>
              <w:rPr>
                <w:rFonts w:hint="eastAsia" w:ascii="宋体" w:hAnsi="宋体" w:eastAsia="宋体" w:cs="宋体"/>
                <w:b/>
                <w:bCs/>
                <w:i w:val="0"/>
                <w:iCs w:val="0"/>
                <w:color w:val="auto"/>
                <w:kern w:val="0"/>
                <w:sz w:val="22"/>
                <w:szCs w:val="22"/>
                <w:u w:val="none"/>
                <w:lang w:val="en-US" w:eastAsia="zh-CN" w:bidi="ar"/>
              </w:rPr>
              <w:t>（税前价）</w:t>
            </w:r>
          </w:p>
        </w:tc>
        <w:tc>
          <w:tcPr>
            <w:tcW w:w="1331" w:type="dxa"/>
            <w:tcBorders>
              <w:top w:val="nil"/>
              <w:left w:val="nil"/>
              <w:bottom w:val="single" w:color="auto" w:sz="4" w:space="0"/>
              <w:right w:val="single" w:color="auto" w:sz="4" w:space="0"/>
            </w:tcBorders>
            <w:shd w:val="clear" w:color="auto" w:fill="auto"/>
            <w:vAlign w:val="center"/>
          </w:tcPr>
          <w:p w14:paraId="2B7DAE9F">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税费</w:t>
            </w:r>
          </w:p>
          <w:p w14:paraId="4E22942A">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b/>
                <w:bCs/>
                <w:i w:val="0"/>
                <w:iCs w:val="0"/>
                <w:color w:val="auto"/>
                <w:kern w:val="0"/>
                <w:sz w:val="22"/>
                <w:szCs w:val="22"/>
                <w:u w:val="none"/>
              </w:rPr>
            </w:pPr>
          </w:p>
        </w:tc>
        <w:tc>
          <w:tcPr>
            <w:tcW w:w="1134" w:type="dxa"/>
            <w:tcBorders>
              <w:top w:val="nil"/>
              <w:left w:val="nil"/>
              <w:bottom w:val="single" w:color="auto" w:sz="4" w:space="0"/>
              <w:right w:val="single" w:color="auto" w:sz="4" w:space="0"/>
            </w:tcBorders>
            <w:shd w:val="clear" w:color="auto" w:fill="auto"/>
            <w:vAlign w:val="center"/>
          </w:tcPr>
          <w:p w14:paraId="0A6D64AF">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单价</w:t>
            </w:r>
          </w:p>
          <w:p w14:paraId="2ADE4F74">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b/>
                <w:bCs/>
                <w:i w:val="0"/>
                <w:iCs w:val="0"/>
                <w:color w:val="auto"/>
                <w:kern w:val="0"/>
                <w:sz w:val="22"/>
                <w:szCs w:val="22"/>
                <w:u w:val="none"/>
              </w:rPr>
            </w:pPr>
            <w:r>
              <w:rPr>
                <w:rFonts w:hint="eastAsia" w:ascii="宋体" w:hAnsi="宋体" w:eastAsia="宋体" w:cs="宋体"/>
                <w:b/>
                <w:bCs/>
                <w:i w:val="0"/>
                <w:iCs w:val="0"/>
                <w:color w:val="auto"/>
                <w:kern w:val="0"/>
                <w:sz w:val="22"/>
                <w:szCs w:val="22"/>
                <w:u w:val="none"/>
                <w:lang w:val="en-US" w:eastAsia="zh-CN" w:bidi="ar"/>
              </w:rPr>
              <w:t>（含税）</w:t>
            </w:r>
          </w:p>
        </w:tc>
        <w:tc>
          <w:tcPr>
            <w:tcW w:w="2773" w:type="dxa"/>
            <w:tcBorders>
              <w:top w:val="nil"/>
              <w:left w:val="nil"/>
              <w:bottom w:val="single" w:color="auto" w:sz="4" w:space="0"/>
              <w:right w:val="single" w:color="auto" w:sz="4" w:space="0"/>
            </w:tcBorders>
            <w:shd w:val="clear" w:color="auto" w:fill="auto"/>
            <w:noWrap/>
            <w:vAlign w:val="center"/>
          </w:tcPr>
          <w:p w14:paraId="770D9AD7">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b/>
                <w:bCs/>
                <w:i w:val="0"/>
                <w:iCs w:val="0"/>
                <w:color w:val="auto"/>
                <w:kern w:val="0"/>
                <w:sz w:val="22"/>
                <w:szCs w:val="22"/>
                <w:u w:val="none"/>
              </w:rPr>
            </w:pPr>
            <w:r>
              <w:rPr>
                <w:rFonts w:hint="eastAsia" w:ascii="宋体" w:hAnsi="宋体" w:eastAsia="宋体" w:cs="宋体"/>
                <w:b/>
                <w:bCs/>
                <w:i w:val="0"/>
                <w:iCs w:val="0"/>
                <w:color w:val="auto"/>
                <w:kern w:val="0"/>
                <w:sz w:val="22"/>
                <w:szCs w:val="22"/>
                <w:u w:val="none"/>
                <w:lang w:val="en-US" w:eastAsia="zh-CN" w:bidi="ar"/>
              </w:rPr>
              <w:t>说明</w:t>
            </w:r>
          </w:p>
        </w:tc>
        <w:tc>
          <w:tcPr>
            <w:tcW w:w="1593" w:type="dxa"/>
            <w:tcBorders>
              <w:top w:val="nil"/>
              <w:left w:val="nil"/>
              <w:bottom w:val="single" w:color="auto" w:sz="4" w:space="0"/>
              <w:right w:val="single" w:color="auto" w:sz="4" w:space="0"/>
            </w:tcBorders>
            <w:shd w:val="clear" w:color="auto" w:fill="auto"/>
            <w:vAlign w:val="center"/>
          </w:tcPr>
          <w:p w14:paraId="077854D9">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b/>
                <w:bCs/>
                <w:i w:val="0"/>
                <w:iCs w:val="0"/>
                <w:color w:val="auto"/>
                <w:kern w:val="0"/>
                <w:sz w:val="22"/>
                <w:szCs w:val="22"/>
                <w:u w:val="none"/>
              </w:rPr>
            </w:pPr>
            <w:r>
              <w:rPr>
                <w:rFonts w:hint="eastAsia" w:ascii="宋体" w:hAnsi="宋体" w:eastAsia="宋体" w:cs="宋体"/>
                <w:b/>
                <w:bCs/>
                <w:i w:val="0"/>
                <w:iCs w:val="0"/>
                <w:color w:val="auto"/>
                <w:kern w:val="0"/>
                <w:sz w:val="22"/>
                <w:szCs w:val="22"/>
                <w:u w:val="none"/>
                <w:lang w:val="en-US" w:eastAsia="zh-CN" w:bidi="ar"/>
              </w:rPr>
              <w:t>结算方式</w:t>
            </w:r>
          </w:p>
        </w:tc>
      </w:tr>
      <w:tr w14:paraId="7A70E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9" w:hRule="atLeast"/>
          <w:jc w:val="center"/>
        </w:trPr>
        <w:tc>
          <w:tcPr>
            <w:tcW w:w="1256" w:type="dxa"/>
            <w:tcBorders>
              <w:top w:val="nil"/>
              <w:left w:val="single" w:color="auto" w:sz="4" w:space="0"/>
              <w:bottom w:val="single" w:color="auto" w:sz="4" w:space="0"/>
              <w:right w:val="single" w:color="auto" w:sz="4" w:space="0"/>
            </w:tcBorders>
            <w:shd w:val="clear" w:color="auto" w:fill="auto"/>
            <w:noWrap/>
            <w:vAlign w:val="center"/>
          </w:tcPr>
          <w:p w14:paraId="0E3D7BE2">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宋体" w:hAnsi="宋体" w:eastAsia="宋体" w:cs="宋体"/>
                <w:i w:val="0"/>
                <w:iCs w:val="0"/>
                <w:color w:val="auto"/>
                <w:kern w:val="0"/>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朋友圈&amp;抖音信息流广告投放</w:t>
            </w:r>
          </w:p>
        </w:tc>
        <w:tc>
          <w:tcPr>
            <w:tcW w:w="1103" w:type="dxa"/>
            <w:tcBorders>
              <w:top w:val="nil"/>
              <w:left w:val="nil"/>
              <w:bottom w:val="single" w:color="auto" w:sz="4" w:space="0"/>
              <w:right w:val="single" w:color="auto" w:sz="4" w:space="0"/>
            </w:tcBorders>
            <w:shd w:val="clear" w:color="000000" w:fill="FFFFFF"/>
            <w:vAlign w:val="center"/>
          </w:tcPr>
          <w:p w14:paraId="24184D14">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CPM单价</w:t>
            </w:r>
          </w:p>
          <w:p w14:paraId="5048FFC8">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i w:val="0"/>
                <w:iCs w:val="0"/>
                <w:color w:val="auto"/>
                <w:kern w:val="0"/>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（元/千次曝光）</w:t>
            </w:r>
          </w:p>
        </w:tc>
        <w:tc>
          <w:tcPr>
            <w:tcW w:w="1250" w:type="dxa"/>
            <w:tcBorders>
              <w:top w:val="nil"/>
              <w:left w:val="nil"/>
              <w:bottom w:val="single" w:color="auto" w:sz="4" w:space="0"/>
              <w:right w:val="single" w:color="auto" w:sz="4" w:space="0"/>
            </w:tcBorders>
            <w:shd w:val="clear" w:color="000000" w:fill="FFFFFF"/>
            <w:vAlign w:val="center"/>
          </w:tcPr>
          <w:p w14:paraId="230A08A1">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i w:val="0"/>
                <w:iCs w:val="0"/>
                <w:color w:val="auto"/>
                <w:kern w:val="0"/>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　</w:t>
            </w:r>
          </w:p>
        </w:tc>
        <w:tc>
          <w:tcPr>
            <w:tcW w:w="1331" w:type="dxa"/>
            <w:tcBorders>
              <w:top w:val="nil"/>
              <w:left w:val="nil"/>
              <w:bottom w:val="single" w:color="auto" w:sz="4" w:space="0"/>
              <w:right w:val="single" w:color="auto" w:sz="4" w:space="0"/>
            </w:tcBorders>
            <w:shd w:val="clear" w:color="000000" w:fill="FFFFFF"/>
            <w:vAlign w:val="center"/>
          </w:tcPr>
          <w:p w14:paraId="6DFEF01D">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i w:val="0"/>
                <w:iCs w:val="0"/>
                <w:color w:val="auto"/>
                <w:kern w:val="0"/>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　</w:t>
            </w:r>
          </w:p>
        </w:tc>
        <w:tc>
          <w:tcPr>
            <w:tcW w:w="1134" w:type="dxa"/>
            <w:tcBorders>
              <w:top w:val="nil"/>
              <w:left w:val="nil"/>
              <w:bottom w:val="single" w:color="auto" w:sz="4" w:space="0"/>
              <w:right w:val="single" w:color="auto" w:sz="4" w:space="0"/>
            </w:tcBorders>
            <w:shd w:val="clear" w:color="000000" w:fill="FFFFFF"/>
            <w:vAlign w:val="center"/>
          </w:tcPr>
          <w:p w14:paraId="36171608">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i w:val="0"/>
                <w:iCs w:val="0"/>
                <w:color w:val="auto"/>
                <w:kern w:val="0"/>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　</w:t>
            </w:r>
          </w:p>
        </w:tc>
        <w:tc>
          <w:tcPr>
            <w:tcW w:w="2773" w:type="dxa"/>
            <w:tcBorders>
              <w:top w:val="nil"/>
              <w:left w:val="nil"/>
              <w:bottom w:val="single" w:color="auto" w:sz="4" w:space="0"/>
              <w:right w:val="single" w:color="auto" w:sz="4" w:space="0"/>
            </w:tcBorders>
            <w:shd w:val="clear" w:color="000000" w:fill="FFFFFF"/>
            <w:noWrap/>
            <w:vAlign w:val="center"/>
          </w:tcPr>
          <w:p w14:paraId="2E8F736F">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请填写可执行CPM报价</w:t>
            </w:r>
          </w:p>
          <w:p w14:paraId="77602393">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以</w:t>
            </w:r>
            <w:r>
              <w:rPr>
                <w:rFonts w:hint="eastAsia" w:ascii="宋体" w:hAnsi="宋体" w:eastAsia="宋体" w:cs="宋体"/>
                <w:b/>
                <w:bCs/>
                <w:i w:val="0"/>
                <w:iCs w:val="0"/>
                <w:color w:val="auto"/>
                <w:kern w:val="0"/>
                <w:sz w:val="22"/>
                <w:szCs w:val="22"/>
                <w:u w:val="none"/>
                <w:lang w:val="en-US" w:eastAsia="zh-CN" w:bidi="ar"/>
              </w:rPr>
              <w:t>不含税单价</w:t>
            </w:r>
            <w:r>
              <w:rPr>
                <w:rFonts w:hint="eastAsia" w:ascii="宋体" w:hAnsi="宋体" w:eastAsia="宋体" w:cs="宋体"/>
                <w:i w:val="0"/>
                <w:iCs w:val="0"/>
                <w:color w:val="auto"/>
                <w:kern w:val="0"/>
                <w:sz w:val="22"/>
                <w:szCs w:val="22"/>
                <w:u w:val="none"/>
                <w:lang w:val="en-US" w:eastAsia="zh-CN" w:bidi="ar"/>
              </w:rPr>
              <w:t>作为核心评标依据</w:t>
            </w:r>
          </w:p>
        </w:tc>
        <w:tc>
          <w:tcPr>
            <w:tcW w:w="1593" w:type="dxa"/>
            <w:vMerge w:val="restart"/>
            <w:tcBorders>
              <w:top w:val="nil"/>
              <w:left w:val="nil"/>
              <w:right w:val="single" w:color="auto" w:sz="4" w:space="0"/>
            </w:tcBorders>
            <w:shd w:val="clear" w:color="auto" w:fill="auto"/>
            <w:vAlign w:val="center"/>
          </w:tcPr>
          <w:p w14:paraId="5AF6F082">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不超过8万元（含税）</w:t>
            </w:r>
          </w:p>
        </w:tc>
      </w:tr>
      <w:tr w14:paraId="66220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3" w:hRule="atLeast"/>
          <w:jc w:val="center"/>
        </w:trPr>
        <w:tc>
          <w:tcPr>
            <w:tcW w:w="1256" w:type="dxa"/>
            <w:tcBorders>
              <w:top w:val="nil"/>
              <w:left w:val="single" w:color="auto" w:sz="4" w:space="0"/>
              <w:bottom w:val="single" w:color="auto" w:sz="4" w:space="0"/>
              <w:right w:val="single" w:color="auto" w:sz="4" w:space="0"/>
            </w:tcBorders>
            <w:shd w:val="clear" w:color="auto" w:fill="auto"/>
            <w:noWrap/>
            <w:vAlign w:val="center"/>
          </w:tcPr>
          <w:p w14:paraId="3B914DA9">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i w:val="0"/>
                <w:iCs w:val="0"/>
                <w:color w:val="auto"/>
                <w:kern w:val="0"/>
                <w:sz w:val="22"/>
                <w:szCs w:val="22"/>
                <w:u w:val="none"/>
              </w:rPr>
            </w:pPr>
            <w:r>
              <w:rPr>
                <w:rFonts w:hint="eastAsia" w:ascii="宋体" w:hAnsi="宋体" w:eastAsia="宋体" w:cs="宋体"/>
                <w:i w:val="0"/>
                <w:iCs w:val="0"/>
                <w:color w:val="auto"/>
                <w:kern w:val="0"/>
                <w:sz w:val="22"/>
                <w:szCs w:val="22"/>
                <w:u w:val="none"/>
                <w:lang w:val="en-US" w:eastAsia="zh-CN" w:bidi="ar"/>
              </w:rPr>
              <w:t>线索保障</w:t>
            </w:r>
          </w:p>
        </w:tc>
        <w:tc>
          <w:tcPr>
            <w:tcW w:w="4818" w:type="dxa"/>
            <w:gridSpan w:val="4"/>
            <w:tcBorders>
              <w:top w:val="single" w:color="auto" w:sz="4" w:space="0"/>
              <w:left w:val="nil"/>
              <w:bottom w:val="single" w:color="auto" w:sz="4" w:space="0"/>
              <w:right w:val="single" w:color="auto" w:sz="4" w:space="0"/>
            </w:tcBorders>
            <w:shd w:val="clear" w:color="000000" w:fill="FFFFFF"/>
            <w:vAlign w:val="center"/>
          </w:tcPr>
          <w:p w14:paraId="7FF58197">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i w:val="0"/>
                <w:iCs w:val="0"/>
                <w:color w:val="auto"/>
                <w:kern w:val="0"/>
                <w:sz w:val="23"/>
                <w:szCs w:val="23"/>
                <w:u w:val="none"/>
              </w:rPr>
            </w:pPr>
            <w:r>
              <w:rPr>
                <w:rFonts w:hint="eastAsia" w:ascii="宋体" w:hAnsi="宋体" w:eastAsia="宋体" w:cs="宋体"/>
                <w:i w:val="0"/>
                <w:iCs w:val="0"/>
                <w:color w:val="auto"/>
                <w:kern w:val="0"/>
                <w:sz w:val="23"/>
                <w:szCs w:val="23"/>
                <w:u w:val="none"/>
                <w:lang w:val="en-US" w:eastAsia="zh-CN" w:bidi="ar"/>
              </w:rPr>
              <w:t xml:space="preserve">线索获取量 </w:t>
            </w:r>
            <w:r>
              <w:rPr>
                <w:rFonts w:hint="eastAsia" w:ascii="宋体" w:hAnsi="宋体" w:eastAsia="宋体" w:cs="宋体"/>
                <w:i w:val="0"/>
                <w:iCs w:val="0"/>
                <w:color w:val="auto"/>
                <w:kern w:val="0"/>
                <w:sz w:val="23"/>
                <w:szCs w:val="23"/>
                <w:u w:val="single"/>
                <w:lang w:val="en-US" w:eastAsia="zh-CN" w:bidi="ar"/>
              </w:rPr>
              <w:t xml:space="preserve">       </w:t>
            </w:r>
            <w:r>
              <w:rPr>
                <w:rFonts w:hint="eastAsia" w:ascii="宋体" w:hAnsi="宋体" w:eastAsia="宋体" w:cs="宋体"/>
                <w:i w:val="0"/>
                <w:iCs w:val="0"/>
                <w:color w:val="auto"/>
                <w:kern w:val="0"/>
                <w:sz w:val="23"/>
                <w:szCs w:val="23"/>
                <w:u w:val="none"/>
                <w:lang w:val="en-US" w:eastAsia="zh-CN" w:bidi="ar"/>
              </w:rPr>
              <w:t>（条）</w:t>
            </w:r>
          </w:p>
        </w:tc>
        <w:tc>
          <w:tcPr>
            <w:tcW w:w="2773" w:type="dxa"/>
            <w:tcBorders>
              <w:top w:val="nil"/>
              <w:left w:val="nil"/>
              <w:bottom w:val="single" w:color="auto" w:sz="4" w:space="0"/>
              <w:right w:val="single" w:color="auto" w:sz="4" w:space="0"/>
            </w:tcBorders>
            <w:shd w:val="clear" w:color="000000" w:fill="FFFFFF"/>
            <w:vAlign w:val="center"/>
          </w:tcPr>
          <w:p w14:paraId="6DA2A7EE">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i w:val="0"/>
                <w:iCs w:val="0"/>
                <w:color w:val="auto"/>
                <w:kern w:val="0"/>
                <w:sz w:val="22"/>
                <w:szCs w:val="22"/>
                <w:u w:val="none"/>
              </w:rPr>
            </w:pPr>
            <w:r>
              <w:rPr>
                <w:rFonts w:hint="eastAsia" w:ascii="宋体" w:hAnsi="宋体" w:eastAsia="宋体" w:cs="宋体"/>
                <w:i w:val="0"/>
                <w:iCs w:val="0"/>
                <w:color w:val="FF0000"/>
                <w:kern w:val="0"/>
                <w:sz w:val="22"/>
                <w:szCs w:val="22"/>
                <w:u w:val="none"/>
                <w:lang w:val="en-US" w:eastAsia="zh-CN" w:bidi="ar"/>
              </w:rPr>
              <w:t>以8万总价（含税），预估可收集的留电，不可少于400条；</w:t>
            </w:r>
            <w:r>
              <w:rPr>
                <w:rFonts w:hint="eastAsia" w:ascii="宋体" w:hAnsi="宋体" w:eastAsia="宋体" w:cs="宋体"/>
                <w:i w:val="0"/>
                <w:iCs w:val="0"/>
                <w:color w:val="auto"/>
                <w:kern w:val="0"/>
                <w:sz w:val="22"/>
                <w:szCs w:val="22"/>
                <w:u w:val="none"/>
                <w:lang w:val="en-US" w:eastAsia="zh-CN" w:bidi="ar"/>
              </w:rPr>
              <w:t>执行中需按实际投放金额与总预算的比例完成对应比例的线索收集目标</w:t>
            </w:r>
          </w:p>
        </w:tc>
        <w:tc>
          <w:tcPr>
            <w:tcW w:w="1593" w:type="dxa"/>
            <w:vMerge w:val="continue"/>
            <w:tcBorders>
              <w:left w:val="nil"/>
              <w:right w:val="single" w:color="auto" w:sz="4" w:space="0"/>
            </w:tcBorders>
            <w:shd w:val="clear" w:color="auto" w:fill="auto"/>
            <w:vAlign w:val="center"/>
          </w:tcPr>
          <w:p w14:paraId="6386575E">
            <w:pPr>
              <w:keepNext w:val="0"/>
              <w:keepLines w:val="0"/>
              <w:pageBreakBefore w:val="0"/>
              <w:widowControl/>
              <w:kinsoku/>
              <w:wordWrap/>
              <w:overflowPunct/>
              <w:topLinePunct w:val="0"/>
              <w:autoSpaceDE/>
              <w:autoSpaceDN/>
              <w:bidi w:val="0"/>
              <w:adjustRightInd/>
              <w:snapToGrid/>
              <w:spacing w:after="0" w:line="240" w:lineRule="auto"/>
              <w:jc w:val="center"/>
              <w:rPr>
                <w:rFonts w:hint="eastAsia" w:ascii="宋体" w:hAnsi="宋体" w:eastAsia="宋体" w:cs="宋体"/>
                <w:i w:val="0"/>
                <w:iCs w:val="0"/>
                <w:color w:val="auto"/>
                <w:kern w:val="0"/>
                <w:sz w:val="22"/>
                <w:szCs w:val="22"/>
                <w:u w:val="none"/>
              </w:rPr>
            </w:pPr>
          </w:p>
        </w:tc>
      </w:tr>
      <w:tr w14:paraId="5E3C0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9" w:hRule="atLeast"/>
          <w:jc w:val="center"/>
        </w:trPr>
        <w:tc>
          <w:tcPr>
            <w:tcW w:w="1256" w:type="dxa"/>
            <w:vMerge w:val="restart"/>
            <w:tcBorders>
              <w:top w:val="nil"/>
              <w:left w:val="single" w:color="auto" w:sz="4" w:space="0"/>
              <w:bottom w:val="single" w:color="auto" w:sz="4" w:space="0"/>
              <w:right w:val="single" w:color="auto" w:sz="4" w:space="0"/>
            </w:tcBorders>
            <w:shd w:val="clear" w:color="auto" w:fill="auto"/>
            <w:vAlign w:val="center"/>
          </w:tcPr>
          <w:p w14:paraId="5CC32938">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i w:val="0"/>
                <w:iCs w:val="0"/>
                <w:color w:val="auto"/>
                <w:kern w:val="0"/>
                <w:sz w:val="22"/>
                <w:szCs w:val="22"/>
                <w:u w:val="none"/>
              </w:rPr>
            </w:pPr>
            <w:r>
              <w:rPr>
                <w:rFonts w:hint="eastAsia" w:ascii="宋体" w:hAnsi="宋体" w:eastAsia="宋体" w:cs="宋体"/>
                <w:i w:val="0"/>
                <w:iCs w:val="0"/>
                <w:color w:val="auto"/>
                <w:kern w:val="0"/>
                <w:sz w:val="22"/>
                <w:szCs w:val="22"/>
                <w:u w:val="none"/>
                <w:lang w:val="en-US" w:eastAsia="zh-CN" w:bidi="ar"/>
              </w:rPr>
              <w:t>优化服务</w:t>
            </w:r>
          </w:p>
        </w:tc>
        <w:tc>
          <w:tcPr>
            <w:tcW w:w="7591" w:type="dxa"/>
            <w:gridSpan w:val="5"/>
            <w:tcBorders>
              <w:top w:val="single" w:color="auto" w:sz="4" w:space="0"/>
              <w:left w:val="nil"/>
              <w:bottom w:val="single" w:color="auto" w:sz="4" w:space="0"/>
              <w:right w:val="single" w:color="auto" w:sz="4" w:space="0"/>
            </w:tcBorders>
            <w:shd w:val="clear" w:color="auto" w:fill="auto"/>
            <w:vAlign w:val="center"/>
          </w:tcPr>
          <w:p w14:paraId="576C9A34">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账户管理及优化：根据投放数据进行账户优化</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(人群优化、创意优化、时间段优化、地域优化、出价优化、定向优化等)</w:t>
            </w:r>
          </w:p>
          <w:p w14:paraId="563CDE6C">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并提供专业人员为客户进行答疑，投放期间每日反馈数据</w:t>
            </w:r>
          </w:p>
        </w:tc>
        <w:tc>
          <w:tcPr>
            <w:tcW w:w="1593" w:type="dxa"/>
            <w:vMerge w:val="continue"/>
            <w:tcBorders>
              <w:left w:val="nil"/>
              <w:right w:val="single" w:color="auto" w:sz="4" w:space="0"/>
            </w:tcBorders>
            <w:shd w:val="clear" w:color="auto" w:fill="auto"/>
            <w:vAlign w:val="center"/>
          </w:tcPr>
          <w:p w14:paraId="57C7D9FA">
            <w:pPr>
              <w:keepNext w:val="0"/>
              <w:keepLines w:val="0"/>
              <w:pageBreakBefore w:val="0"/>
              <w:widowControl/>
              <w:kinsoku/>
              <w:wordWrap/>
              <w:overflowPunct/>
              <w:topLinePunct w:val="0"/>
              <w:autoSpaceDE/>
              <w:autoSpaceDN/>
              <w:bidi w:val="0"/>
              <w:adjustRightInd/>
              <w:snapToGrid/>
              <w:spacing w:after="0" w:line="240" w:lineRule="auto"/>
              <w:jc w:val="center"/>
              <w:rPr>
                <w:rFonts w:hint="eastAsia" w:ascii="宋体" w:hAnsi="宋体" w:eastAsia="宋体" w:cs="宋体"/>
                <w:i w:val="0"/>
                <w:iCs w:val="0"/>
                <w:color w:val="auto"/>
                <w:kern w:val="0"/>
                <w:sz w:val="22"/>
                <w:szCs w:val="22"/>
                <w:u w:val="none"/>
              </w:rPr>
            </w:pPr>
          </w:p>
        </w:tc>
      </w:tr>
      <w:tr w14:paraId="7ED24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 w:hRule="atLeast"/>
          <w:jc w:val="center"/>
        </w:trPr>
        <w:tc>
          <w:tcPr>
            <w:tcW w:w="1256" w:type="dxa"/>
            <w:vMerge w:val="continue"/>
            <w:tcBorders>
              <w:top w:val="nil"/>
              <w:left w:val="single" w:color="auto" w:sz="4" w:space="0"/>
              <w:bottom w:val="single" w:color="auto" w:sz="4" w:space="0"/>
              <w:right w:val="single" w:color="auto" w:sz="4" w:space="0"/>
            </w:tcBorders>
            <w:shd w:val="clear" w:color="auto" w:fill="auto"/>
            <w:vAlign w:val="center"/>
          </w:tcPr>
          <w:p w14:paraId="5924EC20">
            <w:pPr>
              <w:keepNext w:val="0"/>
              <w:keepLines w:val="0"/>
              <w:pageBreakBefore w:val="0"/>
              <w:widowControl/>
              <w:kinsoku/>
              <w:wordWrap/>
              <w:overflowPunct/>
              <w:topLinePunct w:val="0"/>
              <w:autoSpaceDE/>
              <w:autoSpaceDN/>
              <w:bidi w:val="0"/>
              <w:adjustRightInd/>
              <w:snapToGrid/>
              <w:spacing w:after="0" w:line="240" w:lineRule="auto"/>
              <w:jc w:val="center"/>
              <w:rPr>
                <w:rFonts w:hint="eastAsia" w:ascii="宋体" w:hAnsi="宋体" w:eastAsia="宋体" w:cs="宋体"/>
                <w:i w:val="0"/>
                <w:iCs w:val="0"/>
                <w:color w:val="auto"/>
                <w:kern w:val="0"/>
                <w:sz w:val="22"/>
                <w:szCs w:val="22"/>
                <w:u w:val="none"/>
              </w:rPr>
            </w:pPr>
          </w:p>
        </w:tc>
        <w:tc>
          <w:tcPr>
            <w:tcW w:w="7591" w:type="dxa"/>
            <w:gridSpan w:val="5"/>
            <w:tcBorders>
              <w:top w:val="single" w:color="auto" w:sz="4" w:space="0"/>
              <w:left w:val="nil"/>
              <w:bottom w:val="single" w:color="auto" w:sz="4" w:space="0"/>
              <w:right w:val="single" w:color="auto" w:sz="4" w:space="0"/>
            </w:tcBorders>
            <w:shd w:val="clear" w:color="auto" w:fill="auto"/>
            <w:vAlign w:val="center"/>
          </w:tcPr>
          <w:p w14:paraId="2591F90B">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i w:val="0"/>
                <w:iCs w:val="0"/>
                <w:color w:val="auto"/>
                <w:kern w:val="0"/>
                <w:sz w:val="22"/>
                <w:szCs w:val="22"/>
                <w:u w:val="none"/>
              </w:rPr>
            </w:pPr>
            <w:r>
              <w:rPr>
                <w:rFonts w:hint="eastAsia" w:ascii="宋体" w:hAnsi="宋体" w:eastAsia="宋体" w:cs="宋体"/>
                <w:i w:val="0"/>
                <w:iCs w:val="0"/>
                <w:color w:val="auto"/>
                <w:kern w:val="0"/>
                <w:sz w:val="22"/>
                <w:szCs w:val="22"/>
                <w:u w:val="none"/>
                <w:lang w:val="en-US" w:eastAsia="zh-CN" w:bidi="ar"/>
              </w:rPr>
              <w:t>结案分析报告：广告投放结束，提供数据分析报告：PPT形式提供。</w:t>
            </w:r>
          </w:p>
        </w:tc>
        <w:tc>
          <w:tcPr>
            <w:tcW w:w="1593" w:type="dxa"/>
            <w:vMerge w:val="continue"/>
            <w:tcBorders>
              <w:left w:val="nil"/>
              <w:right w:val="single" w:color="auto" w:sz="4" w:space="0"/>
            </w:tcBorders>
            <w:shd w:val="clear" w:color="auto" w:fill="auto"/>
            <w:vAlign w:val="center"/>
          </w:tcPr>
          <w:p w14:paraId="488617D0">
            <w:pPr>
              <w:keepNext w:val="0"/>
              <w:keepLines w:val="0"/>
              <w:pageBreakBefore w:val="0"/>
              <w:widowControl/>
              <w:kinsoku/>
              <w:wordWrap/>
              <w:overflowPunct/>
              <w:topLinePunct w:val="0"/>
              <w:autoSpaceDE/>
              <w:autoSpaceDN/>
              <w:bidi w:val="0"/>
              <w:adjustRightInd/>
              <w:snapToGrid/>
              <w:spacing w:after="0" w:line="240" w:lineRule="auto"/>
              <w:jc w:val="center"/>
              <w:rPr>
                <w:rFonts w:hint="eastAsia" w:ascii="宋体" w:hAnsi="宋体" w:eastAsia="宋体" w:cs="宋体"/>
                <w:i w:val="0"/>
                <w:iCs w:val="0"/>
                <w:color w:val="auto"/>
                <w:kern w:val="0"/>
                <w:sz w:val="22"/>
                <w:szCs w:val="22"/>
                <w:u w:val="none"/>
              </w:rPr>
            </w:pPr>
          </w:p>
        </w:tc>
      </w:tr>
      <w:tr w14:paraId="4603A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3" w:hRule="atLeast"/>
          <w:jc w:val="center"/>
        </w:trPr>
        <w:tc>
          <w:tcPr>
            <w:tcW w:w="1256" w:type="dxa"/>
            <w:tcBorders>
              <w:top w:val="nil"/>
              <w:left w:val="single" w:color="auto" w:sz="4" w:space="0"/>
              <w:bottom w:val="single" w:color="auto" w:sz="4" w:space="0"/>
              <w:right w:val="single" w:color="auto" w:sz="4" w:space="0"/>
            </w:tcBorders>
            <w:shd w:val="clear" w:color="auto" w:fill="auto"/>
            <w:vAlign w:val="center"/>
          </w:tcPr>
          <w:p w14:paraId="729E162D">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i w:val="0"/>
                <w:iCs w:val="0"/>
                <w:color w:val="auto"/>
                <w:kern w:val="0"/>
                <w:sz w:val="22"/>
                <w:szCs w:val="22"/>
                <w:u w:val="none"/>
              </w:rPr>
            </w:pPr>
            <w:r>
              <w:rPr>
                <w:rFonts w:hint="eastAsia" w:ascii="宋体" w:hAnsi="宋体" w:eastAsia="宋体" w:cs="宋体"/>
                <w:i w:val="0"/>
                <w:iCs w:val="0"/>
                <w:color w:val="auto"/>
                <w:kern w:val="0"/>
                <w:sz w:val="22"/>
                <w:szCs w:val="22"/>
                <w:u w:val="none"/>
                <w:lang w:val="en-US" w:eastAsia="zh-CN" w:bidi="ar"/>
              </w:rPr>
              <w:t>运营保障</w:t>
            </w:r>
          </w:p>
        </w:tc>
        <w:tc>
          <w:tcPr>
            <w:tcW w:w="7591" w:type="dxa"/>
            <w:gridSpan w:val="5"/>
            <w:tcBorders>
              <w:top w:val="single" w:color="auto" w:sz="4" w:space="0"/>
              <w:left w:val="nil"/>
              <w:bottom w:val="single" w:color="auto" w:sz="4" w:space="0"/>
              <w:right w:val="single" w:color="auto" w:sz="4" w:space="0"/>
            </w:tcBorders>
            <w:shd w:val="clear" w:color="auto" w:fill="auto"/>
            <w:vAlign w:val="center"/>
          </w:tcPr>
          <w:p w14:paraId="304BB498">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1、投放日期及曝光量以甲方需求为准；</w:t>
            </w:r>
          </w:p>
          <w:p w14:paraId="7CF7C79C">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i w:val="0"/>
                <w:iCs w:val="0"/>
                <w:color w:val="auto"/>
                <w:kern w:val="0"/>
                <w:sz w:val="22"/>
                <w:szCs w:val="22"/>
                <w:highlight w:val="yellow"/>
                <w:u w:val="none"/>
                <w:lang w:val="en-US" w:eastAsia="zh-CN" w:bidi="ar"/>
              </w:rPr>
            </w:pPr>
            <w:r>
              <w:rPr>
                <w:rFonts w:hint="eastAsia" w:ascii="宋体" w:hAnsi="宋体" w:eastAsia="宋体" w:cs="宋体"/>
                <w:i w:val="0"/>
                <w:iCs w:val="0"/>
                <w:color w:val="auto"/>
                <w:kern w:val="0"/>
                <w:sz w:val="22"/>
                <w:szCs w:val="22"/>
                <w:u w:val="none"/>
                <w:lang w:val="en-US" w:eastAsia="zh-CN" w:bidi="ar"/>
              </w:rPr>
              <w:t>2、确保曝光范围为甲方指定范围，不可在指定范围以外；</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3、确保曝光行业为甲方指定行业，不可在指定行业以外；</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4、朋友圈需使用合肥市包河区城市更新建设有限公司主体账户进行投放，确保投放的广告不被封户下线；</w:t>
            </w:r>
          </w:p>
        </w:tc>
        <w:tc>
          <w:tcPr>
            <w:tcW w:w="1593" w:type="dxa"/>
            <w:vMerge w:val="continue"/>
            <w:tcBorders>
              <w:left w:val="nil"/>
              <w:bottom w:val="single" w:color="auto" w:sz="4" w:space="0"/>
              <w:right w:val="single" w:color="auto" w:sz="4" w:space="0"/>
            </w:tcBorders>
            <w:shd w:val="clear" w:color="auto" w:fill="auto"/>
            <w:vAlign w:val="center"/>
          </w:tcPr>
          <w:p w14:paraId="1BD8D5DF">
            <w:pPr>
              <w:keepNext w:val="0"/>
              <w:keepLines w:val="0"/>
              <w:pageBreakBefore w:val="0"/>
              <w:widowControl/>
              <w:kinsoku/>
              <w:wordWrap/>
              <w:overflowPunct/>
              <w:topLinePunct w:val="0"/>
              <w:autoSpaceDE/>
              <w:autoSpaceDN/>
              <w:bidi w:val="0"/>
              <w:adjustRightInd/>
              <w:snapToGrid/>
              <w:spacing w:after="0" w:line="240" w:lineRule="auto"/>
              <w:jc w:val="center"/>
              <w:rPr>
                <w:rFonts w:hint="eastAsia" w:ascii="宋体" w:hAnsi="宋体" w:eastAsia="宋体" w:cs="宋体"/>
                <w:i w:val="0"/>
                <w:iCs w:val="0"/>
                <w:color w:val="auto"/>
                <w:kern w:val="0"/>
                <w:sz w:val="22"/>
                <w:szCs w:val="22"/>
                <w:u w:val="none"/>
              </w:rPr>
            </w:pPr>
          </w:p>
        </w:tc>
      </w:tr>
      <w:tr w14:paraId="193D9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 w:hRule="atLeast"/>
          <w:jc w:val="center"/>
        </w:trPr>
        <w:tc>
          <w:tcPr>
            <w:tcW w:w="10440"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6CE937D9">
            <w:pPr>
              <w:keepNext w:val="0"/>
              <w:keepLines w:val="0"/>
              <w:pageBreakBefore w:val="0"/>
              <w:widowControl/>
              <w:suppressLineNumbers w:val="0"/>
              <w:kinsoku/>
              <w:wordWrap/>
              <w:overflowPunct/>
              <w:topLinePunct w:val="0"/>
              <w:autoSpaceDE/>
              <w:autoSpaceDN/>
              <w:bidi w:val="0"/>
              <w:adjustRightInd/>
              <w:snapToGrid/>
              <w:spacing w:after="0" w:line="240" w:lineRule="auto"/>
              <w:jc w:val="right"/>
              <w:textAlignment w:val="center"/>
              <w:rPr>
                <w:rFonts w:hint="eastAsia" w:ascii="宋体" w:hAnsi="宋体" w:eastAsia="宋体" w:cs="宋体"/>
                <w:i w:val="0"/>
                <w:iCs w:val="0"/>
                <w:color w:val="auto"/>
                <w:kern w:val="0"/>
                <w:sz w:val="22"/>
                <w:szCs w:val="22"/>
                <w:u w:val="none"/>
              </w:rPr>
            </w:pPr>
            <w:r>
              <w:rPr>
                <w:rFonts w:hint="eastAsia" w:ascii="宋体" w:hAnsi="宋体" w:eastAsia="宋体" w:cs="宋体"/>
                <w:i w:val="0"/>
                <w:iCs w:val="0"/>
                <w:color w:val="auto"/>
                <w:kern w:val="0"/>
                <w:sz w:val="22"/>
                <w:szCs w:val="22"/>
                <w:u w:val="none"/>
                <w:lang w:val="en-US" w:eastAsia="zh-CN" w:bidi="ar"/>
              </w:rPr>
              <w:t>报价单位：</w:t>
            </w:r>
          </w:p>
        </w:tc>
      </w:tr>
      <w:tr w14:paraId="7112B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 w:hRule="atLeast"/>
          <w:jc w:val="center"/>
        </w:trPr>
        <w:tc>
          <w:tcPr>
            <w:tcW w:w="10440"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5F5E48F7">
            <w:pPr>
              <w:keepNext w:val="0"/>
              <w:keepLines w:val="0"/>
              <w:pageBreakBefore w:val="0"/>
              <w:widowControl/>
              <w:suppressLineNumbers w:val="0"/>
              <w:kinsoku/>
              <w:wordWrap/>
              <w:overflowPunct/>
              <w:topLinePunct w:val="0"/>
              <w:autoSpaceDE/>
              <w:autoSpaceDN/>
              <w:bidi w:val="0"/>
              <w:adjustRightInd/>
              <w:snapToGrid/>
              <w:spacing w:after="0" w:line="240" w:lineRule="auto"/>
              <w:jc w:val="right"/>
              <w:textAlignment w:val="center"/>
              <w:rPr>
                <w:rFonts w:hint="eastAsia" w:ascii="宋体" w:hAnsi="宋体" w:eastAsia="宋体" w:cs="宋体"/>
                <w:i w:val="0"/>
                <w:iCs w:val="0"/>
                <w:color w:val="auto"/>
                <w:kern w:val="0"/>
                <w:sz w:val="22"/>
                <w:szCs w:val="22"/>
                <w:u w:val="none"/>
              </w:rPr>
            </w:pPr>
            <w:r>
              <w:rPr>
                <w:rFonts w:hint="eastAsia" w:ascii="宋体" w:hAnsi="宋体" w:eastAsia="宋体" w:cs="宋体"/>
                <w:i w:val="0"/>
                <w:iCs w:val="0"/>
                <w:color w:val="auto"/>
                <w:kern w:val="0"/>
                <w:sz w:val="22"/>
                <w:szCs w:val="22"/>
                <w:u w:val="none"/>
                <w:lang w:val="en-US" w:eastAsia="zh-CN" w:bidi="ar"/>
              </w:rPr>
              <w:t>日期： 年    月    日</w:t>
            </w:r>
          </w:p>
        </w:tc>
      </w:tr>
      <w:tr w14:paraId="509C2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jc w:val="center"/>
        </w:trPr>
        <w:tc>
          <w:tcPr>
            <w:tcW w:w="10440"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14401C72">
            <w:pPr>
              <w:keepNext w:val="0"/>
              <w:keepLines w:val="0"/>
              <w:pageBreakBefore w:val="0"/>
              <w:widowControl/>
              <w:suppressLineNumbers w:val="0"/>
              <w:kinsoku/>
              <w:wordWrap/>
              <w:overflowPunct/>
              <w:topLinePunct w:val="0"/>
              <w:autoSpaceDE/>
              <w:autoSpaceDN/>
              <w:bidi w:val="0"/>
              <w:adjustRightInd/>
              <w:snapToGrid/>
              <w:spacing w:after="0" w:line="240" w:lineRule="auto"/>
              <w:jc w:val="right"/>
              <w:textAlignment w:val="center"/>
              <w:rPr>
                <w:rFonts w:hint="eastAsia" w:ascii="宋体" w:hAnsi="宋体" w:eastAsia="宋体" w:cs="宋体"/>
                <w:i w:val="0"/>
                <w:iCs w:val="0"/>
                <w:color w:val="auto"/>
                <w:kern w:val="0"/>
                <w:sz w:val="22"/>
                <w:szCs w:val="22"/>
                <w:u w:val="none"/>
              </w:rPr>
            </w:pPr>
            <w:r>
              <w:rPr>
                <w:rFonts w:hint="eastAsia" w:ascii="宋体" w:hAnsi="宋体" w:eastAsia="宋体" w:cs="宋体"/>
                <w:i w:val="0"/>
                <w:iCs w:val="0"/>
                <w:color w:val="auto"/>
                <w:kern w:val="0"/>
                <w:sz w:val="22"/>
                <w:szCs w:val="22"/>
                <w:u w:val="none"/>
                <w:lang w:val="en-US" w:eastAsia="zh-CN" w:bidi="ar"/>
              </w:rPr>
              <w:t>后附营业执照</w:t>
            </w:r>
          </w:p>
        </w:tc>
      </w:tr>
    </w:tbl>
    <w:p w14:paraId="0C6D5FBA">
      <w:pPr>
        <w:keepNext w:val="0"/>
        <w:keepLines w:val="0"/>
        <w:pageBreakBefore w:val="0"/>
        <w:kinsoku/>
        <w:wordWrap/>
        <w:overflowPunct/>
        <w:topLinePunct w:val="0"/>
        <w:autoSpaceDE/>
        <w:autoSpaceDN/>
        <w:bidi w:val="0"/>
        <w:spacing w:beforeAutospacing="0" w:after="0" w:afterAutospacing="0" w:line="240" w:lineRule="auto"/>
        <w:jc w:val="center"/>
        <w:textAlignment w:val="auto"/>
        <w:rPr>
          <w:rFonts w:hint="eastAsia" w:ascii="微软雅黑" w:hAnsi="微软雅黑" w:eastAsia="微软雅黑" w:cs="微软雅黑"/>
          <w:b/>
          <w:sz w:val="36"/>
          <w:szCs w:val="36"/>
          <w:highlight w:val="none"/>
          <w:u w:val="single"/>
        </w:rPr>
      </w:pPr>
    </w:p>
    <w:p w14:paraId="331CBBEF">
      <w:pPr>
        <w:keepNext w:val="0"/>
        <w:keepLines w:val="0"/>
        <w:pageBreakBefore w:val="0"/>
        <w:kinsoku/>
        <w:wordWrap/>
        <w:overflowPunct/>
        <w:topLinePunct w:val="0"/>
        <w:autoSpaceDE/>
        <w:autoSpaceDN/>
        <w:bidi w:val="0"/>
        <w:spacing w:beforeAutospacing="0" w:after="0" w:afterAutospacing="0" w:line="240" w:lineRule="auto"/>
        <w:jc w:val="center"/>
        <w:textAlignment w:val="auto"/>
        <w:rPr>
          <w:rFonts w:hint="eastAsia" w:ascii="微软雅黑" w:hAnsi="微软雅黑" w:eastAsia="微软雅黑" w:cs="微软雅黑"/>
          <w:b/>
          <w:sz w:val="36"/>
          <w:szCs w:val="36"/>
          <w:highlight w:val="none"/>
          <w:u w:val="single"/>
        </w:rPr>
      </w:pPr>
    </w:p>
    <w:p w14:paraId="65ACD9BD">
      <w:pPr>
        <w:keepNext w:val="0"/>
        <w:keepLines w:val="0"/>
        <w:pageBreakBefore w:val="0"/>
        <w:kinsoku/>
        <w:wordWrap/>
        <w:overflowPunct/>
        <w:topLinePunct w:val="0"/>
        <w:autoSpaceDE/>
        <w:autoSpaceDN/>
        <w:bidi w:val="0"/>
        <w:spacing w:beforeAutospacing="0" w:after="0" w:afterAutospacing="0" w:line="240" w:lineRule="auto"/>
        <w:jc w:val="center"/>
        <w:textAlignment w:val="auto"/>
        <w:rPr>
          <w:rFonts w:hint="eastAsia" w:ascii="微软雅黑" w:hAnsi="微软雅黑" w:eastAsia="微软雅黑" w:cs="微软雅黑"/>
          <w:b/>
          <w:sz w:val="36"/>
          <w:szCs w:val="36"/>
          <w:highlight w:val="none"/>
        </w:rPr>
      </w:pPr>
      <w:r>
        <w:rPr>
          <w:rFonts w:hint="eastAsia" w:ascii="微软雅黑" w:hAnsi="微软雅黑" w:eastAsia="微软雅黑" w:cs="微软雅黑"/>
          <w:b/>
          <w:sz w:val="36"/>
          <w:szCs w:val="36"/>
          <w:highlight w:val="none"/>
          <w:u w:val="single"/>
        </w:rPr>
        <w:t>嘉玺项目朋友圈信息流广告投放</w:t>
      </w:r>
      <w:r>
        <w:rPr>
          <w:rFonts w:hint="eastAsia" w:ascii="微软雅黑" w:hAnsi="微软雅黑" w:eastAsia="微软雅黑" w:cs="微软雅黑"/>
          <w:b/>
          <w:sz w:val="36"/>
          <w:szCs w:val="36"/>
          <w:highlight w:val="none"/>
        </w:rPr>
        <w:t>发布合同</w:t>
      </w:r>
    </w:p>
    <w:p w14:paraId="6430DCAD">
      <w:pPr>
        <w:keepNext w:val="0"/>
        <w:keepLines w:val="0"/>
        <w:pageBreakBefore w:val="0"/>
        <w:tabs>
          <w:tab w:val="left" w:pos="5040"/>
        </w:tabs>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b/>
          <w:highlight w:val="none"/>
          <w:u w:val="single"/>
        </w:rPr>
      </w:pPr>
      <w:r>
        <w:rPr>
          <w:rFonts w:hint="eastAsia" w:ascii="微软雅黑" w:hAnsi="微软雅黑" w:eastAsia="微软雅黑" w:cs="微软雅黑"/>
          <w:b/>
          <w:highlight w:val="none"/>
        </w:rPr>
        <w:t>甲方：</w:t>
      </w:r>
      <w:r>
        <w:rPr>
          <w:rFonts w:hint="eastAsia" w:ascii="微软雅黑" w:hAnsi="微软雅黑" w:eastAsia="微软雅黑" w:cs="微软雅黑"/>
          <w:b/>
          <w:highlight w:val="none"/>
          <w:u w:val="single"/>
        </w:rPr>
        <w:t xml:space="preserve">     合肥市包河区城市更新建设有限公司               </w:t>
      </w:r>
    </w:p>
    <w:p w14:paraId="14AA57C8">
      <w:pPr>
        <w:keepNext w:val="0"/>
        <w:keepLines w:val="0"/>
        <w:pageBreakBefore w:val="0"/>
        <w:tabs>
          <w:tab w:val="left" w:pos="5040"/>
        </w:tabs>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color w:val="000000" w:themeColor="text1"/>
          <w:highlight w:val="none"/>
          <w:u w:val="single"/>
          <w14:textFill>
            <w14:solidFill>
              <w14:schemeClr w14:val="tx1"/>
            </w14:solidFill>
          </w14:textFill>
        </w:rPr>
      </w:pPr>
      <w:r>
        <w:rPr>
          <w:rFonts w:hint="eastAsia" w:ascii="微软雅黑" w:hAnsi="微软雅黑" w:eastAsia="微软雅黑" w:cs="微软雅黑"/>
          <w:color w:val="000000" w:themeColor="text1"/>
          <w:highlight w:val="none"/>
          <w:u w:val="single"/>
          <w14:textFill>
            <w14:solidFill>
              <w14:schemeClr w14:val="tx1"/>
            </w14:solidFill>
          </w14:textFill>
        </w:rPr>
        <w:t xml:space="preserve">联系地址：         安徽省合肥市包河区徽州大道 1388 号               </w:t>
      </w:r>
    </w:p>
    <w:p w14:paraId="5B36C207">
      <w:pPr>
        <w:keepNext w:val="0"/>
        <w:keepLines w:val="0"/>
        <w:pageBreakBefore w:val="0"/>
        <w:tabs>
          <w:tab w:val="left" w:pos="5040"/>
        </w:tabs>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b/>
          <w:color w:val="000000" w:themeColor="text1"/>
          <w:highlight w:val="none"/>
          <w:u w:val="single"/>
          <w14:textFill>
            <w14:solidFill>
              <w14:schemeClr w14:val="tx1"/>
            </w14:solidFill>
          </w14:textFill>
        </w:rPr>
      </w:pPr>
      <w:r>
        <w:rPr>
          <w:rFonts w:hint="eastAsia" w:ascii="微软雅黑" w:hAnsi="微软雅黑" w:eastAsia="微软雅黑" w:cs="微软雅黑"/>
          <w:b/>
          <w:highlight w:val="none"/>
        </w:rPr>
        <w:t>乙方：</w:t>
      </w:r>
      <w:r>
        <w:rPr>
          <w:rFonts w:hint="eastAsia" w:ascii="微软雅黑" w:hAnsi="微软雅黑" w:eastAsia="微软雅黑" w:cs="微软雅黑"/>
          <w:b/>
          <w:highlight w:val="none"/>
          <w:u w:val="single"/>
        </w:rPr>
        <w:t xml:space="preserve">                                                </w:t>
      </w:r>
    </w:p>
    <w:p w14:paraId="54B63076">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b/>
          <w:color w:val="000000" w:themeColor="text1"/>
          <w:highlight w:val="none"/>
          <w14:textFill>
            <w14:solidFill>
              <w14:schemeClr w14:val="tx1"/>
            </w14:solidFill>
          </w14:textFill>
        </w:rPr>
      </w:pPr>
      <w:r>
        <w:rPr>
          <w:rFonts w:hint="eastAsia" w:ascii="微软雅黑" w:hAnsi="微软雅黑" w:eastAsia="微软雅黑" w:cs="微软雅黑"/>
          <w:highlight w:val="none"/>
          <w:u w:val="single"/>
        </w:rPr>
        <w:t xml:space="preserve">联系地址：                                                          </w:t>
      </w:r>
    </w:p>
    <w:p w14:paraId="39619129">
      <w:pPr>
        <w:keepNext w:val="0"/>
        <w:keepLines w:val="0"/>
        <w:pageBreakBefore w:val="0"/>
        <w:kinsoku/>
        <w:wordWrap/>
        <w:overflowPunct/>
        <w:topLinePunct w:val="0"/>
        <w:autoSpaceDE/>
        <w:autoSpaceDN/>
        <w:bidi w:val="0"/>
        <w:spacing w:beforeAutospacing="0" w:after="0" w:afterAutospacing="0" w:line="240" w:lineRule="auto"/>
        <w:ind w:firstLine="420" w:firstLineChars="200"/>
        <w:textAlignment w:val="auto"/>
        <w:rPr>
          <w:rFonts w:hint="eastAsia" w:ascii="微软雅黑" w:hAnsi="微软雅黑" w:eastAsia="微软雅黑" w:cs="微软雅黑"/>
          <w:b/>
          <w:highlight w:val="none"/>
        </w:rPr>
      </w:pPr>
      <w:r>
        <w:rPr>
          <w:rFonts w:hint="eastAsia" w:ascii="微软雅黑" w:hAnsi="微软雅黑" w:eastAsia="微软雅黑" w:cs="微软雅黑"/>
          <w:b/>
          <w:highlight w:val="none"/>
        </w:rPr>
        <w:t>依据</w:t>
      </w:r>
      <w:bookmarkStart w:id="32" w:name="auto_fouce_1"/>
      <w:r>
        <w:rPr>
          <w:rFonts w:hint="eastAsia" w:ascii="微软雅黑" w:hAnsi="微软雅黑" w:eastAsia="微软雅黑" w:cs="微软雅黑"/>
          <w:b/>
          <w:highlight w:val="none"/>
        </w:rPr>
        <w:t>《中华人民共和国</w:t>
      </w:r>
      <w:r>
        <w:rPr>
          <w:rFonts w:hint="eastAsia" w:ascii="微软雅黑" w:hAnsi="微软雅黑" w:eastAsia="微软雅黑" w:cs="微软雅黑"/>
          <w:b/>
          <w:highlight w:val="none"/>
          <w:lang w:eastAsia="zh-CN"/>
        </w:rPr>
        <w:t>民</w:t>
      </w:r>
      <w:r>
        <w:rPr>
          <w:rFonts w:hint="eastAsia" w:ascii="微软雅黑" w:hAnsi="微软雅黑" w:eastAsia="微软雅黑" w:cs="微软雅黑"/>
          <w:b/>
          <w:highlight w:val="none"/>
        </w:rPr>
        <w:t>法</w:t>
      </w:r>
      <w:r>
        <w:rPr>
          <w:rFonts w:hint="eastAsia" w:ascii="微软雅黑" w:hAnsi="微软雅黑" w:eastAsia="微软雅黑" w:cs="微软雅黑"/>
          <w:b/>
          <w:highlight w:val="none"/>
          <w:lang w:eastAsia="zh-CN"/>
        </w:rPr>
        <w:t>典</w:t>
      </w:r>
      <w:r>
        <w:rPr>
          <w:rFonts w:hint="eastAsia" w:ascii="微软雅黑" w:hAnsi="微软雅黑" w:eastAsia="微软雅黑" w:cs="微软雅黑"/>
          <w:b/>
          <w:highlight w:val="none"/>
        </w:rPr>
        <w:t>》</w:t>
      </w:r>
      <w:bookmarkEnd w:id="32"/>
      <w:r>
        <w:rPr>
          <w:rFonts w:hint="eastAsia" w:ascii="微软雅黑" w:hAnsi="微软雅黑" w:eastAsia="微软雅黑" w:cs="微软雅黑"/>
          <w:b/>
          <w:highlight w:val="none"/>
        </w:rPr>
        <w:t>、《中华人民共和国广告法》及相关法律、法规、规章的规定，双方协商一致，签订本合同，并共同遵守。</w:t>
      </w:r>
    </w:p>
    <w:p w14:paraId="0BBAEABC">
      <w:pPr>
        <w:keepNext w:val="0"/>
        <w:keepLines w:val="0"/>
        <w:pageBreakBefore w:val="0"/>
        <w:numPr>
          <w:ilvl w:val="0"/>
          <w:numId w:val="6"/>
        </w:numPr>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b/>
          <w:highlight w:val="none"/>
        </w:rPr>
      </w:pPr>
      <w:r>
        <w:rPr>
          <w:rFonts w:hint="eastAsia" w:ascii="微软雅黑" w:hAnsi="微软雅黑" w:eastAsia="微软雅黑" w:cs="微软雅黑"/>
          <w:b/>
          <w:highlight w:val="none"/>
        </w:rPr>
        <w:t>产品版本及报价：</w:t>
      </w:r>
    </w:p>
    <w:p w14:paraId="08752EC1">
      <w:pPr>
        <w:pStyle w:val="40"/>
        <w:keepNext w:val="0"/>
        <w:keepLines w:val="0"/>
        <w:pageBreakBefore w:val="0"/>
        <w:numPr>
          <w:ilvl w:val="1"/>
          <w:numId w:val="7"/>
        </w:numPr>
        <w:kinsoku/>
        <w:wordWrap/>
        <w:overflowPunct/>
        <w:topLinePunct w:val="0"/>
        <w:autoSpaceDE/>
        <w:autoSpaceDN/>
        <w:bidi w:val="0"/>
        <w:spacing w:beforeAutospacing="0" w:after="0" w:afterAutospacing="0" w:line="240" w:lineRule="auto"/>
        <w:ind w:firstLineChars="0"/>
        <w:textAlignment w:val="auto"/>
        <w:rPr>
          <w:rFonts w:hint="eastAsia" w:ascii="微软雅黑" w:hAnsi="微软雅黑" w:eastAsia="微软雅黑" w:cs="微软雅黑"/>
          <w:b/>
          <w:highlight w:val="none"/>
        </w:rPr>
      </w:pPr>
      <w:r>
        <w:rPr>
          <w:rFonts w:hint="eastAsia" w:ascii="微软雅黑" w:hAnsi="微软雅黑" w:eastAsia="微软雅黑" w:cs="微软雅黑"/>
          <w:b/>
          <w:highlight w:val="none"/>
        </w:rPr>
        <w:t>具体发布内容及报价</w:t>
      </w:r>
    </w:p>
    <w:p w14:paraId="622EBEA1">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highlight w:val="none"/>
        </w:rPr>
      </w:pPr>
    </w:p>
    <w:p w14:paraId="6D94857F">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highlight w:val="none"/>
        </w:rPr>
      </w:pPr>
      <w:r>
        <w:rPr>
          <w:rFonts w:hint="eastAsia" w:ascii="微软雅黑" w:hAnsi="微软雅黑" w:eastAsia="微软雅黑" w:cs="微软雅黑"/>
          <w:b/>
          <w:highlight w:val="none"/>
        </w:rPr>
        <w:t>1.2上述广告内容发布总价</w:t>
      </w:r>
    </w:p>
    <w:p w14:paraId="6646270F">
      <w:pPr>
        <w:keepNext w:val="0"/>
        <w:keepLines w:val="0"/>
        <w:pageBreakBefore w:val="0"/>
        <w:kinsoku/>
        <w:wordWrap/>
        <w:overflowPunct/>
        <w:topLinePunct w:val="0"/>
        <w:autoSpaceDE/>
        <w:autoSpaceDN/>
        <w:bidi w:val="0"/>
        <w:spacing w:beforeAutospacing="0" w:after="0" w:afterAutospacing="0" w:line="240" w:lineRule="auto"/>
        <w:ind w:firstLine="420" w:firstLineChars="200"/>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甲方选择执行以上服务内容,本合同含税（增值税税率</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u w:val="single"/>
          <w:lang w:val="en-US" w:eastAsia="zh-CN"/>
        </w:rPr>
        <w:t>6</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%）总价款为人民</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元(即大写人民币</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)，税额</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元，不含税总价</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 xml:space="preserve">元 </w:t>
      </w:r>
    </w:p>
    <w:p w14:paraId="626A7313">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b/>
          <w:highlight w:val="none"/>
        </w:rPr>
      </w:pPr>
      <w:r>
        <w:rPr>
          <w:rFonts w:hint="eastAsia" w:ascii="微软雅黑" w:hAnsi="微软雅黑" w:eastAsia="微软雅黑" w:cs="微软雅黑"/>
          <w:b/>
          <w:highlight w:val="none"/>
        </w:rPr>
        <w:t>1.3广告费结算</w:t>
      </w:r>
    </w:p>
    <w:p w14:paraId="5801675C">
      <w:pPr>
        <w:keepNext w:val="0"/>
        <w:keepLines w:val="0"/>
        <w:pageBreakBefore w:val="0"/>
        <w:kinsoku/>
        <w:wordWrap/>
        <w:overflowPunct/>
        <w:topLinePunct w:val="0"/>
        <w:autoSpaceDE/>
        <w:autoSpaceDN/>
        <w:bidi w:val="0"/>
        <w:spacing w:beforeAutospacing="0" w:after="0" w:afterAutospacing="0" w:line="240" w:lineRule="auto"/>
        <w:textAlignment w:val="auto"/>
        <w:outlineLvl w:val="0"/>
        <w:rPr>
          <w:rFonts w:hint="eastAsia" w:ascii="微软雅黑" w:hAnsi="微软雅黑" w:eastAsia="微软雅黑" w:cs="微软雅黑"/>
          <w:highlight w:val="none"/>
        </w:rPr>
      </w:pPr>
      <w:r>
        <w:rPr>
          <w:rFonts w:hint="eastAsia" w:ascii="微软雅黑" w:hAnsi="微软雅黑" w:eastAsia="微软雅黑" w:cs="微软雅黑"/>
          <w:b/>
          <w:highlight w:val="none"/>
        </w:rPr>
        <w:t xml:space="preserve">1.3.1 </w:t>
      </w:r>
      <w:r>
        <w:rPr>
          <w:rFonts w:hint="eastAsia" w:ascii="微软雅黑" w:hAnsi="微软雅黑" w:eastAsia="微软雅黑" w:cs="微软雅黑"/>
          <w:highlight w:val="none"/>
        </w:rPr>
        <w:t>付款时间</w:t>
      </w:r>
    </w:p>
    <w:p w14:paraId="1765B61D">
      <w:pPr>
        <w:keepNext w:val="0"/>
        <w:keepLines w:val="0"/>
        <w:pageBreakBefore w:val="0"/>
        <w:widowControl/>
        <w:kinsoku/>
        <w:wordWrap/>
        <w:overflowPunct/>
        <w:topLinePunct w:val="0"/>
        <w:autoSpaceDE/>
        <w:autoSpaceDN/>
        <w:bidi w:val="0"/>
        <w:spacing w:beforeAutospacing="0" w:after="0" w:afterAutospacing="0" w:line="240" w:lineRule="auto"/>
        <w:ind w:left="618" w:leftChars="294" w:hanging="1"/>
        <w:jc w:val="left"/>
        <w:textAlignment w:val="auto"/>
        <w:rPr>
          <w:rFonts w:hint="eastAsia" w:ascii="微软雅黑" w:hAnsi="微软雅黑" w:eastAsia="微软雅黑" w:cs="微软雅黑"/>
          <w:highlight w:val="yellow"/>
          <w:lang w:eastAsia="zh-CN"/>
        </w:rPr>
      </w:pPr>
      <w:r>
        <w:rPr>
          <w:rFonts w:hint="eastAsia" w:ascii="微软雅黑" w:hAnsi="微软雅黑" w:eastAsia="微软雅黑" w:cs="微软雅黑"/>
          <w:highlight w:val="yellow"/>
        </w:rPr>
        <w:t>一次性付款，结算金额根据上述报价中的单价</w:t>
      </w:r>
      <w:r>
        <w:rPr>
          <w:rFonts w:hint="eastAsia" w:ascii="微软雅黑" w:hAnsi="微软雅黑" w:eastAsia="微软雅黑" w:cs="微软雅黑"/>
          <w:highlight w:val="yellow"/>
          <w:lang w:eastAsia="zh-CN"/>
        </w:rPr>
        <w:t>和实际服务内容</w:t>
      </w:r>
      <w:r>
        <w:rPr>
          <w:rFonts w:hint="eastAsia" w:ascii="微软雅黑" w:hAnsi="微软雅黑" w:eastAsia="微软雅黑" w:cs="微软雅黑"/>
          <w:highlight w:val="yellow"/>
        </w:rPr>
        <w:t>据实结算</w:t>
      </w:r>
      <w:bookmarkStart w:id="33" w:name="auto_fouce_2"/>
      <w:r>
        <w:rPr>
          <w:rFonts w:hint="eastAsia" w:ascii="微软雅黑" w:hAnsi="微软雅黑" w:eastAsia="微软雅黑" w:cs="微软雅黑"/>
          <w:highlight w:val="yellow"/>
          <w:lang w:eastAsia="zh-CN"/>
        </w:rPr>
        <w:t>。</w:t>
      </w:r>
    </w:p>
    <w:p w14:paraId="154E3439">
      <w:pPr>
        <w:keepNext w:val="0"/>
        <w:keepLines w:val="0"/>
        <w:pageBreakBefore w:val="0"/>
        <w:widowControl/>
        <w:kinsoku/>
        <w:wordWrap/>
        <w:overflowPunct/>
        <w:topLinePunct w:val="0"/>
        <w:autoSpaceDE/>
        <w:autoSpaceDN/>
        <w:bidi w:val="0"/>
        <w:spacing w:beforeAutospacing="0" w:after="0" w:afterAutospacing="0" w:line="240" w:lineRule="auto"/>
        <w:ind w:left="618" w:leftChars="294" w:hanging="1"/>
        <w:jc w:val="lef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广告发布完成</w:t>
      </w:r>
      <w:r>
        <w:rPr>
          <w:rFonts w:hint="eastAsia" w:ascii="微软雅黑" w:hAnsi="微软雅黑" w:eastAsia="微软雅黑" w:cs="微软雅黑"/>
          <w:highlight w:val="none"/>
          <w:lang w:eastAsia="zh-CN"/>
        </w:rPr>
        <w:t>后</w:t>
      </w:r>
      <w:r>
        <w:rPr>
          <w:rFonts w:hint="eastAsia" w:ascii="微软雅黑" w:hAnsi="微软雅黑" w:eastAsia="微软雅黑" w:cs="微软雅黑"/>
          <w:highlight w:val="none"/>
        </w:rPr>
        <w:t>，</w:t>
      </w:r>
      <w:r>
        <w:rPr>
          <w:rFonts w:hint="eastAsia" w:ascii="微软雅黑" w:hAnsi="微软雅黑" w:eastAsia="微软雅黑" w:cs="微软雅黑"/>
          <w:highlight w:val="none"/>
          <w:lang w:eastAsia="zh-CN"/>
        </w:rPr>
        <w:t xml:space="preserve"> </w:t>
      </w:r>
      <w:r>
        <w:rPr>
          <w:rFonts w:hint="eastAsia" w:ascii="微软雅黑" w:hAnsi="微软雅黑" w:eastAsia="微软雅黑" w:cs="微软雅黑"/>
          <w:color w:val="000000"/>
          <w:highlight w:val="none"/>
          <w:lang w:bidi="ar"/>
        </w:rPr>
        <w:t>经甲方验收合格且乙方提供相应的增值税专用发票后30日内</w:t>
      </w:r>
      <w:r>
        <w:rPr>
          <w:rFonts w:hint="eastAsia" w:ascii="微软雅黑" w:hAnsi="微软雅黑" w:eastAsia="微软雅黑" w:cs="微软雅黑"/>
          <w:highlight w:val="none"/>
        </w:rPr>
        <w:t>，甲方支付合同价款的</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，计人民币</w:t>
      </w:r>
      <w:r>
        <w:rPr>
          <w:rFonts w:hint="eastAsia" w:ascii="微软雅黑" w:hAnsi="微软雅黑" w:eastAsia="微软雅黑" w:cs="微软雅黑"/>
          <w:highlight w:val="none"/>
          <w:u w:val="single"/>
        </w:rPr>
        <w:t xml:space="preserve">      元</w:t>
      </w:r>
      <w:r>
        <w:rPr>
          <w:rFonts w:hint="eastAsia" w:ascii="微软雅黑" w:hAnsi="微软雅黑" w:eastAsia="微软雅黑" w:cs="微软雅黑"/>
          <w:highlight w:val="none"/>
        </w:rPr>
        <w:t>(即大写人民币</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w:t>
      </w:r>
      <w:bookmarkEnd w:id="33"/>
      <w:r>
        <w:rPr>
          <w:rFonts w:hint="eastAsia" w:ascii="微软雅黑" w:hAnsi="微软雅黑" w:eastAsia="微软雅黑" w:cs="微软雅黑"/>
          <w:color w:val="000000"/>
          <w:kern w:val="0"/>
          <w:highlight w:val="none"/>
          <w:lang w:bidi="ar"/>
        </w:rPr>
        <w:t>如乙方服务存在瑕疵、延误、未达标、发票内容或合规性存在异议，甲方有权拒绝付款或延期付款，直至乙方整改合格并经甲方书面确认。甲方有权对乙方开具的发票内容、合规性提出异议，乙方应在收到甲方异议通知后5个工作日内予以更正，否则甲方有权暂停付款。</w:t>
      </w:r>
    </w:p>
    <w:p w14:paraId="1EA1F6FA">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highlight w:val="none"/>
          <w:lang w:eastAsia="zh-CN"/>
        </w:rPr>
      </w:pPr>
      <w:bookmarkStart w:id="34" w:name="auto_fouce_3"/>
      <w:r>
        <w:rPr>
          <w:rFonts w:hint="eastAsia" w:ascii="微软雅黑" w:hAnsi="微软雅黑" w:eastAsia="微软雅黑" w:cs="微软雅黑"/>
          <w:b/>
          <w:highlight w:val="none"/>
        </w:rPr>
        <w:t xml:space="preserve">1.3.2 </w:t>
      </w:r>
      <w:r>
        <w:rPr>
          <w:rFonts w:hint="eastAsia" w:ascii="微软雅黑" w:hAnsi="微软雅黑" w:eastAsia="微软雅黑" w:cs="微软雅黑"/>
          <w:highlight w:val="none"/>
        </w:rPr>
        <w:t>乙方不接受现金收款，也不会委托其他公司或个人代收款，乙方的应收款应通过银行采用票据对公支付，或者转账支付至下列账户</w:t>
      </w:r>
      <w:r>
        <w:rPr>
          <w:rFonts w:hint="eastAsia" w:ascii="微软雅黑" w:hAnsi="微软雅黑" w:eastAsia="微软雅黑" w:cs="微软雅黑"/>
          <w:highlight w:val="none"/>
          <w:lang w:eastAsia="zh-CN"/>
        </w:rPr>
        <w:t xml:space="preserve"> </w:t>
      </w:r>
      <w:bookmarkEnd w:id="34"/>
    </w:p>
    <w:tbl>
      <w:tblPr>
        <w:tblStyle w:val="30"/>
        <w:tblW w:w="7739"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567"/>
        <w:gridCol w:w="6172"/>
      </w:tblGrid>
      <w:tr w14:paraId="6823B5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35" w:hRule="atLeast"/>
          <w:jc w:val="center"/>
        </w:trPr>
        <w:tc>
          <w:tcPr>
            <w:tcW w:w="1567" w:type="dxa"/>
            <w:vAlign w:val="center"/>
          </w:tcPr>
          <w:p w14:paraId="28350769">
            <w:pPr>
              <w:keepNext w:val="0"/>
              <w:keepLines w:val="0"/>
              <w:pageBreakBefore w:val="0"/>
              <w:widowControl w:val="0"/>
              <w:kinsoku/>
              <w:wordWrap/>
              <w:overflowPunct/>
              <w:topLinePunct w:val="0"/>
              <w:autoSpaceDE/>
              <w:autoSpaceDN/>
              <w:bidi w:val="0"/>
              <w:spacing w:beforeAutospacing="0" w:after="0" w:afterAutospacing="0" w:line="240" w:lineRule="auto"/>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开户行</w:t>
            </w:r>
          </w:p>
        </w:tc>
        <w:tc>
          <w:tcPr>
            <w:tcW w:w="6172" w:type="dxa"/>
            <w:vAlign w:val="center"/>
          </w:tcPr>
          <w:p w14:paraId="10C3E6C7">
            <w:pPr>
              <w:keepNext w:val="0"/>
              <w:keepLines w:val="0"/>
              <w:pageBreakBefore w:val="0"/>
              <w:widowControl w:val="0"/>
              <w:kinsoku/>
              <w:wordWrap/>
              <w:overflowPunct/>
              <w:topLinePunct w:val="0"/>
              <w:autoSpaceDE/>
              <w:autoSpaceDN/>
              <w:bidi w:val="0"/>
              <w:spacing w:beforeAutospacing="0" w:after="0" w:afterAutospacing="0" w:line="240" w:lineRule="auto"/>
              <w:jc w:val="center"/>
              <w:textAlignment w:val="auto"/>
              <w:rPr>
                <w:rFonts w:hint="eastAsia" w:ascii="微软雅黑" w:hAnsi="微软雅黑" w:eastAsia="微软雅黑" w:cs="微软雅黑"/>
                <w:highlight w:val="none"/>
              </w:rPr>
            </w:pPr>
          </w:p>
        </w:tc>
      </w:tr>
      <w:tr w14:paraId="764620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35" w:hRule="atLeast"/>
          <w:jc w:val="center"/>
        </w:trPr>
        <w:tc>
          <w:tcPr>
            <w:tcW w:w="1567" w:type="dxa"/>
            <w:vAlign w:val="center"/>
          </w:tcPr>
          <w:p w14:paraId="57A1F7C4">
            <w:pPr>
              <w:keepNext w:val="0"/>
              <w:keepLines w:val="0"/>
              <w:pageBreakBefore w:val="0"/>
              <w:widowControl w:val="0"/>
              <w:kinsoku/>
              <w:wordWrap/>
              <w:overflowPunct/>
              <w:topLinePunct w:val="0"/>
              <w:autoSpaceDE/>
              <w:autoSpaceDN/>
              <w:bidi w:val="0"/>
              <w:spacing w:beforeAutospacing="0" w:after="0" w:afterAutospacing="0" w:line="240" w:lineRule="auto"/>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开户名</w:t>
            </w:r>
          </w:p>
        </w:tc>
        <w:tc>
          <w:tcPr>
            <w:tcW w:w="6172" w:type="dxa"/>
            <w:vAlign w:val="center"/>
          </w:tcPr>
          <w:p w14:paraId="50CE4064">
            <w:pPr>
              <w:keepNext w:val="0"/>
              <w:keepLines w:val="0"/>
              <w:pageBreakBefore w:val="0"/>
              <w:widowControl w:val="0"/>
              <w:kinsoku/>
              <w:wordWrap/>
              <w:overflowPunct/>
              <w:topLinePunct w:val="0"/>
              <w:autoSpaceDE/>
              <w:autoSpaceDN/>
              <w:bidi w:val="0"/>
              <w:spacing w:beforeAutospacing="0" w:after="0" w:afterAutospacing="0" w:line="240" w:lineRule="auto"/>
              <w:jc w:val="center"/>
              <w:textAlignment w:val="auto"/>
              <w:rPr>
                <w:rFonts w:hint="eastAsia" w:ascii="微软雅黑" w:hAnsi="微软雅黑" w:eastAsia="微软雅黑" w:cs="微软雅黑"/>
                <w:highlight w:val="none"/>
              </w:rPr>
            </w:pPr>
          </w:p>
        </w:tc>
      </w:tr>
      <w:tr w14:paraId="6B9005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0" w:hRule="atLeast"/>
          <w:jc w:val="center"/>
        </w:trPr>
        <w:tc>
          <w:tcPr>
            <w:tcW w:w="1567" w:type="dxa"/>
            <w:vAlign w:val="center"/>
          </w:tcPr>
          <w:p w14:paraId="432DB7E7">
            <w:pPr>
              <w:keepNext w:val="0"/>
              <w:keepLines w:val="0"/>
              <w:pageBreakBefore w:val="0"/>
              <w:widowControl w:val="0"/>
              <w:kinsoku/>
              <w:wordWrap/>
              <w:overflowPunct/>
              <w:topLinePunct w:val="0"/>
              <w:autoSpaceDE/>
              <w:autoSpaceDN/>
              <w:bidi w:val="0"/>
              <w:spacing w:beforeAutospacing="0" w:after="0" w:afterAutospacing="0" w:line="240" w:lineRule="auto"/>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账户</w:t>
            </w:r>
          </w:p>
        </w:tc>
        <w:tc>
          <w:tcPr>
            <w:tcW w:w="6172" w:type="dxa"/>
            <w:vAlign w:val="center"/>
          </w:tcPr>
          <w:p w14:paraId="04166CD8">
            <w:pPr>
              <w:keepNext w:val="0"/>
              <w:keepLines w:val="0"/>
              <w:pageBreakBefore w:val="0"/>
              <w:widowControl w:val="0"/>
              <w:kinsoku/>
              <w:wordWrap/>
              <w:overflowPunct/>
              <w:topLinePunct w:val="0"/>
              <w:autoSpaceDE/>
              <w:autoSpaceDN/>
              <w:bidi w:val="0"/>
              <w:spacing w:beforeAutospacing="0" w:after="0" w:afterAutospacing="0" w:line="240" w:lineRule="auto"/>
              <w:jc w:val="center"/>
              <w:textAlignment w:val="auto"/>
              <w:rPr>
                <w:rFonts w:hint="eastAsia" w:ascii="微软雅黑" w:hAnsi="微软雅黑" w:eastAsia="微软雅黑" w:cs="微软雅黑"/>
                <w:highlight w:val="none"/>
              </w:rPr>
            </w:pPr>
          </w:p>
        </w:tc>
      </w:tr>
    </w:tbl>
    <w:p w14:paraId="46F04982">
      <w:pPr>
        <w:keepNext w:val="0"/>
        <w:keepLines w:val="0"/>
        <w:pageBreakBefore w:val="0"/>
        <w:widowControl/>
        <w:kinsoku/>
        <w:wordWrap/>
        <w:overflowPunct/>
        <w:topLinePunct w:val="0"/>
        <w:autoSpaceDE/>
        <w:autoSpaceDN/>
        <w:bidi w:val="0"/>
        <w:spacing w:beforeAutospacing="0" w:after="0" w:afterAutospacing="0" w:line="240" w:lineRule="auto"/>
        <w:ind w:left="723" w:hanging="630" w:hangingChars="300"/>
        <w:jc w:val="left"/>
        <w:textAlignment w:val="auto"/>
        <w:outlineLvl w:val="0"/>
        <w:rPr>
          <w:rFonts w:hint="eastAsia" w:ascii="微软雅黑" w:hAnsi="微软雅黑" w:eastAsia="微软雅黑" w:cs="微软雅黑"/>
          <w:highlight w:val="none"/>
        </w:rPr>
      </w:pPr>
      <w:r>
        <w:rPr>
          <w:rFonts w:hint="eastAsia" w:ascii="微软雅黑" w:hAnsi="微软雅黑" w:eastAsia="微软雅黑" w:cs="微软雅黑"/>
          <w:b/>
          <w:highlight w:val="none"/>
        </w:rPr>
        <w:t xml:space="preserve">1.3.3 </w:t>
      </w:r>
      <w:r>
        <w:rPr>
          <w:rFonts w:hint="eastAsia" w:ascii="微软雅黑" w:hAnsi="微软雅黑" w:eastAsia="微软雅黑" w:cs="微软雅黑"/>
          <w:highlight w:val="none"/>
        </w:rPr>
        <w:t>甲方付款前，</w:t>
      </w:r>
      <w:bookmarkStart w:id="35" w:name="auto_fouce_4"/>
      <w:r>
        <w:rPr>
          <w:rFonts w:hint="eastAsia" w:ascii="微软雅黑" w:hAnsi="微软雅黑" w:eastAsia="微软雅黑" w:cs="微软雅黑"/>
          <w:highlight w:val="none"/>
        </w:rPr>
        <w:t>乙方应开具等额合法、符合甲方要求的增值税专用发票</w:t>
      </w:r>
      <w:r>
        <w:rPr>
          <w:rFonts w:hint="eastAsia" w:ascii="微软雅黑" w:hAnsi="微软雅黑" w:eastAsia="微软雅黑" w:cs="微软雅黑"/>
          <w:highlight w:val="none"/>
          <w:lang w:eastAsia="zh-CN"/>
        </w:rPr>
        <w:t>，甲</w:t>
      </w:r>
      <w:r>
        <w:rPr>
          <w:rFonts w:hint="eastAsia" w:ascii="微软雅黑" w:hAnsi="微软雅黑" w:eastAsia="微软雅黑" w:cs="微软雅黑"/>
          <w:highlight w:val="none"/>
        </w:rPr>
        <w:t>方仅在</w:t>
      </w:r>
      <w:r>
        <w:rPr>
          <w:rFonts w:hint="eastAsia" w:ascii="微软雅黑" w:hAnsi="微软雅黑" w:eastAsia="微软雅黑" w:cs="微软雅黑"/>
          <w:color w:val="000000"/>
          <w:kern w:val="0"/>
          <w:highlight w:val="none"/>
          <w:lang w:bidi="ar"/>
        </w:rPr>
        <w:t>收到合规发票且验收合格后，方可付款，乙方开具发票不视为已收到甲方付款。</w:t>
      </w:r>
    </w:p>
    <w:bookmarkEnd w:id="35"/>
    <w:p w14:paraId="28E59CB7">
      <w:pPr>
        <w:keepNext w:val="0"/>
        <w:keepLines w:val="0"/>
        <w:pageBreakBefore w:val="0"/>
        <w:kinsoku/>
        <w:wordWrap/>
        <w:overflowPunct/>
        <w:topLinePunct w:val="0"/>
        <w:autoSpaceDE/>
        <w:autoSpaceDN/>
        <w:bidi w:val="0"/>
        <w:spacing w:beforeAutospacing="0" w:after="0" w:afterAutospacing="0" w:line="240" w:lineRule="auto"/>
        <w:ind w:left="723" w:hanging="630" w:hangingChars="300"/>
        <w:textAlignment w:val="auto"/>
        <w:outlineLvl w:val="0"/>
        <w:rPr>
          <w:rFonts w:hint="eastAsia" w:ascii="微软雅黑" w:hAnsi="微软雅黑" w:eastAsia="微软雅黑" w:cs="微软雅黑"/>
          <w:highlight w:val="none"/>
        </w:rPr>
      </w:pPr>
      <w:r>
        <w:rPr>
          <w:rFonts w:hint="eastAsia" w:ascii="微软雅黑" w:hAnsi="微软雅黑" w:eastAsia="微软雅黑" w:cs="微软雅黑"/>
          <w:b/>
          <w:highlight w:val="none"/>
        </w:rPr>
        <w:t xml:space="preserve">1.3.4 </w:t>
      </w:r>
      <w:bookmarkStart w:id="36" w:name="auto_fouce_5"/>
      <w:r>
        <w:rPr>
          <w:rFonts w:hint="eastAsia" w:ascii="微软雅黑" w:hAnsi="微软雅黑" w:eastAsia="微软雅黑" w:cs="微软雅黑"/>
          <w:highlight w:val="none"/>
        </w:rPr>
        <w:t>如果发生不可抗因素</w:t>
      </w:r>
      <w:r>
        <w:rPr>
          <w:rFonts w:hint="eastAsia" w:ascii="微软雅黑" w:hAnsi="微软雅黑" w:eastAsia="微软雅黑" w:cs="微软雅黑"/>
          <w:color w:val="000000"/>
          <w:highlight w:val="none"/>
          <w:lang w:bidi="ar"/>
        </w:rPr>
        <w:t>（仅限于法律规定的不可预见、不可避免、不可克服的事件）</w:t>
      </w:r>
      <w:r>
        <w:rPr>
          <w:rFonts w:hint="eastAsia" w:ascii="微软雅黑" w:hAnsi="微软雅黑" w:eastAsia="微软雅黑" w:cs="微软雅黑"/>
          <w:highlight w:val="none"/>
        </w:rPr>
        <w:t>导致付款延期，</w:t>
      </w:r>
      <w:r>
        <w:rPr>
          <w:rFonts w:hint="eastAsia" w:ascii="微软雅黑" w:hAnsi="微软雅黑" w:eastAsia="微软雅黑" w:cs="微软雅黑"/>
          <w:highlight w:val="none"/>
          <w:lang w:eastAsia="zh-CN"/>
        </w:rPr>
        <w:t xml:space="preserve"> </w:t>
      </w:r>
      <w:r>
        <w:rPr>
          <w:rFonts w:hint="eastAsia" w:ascii="微软雅黑" w:hAnsi="微软雅黑" w:eastAsia="微软雅黑" w:cs="微软雅黑"/>
          <w:highlight w:val="none"/>
        </w:rPr>
        <w:t>双方将协商解决。</w:t>
      </w:r>
      <w:bookmarkEnd w:id="36"/>
    </w:p>
    <w:p w14:paraId="1E5B1999">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b/>
          <w:highlight w:val="none"/>
        </w:rPr>
      </w:pPr>
      <w:r>
        <w:rPr>
          <w:rFonts w:hint="eastAsia" w:ascii="微软雅黑" w:hAnsi="微软雅黑" w:eastAsia="微软雅黑" w:cs="微软雅黑"/>
          <w:b/>
          <w:highlight w:val="none"/>
        </w:rPr>
        <w:t>第二条 广告的设计、制作、修改、验收</w:t>
      </w:r>
    </w:p>
    <w:p w14:paraId="08C8397E">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b/>
          <w:highlight w:val="none"/>
        </w:rPr>
      </w:pPr>
      <w:r>
        <w:rPr>
          <w:rFonts w:hint="eastAsia" w:ascii="微软雅黑" w:hAnsi="微软雅黑" w:eastAsia="微软雅黑" w:cs="微软雅黑"/>
          <w:b/>
          <w:highlight w:val="none"/>
        </w:rPr>
        <w:t>2.1广告设计、制作</w:t>
      </w:r>
    </w:p>
    <w:p w14:paraId="4AFA24AD">
      <w:pPr>
        <w:keepNext w:val="0"/>
        <w:keepLines w:val="0"/>
        <w:pageBreakBefore w:val="0"/>
        <w:widowControl/>
        <w:kinsoku/>
        <w:wordWrap/>
        <w:overflowPunct/>
        <w:topLinePunct w:val="0"/>
        <w:autoSpaceDE/>
        <w:autoSpaceDN/>
        <w:bidi w:val="0"/>
        <w:spacing w:beforeAutospacing="0" w:after="0" w:afterAutospacing="0" w:line="240" w:lineRule="auto"/>
        <w:ind w:left="371" w:leftChars="177" w:firstLine="1"/>
        <w:jc w:val="lef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由甲方提供的内容与素材，甲方应在广告发布开始日前</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日内通知乙方进行版面安排，并提供广告的样稿。未经甲方书面同意，乙方不得改动。</w:t>
      </w:r>
      <w:r>
        <w:rPr>
          <w:rFonts w:hint="eastAsia" w:ascii="微软雅黑" w:hAnsi="微软雅黑" w:eastAsia="微软雅黑" w:cs="微软雅黑"/>
          <w:color w:val="000000"/>
          <w:kern w:val="0"/>
          <w:highlight w:val="none"/>
          <w:lang w:bidi="ar"/>
        </w:rPr>
        <w:t>甲方对广告内容、样稿、发布时间、发布位置等拥有最终决定权。</w:t>
      </w:r>
    </w:p>
    <w:p w14:paraId="44309CD7">
      <w:pPr>
        <w:keepNext w:val="0"/>
        <w:keepLines w:val="0"/>
        <w:pageBreakBefore w:val="0"/>
        <w:kinsoku/>
        <w:wordWrap/>
        <w:overflowPunct/>
        <w:topLinePunct w:val="0"/>
        <w:autoSpaceDE/>
        <w:autoSpaceDN/>
        <w:bidi w:val="0"/>
        <w:spacing w:beforeAutospacing="0" w:after="0" w:afterAutospacing="0" w:line="240" w:lineRule="auto"/>
        <w:ind w:left="723" w:hanging="630" w:hangingChars="300"/>
        <w:textAlignment w:val="auto"/>
        <w:rPr>
          <w:rFonts w:hint="eastAsia" w:ascii="微软雅黑" w:hAnsi="微软雅黑" w:eastAsia="微软雅黑" w:cs="微软雅黑"/>
          <w:highlight w:val="none"/>
        </w:rPr>
      </w:pPr>
      <w:r>
        <w:rPr>
          <w:rFonts w:hint="eastAsia" w:ascii="微软雅黑" w:hAnsi="微软雅黑" w:eastAsia="微软雅黑" w:cs="微软雅黑"/>
          <w:b/>
          <w:highlight w:val="none"/>
        </w:rPr>
        <w:t>2.2广告修改</w:t>
      </w:r>
    </w:p>
    <w:p w14:paraId="7AC7E0E0">
      <w:pPr>
        <w:keepNext w:val="0"/>
        <w:keepLines w:val="0"/>
        <w:pageBreakBefore w:val="0"/>
        <w:widowControl/>
        <w:kinsoku/>
        <w:wordWrap/>
        <w:overflowPunct/>
        <w:topLinePunct w:val="0"/>
        <w:autoSpaceDE/>
        <w:autoSpaceDN/>
        <w:bidi w:val="0"/>
        <w:spacing w:beforeAutospacing="0" w:after="0" w:afterAutospacing="0" w:line="240" w:lineRule="auto"/>
        <w:ind w:left="723" w:hanging="630" w:hangingChars="300"/>
        <w:jc w:val="left"/>
        <w:textAlignment w:val="auto"/>
        <w:rPr>
          <w:rFonts w:hint="eastAsia" w:ascii="微软雅黑" w:hAnsi="微软雅黑" w:eastAsia="微软雅黑" w:cs="微软雅黑"/>
          <w:highlight w:val="none"/>
        </w:rPr>
      </w:pPr>
      <w:bookmarkStart w:id="37" w:name="auto_fouce_6"/>
      <w:r>
        <w:rPr>
          <w:rFonts w:hint="eastAsia" w:ascii="微软雅黑" w:hAnsi="微软雅黑" w:eastAsia="微软雅黑" w:cs="微软雅黑"/>
          <w:b/>
          <w:highlight w:val="none"/>
        </w:rPr>
        <w:t>2.2.1</w:t>
      </w:r>
      <w:r>
        <w:rPr>
          <w:rFonts w:hint="eastAsia" w:ascii="微软雅黑" w:hAnsi="微软雅黑" w:eastAsia="微软雅黑" w:cs="微软雅黑"/>
          <w:color w:val="000000"/>
          <w:kern w:val="0"/>
          <w:highlight w:val="none"/>
          <w:lang w:bidi="ar"/>
        </w:rPr>
        <w:t>每次广告发布之前，甲方有权在发布广告时间前不少于3个工作日无条件调整和撤销广告样稿，且不承担额外费用，但须提前通知乙方。</w:t>
      </w:r>
    </w:p>
    <w:bookmarkEnd w:id="37"/>
    <w:p w14:paraId="360D5499">
      <w:pPr>
        <w:keepNext w:val="0"/>
        <w:keepLines w:val="0"/>
        <w:pageBreakBefore w:val="0"/>
        <w:widowControl/>
        <w:kinsoku/>
        <w:wordWrap/>
        <w:overflowPunct/>
        <w:topLinePunct w:val="0"/>
        <w:autoSpaceDE/>
        <w:autoSpaceDN/>
        <w:bidi w:val="0"/>
        <w:spacing w:beforeAutospacing="0" w:after="0" w:afterAutospacing="0" w:line="240" w:lineRule="auto"/>
        <w:ind w:left="723" w:hanging="630" w:hangingChars="300"/>
        <w:jc w:val="left"/>
        <w:textAlignment w:val="auto"/>
        <w:rPr>
          <w:rFonts w:hint="eastAsia" w:ascii="微软雅黑" w:hAnsi="微软雅黑" w:eastAsia="微软雅黑" w:cs="微软雅黑"/>
          <w:highlight w:val="none"/>
        </w:rPr>
      </w:pPr>
      <w:r>
        <w:rPr>
          <w:rFonts w:hint="eastAsia" w:ascii="微软雅黑" w:hAnsi="微软雅黑" w:eastAsia="微软雅黑" w:cs="微软雅黑"/>
          <w:b/>
          <w:highlight w:val="none"/>
        </w:rPr>
        <w:t>2.2.2</w:t>
      </w:r>
      <w:bookmarkStart w:id="38" w:name="auto_fouce_7"/>
      <w:r>
        <w:rPr>
          <w:rFonts w:hint="eastAsia" w:ascii="微软雅黑" w:hAnsi="微软雅黑" w:eastAsia="微软雅黑" w:cs="微软雅黑"/>
          <w:color w:val="000000"/>
          <w:kern w:val="0"/>
          <w:highlight w:val="none"/>
          <w:lang w:bidi="ar"/>
        </w:rPr>
        <w:t>甲方可根据其销售进度调整本次服务细节，包括广告发布样稿、时间、位置等，甲方须在发布前</w:t>
      </w:r>
      <w:r>
        <w:rPr>
          <w:rFonts w:hint="eastAsia" w:ascii="微软雅黑" w:hAnsi="微软雅黑" w:eastAsia="微软雅黑" w:cs="微软雅黑"/>
          <w:color w:val="000000"/>
          <w:kern w:val="0"/>
          <w:highlight w:val="none"/>
          <w:u w:val="single"/>
          <w:lang w:bidi="ar"/>
        </w:rPr>
        <w:t>2</w:t>
      </w:r>
      <w:r>
        <w:rPr>
          <w:rFonts w:hint="eastAsia" w:ascii="微软雅黑" w:hAnsi="微软雅黑" w:eastAsia="微软雅黑" w:cs="微软雅黑"/>
          <w:color w:val="000000"/>
          <w:kern w:val="0"/>
          <w:highlight w:val="none"/>
          <w:lang w:bidi="ar"/>
        </w:rPr>
        <w:t>日书面通知乙方。甲方单方调整发布计划的，乙方应在收到通知后24小时内出具调整方案，双方重新签署《发布排期确认单》。</w:t>
      </w:r>
    </w:p>
    <w:bookmarkEnd w:id="38"/>
    <w:p w14:paraId="3E461CCE">
      <w:pPr>
        <w:keepNext w:val="0"/>
        <w:keepLines w:val="0"/>
        <w:pageBreakBefore w:val="0"/>
        <w:kinsoku/>
        <w:wordWrap/>
        <w:overflowPunct/>
        <w:topLinePunct w:val="0"/>
        <w:autoSpaceDE/>
        <w:autoSpaceDN/>
        <w:bidi w:val="0"/>
        <w:spacing w:beforeAutospacing="0" w:after="0" w:afterAutospacing="0" w:line="240" w:lineRule="auto"/>
        <w:ind w:left="723" w:hanging="630" w:hangingChars="300"/>
        <w:textAlignment w:val="auto"/>
        <w:rPr>
          <w:rFonts w:hint="eastAsia" w:ascii="微软雅黑" w:hAnsi="微软雅黑" w:eastAsia="微软雅黑" w:cs="微软雅黑"/>
          <w:highlight w:val="none"/>
        </w:rPr>
      </w:pPr>
      <w:r>
        <w:rPr>
          <w:rFonts w:hint="eastAsia" w:ascii="微软雅黑" w:hAnsi="微软雅黑" w:eastAsia="微软雅黑" w:cs="微软雅黑"/>
          <w:b/>
          <w:highlight w:val="none"/>
        </w:rPr>
        <w:t>2.3广告验收</w:t>
      </w:r>
    </w:p>
    <w:p w14:paraId="3E2C0D1D">
      <w:pPr>
        <w:keepNext w:val="0"/>
        <w:keepLines w:val="0"/>
        <w:pageBreakBefore w:val="0"/>
        <w:kinsoku/>
        <w:wordWrap/>
        <w:overflowPunct/>
        <w:topLinePunct w:val="0"/>
        <w:autoSpaceDE/>
        <w:autoSpaceDN/>
        <w:bidi w:val="0"/>
        <w:spacing w:beforeAutospacing="0" w:after="0" w:afterAutospacing="0" w:line="240" w:lineRule="auto"/>
        <w:ind w:left="482" w:hanging="420" w:hangingChars="200"/>
        <w:textAlignment w:val="auto"/>
        <w:rPr>
          <w:rFonts w:hint="eastAsia" w:ascii="微软雅黑" w:hAnsi="微软雅黑" w:eastAsia="微软雅黑" w:cs="微软雅黑"/>
          <w:color w:val="000000" w:themeColor="text1"/>
          <w:highlight w:val="none"/>
          <w:lang w:eastAsia="zh-CN"/>
          <w14:textFill>
            <w14:solidFill>
              <w14:schemeClr w14:val="tx1"/>
            </w14:solidFill>
          </w14:textFill>
        </w:rPr>
      </w:pPr>
      <w:bookmarkStart w:id="39" w:name="auto_fouce_8"/>
      <w:r>
        <w:rPr>
          <w:rFonts w:hint="eastAsia" w:ascii="微软雅黑" w:hAnsi="微软雅黑" w:eastAsia="微软雅黑" w:cs="微软雅黑"/>
          <w:b/>
          <w:highlight w:val="none"/>
        </w:rPr>
        <w:t xml:space="preserve">2.3.1 </w:t>
      </w:r>
      <w:r>
        <w:rPr>
          <w:rFonts w:hint="eastAsia" w:ascii="微软雅黑" w:hAnsi="微软雅黑" w:eastAsia="微软雅黑" w:cs="微软雅黑"/>
          <w:bCs/>
          <w:highlight w:val="none"/>
        </w:rPr>
        <w:t>验收方式：</w:t>
      </w:r>
      <w:r>
        <w:rPr>
          <w:rFonts w:hint="eastAsia" w:ascii="微软雅黑" w:hAnsi="微软雅黑" w:eastAsia="微软雅黑" w:cs="微软雅黑"/>
          <w:bCs/>
          <w:highlight w:val="none"/>
          <w:lang w:eastAsia="zh-CN"/>
        </w:rPr>
        <w:t>乙方应在广告发布后提交</w:t>
      </w:r>
      <w:r>
        <w:rPr>
          <w:rFonts w:hint="eastAsia" w:ascii="微软雅黑" w:hAnsi="微软雅黑" w:eastAsia="微软雅黑" w:cs="微软雅黑"/>
          <w:bCs/>
          <w:highlight w:val="none"/>
        </w:rPr>
        <w:t>完</w:t>
      </w:r>
      <w:r>
        <w:rPr>
          <w:rFonts w:hint="eastAsia" w:ascii="微软雅黑" w:hAnsi="微软雅黑" w:eastAsia="微软雅黑" w:cs="微软雅黑"/>
          <w:bCs/>
          <w:highlight w:val="none"/>
          <w:lang w:eastAsia="zh-CN"/>
        </w:rPr>
        <w:t>整、真实的广告上线截图、投放数据、监测报告等资料供</w:t>
      </w:r>
      <w:r>
        <w:rPr>
          <w:rFonts w:hint="eastAsia" w:ascii="微软雅黑" w:hAnsi="微软雅黑" w:eastAsia="微软雅黑" w:cs="微软雅黑"/>
          <w:bCs/>
          <w:highlight w:val="none"/>
        </w:rPr>
        <w:t>甲方</w:t>
      </w:r>
      <w:r>
        <w:rPr>
          <w:rFonts w:hint="eastAsia" w:ascii="微软雅黑" w:hAnsi="微软雅黑" w:eastAsia="微软雅黑" w:cs="微软雅黑"/>
          <w:bCs/>
          <w:highlight w:val="none"/>
          <w:lang w:eastAsia="zh-CN"/>
        </w:rPr>
        <w:t>核查。</w:t>
      </w:r>
      <w:bookmarkEnd w:id="39"/>
      <w:r>
        <w:rPr>
          <w:rFonts w:hint="eastAsia" w:ascii="微软雅黑" w:hAnsi="微软雅黑" w:eastAsia="微软雅黑" w:cs="微软雅黑"/>
          <w:color w:val="000000" w:themeColor="text1"/>
          <w:highlight w:val="yellow"/>
          <w:lang w:eastAsia="zh-CN"/>
          <w14:textFill>
            <w14:solidFill>
              <w14:schemeClr w14:val="tx1"/>
            </w14:solidFill>
          </w14:textFill>
        </w:rPr>
        <w:t>验收标准包括但不限于：</w:t>
      </w:r>
      <w:r>
        <w:rPr>
          <w:rFonts w:hint="eastAsia" w:ascii="微软雅黑" w:hAnsi="微软雅黑" w:eastAsia="微软雅黑" w:cs="微软雅黑"/>
          <w:color w:val="000000" w:themeColor="text1"/>
          <w:highlight w:val="yellow"/>
          <w:lang w:val="en-US" w:eastAsia="zh-CN"/>
          <w14:textFill>
            <w14:solidFill>
              <w14:schemeClr w14:val="tx1"/>
            </w14:solidFill>
          </w14:textFill>
        </w:rPr>
        <w:t>广告曝光量不少于_____、线索获取量不少于_____。</w:t>
      </w:r>
      <w:r>
        <w:rPr>
          <w:rFonts w:hint="eastAsia" w:ascii="微软雅黑" w:hAnsi="微软雅黑" w:eastAsia="微软雅黑" w:cs="微软雅黑"/>
          <w:color w:val="000000" w:themeColor="text1"/>
          <w:highlight w:val="none"/>
          <w:lang w:eastAsia="zh-CN"/>
          <w14:textFill>
            <w14:solidFill>
              <w14:schemeClr w14:val="tx1"/>
            </w14:solidFill>
          </w14:textFill>
        </w:rPr>
        <w:t>甲方有权依据实际广告效果、投放位置、时长、曝光量等多维度进行验收，并以甲方书面确认验收合格为准。甲方如认为验收不合格，有权拒绝付款、要求乙方重做或解除合同。</w:t>
      </w:r>
    </w:p>
    <w:p w14:paraId="010E0BBF">
      <w:pPr>
        <w:keepNext w:val="0"/>
        <w:keepLines w:val="0"/>
        <w:pageBreakBefore w:val="0"/>
        <w:kinsoku/>
        <w:wordWrap/>
        <w:overflowPunct/>
        <w:topLinePunct w:val="0"/>
        <w:autoSpaceDE/>
        <w:autoSpaceDN/>
        <w:bidi w:val="0"/>
        <w:spacing w:beforeAutospacing="0" w:after="0" w:afterAutospacing="0" w:line="240" w:lineRule="auto"/>
        <w:ind w:left="482" w:hanging="420" w:hangingChars="200"/>
        <w:textAlignment w:val="auto"/>
        <w:rPr>
          <w:rFonts w:hint="eastAsia" w:ascii="微软雅黑" w:hAnsi="微软雅黑" w:eastAsia="微软雅黑" w:cs="微软雅黑"/>
          <w:bCs/>
          <w:highlight w:val="none"/>
        </w:rPr>
      </w:pPr>
      <w:r>
        <w:rPr>
          <w:rFonts w:hint="eastAsia" w:ascii="微软雅黑" w:hAnsi="微软雅黑" w:eastAsia="微软雅黑" w:cs="微软雅黑"/>
          <w:b/>
          <w:highlight w:val="none"/>
        </w:rPr>
        <w:t>2.3.2</w:t>
      </w:r>
      <w:r>
        <w:rPr>
          <w:rFonts w:hint="eastAsia" w:ascii="微软雅黑" w:hAnsi="微软雅黑" w:eastAsia="微软雅黑" w:cs="微软雅黑"/>
          <w:bCs/>
          <w:highlight w:val="none"/>
        </w:rPr>
        <w:t>乙方应对提供的服务成果作出全面自查和整理，并列出清单，作为甲方验收和使用的技术条件依据，</w:t>
      </w:r>
      <w:bookmarkStart w:id="40" w:name="auto_fouce_9"/>
      <w:r>
        <w:rPr>
          <w:rFonts w:hint="eastAsia" w:ascii="微软雅黑" w:hAnsi="微软雅黑" w:eastAsia="微软雅黑" w:cs="微软雅黑"/>
          <w:bCs/>
          <w:highlight w:val="none"/>
        </w:rPr>
        <w:t>清单应随提供的服务成果交给甲方</w:t>
      </w:r>
      <w:r>
        <w:rPr>
          <w:rFonts w:hint="eastAsia" w:ascii="微软雅黑" w:hAnsi="微软雅黑" w:eastAsia="微软雅黑" w:cs="微软雅黑"/>
          <w:bCs/>
          <w:highlight w:val="none"/>
          <w:lang w:eastAsia="zh-CN"/>
        </w:rPr>
        <w:t>，且作为付款请求的必要附件</w:t>
      </w:r>
      <w:r>
        <w:rPr>
          <w:rFonts w:hint="eastAsia" w:ascii="微软雅黑" w:hAnsi="微软雅黑" w:eastAsia="微软雅黑" w:cs="微软雅黑"/>
          <w:bCs/>
          <w:highlight w:val="none"/>
        </w:rPr>
        <w:t>。</w:t>
      </w:r>
      <w:bookmarkEnd w:id="40"/>
    </w:p>
    <w:p w14:paraId="1A253135">
      <w:pPr>
        <w:keepNext w:val="0"/>
        <w:keepLines w:val="0"/>
        <w:pageBreakBefore w:val="0"/>
        <w:kinsoku/>
        <w:wordWrap/>
        <w:overflowPunct/>
        <w:topLinePunct w:val="0"/>
        <w:autoSpaceDE/>
        <w:autoSpaceDN/>
        <w:bidi w:val="0"/>
        <w:spacing w:beforeAutospacing="0" w:after="0" w:afterAutospacing="0" w:line="240" w:lineRule="auto"/>
        <w:ind w:left="482" w:hanging="420" w:hangingChars="200"/>
        <w:textAlignment w:val="auto"/>
        <w:rPr>
          <w:rFonts w:hint="eastAsia" w:ascii="微软雅黑" w:hAnsi="微软雅黑" w:eastAsia="微软雅黑" w:cs="微软雅黑"/>
          <w:bCs/>
          <w:color w:val="FF0000"/>
          <w:highlight w:val="none"/>
          <w:lang w:eastAsia="zh-CN"/>
        </w:rPr>
      </w:pPr>
      <w:r>
        <w:rPr>
          <w:rFonts w:hint="eastAsia" w:ascii="微软雅黑" w:hAnsi="微软雅黑" w:eastAsia="微软雅黑" w:cs="微软雅黑"/>
          <w:b/>
          <w:highlight w:val="none"/>
        </w:rPr>
        <w:t>2.3.3</w:t>
      </w:r>
      <w:r>
        <w:rPr>
          <w:rFonts w:hint="eastAsia" w:ascii="微软雅黑" w:hAnsi="微软雅黑" w:eastAsia="微软雅黑" w:cs="微软雅黑"/>
          <w:bCs/>
          <w:highlight w:val="none"/>
        </w:rPr>
        <w:t>如项目实施情况需要分阶段验收，则根据实际情况分阶段出具《验收报告》。</w:t>
      </w:r>
      <w:bookmarkStart w:id="41" w:name="auto_fouce_11"/>
    </w:p>
    <w:bookmarkEnd w:id="41"/>
    <w:p w14:paraId="4430D44B">
      <w:pPr>
        <w:keepNext w:val="0"/>
        <w:keepLines w:val="0"/>
        <w:pageBreakBefore w:val="0"/>
        <w:widowControl/>
        <w:kinsoku/>
        <w:wordWrap/>
        <w:overflowPunct/>
        <w:topLinePunct w:val="0"/>
        <w:autoSpaceDE/>
        <w:autoSpaceDN/>
        <w:bidi w:val="0"/>
        <w:spacing w:beforeAutospacing="0" w:after="0" w:afterAutospacing="0" w:line="240" w:lineRule="auto"/>
        <w:ind w:left="480" w:hanging="420" w:hangingChars="200"/>
        <w:jc w:val="left"/>
        <w:textAlignment w:val="auto"/>
        <w:rPr>
          <w:rFonts w:hint="eastAsia" w:ascii="微软雅黑" w:hAnsi="微软雅黑" w:eastAsia="微软雅黑" w:cs="微软雅黑"/>
          <w:highlight w:val="none"/>
        </w:rPr>
      </w:pPr>
      <w:r>
        <w:rPr>
          <w:rFonts w:hint="eastAsia" w:ascii="微软雅黑" w:hAnsi="微软雅黑" w:eastAsia="微软雅黑" w:cs="微软雅黑"/>
          <w:color w:val="000000"/>
          <w:kern w:val="0"/>
          <w:highlight w:val="none"/>
          <w:lang w:eastAsia="zh-CN" w:bidi="ar"/>
        </w:rPr>
        <w:t>2.3.4</w:t>
      </w:r>
      <w:r>
        <w:rPr>
          <w:rFonts w:hint="eastAsia" w:ascii="微软雅黑" w:hAnsi="微软雅黑" w:eastAsia="微软雅黑" w:cs="微软雅黑"/>
          <w:color w:val="000000"/>
          <w:kern w:val="0"/>
          <w:highlight w:val="none"/>
          <w:lang w:bidi="ar"/>
        </w:rPr>
        <w:t>验收异议处理：甲方提出书面异议的，乙方应在48小时内完成整改并重新提交验收，每整改一次顺延验收期限3个工作日。三次整改仍未通过的，甲方有权解除合同。 分阶段验收不合格的，后续阶段服务自动中止直至整改完成。整改期间，乙方应按每日合同总金额0.5%支付违约金，超过5日未整改的甲方有权解除合同。</w:t>
      </w:r>
    </w:p>
    <w:p w14:paraId="62FB124D">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b/>
          <w:highlight w:val="none"/>
        </w:rPr>
      </w:pPr>
      <w:r>
        <w:rPr>
          <w:rFonts w:hint="eastAsia" w:ascii="微软雅黑" w:hAnsi="微软雅黑" w:eastAsia="微软雅黑" w:cs="微软雅黑"/>
          <w:b/>
          <w:highlight w:val="none"/>
        </w:rPr>
        <w:t>第三条 双方权利与义务</w:t>
      </w:r>
    </w:p>
    <w:p w14:paraId="30E7C0BB">
      <w:pPr>
        <w:keepNext w:val="0"/>
        <w:keepLines w:val="0"/>
        <w:pageBreakBefore w:val="0"/>
        <w:kinsoku/>
        <w:wordWrap/>
        <w:overflowPunct/>
        <w:topLinePunct w:val="0"/>
        <w:autoSpaceDE/>
        <w:autoSpaceDN/>
        <w:bidi w:val="0"/>
        <w:spacing w:beforeAutospacing="0" w:after="0" w:afterAutospacing="0" w:line="240" w:lineRule="auto"/>
        <w:ind w:left="723" w:hanging="630" w:hangingChars="300"/>
        <w:textAlignment w:val="auto"/>
        <w:rPr>
          <w:rFonts w:hint="eastAsia" w:ascii="微软雅黑" w:hAnsi="微软雅黑" w:eastAsia="微软雅黑" w:cs="微软雅黑"/>
          <w:b/>
          <w:highlight w:val="none"/>
        </w:rPr>
      </w:pPr>
      <w:r>
        <w:rPr>
          <w:rFonts w:hint="eastAsia" w:ascii="微软雅黑" w:hAnsi="微软雅黑" w:eastAsia="微软雅黑" w:cs="微软雅黑"/>
          <w:b/>
          <w:highlight w:val="none"/>
        </w:rPr>
        <w:t>3.1甲方权利与义务</w:t>
      </w:r>
    </w:p>
    <w:p w14:paraId="5A7937E7">
      <w:pPr>
        <w:keepNext w:val="0"/>
        <w:keepLines w:val="0"/>
        <w:pageBreakBefore w:val="0"/>
        <w:kinsoku/>
        <w:wordWrap/>
        <w:overflowPunct/>
        <w:topLinePunct w:val="0"/>
        <w:autoSpaceDE/>
        <w:autoSpaceDN/>
        <w:bidi w:val="0"/>
        <w:spacing w:beforeAutospacing="0" w:after="0" w:afterAutospacing="0" w:line="240" w:lineRule="auto"/>
        <w:ind w:left="723" w:hanging="630" w:hangingChars="300"/>
        <w:textAlignment w:val="auto"/>
        <w:rPr>
          <w:rFonts w:hint="eastAsia" w:ascii="微软雅黑" w:hAnsi="微软雅黑" w:eastAsia="微软雅黑" w:cs="微软雅黑"/>
          <w:highlight w:val="none"/>
        </w:rPr>
      </w:pPr>
      <w:r>
        <w:rPr>
          <w:rFonts w:hint="eastAsia" w:ascii="微软雅黑" w:hAnsi="微软雅黑" w:eastAsia="微软雅黑" w:cs="微软雅黑"/>
          <w:b/>
          <w:highlight w:val="none"/>
        </w:rPr>
        <w:t>3.1.1</w:t>
      </w:r>
      <w:r>
        <w:rPr>
          <w:rFonts w:hint="eastAsia" w:ascii="微软雅黑" w:hAnsi="微软雅黑" w:eastAsia="微软雅黑" w:cs="微软雅黑"/>
          <w:highlight w:val="none"/>
        </w:rPr>
        <w:t>甲方有权在签订本合同前对乙方进行相关的资格审查，乙方应提供必要配合。</w:t>
      </w:r>
    </w:p>
    <w:p w14:paraId="4F967BB5">
      <w:pPr>
        <w:keepNext w:val="0"/>
        <w:keepLines w:val="0"/>
        <w:pageBreakBefore w:val="0"/>
        <w:kinsoku/>
        <w:wordWrap/>
        <w:overflowPunct/>
        <w:topLinePunct w:val="0"/>
        <w:autoSpaceDE/>
        <w:autoSpaceDN/>
        <w:bidi w:val="0"/>
        <w:spacing w:beforeAutospacing="0" w:after="0" w:afterAutospacing="0" w:line="240" w:lineRule="auto"/>
        <w:ind w:left="723" w:hanging="630" w:hangingChars="300"/>
        <w:jc w:val="left"/>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b/>
          <w:highlight w:val="none"/>
        </w:rPr>
        <w:t>3.1.2</w:t>
      </w:r>
      <w:r>
        <w:rPr>
          <w:rFonts w:hint="eastAsia" w:ascii="微软雅黑" w:hAnsi="微软雅黑" w:eastAsia="微软雅黑" w:cs="微软雅黑"/>
          <w:highlight w:val="none"/>
        </w:rPr>
        <w:t>甲方应及时向乙方提供广告发布信息，以保证宣传工作的开展。甲方提供的资料及相关信息须真实合法,</w:t>
      </w:r>
      <w:r>
        <w:rPr>
          <w:rFonts w:hint="eastAsia" w:ascii="微软雅黑" w:hAnsi="微软雅黑" w:eastAsia="微软雅黑" w:cs="微软雅黑"/>
          <w:color w:val="000000" w:themeColor="text1"/>
          <w:highlight w:val="none"/>
          <w14:textFill>
            <w14:solidFill>
              <w14:schemeClr w14:val="tx1"/>
            </w14:solidFill>
          </w14:textFill>
        </w:rPr>
        <w:t>不得故意提供虚假或者引人误解的资料。</w:t>
      </w:r>
    </w:p>
    <w:p w14:paraId="4A5CB730">
      <w:pPr>
        <w:keepNext w:val="0"/>
        <w:keepLines w:val="0"/>
        <w:pageBreakBefore w:val="0"/>
        <w:kinsoku/>
        <w:wordWrap/>
        <w:overflowPunct/>
        <w:topLinePunct w:val="0"/>
        <w:autoSpaceDE/>
        <w:autoSpaceDN/>
        <w:bidi w:val="0"/>
        <w:spacing w:beforeAutospacing="0" w:after="0" w:afterAutospacing="0" w:line="240" w:lineRule="auto"/>
        <w:ind w:left="723" w:hanging="630" w:hangingChars="300"/>
        <w:jc w:val="left"/>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b/>
          <w:highlight w:val="none"/>
        </w:rPr>
        <w:t>3.1.3</w:t>
      </w:r>
      <w:r>
        <w:rPr>
          <w:rFonts w:hint="eastAsia" w:ascii="微软雅黑" w:hAnsi="微软雅黑" w:eastAsia="微软雅黑" w:cs="微软雅黑"/>
          <w:highlight w:val="none"/>
        </w:rPr>
        <w:t>甲方要求发布的广告应合法合规，依法应向行政主管部门报批报备的，</w:t>
      </w:r>
      <w:bookmarkStart w:id="42" w:name="auto_fouce_13"/>
      <w:r>
        <w:rPr>
          <w:rFonts w:hint="eastAsia" w:ascii="微软雅黑" w:hAnsi="微软雅黑" w:eastAsia="微软雅黑" w:cs="微软雅黑"/>
          <w:highlight w:val="none"/>
        </w:rPr>
        <w:t>由乙方负责进行报批</w:t>
      </w:r>
      <w:r>
        <w:rPr>
          <w:rFonts w:hint="eastAsia" w:ascii="微软雅黑" w:hAnsi="微软雅黑" w:eastAsia="微软雅黑" w:cs="微软雅黑"/>
          <w:color w:val="000000" w:themeColor="text1"/>
          <w:highlight w:val="none"/>
          <w:lang w:eastAsia="zh-CN"/>
          <w14:textFill>
            <w14:solidFill>
              <w14:schemeClr w14:val="tx1"/>
            </w14:solidFill>
          </w14:textFill>
        </w:rPr>
        <w:t>并承担全部申报费用，</w:t>
      </w:r>
      <w:r>
        <w:rPr>
          <w:rFonts w:hint="eastAsia" w:ascii="微软雅黑" w:hAnsi="微软雅黑" w:eastAsia="微软雅黑" w:cs="微软雅黑"/>
          <w:color w:val="000000" w:themeColor="text1"/>
          <w:highlight w:val="none"/>
          <w14:textFill>
            <w14:solidFill>
              <w14:schemeClr w14:val="tx1"/>
            </w14:solidFill>
          </w14:textFill>
        </w:rPr>
        <w:t>甲方配合提供相关审批文件。</w:t>
      </w:r>
      <w:bookmarkEnd w:id="42"/>
    </w:p>
    <w:p w14:paraId="210F6CFA">
      <w:pPr>
        <w:keepNext w:val="0"/>
        <w:keepLines w:val="0"/>
        <w:pageBreakBefore w:val="0"/>
        <w:tabs>
          <w:tab w:val="left" w:pos="1020"/>
        </w:tabs>
        <w:kinsoku/>
        <w:wordWrap/>
        <w:overflowPunct/>
        <w:topLinePunct w:val="0"/>
        <w:autoSpaceDE/>
        <w:autoSpaceDN/>
        <w:bidi w:val="0"/>
        <w:spacing w:beforeAutospacing="0" w:after="0" w:afterAutospacing="0" w:line="240" w:lineRule="auto"/>
        <w:ind w:left="723" w:hanging="630" w:hangingChars="300"/>
        <w:textAlignment w:val="auto"/>
        <w:rPr>
          <w:rFonts w:hint="eastAsia" w:ascii="微软雅黑" w:hAnsi="微软雅黑" w:eastAsia="微软雅黑" w:cs="微软雅黑"/>
          <w:highlight w:val="none"/>
        </w:rPr>
      </w:pPr>
      <w:r>
        <w:rPr>
          <w:rFonts w:hint="eastAsia" w:ascii="微软雅黑" w:hAnsi="微软雅黑" w:eastAsia="微软雅黑" w:cs="微软雅黑"/>
          <w:b/>
          <w:highlight w:val="none"/>
        </w:rPr>
        <w:t>3.1.4</w:t>
      </w:r>
      <w:r>
        <w:rPr>
          <w:rFonts w:hint="eastAsia" w:ascii="微软雅黑" w:hAnsi="微软雅黑" w:eastAsia="微软雅黑" w:cs="微软雅黑"/>
          <w:highlight w:val="none"/>
        </w:rPr>
        <w:t>甲方按照合同约定的金额、时间、方式支付合同价款。</w:t>
      </w:r>
    </w:p>
    <w:p w14:paraId="7A17D641">
      <w:pPr>
        <w:keepNext w:val="0"/>
        <w:keepLines w:val="0"/>
        <w:pageBreakBefore w:val="0"/>
        <w:tabs>
          <w:tab w:val="left" w:pos="1020"/>
        </w:tabs>
        <w:kinsoku/>
        <w:wordWrap/>
        <w:overflowPunct/>
        <w:topLinePunct w:val="0"/>
        <w:autoSpaceDE/>
        <w:autoSpaceDN/>
        <w:bidi w:val="0"/>
        <w:spacing w:beforeAutospacing="0" w:after="0" w:afterAutospacing="0" w:line="240" w:lineRule="auto"/>
        <w:ind w:left="723" w:hanging="630" w:hangingChars="300"/>
        <w:textAlignment w:val="auto"/>
        <w:rPr>
          <w:rFonts w:hint="eastAsia" w:ascii="微软雅黑" w:hAnsi="微软雅黑" w:eastAsia="微软雅黑" w:cs="微软雅黑"/>
          <w:highlight w:val="none"/>
        </w:rPr>
      </w:pPr>
      <w:r>
        <w:rPr>
          <w:rFonts w:hint="eastAsia" w:ascii="微软雅黑" w:hAnsi="微软雅黑" w:eastAsia="微软雅黑" w:cs="微软雅黑"/>
          <w:b/>
          <w:highlight w:val="none"/>
        </w:rPr>
        <w:t>3.1.5</w:t>
      </w:r>
      <w:r>
        <w:rPr>
          <w:rFonts w:hint="eastAsia" w:ascii="微软雅黑" w:hAnsi="微软雅黑" w:eastAsia="微软雅黑" w:cs="微软雅黑"/>
          <w:highlight w:val="none"/>
        </w:rPr>
        <w:t>甲方应提供必要的支持协助乙方完成广告发布服务，并及时对乙方的广告发布情况进行确认或验收。</w:t>
      </w:r>
    </w:p>
    <w:p w14:paraId="3CE516F5">
      <w:pPr>
        <w:keepNext w:val="0"/>
        <w:keepLines w:val="0"/>
        <w:pageBreakBefore w:val="0"/>
        <w:tabs>
          <w:tab w:val="left" w:pos="1020"/>
        </w:tabs>
        <w:kinsoku/>
        <w:wordWrap/>
        <w:overflowPunct/>
        <w:topLinePunct w:val="0"/>
        <w:autoSpaceDE/>
        <w:autoSpaceDN/>
        <w:bidi w:val="0"/>
        <w:spacing w:beforeAutospacing="0" w:after="0" w:afterAutospacing="0" w:line="240" w:lineRule="auto"/>
        <w:ind w:left="723" w:hanging="630" w:hangingChars="300"/>
        <w:textAlignment w:val="auto"/>
        <w:rPr>
          <w:rFonts w:hint="eastAsia" w:ascii="微软雅黑" w:hAnsi="微软雅黑" w:eastAsia="微软雅黑" w:cs="微软雅黑"/>
          <w:bCs/>
          <w:highlight w:val="none"/>
        </w:rPr>
      </w:pPr>
      <w:r>
        <w:rPr>
          <w:rFonts w:hint="eastAsia" w:ascii="微软雅黑" w:hAnsi="微软雅黑" w:eastAsia="微软雅黑" w:cs="微软雅黑"/>
          <w:b/>
          <w:highlight w:val="none"/>
        </w:rPr>
        <w:t>3.1.6</w:t>
      </w:r>
      <w:r>
        <w:rPr>
          <w:rFonts w:hint="eastAsia" w:ascii="微软雅黑" w:hAnsi="微软雅黑" w:eastAsia="微软雅黑" w:cs="微软雅黑"/>
          <w:bCs/>
          <w:highlight w:val="none"/>
        </w:rPr>
        <w:t>甲方有权针对广告发布情况进行抽查，发现发布有瑕疵的，双方商榷，可将发布期顺延 。</w:t>
      </w:r>
    </w:p>
    <w:p w14:paraId="4949B6BB">
      <w:pPr>
        <w:keepNext w:val="0"/>
        <w:keepLines w:val="0"/>
        <w:pageBreakBefore w:val="0"/>
        <w:tabs>
          <w:tab w:val="left" w:pos="1020"/>
        </w:tabs>
        <w:kinsoku/>
        <w:wordWrap/>
        <w:overflowPunct/>
        <w:topLinePunct w:val="0"/>
        <w:autoSpaceDE/>
        <w:autoSpaceDN/>
        <w:bidi w:val="0"/>
        <w:spacing w:beforeAutospacing="0" w:after="0" w:afterAutospacing="0" w:line="240" w:lineRule="auto"/>
        <w:ind w:left="723" w:hanging="630" w:hangingChars="300"/>
        <w:textAlignment w:val="auto"/>
        <w:rPr>
          <w:rFonts w:hint="eastAsia" w:ascii="微软雅黑" w:hAnsi="微软雅黑" w:eastAsia="微软雅黑" w:cs="微软雅黑"/>
          <w:highlight w:val="none"/>
        </w:rPr>
      </w:pPr>
      <w:r>
        <w:rPr>
          <w:rFonts w:hint="eastAsia" w:ascii="微软雅黑" w:hAnsi="微软雅黑" w:eastAsia="微软雅黑" w:cs="微软雅黑"/>
          <w:b/>
          <w:bCs/>
          <w:color w:val="000000"/>
          <w:highlight w:val="none"/>
        </w:rPr>
        <w:t>3.1.7</w:t>
      </w:r>
      <w:r>
        <w:rPr>
          <w:rFonts w:hint="eastAsia" w:ascii="微软雅黑" w:hAnsi="微软雅黑" w:eastAsia="微软雅黑" w:cs="微软雅黑"/>
          <w:color w:val="000000"/>
          <w:highlight w:val="none"/>
        </w:rPr>
        <w:t xml:space="preserve"> 甲方有权委托第三方机构对广告发布效果进行审计，乙方应提供全部后台数据配合。</w:t>
      </w:r>
    </w:p>
    <w:p w14:paraId="65B28275">
      <w:pPr>
        <w:keepNext w:val="0"/>
        <w:keepLines w:val="0"/>
        <w:pageBreakBefore w:val="0"/>
        <w:tabs>
          <w:tab w:val="left" w:pos="2565"/>
        </w:tabs>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b/>
          <w:highlight w:val="none"/>
        </w:rPr>
      </w:pPr>
      <w:r>
        <w:rPr>
          <w:rFonts w:hint="eastAsia" w:ascii="微软雅黑" w:hAnsi="微软雅黑" w:eastAsia="微软雅黑" w:cs="微软雅黑"/>
          <w:b/>
          <w:highlight w:val="none"/>
        </w:rPr>
        <w:t>3.2乙方权利与义务</w:t>
      </w:r>
    </w:p>
    <w:p w14:paraId="5E0996ED">
      <w:pPr>
        <w:keepNext w:val="0"/>
        <w:keepLines w:val="0"/>
        <w:pageBreakBefore w:val="0"/>
        <w:tabs>
          <w:tab w:val="left" w:pos="1020"/>
        </w:tabs>
        <w:kinsoku/>
        <w:wordWrap/>
        <w:overflowPunct/>
        <w:topLinePunct w:val="0"/>
        <w:autoSpaceDE/>
        <w:autoSpaceDN/>
        <w:bidi w:val="0"/>
        <w:spacing w:beforeAutospacing="0" w:after="0" w:afterAutospacing="0" w:line="240" w:lineRule="auto"/>
        <w:ind w:left="723" w:hanging="630" w:hangingChars="300"/>
        <w:textAlignment w:val="auto"/>
        <w:rPr>
          <w:rFonts w:hint="eastAsia" w:ascii="微软雅黑" w:hAnsi="微软雅黑" w:eastAsia="微软雅黑" w:cs="微软雅黑"/>
          <w:highlight w:val="none"/>
        </w:rPr>
      </w:pPr>
      <w:r>
        <w:rPr>
          <w:rFonts w:hint="eastAsia" w:ascii="微软雅黑" w:hAnsi="微软雅黑" w:eastAsia="微软雅黑" w:cs="微软雅黑"/>
          <w:b/>
          <w:bCs/>
          <w:highlight w:val="none"/>
        </w:rPr>
        <w:t xml:space="preserve">3.2.1 </w:t>
      </w:r>
      <w:r>
        <w:rPr>
          <w:rFonts w:hint="eastAsia" w:ascii="微软雅黑" w:hAnsi="微软雅黑" w:eastAsia="微软雅黑" w:cs="微软雅黑"/>
          <w:highlight w:val="none"/>
        </w:rPr>
        <w:t>乙方给予甲方网络广告资源的配送，配送广告的执行同样遵守本合同。</w:t>
      </w:r>
    </w:p>
    <w:p w14:paraId="536AE2C7">
      <w:pPr>
        <w:keepNext w:val="0"/>
        <w:keepLines w:val="0"/>
        <w:pageBreakBefore w:val="0"/>
        <w:tabs>
          <w:tab w:val="left" w:pos="1020"/>
        </w:tabs>
        <w:kinsoku/>
        <w:wordWrap/>
        <w:overflowPunct/>
        <w:topLinePunct w:val="0"/>
        <w:autoSpaceDE/>
        <w:autoSpaceDN/>
        <w:bidi w:val="0"/>
        <w:spacing w:beforeAutospacing="0" w:after="0" w:afterAutospacing="0" w:line="240" w:lineRule="auto"/>
        <w:ind w:left="723" w:hanging="630" w:hangingChars="300"/>
        <w:textAlignment w:val="auto"/>
        <w:rPr>
          <w:rFonts w:hint="eastAsia" w:ascii="微软雅黑" w:hAnsi="微软雅黑" w:eastAsia="微软雅黑" w:cs="微软雅黑"/>
          <w:highlight w:val="none"/>
        </w:rPr>
      </w:pPr>
      <w:r>
        <w:rPr>
          <w:rFonts w:hint="eastAsia" w:ascii="微软雅黑" w:hAnsi="微软雅黑" w:eastAsia="微软雅黑" w:cs="微软雅黑"/>
          <w:b/>
          <w:bCs/>
          <w:highlight w:val="none"/>
        </w:rPr>
        <w:t xml:space="preserve">3.2.2 </w:t>
      </w:r>
      <w:r>
        <w:rPr>
          <w:rFonts w:hint="eastAsia" w:ascii="微软雅黑" w:hAnsi="微软雅黑" w:eastAsia="微软雅黑" w:cs="微软雅黑"/>
          <w:highlight w:val="none"/>
        </w:rPr>
        <w:t>合同有效期内，广告价格、配送等的调整均需经甲乙双方协商一致。</w:t>
      </w:r>
    </w:p>
    <w:p w14:paraId="352D342D">
      <w:pPr>
        <w:keepNext w:val="0"/>
        <w:keepLines w:val="0"/>
        <w:pageBreakBefore w:val="0"/>
        <w:tabs>
          <w:tab w:val="left" w:pos="1020"/>
        </w:tabs>
        <w:kinsoku/>
        <w:wordWrap/>
        <w:overflowPunct/>
        <w:topLinePunct w:val="0"/>
        <w:autoSpaceDE/>
        <w:autoSpaceDN/>
        <w:bidi w:val="0"/>
        <w:spacing w:beforeAutospacing="0" w:after="0" w:afterAutospacing="0" w:line="240" w:lineRule="auto"/>
        <w:ind w:left="723" w:hanging="630" w:hangingChars="300"/>
        <w:textAlignment w:val="auto"/>
        <w:rPr>
          <w:rFonts w:hint="eastAsia" w:ascii="微软雅黑" w:hAnsi="微软雅黑" w:eastAsia="微软雅黑" w:cs="微软雅黑"/>
          <w:highlight w:val="none"/>
        </w:rPr>
      </w:pPr>
      <w:bookmarkStart w:id="43" w:name="auto_fouce_16"/>
      <w:r>
        <w:rPr>
          <w:rFonts w:hint="eastAsia" w:ascii="微软雅黑" w:hAnsi="微软雅黑" w:eastAsia="微软雅黑" w:cs="微软雅黑"/>
          <w:b/>
          <w:bCs/>
          <w:highlight w:val="none"/>
        </w:rPr>
        <w:t xml:space="preserve">3.2.3 </w:t>
      </w:r>
      <w:r>
        <w:rPr>
          <w:rFonts w:hint="eastAsia" w:ascii="微软雅黑" w:hAnsi="微软雅黑" w:eastAsia="微软雅黑" w:cs="微软雅黑"/>
          <w:highlight w:val="none"/>
        </w:rPr>
        <w:t>乙方应具有本合同所涉及媒体的合法广告发布权或广告发布代理权</w:t>
      </w:r>
      <w:r>
        <w:rPr>
          <w:rFonts w:hint="eastAsia" w:ascii="微软雅黑" w:hAnsi="微软雅黑" w:eastAsia="微软雅黑" w:cs="微软雅黑"/>
          <w:color w:val="FF0000"/>
          <w:highlight w:val="none"/>
          <w:lang w:eastAsia="zh-CN"/>
        </w:rPr>
        <w:t>，</w:t>
      </w:r>
      <w:bookmarkEnd w:id="43"/>
      <w:r>
        <w:rPr>
          <w:rFonts w:hint="eastAsia" w:ascii="微软雅黑" w:hAnsi="微软雅黑" w:eastAsia="微软雅黑" w:cs="微软雅黑"/>
          <w:color w:val="000000" w:themeColor="text1"/>
          <w:highlight w:val="none"/>
          <w:lang w:eastAsia="zh-CN"/>
          <w14:textFill>
            <w14:solidFill>
              <w14:schemeClr w14:val="tx1"/>
            </w14:solidFill>
          </w14:textFill>
        </w:rPr>
        <w:t>并应向甲方提供相关资质证明</w:t>
      </w:r>
      <w:r>
        <w:rPr>
          <w:rFonts w:hint="eastAsia" w:ascii="微软雅黑" w:hAnsi="微软雅黑" w:eastAsia="微软雅黑" w:cs="微软雅黑"/>
          <w:color w:val="000000" w:themeColor="text1"/>
          <w:highlight w:val="none"/>
          <w14:textFill>
            <w14:solidFill>
              <w14:schemeClr w14:val="tx1"/>
            </w14:solidFill>
          </w14:textFill>
        </w:rPr>
        <w:t>。</w:t>
      </w:r>
      <w:r>
        <w:rPr>
          <w:rFonts w:hint="eastAsia" w:ascii="微软雅黑" w:hAnsi="微软雅黑" w:eastAsia="微软雅黑" w:cs="微软雅黑"/>
          <w:color w:val="000000" w:themeColor="text1"/>
          <w:highlight w:val="none"/>
          <w:lang w:eastAsia="zh-CN"/>
          <w14:textFill>
            <w14:solidFill>
              <w14:schemeClr w14:val="tx1"/>
            </w14:solidFill>
          </w14:textFill>
        </w:rPr>
        <w:t>若因乙方资质问题导致无法发布，乙方应承担全部责任并赔偿甲方合同价款30%的违约金，违约金不足以弥补甲方损失的，甲方有权继续向乙方追偿。</w:t>
      </w:r>
    </w:p>
    <w:p w14:paraId="4C3EC897">
      <w:pPr>
        <w:keepNext w:val="0"/>
        <w:keepLines w:val="0"/>
        <w:pageBreakBefore w:val="0"/>
        <w:tabs>
          <w:tab w:val="left" w:pos="1020"/>
        </w:tabs>
        <w:kinsoku/>
        <w:wordWrap/>
        <w:overflowPunct/>
        <w:topLinePunct w:val="0"/>
        <w:autoSpaceDE/>
        <w:autoSpaceDN/>
        <w:bidi w:val="0"/>
        <w:spacing w:beforeAutospacing="0" w:after="0" w:afterAutospacing="0" w:line="240" w:lineRule="auto"/>
        <w:ind w:left="723" w:hanging="630" w:hangingChars="300"/>
        <w:textAlignment w:val="auto"/>
        <w:rPr>
          <w:rFonts w:hint="eastAsia" w:ascii="微软雅黑" w:hAnsi="微软雅黑" w:eastAsia="微软雅黑" w:cs="微软雅黑"/>
          <w:color w:val="000000" w:themeColor="text1"/>
          <w:highlight w:val="none"/>
          <w:lang w:eastAsia="zh-CN"/>
          <w14:textFill>
            <w14:solidFill>
              <w14:schemeClr w14:val="tx1"/>
            </w14:solidFill>
          </w14:textFill>
        </w:rPr>
      </w:pPr>
      <w:r>
        <w:rPr>
          <w:rFonts w:hint="eastAsia" w:ascii="微软雅黑" w:hAnsi="微软雅黑" w:eastAsia="微软雅黑" w:cs="微软雅黑"/>
          <w:b/>
          <w:bCs/>
          <w:highlight w:val="none"/>
        </w:rPr>
        <w:t xml:space="preserve">3.2.4 </w:t>
      </w:r>
      <w:r>
        <w:rPr>
          <w:rFonts w:hint="eastAsia" w:ascii="微软雅黑" w:hAnsi="微软雅黑" w:eastAsia="微软雅黑" w:cs="微软雅黑"/>
          <w:highlight w:val="none"/>
        </w:rPr>
        <w:t>乙方应切实履行广告申报审批备案工作，如因乙方原因未完成申报，或提供虚假批文而导致广告不能发布或发布后被撤换，乙方应承担全部责任并</w:t>
      </w:r>
    </w:p>
    <w:p w14:paraId="7F6D0D37">
      <w:pPr>
        <w:keepNext w:val="0"/>
        <w:keepLines w:val="0"/>
        <w:pageBreakBefore w:val="0"/>
        <w:tabs>
          <w:tab w:val="left" w:pos="1020"/>
        </w:tabs>
        <w:kinsoku/>
        <w:wordWrap/>
        <w:overflowPunct/>
        <w:topLinePunct w:val="0"/>
        <w:autoSpaceDE/>
        <w:autoSpaceDN/>
        <w:bidi w:val="0"/>
        <w:spacing w:beforeAutospacing="0" w:after="0" w:afterAutospacing="0" w:line="240" w:lineRule="auto"/>
        <w:ind w:left="630" w:leftChars="300"/>
        <w:textAlignment w:val="auto"/>
        <w:rPr>
          <w:rFonts w:hint="eastAsia" w:ascii="微软雅黑" w:hAnsi="微软雅黑" w:eastAsia="微软雅黑" w:cs="微软雅黑"/>
          <w:highlight w:val="none"/>
        </w:rPr>
      </w:pPr>
      <w:r>
        <w:rPr>
          <w:rFonts w:hint="eastAsia" w:ascii="微软雅黑" w:hAnsi="微软雅黑" w:eastAsia="微软雅黑" w:cs="微软雅黑"/>
          <w:color w:val="000000" w:themeColor="text1"/>
          <w:highlight w:val="none"/>
          <w:lang w:eastAsia="zh-CN"/>
          <w14:textFill>
            <w14:solidFill>
              <w14:schemeClr w14:val="tx1"/>
            </w14:solidFill>
          </w14:textFill>
        </w:rPr>
        <w:t>赔偿甲方合同价款30%的违约金，违约金不足以弥补甲方损失的，甲方有权继续向乙方追偿。</w:t>
      </w:r>
    </w:p>
    <w:p w14:paraId="6CAF849F">
      <w:pPr>
        <w:keepNext w:val="0"/>
        <w:keepLines w:val="0"/>
        <w:pageBreakBefore w:val="0"/>
        <w:tabs>
          <w:tab w:val="left" w:pos="1020"/>
        </w:tabs>
        <w:kinsoku/>
        <w:wordWrap/>
        <w:overflowPunct/>
        <w:topLinePunct w:val="0"/>
        <w:autoSpaceDE/>
        <w:autoSpaceDN/>
        <w:bidi w:val="0"/>
        <w:spacing w:beforeAutospacing="0" w:after="0" w:afterAutospacing="0" w:line="240" w:lineRule="auto"/>
        <w:ind w:left="723" w:hanging="630" w:hangingChars="300"/>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b/>
          <w:bCs/>
          <w:highlight w:val="none"/>
        </w:rPr>
        <w:t xml:space="preserve">3.2.5 </w:t>
      </w:r>
      <w:r>
        <w:rPr>
          <w:rFonts w:hint="eastAsia" w:ascii="微软雅黑" w:hAnsi="微软雅黑" w:eastAsia="微软雅黑" w:cs="微软雅黑"/>
          <w:highlight w:val="none"/>
        </w:rPr>
        <w:t>乙方具有对广告的实质性审查义务，并向甲方承担质量瑕疵担保责任。</w:t>
      </w:r>
      <w:r>
        <w:rPr>
          <w:rFonts w:hint="eastAsia" w:ascii="微软雅黑" w:hAnsi="微软雅黑" w:eastAsia="微软雅黑" w:cs="微软雅黑"/>
          <w:color w:val="000000" w:themeColor="text1"/>
          <w:highlight w:val="none"/>
          <w:lang w:eastAsia="zh-CN"/>
          <w14:textFill>
            <w14:solidFill>
              <w14:schemeClr w14:val="tx1"/>
            </w14:solidFill>
          </w14:textFill>
        </w:rPr>
        <w:t xml:space="preserve">乙方承诺其审查标准不得低于市级市场监督管理部门广告审查标准，并应建立双人复核机制。 </w:t>
      </w:r>
      <w:r>
        <w:rPr>
          <w:rFonts w:hint="eastAsia" w:ascii="微软雅黑" w:hAnsi="微软雅黑" w:eastAsia="微软雅黑" w:cs="微软雅黑"/>
          <w:color w:val="000000" w:themeColor="text1"/>
          <w:highlight w:val="none"/>
          <w14:textFill>
            <w14:solidFill>
              <w14:schemeClr w14:val="tx1"/>
            </w14:solidFill>
          </w14:textFill>
        </w:rPr>
        <w:t>实质性审查义务的内涵主要包括：</w:t>
      </w:r>
    </w:p>
    <w:p w14:paraId="247FA739">
      <w:pPr>
        <w:keepNext w:val="0"/>
        <w:keepLines w:val="0"/>
        <w:pageBreakBefore w:val="0"/>
        <w:tabs>
          <w:tab w:val="left" w:pos="1020"/>
        </w:tabs>
        <w:kinsoku/>
        <w:wordWrap/>
        <w:overflowPunct/>
        <w:topLinePunct w:val="0"/>
        <w:autoSpaceDE/>
        <w:autoSpaceDN/>
        <w:bidi w:val="0"/>
        <w:spacing w:beforeAutospacing="0" w:after="0" w:afterAutospacing="0" w:line="240" w:lineRule="auto"/>
        <w:ind w:left="630" w:leftChars="300" w:firstLine="10" w:firstLineChars="0"/>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color w:val="000000" w:themeColor="text1"/>
          <w:highlight w:val="none"/>
          <w14:textFill>
            <w14:solidFill>
              <w14:schemeClr w14:val="tx1"/>
            </w14:solidFill>
          </w14:textFill>
        </w:rPr>
        <w:t>乙方发布广告应以不违反相关广告法律法规为前提，其次方为满足甲方的具体要求；</w:t>
      </w:r>
    </w:p>
    <w:p w14:paraId="503EF911">
      <w:pPr>
        <w:keepNext w:val="0"/>
        <w:keepLines w:val="0"/>
        <w:pageBreakBefore w:val="0"/>
        <w:tabs>
          <w:tab w:val="left" w:pos="1020"/>
        </w:tabs>
        <w:kinsoku/>
        <w:wordWrap/>
        <w:overflowPunct/>
        <w:topLinePunct w:val="0"/>
        <w:autoSpaceDE/>
        <w:autoSpaceDN/>
        <w:bidi w:val="0"/>
        <w:spacing w:beforeAutospacing="0" w:after="0" w:afterAutospacing="0" w:line="240" w:lineRule="auto"/>
        <w:ind w:left="630" w:leftChars="300" w:firstLine="10" w:firstLineChars="0"/>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color w:val="000000" w:themeColor="text1"/>
          <w:highlight w:val="none"/>
          <w14:textFill>
            <w14:solidFill>
              <w14:schemeClr w14:val="tx1"/>
            </w14:solidFill>
          </w14:textFill>
        </w:rPr>
        <w:t>乙方对广告的内容及形式应进行实质性审查，并确保广告本身的合法合规性；</w:t>
      </w:r>
    </w:p>
    <w:p w14:paraId="1AE5E655">
      <w:pPr>
        <w:keepNext w:val="0"/>
        <w:keepLines w:val="0"/>
        <w:pageBreakBefore w:val="0"/>
        <w:tabs>
          <w:tab w:val="left" w:pos="1020"/>
        </w:tabs>
        <w:kinsoku/>
        <w:wordWrap/>
        <w:overflowPunct/>
        <w:topLinePunct w:val="0"/>
        <w:autoSpaceDE/>
        <w:autoSpaceDN/>
        <w:bidi w:val="0"/>
        <w:spacing w:beforeAutospacing="0" w:after="0" w:afterAutospacing="0" w:line="240" w:lineRule="auto"/>
        <w:ind w:left="630" w:leftChars="300" w:firstLine="10" w:firstLineChars="0"/>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color w:val="000000" w:themeColor="text1"/>
          <w:highlight w:val="none"/>
          <w14:textFill>
            <w14:solidFill>
              <w14:schemeClr w14:val="tx1"/>
            </w14:solidFill>
          </w14:textFill>
        </w:rPr>
        <w:t>乙方应保证广告发布行为符合《广告法》等法律法规的具体要求。</w:t>
      </w:r>
    </w:p>
    <w:p w14:paraId="00C2069A">
      <w:pPr>
        <w:keepNext w:val="0"/>
        <w:keepLines w:val="0"/>
        <w:pageBreakBefore w:val="0"/>
        <w:tabs>
          <w:tab w:val="left" w:pos="1020"/>
        </w:tabs>
        <w:kinsoku/>
        <w:wordWrap/>
        <w:overflowPunct/>
        <w:topLinePunct w:val="0"/>
        <w:autoSpaceDE/>
        <w:autoSpaceDN/>
        <w:bidi w:val="0"/>
        <w:spacing w:beforeAutospacing="0" w:after="0" w:afterAutospacing="0" w:line="240" w:lineRule="auto"/>
        <w:ind w:left="630" w:leftChars="300" w:firstLine="10" w:firstLineChars="0"/>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color w:val="000000" w:themeColor="text1"/>
          <w:highlight w:val="none"/>
          <w14:textFill>
            <w14:solidFill>
              <w14:schemeClr w14:val="tx1"/>
            </w14:solidFill>
          </w14:textFill>
        </w:rPr>
        <w:t>乙方审查过程中发现广告存在上述风险，可能导致政府主管机关的行政处罚或批评等不利法律后果的，应书面告知甲方进行修订调整，且应立即暂停发布流程，甲方应予以配合。如甲方不按照乙方要求调整广告内容，乙方应以书面形式拒绝甲方发布要求并提供相关证明，履行上述义务后乙方无需承担违约责任，但不涉及上述情形的其他广告应按照合同约定及时发布。</w:t>
      </w:r>
    </w:p>
    <w:p w14:paraId="2E83EC82">
      <w:pPr>
        <w:keepNext w:val="0"/>
        <w:keepLines w:val="0"/>
        <w:pageBreakBefore w:val="0"/>
        <w:tabs>
          <w:tab w:val="left" w:pos="1020"/>
        </w:tabs>
        <w:kinsoku/>
        <w:wordWrap/>
        <w:overflowPunct/>
        <w:topLinePunct w:val="0"/>
        <w:autoSpaceDE/>
        <w:autoSpaceDN/>
        <w:bidi w:val="0"/>
        <w:spacing w:beforeAutospacing="0" w:after="0" w:afterAutospacing="0" w:line="240" w:lineRule="auto"/>
        <w:ind w:left="630" w:leftChars="300" w:firstLine="10" w:firstLineChars="0"/>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color w:val="000000" w:themeColor="text1"/>
          <w:highlight w:val="none"/>
          <w14:textFill>
            <w14:solidFill>
              <w14:schemeClr w14:val="tx1"/>
            </w14:solidFill>
          </w14:textFill>
        </w:rPr>
        <w:t>乙方发布广告之行为即视作乙方完成广告的实质性审查，并保证广告的内容、形式、发布主体、发布行为等不存在会被相关行政主管机关予以处罚的风险。本合同履行期间及本合同履行结束后，因广告内容或发布行为不具有合规性或不符合广告行政主管部门要求而受到行政处罚时，乙方应无条件按照行政处罚机关决定处罚金额两倍向甲方承担违约责任，如甲方仍有其他损失未受偿付的，乙方还应按照甲方实际损失承担赔偿责任。</w:t>
      </w:r>
    </w:p>
    <w:p w14:paraId="1614F14D">
      <w:pPr>
        <w:keepNext w:val="0"/>
        <w:keepLines w:val="0"/>
        <w:pageBreakBefore w:val="0"/>
        <w:tabs>
          <w:tab w:val="left" w:pos="1020"/>
        </w:tabs>
        <w:kinsoku/>
        <w:wordWrap/>
        <w:overflowPunct/>
        <w:topLinePunct w:val="0"/>
        <w:autoSpaceDE/>
        <w:autoSpaceDN/>
        <w:bidi w:val="0"/>
        <w:spacing w:beforeAutospacing="0" w:after="0" w:afterAutospacing="0" w:line="240" w:lineRule="auto"/>
        <w:ind w:left="630" w:leftChars="300" w:firstLine="10" w:firstLineChars="0"/>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color w:val="000000" w:themeColor="text1"/>
          <w:highlight w:val="none"/>
          <w14:textFill>
            <w14:solidFill>
              <w14:schemeClr w14:val="tx1"/>
            </w14:solidFill>
          </w14:textFill>
        </w:rPr>
        <w:t>本合同履行期间，甲方对广告内容及乙方发布行为的确认或同意，不视为对乙方实质性审查义务、质量瑕疵担保责任的任何减轻及豁免。</w:t>
      </w:r>
    </w:p>
    <w:p w14:paraId="7EB26085">
      <w:pPr>
        <w:keepNext w:val="0"/>
        <w:keepLines w:val="0"/>
        <w:pageBreakBefore w:val="0"/>
        <w:tabs>
          <w:tab w:val="left" w:pos="1020"/>
        </w:tabs>
        <w:kinsoku/>
        <w:wordWrap/>
        <w:overflowPunct/>
        <w:topLinePunct w:val="0"/>
        <w:autoSpaceDE/>
        <w:autoSpaceDN/>
        <w:bidi w:val="0"/>
        <w:spacing w:beforeAutospacing="0" w:after="0" w:afterAutospacing="0" w:line="240" w:lineRule="auto"/>
        <w:ind w:left="723" w:hanging="630" w:hangingChars="300"/>
        <w:textAlignment w:val="auto"/>
        <w:rPr>
          <w:rFonts w:hint="eastAsia" w:ascii="微软雅黑" w:hAnsi="微软雅黑" w:eastAsia="微软雅黑" w:cs="微软雅黑"/>
          <w:highlight w:val="none"/>
        </w:rPr>
      </w:pPr>
      <w:r>
        <w:rPr>
          <w:rFonts w:hint="eastAsia" w:ascii="微软雅黑" w:hAnsi="微软雅黑" w:eastAsia="微软雅黑" w:cs="微软雅黑"/>
          <w:b/>
          <w:bCs/>
          <w:highlight w:val="none"/>
        </w:rPr>
        <w:t xml:space="preserve">3.2.6 </w:t>
      </w:r>
      <w:r>
        <w:rPr>
          <w:rFonts w:hint="eastAsia" w:ascii="微软雅黑" w:hAnsi="微软雅黑" w:eastAsia="微软雅黑" w:cs="微软雅黑"/>
          <w:highlight w:val="none"/>
        </w:rPr>
        <w:t>乙方根据当月《广告发布排期单》完成所有广告的上刊后十个工作日内提交上刊广告的截屏及服务报告供甲方验收，甲方应在15日内确认或提出异议。</w:t>
      </w:r>
      <w:r>
        <w:rPr>
          <w:rFonts w:hint="eastAsia" w:ascii="微软雅黑" w:hAnsi="微软雅黑" w:eastAsia="微软雅黑" w:cs="微软雅黑"/>
          <w:color w:val="000000" w:themeColor="text1"/>
          <w:highlight w:val="none"/>
          <w:lang w:eastAsia="zh-CN"/>
          <w14:textFill>
            <w14:solidFill>
              <w14:schemeClr w14:val="tx1"/>
            </w14:solidFill>
          </w14:textFill>
        </w:rPr>
        <w:t>甲方提出异议后，乙方应在48小时内完成整改并重新提交验收，每延迟1小时按合同总金额0.1%计付违约金。</w:t>
      </w:r>
    </w:p>
    <w:p w14:paraId="39743AD8">
      <w:pPr>
        <w:keepNext w:val="0"/>
        <w:keepLines w:val="0"/>
        <w:pageBreakBefore w:val="0"/>
        <w:tabs>
          <w:tab w:val="left" w:pos="1020"/>
        </w:tabs>
        <w:kinsoku/>
        <w:wordWrap/>
        <w:overflowPunct/>
        <w:topLinePunct w:val="0"/>
        <w:autoSpaceDE/>
        <w:autoSpaceDN/>
        <w:bidi w:val="0"/>
        <w:spacing w:beforeAutospacing="0" w:after="0" w:afterAutospacing="0" w:line="240" w:lineRule="auto"/>
        <w:ind w:left="723" w:hanging="630" w:hangingChars="300"/>
        <w:textAlignment w:val="auto"/>
        <w:rPr>
          <w:rFonts w:hint="eastAsia" w:ascii="微软雅黑" w:hAnsi="微软雅黑" w:eastAsia="微软雅黑" w:cs="微软雅黑"/>
          <w:highlight w:val="none"/>
        </w:rPr>
      </w:pPr>
      <w:bookmarkStart w:id="44" w:name="auto_fouce_20"/>
      <w:r>
        <w:rPr>
          <w:rFonts w:hint="eastAsia" w:ascii="微软雅黑" w:hAnsi="微软雅黑" w:eastAsia="微软雅黑" w:cs="微软雅黑"/>
          <w:b/>
          <w:bCs/>
          <w:highlight w:val="none"/>
        </w:rPr>
        <w:t xml:space="preserve">3.2.7 </w:t>
      </w:r>
      <w:r>
        <w:rPr>
          <w:rFonts w:hint="eastAsia" w:ascii="微软雅黑" w:hAnsi="微软雅黑" w:eastAsia="微软雅黑" w:cs="微软雅黑"/>
          <w:color w:val="000000" w:themeColor="text1"/>
          <w:highlight w:val="none"/>
          <w14:textFill>
            <w14:solidFill>
              <w14:schemeClr w14:val="tx1"/>
            </w14:solidFill>
          </w14:textFill>
        </w:rPr>
        <w:t>负面舆情预控：乙方需安排专人实时监督并控制网站内出现关于甲方的不利消息，</w:t>
      </w:r>
      <w:bookmarkStart w:id="45" w:name="auto_fouce_21"/>
      <w:r>
        <w:rPr>
          <w:rFonts w:hint="eastAsia" w:ascii="微软雅黑" w:hAnsi="微软雅黑" w:eastAsia="微软雅黑" w:cs="微软雅黑"/>
          <w:color w:val="000000" w:themeColor="text1"/>
          <w:highlight w:val="none"/>
          <w14:textFill>
            <w14:solidFill>
              <w14:schemeClr w14:val="tx1"/>
            </w14:solidFill>
          </w14:textFill>
        </w:rPr>
        <w:t>若有发现应</w:t>
      </w:r>
      <w:r>
        <w:rPr>
          <w:rFonts w:hint="eastAsia" w:ascii="微软雅黑" w:hAnsi="微软雅黑" w:eastAsia="微软雅黑" w:cs="微软雅黑"/>
          <w:color w:val="000000" w:themeColor="text1"/>
          <w:highlight w:val="none"/>
          <w:lang w:eastAsia="zh-CN"/>
          <w14:textFill>
            <w14:solidFill>
              <w14:schemeClr w14:val="tx1"/>
            </w14:solidFill>
          </w14:textFill>
        </w:rPr>
        <w:t>立即采取技术措施屏蔽相关信息，并在发现后1小</w:t>
      </w:r>
      <w:r>
        <w:rPr>
          <w:rFonts w:hint="eastAsia" w:ascii="微软雅黑" w:hAnsi="微软雅黑" w:eastAsia="微软雅黑" w:cs="微软雅黑"/>
          <w:color w:val="000000" w:themeColor="text1"/>
          <w:highlight w:val="none"/>
          <w14:textFill>
            <w14:solidFill>
              <w14:schemeClr w14:val="tx1"/>
            </w14:solidFill>
          </w14:textFill>
        </w:rPr>
        <w:t>时</w:t>
      </w:r>
      <w:r>
        <w:rPr>
          <w:rFonts w:hint="eastAsia" w:ascii="微软雅黑" w:hAnsi="微软雅黑" w:eastAsia="微软雅黑" w:cs="微软雅黑"/>
          <w:color w:val="000000" w:themeColor="text1"/>
          <w:highlight w:val="none"/>
          <w:lang w:eastAsia="zh-CN"/>
          <w14:textFill>
            <w14:solidFill>
              <w14:schemeClr w14:val="tx1"/>
            </w14:solidFill>
          </w14:textFill>
        </w:rPr>
        <w:t>内书面</w:t>
      </w:r>
      <w:r>
        <w:rPr>
          <w:rFonts w:hint="eastAsia" w:ascii="微软雅黑" w:hAnsi="微软雅黑" w:eastAsia="微软雅黑" w:cs="微软雅黑"/>
          <w:color w:val="000000" w:themeColor="text1"/>
          <w:highlight w:val="none"/>
          <w14:textFill>
            <w14:solidFill>
              <w14:schemeClr w14:val="tx1"/>
            </w14:solidFill>
          </w14:textFill>
        </w:rPr>
        <w:t>通知甲方</w:t>
      </w:r>
      <w:r>
        <w:rPr>
          <w:rFonts w:hint="eastAsia" w:ascii="微软雅黑" w:hAnsi="微软雅黑" w:eastAsia="微软雅黑" w:cs="微软雅黑"/>
          <w:color w:val="000000" w:themeColor="text1"/>
          <w:highlight w:val="none"/>
          <w:lang w:eastAsia="zh-CN"/>
          <w14:textFill>
            <w14:solidFill>
              <w14:schemeClr w14:val="tx1"/>
            </w14:solidFill>
          </w14:textFill>
        </w:rPr>
        <w:t>。接到甲方指令后，应在1小时内</w:t>
      </w:r>
      <w:r>
        <w:rPr>
          <w:rFonts w:hint="eastAsia" w:ascii="微软雅黑" w:hAnsi="微软雅黑" w:eastAsia="微软雅黑" w:cs="微软雅黑"/>
          <w:color w:val="000000" w:themeColor="text1"/>
          <w:highlight w:val="none"/>
          <w14:textFill>
            <w14:solidFill>
              <w14:schemeClr w14:val="tx1"/>
            </w14:solidFill>
          </w14:textFill>
        </w:rPr>
        <w:t>按甲方处理意见对不利消息进行删除、正面引导或屏蔽</w:t>
      </w:r>
      <w:r>
        <w:rPr>
          <w:rFonts w:hint="eastAsia" w:ascii="微软雅黑" w:hAnsi="微软雅黑" w:eastAsia="微软雅黑" w:cs="微软雅黑"/>
          <w:highlight w:val="none"/>
        </w:rPr>
        <w:t>。</w:t>
      </w:r>
      <w:bookmarkEnd w:id="45"/>
      <w:r>
        <w:rPr>
          <w:rFonts w:hint="eastAsia" w:ascii="微软雅黑" w:hAnsi="微软雅黑" w:eastAsia="微软雅黑" w:cs="微软雅黑"/>
          <w:highlight w:val="none"/>
          <w:lang w:eastAsia="zh-CN"/>
        </w:rPr>
        <w:t>因乙方处置不力导致负面信息扩大、甲方损失的，乙方应承担全部赔偿责任。</w:t>
      </w:r>
    </w:p>
    <w:p w14:paraId="3B024480">
      <w:pPr>
        <w:keepNext w:val="0"/>
        <w:keepLines w:val="0"/>
        <w:pageBreakBefore w:val="0"/>
        <w:tabs>
          <w:tab w:val="left" w:pos="1020"/>
        </w:tabs>
        <w:kinsoku/>
        <w:wordWrap/>
        <w:overflowPunct/>
        <w:topLinePunct w:val="0"/>
        <w:autoSpaceDE/>
        <w:autoSpaceDN/>
        <w:bidi w:val="0"/>
        <w:spacing w:beforeAutospacing="0" w:after="0" w:afterAutospacing="0" w:line="240" w:lineRule="auto"/>
        <w:ind w:left="723" w:hanging="630" w:hangingChars="300"/>
        <w:textAlignment w:val="auto"/>
        <w:rPr>
          <w:rFonts w:hint="eastAsia" w:ascii="微软雅黑" w:hAnsi="微软雅黑" w:eastAsia="微软雅黑" w:cs="微软雅黑"/>
          <w:color w:val="000000" w:themeColor="text1"/>
          <w:highlight w:val="none"/>
          <w:lang w:eastAsia="zh-CN"/>
          <w14:textFill>
            <w14:solidFill>
              <w14:schemeClr w14:val="tx1"/>
            </w14:solidFill>
          </w14:textFill>
        </w:rPr>
      </w:pPr>
      <w:r>
        <w:rPr>
          <w:rFonts w:hint="eastAsia" w:ascii="微软雅黑" w:hAnsi="微软雅黑" w:eastAsia="微软雅黑" w:cs="微软雅黑"/>
          <w:b/>
          <w:bCs/>
          <w:color w:val="000000" w:themeColor="text1"/>
          <w:highlight w:val="none"/>
          <w14:textFill>
            <w14:solidFill>
              <w14:schemeClr w14:val="tx1"/>
            </w14:solidFill>
          </w14:textFill>
        </w:rPr>
        <w:t xml:space="preserve">3.2.8 </w:t>
      </w:r>
      <w:r>
        <w:rPr>
          <w:rFonts w:hint="eastAsia" w:ascii="微软雅黑" w:hAnsi="微软雅黑" w:eastAsia="微软雅黑" w:cs="微软雅黑"/>
          <w:color w:val="000000" w:themeColor="text1"/>
          <w:highlight w:val="none"/>
          <w14:textFill>
            <w14:solidFill>
              <w14:schemeClr w14:val="tx1"/>
            </w14:solidFill>
          </w14:textFill>
        </w:rPr>
        <w:t>乙方应按照甲方的要求</w:t>
      </w:r>
      <w:r>
        <w:rPr>
          <w:rFonts w:hint="eastAsia" w:ascii="微软雅黑" w:hAnsi="微软雅黑" w:eastAsia="微软雅黑" w:cs="微软雅黑"/>
          <w:color w:val="000000" w:themeColor="text1"/>
          <w:highlight w:val="none"/>
          <w:lang w:eastAsia="zh-CN"/>
          <w14:textFill>
            <w14:solidFill>
              <w14:schemeClr w14:val="tx1"/>
            </w14:solidFill>
          </w14:textFill>
        </w:rPr>
        <w:t>在指定时间</w:t>
      </w:r>
      <w:r>
        <w:rPr>
          <w:rFonts w:hint="eastAsia" w:ascii="微软雅黑" w:hAnsi="微软雅黑" w:eastAsia="微软雅黑" w:cs="微软雅黑"/>
          <w:color w:val="000000" w:themeColor="text1"/>
          <w:highlight w:val="none"/>
          <w14:textFill>
            <w14:solidFill>
              <w14:schemeClr w14:val="tx1"/>
            </w14:solidFill>
          </w14:textFill>
        </w:rPr>
        <w:t>提供广告投放效果监测报告，对广告发布效果进行分析评估并提供相关优化建议。</w:t>
      </w:r>
    </w:p>
    <w:p w14:paraId="610AC45B">
      <w:pPr>
        <w:keepNext w:val="0"/>
        <w:keepLines w:val="0"/>
        <w:pageBreakBefore w:val="0"/>
        <w:tabs>
          <w:tab w:val="left" w:pos="1020"/>
        </w:tabs>
        <w:kinsoku/>
        <w:wordWrap/>
        <w:overflowPunct/>
        <w:topLinePunct w:val="0"/>
        <w:autoSpaceDE/>
        <w:autoSpaceDN/>
        <w:bidi w:val="0"/>
        <w:spacing w:beforeAutospacing="0" w:after="0" w:afterAutospacing="0" w:line="240" w:lineRule="auto"/>
        <w:ind w:left="720" w:hanging="630" w:hangingChars="300"/>
        <w:textAlignment w:val="auto"/>
        <w:rPr>
          <w:rFonts w:hint="eastAsia" w:ascii="微软雅黑" w:hAnsi="微软雅黑" w:eastAsia="微软雅黑" w:cs="微软雅黑"/>
          <w:color w:val="000000" w:themeColor="text1"/>
          <w:highlight w:val="none"/>
          <w:lang w:eastAsia="zh-CN"/>
          <w14:textFill>
            <w14:solidFill>
              <w14:schemeClr w14:val="tx1"/>
            </w14:solidFill>
          </w14:textFill>
        </w:rPr>
      </w:pPr>
      <w:r>
        <w:rPr>
          <w:rFonts w:hint="eastAsia" w:ascii="微软雅黑" w:hAnsi="微软雅黑" w:eastAsia="微软雅黑" w:cs="微软雅黑"/>
          <w:b/>
          <w:bCs/>
          <w:color w:val="000000" w:themeColor="text1"/>
          <w:highlight w:val="none"/>
          <w14:textFill>
            <w14:solidFill>
              <w14:schemeClr w14:val="tx1"/>
            </w14:solidFill>
          </w14:textFill>
        </w:rPr>
        <w:t>3.2.9</w:t>
      </w:r>
      <w:r>
        <w:rPr>
          <w:rFonts w:hint="eastAsia" w:ascii="微软雅黑" w:hAnsi="微软雅黑" w:eastAsia="微软雅黑" w:cs="微软雅黑"/>
          <w:color w:val="000000" w:themeColor="text1"/>
          <w:highlight w:val="none"/>
          <w:lang w:eastAsia="zh-CN"/>
          <w14:textFill>
            <w14:solidFill>
              <w14:schemeClr w14:val="tx1"/>
            </w14:solidFill>
          </w14:textFill>
        </w:rPr>
        <w:t xml:space="preserve">乙方应建立7×24小时应急响应机制，在接到甲方修改指令后2小时内完成广告内容调整。 </w:t>
      </w:r>
      <w:bookmarkStart w:id="46" w:name="auto_fouce_23"/>
    </w:p>
    <w:p w14:paraId="58552FA1">
      <w:pPr>
        <w:keepNext w:val="0"/>
        <w:keepLines w:val="0"/>
        <w:pageBreakBefore w:val="0"/>
        <w:tabs>
          <w:tab w:val="left" w:pos="1020"/>
        </w:tabs>
        <w:kinsoku/>
        <w:wordWrap/>
        <w:overflowPunct/>
        <w:topLinePunct w:val="0"/>
        <w:autoSpaceDE/>
        <w:autoSpaceDN/>
        <w:bidi w:val="0"/>
        <w:spacing w:beforeAutospacing="0" w:after="0" w:afterAutospacing="0" w:line="240" w:lineRule="auto"/>
        <w:ind w:left="720" w:hanging="630" w:hangingChars="300"/>
        <w:textAlignment w:val="auto"/>
        <w:rPr>
          <w:rFonts w:hint="eastAsia" w:ascii="微软雅黑" w:hAnsi="微软雅黑" w:eastAsia="微软雅黑" w:cs="微软雅黑"/>
          <w:szCs w:val="24"/>
          <w:highlight w:val="none"/>
        </w:rPr>
      </w:pPr>
      <w:r>
        <w:rPr>
          <w:rFonts w:hint="eastAsia" w:ascii="微软雅黑" w:hAnsi="微软雅黑" w:eastAsia="微软雅黑" w:cs="微软雅黑"/>
          <w:b/>
          <w:bCs/>
          <w:color w:val="000000" w:themeColor="text1"/>
          <w:highlight w:val="none"/>
          <w14:textFill>
            <w14:solidFill>
              <w14:schemeClr w14:val="tx1"/>
            </w14:solidFill>
          </w14:textFill>
        </w:rPr>
        <w:t>3.3</w:t>
      </w:r>
      <w:r>
        <w:rPr>
          <w:rFonts w:hint="eastAsia" w:ascii="微软雅黑" w:hAnsi="微软雅黑" w:eastAsia="微软雅黑" w:cs="微软雅黑"/>
          <w:color w:val="000000" w:themeColor="text1"/>
          <w:highlight w:val="none"/>
          <w:lang w:eastAsia="zh-CN"/>
          <w14:textFill>
            <w14:solidFill>
              <w14:schemeClr w14:val="tx1"/>
            </w14:solidFill>
          </w14:textFill>
        </w:rPr>
        <w:t>广告效果保证：乙方承诺广告投放期间曝光量不低于____次，</w:t>
      </w:r>
      <w:r>
        <w:rPr>
          <w:rFonts w:hint="eastAsia" w:ascii="微软雅黑" w:hAnsi="微软雅黑" w:eastAsia="微软雅黑" w:cs="微软雅黑"/>
          <w:color w:val="000000" w:themeColor="text1"/>
          <w:highlight w:val="none"/>
          <w:lang w:val="en-US" w:eastAsia="zh-CN"/>
          <w14:textFill>
            <w14:solidFill>
              <w14:schemeClr w14:val="tx1"/>
            </w14:solidFill>
          </w14:textFill>
        </w:rPr>
        <w:t>线索获取量</w:t>
      </w:r>
      <w:r>
        <w:rPr>
          <w:rFonts w:hint="eastAsia" w:ascii="微软雅黑" w:hAnsi="微软雅黑" w:eastAsia="微软雅黑" w:cs="微软雅黑"/>
          <w:color w:val="000000" w:themeColor="text1"/>
          <w:highlight w:val="none"/>
          <w:lang w:eastAsia="zh-CN"/>
          <w14:textFill>
            <w14:solidFill>
              <w14:schemeClr w14:val="tx1"/>
            </w14:solidFill>
          </w14:textFill>
        </w:rPr>
        <w:t>不低于____，实际效果未达承诺指标的，应按比例扣减广告费用。</w:t>
      </w:r>
      <w:bookmarkEnd w:id="46"/>
      <w:r>
        <w:rPr>
          <w:rFonts w:hint="eastAsia" w:ascii="微软雅黑" w:hAnsi="微软雅黑" w:eastAsia="微软雅黑" w:cs="微软雅黑"/>
          <w:color w:val="000000" w:themeColor="text1"/>
          <w:highlight w:val="none"/>
          <w:lang w:eastAsia="zh-CN"/>
          <w14:textFill>
            <w14:solidFill>
              <w14:schemeClr w14:val="tx1"/>
            </w14:solidFill>
          </w14:textFill>
        </w:rPr>
        <w:t xml:space="preserve"> 因乙方未履行3.2.7条负面舆情管控义务导致甲方损失的，应按单个舆情事件支付合同总价5%的违约金，累计不超过30%。乙方未按3.2.8条提供效果监测报告的，每延迟一日按合同总金额0.1%支付违约金。甲方有权根据效果要求乙方进行优化调整，乙方应无条件配合。</w:t>
      </w:r>
      <w:bookmarkEnd w:id="44"/>
      <w:r>
        <w:rPr>
          <w:rFonts w:hint="eastAsia" w:ascii="微软雅黑" w:hAnsi="微软雅黑" w:eastAsia="微软雅黑" w:cs="微软雅黑"/>
          <w:highlight w:val="none"/>
        </w:rPr>
        <w:t xml:space="preserve"> </w:t>
      </w:r>
    </w:p>
    <w:p w14:paraId="5D326771">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b/>
          <w:highlight w:val="none"/>
        </w:rPr>
      </w:pPr>
      <w:r>
        <w:rPr>
          <w:rFonts w:hint="eastAsia" w:ascii="微软雅黑" w:hAnsi="微软雅黑" w:eastAsia="微软雅黑" w:cs="微软雅黑"/>
          <w:b/>
          <w:highlight w:val="none"/>
        </w:rPr>
        <w:t>第四条 违约责任及免责</w:t>
      </w:r>
    </w:p>
    <w:p w14:paraId="17164434">
      <w:pPr>
        <w:keepNext w:val="0"/>
        <w:keepLines w:val="0"/>
        <w:pageBreakBefore w:val="0"/>
        <w:kinsoku/>
        <w:wordWrap/>
        <w:overflowPunct/>
        <w:topLinePunct w:val="0"/>
        <w:autoSpaceDE/>
        <w:autoSpaceDN/>
        <w:bidi w:val="0"/>
        <w:spacing w:beforeAutospacing="0" w:after="0" w:afterAutospacing="0" w:line="240" w:lineRule="auto"/>
        <w:ind w:left="482" w:hanging="420" w:hangingChars="200"/>
        <w:textAlignment w:val="auto"/>
        <w:rPr>
          <w:rFonts w:hint="eastAsia" w:ascii="微软雅黑" w:hAnsi="微软雅黑" w:eastAsia="微软雅黑" w:cs="微软雅黑"/>
          <w:highlight w:val="none"/>
        </w:rPr>
      </w:pPr>
      <w:r>
        <w:rPr>
          <w:rFonts w:hint="eastAsia" w:ascii="微软雅黑" w:hAnsi="微软雅黑" w:eastAsia="微软雅黑" w:cs="微软雅黑"/>
          <w:b/>
          <w:highlight w:val="none"/>
        </w:rPr>
        <w:t>4.1</w:t>
      </w:r>
      <w:r>
        <w:rPr>
          <w:rFonts w:hint="eastAsia" w:ascii="微软雅黑" w:hAnsi="微软雅黑" w:eastAsia="微软雅黑" w:cs="微软雅黑"/>
          <w:highlight w:val="none"/>
        </w:rPr>
        <w:t>甲方应该按照约定的付款方式支付乙方广告费，</w:t>
      </w:r>
      <w:bookmarkStart w:id="47" w:name="auto_fouce_24"/>
      <w:r>
        <w:rPr>
          <w:rFonts w:hint="eastAsia" w:ascii="微软雅黑" w:hAnsi="微软雅黑" w:eastAsia="微软雅黑" w:cs="微软雅黑"/>
          <w:highlight w:val="none"/>
        </w:rPr>
        <w:t>甲方无正当理由逾期付款超过</w:t>
      </w:r>
      <w:r>
        <w:rPr>
          <w:rFonts w:hint="eastAsia" w:ascii="微软雅黑" w:hAnsi="微软雅黑" w:eastAsia="微软雅黑" w:cs="微软雅黑"/>
          <w:highlight w:val="none"/>
          <w:lang w:eastAsia="zh-CN"/>
        </w:rPr>
        <w:t>3</w:t>
      </w:r>
      <w:r>
        <w:rPr>
          <w:rFonts w:hint="eastAsia" w:ascii="微软雅黑" w:hAnsi="微软雅黑" w:eastAsia="微软雅黑" w:cs="微软雅黑"/>
          <w:highlight w:val="none"/>
        </w:rPr>
        <w:t>0天，且经乙方书面提示后甲方仍未付款的，乙方有权停止继续发布广告并终止本协议。</w:t>
      </w:r>
      <w:bookmarkEnd w:id="47"/>
    </w:p>
    <w:p w14:paraId="67CED508">
      <w:pPr>
        <w:keepNext w:val="0"/>
        <w:keepLines w:val="0"/>
        <w:pageBreakBefore w:val="0"/>
        <w:kinsoku/>
        <w:wordWrap/>
        <w:overflowPunct/>
        <w:topLinePunct w:val="0"/>
        <w:autoSpaceDE/>
        <w:autoSpaceDN/>
        <w:bidi w:val="0"/>
        <w:spacing w:beforeAutospacing="0" w:after="0" w:afterAutospacing="0" w:line="240" w:lineRule="auto"/>
        <w:ind w:left="420" w:leftChars="0" w:hanging="420" w:hangingChars="200"/>
        <w:textAlignment w:val="auto"/>
        <w:rPr>
          <w:rFonts w:hint="eastAsia" w:ascii="微软雅黑" w:hAnsi="微软雅黑" w:eastAsia="微软雅黑" w:cs="微软雅黑"/>
          <w:color w:val="000000" w:themeColor="text1"/>
          <w:highlight w:val="none"/>
          <w14:textFill>
            <w14:solidFill>
              <w14:schemeClr w14:val="tx1"/>
            </w14:solidFill>
          </w14:textFill>
        </w:rPr>
      </w:pPr>
      <w:bookmarkStart w:id="48" w:name="auto_fouce_25"/>
      <w:r>
        <w:rPr>
          <w:rFonts w:hint="eastAsia" w:ascii="微软雅黑" w:hAnsi="微软雅黑" w:eastAsia="微软雅黑" w:cs="微软雅黑"/>
          <w:b/>
          <w:highlight w:val="none"/>
        </w:rPr>
        <w:t>4.2</w:t>
      </w:r>
      <w:r>
        <w:rPr>
          <w:rFonts w:hint="eastAsia" w:ascii="微软雅黑" w:hAnsi="微软雅黑" w:eastAsia="微软雅黑" w:cs="微软雅黑"/>
          <w:highlight w:val="none"/>
        </w:rPr>
        <w:t>如乙方逾期发布标的广告，每延误一日，乙方应按逾期发布广告结算价格万分之五/天向甲方承担违约金。逾期累计超过</w:t>
      </w:r>
      <w:r>
        <w:rPr>
          <w:rFonts w:hint="eastAsia" w:ascii="微软雅黑" w:hAnsi="微软雅黑" w:eastAsia="微软雅黑" w:cs="微软雅黑"/>
          <w:highlight w:val="none"/>
          <w:lang w:eastAsia="zh-CN"/>
        </w:rPr>
        <w:t>5</w:t>
      </w:r>
      <w:r>
        <w:rPr>
          <w:rFonts w:hint="eastAsia" w:ascii="微软雅黑" w:hAnsi="微软雅黑" w:eastAsia="微软雅黑" w:cs="微软雅黑"/>
          <w:highlight w:val="none"/>
        </w:rPr>
        <w:t>日，</w:t>
      </w:r>
      <w:r>
        <w:rPr>
          <w:rFonts w:hint="eastAsia" w:ascii="微软雅黑" w:hAnsi="微软雅黑" w:eastAsia="微软雅黑" w:cs="微软雅黑"/>
          <w:color w:val="000000" w:themeColor="text1"/>
          <w:highlight w:val="none"/>
          <w14:textFill>
            <w14:solidFill>
              <w14:schemeClr w14:val="tx1"/>
            </w14:solidFill>
          </w14:textFill>
        </w:rPr>
        <w:t>且经甲方书面提示后乙方仍未整改的，甲方有权解除本合同，乙方应退还甲方已支付款项，并按合同总金额</w:t>
      </w:r>
      <w:r>
        <w:rPr>
          <w:rFonts w:hint="eastAsia" w:ascii="微软雅黑" w:hAnsi="微软雅黑" w:eastAsia="微软雅黑" w:cs="微软雅黑"/>
          <w:color w:val="000000" w:themeColor="text1"/>
          <w:highlight w:val="none"/>
          <w:u w:val="single"/>
          <w:lang w:eastAsia="zh-CN"/>
          <w14:textFill>
            <w14:solidFill>
              <w14:schemeClr w14:val="tx1"/>
            </w14:solidFill>
          </w14:textFill>
        </w:rPr>
        <w:t>20</w:t>
      </w:r>
      <w:r>
        <w:rPr>
          <w:rFonts w:hint="eastAsia" w:ascii="微软雅黑" w:hAnsi="微软雅黑" w:eastAsia="微软雅黑" w:cs="微软雅黑"/>
          <w:color w:val="000000" w:themeColor="text1"/>
          <w:highlight w:val="none"/>
          <w14:textFill>
            <w14:solidFill>
              <w14:schemeClr w14:val="tx1"/>
            </w14:solidFill>
          </w14:textFill>
        </w:rPr>
        <w:t>%向甲方</w:t>
      </w:r>
      <w:r>
        <w:rPr>
          <w:rFonts w:hint="eastAsia" w:ascii="微软雅黑" w:hAnsi="微软雅黑" w:eastAsia="微软雅黑" w:cs="微软雅黑"/>
          <w:color w:val="000000" w:themeColor="text1"/>
          <w:highlight w:val="none"/>
          <w:lang w:eastAsia="zh-CN"/>
          <w14:textFill>
            <w14:solidFill>
              <w14:schemeClr w14:val="tx1"/>
            </w14:solidFill>
          </w14:textFill>
        </w:rPr>
        <w:t>支付</w:t>
      </w:r>
      <w:r>
        <w:rPr>
          <w:rFonts w:hint="eastAsia" w:ascii="微软雅黑" w:hAnsi="微软雅黑" w:eastAsia="微软雅黑" w:cs="微软雅黑"/>
          <w:color w:val="000000" w:themeColor="text1"/>
          <w:highlight w:val="none"/>
          <w14:textFill>
            <w14:solidFill>
              <w14:schemeClr w14:val="tx1"/>
            </w14:solidFill>
          </w14:textFill>
        </w:rPr>
        <w:t>违约</w:t>
      </w:r>
      <w:r>
        <w:rPr>
          <w:rFonts w:hint="eastAsia" w:ascii="微软雅黑" w:hAnsi="微软雅黑" w:eastAsia="微软雅黑" w:cs="微软雅黑"/>
          <w:color w:val="000000" w:themeColor="text1"/>
          <w:highlight w:val="none"/>
          <w:lang w:eastAsia="zh-CN"/>
          <w14:textFill>
            <w14:solidFill>
              <w14:schemeClr w14:val="tx1"/>
            </w14:solidFill>
          </w14:textFill>
        </w:rPr>
        <w:t>金，且不排除甲方主张实际损失赔偿</w:t>
      </w:r>
      <w:r>
        <w:rPr>
          <w:rFonts w:hint="eastAsia" w:ascii="微软雅黑" w:hAnsi="微软雅黑" w:eastAsia="微软雅黑" w:cs="微软雅黑"/>
          <w:color w:val="000000" w:themeColor="text1"/>
          <w:highlight w:val="none"/>
          <w14:textFill>
            <w14:solidFill>
              <w14:schemeClr w14:val="tx1"/>
            </w14:solidFill>
          </w14:textFill>
        </w:rPr>
        <w:t>的权利。</w:t>
      </w:r>
    </w:p>
    <w:bookmarkEnd w:id="48"/>
    <w:p w14:paraId="0BD8AB74">
      <w:pPr>
        <w:keepNext w:val="0"/>
        <w:keepLines w:val="0"/>
        <w:pageBreakBefore w:val="0"/>
        <w:kinsoku/>
        <w:wordWrap/>
        <w:overflowPunct/>
        <w:topLinePunct w:val="0"/>
        <w:autoSpaceDE/>
        <w:autoSpaceDN/>
        <w:bidi w:val="0"/>
        <w:spacing w:beforeAutospacing="0" w:after="0" w:afterAutospacing="0" w:line="240" w:lineRule="auto"/>
        <w:ind w:left="482" w:hanging="420" w:hangingChars="200"/>
        <w:textAlignment w:val="auto"/>
        <w:rPr>
          <w:rFonts w:hint="eastAsia" w:ascii="微软雅黑" w:hAnsi="微软雅黑" w:eastAsia="微软雅黑" w:cs="微软雅黑"/>
          <w:color w:val="000000" w:themeColor="text1"/>
          <w:highlight w:val="none"/>
          <w14:textFill>
            <w14:solidFill>
              <w14:schemeClr w14:val="tx1"/>
            </w14:solidFill>
          </w14:textFill>
        </w:rPr>
      </w:pPr>
      <w:bookmarkStart w:id="49" w:name="auto_fouce_26"/>
      <w:r>
        <w:rPr>
          <w:rFonts w:hint="eastAsia" w:ascii="微软雅黑" w:hAnsi="微软雅黑" w:eastAsia="微软雅黑" w:cs="微软雅黑"/>
          <w:b/>
          <w:highlight w:val="none"/>
        </w:rPr>
        <w:t>4.3</w:t>
      </w:r>
      <w:bookmarkStart w:id="50" w:name="auto_fouce_28"/>
      <w:r>
        <w:rPr>
          <w:rFonts w:hint="eastAsia" w:ascii="微软雅黑" w:hAnsi="微软雅黑" w:eastAsia="微软雅黑" w:cs="微软雅黑"/>
          <w:color w:val="000000" w:themeColor="text1"/>
          <w:highlight w:val="none"/>
          <w14:textFill>
            <w14:solidFill>
              <w14:schemeClr w14:val="tx1"/>
            </w14:solidFill>
          </w14:textFill>
        </w:rPr>
        <w:t>因不可抗力、互联网灾难、网站遭遇不法攻击及电力、电信等第三方部门故障等非乙方主观原因情形致使广告无法按约定发布的，</w:t>
      </w:r>
      <w:r>
        <w:rPr>
          <w:rFonts w:hint="eastAsia" w:ascii="微软雅黑" w:hAnsi="微软雅黑" w:eastAsia="微软雅黑" w:cs="微软雅黑"/>
          <w:color w:val="000000" w:themeColor="text1"/>
          <w:highlight w:val="none"/>
          <w:lang w:eastAsia="zh-CN"/>
          <w14:textFill>
            <w14:solidFill>
              <w14:schemeClr w14:val="tx1"/>
            </w14:solidFill>
          </w14:textFill>
        </w:rPr>
        <w:t>且</w:t>
      </w:r>
      <w:r>
        <w:rPr>
          <w:rFonts w:hint="eastAsia" w:ascii="微软雅黑" w:hAnsi="微软雅黑" w:eastAsia="微软雅黑" w:cs="微软雅黑"/>
          <w:color w:val="000000" w:themeColor="text1"/>
          <w:highlight w:val="none"/>
          <w14:textFill>
            <w14:solidFill>
              <w14:schemeClr w14:val="tx1"/>
            </w14:solidFill>
          </w14:textFill>
        </w:rPr>
        <w:t>乙方</w:t>
      </w:r>
      <w:r>
        <w:rPr>
          <w:rFonts w:hint="eastAsia" w:ascii="微软雅黑" w:hAnsi="微软雅黑" w:eastAsia="微软雅黑" w:cs="微软雅黑"/>
          <w:color w:val="000000" w:themeColor="text1"/>
          <w:highlight w:val="none"/>
          <w:lang w:eastAsia="zh-CN"/>
          <w14:textFill>
            <w14:solidFill>
              <w14:schemeClr w14:val="tx1"/>
            </w14:solidFill>
          </w14:textFill>
        </w:rPr>
        <w:t>应在事发后24小时内提供权威机构证明文件，乙方</w:t>
      </w:r>
      <w:r>
        <w:rPr>
          <w:rFonts w:hint="eastAsia" w:ascii="微软雅黑" w:hAnsi="微软雅黑" w:eastAsia="微软雅黑" w:cs="微软雅黑"/>
          <w:color w:val="000000" w:themeColor="text1"/>
          <w:highlight w:val="none"/>
          <w14:textFill>
            <w14:solidFill>
              <w14:schemeClr w14:val="tx1"/>
            </w14:solidFill>
          </w14:textFill>
        </w:rPr>
        <w:t>不承担违约责任，未完成的发布事宜可由甲乙双方协商解决。</w:t>
      </w:r>
      <w:bookmarkEnd w:id="50"/>
    </w:p>
    <w:p w14:paraId="12362975">
      <w:pPr>
        <w:keepNext w:val="0"/>
        <w:keepLines w:val="0"/>
        <w:pageBreakBefore w:val="0"/>
        <w:kinsoku/>
        <w:wordWrap/>
        <w:overflowPunct/>
        <w:topLinePunct w:val="0"/>
        <w:autoSpaceDE/>
        <w:autoSpaceDN/>
        <w:bidi w:val="0"/>
        <w:spacing w:beforeAutospacing="0" w:after="0" w:afterAutospacing="0" w:line="240" w:lineRule="auto"/>
        <w:ind w:left="482" w:hanging="420" w:hangingChars="200"/>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b/>
          <w:color w:val="000000" w:themeColor="text1"/>
          <w:highlight w:val="none"/>
          <w14:textFill>
            <w14:solidFill>
              <w14:schemeClr w14:val="tx1"/>
            </w14:solidFill>
          </w14:textFill>
        </w:rPr>
        <w:t>4.4</w:t>
      </w:r>
      <w:r>
        <w:rPr>
          <w:rFonts w:hint="eastAsia" w:ascii="微软雅黑" w:hAnsi="微软雅黑" w:eastAsia="微软雅黑" w:cs="微软雅黑"/>
          <w:b/>
          <w:color w:val="000000" w:themeColor="text1"/>
          <w:highlight w:val="none"/>
          <w14:textFill>
            <w14:solidFill>
              <w14:schemeClr w14:val="tx1"/>
            </w14:solidFill>
          </w14:textFill>
        </w:rPr>
        <w:tab/>
      </w:r>
      <w:r>
        <w:rPr>
          <w:rFonts w:hint="eastAsia" w:ascii="微软雅黑" w:hAnsi="微软雅黑" w:eastAsia="微软雅黑" w:cs="微软雅黑"/>
          <w:color w:val="000000" w:themeColor="text1"/>
          <w:highlight w:val="none"/>
          <w14:textFill>
            <w14:solidFill>
              <w14:schemeClr w14:val="tx1"/>
            </w14:solidFill>
          </w14:textFill>
        </w:rPr>
        <w:t>因乙方原因造成广告未能按约发布的，如错发、漏发等除延期发布以外的违约情形，</w:t>
      </w:r>
      <w:bookmarkStart w:id="51" w:name="auto_fouce_29"/>
      <w:r>
        <w:rPr>
          <w:rFonts w:hint="eastAsia" w:ascii="微软雅黑" w:hAnsi="微软雅黑" w:eastAsia="微软雅黑" w:cs="微软雅黑"/>
          <w:color w:val="000000" w:themeColor="text1"/>
          <w:highlight w:val="none"/>
          <w14:textFill>
            <w14:solidFill>
              <w14:schemeClr w14:val="tx1"/>
            </w14:solidFill>
          </w14:textFill>
        </w:rPr>
        <w:t>甲方有权要求乙方将违约发布广告内容（内容可根据甲方要求无条件更换）按照约定的位置及方式、约定发布时间的二倍时间重新发布，且赔偿给甲方造成的</w:t>
      </w:r>
      <w:r>
        <w:rPr>
          <w:rFonts w:hint="eastAsia" w:ascii="微软雅黑" w:hAnsi="微软雅黑" w:eastAsia="微软雅黑" w:cs="微软雅黑"/>
          <w:color w:val="000000" w:themeColor="text1"/>
          <w:highlight w:val="none"/>
          <w:lang w:eastAsia="zh-CN"/>
          <w14:textFill>
            <w14:solidFill>
              <w14:schemeClr w14:val="tx1"/>
            </w14:solidFill>
          </w14:textFill>
        </w:rPr>
        <w:t>全部实际</w:t>
      </w:r>
      <w:r>
        <w:rPr>
          <w:rFonts w:hint="eastAsia" w:ascii="微软雅黑" w:hAnsi="微软雅黑" w:eastAsia="微软雅黑" w:cs="微软雅黑"/>
          <w:color w:val="000000" w:themeColor="text1"/>
          <w:highlight w:val="none"/>
          <w14:textFill>
            <w14:solidFill>
              <w14:schemeClr w14:val="tx1"/>
            </w14:solidFill>
          </w14:textFill>
        </w:rPr>
        <w:t>损失。</w:t>
      </w:r>
      <w:r>
        <w:rPr>
          <w:rFonts w:hint="eastAsia" w:ascii="微软雅黑" w:hAnsi="微软雅黑" w:eastAsia="微软雅黑" w:cs="微软雅黑"/>
          <w:color w:val="000000" w:themeColor="text1"/>
          <w:highlight w:val="none"/>
          <w:lang w:eastAsia="zh-CN"/>
          <w14:textFill>
            <w14:solidFill>
              <w14:schemeClr w14:val="tx1"/>
            </w14:solidFill>
          </w14:textFill>
        </w:rPr>
        <w:t>补发时间不得影响甲方原定宣传计划，甲方有权要求更换内容。每发生一次错发、漏发情形，乙方应另行支付该次广告费用30%的违约金。</w:t>
      </w:r>
      <w:bookmarkEnd w:id="51"/>
    </w:p>
    <w:p w14:paraId="30EA95EA">
      <w:pPr>
        <w:pStyle w:val="28"/>
        <w:keepNext w:val="0"/>
        <w:keepLines w:val="0"/>
        <w:pageBreakBefore w:val="0"/>
        <w:kinsoku/>
        <w:wordWrap/>
        <w:overflowPunct/>
        <w:topLinePunct w:val="0"/>
        <w:autoSpaceDE/>
        <w:autoSpaceDN/>
        <w:bidi w:val="0"/>
        <w:spacing w:beforeAutospacing="0" w:after="0" w:afterAutospacing="0" w:line="240" w:lineRule="auto"/>
        <w:ind w:left="0" w:leftChars="0"/>
        <w:textAlignment w:val="auto"/>
        <w:rPr>
          <w:rFonts w:hint="eastAsia" w:ascii="微软雅黑" w:hAnsi="微软雅黑" w:eastAsia="微软雅黑" w:cs="微软雅黑"/>
          <w:color w:val="000000" w:themeColor="text1"/>
          <w:szCs w:val="24"/>
          <w:highlight w:val="none"/>
          <w14:textFill>
            <w14:solidFill>
              <w14:schemeClr w14:val="tx1"/>
            </w14:solidFill>
          </w14:textFill>
        </w:rPr>
      </w:pPr>
      <w:r>
        <w:rPr>
          <w:rFonts w:hint="eastAsia" w:ascii="微软雅黑" w:hAnsi="微软雅黑" w:eastAsia="微软雅黑" w:cs="微软雅黑"/>
          <w:b/>
          <w:bCs/>
          <w:color w:val="000000" w:themeColor="text1"/>
          <w:szCs w:val="24"/>
          <w:highlight w:val="none"/>
          <w14:textFill>
            <w14:solidFill>
              <w14:schemeClr w14:val="tx1"/>
            </w14:solidFill>
          </w14:textFill>
        </w:rPr>
        <w:t xml:space="preserve">4.5 </w:t>
      </w:r>
      <w:r>
        <w:rPr>
          <w:rFonts w:hint="eastAsia" w:ascii="微软雅黑" w:hAnsi="微软雅黑" w:eastAsia="微软雅黑" w:cs="微软雅黑"/>
          <w:color w:val="000000" w:themeColor="text1"/>
          <w:szCs w:val="24"/>
          <w:highlight w:val="none"/>
          <w14:textFill>
            <w14:solidFill>
              <w14:schemeClr w14:val="tx1"/>
            </w14:solidFill>
          </w14:textFill>
        </w:rPr>
        <w:t>乙方应承担甲方为主张因乙方违约造成的损失所实际支出的费用（包括但不限于诉讼费、律师代理费、公证费用、保全费用等）。本协议项下违约金不足以弥补甲方损失的，乙方还应赔偿不足部分损失。</w:t>
      </w:r>
      <w:bookmarkEnd w:id="49"/>
    </w:p>
    <w:p w14:paraId="3FD503AD">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b/>
          <w:highlight w:val="none"/>
        </w:rPr>
      </w:pPr>
      <w:r>
        <w:rPr>
          <w:rFonts w:hint="eastAsia" w:ascii="微软雅黑" w:hAnsi="微软雅黑" w:eastAsia="微软雅黑" w:cs="微软雅黑"/>
          <w:b/>
          <w:highlight w:val="none"/>
        </w:rPr>
        <w:t>第五条 知识产权及保密</w:t>
      </w:r>
    </w:p>
    <w:p w14:paraId="3B60C31C">
      <w:pPr>
        <w:keepNext w:val="0"/>
        <w:keepLines w:val="0"/>
        <w:pageBreakBefore w:val="0"/>
        <w:tabs>
          <w:tab w:val="left" w:pos="1020"/>
        </w:tabs>
        <w:kinsoku/>
        <w:wordWrap/>
        <w:overflowPunct/>
        <w:topLinePunct w:val="0"/>
        <w:autoSpaceDE/>
        <w:autoSpaceDN/>
        <w:bidi w:val="0"/>
        <w:spacing w:beforeAutospacing="0" w:after="0" w:afterAutospacing="0" w:line="240" w:lineRule="auto"/>
        <w:ind w:left="482" w:hanging="420" w:hangingChars="200"/>
        <w:textAlignment w:val="auto"/>
        <w:rPr>
          <w:rFonts w:hint="eastAsia" w:ascii="微软雅黑" w:hAnsi="微软雅黑" w:eastAsia="微软雅黑" w:cs="微软雅黑"/>
          <w:color w:val="000000" w:themeColor="text1"/>
          <w:highlight w:val="none"/>
          <w:lang w:eastAsia="zh-CN"/>
          <w14:textFill>
            <w14:solidFill>
              <w14:schemeClr w14:val="tx1"/>
            </w14:solidFill>
          </w14:textFill>
        </w:rPr>
      </w:pPr>
      <w:bookmarkStart w:id="52" w:name="auto_fouce_31"/>
      <w:r>
        <w:rPr>
          <w:rFonts w:hint="eastAsia" w:ascii="微软雅黑" w:hAnsi="微软雅黑" w:eastAsia="微软雅黑" w:cs="微软雅黑"/>
          <w:b/>
          <w:highlight w:val="none"/>
        </w:rPr>
        <w:t>5.1</w:t>
      </w:r>
      <w:r>
        <w:rPr>
          <w:rFonts w:hint="eastAsia" w:ascii="微软雅黑" w:hAnsi="微软雅黑" w:eastAsia="微软雅黑" w:cs="微软雅黑"/>
          <w:color w:val="000000" w:themeColor="text1"/>
          <w:highlight w:val="none"/>
          <w14:textFill>
            <w14:solidFill>
              <w14:schemeClr w14:val="tx1"/>
            </w14:solidFill>
          </w14:textFill>
        </w:rPr>
        <w:t>合同项下，由甲方或甲方委托乙方设计制作的广告创意、样稿、宣传资料</w:t>
      </w:r>
      <w:r>
        <w:rPr>
          <w:rFonts w:hint="eastAsia" w:ascii="微软雅黑" w:hAnsi="微软雅黑" w:eastAsia="微软雅黑" w:cs="微软雅黑"/>
          <w:color w:val="000000" w:themeColor="text1"/>
          <w:highlight w:val="none"/>
          <w:lang w:eastAsia="zh-CN"/>
          <w14:textFill>
            <w14:solidFill>
              <w14:schemeClr w14:val="tx1"/>
            </w14:solidFill>
          </w14:textFill>
        </w:rPr>
        <w:t>、数据、报告</w:t>
      </w:r>
      <w:r>
        <w:rPr>
          <w:rFonts w:hint="eastAsia" w:ascii="微软雅黑" w:hAnsi="微软雅黑" w:eastAsia="微软雅黑" w:cs="微软雅黑"/>
          <w:color w:val="000000" w:themeColor="text1"/>
          <w:highlight w:val="none"/>
          <w14:textFill>
            <w14:solidFill>
              <w14:schemeClr w14:val="tx1"/>
            </w14:solidFill>
          </w14:textFill>
        </w:rPr>
        <w:t>等知识产权，归甲方所有，未经甲方书面同意，乙方不得擅自使用或提供给任何第三方。</w:t>
      </w:r>
      <w:r>
        <w:rPr>
          <w:rFonts w:hint="eastAsia" w:ascii="微软雅黑" w:hAnsi="微软雅黑" w:eastAsia="微软雅黑" w:cs="微软雅黑"/>
          <w:color w:val="000000" w:themeColor="text1"/>
          <w:highlight w:val="none"/>
          <w:lang w:eastAsia="zh-CN"/>
          <w14:textFill>
            <w14:solidFill>
              <w14:schemeClr w14:val="tx1"/>
            </w14:solidFill>
          </w14:textFill>
        </w:rPr>
        <w:t>乙方不得将甲方提供的素材用于自身宣传或第三方案例展示，违者按每使用一次支付合同总价20%的惩罚性违约金。</w:t>
      </w:r>
    </w:p>
    <w:bookmarkEnd w:id="52"/>
    <w:p w14:paraId="5ACD6AA7">
      <w:pPr>
        <w:keepNext w:val="0"/>
        <w:keepLines w:val="0"/>
        <w:pageBreakBefore w:val="0"/>
        <w:tabs>
          <w:tab w:val="left" w:pos="1020"/>
        </w:tabs>
        <w:kinsoku/>
        <w:wordWrap/>
        <w:overflowPunct/>
        <w:topLinePunct w:val="0"/>
        <w:autoSpaceDE/>
        <w:autoSpaceDN/>
        <w:bidi w:val="0"/>
        <w:spacing w:beforeAutospacing="0" w:after="0" w:afterAutospacing="0" w:line="240" w:lineRule="auto"/>
        <w:ind w:left="482" w:hanging="420" w:hangingChars="200"/>
        <w:textAlignment w:val="auto"/>
        <w:rPr>
          <w:rFonts w:hint="eastAsia" w:ascii="微软雅黑" w:hAnsi="微软雅黑" w:eastAsia="微软雅黑" w:cs="微软雅黑"/>
          <w:highlight w:val="none"/>
          <w:lang w:eastAsia="zh-CN"/>
        </w:rPr>
      </w:pPr>
      <w:bookmarkStart w:id="53" w:name="auto_fouce_33"/>
      <w:r>
        <w:rPr>
          <w:rFonts w:hint="eastAsia" w:ascii="微软雅黑" w:hAnsi="微软雅黑" w:eastAsia="微软雅黑" w:cs="微软雅黑"/>
          <w:b/>
          <w:highlight w:val="none"/>
        </w:rPr>
        <w:t>5.2</w:t>
      </w:r>
      <w:bookmarkStart w:id="54" w:name="_Hlk204078489"/>
      <w:r>
        <w:rPr>
          <w:rFonts w:hint="eastAsia" w:ascii="微软雅黑" w:hAnsi="微软雅黑" w:eastAsia="微软雅黑" w:cs="微软雅黑"/>
          <w:highlight w:val="none"/>
        </w:rPr>
        <w:t>由甲方提供内容与素材，乙方需对甲方提供内容与素材进行实质性审查，因乙方未进行审查发生纠纷的，由乙方承担责任；乙方设计制作的广告创意、样稿等，乙方保证其广告表现形式（如字体、图片等）为乙方原创或者已取得相关权利方的授权，因乙方发布广告侵犯第三人知识产权的，由乙方承担相关责任。</w:t>
      </w:r>
      <w:bookmarkStart w:id="55" w:name="auto_fouce_34"/>
      <w:r>
        <w:rPr>
          <w:rFonts w:hint="eastAsia" w:ascii="微软雅黑" w:hAnsi="微软雅黑" w:eastAsia="微软雅黑" w:cs="微软雅黑"/>
          <w:highlight w:val="none"/>
          <w:lang w:eastAsia="zh-CN"/>
        </w:rPr>
        <w:t>乙方违反第</w:t>
      </w:r>
      <w:r>
        <w:rPr>
          <w:rFonts w:hint="eastAsia" w:ascii="微软雅黑" w:hAnsi="微软雅黑" w:eastAsia="微软雅黑" w:cs="微软雅黑"/>
          <w:highlight w:val="none"/>
        </w:rPr>
        <w:t>5.1与</w:t>
      </w:r>
      <w:r>
        <w:rPr>
          <w:rFonts w:hint="eastAsia" w:ascii="微软雅黑" w:hAnsi="微软雅黑" w:eastAsia="微软雅黑" w:cs="微软雅黑"/>
          <w:highlight w:val="none"/>
          <w:lang w:eastAsia="zh-CN"/>
        </w:rPr>
        <w:t>5.2条知识产权保证义务的，除承担侵权责任外，</w:t>
      </w:r>
      <w:r>
        <w:rPr>
          <w:rFonts w:hint="eastAsia" w:ascii="微软雅黑" w:hAnsi="微软雅黑" w:eastAsia="微软雅黑" w:cs="微软雅黑"/>
          <w:color w:val="000000" w:themeColor="text1"/>
          <w:highlight w:val="none"/>
          <w14:textFill>
            <w14:solidFill>
              <w14:schemeClr w14:val="tx1"/>
            </w14:solidFill>
          </w14:textFill>
        </w:rPr>
        <w:t>应</w:t>
      </w:r>
      <w:r>
        <w:rPr>
          <w:rFonts w:hint="eastAsia" w:ascii="微软雅黑" w:hAnsi="微软雅黑" w:eastAsia="微软雅黑" w:cs="微软雅黑"/>
          <w:color w:val="000000" w:themeColor="text1"/>
          <w:highlight w:val="none"/>
          <w:lang w:eastAsia="zh-CN"/>
          <w14:textFill>
            <w14:solidFill>
              <w14:schemeClr w14:val="tx1"/>
            </w14:solidFill>
          </w14:textFill>
        </w:rPr>
        <w:t>按每次违约行为支付合同总金额10%的违约金。</w:t>
      </w:r>
      <w:bookmarkEnd w:id="55"/>
      <w:bookmarkStart w:id="56" w:name="_Hlk204014046"/>
      <w:r>
        <w:rPr>
          <w:rFonts w:hint="eastAsia" w:ascii="微软雅黑" w:hAnsi="微软雅黑" w:eastAsia="微软雅黑" w:cs="微软雅黑"/>
          <w:highlight w:val="none"/>
          <w:lang w:eastAsia="zh-CN"/>
        </w:rPr>
        <w:t>乙方应在广告发布前向甲方提交所有使用素材的版权证明及授权文件。</w:t>
      </w:r>
      <w:bookmarkEnd w:id="53"/>
      <w:bookmarkEnd w:id="56"/>
    </w:p>
    <w:bookmarkEnd w:id="54"/>
    <w:p w14:paraId="2E38B8CB">
      <w:pPr>
        <w:keepNext w:val="0"/>
        <w:keepLines w:val="0"/>
        <w:pageBreakBefore w:val="0"/>
        <w:tabs>
          <w:tab w:val="left" w:pos="1020"/>
        </w:tabs>
        <w:kinsoku/>
        <w:wordWrap/>
        <w:overflowPunct/>
        <w:topLinePunct w:val="0"/>
        <w:autoSpaceDE/>
        <w:autoSpaceDN/>
        <w:bidi w:val="0"/>
        <w:spacing w:beforeAutospacing="0" w:after="0" w:afterAutospacing="0" w:line="240" w:lineRule="auto"/>
        <w:ind w:left="482" w:hanging="420" w:hangingChars="200"/>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b/>
          <w:color w:val="000000" w:themeColor="text1"/>
          <w:highlight w:val="none"/>
          <w14:textFill>
            <w14:solidFill>
              <w14:schemeClr w14:val="tx1"/>
            </w14:solidFill>
          </w14:textFill>
        </w:rPr>
        <w:t>5.3</w:t>
      </w:r>
      <w:r>
        <w:rPr>
          <w:rFonts w:hint="eastAsia" w:ascii="微软雅黑" w:hAnsi="微软雅黑" w:eastAsia="微软雅黑" w:cs="微软雅黑"/>
          <w:color w:val="000000" w:themeColor="text1"/>
          <w:highlight w:val="none"/>
          <w14:textFill>
            <w14:solidFill>
              <w14:schemeClr w14:val="tx1"/>
            </w14:solidFill>
          </w14:textFill>
        </w:rPr>
        <w:t>甲乙双方对在合同履行期间获知的对方的商业秘密、技术秘密等需双方保密的事项，负有严格保密义务，</w:t>
      </w:r>
      <w:bookmarkStart w:id="57" w:name="auto_fouce_32"/>
      <w:r>
        <w:rPr>
          <w:rFonts w:hint="eastAsia" w:ascii="微软雅黑" w:hAnsi="微软雅黑" w:eastAsia="微软雅黑" w:cs="微软雅黑"/>
          <w:color w:val="000000" w:themeColor="text1"/>
          <w:highlight w:val="none"/>
          <w14:textFill>
            <w14:solidFill>
              <w14:schemeClr w14:val="tx1"/>
            </w14:solidFill>
          </w14:textFill>
        </w:rPr>
        <w:t>在未取得另一方书面同意的情况下，在合同期间及合同终止后</w:t>
      </w:r>
      <w:r>
        <w:rPr>
          <w:rFonts w:hint="eastAsia" w:ascii="微软雅黑" w:hAnsi="微软雅黑" w:eastAsia="微软雅黑" w:cs="微软雅黑"/>
          <w:color w:val="000000" w:themeColor="text1"/>
          <w:highlight w:val="none"/>
          <w:lang w:eastAsia="zh-CN"/>
          <w14:textFill>
            <w14:solidFill>
              <w14:schemeClr w14:val="tx1"/>
            </w14:solidFill>
          </w14:textFill>
        </w:rPr>
        <w:t>五年内</w:t>
      </w:r>
      <w:r>
        <w:rPr>
          <w:rFonts w:hint="eastAsia" w:ascii="微软雅黑" w:hAnsi="微软雅黑" w:eastAsia="微软雅黑" w:cs="微软雅黑"/>
          <w:color w:val="000000" w:themeColor="text1"/>
          <w:highlight w:val="none"/>
          <w14:textFill>
            <w14:solidFill>
              <w14:schemeClr w14:val="tx1"/>
            </w14:solidFill>
          </w14:textFill>
        </w:rPr>
        <w:t>不得向任何第三方披露或公开；如因任何一方泄露合同及广告内容导致对方经济损失，泄露方应全额赔偿对方经济损失，否则受损失方可以选择解除合同或通过法律途径解决。</w:t>
      </w:r>
      <w:bookmarkEnd w:id="57"/>
    </w:p>
    <w:p w14:paraId="51162155">
      <w:pPr>
        <w:keepNext w:val="0"/>
        <w:keepLines w:val="0"/>
        <w:pageBreakBefore w:val="0"/>
        <w:tabs>
          <w:tab w:val="left" w:pos="1020"/>
        </w:tabs>
        <w:kinsoku/>
        <w:wordWrap/>
        <w:overflowPunct/>
        <w:topLinePunct w:val="0"/>
        <w:autoSpaceDE/>
        <w:autoSpaceDN/>
        <w:bidi w:val="0"/>
        <w:spacing w:beforeAutospacing="0" w:after="0" w:afterAutospacing="0" w:line="240" w:lineRule="auto"/>
        <w:ind w:left="482" w:hanging="420" w:hangingChars="200"/>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b/>
          <w:color w:val="000000" w:themeColor="text1"/>
          <w:highlight w:val="none"/>
          <w14:textFill>
            <w14:solidFill>
              <w14:schemeClr w14:val="tx1"/>
            </w14:solidFill>
          </w14:textFill>
        </w:rPr>
        <w:t>5.4</w:t>
      </w:r>
      <w:r>
        <w:rPr>
          <w:rFonts w:hint="eastAsia" w:ascii="微软雅黑" w:hAnsi="微软雅黑" w:eastAsia="微软雅黑" w:cs="微软雅黑"/>
          <w:color w:val="000000" w:themeColor="text1"/>
          <w:highlight w:val="none"/>
          <w14:textFill>
            <w14:solidFill>
              <w14:schemeClr w14:val="tx1"/>
            </w14:solidFill>
          </w14:textFill>
        </w:rPr>
        <w:t>任何一方违反上述条款，应向另一方赔偿所产生的一切损失及费用，并承担相应的法律责任。</w:t>
      </w:r>
    </w:p>
    <w:p w14:paraId="5EB4342E">
      <w:pPr>
        <w:keepNext w:val="0"/>
        <w:keepLines w:val="0"/>
        <w:pageBreakBefore w:val="0"/>
        <w:tabs>
          <w:tab w:val="left" w:pos="1020"/>
        </w:tabs>
        <w:kinsoku/>
        <w:wordWrap/>
        <w:overflowPunct/>
        <w:topLinePunct w:val="0"/>
        <w:autoSpaceDE/>
        <w:autoSpaceDN/>
        <w:bidi w:val="0"/>
        <w:spacing w:beforeAutospacing="0" w:after="0" w:afterAutospacing="0" w:line="240" w:lineRule="auto"/>
        <w:ind w:left="482" w:hanging="420" w:hangingChars="200"/>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b/>
          <w:color w:val="000000" w:themeColor="text1"/>
          <w:highlight w:val="none"/>
          <w14:textFill>
            <w14:solidFill>
              <w14:schemeClr w14:val="tx1"/>
            </w14:solidFill>
          </w14:textFill>
        </w:rPr>
        <w:t>5.5</w:t>
      </w:r>
      <w:r>
        <w:rPr>
          <w:rFonts w:hint="eastAsia" w:ascii="微软雅黑" w:hAnsi="微软雅黑" w:eastAsia="微软雅黑" w:cs="微软雅黑"/>
          <w:color w:val="000000" w:themeColor="text1"/>
          <w:highlight w:val="none"/>
          <w14:textFill>
            <w14:solidFill>
              <w14:schemeClr w14:val="tx1"/>
            </w14:solidFill>
          </w14:textFill>
        </w:rPr>
        <w:t>上述条款在双方合作期间及合同终止后持续有效。</w:t>
      </w:r>
    </w:p>
    <w:p w14:paraId="2E361944">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b/>
          <w:highlight w:val="none"/>
        </w:rPr>
        <w:t xml:space="preserve">第六条 </w:t>
      </w:r>
      <w:r>
        <w:rPr>
          <w:rFonts w:hint="eastAsia" w:ascii="微软雅黑" w:hAnsi="微软雅黑" w:eastAsia="微软雅黑" w:cs="微软雅黑"/>
          <w:b/>
          <w:color w:val="000000" w:themeColor="text1"/>
          <w:highlight w:val="none"/>
          <w14:textFill>
            <w14:solidFill>
              <w14:schemeClr w14:val="tx1"/>
            </w14:solidFill>
          </w14:textFill>
        </w:rPr>
        <w:t>转让与分包</w:t>
      </w:r>
    </w:p>
    <w:p w14:paraId="6C7402C4">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color w:val="000000" w:themeColor="text1"/>
          <w:highlight w:val="none"/>
          <w:lang w:eastAsia="zh-CN"/>
          <w14:textFill>
            <w14:solidFill>
              <w14:schemeClr w14:val="tx1"/>
            </w14:solidFill>
          </w14:textFill>
        </w:rPr>
      </w:pPr>
      <w:r>
        <w:rPr>
          <w:rFonts w:hint="eastAsia" w:ascii="微软雅黑" w:hAnsi="微软雅黑" w:eastAsia="微软雅黑" w:cs="微软雅黑"/>
          <w:b/>
          <w:bCs/>
          <w:color w:val="000000" w:themeColor="text1"/>
          <w:highlight w:val="none"/>
          <w14:textFill>
            <w14:solidFill>
              <w14:schemeClr w14:val="tx1"/>
            </w14:solidFill>
          </w14:textFill>
        </w:rPr>
        <w:t>6.1</w:t>
      </w:r>
      <w:r>
        <w:rPr>
          <w:rFonts w:hint="eastAsia" w:ascii="微软雅黑" w:hAnsi="微软雅黑" w:eastAsia="微软雅黑" w:cs="微软雅黑"/>
          <w:color w:val="000000" w:themeColor="text1"/>
          <w:highlight w:val="none"/>
          <w14:textFill>
            <w14:solidFill>
              <w14:schemeClr w14:val="tx1"/>
            </w14:solidFill>
          </w14:textFill>
        </w:rPr>
        <w:t xml:space="preserve"> 乙方不得部分转让或全部转让其应履行的合同义务</w:t>
      </w:r>
      <w:r>
        <w:rPr>
          <w:rFonts w:hint="eastAsia" w:ascii="微软雅黑" w:hAnsi="微软雅黑" w:eastAsia="微软雅黑" w:cs="微软雅黑"/>
          <w:color w:val="000000" w:themeColor="text1"/>
          <w:highlight w:val="none"/>
          <w:lang w:eastAsia="zh-CN"/>
          <w14:textFill>
            <w14:solidFill>
              <w14:schemeClr w14:val="tx1"/>
            </w14:solidFill>
          </w14:textFill>
        </w:rPr>
        <w:t>，亦不得将合同义务分包，除非经甲方书面同意</w:t>
      </w:r>
      <w:r>
        <w:rPr>
          <w:rFonts w:hint="eastAsia" w:ascii="微软雅黑" w:hAnsi="微软雅黑" w:eastAsia="微软雅黑" w:cs="微软雅黑"/>
          <w:color w:val="000000" w:themeColor="text1"/>
          <w:highlight w:val="none"/>
          <w14:textFill>
            <w14:solidFill>
              <w14:schemeClr w14:val="tx1"/>
            </w14:solidFill>
          </w14:textFill>
        </w:rPr>
        <w:t>。</w:t>
      </w:r>
      <w:r>
        <w:rPr>
          <w:rFonts w:hint="eastAsia" w:ascii="微软雅黑" w:hAnsi="微软雅黑" w:eastAsia="微软雅黑" w:cs="微软雅黑"/>
          <w:color w:val="000000" w:themeColor="text1"/>
          <w:highlight w:val="none"/>
          <w:lang w:eastAsia="zh-CN"/>
          <w14:textFill>
            <w14:solidFill>
              <w14:schemeClr w14:val="tx1"/>
            </w14:solidFill>
          </w14:textFill>
        </w:rPr>
        <w:t>即使甲方同意分包，乙方仍对全部服务质量和违约责任承担总责。</w:t>
      </w:r>
    </w:p>
    <w:p w14:paraId="51BD2BEB">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highlight w:val="none"/>
        </w:rPr>
      </w:pPr>
      <w:r>
        <w:rPr>
          <w:rFonts w:hint="eastAsia" w:ascii="微软雅黑" w:hAnsi="微软雅黑" w:eastAsia="微软雅黑" w:cs="微软雅黑"/>
          <w:b/>
          <w:bCs/>
          <w:highlight w:val="none"/>
        </w:rPr>
        <w:t>6.2</w:t>
      </w:r>
      <w:r>
        <w:rPr>
          <w:rFonts w:hint="eastAsia" w:ascii="微软雅黑" w:hAnsi="微软雅黑" w:eastAsia="微软雅黑" w:cs="微软雅黑"/>
          <w:b/>
          <w:bCs/>
          <w:color w:val="000000" w:themeColor="text1"/>
          <w:highlight w:val="none"/>
          <w14:textFill>
            <w14:solidFill>
              <w14:schemeClr w14:val="tx1"/>
            </w14:solidFill>
          </w14:textFill>
        </w:rPr>
        <w:t xml:space="preserve"> </w:t>
      </w:r>
      <w:r>
        <w:rPr>
          <w:rFonts w:hint="eastAsia" w:ascii="微软雅黑" w:hAnsi="微软雅黑" w:eastAsia="微软雅黑" w:cs="微软雅黑"/>
          <w:color w:val="000000" w:themeColor="text1"/>
          <w:highlight w:val="none"/>
          <w:lang w:eastAsia="zh-CN"/>
          <w14:textFill>
            <w14:solidFill>
              <w14:schemeClr w14:val="tx1"/>
            </w14:solidFill>
          </w14:textFill>
        </w:rPr>
        <w:t>未经甲方事先书面同意，</w:t>
      </w:r>
      <w:r>
        <w:rPr>
          <w:rFonts w:hint="eastAsia" w:ascii="微软雅黑" w:hAnsi="微软雅黑" w:eastAsia="微软雅黑" w:cs="微软雅黑"/>
          <w:color w:val="000000" w:themeColor="text1"/>
          <w:highlight w:val="none"/>
          <w14:textFill>
            <w14:solidFill>
              <w14:schemeClr w14:val="tx1"/>
            </w14:solidFill>
          </w14:textFill>
        </w:rPr>
        <w:t>乙方</w:t>
      </w:r>
      <w:r>
        <w:rPr>
          <w:rFonts w:hint="eastAsia" w:ascii="微软雅黑" w:hAnsi="微软雅黑" w:eastAsia="微软雅黑" w:cs="微软雅黑"/>
          <w:color w:val="000000" w:themeColor="text1"/>
          <w:highlight w:val="none"/>
          <w:lang w:eastAsia="zh-CN"/>
          <w14:textFill>
            <w14:solidFill>
              <w14:schemeClr w14:val="tx1"/>
            </w14:solidFill>
          </w14:textFill>
        </w:rPr>
        <w:t>不得进行任何形式的分包。乙方</w:t>
      </w:r>
      <w:r>
        <w:rPr>
          <w:rFonts w:hint="eastAsia" w:ascii="微软雅黑" w:hAnsi="微软雅黑" w:eastAsia="微软雅黑" w:cs="微软雅黑"/>
          <w:color w:val="000000" w:themeColor="text1"/>
          <w:highlight w:val="none"/>
          <w14:textFill>
            <w14:solidFill>
              <w14:schemeClr w14:val="tx1"/>
            </w14:solidFill>
          </w14:textFill>
        </w:rPr>
        <w:t>应在竞价文件中或以其他书面形式对甲方确认本合同项下所授予的所有分包合同。</w:t>
      </w:r>
      <w:r>
        <w:rPr>
          <w:rFonts w:hint="eastAsia" w:ascii="微软雅黑" w:hAnsi="微软雅黑" w:eastAsia="微软雅黑" w:cs="微软雅黑"/>
          <w:color w:val="000000" w:themeColor="text1"/>
          <w:highlight w:val="none"/>
          <w:lang w:eastAsia="zh-CN"/>
          <w14:textFill>
            <w14:solidFill>
              <w14:schemeClr w14:val="tx1"/>
            </w14:solidFill>
          </w14:textFill>
        </w:rPr>
        <w:t>甲方有权对分包对象进行资质审查、否决或要求更换。分包方违约时，乙方应与分包方对甲方承担连带责任。</w:t>
      </w:r>
      <w:r>
        <w:rPr>
          <w:rFonts w:hint="eastAsia" w:ascii="微软雅黑" w:hAnsi="微软雅黑" w:eastAsia="微软雅黑" w:cs="微软雅黑"/>
          <w:color w:val="000000" w:themeColor="text1"/>
          <w:highlight w:val="none"/>
          <w14:textFill>
            <w14:solidFill>
              <w14:schemeClr w14:val="tx1"/>
            </w14:solidFill>
          </w14:textFill>
        </w:rPr>
        <w:t>该确认不解除乙方承担的本合同下的任何责任或义务。意即在本合同项下，乙方对甲方负总责。</w:t>
      </w:r>
    </w:p>
    <w:p w14:paraId="2D3BCFA5">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b/>
          <w:color w:val="000000" w:themeColor="text1"/>
          <w:highlight w:val="none"/>
          <w14:textFill>
            <w14:solidFill>
              <w14:schemeClr w14:val="tx1"/>
            </w14:solidFill>
          </w14:textFill>
        </w:rPr>
      </w:pPr>
      <w:r>
        <w:rPr>
          <w:rFonts w:hint="eastAsia" w:ascii="微软雅黑" w:hAnsi="微软雅黑" w:eastAsia="微软雅黑" w:cs="微软雅黑"/>
          <w:b/>
          <w:color w:val="000000" w:themeColor="text1"/>
          <w:highlight w:val="none"/>
          <w14:textFill>
            <w14:solidFill>
              <w14:schemeClr w14:val="tx1"/>
            </w14:solidFill>
          </w14:textFill>
        </w:rPr>
        <w:t>第七条 其他</w:t>
      </w:r>
    </w:p>
    <w:p w14:paraId="6A99A642">
      <w:pPr>
        <w:keepNext w:val="0"/>
        <w:keepLines w:val="0"/>
        <w:pageBreakBefore w:val="0"/>
        <w:kinsoku/>
        <w:wordWrap/>
        <w:overflowPunct/>
        <w:topLinePunct w:val="0"/>
        <w:autoSpaceDE/>
        <w:autoSpaceDN/>
        <w:bidi w:val="0"/>
        <w:spacing w:beforeAutospacing="0" w:after="0" w:afterAutospacing="0" w:line="240" w:lineRule="auto"/>
        <w:ind w:left="482" w:hanging="420" w:hangingChars="200"/>
        <w:textAlignment w:val="auto"/>
        <w:rPr>
          <w:rFonts w:hint="eastAsia" w:ascii="微软雅黑" w:hAnsi="微软雅黑" w:eastAsia="微软雅黑" w:cs="微软雅黑"/>
          <w:b/>
          <w:color w:val="000000" w:themeColor="text1"/>
          <w:highlight w:val="none"/>
          <w14:textFill>
            <w14:solidFill>
              <w14:schemeClr w14:val="tx1"/>
            </w14:solidFill>
          </w14:textFill>
        </w:rPr>
      </w:pPr>
      <w:r>
        <w:rPr>
          <w:rFonts w:hint="eastAsia" w:ascii="微软雅黑" w:hAnsi="微软雅黑" w:eastAsia="微软雅黑" w:cs="微软雅黑"/>
          <w:b/>
          <w:color w:val="000000" w:themeColor="text1"/>
          <w:highlight w:val="none"/>
          <w14:textFill>
            <w14:solidFill>
              <w14:schemeClr w14:val="tx1"/>
            </w14:solidFill>
          </w14:textFill>
        </w:rPr>
        <w:t>7.1</w:t>
      </w:r>
      <w:r>
        <w:rPr>
          <w:rFonts w:hint="eastAsia" w:ascii="微软雅黑" w:hAnsi="微软雅黑" w:eastAsia="微软雅黑" w:cs="微软雅黑"/>
          <w:color w:val="000000" w:themeColor="text1"/>
          <w:highlight w:val="none"/>
          <w14:textFill>
            <w14:solidFill>
              <w14:schemeClr w14:val="tx1"/>
            </w14:solidFill>
          </w14:textFill>
        </w:rPr>
        <w:t>合同中未尽事宜或本合同如需修改，</w:t>
      </w:r>
      <w:r>
        <w:rPr>
          <w:rFonts w:hint="eastAsia" w:ascii="微软雅黑" w:hAnsi="微软雅黑" w:eastAsia="微软雅黑" w:cs="微软雅黑"/>
          <w:color w:val="000000" w:themeColor="text1"/>
          <w:highlight w:val="none"/>
          <w:lang w:eastAsia="zh-CN"/>
          <w14:textFill>
            <w14:solidFill>
              <w14:schemeClr w14:val="tx1"/>
            </w14:solidFill>
          </w14:textFill>
        </w:rPr>
        <w:t>须经甲方书面同意后方</w:t>
      </w:r>
      <w:r>
        <w:rPr>
          <w:rFonts w:hint="eastAsia" w:ascii="微软雅黑" w:hAnsi="微软雅黑" w:eastAsia="微软雅黑" w:cs="微软雅黑"/>
          <w:color w:val="000000" w:themeColor="text1"/>
          <w:highlight w:val="none"/>
          <w14:textFill>
            <w14:solidFill>
              <w14:schemeClr w14:val="tx1"/>
            </w14:solidFill>
          </w14:textFill>
        </w:rPr>
        <w:t>可签订补充合同，补充协议与本合同有同等法律效力。</w:t>
      </w:r>
    </w:p>
    <w:p w14:paraId="238C3075">
      <w:pPr>
        <w:keepNext w:val="0"/>
        <w:keepLines w:val="0"/>
        <w:pageBreakBefore w:val="0"/>
        <w:kinsoku/>
        <w:wordWrap/>
        <w:overflowPunct/>
        <w:topLinePunct w:val="0"/>
        <w:autoSpaceDE/>
        <w:autoSpaceDN/>
        <w:bidi w:val="0"/>
        <w:spacing w:beforeAutospacing="0" w:after="0" w:afterAutospacing="0" w:line="240" w:lineRule="auto"/>
        <w:ind w:left="482" w:hanging="420" w:hangingChars="200"/>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b/>
          <w:color w:val="000000" w:themeColor="text1"/>
          <w:highlight w:val="none"/>
          <w14:textFill>
            <w14:solidFill>
              <w14:schemeClr w14:val="tx1"/>
            </w14:solidFill>
          </w14:textFill>
        </w:rPr>
        <w:t>7.2</w:t>
      </w:r>
      <w:r>
        <w:rPr>
          <w:rFonts w:hint="eastAsia" w:ascii="微软雅黑" w:hAnsi="微软雅黑" w:eastAsia="微软雅黑" w:cs="微软雅黑"/>
          <w:color w:val="000000" w:themeColor="text1"/>
          <w:highlight w:val="none"/>
          <w14:textFill>
            <w14:solidFill>
              <w14:schemeClr w14:val="tx1"/>
            </w14:solidFill>
          </w14:textFill>
        </w:rPr>
        <w:t>甲乙双方应本着友好协商的方式解决合同问题，协商不成，可向甲方所在地的人民法院起诉。</w:t>
      </w:r>
    </w:p>
    <w:p w14:paraId="542BC35B">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color w:val="000000" w:themeColor="text1"/>
          <w:highlight w:val="none"/>
          <w:lang w:eastAsia="zh-CN"/>
          <w14:textFill>
            <w14:solidFill>
              <w14:schemeClr w14:val="tx1"/>
            </w14:solidFill>
          </w14:textFill>
        </w:rPr>
      </w:pPr>
      <w:r>
        <w:rPr>
          <w:rFonts w:hint="eastAsia" w:ascii="微软雅黑" w:hAnsi="微软雅黑" w:eastAsia="微软雅黑" w:cs="微软雅黑"/>
          <w:b/>
          <w:color w:val="000000" w:themeColor="text1"/>
          <w:highlight w:val="none"/>
          <w14:textFill>
            <w14:solidFill>
              <w14:schemeClr w14:val="tx1"/>
            </w14:solidFill>
          </w14:textFill>
        </w:rPr>
        <w:t>7.3</w:t>
      </w:r>
      <w:r>
        <w:rPr>
          <w:rFonts w:hint="eastAsia" w:ascii="微软雅黑" w:hAnsi="微软雅黑" w:eastAsia="微软雅黑" w:cs="微软雅黑"/>
          <w:color w:val="000000" w:themeColor="text1"/>
          <w:highlight w:val="none"/>
          <w14:textFill>
            <w14:solidFill>
              <w14:schemeClr w14:val="tx1"/>
            </w14:solidFill>
          </w14:textFill>
        </w:rPr>
        <w:t>本合同一式肆份，甲方执叁份，乙方执壹份，本合同自双方盖章</w:t>
      </w:r>
      <w:r>
        <w:rPr>
          <w:rFonts w:hint="eastAsia" w:ascii="微软雅黑" w:hAnsi="微软雅黑" w:eastAsia="微软雅黑" w:cs="微软雅黑"/>
          <w:color w:val="000000" w:themeColor="text1"/>
          <w:highlight w:val="none"/>
          <w:lang w:eastAsia="zh-CN"/>
          <w14:textFill>
            <w14:solidFill>
              <w14:schemeClr w14:val="tx1"/>
            </w14:solidFill>
          </w14:textFill>
        </w:rPr>
        <w:t>且法定代表人或授权代表签字</w:t>
      </w:r>
      <w:r>
        <w:rPr>
          <w:rFonts w:hint="eastAsia" w:ascii="微软雅黑" w:hAnsi="微软雅黑" w:eastAsia="微软雅黑" w:cs="微软雅黑"/>
          <w:color w:val="000000" w:themeColor="text1"/>
          <w:highlight w:val="none"/>
          <w14:textFill>
            <w14:solidFill>
              <w14:schemeClr w14:val="tx1"/>
            </w14:solidFill>
          </w14:textFill>
        </w:rPr>
        <w:t>之日起生效。</w:t>
      </w:r>
      <w:r>
        <w:rPr>
          <w:rFonts w:hint="eastAsia" w:ascii="微软雅黑" w:hAnsi="微软雅黑" w:eastAsia="微软雅黑" w:cs="微软雅黑"/>
          <w:color w:val="000000" w:themeColor="text1"/>
          <w:highlight w:val="none"/>
          <w:lang w:eastAsia="zh-CN"/>
          <w14:textFill>
            <w14:solidFill>
              <w14:schemeClr w14:val="tx1"/>
            </w14:solidFill>
          </w14:textFill>
        </w:rPr>
        <w:t>所有附件、清单、排期单、乙方资质证明文件等均为合同不可分割部分，与主合同具有同等法律效力。</w:t>
      </w:r>
    </w:p>
    <w:p w14:paraId="2DF26582">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b/>
          <w:bCs/>
          <w:highlight w:val="none"/>
        </w:rPr>
        <w:t>7.4</w:t>
      </w:r>
      <w:r>
        <w:rPr>
          <w:rFonts w:hint="eastAsia" w:ascii="微软雅黑" w:hAnsi="微软雅黑" w:eastAsia="微软雅黑" w:cs="微软雅黑"/>
          <w:color w:val="000000" w:themeColor="text1"/>
          <w:highlight w:val="none"/>
          <w14:textFill>
            <w14:solidFill>
              <w14:schemeClr w14:val="tx1"/>
            </w14:solidFill>
          </w14:textFill>
        </w:rPr>
        <w:t>甲乙双方确认本条所列送达地址（本协议所称送达地址均包括但不限于地址、收件人、电话、电子邮件地址）作为本合同项下各方送达各类通知、函件等文件材料，以及司法机关、仲裁机构、公证机关送达各类诉讼文书、仲裁文书、法律文书的有效送达地址。本协议项下作出的任何通知或其他通讯应以书面形式及中文作出，并且应通过专人递送、邮寄方式或电子邮件的方式发送至收件方的下述地址或电子邮件地址：</w:t>
      </w:r>
    </w:p>
    <w:p w14:paraId="472CF1D6">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color w:val="000000" w:themeColor="text1"/>
          <w:highlight w:val="none"/>
          <w14:textFill>
            <w14:solidFill>
              <w14:schemeClr w14:val="tx1"/>
            </w14:solidFill>
          </w14:textFill>
        </w:rPr>
        <w:t>甲方：【        】</w:t>
      </w:r>
    </w:p>
    <w:p w14:paraId="22466EC5">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color w:val="000000" w:themeColor="text1"/>
          <w:highlight w:val="none"/>
          <w14:textFill>
            <w14:solidFill>
              <w14:schemeClr w14:val="tx1"/>
            </w14:solidFill>
          </w14:textFill>
        </w:rPr>
        <w:t>地址：【        】</w:t>
      </w:r>
    </w:p>
    <w:p w14:paraId="03142EBF">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color w:val="000000" w:themeColor="text1"/>
          <w:highlight w:val="none"/>
          <w14:textFill>
            <w14:solidFill>
              <w14:schemeClr w14:val="tx1"/>
            </w14:solidFill>
          </w14:textFill>
        </w:rPr>
        <w:t>收件人：【     】</w:t>
      </w:r>
      <w:r>
        <w:rPr>
          <w:rFonts w:hint="eastAsia" w:ascii="微软雅黑" w:hAnsi="微软雅黑" w:eastAsia="微软雅黑" w:cs="微软雅黑"/>
          <w:color w:val="000000" w:themeColor="text1"/>
          <w:highlight w:val="none"/>
          <w14:textFill>
            <w14:solidFill>
              <w14:schemeClr w14:val="tx1"/>
            </w14:solidFill>
          </w14:textFill>
        </w:rPr>
        <w:tab/>
      </w:r>
      <w:r>
        <w:rPr>
          <w:rFonts w:hint="eastAsia" w:ascii="微软雅黑" w:hAnsi="微软雅黑" w:eastAsia="微软雅黑" w:cs="微软雅黑"/>
          <w:color w:val="000000" w:themeColor="text1"/>
          <w:highlight w:val="none"/>
          <w14:textFill>
            <w14:solidFill>
              <w14:schemeClr w14:val="tx1"/>
            </w14:solidFill>
          </w14:textFill>
        </w:rPr>
        <w:tab/>
      </w:r>
    </w:p>
    <w:p w14:paraId="38520B30">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color w:val="000000" w:themeColor="text1"/>
          <w:highlight w:val="none"/>
          <w14:textFill>
            <w14:solidFill>
              <w14:schemeClr w14:val="tx1"/>
            </w14:solidFill>
          </w14:textFill>
        </w:rPr>
        <w:t>电话：【         】</w:t>
      </w:r>
    </w:p>
    <w:p w14:paraId="3E83F3F3">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color w:val="000000" w:themeColor="text1"/>
          <w:highlight w:val="none"/>
          <w14:textFill>
            <w14:solidFill>
              <w14:schemeClr w14:val="tx1"/>
            </w14:solidFill>
          </w14:textFill>
        </w:rPr>
        <w:t>乙方：【              】</w:t>
      </w:r>
    </w:p>
    <w:p w14:paraId="67329501">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color w:val="000000" w:themeColor="text1"/>
          <w:highlight w:val="none"/>
          <w14:textFill>
            <w14:solidFill>
              <w14:schemeClr w14:val="tx1"/>
            </w14:solidFill>
          </w14:textFill>
        </w:rPr>
        <w:t>地址：【           】</w:t>
      </w:r>
    </w:p>
    <w:p w14:paraId="1A8B3E80">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color w:val="000000" w:themeColor="text1"/>
          <w:highlight w:val="none"/>
          <w14:textFill>
            <w14:solidFill>
              <w14:schemeClr w14:val="tx1"/>
            </w14:solidFill>
          </w14:textFill>
        </w:rPr>
        <w:t>收件人：【               】</w:t>
      </w:r>
    </w:p>
    <w:p w14:paraId="6AE986FE">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color w:val="000000" w:themeColor="text1"/>
          <w:highlight w:val="none"/>
          <w14:textFill>
            <w14:solidFill>
              <w14:schemeClr w14:val="tx1"/>
            </w14:solidFill>
          </w14:textFill>
        </w:rPr>
        <w:t>电话：【            】</w:t>
      </w:r>
    </w:p>
    <w:p w14:paraId="1BECBDF4">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color w:val="000000" w:themeColor="text1"/>
          <w:highlight w:val="none"/>
          <w14:textFill>
            <w14:solidFill>
              <w14:schemeClr w14:val="tx1"/>
            </w14:solidFill>
          </w14:textFill>
        </w:rPr>
        <w:t>电子邮件：【         】</w:t>
      </w:r>
    </w:p>
    <w:p w14:paraId="644000E5">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color w:val="000000" w:themeColor="text1"/>
          <w:highlight w:val="none"/>
          <w14:textFill>
            <w14:solidFill>
              <w14:schemeClr w14:val="tx1"/>
            </w14:solidFill>
          </w14:textFill>
        </w:rPr>
      </w:pPr>
      <w:r>
        <w:rPr>
          <w:rFonts w:hint="eastAsia" w:ascii="微软雅黑" w:hAnsi="微软雅黑" w:eastAsia="微软雅黑" w:cs="微软雅黑"/>
          <w:color w:val="000000" w:themeColor="text1"/>
          <w:highlight w:val="none"/>
          <w14:textFill>
            <w14:solidFill>
              <w14:schemeClr w14:val="tx1"/>
            </w14:solidFill>
          </w14:textFill>
        </w:rPr>
        <w:t>重要事项均应以书面形式送交对方签收或按协议约定地址邮寄送达，一经签收或邮寄后即视为对方已收到。</w:t>
      </w:r>
    </w:p>
    <w:p w14:paraId="37E3CB0E">
      <w:pPr>
        <w:keepNext w:val="0"/>
        <w:keepLines w:val="0"/>
        <w:pageBreakBefore w:val="0"/>
        <w:kinsoku/>
        <w:wordWrap/>
        <w:overflowPunct/>
        <w:topLinePunct w:val="0"/>
        <w:autoSpaceDE/>
        <w:autoSpaceDN/>
        <w:bidi w:val="0"/>
        <w:adjustRightInd w:val="0"/>
        <w:snapToGrid w:val="0"/>
        <w:spacing w:beforeAutospacing="0" w:after="0" w:afterAutospacing="0" w:line="240" w:lineRule="auto"/>
        <w:ind w:left="5400" w:hanging="5400"/>
        <w:jc w:val="left"/>
        <w:textAlignment w:val="auto"/>
        <w:rPr>
          <w:rFonts w:hint="eastAsia" w:ascii="微软雅黑" w:hAnsi="微软雅黑" w:eastAsia="微软雅黑" w:cs="微软雅黑"/>
          <w:bCs/>
          <w:highlight w:val="none"/>
        </w:rPr>
      </w:pPr>
    </w:p>
    <w:p w14:paraId="2D0E9136">
      <w:pPr>
        <w:keepNext w:val="0"/>
        <w:keepLines w:val="0"/>
        <w:pageBreakBefore w:val="0"/>
        <w:kinsoku/>
        <w:wordWrap/>
        <w:overflowPunct/>
        <w:topLinePunct w:val="0"/>
        <w:autoSpaceDE/>
        <w:autoSpaceDN/>
        <w:bidi w:val="0"/>
        <w:adjustRightInd w:val="0"/>
        <w:snapToGrid w:val="0"/>
        <w:spacing w:beforeAutospacing="0" w:after="0" w:afterAutospacing="0" w:line="240" w:lineRule="auto"/>
        <w:ind w:left="5400" w:hanging="5400"/>
        <w:jc w:val="left"/>
        <w:textAlignment w:val="auto"/>
        <w:rPr>
          <w:rFonts w:hint="eastAsia" w:ascii="微软雅黑" w:hAnsi="微软雅黑" w:eastAsia="微软雅黑" w:cs="微软雅黑"/>
          <w:bCs/>
          <w:highlight w:val="none"/>
        </w:rPr>
      </w:pPr>
      <w:r>
        <w:rPr>
          <w:rFonts w:hint="eastAsia" w:ascii="微软雅黑" w:hAnsi="微软雅黑" w:eastAsia="微软雅黑" w:cs="微软雅黑"/>
          <w:bCs/>
          <w:highlight w:val="none"/>
        </w:rPr>
        <w:t>甲方:（盖章）                                  乙方：（盖章）</w:t>
      </w:r>
    </w:p>
    <w:p w14:paraId="23F7F687">
      <w:pPr>
        <w:keepNext w:val="0"/>
        <w:keepLines w:val="0"/>
        <w:pageBreakBefore w:val="0"/>
        <w:kinsoku/>
        <w:wordWrap/>
        <w:overflowPunct/>
        <w:topLinePunct w:val="0"/>
        <w:autoSpaceDE/>
        <w:autoSpaceDN/>
        <w:bidi w:val="0"/>
        <w:adjustRightInd w:val="0"/>
        <w:snapToGrid w:val="0"/>
        <w:spacing w:beforeAutospacing="0" w:after="0" w:afterAutospacing="0" w:line="240" w:lineRule="auto"/>
        <w:jc w:val="left"/>
        <w:textAlignment w:val="auto"/>
        <w:rPr>
          <w:rFonts w:hint="eastAsia" w:ascii="微软雅黑" w:hAnsi="微软雅黑" w:eastAsia="微软雅黑" w:cs="微软雅黑"/>
          <w:highlight w:val="none"/>
        </w:rPr>
      </w:pPr>
    </w:p>
    <w:p w14:paraId="7B7EF792">
      <w:pPr>
        <w:keepNext w:val="0"/>
        <w:keepLines w:val="0"/>
        <w:pageBreakBefore w:val="0"/>
        <w:kinsoku/>
        <w:wordWrap/>
        <w:overflowPunct/>
        <w:topLinePunct w:val="0"/>
        <w:autoSpaceDE/>
        <w:autoSpaceDN/>
        <w:bidi w:val="0"/>
        <w:adjustRightInd w:val="0"/>
        <w:snapToGrid w:val="0"/>
        <w:spacing w:beforeAutospacing="0" w:after="0" w:afterAutospacing="0" w:line="240" w:lineRule="auto"/>
        <w:jc w:val="lef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法定代表人或授权代表：                         法定代表人或授权代表：</w:t>
      </w:r>
    </w:p>
    <w:p w14:paraId="2ABC4C21">
      <w:pPr>
        <w:keepNext w:val="0"/>
        <w:keepLines w:val="0"/>
        <w:pageBreakBefore w:val="0"/>
        <w:kinsoku/>
        <w:wordWrap/>
        <w:overflowPunct/>
        <w:topLinePunct w:val="0"/>
        <w:autoSpaceDE/>
        <w:autoSpaceDN/>
        <w:bidi w:val="0"/>
        <w:adjustRightInd w:val="0"/>
        <w:snapToGrid w:val="0"/>
        <w:spacing w:beforeAutospacing="0" w:after="0" w:afterAutospacing="0" w:line="240" w:lineRule="auto"/>
        <w:jc w:val="lef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（签字）                                      （签字）</w:t>
      </w:r>
    </w:p>
    <w:p w14:paraId="60255339">
      <w:pPr>
        <w:keepNext w:val="0"/>
        <w:keepLines w:val="0"/>
        <w:pageBreakBefore w:val="0"/>
        <w:kinsoku/>
        <w:wordWrap/>
        <w:overflowPunct/>
        <w:topLinePunct w:val="0"/>
        <w:autoSpaceDE/>
        <w:autoSpaceDN/>
        <w:bidi w:val="0"/>
        <w:adjustRightInd w:val="0"/>
        <w:snapToGrid w:val="0"/>
        <w:spacing w:beforeAutospacing="0" w:after="0" w:afterAutospacing="0" w:line="240" w:lineRule="auto"/>
        <w:jc w:val="left"/>
        <w:textAlignment w:val="auto"/>
        <w:rPr>
          <w:rFonts w:hint="eastAsia" w:ascii="微软雅黑" w:hAnsi="微软雅黑" w:eastAsia="微软雅黑" w:cs="微软雅黑"/>
          <w:highlight w:val="none"/>
        </w:rPr>
      </w:pPr>
    </w:p>
    <w:p w14:paraId="1FE4978C">
      <w:pPr>
        <w:keepNext w:val="0"/>
        <w:keepLines w:val="0"/>
        <w:pageBreakBefore w:val="0"/>
        <w:kinsoku/>
        <w:wordWrap/>
        <w:overflowPunct/>
        <w:topLinePunct w:val="0"/>
        <w:autoSpaceDE/>
        <w:autoSpaceDN/>
        <w:bidi w:val="0"/>
        <w:adjustRightInd w:val="0"/>
        <w:snapToGrid w:val="0"/>
        <w:spacing w:beforeAutospacing="0" w:after="0" w:afterAutospacing="0" w:line="240" w:lineRule="auto"/>
        <w:jc w:val="left"/>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日期：   年   月   日                          日期：  年   月   日</w:t>
      </w:r>
    </w:p>
    <w:p w14:paraId="07B49D47">
      <w:pPr>
        <w:keepNext w:val="0"/>
        <w:keepLines w:val="0"/>
        <w:pageBreakBefore w:val="0"/>
        <w:kinsoku/>
        <w:wordWrap/>
        <w:overflowPunct/>
        <w:topLinePunct w:val="0"/>
        <w:autoSpaceDE/>
        <w:autoSpaceDN/>
        <w:bidi w:val="0"/>
        <w:spacing w:beforeAutospacing="0" w:after="0" w:afterAutospacing="0" w:line="240" w:lineRule="auto"/>
        <w:textAlignment w:val="auto"/>
        <w:rPr>
          <w:rFonts w:hint="eastAsia" w:ascii="微软雅黑" w:hAnsi="微软雅黑" w:eastAsia="微软雅黑" w:cs="微软雅黑"/>
          <w:highlight w:val="none"/>
        </w:rPr>
      </w:pPr>
    </w:p>
    <w:p w14:paraId="5DE5DC29">
      <w:pPr>
        <w:pStyle w:val="24"/>
        <w:rPr>
          <w:rFonts w:hint="eastAsia" w:ascii="微软雅黑" w:hAnsi="微软雅黑" w:eastAsia="微软雅黑" w:cs="微软雅黑"/>
          <w:b/>
          <w:sz w:val="22"/>
          <w:szCs w:val="22"/>
          <w:highlight w:val="none"/>
          <w:lang w:val="en-US" w:eastAsia="zh-CN"/>
        </w:rPr>
      </w:pPr>
    </w:p>
    <w:sectPr>
      <w:footerReference r:id="rId9" w:type="default"/>
      <w:pgSz w:w="11906" w:h="16838"/>
      <w:pgMar w:top="1417" w:right="1417" w:bottom="1417" w:left="1417" w:header="851" w:footer="992" w:gutter="0"/>
      <w:cols w:space="720" w:num="1"/>
      <w:titlePg/>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960C2">
    <w:pPr>
      <w:pStyle w:val="20"/>
      <w:framePr w:wrap="around" w:vAnchor="text" w:hAnchor="margin" w:xAlign="center" w:y="1"/>
      <w:rPr>
        <w:rStyle w:val="33"/>
        <w:rFonts w:hint="eastAsia"/>
      </w:rPr>
    </w:pPr>
    <w:r>
      <w:fldChar w:fldCharType="begin"/>
    </w:r>
    <w:r>
      <w:rPr>
        <w:rStyle w:val="33"/>
      </w:rPr>
      <w:instrText xml:space="preserve">PAGE  </w:instrText>
    </w:r>
    <w:r>
      <w:rPr>
        <w:rFonts w:hint="eastAsia"/>
      </w:rPr>
      <w:fldChar w:fldCharType="separate"/>
    </w:r>
    <w:r>
      <w:fldChar w:fldCharType="end"/>
    </w:r>
  </w:p>
  <w:p w14:paraId="4109EF1E">
    <w:pPr>
      <w:pStyle w:val="2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363B3">
    <w:pPr>
      <w:pStyle w:val="20"/>
      <w:framePr w:wrap="around" w:vAnchor="text" w:hAnchor="margin" w:xAlign="center" w:y="1"/>
      <w:rPr>
        <w:rStyle w:val="33"/>
        <w:rFonts w:hint="eastAsia"/>
      </w:rPr>
    </w:pPr>
    <w:r>
      <w:fldChar w:fldCharType="begin"/>
    </w:r>
    <w:r>
      <w:rPr>
        <w:rStyle w:val="33"/>
      </w:rPr>
      <w:instrText xml:space="preserve">PAGE  </w:instrText>
    </w:r>
    <w:r>
      <w:rPr>
        <w:rFonts w:hint="eastAsia"/>
      </w:rPr>
      <w:fldChar w:fldCharType="separate"/>
    </w:r>
    <w:r>
      <w:fldChar w:fldCharType="end"/>
    </w:r>
  </w:p>
  <w:p w14:paraId="1079A887">
    <w:pPr>
      <w:pStyle w:val="2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23DA1">
    <w:pPr>
      <w:pStyle w:val="20"/>
      <w:jc w:val="cen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C9A31">
    <w:pPr>
      <w:pStyle w:val="21"/>
      <w:jc w:val="both"/>
      <w:rPr>
        <w:rFonts w:hint="eastAsia"/>
      </w:rPr>
    </w:pPr>
    <w:r>
      <w:rPr>
        <w:rFonts w:hint="eastAsia"/>
      </w:rPr>
      <w:t>合肥市包河区城市更新建设有限公司-招标文件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86A5C">
    <w:pPr>
      <w:pStyle w:val="21"/>
      <w:jc w:val="both"/>
      <w:rPr>
        <w:rFonts w:hint="eastAsia" w:ascii="微软雅黑" w:hAnsi="微软雅黑" w:eastAsia="微软雅黑" w:cs="微软雅黑"/>
      </w:rPr>
    </w:pPr>
    <w:r>
      <w:rPr>
        <w:rFonts w:hint="eastAsia" w:ascii="微软雅黑" w:hAnsi="微软雅黑" w:eastAsia="微软雅黑" w:cs="微软雅黑"/>
      </w:rPr>
      <w:t>合肥市包河区城市更新建设有限公司-招标文件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AFC775"/>
    <w:multiLevelType w:val="singleLevel"/>
    <w:tmpl w:val="95AFC775"/>
    <w:lvl w:ilvl="0" w:tentative="0">
      <w:start w:val="1"/>
      <w:numFmt w:val="decimal"/>
      <w:lvlText w:val="%1."/>
      <w:lvlJc w:val="left"/>
      <w:pPr>
        <w:ind w:left="425" w:hanging="425"/>
      </w:pPr>
      <w:rPr>
        <w:rFonts w:hint="default"/>
      </w:rPr>
    </w:lvl>
  </w:abstractNum>
  <w:abstractNum w:abstractNumId="1">
    <w:nsid w:val="997270C2"/>
    <w:multiLevelType w:val="singleLevel"/>
    <w:tmpl w:val="997270C2"/>
    <w:lvl w:ilvl="0" w:tentative="0">
      <w:start w:val="2"/>
      <w:numFmt w:val="chineseCounting"/>
      <w:suff w:val="nothing"/>
      <w:lvlText w:val="%1、"/>
      <w:lvlJc w:val="left"/>
      <w:rPr>
        <w:rFonts w:hint="eastAsia"/>
      </w:rPr>
    </w:lvl>
  </w:abstractNum>
  <w:abstractNum w:abstractNumId="2">
    <w:nsid w:val="9D87BF1A"/>
    <w:multiLevelType w:val="singleLevel"/>
    <w:tmpl w:val="9D87BF1A"/>
    <w:lvl w:ilvl="0" w:tentative="0">
      <w:start w:val="1"/>
      <w:numFmt w:val="chineseCounting"/>
      <w:suff w:val="space"/>
      <w:lvlText w:val="%1、"/>
      <w:lvlJc w:val="left"/>
      <w:rPr>
        <w:rFonts w:hint="eastAsia"/>
      </w:rPr>
    </w:lvl>
  </w:abstractNum>
  <w:abstractNum w:abstractNumId="3">
    <w:nsid w:val="A9E41B90"/>
    <w:multiLevelType w:val="singleLevel"/>
    <w:tmpl w:val="A9E41B90"/>
    <w:lvl w:ilvl="0" w:tentative="0">
      <w:start w:val="1"/>
      <w:numFmt w:val="decimal"/>
      <w:lvlText w:val="%1."/>
      <w:lvlJc w:val="left"/>
      <w:pPr>
        <w:tabs>
          <w:tab w:val="left" w:pos="312"/>
        </w:tabs>
      </w:pPr>
    </w:lvl>
  </w:abstractNum>
  <w:abstractNum w:abstractNumId="4">
    <w:nsid w:val="26D244BA"/>
    <w:multiLevelType w:val="singleLevel"/>
    <w:tmpl w:val="26D244BA"/>
    <w:lvl w:ilvl="0" w:tentative="0">
      <w:start w:val="1"/>
      <w:numFmt w:val="decimal"/>
      <w:lvlText w:val="%1."/>
      <w:lvlJc w:val="left"/>
      <w:pPr>
        <w:ind w:left="425" w:hanging="425"/>
      </w:pPr>
      <w:rPr>
        <w:rFonts w:hint="default"/>
      </w:rPr>
    </w:lvl>
  </w:abstractNum>
  <w:abstractNum w:abstractNumId="5">
    <w:nsid w:val="465C09E2"/>
    <w:multiLevelType w:val="multilevel"/>
    <w:tmpl w:val="465C09E2"/>
    <w:lvl w:ilvl="0" w:tentative="0">
      <w:start w:val="1"/>
      <w:numFmt w:val="decimal"/>
      <w:lvlText w:val="%1"/>
      <w:lvlJc w:val="left"/>
      <w:pPr>
        <w:ind w:left="420" w:hanging="420"/>
      </w:pPr>
      <w:rPr>
        <w:rFonts w:hint="default"/>
      </w:rPr>
    </w:lvl>
    <w:lvl w:ilvl="1" w:tentative="0">
      <w:start w:val="1"/>
      <w:numFmt w:val="decimal"/>
      <w:lvlText w:val="%1.%2"/>
      <w:lvlJc w:val="left"/>
      <w:pPr>
        <w:ind w:left="420" w:hanging="4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abstractNum w:abstractNumId="6">
    <w:nsid w:val="7252CB1E"/>
    <w:multiLevelType w:val="singleLevel"/>
    <w:tmpl w:val="7252CB1E"/>
    <w:lvl w:ilvl="0" w:tentative="0">
      <w:start w:val="1"/>
      <w:numFmt w:val="decimal"/>
      <w:lvlText w:val="%1."/>
      <w:lvlJc w:val="left"/>
      <w:pPr>
        <w:ind w:left="425" w:hanging="425"/>
      </w:pPr>
      <w:rPr>
        <w:rFonts w:hint="default"/>
      </w:rPr>
    </w:lvl>
  </w:abstractNum>
  <w:num w:numId="1">
    <w:abstractNumId w:val="4"/>
  </w:num>
  <w:num w:numId="2">
    <w:abstractNumId w:val="6"/>
  </w:num>
  <w:num w:numId="3">
    <w:abstractNumId w:val="1"/>
  </w:num>
  <w:num w:numId="4">
    <w:abstractNumId w:val="3"/>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mNWFiZGUyYWIyM2Y3Y2YxNmEzNGUxYzExMGRiMDkifQ=="/>
  </w:docVars>
  <w:rsids>
    <w:rsidRoot w:val="00DD25A9"/>
    <w:rsid w:val="0001075D"/>
    <w:rsid w:val="00016510"/>
    <w:rsid w:val="0003050B"/>
    <w:rsid w:val="00033B17"/>
    <w:rsid w:val="00034569"/>
    <w:rsid w:val="0003585D"/>
    <w:rsid w:val="0003738A"/>
    <w:rsid w:val="00041952"/>
    <w:rsid w:val="00046740"/>
    <w:rsid w:val="00046E24"/>
    <w:rsid w:val="0005469B"/>
    <w:rsid w:val="00066D0A"/>
    <w:rsid w:val="00075CE0"/>
    <w:rsid w:val="00091236"/>
    <w:rsid w:val="000A668A"/>
    <w:rsid w:val="000E2C79"/>
    <w:rsid w:val="000E4E0E"/>
    <w:rsid w:val="000E4F1A"/>
    <w:rsid w:val="00123F38"/>
    <w:rsid w:val="001576F3"/>
    <w:rsid w:val="001821D9"/>
    <w:rsid w:val="00197033"/>
    <w:rsid w:val="001A632E"/>
    <w:rsid w:val="001A6430"/>
    <w:rsid w:val="001B0F7D"/>
    <w:rsid w:val="001C275E"/>
    <w:rsid w:val="001D27CC"/>
    <w:rsid w:val="001D653F"/>
    <w:rsid w:val="001E6686"/>
    <w:rsid w:val="001F0665"/>
    <w:rsid w:val="002149E6"/>
    <w:rsid w:val="00224F58"/>
    <w:rsid w:val="00225728"/>
    <w:rsid w:val="0024081B"/>
    <w:rsid w:val="00241DBE"/>
    <w:rsid w:val="00243075"/>
    <w:rsid w:val="0024429E"/>
    <w:rsid w:val="00244CB3"/>
    <w:rsid w:val="002460BF"/>
    <w:rsid w:val="00252956"/>
    <w:rsid w:val="00254D25"/>
    <w:rsid w:val="002556AC"/>
    <w:rsid w:val="00276A92"/>
    <w:rsid w:val="00287935"/>
    <w:rsid w:val="00296E8D"/>
    <w:rsid w:val="002D7379"/>
    <w:rsid w:val="002F0D1E"/>
    <w:rsid w:val="002F67F3"/>
    <w:rsid w:val="003148A9"/>
    <w:rsid w:val="003175B4"/>
    <w:rsid w:val="00320A1F"/>
    <w:rsid w:val="00341CEB"/>
    <w:rsid w:val="003422DE"/>
    <w:rsid w:val="003450C2"/>
    <w:rsid w:val="00376DED"/>
    <w:rsid w:val="00382F89"/>
    <w:rsid w:val="0039063B"/>
    <w:rsid w:val="00393289"/>
    <w:rsid w:val="00394FB5"/>
    <w:rsid w:val="0039762C"/>
    <w:rsid w:val="003A00EF"/>
    <w:rsid w:val="003B12D3"/>
    <w:rsid w:val="003B2760"/>
    <w:rsid w:val="003B458B"/>
    <w:rsid w:val="003D2D1B"/>
    <w:rsid w:val="003D7EA0"/>
    <w:rsid w:val="003F2E6E"/>
    <w:rsid w:val="003F4454"/>
    <w:rsid w:val="003F7FE0"/>
    <w:rsid w:val="004012C1"/>
    <w:rsid w:val="004163BC"/>
    <w:rsid w:val="00431290"/>
    <w:rsid w:val="00437F28"/>
    <w:rsid w:val="00443945"/>
    <w:rsid w:val="00452BB8"/>
    <w:rsid w:val="004543E3"/>
    <w:rsid w:val="00470AE1"/>
    <w:rsid w:val="004714CE"/>
    <w:rsid w:val="0047592E"/>
    <w:rsid w:val="00483330"/>
    <w:rsid w:val="00486C9C"/>
    <w:rsid w:val="00493DCC"/>
    <w:rsid w:val="004A5674"/>
    <w:rsid w:val="004C3D1A"/>
    <w:rsid w:val="004D51BF"/>
    <w:rsid w:val="004F42CF"/>
    <w:rsid w:val="004F5CDE"/>
    <w:rsid w:val="00505141"/>
    <w:rsid w:val="00512BE8"/>
    <w:rsid w:val="005170B3"/>
    <w:rsid w:val="00527253"/>
    <w:rsid w:val="00535656"/>
    <w:rsid w:val="005465BF"/>
    <w:rsid w:val="0055036C"/>
    <w:rsid w:val="0055050E"/>
    <w:rsid w:val="0056051E"/>
    <w:rsid w:val="005831BC"/>
    <w:rsid w:val="00590BEF"/>
    <w:rsid w:val="005968EC"/>
    <w:rsid w:val="00597D61"/>
    <w:rsid w:val="005A7048"/>
    <w:rsid w:val="005B61DD"/>
    <w:rsid w:val="005D1FD9"/>
    <w:rsid w:val="005D36F4"/>
    <w:rsid w:val="006067DB"/>
    <w:rsid w:val="00617FBE"/>
    <w:rsid w:val="006232FB"/>
    <w:rsid w:val="00625939"/>
    <w:rsid w:val="00631634"/>
    <w:rsid w:val="0063485D"/>
    <w:rsid w:val="00640CE5"/>
    <w:rsid w:val="00642833"/>
    <w:rsid w:val="00656C30"/>
    <w:rsid w:val="00660812"/>
    <w:rsid w:val="0066408A"/>
    <w:rsid w:val="006770CF"/>
    <w:rsid w:val="006820FA"/>
    <w:rsid w:val="006A36E9"/>
    <w:rsid w:val="006A4936"/>
    <w:rsid w:val="006B6D20"/>
    <w:rsid w:val="006C2953"/>
    <w:rsid w:val="006C4D0B"/>
    <w:rsid w:val="006D3091"/>
    <w:rsid w:val="006E1128"/>
    <w:rsid w:val="006E1986"/>
    <w:rsid w:val="006E5731"/>
    <w:rsid w:val="006E7F15"/>
    <w:rsid w:val="006F20EA"/>
    <w:rsid w:val="007043C4"/>
    <w:rsid w:val="0073639A"/>
    <w:rsid w:val="00736EAF"/>
    <w:rsid w:val="00741381"/>
    <w:rsid w:val="00742970"/>
    <w:rsid w:val="00746DDD"/>
    <w:rsid w:val="00747610"/>
    <w:rsid w:val="00747CDA"/>
    <w:rsid w:val="00763F7A"/>
    <w:rsid w:val="007643A9"/>
    <w:rsid w:val="00774ABF"/>
    <w:rsid w:val="00785596"/>
    <w:rsid w:val="00795343"/>
    <w:rsid w:val="00797425"/>
    <w:rsid w:val="007A1376"/>
    <w:rsid w:val="007A4458"/>
    <w:rsid w:val="007A58CD"/>
    <w:rsid w:val="007A6A72"/>
    <w:rsid w:val="007A7034"/>
    <w:rsid w:val="007B5EAE"/>
    <w:rsid w:val="007E0280"/>
    <w:rsid w:val="007E428E"/>
    <w:rsid w:val="007E5CEF"/>
    <w:rsid w:val="007E6298"/>
    <w:rsid w:val="007F0F85"/>
    <w:rsid w:val="007F32DE"/>
    <w:rsid w:val="00817E79"/>
    <w:rsid w:val="008218C3"/>
    <w:rsid w:val="00824835"/>
    <w:rsid w:val="00833325"/>
    <w:rsid w:val="00837252"/>
    <w:rsid w:val="0084076C"/>
    <w:rsid w:val="0084132F"/>
    <w:rsid w:val="00850697"/>
    <w:rsid w:val="008516D5"/>
    <w:rsid w:val="008610A7"/>
    <w:rsid w:val="0088095A"/>
    <w:rsid w:val="008862B0"/>
    <w:rsid w:val="008867B8"/>
    <w:rsid w:val="008938D0"/>
    <w:rsid w:val="008B1077"/>
    <w:rsid w:val="008B7F52"/>
    <w:rsid w:val="008D09E7"/>
    <w:rsid w:val="008D5298"/>
    <w:rsid w:val="008F0C92"/>
    <w:rsid w:val="008F77BE"/>
    <w:rsid w:val="009102AF"/>
    <w:rsid w:val="0091566D"/>
    <w:rsid w:val="009162DC"/>
    <w:rsid w:val="00920ED5"/>
    <w:rsid w:val="00935CF5"/>
    <w:rsid w:val="00952D62"/>
    <w:rsid w:val="00956ECB"/>
    <w:rsid w:val="00963B39"/>
    <w:rsid w:val="009705E7"/>
    <w:rsid w:val="009722C3"/>
    <w:rsid w:val="00993D19"/>
    <w:rsid w:val="009967DF"/>
    <w:rsid w:val="009C1A24"/>
    <w:rsid w:val="009D0DDC"/>
    <w:rsid w:val="009E5BAA"/>
    <w:rsid w:val="009F7B3A"/>
    <w:rsid w:val="00A00447"/>
    <w:rsid w:val="00A1195F"/>
    <w:rsid w:val="00A23657"/>
    <w:rsid w:val="00A247F8"/>
    <w:rsid w:val="00A27840"/>
    <w:rsid w:val="00A27AC1"/>
    <w:rsid w:val="00A35853"/>
    <w:rsid w:val="00A3669A"/>
    <w:rsid w:val="00A55287"/>
    <w:rsid w:val="00A71C56"/>
    <w:rsid w:val="00A82C17"/>
    <w:rsid w:val="00A849AF"/>
    <w:rsid w:val="00A9677B"/>
    <w:rsid w:val="00AA3008"/>
    <w:rsid w:val="00AA3D03"/>
    <w:rsid w:val="00AA519D"/>
    <w:rsid w:val="00AA7AEC"/>
    <w:rsid w:val="00AB2865"/>
    <w:rsid w:val="00AD6E51"/>
    <w:rsid w:val="00AE257A"/>
    <w:rsid w:val="00AF231C"/>
    <w:rsid w:val="00B02FA1"/>
    <w:rsid w:val="00B0493E"/>
    <w:rsid w:val="00B05E50"/>
    <w:rsid w:val="00B2396E"/>
    <w:rsid w:val="00B25AD7"/>
    <w:rsid w:val="00B92472"/>
    <w:rsid w:val="00BA0017"/>
    <w:rsid w:val="00BA51EC"/>
    <w:rsid w:val="00BB1658"/>
    <w:rsid w:val="00BC0144"/>
    <w:rsid w:val="00BD17AC"/>
    <w:rsid w:val="00BD5B29"/>
    <w:rsid w:val="00BE4D0E"/>
    <w:rsid w:val="00BE7EE3"/>
    <w:rsid w:val="00BF34F1"/>
    <w:rsid w:val="00BF6EC0"/>
    <w:rsid w:val="00C076A6"/>
    <w:rsid w:val="00C206E1"/>
    <w:rsid w:val="00C232AB"/>
    <w:rsid w:val="00C24F2E"/>
    <w:rsid w:val="00C258C8"/>
    <w:rsid w:val="00C34C73"/>
    <w:rsid w:val="00C3638C"/>
    <w:rsid w:val="00C509FC"/>
    <w:rsid w:val="00C553AD"/>
    <w:rsid w:val="00C603D7"/>
    <w:rsid w:val="00C7257B"/>
    <w:rsid w:val="00C9685D"/>
    <w:rsid w:val="00C96D4D"/>
    <w:rsid w:val="00CC52EC"/>
    <w:rsid w:val="00CC6AD3"/>
    <w:rsid w:val="00CF27FC"/>
    <w:rsid w:val="00D0557B"/>
    <w:rsid w:val="00D16C1A"/>
    <w:rsid w:val="00D172CF"/>
    <w:rsid w:val="00D34EFC"/>
    <w:rsid w:val="00D41A21"/>
    <w:rsid w:val="00D56EA3"/>
    <w:rsid w:val="00D611BE"/>
    <w:rsid w:val="00D64C06"/>
    <w:rsid w:val="00D64EC3"/>
    <w:rsid w:val="00D84A84"/>
    <w:rsid w:val="00D864CC"/>
    <w:rsid w:val="00DB195C"/>
    <w:rsid w:val="00DB4FC1"/>
    <w:rsid w:val="00DC0C33"/>
    <w:rsid w:val="00DD25A9"/>
    <w:rsid w:val="00DD2E1E"/>
    <w:rsid w:val="00DE4649"/>
    <w:rsid w:val="00DE76E9"/>
    <w:rsid w:val="00DF3BA2"/>
    <w:rsid w:val="00E02410"/>
    <w:rsid w:val="00E0634E"/>
    <w:rsid w:val="00E1336B"/>
    <w:rsid w:val="00E33B42"/>
    <w:rsid w:val="00E4484F"/>
    <w:rsid w:val="00E61C2F"/>
    <w:rsid w:val="00E636BF"/>
    <w:rsid w:val="00E71A03"/>
    <w:rsid w:val="00E72CCC"/>
    <w:rsid w:val="00E80500"/>
    <w:rsid w:val="00E86AD0"/>
    <w:rsid w:val="00E973BE"/>
    <w:rsid w:val="00EC04DF"/>
    <w:rsid w:val="00EC05E3"/>
    <w:rsid w:val="00ED0FFD"/>
    <w:rsid w:val="00EE63A1"/>
    <w:rsid w:val="00EF316E"/>
    <w:rsid w:val="00EF3D98"/>
    <w:rsid w:val="00F024FC"/>
    <w:rsid w:val="00F06A6A"/>
    <w:rsid w:val="00F112C0"/>
    <w:rsid w:val="00F36366"/>
    <w:rsid w:val="00F568E6"/>
    <w:rsid w:val="00F705D5"/>
    <w:rsid w:val="00F75BE8"/>
    <w:rsid w:val="00F8325C"/>
    <w:rsid w:val="00FA3068"/>
    <w:rsid w:val="00FB2E99"/>
    <w:rsid w:val="00FB59A2"/>
    <w:rsid w:val="00FC031C"/>
    <w:rsid w:val="00FC1A9F"/>
    <w:rsid w:val="00FD279F"/>
    <w:rsid w:val="00FD67D1"/>
    <w:rsid w:val="00FF54BE"/>
    <w:rsid w:val="01532E60"/>
    <w:rsid w:val="02A97C8B"/>
    <w:rsid w:val="03A81E16"/>
    <w:rsid w:val="04344C04"/>
    <w:rsid w:val="04624686"/>
    <w:rsid w:val="062F69B1"/>
    <w:rsid w:val="06905732"/>
    <w:rsid w:val="06BE6445"/>
    <w:rsid w:val="0A28331E"/>
    <w:rsid w:val="0A8425C1"/>
    <w:rsid w:val="0B8B7DF8"/>
    <w:rsid w:val="0BC73852"/>
    <w:rsid w:val="0BD9540F"/>
    <w:rsid w:val="0C963376"/>
    <w:rsid w:val="0CA82AC4"/>
    <w:rsid w:val="0D9813FB"/>
    <w:rsid w:val="0E4B63E2"/>
    <w:rsid w:val="0E664FCA"/>
    <w:rsid w:val="0EAA4EB7"/>
    <w:rsid w:val="0EE54141"/>
    <w:rsid w:val="10AE6120"/>
    <w:rsid w:val="113F222E"/>
    <w:rsid w:val="11437FDD"/>
    <w:rsid w:val="11A83E70"/>
    <w:rsid w:val="12606D73"/>
    <w:rsid w:val="12972340"/>
    <w:rsid w:val="130D0956"/>
    <w:rsid w:val="130F79DE"/>
    <w:rsid w:val="142F15AD"/>
    <w:rsid w:val="148B75BC"/>
    <w:rsid w:val="149144EC"/>
    <w:rsid w:val="149F2FE4"/>
    <w:rsid w:val="15E73D85"/>
    <w:rsid w:val="168460D8"/>
    <w:rsid w:val="17CC1893"/>
    <w:rsid w:val="18A63E03"/>
    <w:rsid w:val="199E386A"/>
    <w:rsid w:val="19FD4A34"/>
    <w:rsid w:val="1BE3639A"/>
    <w:rsid w:val="1C5E514E"/>
    <w:rsid w:val="1D3E230B"/>
    <w:rsid w:val="1DCD24F2"/>
    <w:rsid w:val="1E2E78B2"/>
    <w:rsid w:val="1E843A1B"/>
    <w:rsid w:val="1F34435E"/>
    <w:rsid w:val="209156F1"/>
    <w:rsid w:val="209357F1"/>
    <w:rsid w:val="216D64F7"/>
    <w:rsid w:val="21DF4EA7"/>
    <w:rsid w:val="22981E84"/>
    <w:rsid w:val="229D2355"/>
    <w:rsid w:val="25461841"/>
    <w:rsid w:val="25577F9C"/>
    <w:rsid w:val="28F43605"/>
    <w:rsid w:val="2B8101D0"/>
    <w:rsid w:val="2D692244"/>
    <w:rsid w:val="2DC10CE8"/>
    <w:rsid w:val="2DC5133A"/>
    <w:rsid w:val="2E4C209F"/>
    <w:rsid w:val="2F565974"/>
    <w:rsid w:val="2F865D9B"/>
    <w:rsid w:val="305D2645"/>
    <w:rsid w:val="314E1704"/>
    <w:rsid w:val="316F5DC0"/>
    <w:rsid w:val="321C75CA"/>
    <w:rsid w:val="326170DF"/>
    <w:rsid w:val="32694AB3"/>
    <w:rsid w:val="3302701B"/>
    <w:rsid w:val="334141A4"/>
    <w:rsid w:val="340C668B"/>
    <w:rsid w:val="34187305"/>
    <w:rsid w:val="34AA5361"/>
    <w:rsid w:val="355E4031"/>
    <w:rsid w:val="362F633D"/>
    <w:rsid w:val="363E7C07"/>
    <w:rsid w:val="366C4B34"/>
    <w:rsid w:val="36C86A94"/>
    <w:rsid w:val="37C624B2"/>
    <w:rsid w:val="382F4FD4"/>
    <w:rsid w:val="3891486E"/>
    <w:rsid w:val="38B05B5E"/>
    <w:rsid w:val="3A347BA7"/>
    <w:rsid w:val="3C2809C3"/>
    <w:rsid w:val="3C472D40"/>
    <w:rsid w:val="3CF04064"/>
    <w:rsid w:val="3CFD60B9"/>
    <w:rsid w:val="3E1C107E"/>
    <w:rsid w:val="3E8310FD"/>
    <w:rsid w:val="3F5B53B7"/>
    <w:rsid w:val="3FF200B1"/>
    <w:rsid w:val="40336737"/>
    <w:rsid w:val="40D519B8"/>
    <w:rsid w:val="436D39AD"/>
    <w:rsid w:val="4384520B"/>
    <w:rsid w:val="44270FE3"/>
    <w:rsid w:val="442C7B41"/>
    <w:rsid w:val="44FF48D5"/>
    <w:rsid w:val="455C6059"/>
    <w:rsid w:val="4683508A"/>
    <w:rsid w:val="4AD50A7E"/>
    <w:rsid w:val="4BCA1764"/>
    <w:rsid w:val="4BE42533"/>
    <w:rsid w:val="4C053274"/>
    <w:rsid w:val="4F8537C2"/>
    <w:rsid w:val="5099137C"/>
    <w:rsid w:val="514E2DFA"/>
    <w:rsid w:val="52A32E2E"/>
    <w:rsid w:val="553A7235"/>
    <w:rsid w:val="55A726C6"/>
    <w:rsid w:val="567F7FA4"/>
    <w:rsid w:val="569C0B56"/>
    <w:rsid w:val="56CC6A99"/>
    <w:rsid w:val="571961BE"/>
    <w:rsid w:val="58490869"/>
    <w:rsid w:val="590D1897"/>
    <w:rsid w:val="5A8470F4"/>
    <w:rsid w:val="5B476934"/>
    <w:rsid w:val="5DDA2B31"/>
    <w:rsid w:val="5EEE242A"/>
    <w:rsid w:val="5F2E65C5"/>
    <w:rsid w:val="60256EF4"/>
    <w:rsid w:val="609F6CB1"/>
    <w:rsid w:val="60A76A75"/>
    <w:rsid w:val="61C6472A"/>
    <w:rsid w:val="61E92E15"/>
    <w:rsid w:val="63C416EC"/>
    <w:rsid w:val="64C40159"/>
    <w:rsid w:val="684856D7"/>
    <w:rsid w:val="68A161F2"/>
    <w:rsid w:val="692D5480"/>
    <w:rsid w:val="69A668E3"/>
    <w:rsid w:val="6B5D1C60"/>
    <w:rsid w:val="6BA10E9F"/>
    <w:rsid w:val="6BCE3108"/>
    <w:rsid w:val="6C867D2E"/>
    <w:rsid w:val="6DDB2AEC"/>
    <w:rsid w:val="6E277267"/>
    <w:rsid w:val="70052532"/>
    <w:rsid w:val="703A4906"/>
    <w:rsid w:val="70660DD2"/>
    <w:rsid w:val="711164E0"/>
    <w:rsid w:val="71E60A7F"/>
    <w:rsid w:val="720C1815"/>
    <w:rsid w:val="73202939"/>
    <w:rsid w:val="746A1E3C"/>
    <w:rsid w:val="765E152C"/>
    <w:rsid w:val="768A2321"/>
    <w:rsid w:val="76B72234"/>
    <w:rsid w:val="770A5C85"/>
    <w:rsid w:val="78052ED4"/>
    <w:rsid w:val="7A1E34AC"/>
    <w:rsid w:val="7C487D38"/>
    <w:rsid w:val="7E8215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160" w:line="312" w:lineRule="auto"/>
    </w:pPr>
    <w:rPr>
      <w:rFonts w:asciiTheme="minorHAnsi" w:hAnsiTheme="minorHAnsi" w:eastAsiaTheme="minorEastAsia" w:cstheme="minorBidi"/>
      <w:sz w:val="21"/>
      <w:szCs w:val="21"/>
      <w:lang w:val="en-US" w:eastAsia="zh-CN" w:bidi="ar-SA"/>
    </w:rPr>
  </w:style>
  <w:style w:type="paragraph" w:styleId="2">
    <w:name w:val="heading 1"/>
    <w:basedOn w:val="1"/>
    <w:next w:val="1"/>
    <w:link w:val="39"/>
    <w:autoRedefine/>
    <w:qFormat/>
    <w:uiPriority w:val="9"/>
    <w:pPr>
      <w:keepNext/>
      <w:keepLines/>
      <w:pBdr>
        <w:left w:val="single" w:color="ED7D31" w:themeColor="accent2" w:sz="12" w:space="12"/>
      </w:pBdr>
      <w:spacing w:before="80" w:after="80" w:line="240" w:lineRule="auto"/>
      <w:outlineLvl w:val="0"/>
    </w:pPr>
    <w:rPr>
      <w:rFonts w:asciiTheme="majorHAnsi" w:hAnsiTheme="majorHAnsi" w:eastAsiaTheme="majorEastAsia" w:cstheme="majorBidi"/>
      <w:caps/>
      <w:spacing w:val="10"/>
      <w:sz w:val="36"/>
      <w:szCs w:val="36"/>
    </w:rPr>
  </w:style>
  <w:style w:type="paragraph" w:styleId="3">
    <w:name w:val="heading 2"/>
    <w:basedOn w:val="1"/>
    <w:next w:val="1"/>
    <w:link w:val="41"/>
    <w:autoRedefine/>
    <w:semiHidden/>
    <w:unhideWhenUsed/>
    <w:qFormat/>
    <w:uiPriority w:val="9"/>
    <w:pPr>
      <w:keepNext/>
      <w:keepLines/>
      <w:spacing w:before="120" w:after="0" w:line="240" w:lineRule="auto"/>
      <w:outlineLvl w:val="1"/>
    </w:pPr>
    <w:rPr>
      <w:rFonts w:asciiTheme="majorHAnsi" w:hAnsiTheme="majorHAnsi" w:eastAsiaTheme="majorEastAsia" w:cstheme="majorBidi"/>
      <w:sz w:val="36"/>
      <w:szCs w:val="36"/>
    </w:rPr>
  </w:style>
  <w:style w:type="paragraph" w:styleId="4">
    <w:name w:val="heading 3"/>
    <w:basedOn w:val="1"/>
    <w:next w:val="1"/>
    <w:link w:val="47"/>
    <w:autoRedefine/>
    <w:semiHidden/>
    <w:unhideWhenUsed/>
    <w:qFormat/>
    <w:uiPriority w:val="9"/>
    <w:pPr>
      <w:keepNext/>
      <w:keepLines/>
      <w:spacing w:before="80" w:after="0" w:line="240" w:lineRule="auto"/>
      <w:outlineLvl w:val="2"/>
    </w:pPr>
    <w:rPr>
      <w:rFonts w:asciiTheme="majorHAnsi" w:hAnsiTheme="majorHAnsi" w:eastAsiaTheme="majorEastAsia" w:cstheme="majorBidi"/>
      <w:caps/>
      <w:sz w:val="28"/>
      <w:szCs w:val="28"/>
    </w:rPr>
  </w:style>
  <w:style w:type="paragraph" w:styleId="5">
    <w:name w:val="heading 4"/>
    <w:basedOn w:val="1"/>
    <w:next w:val="1"/>
    <w:link w:val="49"/>
    <w:autoRedefine/>
    <w:semiHidden/>
    <w:unhideWhenUsed/>
    <w:qFormat/>
    <w:uiPriority w:val="9"/>
    <w:pPr>
      <w:keepNext/>
      <w:keepLines/>
      <w:spacing w:before="80" w:after="0" w:line="240" w:lineRule="auto"/>
      <w:outlineLvl w:val="3"/>
    </w:pPr>
    <w:rPr>
      <w:rFonts w:asciiTheme="majorHAnsi" w:hAnsiTheme="majorHAnsi" w:eastAsiaTheme="majorEastAsia" w:cstheme="majorBidi"/>
      <w:i/>
      <w:iCs/>
      <w:sz w:val="28"/>
      <w:szCs w:val="28"/>
    </w:rPr>
  </w:style>
  <w:style w:type="paragraph" w:styleId="6">
    <w:name w:val="heading 5"/>
    <w:basedOn w:val="1"/>
    <w:next w:val="1"/>
    <w:link w:val="54"/>
    <w:autoRedefine/>
    <w:semiHidden/>
    <w:unhideWhenUsed/>
    <w:qFormat/>
    <w:uiPriority w:val="9"/>
    <w:pPr>
      <w:keepNext/>
      <w:keepLines/>
      <w:spacing w:before="80" w:after="0" w:line="240" w:lineRule="auto"/>
      <w:outlineLvl w:val="4"/>
    </w:pPr>
    <w:rPr>
      <w:rFonts w:asciiTheme="majorHAnsi" w:hAnsiTheme="majorHAnsi" w:eastAsiaTheme="majorEastAsia" w:cstheme="majorBidi"/>
      <w:sz w:val="24"/>
      <w:szCs w:val="24"/>
    </w:rPr>
  </w:style>
  <w:style w:type="paragraph" w:styleId="7">
    <w:name w:val="heading 6"/>
    <w:basedOn w:val="1"/>
    <w:next w:val="1"/>
    <w:link w:val="55"/>
    <w:autoRedefine/>
    <w:semiHidden/>
    <w:unhideWhenUsed/>
    <w:qFormat/>
    <w:uiPriority w:val="9"/>
    <w:pPr>
      <w:keepNext/>
      <w:keepLines/>
      <w:spacing w:before="80" w:after="0" w:line="240" w:lineRule="auto"/>
      <w:outlineLvl w:val="5"/>
    </w:pPr>
    <w:rPr>
      <w:rFonts w:asciiTheme="majorHAnsi" w:hAnsiTheme="majorHAnsi" w:eastAsiaTheme="majorEastAsia" w:cstheme="majorBidi"/>
      <w:i/>
      <w:iCs/>
      <w:sz w:val="24"/>
      <w:szCs w:val="24"/>
    </w:rPr>
  </w:style>
  <w:style w:type="paragraph" w:styleId="8">
    <w:name w:val="heading 7"/>
    <w:basedOn w:val="1"/>
    <w:next w:val="1"/>
    <w:link w:val="56"/>
    <w:autoRedefine/>
    <w:semiHidden/>
    <w:unhideWhenUsed/>
    <w:qFormat/>
    <w:uiPriority w:val="9"/>
    <w:pPr>
      <w:keepNext/>
      <w:keepLines/>
      <w:spacing w:before="80" w:after="0" w:line="240" w:lineRule="auto"/>
      <w:outlineLvl w:val="6"/>
    </w:pPr>
    <w:rPr>
      <w:rFonts w:asciiTheme="majorHAnsi" w:hAnsiTheme="maj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paragraph" w:styleId="9">
    <w:name w:val="heading 8"/>
    <w:basedOn w:val="1"/>
    <w:next w:val="1"/>
    <w:link w:val="57"/>
    <w:autoRedefine/>
    <w:semiHidden/>
    <w:unhideWhenUsed/>
    <w:qFormat/>
    <w:uiPriority w:val="9"/>
    <w:pPr>
      <w:keepNext/>
      <w:keepLines/>
      <w:spacing w:before="80" w:after="0" w:line="240" w:lineRule="auto"/>
      <w:outlineLvl w:val="7"/>
    </w:pPr>
    <w:rPr>
      <w:rFonts w:asciiTheme="majorHAnsi" w:hAnsiTheme="majorHAnsi" w:eastAsiaTheme="majorEastAsia" w:cstheme="majorBidi"/>
      <w:caps/>
    </w:rPr>
  </w:style>
  <w:style w:type="paragraph" w:styleId="10">
    <w:name w:val="heading 9"/>
    <w:basedOn w:val="1"/>
    <w:next w:val="1"/>
    <w:link w:val="58"/>
    <w:autoRedefine/>
    <w:semiHidden/>
    <w:unhideWhenUsed/>
    <w:qFormat/>
    <w:uiPriority w:val="9"/>
    <w:pPr>
      <w:keepNext/>
      <w:keepLines/>
      <w:spacing w:before="80" w:after="0" w:line="240" w:lineRule="auto"/>
      <w:outlineLvl w:val="8"/>
    </w:pPr>
    <w:rPr>
      <w:rFonts w:asciiTheme="majorHAnsi" w:hAnsiTheme="majorHAnsi" w:eastAsiaTheme="majorEastAsia" w:cstheme="majorBidi"/>
      <w:i/>
      <w:iCs/>
      <w:caps/>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autoRedefine/>
    <w:semiHidden/>
    <w:unhideWhenUsed/>
    <w:qFormat/>
    <w:uiPriority w:val="35"/>
    <w:pPr>
      <w:spacing w:line="240" w:lineRule="auto"/>
    </w:pPr>
    <w:rPr>
      <w:b/>
      <w:bCs/>
      <w:color w:val="ED7D31" w:themeColor="accent2"/>
      <w:spacing w:val="10"/>
      <w:sz w:val="16"/>
      <w:szCs w:val="16"/>
      <w14:textFill>
        <w14:solidFill>
          <w14:schemeClr w14:val="accent2"/>
        </w14:solidFill>
      </w14:textFill>
    </w:rPr>
  </w:style>
  <w:style w:type="paragraph" w:styleId="12">
    <w:name w:val="annotation text"/>
    <w:basedOn w:val="1"/>
    <w:qFormat/>
    <w:uiPriority w:val="0"/>
    <w:pPr>
      <w:widowControl/>
      <w:spacing w:after="160" w:line="312" w:lineRule="auto"/>
      <w:jc w:val="left"/>
    </w:pPr>
    <w:rPr>
      <w:rFonts w:asciiTheme="minorHAnsi" w:hAnsiTheme="minorHAnsi" w:eastAsiaTheme="minorEastAsia" w:cstheme="minorBidi"/>
      <w:kern w:val="0"/>
      <w:sz w:val="21"/>
      <w:szCs w:val="21"/>
    </w:rPr>
  </w:style>
  <w:style w:type="paragraph" w:styleId="13">
    <w:name w:val="Body Text 3"/>
    <w:basedOn w:val="1"/>
    <w:link w:val="50"/>
    <w:autoRedefine/>
    <w:semiHidden/>
    <w:unhideWhenUsed/>
    <w:qFormat/>
    <w:uiPriority w:val="99"/>
    <w:pPr>
      <w:spacing w:after="120"/>
    </w:pPr>
    <w:rPr>
      <w:sz w:val="16"/>
      <w:szCs w:val="16"/>
    </w:rPr>
  </w:style>
  <w:style w:type="paragraph" w:styleId="14">
    <w:name w:val="Body Text"/>
    <w:basedOn w:val="1"/>
    <w:link w:val="42"/>
    <w:autoRedefine/>
    <w:qFormat/>
    <w:uiPriority w:val="1"/>
    <w:rPr>
      <w:rFonts w:ascii="宋体" w:hAnsi="Arial"/>
      <w:sz w:val="28"/>
    </w:rPr>
  </w:style>
  <w:style w:type="paragraph" w:styleId="15">
    <w:name w:val="Body Text Indent"/>
    <w:basedOn w:val="1"/>
    <w:next w:val="16"/>
    <w:link w:val="46"/>
    <w:autoRedefine/>
    <w:unhideWhenUsed/>
    <w:qFormat/>
    <w:uiPriority w:val="99"/>
    <w:pPr>
      <w:spacing w:after="120"/>
      <w:ind w:left="420" w:leftChars="200"/>
    </w:pPr>
  </w:style>
  <w:style w:type="paragraph" w:styleId="16">
    <w:name w:val="envelope return"/>
    <w:basedOn w:val="1"/>
    <w:autoRedefine/>
    <w:qFormat/>
    <w:uiPriority w:val="0"/>
    <w:rPr>
      <w:sz w:val="22"/>
      <w:szCs w:val="20"/>
      <w:lang w:val="en-GB" w:eastAsia="en-US"/>
    </w:rPr>
  </w:style>
  <w:style w:type="paragraph" w:styleId="17">
    <w:name w:val="toc 3"/>
    <w:basedOn w:val="1"/>
    <w:next w:val="1"/>
    <w:autoRedefine/>
    <w:unhideWhenUsed/>
    <w:qFormat/>
    <w:uiPriority w:val="39"/>
    <w:pPr>
      <w:ind w:left="840" w:leftChars="400"/>
    </w:pPr>
  </w:style>
  <w:style w:type="paragraph" w:styleId="18">
    <w:name w:val="Plain Text"/>
    <w:basedOn w:val="1"/>
    <w:link w:val="48"/>
    <w:autoRedefine/>
    <w:qFormat/>
    <w:uiPriority w:val="0"/>
    <w:rPr>
      <w:rFonts w:ascii="宋体" w:hAnsi="Courier New"/>
    </w:rPr>
  </w:style>
  <w:style w:type="paragraph" w:styleId="19">
    <w:name w:val="Date"/>
    <w:basedOn w:val="1"/>
    <w:next w:val="1"/>
    <w:link w:val="51"/>
    <w:autoRedefine/>
    <w:qFormat/>
    <w:uiPriority w:val="0"/>
    <w:rPr>
      <w:b/>
      <w:sz w:val="28"/>
    </w:rPr>
  </w:style>
  <w:style w:type="paragraph" w:styleId="20">
    <w:name w:val="footer"/>
    <w:basedOn w:val="1"/>
    <w:link w:val="38"/>
    <w:autoRedefine/>
    <w:unhideWhenUsed/>
    <w:qFormat/>
    <w:uiPriority w:val="99"/>
    <w:pPr>
      <w:tabs>
        <w:tab w:val="center" w:pos="4153"/>
        <w:tab w:val="right" w:pos="8306"/>
      </w:tabs>
      <w:snapToGrid w:val="0"/>
    </w:pPr>
    <w:rPr>
      <w:sz w:val="18"/>
      <w:szCs w:val="18"/>
    </w:rPr>
  </w:style>
  <w:style w:type="paragraph" w:styleId="21">
    <w:name w:val="header"/>
    <w:basedOn w:val="1"/>
    <w:link w:val="37"/>
    <w:autoRedefine/>
    <w:unhideWhenUsed/>
    <w:qFormat/>
    <w:uiPriority w:val="0"/>
    <w:pPr>
      <w:tabs>
        <w:tab w:val="center" w:pos="4153"/>
        <w:tab w:val="right" w:pos="8306"/>
      </w:tabs>
      <w:snapToGrid w:val="0"/>
      <w:jc w:val="center"/>
    </w:pPr>
    <w:rPr>
      <w:sz w:val="18"/>
      <w:szCs w:val="18"/>
    </w:rPr>
  </w:style>
  <w:style w:type="paragraph" w:styleId="22">
    <w:name w:val="toc 1"/>
    <w:basedOn w:val="1"/>
    <w:next w:val="1"/>
    <w:autoRedefine/>
    <w:unhideWhenUsed/>
    <w:qFormat/>
    <w:uiPriority w:val="39"/>
  </w:style>
  <w:style w:type="paragraph" w:styleId="23">
    <w:name w:val="Subtitle"/>
    <w:basedOn w:val="1"/>
    <w:next w:val="1"/>
    <w:link w:val="60"/>
    <w:autoRedefine/>
    <w:qFormat/>
    <w:uiPriority w:val="11"/>
    <w:pPr>
      <w:spacing w:after="240"/>
    </w:pPr>
    <w:rPr>
      <w:color w:val="000000" w:themeColor="text1"/>
      <w:sz w:val="24"/>
      <w:szCs w:val="24"/>
      <w14:textFill>
        <w14:solidFill>
          <w14:schemeClr w14:val="tx1"/>
        </w14:solidFill>
      </w14:textFill>
    </w:rPr>
  </w:style>
  <w:style w:type="paragraph" w:styleId="24">
    <w:name w:val="List"/>
    <w:basedOn w:val="1"/>
    <w:autoRedefine/>
    <w:qFormat/>
    <w:uiPriority w:val="0"/>
    <w:pPr>
      <w:ind w:left="200" w:hanging="200" w:hangingChars="200"/>
    </w:pPr>
    <w:rPr>
      <w:rFonts w:ascii="Calibri" w:hAnsi="Calibri"/>
      <w:szCs w:val="22"/>
    </w:rPr>
  </w:style>
  <w:style w:type="paragraph" w:styleId="25">
    <w:name w:val="toc 2"/>
    <w:basedOn w:val="1"/>
    <w:next w:val="1"/>
    <w:autoRedefine/>
    <w:unhideWhenUsed/>
    <w:qFormat/>
    <w:uiPriority w:val="39"/>
    <w:pPr>
      <w:ind w:left="420" w:leftChars="200"/>
    </w:pPr>
  </w:style>
  <w:style w:type="paragraph" w:styleId="26">
    <w:name w:val="Normal (Web)"/>
    <w:basedOn w:val="1"/>
    <w:autoRedefine/>
    <w:qFormat/>
    <w:uiPriority w:val="99"/>
    <w:pPr>
      <w:spacing w:before="100" w:beforeAutospacing="1" w:after="100" w:afterAutospacing="1"/>
    </w:pPr>
    <w:rPr>
      <w:rFonts w:ascii="宋体" w:hAnsi="宋体"/>
      <w:sz w:val="24"/>
    </w:rPr>
  </w:style>
  <w:style w:type="paragraph" w:styleId="27">
    <w:name w:val="Title"/>
    <w:basedOn w:val="1"/>
    <w:next w:val="1"/>
    <w:link w:val="59"/>
    <w:autoRedefine/>
    <w:qFormat/>
    <w:uiPriority w:val="10"/>
    <w:pPr>
      <w:spacing w:after="0" w:line="240" w:lineRule="auto"/>
      <w:contextualSpacing/>
    </w:pPr>
    <w:rPr>
      <w:rFonts w:asciiTheme="majorHAnsi" w:hAnsiTheme="majorHAnsi" w:eastAsiaTheme="majorEastAsia" w:cstheme="majorBidi"/>
      <w:caps/>
      <w:spacing w:val="40"/>
      <w:sz w:val="76"/>
      <w:szCs w:val="76"/>
    </w:rPr>
  </w:style>
  <w:style w:type="paragraph" w:styleId="28">
    <w:name w:val="Body Text First Indent 2"/>
    <w:basedOn w:val="15"/>
    <w:next w:val="24"/>
    <w:autoRedefine/>
    <w:qFormat/>
    <w:uiPriority w:val="0"/>
    <w:pPr>
      <w:spacing w:line="240" w:lineRule="auto"/>
    </w:pPr>
    <w:rPr>
      <w:rFonts w:ascii="Times New Roman" w:hAnsi="Times New Roman"/>
      <w:szCs w:val="20"/>
    </w:rPr>
  </w:style>
  <w:style w:type="table" w:styleId="30">
    <w:name w:val="Table Grid"/>
    <w:basedOn w:val="2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autoRedefine/>
    <w:qFormat/>
    <w:uiPriority w:val="22"/>
    <w:rPr>
      <w:rFonts w:asciiTheme="minorHAnsi" w:hAnsiTheme="minorHAnsi" w:eastAsiaTheme="minorEastAsia" w:cstheme="minorBidi"/>
      <w:b/>
      <w:bCs/>
      <w:spacing w:val="0"/>
      <w:w w:val="100"/>
      <w:position w:val="0"/>
      <w:sz w:val="20"/>
      <w:szCs w:val="20"/>
    </w:rPr>
  </w:style>
  <w:style w:type="character" w:styleId="33">
    <w:name w:val="page number"/>
    <w:basedOn w:val="31"/>
    <w:autoRedefine/>
    <w:qFormat/>
    <w:uiPriority w:val="0"/>
  </w:style>
  <w:style w:type="character" w:styleId="34">
    <w:name w:val="Emphasis"/>
    <w:basedOn w:val="31"/>
    <w:autoRedefine/>
    <w:qFormat/>
    <w:uiPriority w:val="20"/>
    <w:rPr>
      <w:rFonts w:asciiTheme="minorHAnsi" w:hAnsiTheme="minorHAnsi" w:eastAsiaTheme="minorEastAsia" w:cstheme="minorBidi"/>
      <w:i/>
      <w:iCs/>
      <w:color w:val="C55A11" w:themeColor="accent2" w:themeShade="BF"/>
      <w:sz w:val="20"/>
      <w:szCs w:val="20"/>
    </w:rPr>
  </w:style>
  <w:style w:type="character" w:styleId="35">
    <w:name w:val="Hyperlink"/>
    <w:basedOn w:val="31"/>
    <w:autoRedefine/>
    <w:unhideWhenUsed/>
    <w:qFormat/>
    <w:uiPriority w:val="99"/>
    <w:rPr>
      <w:color w:val="0563C1" w:themeColor="hyperlink"/>
      <w:u w:val="single"/>
      <w14:textFill>
        <w14:solidFill>
          <w14:schemeClr w14:val="hlink"/>
        </w14:solidFill>
      </w14:textFill>
    </w:rPr>
  </w:style>
  <w:style w:type="character" w:styleId="36">
    <w:name w:val="annotation reference"/>
    <w:basedOn w:val="31"/>
    <w:qFormat/>
    <w:uiPriority w:val="0"/>
    <w:rPr>
      <w:sz w:val="21"/>
      <w:szCs w:val="21"/>
    </w:rPr>
  </w:style>
  <w:style w:type="character" w:customStyle="1" w:styleId="37">
    <w:name w:val="页眉 字符"/>
    <w:basedOn w:val="31"/>
    <w:link w:val="21"/>
    <w:autoRedefine/>
    <w:qFormat/>
    <w:uiPriority w:val="0"/>
    <w:rPr>
      <w:sz w:val="18"/>
      <w:szCs w:val="18"/>
    </w:rPr>
  </w:style>
  <w:style w:type="character" w:customStyle="1" w:styleId="38">
    <w:name w:val="页脚 字符"/>
    <w:basedOn w:val="31"/>
    <w:link w:val="20"/>
    <w:autoRedefine/>
    <w:qFormat/>
    <w:uiPriority w:val="99"/>
    <w:rPr>
      <w:sz w:val="18"/>
      <w:szCs w:val="18"/>
    </w:rPr>
  </w:style>
  <w:style w:type="character" w:customStyle="1" w:styleId="39">
    <w:name w:val="标题 1 字符"/>
    <w:basedOn w:val="31"/>
    <w:link w:val="2"/>
    <w:autoRedefine/>
    <w:qFormat/>
    <w:uiPriority w:val="9"/>
    <w:rPr>
      <w:rFonts w:asciiTheme="majorHAnsi" w:hAnsiTheme="majorHAnsi" w:eastAsiaTheme="majorEastAsia" w:cstheme="majorBidi"/>
      <w:caps/>
      <w:spacing w:val="10"/>
      <w:sz w:val="36"/>
      <w:szCs w:val="36"/>
    </w:rPr>
  </w:style>
  <w:style w:type="paragraph" w:styleId="40">
    <w:name w:val="List Paragraph"/>
    <w:basedOn w:val="1"/>
    <w:autoRedefine/>
    <w:qFormat/>
    <w:uiPriority w:val="34"/>
    <w:pPr>
      <w:ind w:firstLine="420" w:firstLineChars="200"/>
    </w:pPr>
  </w:style>
  <w:style w:type="character" w:customStyle="1" w:styleId="41">
    <w:name w:val="标题 2 字符"/>
    <w:basedOn w:val="31"/>
    <w:link w:val="3"/>
    <w:autoRedefine/>
    <w:semiHidden/>
    <w:qFormat/>
    <w:uiPriority w:val="9"/>
    <w:rPr>
      <w:rFonts w:asciiTheme="majorHAnsi" w:hAnsiTheme="majorHAnsi" w:eastAsiaTheme="majorEastAsia" w:cstheme="majorBidi"/>
      <w:sz w:val="36"/>
      <w:szCs w:val="36"/>
    </w:rPr>
  </w:style>
  <w:style w:type="character" w:customStyle="1" w:styleId="42">
    <w:name w:val="正文文本 字符"/>
    <w:basedOn w:val="31"/>
    <w:link w:val="14"/>
    <w:autoRedefine/>
    <w:qFormat/>
    <w:uiPriority w:val="0"/>
    <w:rPr>
      <w:rFonts w:ascii="宋体" w:hAnsi="Arial" w:eastAsia="宋体" w:cs="Times New Roman"/>
      <w:sz w:val="28"/>
      <w:szCs w:val="20"/>
      <w14:ligatures w14:val="none"/>
    </w:rPr>
  </w:style>
  <w:style w:type="paragraph" w:customStyle="1" w:styleId="43">
    <w:name w:val="D&amp;L"/>
    <w:basedOn w:val="21"/>
    <w:autoRedefine/>
    <w:qFormat/>
    <w:uiPriority w:val="0"/>
    <w:pPr>
      <w:pBdr>
        <w:bottom w:val="thinThickSmallGap" w:color="auto" w:sz="18" w:space="1"/>
      </w:pBdr>
      <w:adjustRightInd w:val="0"/>
      <w:snapToGrid/>
      <w:spacing w:line="240" w:lineRule="atLeast"/>
      <w:textAlignment w:val="baseline"/>
    </w:pPr>
    <w:rPr>
      <w:sz w:val="24"/>
      <w:szCs w:val="20"/>
    </w:rPr>
  </w:style>
  <w:style w:type="paragraph" w:customStyle="1" w:styleId="44">
    <w:name w:val="xl31"/>
    <w:basedOn w:val="1"/>
    <w:autoRedefine/>
    <w:qFormat/>
    <w:uiPriority w:val="0"/>
    <w:pPr>
      <w:spacing w:before="100" w:beforeAutospacing="1" w:after="100" w:afterAutospacing="1"/>
      <w:jc w:val="center"/>
    </w:pPr>
    <w:rPr>
      <w:rFonts w:ascii="宋体" w:hAnsi="宋体"/>
      <w:b/>
      <w:sz w:val="28"/>
    </w:rPr>
  </w:style>
  <w:style w:type="paragraph" w:customStyle="1" w:styleId="45">
    <w:name w:val="Char"/>
    <w:basedOn w:val="1"/>
    <w:autoRedefine/>
    <w:qFormat/>
    <w:uiPriority w:val="0"/>
    <w:rPr>
      <w:rFonts w:ascii="Tahoma" w:hAnsi="Tahoma"/>
      <w:sz w:val="24"/>
    </w:rPr>
  </w:style>
  <w:style w:type="character" w:customStyle="1" w:styleId="46">
    <w:name w:val="正文文本缩进 字符"/>
    <w:basedOn w:val="31"/>
    <w:link w:val="15"/>
    <w:autoRedefine/>
    <w:qFormat/>
    <w:uiPriority w:val="99"/>
    <w:rPr>
      <w:rFonts w:ascii="Times New Roman" w:hAnsi="Times New Roman" w:eastAsia="宋体" w:cs="Times New Roman"/>
      <w:szCs w:val="20"/>
      <w14:ligatures w14:val="none"/>
    </w:rPr>
  </w:style>
  <w:style w:type="character" w:customStyle="1" w:styleId="47">
    <w:name w:val="标题 3 字符"/>
    <w:basedOn w:val="31"/>
    <w:link w:val="4"/>
    <w:autoRedefine/>
    <w:semiHidden/>
    <w:qFormat/>
    <w:uiPriority w:val="9"/>
    <w:rPr>
      <w:rFonts w:asciiTheme="majorHAnsi" w:hAnsiTheme="majorHAnsi" w:eastAsiaTheme="majorEastAsia" w:cstheme="majorBidi"/>
      <w:caps/>
      <w:sz w:val="28"/>
      <w:szCs w:val="28"/>
    </w:rPr>
  </w:style>
  <w:style w:type="character" w:customStyle="1" w:styleId="48">
    <w:name w:val="纯文本 字符"/>
    <w:basedOn w:val="31"/>
    <w:link w:val="18"/>
    <w:autoRedefine/>
    <w:qFormat/>
    <w:uiPriority w:val="0"/>
    <w:rPr>
      <w:rFonts w:ascii="宋体" w:hAnsi="Courier New" w:eastAsia="宋体" w:cs="Times New Roman"/>
      <w:szCs w:val="20"/>
      <w14:ligatures w14:val="none"/>
    </w:rPr>
  </w:style>
  <w:style w:type="character" w:customStyle="1" w:styleId="49">
    <w:name w:val="标题 4 字符"/>
    <w:basedOn w:val="31"/>
    <w:link w:val="5"/>
    <w:autoRedefine/>
    <w:semiHidden/>
    <w:qFormat/>
    <w:uiPriority w:val="9"/>
    <w:rPr>
      <w:rFonts w:asciiTheme="majorHAnsi" w:hAnsiTheme="majorHAnsi" w:eastAsiaTheme="majorEastAsia" w:cstheme="majorBidi"/>
      <w:i/>
      <w:iCs/>
      <w:sz w:val="28"/>
      <w:szCs w:val="28"/>
    </w:rPr>
  </w:style>
  <w:style w:type="character" w:customStyle="1" w:styleId="50">
    <w:name w:val="正文文本 3 字符"/>
    <w:basedOn w:val="31"/>
    <w:link w:val="13"/>
    <w:autoRedefine/>
    <w:semiHidden/>
    <w:qFormat/>
    <w:uiPriority w:val="99"/>
    <w:rPr>
      <w:rFonts w:ascii="Times New Roman" w:hAnsi="Times New Roman" w:eastAsia="宋体" w:cs="Times New Roman"/>
      <w:sz w:val="16"/>
      <w:szCs w:val="16"/>
      <w14:ligatures w14:val="none"/>
    </w:rPr>
  </w:style>
  <w:style w:type="character" w:customStyle="1" w:styleId="51">
    <w:name w:val="日期 字符"/>
    <w:basedOn w:val="31"/>
    <w:link w:val="19"/>
    <w:autoRedefine/>
    <w:qFormat/>
    <w:uiPriority w:val="0"/>
    <w:rPr>
      <w:rFonts w:ascii="Times New Roman" w:hAnsi="Times New Roman" w:eastAsia="宋体" w:cs="Times New Roman"/>
      <w:b/>
      <w:sz w:val="28"/>
      <w:szCs w:val="20"/>
      <w14:ligatures w14:val="none"/>
    </w:rPr>
  </w:style>
  <w:style w:type="paragraph" w:customStyle="1" w:styleId="52">
    <w:name w:val="Table Paragraph"/>
    <w:basedOn w:val="1"/>
    <w:autoRedefine/>
    <w:qFormat/>
    <w:uiPriority w:val="1"/>
    <w:pPr>
      <w:autoSpaceDE w:val="0"/>
      <w:autoSpaceDN w:val="0"/>
    </w:pPr>
    <w:rPr>
      <w:rFonts w:ascii="宋体" w:hAnsi="宋体" w:cs="宋体"/>
      <w:sz w:val="22"/>
      <w:szCs w:val="22"/>
    </w:rPr>
  </w:style>
  <w:style w:type="table" w:customStyle="1" w:styleId="53">
    <w:name w:val="Table Normal"/>
    <w:autoRedefine/>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54">
    <w:name w:val="标题 5 字符"/>
    <w:basedOn w:val="31"/>
    <w:link w:val="6"/>
    <w:autoRedefine/>
    <w:semiHidden/>
    <w:qFormat/>
    <w:uiPriority w:val="9"/>
    <w:rPr>
      <w:rFonts w:asciiTheme="majorHAnsi" w:hAnsiTheme="majorHAnsi" w:eastAsiaTheme="majorEastAsia" w:cstheme="majorBidi"/>
      <w:sz w:val="24"/>
      <w:szCs w:val="24"/>
    </w:rPr>
  </w:style>
  <w:style w:type="character" w:customStyle="1" w:styleId="55">
    <w:name w:val="标题 6 字符"/>
    <w:basedOn w:val="31"/>
    <w:link w:val="7"/>
    <w:autoRedefine/>
    <w:semiHidden/>
    <w:qFormat/>
    <w:uiPriority w:val="9"/>
    <w:rPr>
      <w:rFonts w:asciiTheme="majorHAnsi" w:hAnsiTheme="majorHAnsi" w:eastAsiaTheme="majorEastAsia" w:cstheme="majorBidi"/>
      <w:i/>
      <w:iCs/>
      <w:sz w:val="24"/>
      <w:szCs w:val="24"/>
    </w:rPr>
  </w:style>
  <w:style w:type="character" w:customStyle="1" w:styleId="56">
    <w:name w:val="标题 7 字符"/>
    <w:basedOn w:val="31"/>
    <w:link w:val="8"/>
    <w:autoRedefine/>
    <w:semiHidden/>
    <w:qFormat/>
    <w:uiPriority w:val="9"/>
    <w:rPr>
      <w:rFonts w:asciiTheme="majorHAnsi" w:hAnsiTheme="maj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character" w:customStyle="1" w:styleId="57">
    <w:name w:val="标题 8 字符"/>
    <w:basedOn w:val="31"/>
    <w:link w:val="9"/>
    <w:autoRedefine/>
    <w:semiHidden/>
    <w:qFormat/>
    <w:uiPriority w:val="9"/>
    <w:rPr>
      <w:rFonts w:asciiTheme="majorHAnsi" w:hAnsiTheme="majorHAnsi" w:eastAsiaTheme="majorEastAsia" w:cstheme="majorBidi"/>
      <w:caps/>
    </w:rPr>
  </w:style>
  <w:style w:type="character" w:customStyle="1" w:styleId="58">
    <w:name w:val="标题 9 字符"/>
    <w:basedOn w:val="31"/>
    <w:link w:val="10"/>
    <w:autoRedefine/>
    <w:semiHidden/>
    <w:qFormat/>
    <w:uiPriority w:val="9"/>
    <w:rPr>
      <w:rFonts w:asciiTheme="majorHAnsi" w:hAnsiTheme="majorHAnsi" w:eastAsiaTheme="majorEastAsia" w:cstheme="majorBidi"/>
      <w:i/>
      <w:iCs/>
      <w:caps/>
    </w:rPr>
  </w:style>
  <w:style w:type="character" w:customStyle="1" w:styleId="59">
    <w:name w:val="标题 字符"/>
    <w:basedOn w:val="31"/>
    <w:link w:val="27"/>
    <w:autoRedefine/>
    <w:qFormat/>
    <w:uiPriority w:val="10"/>
    <w:rPr>
      <w:rFonts w:asciiTheme="majorHAnsi" w:hAnsiTheme="majorHAnsi" w:eastAsiaTheme="majorEastAsia" w:cstheme="majorBidi"/>
      <w:caps/>
      <w:spacing w:val="40"/>
      <w:sz w:val="76"/>
      <w:szCs w:val="76"/>
    </w:rPr>
  </w:style>
  <w:style w:type="character" w:customStyle="1" w:styleId="60">
    <w:name w:val="副标题 字符"/>
    <w:basedOn w:val="31"/>
    <w:link w:val="23"/>
    <w:autoRedefine/>
    <w:qFormat/>
    <w:uiPriority w:val="11"/>
    <w:rPr>
      <w:color w:val="000000" w:themeColor="text1"/>
      <w:sz w:val="24"/>
      <w:szCs w:val="24"/>
      <w14:textFill>
        <w14:solidFill>
          <w14:schemeClr w14:val="tx1"/>
        </w14:solidFill>
      </w14:textFill>
    </w:rPr>
  </w:style>
  <w:style w:type="paragraph" w:styleId="61">
    <w:name w:val="No Spacing"/>
    <w:autoRedefine/>
    <w:qFormat/>
    <w:uiPriority w:val="1"/>
    <w:rPr>
      <w:rFonts w:asciiTheme="minorHAnsi" w:hAnsiTheme="minorHAnsi" w:eastAsiaTheme="minorEastAsia" w:cstheme="minorBidi"/>
      <w:sz w:val="21"/>
      <w:szCs w:val="21"/>
      <w:lang w:val="en-US" w:eastAsia="zh-CN" w:bidi="ar-SA"/>
    </w:rPr>
  </w:style>
  <w:style w:type="paragraph" w:styleId="62">
    <w:name w:val="Quote"/>
    <w:basedOn w:val="1"/>
    <w:next w:val="1"/>
    <w:link w:val="63"/>
    <w:autoRedefine/>
    <w:qFormat/>
    <w:uiPriority w:val="29"/>
    <w:pPr>
      <w:spacing w:before="160"/>
      <w:ind w:left="720"/>
    </w:pPr>
    <w:rPr>
      <w:rFonts w:asciiTheme="majorHAnsi" w:hAnsiTheme="majorHAnsi" w:eastAsiaTheme="majorEastAsia" w:cstheme="majorBidi"/>
      <w:sz w:val="24"/>
      <w:szCs w:val="24"/>
    </w:rPr>
  </w:style>
  <w:style w:type="character" w:customStyle="1" w:styleId="63">
    <w:name w:val="引用 字符"/>
    <w:basedOn w:val="31"/>
    <w:link w:val="62"/>
    <w:autoRedefine/>
    <w:qFormat/>
    <w:uiPriority w:val="29"/>
    <w:rPr>
      <w:rFonts w:asciiTheme="majorHAnsi" w:hAnsiTheme="majorHAnsi" w:eastAsiaTheme="majorEastAsia" w:cstheme="majorBidi"/>
      <w:sz w:val="24"/>
      <w:szCs w:val="24"/>
    </w:rPr>
  </w:style>
  <w:style w:type="paragraph" w:styleId="64">
    <w:name w:val="Intense Quote"/>
    <w:basedOn w:val="1"/>
    <w:next w:val="1"/>
    <w:link w:val="65"/>
    <w:autoRedefine/>
    <w:qFormat/>
    <w:uiPriority w:val="30"/>
    <w:pPr>
      <w:spacing w:before="100" w:beforeAutospacing="1" w:after="240"/>
      <w:ind w:left="936" w:right="936"/>
      <w:jc w:val="center"/>
    </w:pPr>
    <w:rPr>
      <w:rFonts w:asciiTheme="majorHAnsi" w:hAnsiTheme="majorHAnsi" w:eastAsiaTheme="majorEastAsia" w:cstheme="majorBidi"/>
      <w:caps/>
      <w:color w:val="C55A11" w:themeColor="accent2" w:themeShade="BF"/>
      <w:spacing w:val="10"/>
      <w:sz w:val="28"/>
      <w:szCs w:val="28"/>
    </w:rPr>
  </w:style>
  <w:style w:type="character" w:customStyle="1" w:styleId="65">
    <w:name w:val="明显引用 字符"/>
    <w:basedOn w:val="31"/>
    <w:link w:val="64"/>
    <w:autoRedefine/>
    <w:qFormat/>
    <w:uiPriority w:val="30"/>
    <w:rPr>
      <w:rFonts w:asciiTheme="majorHAnsi" w:hAnsiTheme="majorHAnsi" w:eastAsiaTheme="majorEastAsia" w:cstheme="majorBidi"/>
      <w:caps/>
      <w:color w:val="C55A11" w:themeColor="accent2" w:themeShade="BF"/>
      <w:spacing w:val="10"/>
      <w:sz w:val="28"/>
      <w:szCs w:val="28"/>
    </w:rPr>
  </w:style>
  <w:style w:type="character" w:customStyle="1" w:styleId="66">
    <w:name w:val="不明显强调1"/>
    <w:basedOn w:val="31"/>
    <w:autoRedefine/>
    <w:qFormat/>
    <w:uiPriority w:val="19"/>
    <w:rPr>
      <w:i/>
      <w:iCs/>
      <w:color w:val="auto"/>
    </w:rPr>
  </w:style>
  <w:style w:type="character" w:customStyle="1" w:styleId="67">
    <w:name w:val="明显强调1"/>
    <w:basedOn w:val="31"/>
    <w:autoRedefine/>
    <w:qFormat/>
    <w:uiPriority w:val="21"/>
    <w:rPr>
      <w:rFonts w:asciiTheme="minorHAnsi" w:hAnsiTheme="minorHAnsi" w:eastAsiaTheme="minorEastAsia" w:cstheme="minorBidi"/>
      <w:b/>
      <w:bCs/>
      <w:i/>
      <w:iCs/>
      <w:color w:val="C55A11" w:themeColor="accent2" w:themeShade="BF"/>
      <w:spacing w:val="0"/>
      <w:w w:val="100"/>
      <w:position w:val="0"/>
      <w:sz w:val="20"/>
      <w:szCs w:val="20"/>
    </w:rPr>
  </w:style>
  <w:style w:type="character" w:customStyle="1" w:styleId="68">
    <w:name w:val="不明显参考1"/>
    <w:basedOn w:val="31"/>
    <w:autoRedefine/>
    <w:qFormat/>
    <w:uiPriority w:val="31"/>
    <w:rPr>
      <w:rFonts w:asciiTheme="minorHAnsi" w:hAnsiTheme="minorHAnsi" w:eastAsiaTheme="minorEastAsia" w:cstheme="minorBidi"/>
      <w:smallCaps/>
      <w:color w:val="auto"/>
      <w:spacing w:val="10"/>
      <w:w w:val="100"/>
      <w:sz w:val="20"/>
      <w:szCs w:val="20"/>
      <w:u w:val="single" w:color="7E7E7E" w:themeColor="text1" w:themeTint="80"/>
    </w:rPr>
  </w:style>
  <w:style w:type="character" w:customStyle="1" w:styleId="69">
    <w:name w:val="明显参考1"/>
    <w:basedOn w:val="31"/>
    <w:autoRedefine/>
    <w:qFormat/>
    <w:uiPriority w:val="32"/>
    <w:rPr>
      <w:rFonts w:asciiTheme="minorHAnsi" w:hAnsiTheme="minorHAnsi" w:eastAsiaTheme="minorEastAsia" w:cstheme="minorBidi"/>
      <w:b/>
      <w:bCs/>
      <w:smallCaps/>
      <w:color w:val="1A1A1A" w:themeColor="text1" w:themeTint="E6"/>
      <w:spacing w:val="10"/>
      <w:w w:val="100"/>
      <w:position w:val="0"/>
      <w:sz w:val="20"/>
      <w:szCs w:val="20"/>
      <w:u w:val="single"/>
      <w14:textFill>
        <w14:solidFill>
          <w14:schemeClr w14:val="tx1">
            <w14:lumMod w14:val="90000"/>
            <w14:lumOff w14:val="10000"/>
          </w14:schemeClr>
        </w14:solidFill>
      </w14:textFill>
    </w:rPr>
  </w:style>
  <w:style w:type="character" w:customStyle="1" w:styleId="70">
    <w:name w:val="书籍标题1"/>
    <w:basedOn w:val="31"/>
    <w:autoRedefine/>
    <w:qFormat/>
    <w:uiPriority w:val="33"/>
    <w:rPr>
      <w:rFonts w:asciiTheme="minorHAnsi" w:hAnsiTheme="minorHAnsi" w:eastAsiaTheme="minorEastAsia" w:cstheme="minorBidi"/>
      <w:b/>
      <w:bCs/>
      <w:i/>
      <w:iCs/>
      <w:color w:val="auto"/>
      <w:spacing w:val="10"/>
      <w:w w:val="100"/>
      <w:sz w:val="20"/>
      <w:szCs w:val="20"/>
    </w:rPr>
  </w:style>
  <w:style w:type="paragraph" w:customStyle="1" w:styleId="71">
    <w:name w:val="TOC 标题1"/>
    <w:basedOn w:val="2"/>
    <w:next w:val="1"/>
    <w:autoRedefine/>
    <w:unhideWhenUsed/>
    <w:qFormat/>
    <w:uiPriority w:val="39"/>
    <w:pPr>
      <w:outlineLvl w:val="9"/>
    </w:pPr>
  </w:style>
  <w:style w:type="character" w:customStyle="1" w:styleId="72">
    <w:name w:val="font21"/>
    <w:basedOn w:val="31"/>
    <w:autoRedefine/>
    <w:qFormat/>
    <w:uiPriority w:val="0"/>
    <w:rPr>
      <w:rFonts w:hint="eastAsia" w:ascii="宋体" w:hAnsi="宋体" w:eastAsia="宋体" w:cs="宋体"/>
      <w:b/>
      <w:bCs/>
      <w:color w:val="000000"/>
      <w:sz w:val="20"/>
      <w:szCs w:val="20"/>
      <w:u w:val="none"/>
    </w:rPr>
  </w:style>
  <w:style w:type="character" w:customStyle="1" w:styleId="73">
    <w:name w:val="font11"/>
    <w:basedOn w:val="31"/>
    <w:autoRedefine/>
    <w:qFormat/>
    <w:uiPriority w:val="0"/>
    <w:rPr>
      <w:rFonts w:hint="eastAsia" w:ascii="宋体" w:hAnsi="宋体" w:eastAsia="宋体" w:cs="宋体"/>
      <w:color w:val="000000"/>
      <w:sz w:val="20"/>
      <w:szCs w:val="20"/>
      <w:u w:val="none"/>
    </w:rPr>
  </w:style>
  <w:style w:type="character" w:customStyle="1" w:styleId="74">
    <w:name w:val="font91"/>
    <w:basedOn w:val="31"/>
    <w:autoRedefine/>
    <w:qFormat/>
    <w:uiPriority w:val="0"/>
    <w:rPr>
      <w:rFonts w:ascii="微软雅黑" w:hAnsi="微软雅黑" w:eastAsia="微软雅黑" w:cs="微软雅黑"/>
      <w:color w:val="FFFFFF"/>
      <w:sz w:val="20"/>
      <w:szCs w:val="20"/>
      <w:u w:val="none"/>
    </w:rPr>
  </w:style>
  <w:style w:type="character" w:customStyle="1" w:styleId="75">
    <w:name w:val="font31"/>
    <w:basedOn w:val="31"/>
    <w:autoRedefine/>
    <w:qFormat/>
    <w:uiPriority w:val="0"/>
    <w:rPr>
      <w:rFonts w:hint="default" w:ascii="Times New Roman" w:hAnsi="Times New Roman" w:cs="Times New Roman"/>
      <w:color w:val="000000"/>
      <w:sz w:val="16"/>
      <w:szCs w:val="16"/>
      <w:u w:val="none"/>
    </w:rPr>
  </w:style>
  <w:style w:type="character" w:customStyle="1" w:styleId="76">
    <w:name w:val="font51"/>
    <w:basedOn w:val="31"/>
    <w:autoRedefine/>
    <w:qFormat/>
    <w:uiPriority w:val="0"/>
    <w:rPr>
      <w:rFonts w:hint="eastAsia" w:ascii="宋体" w:hAnsi="宋体" w:eastAsia="宋体" w:cs="宋体"/>
      <w:color w:val="000000"/>
      <w:sz w:val="16"/>
      <w:szCs w:val="16"/>
      <w:u w:val="none"/>
    </w:rPr>
  </w:style>
  <w:style w:type="character" w:customStyle="1" w:styleId="77">
    <w:name w:val="font41"/>
    <w:basedOn w:val="31"/>
    <w:autoRedefine/>
    <w:qFormat/>
    <w:uiPriority w:val="0"/>
    <w:rPr>
      <w:rFonts w:hint="default" w:ascii="Times New Roman" w:hAnsi="Times New Roman" w:cs="Times New Roman"/>
      <w:color w:val="000000"/>
      <w:sz w:val="18"/>
      <w:szCs w:val="18"/>
      <w:u w:val="none"/>
    </w:rPr>
  </w:style>
  <w:style w:type="character" w:customStyle="1" w:styleId="78">
    <w:name w:val="font71"/>
    <w:basedOn w:val="31"/>
    <w:autoRedefine/>
    <w:qFormat/>
    <w:uiPriority w:val="0"/>
    <w:rPr>
      <w:rFonts w:hint="eastAsia" w:ascii="宋体" w:hAnsi="宋体" w:eastAsia="宋体" w:cs="宋体"/>
      <w:b/>
      <w:bCs/>
      <w:color w:val="000000"/>
      <w:sz w:val="18"/>
      <w:szCs w:val="18"/>
      <w:u w:val="none"/>
    </w:rPr>
  </w:style>
  <w:style w:type="character" w:customStyle="1" w:styleId="79">
    <w:name w:val="font61"/>
    <w:basedOn w:val="31"/>
    <w:qFormat/>
    <w:uiPriority w:val="0"/>
    <w:rPr>
      <w:rFonts w:ascii="宋体" w:hAnsi="宋体" w:eastAsia="宋体" w:cs="宋体"/>
      <w:color w:val="000000"/>
      <w:sz w:val="16"/>
      <w:szCs w:val="16"/>
      <w:u w:val="none"/>
    </w:rPr>
  </w:style>
  <w:style w:type="paragraph" w:customStyle="1" w:styleId="80">
    <w:name w:val="Body Text First Indent 21"/>
    <w:basedOn w:val="81"/>
    <w:next w:val="83"/>
    <w:qFormat/>
    <w:uiPriority w:val="0"/>
    <w:pPr>
      <w:spacing w:line="240" w:lineRule="auto"/>
    </w:pPr>
    <w:rPr>
      <w:rFonts w:ascii="Times New Roman" w:hAnsi="Times New Roman"/>
      <w:szCs w:val="20"/>
    </w:rPr>
  </w:style>
  <w:style w:type="paragraph" w:customStyle="1" w:styleId="81">
    <w:name w:val="Body Text Indent1"/>
    <w:basedOn w:val="1"/>
    <w:next w:val="82"/>
    <w:qFormat/>
    <w:uiPriority w:val="0"/>
    <w:pPr>
      <w:spacing w:after="120" w:afterLines="0"/>
      <w:ind w:left="420" w:leftChars="200"/>
    </w:pPr>
    <w:rPr>
      <w:rFonts w:ascii="Times New Roman" w:hAnsi="Times New Roman" w:eastAsia="宋体" w:cs="Times New Roman"/>
      <w:szCs w:val="20"/>
    </w:rPr>
  </w:style>
  <w:style w:type="paragraph" w:customStyle="1" w:styleId="82">
    <w:name w:val="envelope return1"/>
    <w:basedOn w:val="1"/>
    <w:qFormat/>
    <w:uiPriority w:val="0"/>
    <w:rPr>
      <w:sz w:val="22"/>
      <w:szCs w:val="20"/>
      <w:lang w:eastAsia="en-US"/>
    </w:rPr>
  </w:style>
  <w:style w:type="paragraph" w:customStyle="1" w:styleId="83">
    <w:name w:val="List1"/>
    <w:basedOn w:val="1"/>
    <w:qFormat/>
    <w:uiPriority w:val="0"/>
    <w:pPr>
      <w:ind w:left="200" w:hanging="200" w:hanging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26F494-7656-4E91-8AAA-6FC8CE44305D}">
  <ds:schemaRefs/>
</ds:datastoreItem>
</file>

<file path=docProps/app.xml><?xml version="1.0" encoding="utf-8"?>
<Properties xmlns="http://schemas.openxmlformats.org/officeDocument/2006/extended-properties" xmlns:vt="http://schemas.openxmlformats.org/officeDocument/2006/docPropsVTypes">
  <Template>Normal</Template>
  <Pages>24</Pages>
  <Words>5954</Words>
  <Characters>6193</Characters>
  <Lines>203</Lines>
  <Paragraphs>224</Paragraphs>
  <TotalTime>23</TotalTime>
  <ScaleCrop>false</ScaleCrop>
  <LinksUpToDate>false</LinksUpToDate>
  <CharactersWithSpaces>7073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2025-05-09T09:15:00Z</dcterms:created>
  <dc:creator>513706183@qq.com</dc:creator>
  <cp:lastModifiedBy>Administrator</cp:lastModifiedBy>
  <cp:lastPrinted>2024-01-30T08:05:00Z</cp:lastPrinted>
  <dcterms:modified xsi:type="dcterms:W3CDTF">2026-07-31T07:47:48Z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05577E8E20274296ABE2C4CF42E9BF68_13</vt:lpwstr>
  </property>
  <property fmtid="{D5CDD505-2E9C-101B-9397-08002B2CF9AE}" pid="4" name="KSOTemplateDocerSaveRecord">
    <vt:lpwstr>eyJoZGlkIjoiMGY4NmEyYTc0OWQ0YWViZjA3MDM2M2ZiMWQ0YzgyN2IiLCJ1c2VySWQiOiIyNjk4NTIxMzEifQ==</vt:lpwstr>
  </property>
</Properties>
</file>