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5B64646">
      <w:pPr>
        <w:spacing w:line="480" w:lineRule="auto"/>
        <w:jc w:val="left"/>
        <w:rPr>
          <w:rFonts w:hint="eastAsia" w:ascii="宋体" w:hAnsi="宋体" w:eastAsia="宋体" w:cs="宋体"/>
          <w:sz w:val="24"/>
          <w:szCs w:val="24"/>
        </w:rPr>
      </w:pPr>
    </w:p>
    <w:p w14:paraId="734464BA">
      <w:pPr>
        <w:spacing w:line="480" w:lineRule="auto"/>
        <w:jc w:val="center"/>
        <w:rPr>
          <w:rFonts w:hint="eastAsia" w:ascii="宋体" w:hAnsi="宋体" w:eastAsia="宋体" w:cs="宋体"/>
          <w:b/>
          <w:bCs/>
          <w:sz w:val="48"/>
          <w:szCs w:val="48"/>
        </w:rPr>
      </w:pPr>
      <w:bookmarkStart w:id="0" w:name="OLE_LINK4"/>
      <w:r>
        <w:rPr>
          <w:rFonts w:hint="eastAsia" w:ascii="宋体" w:hAnsi="宋体" w:eastAsia="宋体" w:cs="宋体"/>
          <w:b/>
          <w:bCs/>
          <w:sz w:val="48"/>
          <w:szCs w:val="48"/>
        </w:rPr>
        <w:t>关于合柴1972文创园户外人行道围栏</w:t>
      </w:r>
      <w:r>
        <w:rPr>
          <w:rFonts w:hint="eastAsia" w:ascii="宋体" w:hAnsi="宋体" w:cs="宋体"/>
          <w:b/>
          <w:bCs/>
          <w:sz w:val="48"/>
          <w:szCs w:val="48"/>
          <w:lang w:val="en-US" w:eastAsia="zh-CN"/>
        </w:rPr>
        <w:t>设计</w:t>
      </w:r>
      <w:r>
        <w:rPr>
          <w:rFonts w:hint="eastAsia" w:ascii="宋体" w:hAnsi="宋体" w:eastAsia="宋体" w:cs="宋体"/>
          <w:b/>
          <w:bCs/>
          <w:sz w:val="48"/>
          <w:szCs w:val="48"/>
        </w:rPr>
        <w:t>制作安装服务</w:t>
      </w:r>
      <w:bookmarkEnd w:id="0"/>
    </w:p>
    <w:p w14:paraId="6CB7030C">
      <w:pPr>
        <w:spacing w:line="480" w:lineRule="auto"/>
        <w:jc w:val="center"/>
        <w:rPr>
          <w:rFonts w:hint="eastAsia" w:ascii="宋体" w:hAnsi="宋体" w:eastAsia="宋体" w:cs="宋体"/>
          <w:b/>
          <w:bCs/>
          <w:sz w:val="84"/>
          <w:szCs w:val="84"/>
        </w:rPr>
      </w:pPr>
      <w:r>
        <w:rPr>
          <w:rFonts w:hint="eastAsia" w:ascii="宋体" w:hAnsi="宋体" w:eastAsia="宋体" w:cs="宋体"/>
          <w:b/>
          <w:bCs/>
          <w:sz w:val="84"/>
          <w:szCs w:val="84"/>
        </w:rPr>
        <w:t>招</w:t>
      </w:r>
    </w:p>
    <w:p w14:paraId="5720D833">
      <w:pPr>
        <w:spacing w:line="480" w:lineRule="auto"/>
        <w:jc w:val="center"/>
        <w:rPr>
          <w:rFonts w:hint="eastAsia" w:ascii="宋体" w:hAnsi="宋体" w:eastAsia="宋体" w:cs="宋体"/>
          <w:b/>
          <w:bCs/>
          <w:sz w:val="84"/>
          <w:szCs w:val="84"/>
        </w:rPr>
      </w:pPr>
      <w:r>
        <w:rPr>
          <w:rFonts w:hint="eastAsia" w:ascii="宋体" w:hAnsi="宋体" w:eastAsia="宋体" w:cs="宋体"/>
          <w:b/>
          <w:bCs/>
          <w:sz w:val="84"/>
          <w:szCs w:val="84"/>
        </w:rPr>
        <w:t>标</w:t>
      </w:r>
    </w:p>
    <w:p w14:paraId="56BC607E">
      <w:pPr>
        <w:spacing w:line="480" w:lineRule="auto"/>
        <w:jc w:val="center"/>
        <w:rPr>
          <w:rFonts w:hint="eastAsia" w:ascii="宋体" w:hAnsi="宋体" w:eastAsia="宋体" w:cs="宋体"/>
          <w:b/>
          <w:bCs/>
          <w:sz w:val="84"/>
          <w:szCs w:val="84"/>
        </w:rPr>
      </w:pPr>
      <w:r>
        <w:rPr>
          <w:rFonts w:hint="eastAsia" w:ascii="宋体" w:hAnsi="宋体" w:eastAsia="宋体" w:cs="宋体"/>
          <w:b/>
          <w:bCs/>
          <w:sz w:val="84"/>
          <w:szCs w:val="84"/>
        </w:rPr>
        <w:t>文</w:t>
      </w:r>
    </w:p>
    <w:p w14:paraId="5F6DFDBF">
      <w:pPr>
        <w:spacing w:line="480" w:lineRule="auto"/>
        <w:jc w:val="center"/>
        <w:rPr>
          <w:rFonts w:hint="eastAsia" w:ascii="宋体" w:hAnsi="宋体" w:eastAsia="宋体" w:cs="宋体"/>
          <w:sz w:val="24"/>
          <w:szCs w:val="24"/>
        </w:rPr>
      </w:pPr>
    </w:p>
    <w:p w14:paraId="07BE199B">
      <w:pPr>
        <w:spacing w:line="480" w:lineRule="auto"/>
        <w:jc w:val="left"/>
        <w:rPr>
          <w:rFonts w:hint="eastAsia" w:ascii="宋体" w:hAnsi="宋体" w:eastAsia="宋体" w:cs="宋体"/>
          <w:sz w:val="24"/>
          <w:szCs w:val="24"/>
        </w:rPr>
      </w:pPr>
    </w:p>
    <w:p w14:paraId="03C0571F">
      <w:pPr>
        <w:spacing w:line="480" w:lineRule="auto"/>
        <w:jc w:val="center"/>
        <w:rPr>
          <w:rFonts w:hint="eastAsia" w:ascii="宋体" w:hAnsi="宋体" w:eastAsia="宋体" w:cs="宋体"/>
          <w:b/>
          <w:bCs/>
          <w:sz w:val="36"/>
          <w:szCs w:val="36"/>
        </w:rPr>
      </w:pPr>
      <w:r>
        <w:rPr>
          <w:rFonts w:hint="eastAsia" w:ascii="宋体" w:hAnsi="宋体" w:eastAsia="宋体" w:cs="宋体"/>
          <w:b/>
          <w:bCs/>
          <w:sz w:val="36"/>
          <w:szCs w:val="36"/>
        </w:rPr>
        <w:t>招  标  人：合肥滨投文化创意发展有限公司</w:t>
      </w:r>
    </w:p>
    <w:p w14:paraId="688CEF56">
      <w:pPr>
        <w:spacing w:line="480" w:lineRule="auto"/>
        <w:jc w:val="center"/>
        <w:rPr>
          <w:rFonts w:hint="eastAsia" w:ascii="宋体" w:hAnsi="宋体" w:eastAsia="宋体" w:cs="宋体"/>
          <w:sz w:val="24"/>
          <w:szCs w:val="24"/>
        </w:rPr>
      </w:pPr>
      <w:bookmarkStart w:id="1" w:name="_Toc245092758"/>
      <w:bookmarkStart w:id="2" w:name="_Toc273602338"/>
    </w:p>
    <w:p w14:paraId="76067D0C">
      <w:pPr>
        <w:spacing w:line="480" w:lineRule="auto"/>
        <w:jc w:val="center"/>
        <w:rPr>
          <w:rFonts w:hint="eastAsia" w:ascii="宋体" w:hAnsi="宋体" w:eastAsia="宋体" w:cs="宋体"/>
          <w:sz w:val="24"/>
          <w:szCs w:val="24"/>
        </w:rPr>
      </w:pPr>
      <w:r>
        <w:rPr>
          <w:rFonts w:hint="eastAsia" w:ascii="宋体" w:hAnsi="宋体" w:eastAsia="宋体" w:cs="宋体"/>
          <w:b/>
          <w:bCs/>
          <w:sz w:val="36"/>
          <w:szCs w:val="36"/>
        </w:rPr>
        <w:t>日   期：202</w:t>
      </w:r>
      <w:r>
        <w:rPr>
          <w:rFonts w:hint="eastAsia" w:ascii="宋体" w:hAnsi="宋体" w:cs="宋体"/>
          <w:b/>
          <w:bCs/>
          <w:sz w:val="36"/>
          <w:szCs w:val="36"/>
          <w:lang w:val="en-US" w:eastAsia="zh-CN"/>
        </w:rPr>
        <w:t>6</w:t>
      </w:r>
      <w:r>
        <w:rPr>
          <w:rFonts w:hint="eastAsia" w:ascii="宋体" w:hAnsi="宋体" w:eastAsia="宋体" w:cs="宋体"/>
          <w:b/>
          <w:bCs/>
          <w:sz w:val="36"/>
          <w:szCs w:val="36"/>
        </w:rPr>
        <w:t>年</w:t>
      </w:r>
      <w:r>
        <w:rPr>
          <w:rFonts w:hint="eastAsia" w:ascii="宋体" w:hAnsi="宋体" w:cs="宋体"/>
          <w:b/>
          <w:bCs/>
          <w:sz w:val="36"/>
          <w:szCs w:val="36"/>
          <w:lang w:val="en-US" w:eastAsia="zh-CN"/>
        </w:rPr>
        <w:t>9</w:t>
      </w:r>
      <w:r>
        <w:rPr>
          <w:rFonts w:hint="eastAsia" w:ascii="宋体" w:hAnsi="宋体" w:eastAsia="宋体" w:cs="宋体"/>
          <w:b/>
          <w:bCs/>
          <w:sz w:val="36"/>
          <w:szCs w:val="36"/>
        </w:rPr>
        <w:t>月</w:t>
      </w:r>
    </w:p>
    <w:p w14:paraId="78403F09">
      <w:pPr>
        <w:spacing w:line="480" w:lineRule="auto"/>
        <w:jc w:val="left"/>
        <w:rPr>
          <w:rFonts w:hint="eastAsia" w:ascii="宋体" w:hAnsi="宋体" w:eastAsia="宋体" w:cs="宋体"/>
          <w:sz w:val="24"/>
          <w:szCs w:val="24"/>
        </w:rPr>
      </w:pPr>
    </w:p>
    <w:bookmarkEnd w:id="1"/>
    <w:bookmarkEnd w:id="2"/>
    <w:p w14:paraId="29B015B8">
      <w:pPr>
        <w:spacing w:line="480" w:lineRule="auto"/>
        <w:jc w:val="center"/>
        <w:rPr>
          <w:rFonts w:hint="eastAsia" w:ascii="宋体" w:hAnsi="宋体" w:eastAsia="宋体" w:cs="宋体"/>
          <w:b/>
          <w:bCs/>
          <w:sz w:val="32"/>
          <w:szCs w:val="32"/>
        </w:rPr>
      </w:pPr>
      <w:bookmarkStart w:id="3" w:name="_Hlt519045295"/>
      <w:bookmarkEnd w:id="3"/>
      <w:bookmarkStart w:id="4" w:name="_Hlt533241375"/>
      <w:bookmarkEnd w:id="4"/>
      <w:bookmarkStart w:id="5" w:name="_Hlt526418134"/>
      <w:bookmarkEnd w:id="5"/>
      <w:bookmarkStart w:id="6" w:name="_Toc245092759"/>
      <w:bookmarkStart w:id="7" w:name="_Toc273602339"/>
      <w:bookmarkStart w:id="8" w:name="_Toc328559326"/>
      <w:r>
        <w:rPr>
          <w:rFonts w:hint="eastAsia" w:ascii="宋体" w:hAnsi="宋体" w:eastAsia="宋体" w:cs="宋体"/>
          <w:b/>
          <w:bCs/>
          <w:sz w:val="32"/>
          <w:szCs w:val="32"/>
        </w:rPr>
        <w:t xml:space="preserve">第一章 </w:t>
      </w:r>
      <w:bookmarkEnd w:id="6"/>
      <w:bookmarkEnd w:id="7"/>
      <w:bookmarkEnd w:id="8"/>
      <w:bookmarkStart w:id="9" w:name="OLE_LINK5"/>
      <w:r>
        <w:rPr>
          <w:rFonts w:hint="eastAsia" w:ascii="宋体" w:hAnsi="宋体" w:eastAsia="宋体" w:cs="宋体"/>
          <w:b/>
          <w:bCs/>
          <w:sz w:val="32"/>
          <w:szCs w:val="32"/>
        </w:rPr>
        <w:t>招标公告</w:t>
      </w:r>
    </w:p>
    <w:p w14:paraId="4B6E24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合肥滨投文化创意发展有限公司拟对“关于合柴1972文创园户外人行道围栏制作安装服务 ”（项目名称）项目进行国内公开招标，欢迎具备条件的国内投标人参加投标。</w:t>
      </w:r>
      <w:bookmarkStart w:id="10" w:name="OLE_LINK2"/>
      <w:bookmarkEnd w:id="10"/>
      <w:bookmarkStart w:id="11" w:name="OLE_LINK1"/>
      <w:bookmarkEnd w:id="11"/>
    </w:p>
    <w:p w14:paraId="607C1F5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一、项目名称及内容：</w:t>
      </w:r>
    </w:p>
    <w:p w14:paraId="7BA0D15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1、项目编号：无</w:t>
      </w:r>
    </w:p>
    <w:p w14:paraId="056CF42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2、项目名称：关于合柴1972文创园户外人行道围栏</w:t>
      </w:r>
      <w:r>
        <w:rPr>
          <w:rFonts w:hint="eastAsia" w:ascii="宋体" w:hAnsi="宋体" w:cs="宋体"/>
          <w:b/>
          <w:bCs/>
          <w:sz w:val="24"/>
          <w:szCs w:val="24"/>
          <w:lang w:val="en-US" w:eastAsia="zh-CN"/>
        </w:rPr>
        <w:t>设计</w:t>
      </w:r>
      <w:r>
        <w:rPr>
          <w:rFonts w:hint="eastAsia" w:ascii="宋体" w:hAnsi="宋体" w:eastAsia="宋体" w:cs="宋体"/>
          <w:b/>
          <w:bCs/>
          <w:sz w:val="24"/>
          <w:szCs w:val="24"/>
        </w:rPr>
        <w:t>制作安装服务</w:t>
      </w:r>
    </w:p>
    <w:p w14:paraId="709F02E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3、项目地点：合肥市包河区合柴1972文创园</w:t>
      </w:r>
    </w:p>
    <w:p w14:paraId="5386645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4、招标人：合肥滨投文化创意发展有限公司</w:t>
      </w:r>
    </w:p>
    <w:p w14:paraId="2D69F5F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5、项目业主：合肥滨投文化创意发展有限公司</w:t>
      </w:r>
    </w:p>
    <w:p w14:paraId="2D54157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6、项目概况:本次招标为合柴1972文创园户外人行道围栏</w:t>
      </w:r>
      <w:r>
        <w:rPr>
          <w:rFonts w:hint="eastAsia" w:ascii="宋体" w:hAnsi="宋体" w:cs="宋体"/>
          <w:b/>
          <w:bCs/>
          <w:sz w:val="24"/>
          <w:szCs w:val="24"/>
          <w:lang w:val="en-US" w:eastAsia="zh-CN"/>
        </w:rPr>
        <w:t>设计</w:t>
      </w:r>
      <w:r>
        <w:rPr>
          <w:rFonts w:hint="eastAsia" w:ascii="宋体" w:hAnsi="宋体" w:eastAsia="宋体" w:cs="宋体"/>
          <w:b/>
          <w:bCs/>
          <w:sz w:val="24"/>
          <w:szCs w:val="24"/>
        </w:rPr>
        <w:t>制作安装服务,围栏制作安装范围为合柴1972文创园周边凤声路、龙驹路、白荡湖路三条道路人行道外侧(具体起止桩号、长度以甲方现场交底及实测为准),通过设置护栏实现人车分流、保护行人安全、提升园区外围道路景观。</w:t>
      </w:r>
    </w:p>
    <w:p w14:paraId="3DAED67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具体内容如下：</w:t>
      </w:r>
    </w:p>
    <w:p w14:paraId="20B225D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（1）现场踏勘：园区人行道现状、长度、宽度、转弯半径、现状路面/路缘/井盖/灯杆/绿化的关系,以及人流密集点位踏勘记录;</w:t>
      </w:r>
    </w:p>
    <w:p w14:paraId="4BFEBFC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（2）总体方案设计:、分段方案设计、出入口及节点收口的衔接方案;</w:t>
      </w:r>
    </w:p>
    <w:p w14:paraId="7C04A08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（3）单体设计:围栏立面样式、色彩、表面处理工艺、与园区VI及工业风风貌的融合方案;</w:t>
      </w:r>
    </w:p>
    <w:p w14:paraId="2FD3356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（4）施工图设计：立面图、节点大样图、基础图、预埋件图、防腐处理及焊接工艺说明,完整达到可指导加工和现场施工的深度;</w:t>
      </w:r>
    </w:p>
    <w:p w14:paraId="2B28EF5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5）工艺及材质:明确主材(钢管/钢板/方钢/不锈钢/铝合金等)、规格(壁厚、钢板厚度、方管截面)、表面处理工艺(热镀锌/喷塑/氟碳喷涂/烤漆/不锈钢拉丝)、颜色(色卡号/RAL号)、连接方式(焊接/螺栓/榫接)、防水及防腐构造做法;</w:t>
      </w:r>
    </w:p>
    <w:p w14:paraId="7C126D7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（6）效果图:整体效果图、分段效果图、关键节点效果图、夜景灯光效果图(如有),能直观呈现成品风貌;</w:t>
      </w:r>
    </w:p>
    <w:p w14:paraId="3E16FF1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（7）安装方案:基础做法、预埋/化学锚栓/底座法兰、施工组织、安全文明施工、运输及堆场、工期计划、成品保护及售后质保承诺;</w:t>
      </w:r>
    </w:p>
    <w:p w14:paraId="330752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项目概算:8万元(含税)</w:t>
      </w:r>
    </w:p>
    <w:p w14:paraId="03B8CA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标段划分：本项目共划分1个标段</w:t>
      </w:r>
    </w:p>
    <w:p w14:paraId="10F4B35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二、投标人资格</w:t>
      </w:r>
    </w:p>
    <w:p w14:paraId="0B1A8A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投标人须同时满足以下条件：</w:t>
      </w:r>
    </w:p>
    <w:p w14:paraId="1E5B030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1、投标人须具备独立法人资格、具有有效的营业执照。</w:t>
      </w:r>
    </w:p>
    <w:p w14:paraId="541C330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2、关于招标条件:投标人须具有金属制作等工业制作安装服务业绩(单个合同金额5万元及以上),总数不少于2个案例(案例真实可查,需提供合同关键页及竣工验收单,如发现造假,取消参标资格)。</w:t>
      </w:r>
    </w:p>
    <w:p w14:paraId="425555B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3、本项目不接受联合体投标；</w:t>
      </w:r>
    </w:p>
    <w:p w14:paraId="4C42FEE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4、投标人存在以下不良信用记录情形之一的，不得推荐为中标候选人，不得确定为中标人：</w:t>
      </w:r>
    </w:p>
    <w:p w14:paraId="75AFB8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1）投标人被人民法院列入失信被执行人的；</w:t>
      </w:r>
    </w:p>
    <w:p w14:paraId="50A3879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2）投标人或其法定代表人被人民检察院列入行贿犯罪档案的； </w:t>
      </w:r>
    </w:p>
    <w:p w14:paraId="67A1E8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3）投标人被工商行政管理部门列入企业经营异常名录的；</w:t>
      </w:r>
    </w:p>
    <w:p w14:paraId="5964AD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4）投标人被税务部门列入重大税收违法案件当事人名单的；</w:t>
      </w:r>
    </w:p>
    <w:p w14:paraId="49BD51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5）投标人被合肥市人社部门列入拖欠农民工工资黑名单的；</w:t>
      </w:r>
    </w:p>
    <w:p w14:paraId="5BB74F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 投标人被合肥市城乡建设局因安全生产责任事故限制在合肥行政区域内承接新的工程项目且在限制期内的。</w:t>
      </w:r>
    </w:p>
    <w:p w14:paraId="3563BFB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三、招标文件的获取及招标文件发售办法</w:t>
      </w:r>
    </w:p>
    <w:p w14:paraId="4B363D9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1.获取时间：自本公告发布之日至投标截止时间</w:t>
      </w:r>
    </w:p>
    <w:p w14:paraId="53430EA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2.获取方式：潜在投标人须登录合肥滨湖投资控股集团有限公司官网自行下载招标文件。</w:t>
      </w:r>
    </w:p>
    <w:p w14:paraId="502F7D9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四、评标办法（综合评分法）</w:t>
      </w:r>
    </w:p>
    <w:p w14:paraId="020C9B5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1、投标人投标报价不得高于招标控制价，否则其报价无效。</w:t>
      </w:r>
    </w:p>
    <w:p w14:paraId="065A571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2、经评标小组评审符合招标文件规定条件的有效投标人如低于三家，则本次招标流标（另行重新组织招标）。</w:t>
      </w:r>
    </w:p>
    <w:p w14:paraId="3003E46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3、详细评审详见评分标准表。</w:t>
      </w:r>
    </w:p>
    <w:p w14:paraId="251DC14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五、开标时间及地点</w:t>
      </w:r>
    </w:p>
    <w:p w14:paraId="0DC15F8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1.开标时间： 2</w:t>
      </w:r>
      <w:r>
        <w:rPr>
          <w:rFonts w:hint="eastAsia" w:ascii="宋体" w:hAnsi="宋体" w:eastAsia="宋体" w:cs="宋体"/>
          <w:b/>
          <w:bCs/>
          <w:sz w:val="24"/>
          <w:szCs w:val="24"/>
          <w:lang w:val="en-US" w:eastAsia="zh-CN"/>
        </w:rPr>
        <w:t>0</w:t>
      </w:r>
      <w:r>
        <w:rPr>
          <w:rFonts w:hint="eastAsia" w:ascii="宋体" w:hAnsi="宋体" w:eastAsia="宋体" w:cs="宋体"/>
          <w:b/>
          <w:bCs/>
          <w:sz w:val="24"/>
          <w:szCs w:val="24"/>
        </w:rPr>
        <w:t>2</w:t>
      </w:r>
      <w:r>
        <w:rPr>
          <w:rFonts w:hint="eastAsia" w:ascii="宋体" w:hAnsi="宋体" w:eastAsia="宋体" w:cs="宋体"/>
          <w:b/>
          <w:bCs/>
          <w:sz w:val="24"/>
          <w:szCs w:val="24"/>
          <w:lang w:val="en-US" w:eastAsia="zh-CN"/>
        </w:rPr>
        <w:t>6</w:t>
      </w:r>
      <w:r>
        <w:rPr>
          <w:rFonts w:hint="eastAsia" w:ascii="宋体" w:hAnsi="宋体" w:eastAsia="宋体" w:cs="宋体"/>
          <w:b/>
          <w:bCs/>
          <w:sz w:val="24"/>
          <w:szCs w:val="24"/>
        </w:rPr>
        <w:t>年</w:t>
      </w:r>
      <w:r>
        <w:rPr>
          <w:rFonts w:hint="eastAsia" w:ascii="宋体" w:hAnsi="宋体" w:eastAsia="宋体" w:cs="宋体"/>
          <w:b/>
          <w:bCs/>
          <w:sz w:val="24"/>
          <w:szCs w:val="24"/>
          <w:lang w:val="en-US" w:eastAsia="zh-CN"/>
        </w:rPr>
        <w:t>9</w:t>
      </w:r>
      <w:r>
        <w:rPr>
          <w:rFonts w:hint="eastAsia" w:ascii="宋体" w:hAnsi="宋体" w:eastAsia="宋体" w:cs="宋体"/>
          <w:b/>
          <w:bCs/>
          <w:sz w:val="24"/>
          <w:szCs w:val="24"/>
        </w:rPr>
        <w:t>月</w:t>
      </w:r>
      <w:r>
        <w:rPr>
          <w:rFonts w:hint="eastAsia" w:ascii="宋体" w:hAnsi="宋体" w:eastAsia="宋体" w:cs="宋体"/>
          <w:b/>
          <w:bCs/>
          <w:sz w:val="24"/>
          <w:szCs w:val="24"/>
          <w:lang w:val="en-US" w:eastAsia="zh-CN"/>
        </w:rPr>
        <w:t>29</w:t>
      </w:r>
      <w:r>
        <w:rPr>
          <w:rFonts w:hint="eastAsia" w:ascii="宋体" w:hAnsi="宋体" w:eastAsia="宋体" w:cs="宋体"/>
          <w:b/>
          <w:bCs/>
          <w:sz w:val="24"/>
          <w:szCs w:val="24"/>
        </w:rPr>
        <w:t>日15: 00</w:t>
      </w:r>
    </w:p>
    <w:p w14:paraId="1821488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2.开标地点：</w:t>
      </w:r>
      <w:r>
        <w:rPr>
          <w:rFonts w:hint="eastAsia" w:ascii="宋体" w:hAnsi="宋体" w:eastAsia="宋体" w:cs="宋体"/>
          <w:b/>
          <w:bCs/>
          <w:sz w:val="24"/>
          <w:szCs w:val="24"/>
          <w:lang w:val="en-US" w:eastAsia="zh-CN"/>
        </w:rPr>
        <w:t>合肥滨投文化创意发展有限公司3楼会议室</w:t>
      </w:r>
    </w:p>
    <w:p w14:paraId="5E7A550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六、投标截止时间</w:t>
      </w:r>
    </w:p>
    <w:p w14:paraId="577C7D5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 xml:space="preserve"> 202</w:t>
      </w:r>
      <w:r>
        <w:rPr>
          <w:rFonts w:hint="eastAsia" w:ascii="宋体" w:hAnsi="宋体" w:eastAsia="宋体" w:cs="宋体"/>
          <w:b/>
          <w:bCs/>
          <w:sz w:val="24"/>
          <w:szCs w:val="24"/>
          <w:lang w:val="en-US" w:eastAsia="zh-CN"/>
        </w:rPr>
        <w:t>6</w:t>
      </w:r>
      <w:r>
        <w:rPr>
          <w:rFonts w:hint="eastAsia" w:ascii="宋体" w:hAnsi="宋体" w:eastAsia="宋体" w:cs="宋体"/>
          <w:b/>
          <w:bCs/>
          <w:sz w:val="24"/>
          <w:szCs w:val="24"/>
        </w:rPr>
        <w:t xml:space="preserve">年 </w:t>
      </w:r>
      <w:r>
        <w:rPr>
          <w:rFonts w:hint="eastAsia" w:ascii="宋体" w:hAnsi="宋体" w:eastAsia="宋体" w:cs="宋体"/>
          <w:b/>
          <w:bCs/>
          <w:sz w:val="24"/>
          <w:szCs w:val="24"/>
          <w:lang w:val="en-US" w:eastAsia="zh-CN"/>
        </w:rPr>
        <w:t>9</w:t>
      </w:r>
      <w:r>
        <w:rPr>
          <w:rFonts w:hint="eastAsia" w:ascii="宋体" w:hAnsi="宋体" w:eastAsia="宋体" w:cs="宋体"/>
          <w:b/>
          <w:bCs/>
          <w:sz w:val="24"/>
          <w:szCs w:val="24"/>
        </w:rPr>
        <w:t xml:space="preserve">月 </w:t>
      </w:r>
      <w:r>
        <w:rPr>
          <w:rFonts w:hint="eastAsia" w:ascii="宋体" w:hAnsi="宋体" w:eastAsia="宋体" w:cs="宋体"/>
          <w:b/>
          <w:bCs/>
          <w:sz w:val="24"/>
          <w:szCs w:val="24"/>
          <w:lang w:val="en-US" w:eastAsia="zh-CN"/>
        </w:rPr>
        <w:t>29</w:t>
      </w:r>
      <w:r>
        <w:rPr>
          <w:rFonts w:hint="eastAsia" w:ascii="宋体" w:hAnsi="宋体" w:eastAsia="宋体" w:cs="宋体"/>
          <w:b/>
          <w:bCs/>
          <w:sz w:val="24"/>
          <w:szCs w:val="24"/>
        </w:rPr>
        <w:t xml:space="preserve"> 日1</w:t>
      </w:r>
      <w:r>
        <w:rPr>
          <w:rFonts w:hint="eastAsia" w:ascii="宋体" w:hAnsi="宋体" w:eastAsia="宋体" w:cs="宋体"/>
          <w:b/>
          <w:bCs/>
          <w:sz w:val="24"/>
          <w:szCs w:val="24"/>
          <w:lang w:val="en-US" w:eastAsia="zh-CN"/>
        </w:rPr>
        <w:t>4</w:t>
      </w:r>
      <w:r>
        <w:rPr>
          <w:rFonts w:hint="eastAsia" w:ascii="宋体" w:hAnsi="宋体" w:eastAsia="宋体" w:cs="宋体"/>
          <w:b/>
          <w:bCs/>
          <w:sz w:val="24"/>
          <w:szCs w:val="24"/>
        </w:rPr>
        <w:t xml:space="preserve">: </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0</w:t>
      </w:r>
    </w:p>
    <w:p w14:paraId="40193BE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七、联系方法</w:t>
      </w:r>
    </w:p>
    <w:p w14:paraId="6CECB5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招标单位：合肥滨投文化创意发展有限公司</w:t>
      </w:r>
    </w:p>
    <w:p w14:paraId="25AD31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地址：合肥市包河区金寨南路310号合肥滨投文化创意发展有限公司办公楼3楼</w:t>
      </w:r>
    </w:p>
    <w:p w14:paraId="568431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联系人：</w:t>
      </w:r>
      <w:r>
        <w:rPr>
          <w:rFonts w:hint="eastAsia" w:ascii="宋体" w:hAnsi="宋体" w:cs="宋体"/>
          <w:sz w:val="24"/>
          <w:lang w:val="en-US" w:eastAsia="zh-CN"/>
        </w:rPr>
        <w:t>蒋工</w:t>
      </w:r>
    </w:p>
    <w:p w14:paraId="1E5D76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电话：15395028998</w:t>
      </w:r>
    </w:p>
    <w:p w14:paraId="542BEE5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八、投标文件递交</w:t>
      </w:r>
    </w:p>
    <w:p w14:paraId="7935471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1、投标文件应包括：技术标（投标函、授权委托书、营业执照复印件、资质证书复印件、投标方案等），商务标（投标报价），格式详见附件。</w:t>
      </w:r>
    </w:p>
    <w:p w14:paraId="377B0BB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2</w:t>
      </w:r>
      <w:r>
        <w:rPr>
          <w:rFonts w:hint="eastAsia" w:ascii="宋体" w:hAnsi="宋体" w:eastAsia="宋体" w:cs="宋体"/>
          <w:b/>
          <w:bCs/>
          <w:sz w:val="24"/>
          <w:szCs w:val="24"/>
        </w:rPr>
        <w:t>、投标人应按本招标文件“招投标日程表”规定的时间、地点，向招标人提交报名文件（密封件）及商务标（密封件）。</w:t>
      </w:r>
    </w:p>
    <w:p w14:paraId="2708A57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3</w:t>
      </w:r>
      <w:r>
        <w:rPr>
          <w:rFonts w:hint="eastAsia" w:ascii="宋体" w:hAnsi="宋体" w:eastAsia="宋体" w:cs="宋体"/>
          <w:b/>
          <w:bCs/>
          <w:sz w:val="24"/>
          <w:szCs w:val="24"/>
        </w:rPr>
        <w:t>、开标：投标截止后，具体开标由招标单位时间另行通知。在开评标过程中，若投标人投标报价与招标控制价相比降幅过小，或投标人投标报价明显缺乏竞争性的，评标小组可以否决所有投标。</w:t>
      </w:r>
    </w:p>
    <w:p w14:paraId="4325708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九、招投标日程表</w:t>
      </w:r>
    </w:p>
    <w:tbl>
      <w:tblPr>
        <w:tblStyle w:val="54"/>
        <w:tblW w:w="10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2847"/>
        <w:gridCol w:w="3058"/>
        <w:gridCol w:w="3652"/>
      </w:tblGrid>
      <w:tr w14:paraId="4FEA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jc w:val="center"/>
        </w:trPr>
        <w:tc>
          <w:tcPr>
            <w:tcW w:w="820" w:type="dxa"/>
            <w:noWrap w:val="0"/>
            <w:vAlign w:val="center"/>
          </w:tcPr>
          <w:p w14:paraId="7FF651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rPr>
              <w:t>序号</w:t>
            </w:r>
          </w:p>
        </w:tc>
        <w:tc>
          <w:tcPr>
            <w:tcW w:w="2847" w:type="dxa"/>
            <w:noWrap w:val="0"/>
            <w:vAlign w:val="center"/>
          </w:tcPr>
          <w:p w14:paraId="0B4B1E43">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宋体" w:hAnsi="宋体" w:eastAsia="宋体" w:cs="宋体"/>
                <w:sz w:val="24"/>
                <w:szCs w:val="24"/>
              </w:rPr>
            </w:pPr>
            <w:r>
              <w:rPr>
                <w:rFonts w:hint="eastAsia" w:ascii="宋体" w:hAnsi="宋体" w:eastAsia="宋体" w:cs="宋体"/>
                <w:sz w:val="24"/>
              </w:rPr>
              <w:t>内容</w:t>
            </w:r>
          </w:p>
        </w:tc>
        <w:tc>
          <w:tcPr>
            <w:tcW w:w="3058" w:type="dxa"/>
            <w:noWrap w:val="0"/>
            <w:vAlign w:val="center"/>
          </w:tcPr>
          <w:p w14:paraId="3E1C1568">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eastAsia" w:ascii="宋体" w:hAnsi="宋体" w:eastAsia="宋体" w:cs="宋体"/>
                <w:sz w:val="24"/>
                <w:szCs w:val="24"/>
              </w:rPr>
            </w:pPr>
            <w:r>
              <w:rPr>
                <w:rFonts w:hint="eastAsia" w:ascii="宋体" w:hAnsi="宋体" w:eastAsia="宋体" w:cs="宋体"/>
                <w:sz w:val="24"/>
              </w:rPr>
              <w:t>时间</w:t>
            </w:r>
          </w:p>
        </w:tc>
        <w:tc>
          <w:tcPr>
            <w:tcW w:w="3652" w:type="dxa"/>
            <w:noWrap w:val="0"/>
            <w:vAlign w:val="center"/>
          </w:tcPr>
          <w:p w14:paraId="404399EF">
            <w:pPr>
              <w:keepNext w:val="0"/>
              <w:keepLines w:val="0"/>
              <w:pageBreakBefore w:val="0"/>
              <w:widowControl w:val="0"/>
              <w:kinsoku/>
              <w:wordWrap/>
              <w:overflowPunct/>
              <w:topLinePunct w:val="0"/>
              <w:autoSpaceDE/>
              <w:autoSpaceDN/>
              <w:bidi w:val="0"/>
              <w:adjustRightInd/>
              <w:snapToGrid/>
              <w:spacing w:line="36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rPr>
              <w:t>地点</w:t>
            </w:r>
          </w:p>
        </w:tc>
      </w:tr>
      <w:tr w14:paraId="0D36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820" w:type="dxa"/>
            <w:noWrap w:val="0"/>
            <w:vAlign w:val="center"/>
          </w:tcPr>
          <w:p w14:paraId="52CB15B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rPr>
              <w:t>1</w:t>
            </w:r>
          </w:p>
        </w:tc>
        <w:tc>
          <w:tcPr>
            <w:tcW w:w="2847" w:type="dxa"/>
            <w:noWrap w:val="0"/>
            <w:vAlign w:val="center"/>
          </w:tcPr>
          <w:p w14:paraId="49C5FBC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rPr>
              <w:t>招标文件发布起止时间</w:t>
            </w:r>
          </w:p>
        </w:tc>
        <w:tc>
          <w:tcPr>
            <w:tcW w:w="3058" w:type="dxa"/>
            <w:noWrap w:val="0"/>
            <w:vAlign w:val="center"/>
          </w:tcPr>
          <w:p w14:paraId="4BC7FD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cs="宋体"/>
                <w:sz w:val="24"/>
                <w:lang w:val="en-US" w:eastAsia="zh-CN"/>
              </w:rPr>
              <w:t>9月25日-</w:t>
            </w:r>
            <w:r>
              <w:rPr>
                <w:rFonts w:hint="eastAsia" w:ascii="宋体" w:hAnsi="宋体" w:eastAsia="宋体" w:cs="宋体"/>
                <w:sz w:val="24"/>
                <w:lang w:val="en-US" w:eastAsia="zh-CN"/>
              </w:rPr>
              <w:t>9</w:t>
            </w:r>
            <w:r>
              <w:rPr>
                <w:rFonts w:hint="eastAsia" w:ascii="宋体" w:hAnsi="宋体" w:eastAsia="宋体" w:cs="宋体"/>
                <w:sz w:val="24"/>
              </w:rPr>
              <w:t>月</w:t>
            </w:r>
            <w:r>
              <w:rPr>
                <w:rFonts w:hint="eastAsia" w:ascii="宋体" w:hAnsi="宋体" w:cs="宋体"/>
                <w:sz w:val="24"/>
                <w:lang w:val="en-US" w:eastAsia="zh-CN"/>
              </w:rPr>
              <w:t>29</w:t>
            </w:r>
            <w:r>
              <w:rPr>
                <w:rFonts w:hint="eastAsia" w:ascii="宋体" w:hAnsi="宋体" w:eastAsia="宋体" w:cs="宋体"/>
                <w:sz w:val="24"/>
              </w:rPr>
              <w:t>日</w:t>
            </w:r>
          </w:p>
        </w:tc>
        <w:tc>
          <w:tcPr>
            <w:tcW w:w="3652" w:type="dxa"/>
            <w:noWrap w:val="0"/>
            <w:vAlign w:val="center"/>
          </w:tcPr>
          <w:p w14:paraId="275E5EB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rPr>
              <w:t>滨湖集团官网</w:t>
            </w:r>
          </w:p>
        </w:tc>
      </w:tr>
      <w:tr w14:paraId="0B0C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820" w:type="dxa"/>
            <w:noWrap w:val="0"/>
            <w:vAlign w:val="center"/>
          </w:tcPr>
          <w:p w14:paraId="3F90A46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rPr>
              <w:t>2</w:t>
            </w:r>
          </w:p>
        </w:tc>
        <w:tc>
          <w:tcPr>
            <w:tcW w:w="2847" w:type="dxa"/>
            <w:noWrap w:val="0"/>
            <w:vAlign w:val="center"/>
          </w:tcPr>
          <w:p w14:paraId="72C30C7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rPr>
              <w:t>投标文件提交截止时间</w:t>
            </w:r>
          </w:p>
        </w:tc>
        <w:tc>
          <w:tcPr>
            <w:tcW w:w="3058" w:type="dxa"/>
            <w:noWrap w:val="0"/>
            <w:vAlign w:val="center"/>
          </w:tcPr>
          <w:p w14:paraId="05426C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cs="宋体"/>
                <w:sz w:val="24"/>
                <w:lang w:val="en-US" w:eastAsia="zh-CN"/>
              </w:rPr>
              <w:t>9月29日14: 50</w:t>
            </w:r>
          </w:p>
        </w:tc>
        <w:tc>
          <w:tcPr>
            <w:tcW w:w="3652" w:type="dxa"/>
            <w:noWrap w:val="0"/>
            <w:vAlign w:val="center"/>
          </w:tcPr>
          <w:p w14:paraId="359793A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4"/>
                <w:szCs w:val="24"/>
                <w:lang w:val="en-US"/>
              </w:rPr>
            </w:pPr>
            <w:r>
              <w:rPr>
                <w:rFonts w:hint="eastAsia" w:ascii="宋体" w:hAnsi="宋体" w:cs="宋体"/>
                <w:sz w:val="24"/>
                <w:szCs w:val="24"/>
                <w:lang w:val="en-US" w:eastAsia="zh-CN"/>
              </w:rPr>
              <w:t>合肥滨投文化创意发展有限公司3楼305</w:t>
            </w:r>
          </w:p>
        </w:tc>
      </w:tr>
      <w:tr w14:paraId="7B13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20" w:type="dxa"/>
            <w:noWrap w:val="0"/>
            <w:vAlign w:val="center"/>
          </w:tcPr>
          <w:p w14:paraId="3B038DC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rPr>
              <w:t>3</w:t>
            </w:r>
          </w:p>
        </w:tc>
        <w:tc>
          <w:tcPr>
            <w:tcW w:w="2847" w:type="dxa"/>
            <w:noWrap w:val="0"/>
            <w:vAlign w:val="center"/>
          </w:tcPr>
          <w:p w14:paraId="6CEDB8C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rPr>
              <w:t>开标时间、地点</w:t>
            </w:r>
          </w:p>
        </w:tc>
        <w:tc>
          <w:tcPr>
            <w:tcW w:w="3058" w:type="dxa"/>
            <w:noWrap w:val="0"/>
            <w:vAlign w:val="center"/>
          </w:tcPr>
          <w:p w14:paraId="70184C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rPr>
            </w:pPr>
            <w:r>
              <w:rPr>
                <w:rFonts w:hint="eastAsia" w:ascii="宋体" w:hAnsi="宋体" w:cs="宋体"/>
                <w:sz w:val="24"/>
                <w:lang w:val="en-US" w:eastAsia="zh-CN"/>
              </w:rPr>
              <w:t>9月29日 15：00</w:t>
            </w:r>
          </w:p>
        </w:tc>
        <w:tc>
          <w:tcPr>
            <w:tcW w:w="3652" w:type="dxa"/>
            <w:noWrap w:val="0"/>
            <w:vAlign w:val="center"/>
          </w:tcPr>
          <w:p w14:paraId="48E17DC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合肥滨投文化创意发展有限公司3楼会议室</w:t>
            </w:r>
          </w:p>
        </w:tc>
      </w:tr>
      <w:tr w14:paraId="2EFB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0377" w:type="dxa"/>
            <w:gridSpan w:val="4"/>
            <w:noWrap w:val="0"/>
            <w:vAlign w:val="center"/>
          </w:tcPr>
          <w:p w14:paraId="60F235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cs="宋体"/>
                <w:sz w:val="24"/>
                <w:lang w:val="en-US" w:eastAsia="zh-CN"/>
              </w:rPr>
            </w:pPr>
            <w:r>
              <w:rPr>
                <w:rFonts w:hint="eastAsia" w:ascii="宋体" w:hAnsi="宋体" w:eastAsia="宋体" w:cs="宋体"/>
                <w:sz w:val="24"/>
              </w:rPr>
              <w:t>联系人</w:t>
            </w:r>
            <w:r>
              <w:rPr>
                <w:rFonts w:hint="eastAsia" w:ascii="宋体" w:hAnsi="宋体" w:cs="宋体"/>
                <w:sz w:val="24"/>
                <w:lang w:eastAsia="zh-CN"/>
              </w:rPr>
              <w:t>：</w:t>
            </w:r>
            <w:r>
              <w:rPr>
                <w:rFonts w:hint="eastAsia" w:ascii="宋体" w:hAnsi="宋体" w:cs="宋体"/>
                <w:sz w:val="24"/>
                <w:lang w:val="en-US" w:eastAsia="zh-CN"/>
              </w:rPr>
              <w:t>蒋工</w:t>
            </w:r>
          </w:p>
          <w:p w14:paraId="00A2D1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宋体" w:hAnsi="宋体" w:eastAsia="宋体" w:cs="宋体"/>
                <w:sz w:val="24"/>
                <w:szCs w:val="24"/>
                <w:lang w:val="en-US" w:eastAsia="zh-CN"/>
              </w:rPr>
            </w:pPr>
            <w:r>
              <w:rPr>
                <w:rFonts w:hint="eastAsia" w:ascii="宋体" w:hAnsi="宋体" w:eastAsia="宋体" w:cs="宋体"/>
                <w:sz w:val="24"/>
              </w:rPr>
              <w:t>联系电话：</w:t>
            </w:r>
            <w:r>
              <w:rPr>
                <w:rFonts w:hint="eastAsia" w:ascii="宋体" w:hAnsi="宋体" w:cs="宋体"/>
                <w:sz w:val="24"/>
                <w:lang w:val="en-US" w:eastAsia="zh-CN"/>
              </w:rPr>
              <w:t>15395028998</w:t>
            </w:r>
          </w:p>
        </w:tc>
      </w:tr>
    </w:tbl>
    <w:p w14:paraId="709907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宋体" w:cs="宋体"/>
          <w:sz w:val="24"/>
          <w:szCs w:val="24"/>
        </w:rPr>
      </w:pPr>
    </w:p>
    <w:p w14:paraId="67F98A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cs="宋体"/>
          <w:sz w:val="24"/>
          <w:szCs w:val="24"/>
          <w:lang w:val="en-US" w:eastAsia="zh-CN"/>
        </w:rPr>
      </w:pPr>
      <w:r>
        <w:rPr>
          <w:rFonts w:hint="eastAsia" w:ascii="宋体" w:hAnsi="宋体" w:eastAsia="宋体" w:cs="宋体"/>
          <w:sz w:val="24"/>
          <w:szCs w:val="24"/>
        </w:rPr>
        <w:t>日期:202</w:t>
      </w:r>
      <w:r>
        <w:rPr>
          <w:rFonts w:hint="eastAsia" w:ascii="宋体" w:hAnsi="宋体" w:cs="宋体"/>
          <w:sz w:val="24"/>
          <w:szCs w:val="24"/>
          <w:lang w:val="en-US" w:eastAsia="zh-CN"/>
        </w:rPr>
        <w:t>6</w:t>
      </w:r>
      <w:r>
        <w:rPr>
          <w:rFonts w:hint="eastAsia" w:ascii="宋体" w:hAnsi="宋体" w:eastAsia="宋体" w:cs="宋体"/>
          <w:sz w:val="24"/>
          <w:szCs w:val="24"/>
        </w:rPr>
        <w:t>.</w:t>
      </w:r>
      <w:r>
        <w:rPr>
          <w:rFonts w:hint="eastAsia" w:ascii="宋体" w:hAnsi="宋体" w:cs="宋体"/>
          <w:sz w:val="24"/>
          <w:szCs w:val="24"/>
          <w:lang w:val="en-US" w:eastAsia="zh-CN"/>
        </w:rPr>
        <w:t>9.25</w:t>
      </w:r>
    </w:p>
    <w:p w14:paraId="4453EECC">
      <w:pPr>
        <w:pStyle w:val="2"/>
        <w:rPr>
          <w:rFonts w:hint="default"/>
          <w:lang w:val="en-US" w:eastAsia="zh-CN"/>
        </w:rPr>
      </w:pPr>
    </w:p>
    <w:p w14:paraId="18DE215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工期:自合同签订且现场具备施工条件之日起 30 个日历天内完成全部围栏的制作、运输、安装及验收(含设计周期)。</w:t>
      </w:r>
    </w:p>
    <w:p w14:paraId="4371B1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付款方式(支付进度):合同签订后十个工作日内,付款至合同总价款的30%;主要材料进场并经甲方验收合格后,支付合同总价款的30%;项目竣工验收合格后,支付合同总价款的35%;质保期满(自竣工验收合格之日起24个月)无质量问题后,支付合同总价款的5%。</w:t>
      </w:r>
    </w:p>
    <w:p w14:paraId="3592532B">
      <w:pPr>
        <w:pStyle w:val="2"/>
        <w:rPr>
          <w:rFonts w:hint="eastAsia" w:ascii="宋体" w:hAnsi="宋体" w:eastAsia="宋体" w:cs="宋体"/>
          <w:sz w:val="24"/>
          <w:szCs w:val="24"/>
        </w:rPr>
      </w:pPr>
    </w:p>
    <w:p w14:paraId="671F17E1">
      <w:pPr>
        <w:pStyle w:val="2"/>
        <w:rPr>
          <w:rFonts w:hint="eastAsia" w:ascii="宋体" w:hAnsi="宋体" w:eastAsia="宋体" w:cs="宋体"/>
          <w:sz w:val="24"/>
          <w:szCs w:val="24"/>
        </w:rPr>
      </w:pPr>
    </w:p>
    <w:p w14:paraId="14A4A488">
      <w:pPr>
        <w:pStyle w:val="2"/>
        <w:rPr>
          <w:rFonts w:hint="eastAsia" w:ascii="宋体" w:hAnsi="宋体" w:eastAsia="宋体" w:cs="宋体"/>
          <w:sz w:val="24"/>
          <w:szCs w:val="24"/>
        </w:rPr>
      </w:pPr>
    </w:p>
    <w:p w14:paraId="09A36434">
      <w:pPr>
        <w:pStyle w:val="2"/>
        <w:rPr>
          <w:rFonts w:hint="eastAsia" w:ascii="宋体" w:hAnsi="宋体" w:eastAsia="宋体" w:cs="宋体"/>
          <w:sz w:val="24"/>
          <w:szCs w:val="24"/>
        </w:rPr>
      </w:pPr>
    </w:p>
    <w:p w14:paraId="1E94559F">
      <w:pPr>
        <w:pStyle w:val="2"/>
        <w:rPr>
          <w:rFonts w:hint="eastAsia" w:ascii="宋体" w:hAnsi="宋体" w:eastAsia="宋体" w:cs="宋体"/>
          <w:sz w:val="24"/>
          <w:szCs w:val="24"/>
        </w:rPr>
      </w:pPr>
    </w:p>
    <w:p w14:paraId="6C21F112">
      <w:pPr>
        <w:pStyle w:val="2"/>
        <w:rPr>
          <w:rFonts w:hint="eastAsia" w:ascii="宋体" w:hAnsi="宋体" w:eastAsia="宋体" w:cs="宋体"/>
          <w:sz w:val="24"/>
          <w:szCs w:val="24"/>
        </w:rPr>
      </w:pPr>
    </w:p>
    <w:p w14:paraId="0888A0F4">
      <w:pPr>
        <w:pStyle w:val="2"/>
        <w:rPr>
          <w:rFonts w:hint="eastAsia" w:ascii="宋体" w:hAnsi="宋体" w:eastAsia="宋体" w:cs="宋体"/>
          <w:sz w:val="24"/>
          <w:szCs w:val="24"/>
        </w:rPr>
      </w:pPr>
    </w:p>
    <w:p w14:paraId="5772C713">
      <w:pPr>
        <w:pStyle w:val="2"/>
        <w:rPr>
          <w:rFonts w:hint="eastAsia" w:ascii="宋体" w:hAnsi="宋体" w:eastAsia="宋体" w:cs="宋体"/>
          <w:sz w:val="24"/>
          <w:szCs w:val="24"/>
        </w:rPr>
      </w:pPr>
    </w:p>
    <w:p w14:paraId="63128568">
      <w:pPr>
        <w:pStyle w:val="2"/>
        <w:rPr>
          <w:rFonts w:hint="eastAsia" w:ascii="宋体" w:hAnsi="宋体" w:eastAsia="宋体" w:cs="宋体"/>
          <w:sz w:val="24"/>
          <w:szCs w:val="24"/>
        </w:rPr>
      </w:pPr>
    </w:p>
    <w:p w14:paraId="0F993D23">
      <w:pPr>
        <w:pStyle w:val="2"/>
        <w:rPr>
          <w:rFonts w:hint="eastAsia" w:ascii="宋体" w:hAnsi="宋体" w:eastAsia="宋体" w:cs="宋体"/>
          <w:sz w:val="24"/>
          <w:szCs w:val="24"/>
        </w:rPr>
      </w:pPr>
    </w:p>
    <w:p w14:paraId="66661411">
      <w:pPr>
        <w:pStyle w:val="2"/>
        <w:rPr>
          <w:rFonts w:hint="eastAsia" w:ascii="宋体" w:hAnsi="宋体" w:eastAsia="宋体" w:cs="宋体"/>
          <w:sz w:val="24"/>
          <w:szCs w:val="24"/>
        </w:rPr>
      </w:pPr>
    </w:p>
    <w:p w14:paraId="5EA46DB2">
      <w:pPr>
        <w:pStyle w:val="2"/>
        <w:rPr>
          <w:rFonts w:hint="eastAsia" w:ascii="宋体" w:hAnsi="宋体" w:eastAsia="宋体" w:cs="宋体"/>
          <w:sz w:val="24"/>
          <w:szCs w:val="24"/>
        </w:rPr>
      </w:pPr>
    </w:p>
    <w:p w14:paraId="1291103A">
      <w:pPr>
        <w:pStyle w:val="2"/>
        <w:rPr>
          <w:rFonts w:hint="eastAsia" w:ascii="宋体" w:hAnsi="宋体" w:eastAsia="宋体" w:cs="宋体"/>
          <w:sz w:val="24"/>
          <w:szCs w:val="24"/>
        </w:rPr>
      </w:pPr>
    </w:p>
    <w:p w14:paraId="15A2C67E">
      <w:pPr>
        <w:pStyle w:val="2"/>
        <w:rPr>
          <w:rFonts w:hint="eastAsia" w:ascii="宋体" w:hAnsi="宋体" w:eastAsia="宋体" w:cs="宋体"/>
          <w:sz w:val="24"/>
          <w:szCs w:val="24"/>
        </w:rPr>
      </w:pPr>
    </w:p>
    <w:p w14:paraId="143B06FF">
      <w:pPr>
        <w:pStyle w:val="2"/>
        <w:rPr>
          <w:rFonts w:hint="eastAsia" w:ascii="宋体" w:hAnsi="宋体" w:eastAsia="宋体" w:cs="宋体"/>
          <w:sz w:val="24"/>
          <w:szCs w:val="24"/>
        </w:rPr>
      </w:pPr>
    </w:p>
    <w:p w14:paraId="797AA3C9">
      <w:pPr>
        <w:pStyle w:val="2"/>
        <w:rPr>
          <w:rFonts w:hint="eastAsia" w:ascii="宋体" w:hAnsi="宋体" w:eastAsia="宋体" w:cs="宋体"/>
          <w:sz w:val="24"/>
          <w:szCs w:val="24"/>
        </w:rPr>
      </w:pPr>
    </w:p>
    <w:p w14:paraId="5AF3FDC8">
      <w:pPr>
        <w:pStyle w:val="2"/>
        <w:rPr>
          <w:rFonts w:hint="eastAsia" w:ascii="宋体" w:hAnsi="宋体" w:eastAsia="宋体" w:cs="宋体"/>
          <w:sz w:val="24"/>
          <w:szCs w:val="24"/>
        </w:rPr>
      </w:pPr>
    </w:p>
    <w:p w14:paraId="089D63CF">
      <w:pPr>
        <w:pStyle w:val="2"/>
        <w:rPr>
          <w:rFonts w:hint="eastAsia" w:ascii="宋体" w:hAnsi="宋体" w:eastAsia="宋体" w:cs="宋体"/>
          <w:sz w:val="24"/>
          <w:szCs w:val="24"/>
        </w:rPr>
      </w:pPr>
    </w:p>
    <w:p w14:paraId="5BD46E31">
      <w:pPr>
        <w:pStyle w:val="2"/>
        <w:rPr>
          <w:rFonts w:hint="eastAsia" w:ascii="宋体" w:hAnsi="宋体" w:eastAsia="宋体" w:cs="宋体"/>
          <w:sz w:val="24"/>
          <w:szCs w:val="24"/>
        </w:rPr>
      </w:pPr>
    </w:p>
    <w:p w14:paraId="0C673667">
      <w:pPr>
        <w:pStyle w:val="2"/>
        <w:rPr>
          <w:rFonts w:hint="eastAsia" w:ascii="宋体" w:hAnsi="宋体" w:eastAsia="宋体" w:cs="宋体"/>
          <w:sz w:val="24"/>
          <w:szCs w:val="24"/>
        </w:rPr>
      </w:pPr>
    </w:p>
    <w:p w14:paraId="09B4AF0D">
      <w:pPr>
        <w:pStyle w:val="2"/>
        <w:rPr>
          <w:rFonts w:hint="eastAsia" w:ascii="宋体" w:hAnsi="宋体" w:eastAsia="宋体" w:cs="宋体"/>
          <w:sz w:val="24"/>
          <w:szCs w:val="24"/>
        </w:rPr>
      </w:pPr>
    </w:p>
    <w:p w14:paraId="6AC3A41D">
      <w:pPr>
        <w:pStyle w:val="2"/>
        <w:rPr>
          <w:rFonts w:hint="eastAsia" w:ascii="宋体" w:hAnsi="宋体" w:eastAsia="宋体" w:cs="宋体"/>
          <w:sz w:val="24"/>
          <w:szCs w:val="24"/>
        </w:rPr>
      </w:pPr>
    </w:p>
    <w:p w14:paraId="39D74C55">
      <w:pPr>
        <w:pStyle w:val="2"/>
        <w:rPr>
          <w:rFonts w:hint="eastAsia" w:ascii="宋体" w:hAnsi="宋体" w:eastAsia="宋体" w:cs="宋体"/>
          <w:sz w:val="24"/>
          <w:szCs w:val="24"/>
        </w:rPr>
      </w:pPr>
    </w:p>
    <w:p w14:paraId="435933A5">
      <w:pPr>
        <w:pStyle w:val="2"/>
        <w:rPr>
          <w:rFonts w:hint="eastAsia" w:ascii="宋体" w:hAnsi="宋体" w:eastAsia="宋体" w:cs="宋体"/>
          <w:sz w:val="24"/>
          <w:szCs w:val="24"/>
        </w:rPr>
      </w:pPr>
    </w:p>
    <w:p w14:paraId="00870EC7">
      <w:pPr>
        <w:pStyle w:val="2"/>
        <w:rPr>
          <w:rFonts w:hint="eastAsia" w:ascii="宋体" w:hAnsi="宋体" w:eastAsia="宋体" w:cs="宋体"/>
          <w:sz w:val="24"/>
          <w:szCs w:val="24"/>
        </w:rPr>
      </w:pPr>
    </w:p>
    <w:p w14:paraId="669F3BC5">
      <w:pPr>
        <w:pStyle w:val="2"/>
        <w:rPr>
          <w:rFonts w:hint="eastAsia" w:ascii="宋体" w:hAnsi="宋体" w:eastAsia="宋体" w:cs="宋体"/>
          <w:sz w:val="24"/>
          <w:szCs w:val="24"/>
        </w:rPr>
      </w:pPr>
    </w:p>
    <w:p w14:paraId="6F157340">
      <w:pPr>
        <w:pStyle w:val="2"/>
        <w:rPr>
          <w:rFonts w:hint="eastAsia" w:ascii="宋体" w:hAnsi="宋体" w:eastAsia="宋体" w:cs="宋体"/>
          <w:sz w:val="24"/>
          <w:szCs w:val="24"/>
        </w:rPr>
      </w:pPr>
    </w:p>
    <w:p w14:paraId="12B915D2">
      <w:pPr>
        <w:pStyle w:val="2"/>
        <w:rPr>
          <w:rFonts w:hint="eastAsia" w:ascii="宋体" w:hAnsi="宋体" w:eastAsia="宋体" w:cs="宋体"/>
          <w:sz w:val="24"/>
          <w:szCs w:val="24"/>
        </w:rPr>
      </w:pPr>
    </w:p>
    <w:p w14:paraId="4338AB2B">
      <w:pPr>
        <w:pStyle w:val="2"/>
        <w:rPr>
          <w:rFonts w:hint="eastAsia" w:ascii="宋体" w:hAnsi="宋体" w:eastAsia="宋体" w:cs="宋体"/>
          <w:sz w:val="24"/>
          <w:szCs w:val="24"/>
        </w:rPr>
      </w:pPr>
    </w:p>
    <w:p w14:paraId="1CF3262C">
      <w:pPr>
        <w:pStyle w:val="2"/>
        <w:rPr>
          <w:rFonts w:hint="eastAsia" w:ascii="宋体" w:hAnsi="宋体" w:eastAsia="宋体" w:cs="宋体"/>
          <w:sz w:val="24"/>
          <w:szCs w:val="24"/>
        </w:rPr>
      </w:pPr>
    </w:p>
    <w:p w14:paraId="530C7F21">
      <w:pPr>
        <w:pStyle w:val="2"/>
        <w:rPr>
          <w:rFonts w:hint="eastAsia" w:ascii="宋体" w:hAnsi="宋体" w:eastAsia="宋体" w:cs="宋体"/>
          <w:sz w:val="24"/>
          <w:szCs w:val="24"/>
        </w:rPr>
      </w:pPr>
    </w:p>
    <w:p w14:paraId="375D4078">
      <w:pPr>
        <w:pStyle w:val="2"/>
        <w:rPr>
          <w:rFonts w:hint="eastAsia" w:ascii="宋体" w:hAnsi="宋体" w:eastAsia="宋体" w:cs="宋体"/>
          <w:sz w:val="24"/>
          <w:szCs w:val="24"/>
        </w:rPr>
      </w:pPr>
    </w:p>
    <w:p w14:paraId="7A4B7A92">
      <w:pPr>
        <w:pStyle w:val="2"/>
        <w:rPr>
          <w:rFonts w:hint="eastAsia" w:ascii="宋体" w:hAnsi="宋体" w:eastAsia="宋体" w:cs="宋体"/>
          <w:sz w:val="24"/>
          <w:szCs w:val="24"/>
        </w:rPr>
      </w:pPr>
    </w:p>
    <w:p w14:paraId="42D317A4">
      <w:pPr>
        <w:pStyle w:val="2"/>
        <w:rPr>
          <w:rFonts w:hint="eastAsia" w:ascii="宋体" w:hAnsi="宋体" w:eastAsia="宋体" w:cs="宋体"/>
          <w:sz w:val="24"/>
          <w:szCs w:val="24"/>
        </w:rPr>
      </w:pPr>
    </w:p>
    <w:p w14:paraId="14E018A2">
      <w:pPr>
        <w:pStyle w:val="2"/>
        <w:rPr>
          <w:rFonts w:hint="eastAsia" w:ascii="宋体" w:hAnsi="宋体" w:eastAsia="宋体" w:cs="宋体"/>
          <w:sz w:val="24"/>
          <w:szCs w:val="24"/>
        </w:rPr>
      </w:pPr>
    </w:p>
    <w:p w14:paraId="360D00C2">
      <w:pPr>
        <w:pStyle w:val="2"/>
        <w:rPr>
          <w:rFonts w:hint="eastAsia" w:ascii="宋体" w:hAnsi="宋体" w:eastAsia="宋体" w:cs="宋体"/>
          <w:sz w:val="24"/>
          <w:szCs w:val="24"/>
        </w:rPr>
      </w:pPr>
    </w:p>
    <w:p w14:paraId="02691747">
      <w:pPr>
        <w:pStyle w:val="2"/>
        <w:rPr>
          <w:rFonts w:hint="eastAsia" w:ascii="宋体" w:hAnsi="宋体" w:eastAsia="宋体" w:cs="宋体"/>
          <w:sz w:val="24"/>
          <w:szCs w:val="24"/>
        </w:rPr>
      </w:pPr>
    </w:p>
    <w:p w14:paraId="6A9226B4">
      <w:pPr>
        <w:pStyle w:val="2"/>
        <w:rPr>
          <w:rFonts w:hint="eastAsia" w:ascii="宋体" w:hAnsi="宋体" w:eastAsia="宋体" w:cs="宋体"/>
          <w:sz w:val="24"/>
          <w:szCs w:val="24"/>
        </w:rPr>
      </w:pPr>
    </w:p>
    <w:p w14:paraId="1DB542D0">
      <w:pPr>
        <w:pStyle w:val="2"/>
        <w:rPr>
          <w:rFonts w:hint="eastAsia" w:ascii="宋体" w:hAnsi="宋体" w:eastAsia="宋体" w:cs="宋体"/>
          <w:sz w:val="24"/>
          <w:szCs w:val="24"/>
        </w:rPr>
      </w:pPr>
    </w:p>
    <w:p w14:paraId="0A51CA5B">
      <w:pPr>
        <w:pStyle w:val="2"/>
        <w:rPr>
          <w:rFonts w:hint="eastAsia" w:ascii="宋体" w:hAnsi="宋体" w:eastAsia="宋体" w:cs="宋体"/>
          <w:sz w:val="24"/>
          <w:szCs w:val="24"/>
        </w:rPr>
      </w:pPr>
    </w:p>
    <w:p w14:paraId="7D85D192">
      <w:pPr>
        <w:pStyle w:val="2"/>
        <w:rPr>
          <w:rFonts w:hint="eastAsia" w:ascii="宋体" w:hAnsi="宋体" w:eastAsia="宋体" w:cs="宋体"/>
          <w:sz w:val="24"/>
          <w:szCs w:val="24"/>
        </w:rPr>
      </w:pPr>
    </w:p>
    <w:p w14:paraId="067ADFC8">
      <w:pPr>
        <w:pStyle w:val="2"/>
        <w:rPr>
          <w:rFonts w:hint="eastAsia" w:ascii="宋体" w:hAnsi="宋体" w:eastAsia="宋体" w:cs="宋体"/>
          <w:sz w:val="24"/>
          <w:szCs w:val="24"/>
        </w:rPr>
      </w:pPr>
    </w:p>
    <w:p w14:paraId="7EED4B1A">
      <w:pPr>
        <w:pStyle w:val="2"/>
        <w:rPr>
          <w:rFonts w:hint="eastAsia" w:ascii="宋体" w:hAnsi="宋体" w:eastAsia="宋体" w:cs="宋体"/>
          <w:sz w:val="24"/>
          <w:szCs w:val="24"/>
        </w:rPr>
      </w:pPr>
    </w:p>
    <w:p w14:paraId="0BDBCE7A">
      <w:pPr>
        <w:pStyle w:val="2"/>
        <w:rPr>
          <w:rFonts w:hint="eastAsia" w:ascii="宋体" w:hAnsi="宋体" w:eastAsia="宋体" w:cs="宋体"/>
          <w:sz w:val="24"/>
          <w:szCs w:val="24"/>
        </w:rPr>
      </w:pPr>
    </w:p>
    <w:bookmarkEnd w:id="9"/>
    <w:p w14:paraId="6AE66E6F">
      <w:pPr>
        <w:spacing w:line="480" w:lineRule="auto"/>
        <w:jc w:val="left"/>
        <w:rPr>
          <w:rFonts w:hint="eastAsia" w:ascii="宋体" w:hAnsi="宋体" w:eastAsia="宋体" w:cs="宋体"/>
          <w:sz w:val="24"/>
          <w:szCs w:val="24"/>
        </w:rPr>
      </w:pPr>
    </w:p>
    <w:p w14:paraId="7D951A79">
      <w:pPr>
        <w:spacing w:line="480" w:lineRule="auto"/>
        <w:jc w:val="center"/>
        <w:rPr>
          <w:rFonts w:hint="eastAsia" w:ascii="宋体" w:hAnsi="宋体" w:eastAsia="宋体" w:cs="宋体"/>
          <w:b/>
          <w:bCs/>
          <w:sz w:val="32"/>
          <w:szCs w:val="32"/>
        </w:rPr>
      </w:pPr>
      <w:r>
        <w:rPr>
          <w:rFonts w:hint="eastAsia" w:ascii="宋体" w:hAnsi="宋体" w:eastAsia="宋体" w:cs="宋体"/>
          <w:b/>
          <w:bCs/>
          <w:sz w:val="32"/>
          <w:szCs w:val="32"/>
        </w:rPr>
        <w:t>第二章 评审方法和标准</w:t>
      </w:r>
    </w:p>
    <w:p w14:paraId="4F95522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2.1综合评分</w:t>
      </w:r>
    </w:p>
    <w:p w14:paraId="4461EEF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2.1.1询比小组按照下表对进入综合评分的所有投标人的响应文件进行综合评分。</w:t>
      </w:r>
    </w:p>
    <w:p w14:paraId="550A711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2.1.2本项目综合评分满分为100分，其中：技术分值占总分值的权重为70%，价格分值占总分值的权重为30%。询比小组依据投标人现场述标情况进行打分，评审项目将细分为以下几个核心维度，并分配相应分值，具体评分细则如下：</w:t>
      </w:r>
    </w:p>
    <w:tbl>
      <w:tblPr>
        <w:tblStyle w:val="54"/>
        <w:tblW w:w="8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688"/>
        <w:gridCol w:w="4019"/>
        <w:gridCol w:w="1574"/>
      </w:tblGrid>
      <w:tr w14:paraId="1429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18DA585B">
            <w:pPr>
              <w:spacing w:line="240" w:lineRule="auto"/>
              <w:jc w:val="center"/>
              <w:rPr>
                <w:rFonts w:hint="eastAsia" w:ascii="宋体" w:hAnsi="宋体" w:eastAsia="宋体" w:cs="宋体"/>
                <w:sz w:val="24"/>
                <w:szCs w:val="24"/>
              </w:rPr>
            </w:pPr>
            <w:r>
              <w:rPr>
                <w:rFonts w:hint="eastAsia" w:ascii="宋体" w:hAnsi="宋体" w:eastAsia="宋体" w:cs="宋体"/>
                <w:sz w:val="24"/>
              </w:rPr>
              <w:t>类别</w:t>
            </w:r>
          </w:p>
        </w:tc>
        <w:tc>
          <w:tcPr>
            <w:tcW w:w="1688" w:type="dxa"/>
            <w:vAlign w:val="center"/>
          </w:tcPr>
          <w:p w14:paraId="506A8E9F">
            <w:pPr>
              <w:spacing w:line="240" w:lineRule="auto"/>
              <w:jc w:val="center"/>
              <w:rPr>
                <w:rFonts w:hint="eastAsia" w:ascii="宋体" w:hAnsi="宋体" w:eastAsia="宋体" w:cs="宋体"/>
                <w:sz w:val="24"/>
                <w:szCs w:val="24"/>
              </w:rPr>
            </w:pPr>
            <w:r>
              <w:rPr>
                <w:rFonts w:hint="eastAsia" w:ascii="宋体" w:hAnsi="宋体" w:eastAsia="宋体" w:cs="宋体"/>
                <w:sz w:val="24"/>
              </w:rPr>
              <w:t>评分内容</w:t>
            </w:r>
          </w:p>
        </w:tc>
        <w:tc>
          <w:tcPr>
            <w:tcW w:w="4019" w:type="dxa"/>
            <w:vAlign w:val="center"/>
          </w:tcPr>
          <w:p w14:paraId="07EEEE09">
            <w:pPr>
              <w:spacing w:line="240" w:lineRule="auto"/>
              <w:jc w:val="center"/>
              <w:rPr>
                <w:rFonts w:hint="eastAsia" w:ascii="宋体" w:hAnsi="宋体" w:eastAsia="宋体" w:cs="宋体"/>
                <w:sz w:val="24"/>
                <w:szCs w:val="24"/>
              </w:rPr>
            </w:pPr>
            <w:r>
              <w:rPr>
                <w:rFonts w:hint="eastAsia" w:ascii="宋体" w:hAnsi="宋体" w:eastAsia="宋体" w:cs="宋体"/>
                <w:sz w:val="24"/>
              </w:rPr>
              <w:t>评分标准</w:t>
            </w:r>
          </w:p>
        </w:tc>
        <w:tc>
          <w:tcPr>
            <w:tcW w:w="1574" w:type="dxa"/>
            <w:vAlign w:val="center"/>
          </w:tcPr>
          <w:p w14:paraId="1CDA84DE">
            <w:pPr>
              <w:spacing w:line="240" w:lineRule="auto"/>
              <w:jc w:val="center"/>
              <w:rPr>
                <w:rFonts w:hint="eastAsia" w:ascii="宋体" w:hAnsi="宋体" w:eastAsia="宋体" w:cs="宋体"/>
                <w:sz w:val="24"/>
                <w:szCs w:val="24"/>
              </w:rPr>
            </w:pPr>
            <w:r>
              <w:rPr>
                <w:rFonts w:hint="eastAsia" w:ascii="宋体" w:hAnsi="宋体" w:eastAsia="宋体" w:cs="宋体"/>
                <w:sz w:val="24"/>
              </w:rPr>
              <w:t>分值范围</w:t>
            </w:r>
          </w:p>
        </w:tc>
      </w:tr>
      <w:tr w14:paraId="44F7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65E03970">
            <w:pPr>
              <w:spacing w:line="240" w:lineRule="auto"/>
              <w:jc w:val="center"/>
              <w:rPr>
                <w:rFonts w:hint="eastAsia" w:ascii="宋体" w:hAnsi="宋体" w:eastAsia="宋体" w:cs="宋体"/>
                <w:sz w:val="24"/>
                <w:szCs w:val="24"/>
              </w:rPr>
            </w:pPr>
            <w:r>
              <w:rPr>
                <w:rFonts w:hint="eastAsia" w:ascii="宋体" w:hAnsi="宋体" w:eastAsia="宋体" w:cs="宋体"/>
                <w:sz w:val="24"/>
              </w:rPr>
              <w:t>技术分</w:t>
            </w:r>
          </w:p>
          <w:p w14:paraId="35941673">
            <w:pPr>
              <w:spacing w:line="240" w:lineRule="auto"/>
              <w:jc w:val="center"/>
              <w:rPr>
                <w:rFonts w:hint="eastAsia" w:ascii="宋体" w:hAnsi="宋体" w:eastAsia="宋体" w:cs="宋体"/>
                <w:sz w:val="24"/>
                <w:szCs w:val="24"/>
              </w:rPr>
            </w:pPr>
            <w:r>
              <w:rPr>
                <w:rFonts w:hint="eastAsia" w:ascii="宋体" w:hAnsi="宋体" w:eastAsia="宋体" w:cs="宋体"/>
                <w:sz w:val="24"/>
              </w:rPr>
              <w:t>(70分)</w:t>
            </w:r>
          </w:p>
        </w:tc>
        <w:tc>
          <w:tcPr>
            <w:tcW w:w="1688" w:type="dxa"/>
            <w:vAlign w:val="center"/>
          </w:tcPr>
          <w:p w14:paraId="61579A52">
            <w:pPr>
              <w:spacing w:line="240" w:lineRule="auto"/>
              <w:jc w:val="center"/>
              <w:rPr>
                <w:rFonts w:hint="eastAsia" w:ascii="宋体" w:hAnsi="宋体" w:eastAsia="宋体" w:cs="宋体"/>
                <w:sz w:val="24"/>
                <w:szCs w:val="24"/>
              </w:rPr>
            </w:pPr>
            <w:r>
              <w:rPr>
                <w:rFonts w:hint="eastAsia" w:ascii="宋体" w:hAnsi="宋体" w:eastAsia="宋体" w:cs="宋体"/>
                <w:sz w:val="24"/>
              </w:rPr>
              <w:t>技术方案</w:t>
            </w:r>
          </w:p>
        </w:tc>
        <w:tc>
          <w:tcPr>
            <w:tcW w:w="4019" w:type="dxa"/>
            <w:vAlign w:val="center"/>
          </w:tcPr>
          <w:p w14:paraId="64F708FF">
            <w:pPr>
              <w:spacing w:line="360" w:lineRule="auto"/>
              <w:jc w:val="left"/>
              <w:rPr>
                <w:rFonts w:hint="eastAsia" w:ascii="宋体" w:hAnsi="宋体" w:eastAsia="宋体" w:cs="宋体"/>
                <w:sz w:val="24"/>
                <w:szCs w:val="24"/>
              </w:rPr>
            </w:pPr>
            <w:r>
              <w:rPr>
                <w:rFonts w:hint="eastAsia" w:ascii="宋体" w:hAnsi="宋体" w:eastAsia="宋体" w:cs="宋体"/>
                <w:sz w:val="24"/>
              </w:rPr>
              <w:t>考察投标人是否提供完整、可落地、可制造的设计方案,内含以下5个子项:</w:t>
            </w:r>
          </w:p>
          <w:p w14:paraId="14249E5A">
            <w:pPr>
              <w:spacing w:line="360" w:lineRule="auto"/>
              <w:jc w:val="left"/>
              <w:rPr>
                <w:rFonts w:hint="eastAsia" w:ascii="宋体" w:hAnsi="宋体" w:eastAsia="宋体" w:cs="宋体"/>
                <w:sz w:val="24"/>
                <w:szCs w:val="24"/>
              </w:rPr>
            </w:pPr>
            <w:r>
              <w:rPr>
                <w:rFonts w:hint="eastAsia" w:ascii="宋体" w:hAnsi="宋体" w:eastAsia="宋体" w:cs="宋体"/>
                <w:sz w:val="24"/>
              </w:rPr>
              <w:t>a) 设计方案(10分):围栏总平面布置(凤声路、龙驹路、白荡湖路三段)、分段方案、立面样式、色彩系统、与合柴1972工业风文创园风貌的融合度。</w:t>
            </w:r>
          </w:p>
          <w:p w14:paraId="7366FABD">
            <w:pPr>
              <w:spacing w:line="360" w:lineRule="auto"/>
              <w:jc w:val="left"/>
              <w:rPr>
                <w:rFonts w:hint="eastAsia" w:ascii="宋体" w:hAnsi="宋体" w:eastAsia="宋体" w:cs="宋体"/>
                <w:sz w:val="24"/>
                <w:szCs w:val="24"/>
              </w:rPr>
            </w:pPr>
            <w:r>
              <w:rPr>
                <w:rFonts w:hint="eastAsia" w:ascii="宋体" w:hAnsi="宋体" w:eastAsia="宋体" w:cs="宋体"/>
                <w:sz w:val="24"/>
              </w:rPr>
              <w:t>b) 施工图纸深度(15分):是否提供总平面图、立面图、典型节点大样图、基础及预埋件图、安装节点图,深度需达到可指导工厂加工和现场施工。</w:t>
            </w:r>
          </w:p>
          <w:p w14:paraId="6BC12F2A">
            <w:pPr>
              <w:spacing w:line="360" w:lineRule="auto"/>
              <w:jc w:val="left"/>
              <w:rPr>
                <w:rFonts w:hint="eastAsia" w:ascii="宋体" w:hAnsi="宋体" w:eastAsia="宋体" w:cs="宋体"/>
                <w:sz w:val="24"/>
                <w:szCs w:val="24"/>
              </w:rPr>
            </w:pPr>
            <w:r>
              <w:rPr>
                <w:rFonts w:hint="eastAsia" w:ascii="宋体" w:hAnsi="宋体" w:eastAsia="宋体" w:cs="宋体"/>
                <w:sz w:val="24"/>
              </w:rPr>
              <w:t xml:space="preserve">c) 工艺与材质(15分):主材(钢管/方钢/钢板/不锈钢/铝合金)选型、规格(壁厚、钢板厚度、方管截面,圆管直径大于等于76mm，厚度大于等于3.0mm， </w:t>
            </w:r>
            <w:r>
              <w:rPr>
                <w:rFonts w:hint="eastAsia" w:ascii="宋体" w:hAnsi="宋体" w:cs="宋体"/>
                <w:sz w:val="24"/>
                <w:lang w:val="en-US" w:eastAsia="zh-CN"/>
              </w:rPr>
              <w:t>安装离地</w:t>
            </w:r>
            <w:r>
              <w:rPr>
                <w:rFonts w:hint="eastAsia" w:ascii="宋体" w:hAnsi="宋体" w:eastAsia="宋体" w:cs="宋体"/>
                <w:sz w:val="24"/>
              </w:rPr>
              <w:t>高度不低于</w:t>
            </w:r>
            <w:r>
              <w:rPr>
                <w:rFonts w:hint="eastAsia" w:ascii="宋体" w:hAnsi="宋体" w:cs="宋体"/>
                <w:sz w:val="24"/>
                <w:lang w:val="en-US" w:eastAsia="zh-CN"/>
              </w:rPr>
              <w:t>3</w:t>
            </w:r>
            <w:r>
              <w:rPr>
                <w:rFonts w:hint="eastAsia" w:ascii="宋体" w:hAnsi="宋体" w:eastAsia="宋体" w:cs="宋体"/>
                <w:sz w:val="24"/>
              </w:rPr>
              <w:t>00mm、等明确数值)、表面处理工艺(热镀锌+户外塑粉喷涂/烤漆、不锈钢本色等)、颜色(RAL号或色卡号)、连接方式(焊接/螺栓/榫接)、防水防腐构造。</w:t>
            </w:r>
          </w:p>
          <w:p w14:paraId="5A69D21F">
            <w:pPr>
              <w:spacing w:line="360" w:lineRule="auto"/>
              <w:jc w:val="left"/>
              <w:rPr>
                <w:rFonts w:hint="eastAsia" w:ascii="宋体" w:hAnsi="宋体" w:eastAsia="宋体" w:cs="宋体"/>
                <w:sz w:val="24"/>
                <w:szCs w:val="24"/>
              </w:rPr>
            </w:pPr>
            <w:r>
              <w:rPr>
                <w:rFonts w:hint="eastAsia" w:ascii="宋体" w:hAnsi="宋体" w:eastAsia="宋体" w:cs="宋体"/>
                <w:sz w:val="24"/>
              </w:rPr>
              <w:t>d) 效果图(5分):是否提供三段路整体效果图、分段效果图、关键节点效果图,能直观呈现成品。</w:t>
            </w:r>
          </w:p>
          <w:p w14:paraId="56DC41A1">
            <w:pPr>
              <w:spacing w:line="360" w:lineRule="auto"/>
              <w:jc w:val="left"/>
              <w:rPr>
                <w:rFonts w:hint="eastAsia" w:ascii="宋体" w:hAnsi="宋体" w:eastAsia="宋体" w:cs="宋体"/>
                <w:sz w:val="24"/>
                <w:szCs w:val="24"/>
              </w:rPr>
            </w:pPr>
            <w:r>
              <w:rPr>
                <w:rFonts w:hint="eastAsia" w:ascii="宋体" w:hAnsi="宋体" w:eastAsia="宋体" w:cs="宋体"/>
                <w:sz w:val="24"/>
              </w:rPr>
              <w:t>e) 安全性与经济性(5分):结构强度、刚度、稳定性、行人安全(防夹手、防攀爬、防尖角)、全生命周期成本、可维护性,在8万元(含税)概算下做到经济实用。</w:t>
            </w:r>
          </w:p>
          <w:p w14:paraId="2D4F8333">
            <w:pPr>
              <w:spacing w:line="360" w:lineRule="auto"/>
              <w:jc w:val="left"/>
              <w:rPr>
                <w:rFonts w:hint="eastAsia" w:ascii="宋体" w:hAnsi="宋体" w:eastAsia="宋体" w:cs="宋体"/>
                <w:sz w:val="24"/>
                <w:szCs w:val="24"/>
              </w:rPr>
            </w:pPr>
            <w:r>
              <w:rPr>
                <w:rFonts w:hint="eastAsia" w:ascii="宋体" w:hAnsi="宋体" w:eastAsia="宋体" w:cs="宋体"/>
                <w:sz w:val="24"/>
              </w:rPr>
              <w:t>评分:优秀36-50分;良好20-35分;一般0-19分。</w:t>
            </w:r>
          </w:p>
        </w:tc>
        <w:tc>
          <w:tcPr>
            <w:tcW w:w="1574" w:type="dxa"/>
            <w:vAlign w:val="center"/>
          </w:tcPr>
          <w:p w14:paraId="526F0913">
            <w:pPr>
              <w:spacing w:line="240" w:lineRule="auto"/>
              <w:jc w:val="center"/>
              <w:rPr>
                <w:rFonts w:hint="eastAsia" w:ascii="宋体" w:hAnsi="宋体" w:eastAsia="宋体" w:cs="宋体"/>
                <w:sz w:val="24"/>
                <w:szCs w:val="24"/>
              </w:rPr>
            </w:pPr>
            <w:r>
              <w:rPr>
                <w:rFonts w:hint="eastAsia" w:ascii="宋体" w:hAnsi="宋体" w:eastAsia="宋体" w:cs="宋体"/>
                <w:sz w:val="24"/>
              </w:rPr>
              <w:t>0-50分</w:t>
            </w:r>
          </w:p>
        </w:tc>
      </w:tr>
      <w:tr w14:paraId="4046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0FC48FDB">
            <w:pPr>
              <w:spacing w:line="240" w:lineRule="auto"/>
              <w:jc w:val="center"/>
              <w:rPr>
                <w:rFonts w:hint="eastAsia" w:ascii="宋体" w:hAnsi="宋体" w:eastAsia="宋体" w:cs="宋体"/>
                <w:sz w:val="24"/>
                <w:szCs w:val="24"/>
              </w:rPr>
            </w:pPr>
            <w:r>
              <w:rPr>
                <w:rFonts w:hint="eastAsia" w:ascii="宋体" w:hAnsi="宋体" w:eastAsia="宋体" w:cs="宋体"/>
                <w:sz w:val="24"/>
              </w:rPr>
              <w:t>技术分</w:t>
            </w:r>
          </w:p>
          <w:p w14:paraId="2C3F487F">
            <w:pPr>
              <w:spacing w:line="240" w:lineRule="auto"/>
              <w:jc w:val="center"/>
              <w:rPr>
                <w:rFonts w:hint="eastAsia" w:ascii="宋体" w:hAnsi="宋体" w:eastAsia="宋体" w:cs="宋体"/>
                <w:sz w:val="24"/>
                <w:szCs w:val="24"/>
              </w:rPr>
            </w:pPr>
            <w:r>
              <w:rPr>
                <w:rFonts w:hint="eastAsia" w:ascii="宋体" w:hAnsi="宋体" w:eastAsia="宋体" w:cs="宋体"/>
                <w:sz w:val="24"/>
              </w:rPr>
              <w:t>(70分)</w:t>
            </w:r>
          </w:p>
        </w:tc>
        <w:tc>
          <w:tcPr>
            <w:tcW w:w="1688" w:type="dxa"/>
            <w:vAlign w:val="center"/>
          </w:tcPr>
          <w:p w14:paraId="35A492AF">
            <w:pPr>
              <w:spacing w:line="240" w:lineRule="auto"/>
              <w:jc w:val="center"/>
              <w:rPr>
                <w:rFonts w:hint="eastAsia" w:ascii="宋体" w:hAnsi="宋体" w:eastAsia="宋体" w:cs="宋体"/>
                <w:sz w:val="24"/>
                <w:szCs w:val="24"/>
              </w:rPr>
            </w:pPr>
            <w:r>
              <w:rPr>
                <w:rFonts w:hint="eastAsia" w:ascii="宋体" w:hAnsi="宋体" w:eastAsia="宋体" w:cs="宋体"/>
                <w:sz w:val="24"/>
              </w:rPr>
              <w:t>投标人业绩</w:t>
            </w:r>
          </w:p>
        </w:tc>
        <w:tc>
          <w:tcPr>
            <w:tcW w:w="4019" w:type="dxa"/>
            <w:vAlign w:val="center"/>
          </w:tcPr>
          <w:p w14:paraId="6A3B80CE">
            <w:pPr>
              <w:spacing w:line="360" w:lineRule="auto"/>
              <w:jc w:val="left"/>
              <w:rPr>
                <w:rFonts w:hint="eastAsia" w:ascii="宋体" w:hAnsi="宋体" w:eastAsia="宋体" w:cs="宋体"/>
                <w:sz w:val="24"/>
                <w:szCs w:val="24"/>
              </w:rPr>
            </w:pPr>
            <w:r>
              <w:rPr>
                <w:rFonts w:hint="eastAsia" w:ascii="宋体" w:hAnsi="宋体" w:eastAsia="宋体" w:cs="宋体"/>
                <w:sz w:val="24"/>
              </w:rPr>
              <w:t>自202</w:t>
            </w:r>
            <w:r>
              <w:rPr>
                <w:rFonts w:hint="eastAsia" w:ascii="宋体" w:hAnsi="宋体" w:cs="宋体"/>
                <w:sz w:val="24"/>
                <w:lang w:val="en-US" w:eastAsia="zh-CN"/>
              </w:rPr>
              <w:t>1</w:t>
            </w:r>
            <w:r>
              <w:rPr>
                <w:rFonts w:hint="eastAsia" w:ascii="宋体" w:hAnsi="宋体" w:eastAsia="宋体" w:cs="宋体"/>
                <w:sz w:val="24"/>
              </w:rPr>
              <w:t>年1月1日以来(以合同签订时间为准),投标人须具有2个及以上金属制作等工业制作安装</w:t>
            </w:r>
            <w:r>
              <w:rPr>
                <w:rFonts w:hint="eastAsia" w:ascii="宋体" w:hAnsi="宋体" w:cs="宋体"/>
                <w:sz w:val="24"/>
                <w:lang w:val="en-US" w:eastAsia="zh-CN"/>
              </w:rPr>
              <w:t>等</w:t>
            </w:r>
            <w:r>
              <w:rPr>
                <w:rFonts w:hint="eastAsia" w:ascii="宋体" w:hAnsi="宋体" w:eastAsia="宋体" w:cs="宋体"/>
                <w:sz w:val="24"/>
              </w:rPr>
              <w:t>服务业绩,且单个合同总金额不少于5万元,本小项满分15分。</w:t>
            </w:r>
          </w:p>
          <w:p w14:paraId="3E98E033">
            <w:pPr>
              <w:spacing w:line="360" w:lineRule="auto"/>
              <w:jc w:val="left"/>
              <w:rPr>
                <w:rFonts w:hint="eastAsia" w:ascii="宋体" w:hAnsi="宋体" w:eastAsia="宋体" w:cs="宋体"/>
                <w:sz w:val="24"/>
                <w:szCs w:val="24"/>
              </w:rPr>
            </w:pPr>
            <w:r>
              <w:rPr>
                <w:rFonts w:hint="eastAsia" w:ascii="宋体" w:hAnsi="宋体" w:eastAsia="宋体" w:cs="宋体"/>
                <w:sz w:val="24"/>
              </w:rPr>
              <w:t>注:</w:t>
            </w:r>
          </w:p>
          <w:p w14:paraId="39AA1A1F">
            <w:pPr>
              <w:spacing w:line="360" w:lineRule="auto"/>
              <w:jc w:val="left"/>
              <w:rPr>
                <w:rFonts w:hint="eastAsia" w:ascii="宋体" w:hAnsi="宋体" w:eastAsia="宋体" w:cs="宋体"/>
                <w:sz w:val="24"/>
                <w:szCs w:val="24"/>
              </w:rPr>
            </w:pPr>
            <w:r>
              <w:rPr>
                <w:rFonts w:hint="eastAsia" w:ascii="宋体" w:hAnsi="宋体" w:eastAsia="宋体" w:cs="宋体"/>
                <w:sz w:val="24"/>
              </w:rPr>
              <w:t>(1)本项对正在履约和履约完成的业绩均予以认可。</w:t>
            </w:r>
          </w:p>
          <w:p w14:paraId="7F9C9EA3">
            <w:pPr>
              <w:spacing w:line="360" w:lineRule="auto"/>
              <w:jc w:val="left"/>
              <w:rPr>
                <w:rFonts w:hint="eastAsia" w:ascii="宋体" w:hAnsi="宋体" w:eastAsia="宋体" w:cs="宋体"/>
                <w:sz w:val="24"/>
                <w:szCs w:val="24"/>
              </w:rPr>
            </w:pPr>
            <w:r>
              <w:rPr>
                <w:rFonts w:hint="eastAsia" w:ascii="宋体" w:hAnsi="宋体" w:eastAsia="宋体" w:cs="宋体"/>
                <w:sz w:val="24"/>
              </w:rPr>
              <w:t>(2)响应文件中须提供业绩合同关键页、竣工验收单(或业主证明)扫描件(或影印件);合同中须能体现合同签订时间、投标人名称、单个合同总金额、项目类型(金属/钢结构/围栏/护栏/栏杆/铁艺/钣金/不锈钢制品/工业设备安装等)等关键评审因素,无法体现的须另附业主单位(或合同甲方)出具的加盖公章的证明材料。</w:t>
            </w:r>
          </w:p>
          <w:p w14:paraId="194899E4">
            <w:pPr>
              <w:spacing w:line="360" w:lineRule="auto"/>
              <w:jc w:val="left"/>
              <w:rPr>
                <w:rFonts w:hint="eastAsia" w:ascii="宋体" w:hAnsi="宋体" w:eastAsia="宋体" w:cs="宋体"/>
                <w:sz w:val="24"/>
                <w:szCs w:val="24"/>
              </w:rPr>
            </w:pPr>
            <w:r>
              <w:rPr>
                <w:rFonts w:hint="eastAsia" w:ascii="宋体" w:hAnsi="宋体" w:eastAsia="宋体" w:cs="宋体"/>
                <w:sz w:val="24"/>
              </w:rPr>
              <w:t>(3)同一项目不同年度续签的业绩合同,仅计取一次,不累计得分。</w:t>
            </w:r>
          </w:p>
          <w:p w14:paraId="194ADA80">
            <w:pPr>
              <w:spacing w:line="360" w:lineRule="auto"/>
              <w:jc w:val="left"/>
              <w:rPr>
                <w:rFonts w:hint="eastAsia" w:ascii="宋体" w:hAnsi="宋体" w:eastAsia="宋体" w:cs="宋体"/>
                <w:sz w:val="24"/>
                <w:szCs w:val="24"/>
              </w:rPr>
            </w:pPr>
            <w:r>
              <w:rPr>
                <w:rFonts w:hint="eastAsia" w:ascii="宋体" w:hAnsi="宋体" w:eastAsia="宋体" w:cs="宋体"/>
                <w:sz w:val="24"/>
              </w:rPr>
              <w:t>(4)在满足2个基础案例(5万及以上)的前提下,每多1个同类业绩加5分,本小项满分15分。</w:t>
            </w:r>
          </w:p>
          <w:p w14:paraId="6E07CE23">
            <w:pPr>
              <w:spacing w:line="360" w:lineRule="auto"/>
              <w:jc w:val="left"/>
              <w:rPr>
                <w:rFonts w:hint="eastAsia" w:ascii="宋体" w:hAnsi="宋体" w:eastAsia="宋体" w:cs="宋体"/>
                <w:sz w:val="24"/>
                <w:szCs w:val="24"/>
              </w:rPr>
            </w:pPr>
            <w:r>
              <w:rPr>
                <w:rFonts w:hint="eastAsia" w:ascii="宋体" w:hAnsi="宋体" w:eastAsia="宋体" w:cs="宋体"/>
                <w:sz w:val="24"/>
              </w:rPr>
              <w:t>(5)业绩类型应与本项目围栏制作安装具有相关性或可类比性,纯设计、纯销售、纯贸易类合同不计入。</w:t>
            </w:r>
          </w:p>
        </w:tc>
        <w:tc>
          <w:tcPr>
            <w:tcW w:w="1574" w:type="dxa"/>
            <w:vAlign w:val="center"/>
          </w:tcPr>
          <w:p w14:paraId="62F00707">
            <w:pPr>
              <w:spacing w:line="240" w:lineRule="auto"/>
              <w:jc w:val="center"/>
              <w:rPr>
                <w:rFonts w:hint="eastAsia" w:ascii="宋体" w:hAnsi="宋体" w:eastAsia="宋体" w:cs="宋体"/>
                <w:sz w:val="24"/>
                <w:szCs w:val="24"/>
              </w:rPr>
            </w:pPr>
            <w:r>
              <w:rPr>
                <w:rFonts w:hint="eastAsia" w:ascii="宋体" w:hAnsi="宋体" w:eastAsia="宋体" w:cs="宋体"/>
                <w:sz w:val="24"/>
              </w:rPr>
              <w:t>0-15分</w:t>
            </w:r>
          </w:p>
        </w:tc>
      </w:tr>
      <w:tr w14:paraId="2644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2DA395E1">
            <w:pPr>
              <w:spacing w:line="240" w:lineRule="auto"/>
              <w:jc w:val="center"/>
              <w:rPr>
                <w:rFonts w:hint="eastAsia" w:ascii="宋体" w:hAnsi="宋体" w:eastAsia="宋体" w:cs="宋体"/>
                <w:sz w:val="24"/>
                <w:szCs w:val="24"/>
              </w:rPr>
            </w:pPr>
            <w:r>
              <w:rPr>
                <w:rFonts w:hint="eastAsia" w:ascii="宋体" w:hAnsi="宋体" w:eastAsia="宋体" w:cs="宋体"/>
                <w:sz w:val="24"/>
              </w:rPr>
              <w:t>技术分</w:t>
            </w:r>
          </w:p>
          <w:p w14:paraId="03D2A9CA">
            <w:pPr>
              <w:spacing w:line="240" w:lineRule="auto"/>
              <w:jc w:val="center"/>
              <w:rPr>
                <w:rFonts w:hint="eastAsia" w:ascii="宋体" w:hAnsi="宋体" w:eastAsia="宋体" w:cs="宋体"/>
                <w:sz w:val="24"/>
                <w:szCs w:val="24"/>
              </w:rPr>
            </w:pPr>
            <w:r>
              <w:rPr>
                <w:rFonts w:hint="eastAsia" w:ascii="宋体" w:hAnsi="宋体" w:eastAsia="宋体" w:cs="宋体"/>
                <w:sz w:val="24"/>
              </w:rPr>
              <w:t>(70分)</w:t>
            </w:r>
          </w:p>
        </w:tc>
        <w:tc>
          <w:tcPr>
            <w:tcW w:w="1688" w:type="dxa"/>
            <w:vAlign w:val="center"/>
          </w:tcPr>
          <w:p w14:paraId="2019EB5E">
            <w:pPr>
              <w:spacing w:line="240" w:lineRule="auto"/>
              <w:jc w:val="center"/>
              <w:rPr>
                <w:rFonts w:hint="eastAsia" w:ascii="宋体" w:hAnsi="宋体" w:eastAsia="宋体" w:cs="宋体"/>
                <w:sz w:val="24"/>
                <w:szCs w:val="24"/>
              </w:rPr>
            </w:pPr>
            <w:r>
              <w:rPr>
                <w:rFonts w:hint="eastAsia" w:ascii="宋体" w:hAnsi="宋体" w:eastAsia="宋体" w:cs="宋体"/>
                <w:sz w:val="24"/>
              </w:rPr>
              <w:t>质保与服务</w:t>
            </w:r>
          </w:p>
        </w:tc>
        <w:tc>
          <w:tcPr>
            <w:tcW w:w="4019" w:type="dxa"/>
            <w:vAlign w:val="center"/>
          </w:tcPr>
          <w:p w14:paraId="4FA9CC61">
            <w:pPr>
              <w:spacing w:line="360" w:lineRule="auto"/>
              <w:jc w:val="left"/>
              <w:rPr>
                <w:rFonts w:hint="eastAsia" w:ascii="宋体" w:hAnsi="宋体" w:eastAsia="宋体" w:cs="宋体"/>
                <w:sz w:val="24"/>
                <w:szCs w:val="24"/>
              </w:rPr>
            </w:pPr>
            <w:r>
              <w:rPr>
                <w:rFonts w:hint="eastAsia" w:ascii="宋体" w:hAnsi="宋体" w:eastAsia="宋体" w:cs="宋体"/>
                <w:sz w:val="24"/>
              </w:rPr>
              <w:t>考察投标人提供的质保期限(承诺</w:t>
            </w:r>
            <w:r>
              <w:rPr>
                <w:rFonts w:hint="eastAsia" w:ascii="宋体" w:hAnsi="宋体" w:cs="宋体"/>
                <w:sz w:val="24"/>
                <w:lang w:val="en-US" w:eastAsia="zh-CN"/>
              </w:rPr>
              <w:t>1</w:t>
            </w:r>
            <w:r>
              <w:rPr>
                <w:rFonts w:hint="eastAsia" w:ascii="宋体" w:hAnsi="宋体" w:eastAsia="宋体" w:cs="宋体"/>
                <w:sz w:val="24"/>
              </w:rPr>
              <w:t>年及以上者优先)、售后响应时效(承诺24小时内响应、48小时内到场者优先)、成品保护措施、定期巡检与维护方案、维修收费标准等。</w:t>
            </w:r>
          </w:p>
          <w:p w14:paraId="3DDFB502">
            <w:pPr>
              <w:spacing w:line="360" w:lineRule="auto"/>
              <w:jc w:val="left"/>
              <w:rPr>
                <w:rFonts w:hint="eastAsia" w:ascii="宋体" w:hAnsi="宋体" w:eastAsia="宋体" w:cs="宋体"/>
                <w:sz w:val="24"/>
                <w:szCs w:val="24"/>
              </w:rPr>
            </w:pPr>
            <w:r>
              <w:rPr>
                <w:rFonts w:hint="eastAsia" w:ascii="宋体" w:hAnsi="宋体" w:eastAsia="宋体" w:cs="宋体"/>
                <w:sz w:val="24"/>
              </w:rPr>
              <w:t>评分:质保承诺明确、响应迅速、方案完备(4-5分);有基本承诺但不够细化(2-3分);承诺模糊或未提供(0-1分);未提供不得分。</w:t>
            </w:r>
          </w:p>
        </w:tc>
        <w:tc>
          <w:tcPr>
            <w:tcW w:w="1574" w:type="dxa"/>
            <w:vAlign w:val="center"/>
          </w:tcPr>
          <w:p w14:paraId="4C56E2A9">
            <w:pPr>
              <w:spacing w:line="240" w:lineRule="auto"/>
              <w:jc w:val="center"/>
              <w:rPr>
                <w:rFonts w:hint="eastAsia" w:ascii="宋体" w:hAnsi="宋体" w:eastAsia="宋体" w:cs="宋体"/>
                <w:sz w:val="24"/>
                <w:szCs w:val="24"/>
              </w:rPr>
            </w:pPr>
            <w:r>
              <w:rPr>
                <w:rFonts w:hint="eastAsia" w:ascii="宋体" w:hAnsi="宋体" w:eastAsia="宋体" w:cs="宋体"/>
                <w:sz w:val="24"/>
              </w:rPr>
              <w:t>0-5分</w:t>
            </w:r>
            <w:bookmarkStart w:id="26" w:name="_GoBack"/>
            <w:bookmarkEnd w:id="26"/>
          </w:p>
        </w:tc>
      </w:tr>
      <w:tr w14:paraId="774A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75031949">
            <w:pPr>
              <w:spacing w:line="240" w:lineRule="auto"/>
              <w:jc w:val="center"/>
              <w:rPr>
                <w:rFonts w:hint="eastAsia" w:ascii="宋体" w:hAnsi="宋体" w:eastAsia="宋体" w:cs="宋体"/>
                <w:sz w:val="24"/>
                <w:szCs w:val="24"/>
              </w:rPr>
            </w:pPr>
            <w:r>
              <w:rPr>
                <w:rFonts w:hint="eastAsia" w:ascii="宋体" w:hAnsi="宋体" w:eastAsia="宋体" w:cs="宋体"/>
                <w:sz w:val="24"/>
              </w:rPr>
              <w:t>价格分</w:t>
            </w:r>
          </w:p>
          <w:p w14:paraId="12AF0D22">
            <w:pPr>
              <w:spacing w:line="240" w:lineRule="auto"/>
              <w:jc w:val="center"/>
              <w:rPr>
                <w:rFonts w:hint="eastAsia" w:ascii="宋体" w:hAnsi="宋体" w:eastAsia="宋体" w:cs="宋体"/>
                <w:sz w:val="24"/>
                <w:szCs w:val="24"/>
              </w:rPr>
            </w:pPr>
            <w:r>
              <w:rPr>
                <w:rFonts w:hint="eastAsia" w:ascii="宋体" w:hAnsi="宋体" w:eastAsia="宋体" w:cs="宋体"/>
                <w:sz w:val="24"/>
              </w:rPr>
              <w:t>(30分)</w:t>
            </w:r>
          </w:p>
        </w:tc>
        <w:tc>
          <w:tcPr>
            <w:tcW w:w="1688" w:type="dxa"/>
            <w:vAlign w:val="center"/>
          </w:tcPr>
          <w:p w14:paraId="55944BFE">
            <w:pPr>
              <w:spacing w:line="240" w:lineRule="auto"/>
              <w:jc w:val="center"/>
              <w:rPr>
                <w:rFonts w:hint="eastAsia" w:ascii="宋体" w:hAnsi="宋体" w:eastAsia="宋体" w:cs="宋体"/>
                <w:sz w:val="24"/>
                <w:szCs w:val="24"/>
              </w:rPr>
            </w:pPr>
            <w:r>
              <w:rPr>
                <w:rFonts w:hint="eastAsia" w:ascii="宋体" w:hAnsi="宋体" w:eastAsia="宋体" w:cs="宋体"/>
                <w:sz w:val="24"/>
              </w:rPr>
              <w:t>投标报价得分</w:t>
            </w:r>
          </w:p>
        </w:tc>
        <w:tc>
          <w:tcPr>
            <w:tcW w:w="4019" w:type="dxa"/>
            <w:vAlign w:val="center"/>
          </w:tcPr>
          <w:p w14:paraId="681AC8CC">
            <w:pPr>
              <w:spacing w:line="360" w:lineRule="auto"/>
              <w:jc w:val="left"/>
              <w:rPr>
                <w:rFonts w:hint="eastAsia" w:ascii="宋体" w:hAnsi="宋体" w:eastAsia="宋体" w:cs="宋体"/>
                <w:sz w:val="24"/>
                <w:szCs w:val="24"/>
              </w:rPr>
            </w:pPr>
            <w:r>
              <w:rPr>
                <w:rFonts w:hint="eastAsia" w:ascii="宋体" w:hAnsi="宋体" w:eastAsia="宋体" w:cs="宋体"/>
                <w:sz w:val="24"/>
              </w:rPr>
              <w:t>1) 取所有通过初步评审的投标人评标价进行算术平均得出评标价平均值。</w:t>
            </w:r>
          </w:p>
          <w:p w14:paraId="412479F9">
            <w:pPr>
              <w:spacing w:line="360" w:lineRule="auto"/>
              <w:jc w:val="left"/>
              <w:rPr>
                <w:rFonts w:hint="eastAsia" w:ascii="宋体" w:hAnsi="宋体" w:eastAsia="宋体" w:cs="宋体"/>
                <w:sz w:val="24"/>
                <w:szCs w:val="24"/>
              </w:rPr>
            </w:pPr>
            <w:r>
              <w:rPr>
                <w:rFonts w:hint="eastAsia" w:ascii="宋体" w:hAnsi="宋体" w:eastAsia="宋体" w:cs="宋体"/>
                <w:sz w:val="24"/>
              </w:rPr>
              <w:t>2) 确定评标基准价:评标基准价 = 评标价平均值。</w:t>
            </w:r>
          </w:p>
          <w:p w14:paraId="4DE54009">
            <w:pPr>
              <w:spacing w:line="360" w:lineRule="auto"/>
              <w:jc w:val="left"/>
              <w:rPr>
                <w:rFonts w:hint="eastAsia" w:ascii="宋体" w:hAnsi="宋体" w:eastAsia="宋体" w:cs="宋体"/>
                <w:sz w:val="24"/>
                <w:szCs w:val="24"/>
              </w:rPr>
            </w:pPr>
            <w:r>
              <w:rPr>
                <w:rFonts w:hint="eastAsia" w:ascii="宋体" w:hAnsi="宋体" w:eastAsia="宋体" w:cs="宋体"/>
                <w:sz w:val="24"/>
              </w:rPr>
              <w:t xml:space="preserve"> 评标过程中,评标委员会应对评标基准价进行复核,存在计算错误的应予以修正并在评标报告中作出说明。除此之外,评标基准价在整个评标期间保持不变,不随任何因素发生变化。</w:t>
            </w:r>
          </w:p>
          <w:p w14:paraId="0A2527F2">
            <w:pPr>
              <w:spacing w:line="360" w:lineRule="auto"/>
              <w:jc w:val="left"/>
              <w:rPr>
                <w:rFonts w:hint="eastAsia" w:ascii="宋体" w:hAnsi="宋体" w:eastAsia="宋体" w:cs="宋体"/>
                <w:sz w:val="24"/>
                <w:szCs w:val="24"/>
              </w:rPr>
            </w:pPr>
            <w:r>
              <w:rPr>
                <w:rFonts w:hint="eastAsia" w:ascii="宋体" w:hAnsi="宋体" w:eastAsia="宋体" w:cs="宋体"/>
                <w:sz w:val="24"/>
              </w:rPr>
              <w:t>3) 评标价的偏差率计算:偏差率 = 100% × (投标人评标价 - 评标基准价) / 评标基准价。</w:t>
            </w:r>
          </w:p>
          <w:p w14:paraId="13F4CE5C">
            <w:pPr>
              <w:spacing w:line="360" w:lineRule="auto"/>
              <w:jc w:val="left"/>
              <w:rPr>
                <w:rFonts w:hint="eastAsia" w:ascii="宋体" w:hAnsi="宋体" w:eastAsia="宋体" w:cs="宋体"/>
                <w:sz w:val="24"/>
                <w:szCs w:val="24"/>
              </w:rPr>
            </w:pPr>
            <w:r>
              <w:rPr>
                <w:rFonts w:hint="eastAsia" w:ascii="宋体" w:hAnsi="宋体" w:eastAsia="宋体" w:cs="宋体"/>
                <w:sz w:val="24"/>
              </w:rPr>
              <w:t xml:space="preserve"> 偏差率保留两位小数(小数点后第三位四舍五入),即为*.**%。</w:t>
            </w:r>
          </w:p>
          <w:p w14:paraId="032D66A4">
            <w:pPr>
              <w:spacing w:line="360" w:lineRule="auto"/>
              <w:jc w:val="left"/>
              <w:rPr>
                <w:rFonts w:hint="eastAsia" w:ascii="宋体" w:hAnsi="宋体" w:eastAsia="宋体" w:cs="宋体"/>
                <w:sz w:val="24"/>
                <w:szCs w:val="24"/>
              </w:rPr>
            </w:pPr>
            <w:r>
              <w:rPr>
                <w:rFonts w:hint="eastAsia" w:ascii="宋体" w:hAnsi="宋体" w:eastAsia="宋体" w:cs="宋体"/>
                <w:sz w:val="24"/>
              </w:rPr>
              <w:t>4) 评标价得分计算:</w:t>
            </w:r>
          </w:p>
          <w:p w14:paraId="1A4C83E9">
            <w:pPr>
              <w:spacing w:line="360" w:lineRule="auto"/>
              <w:jc w:val="left"/>
              <w:rPr>
                <w:rFonts w:hint="eastAsia" w:ascii="宋体" w:hAnsi="宋体" w:eastAsia="宋体" w:cs="宋体"/>
                <w:sz w:val="24"/>
                <w:szCs w:val="24"/>
              </w:rPr>
            </w:pPr>
            <w:r>
              <w:rPr>
                <w:rFonts w:hint="eastAsia" w:ascii="宋体" w:hAnsi="宋体" w:eastAsia="宋体" w:cs="宋体"/>
                <w:sz w:val="24"/>
              </w:rPr>
              <w:t xml:space="preserve"> ① 当投标人评标价 &gt; 评标基准价,评标价得分 = F - 偏差率 × 100 × E1;</w:t>
            </w:r>
          </w:p>
          <w:p w14:paraId="54705CFF">
            <w:pPr>
              <w:spacing w:line="360" w:lineRule="auto"/>
              <w:jc w:val="left"/>
              <w:rPr>
                <w:rFonts w:hint="eastAsia" w:ascii="宋体" w:hAnsi="宋体" w:eastAsia="宋体" w:cs="宋体"/>
                <w:sz w:val="24"/>
                <w:szCs w:val="24"/>
              </w:rPr>
            </w:pPr>
            <w:r>
              <w:rPr>
                <w:rFonts w:hint="eastAsia" w:ascii="宋体" w:hAnsi="宋体" w:eastAsia="宋体" w:cs="宋体"/>
                <w:sz w:val="24"/>
              </w:rPr>
              <w:t xml:space="preserve"> ② 当投标人评标价 ≤ 评标基准价,评标价得分 = F + 偏差率 × 100 × E2。</w:t>
            </w:r>
          </w:p>
          <w:p w14:paraId="7362C247">
            <w:pPr>
              <w:spacing w:line="360" w:lineRule="auto"/>
              <w:jc w:val="left"/>
              <w:rPr>
                <w:rFonts w:hint="eastAsia" w:ascii="宋体" w:hAnsi="宋体" w:eastAsia="宋体" w:cs="宋体"/>
                <w:sz w:val="24"/>
                <w:szCs w:val="24"/>
              </w:rPr>
            </w:pPr>
            <w:r>
              <w:rPr>
                <w:rFonts w:hint="eastAsia" w:ascii="宋体" w:hAnsi="宋体" w:eastAsia="宋体" w:cs="宋体"/>
                <w:sz w:val="24"/>
              </w:rPr>
              <w:t>其中:F = 30;E1 = 0.5;E2 = 0.3。</w:t>
            </w:r>
          </w:p>
          <w:p w14:paraId="17D0DEA8">
            <w:pPr>
              <w:spacing w:line="360" w:lineRule="auto"/>
              <w:jc w:val="left"/>
              <w:rPr>
                <w:rFonts w:hint="eastAsia" w:ascii="宋体" w:hAnsi="宋体" w:eastAsia="宋体" w:cs="宋体"/>
                <w:sz w:val="24"/>
                <w:szCs w:val="24"/>
              </w:rPr>
            </w:pPr>
            <w:r>
              <w:rPr>
                <w:rFonts w:hint="eastAsia" w:ascii="宋体" w:hAnsi="宋体" w:eastAsia="宋体" w:cs="宋体"/>
                <w:sz w:val="24"/>
              </w:rPr>
              <w:t xml:space="preserve"> 当评标价得分为负时,均按 0 分计算。评标价得分保留小数点后两位,小数点后三位四舍五入。</w:t>
            </w:r>
          </w:p>
          <w:p w14:paraId="3E879C82">
            <w:pPr>
              <w:spacing w:line="360" w:lineRule="auto"/>
              <w:jc w:val="left"/>
              <w:rPr>
                <w:rFonts w:hint="eastAsia" w:ascii="宋体" w:hAnsi="宋体" w:eastAsia="宋体" w:cs="宋体"/>
                <w:sz w:val="24"/>
                <w:szCs w:val="24"/>
              </w:rPr>
            </w:pPr>
            <w:r>
              <w:rPr>
                <w:rFonts w:hint="eastAsia" w:ascii="宋体" w:hAnsi="宋体" w:eastAsia="宋体" w:cs="宋体"/>
                <w:sz w:val="24"/>
              </w:rPr>
              <w:t>注:如税点不一致,则评分标准以税前价格为准。</w:t>
            </w:r>
          </w:p>
        </w:tc>
        <w:tc>
          <w:tcPr>
            <w:tcW w:w="1574" w:type="dxa"/>
            <w:vAlign w:val="center"/>
          </w:tcPr>
          <w:p w14:paraId="41A6818C">
            <w:pPr>
              <w:spacing w:line="240" w:lineRule="auto"/>
              <w:jc w:val="center"/>
              <w:rPr>
                <w:rFonts w:hint="eastAsia" w:ascii="宋体" w:hAnsi="宋体" w:eastAsia="宋体" w:cs="宋体"/>
                <w:sz w:val="24"/>
                <w:szCs w:val="24"/>
              </w:rPr>
            </w:pPr>
            <w:r>
              <w:rPr>
                <w:rFonts w:hint="eastAsia" w:ascii="宋体" w:hAnsi="宋体" w:eastAsia="宋体" w:cs="宋体"/>
                <w:sz w:val="24"/>
              </w:rPr>
              <w:t>0-30分</w:t>
            </w:r>
          </w:p>
        </w:tc>
      </w:tr>
    </w:tbl>
    <w:p w14:paraId="3A9B2DC9">
      <w:pPr>
        <w:spacing w:line="480" w:lineRule="auto"/>
        <w:jc w:val="left"/>
        <w:rPr>
          <w:rFonts w:hint="eastAsia" w:ascii="宋体" w:hAnsi="宋体" w:eastAsia="宋体" w:cs="宋体"/>
          <w:sz w:val="24"/>
          <w:szCs w:val="24"/>
        </w:rPr>
      </w:pPr>
    </w:p>
    <w:p w14:paraId="1698BE9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2.2.3分值汇总</w:t>
      </w:r>
    </w:p>
    <w:p w14:paraId="2785FA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询比小组各成员应当独立对每个有效响应的文件进行评价、打分，然后汇总每个投标人每项评分因素的得分（四舍五入保留至小数点后两位数），再取各位评委评分之平均值，四舍五入保留至小数点后两位数，得到该投标人的技术资信分。</w:t>
      </w:r>
    </w:p>
    <w:p w14:paraId="79A047A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将每个投标人的技术资信分加上根据上述标准计算出的价格分，即为该投标人的综合总得分。</w:t>
      </w:r>
    </w:p>
    <w:p w14:paraId="545FDE4D">
      <w:pPr>
        <w:spacing w:line="480" w:lineRule="auto"/>
        <w:jc w:val="left"/>
        <w:rPr>
          <w:rFonts w:hint="eastAsia" w:ascii="宋体" w:hAnsi="宋体" w:eastAsia="宋体" w:cs="宋体"/>
          <w:sz w:val="24"/>
          <w:szCs w:val="24"/>
        </w:rPr>
      </w:pPr>
    </w:p>
    <w:p w14:paraId="70D471D1">
      <w:pPr>
        <w:pStyle w:val="2"/>
        <w:rPr>
          <w:rFonts w:hint="eastAsia" w:ascii="宋体" w:hAnsi="宋体" w:eastAsia="宋体" w:cs="宋体"/>
          <w:sz w:val="24"/>
          <w:szCs w:val="24"/>
        </w:rPr>
      </w:pPr>
    </w:p>
    <w:p w14:paraId="707A7E2B">
      <w:pPr>
        <w:pStyle w:val="2"/>
        <w:rPr>
          <w:rFonts w:hint="eastAsia" w:ascii="宋体" w:hAnsi="宋体" w:eastAsia="宋体" w:cs="宋体"/>
          <w:sz w:val="24"/>
          <w:szCs w:val="24"/>
        </w:rPr>
      </w:pPr>
    </w:p>
    <w:p w14:paraId="01194A62">
      <w:pPr>
        <w:pStyle w:val="2"/>
        <w:rPr>
          <w:rFonts w:hint="eastAsia" w:ascii="宋体" w:hAnsi="宋体" w:eastAsia="宋体" w:cs="宋体"/>
          <w:sz w:val="24"/>
          <w:szCs w:val="24"/>
        </w:rPr>
      </w:pPr>
    </w:p>
    <w:p w14:paraId="04548BDA">
      <w:pPr>
        <w:pStyle w:val="2"/>
        <w:rPr>
          <w:rFonts w:hint="eastAsia" w:ascii="宋体" w:hAnsi="宋体" w:eastAsia="宋体" w:cs="宋体"/>
          <w:sz w:val="24"/>
          <w:szCs w:val="24"/>
        </w:rPr>
      </w:pPr>
    </w:p>
    <w:p w14:paraId="08FCCFA2">
      <w:pPr>
        <w:pStyle w:val="2"/>
        <w:rPr>
          <w:rFonts w:hint="eastAsia" w:ascii="宋体" w:hAnsi="宋体" w:eastAsia="宋体" w:cs="宋体"/>
          <w:sz w:val="24"/>
          <w:szCs w:val="24"/>
        </w:rPr>
      </w:pPr>
    </w:p>
    <w:p w14:paraId="4F46C076">
      <w:pPr>
        <w:pStyle w:val="2"/>
        <w:rPr>
          <w:rFonts w:hint="eastAsia" w:ascii="宋体" w:hAnsi="宋体" w:eastAsia="宋体" w:cs="宋体"/>
          <w:sz w:val="24"/>
          <w:szCs w:val="24"/>
        </w:rPr>
      </w:pPr>
    </w:p>
    <w:p w14:paraId="75A388A2">
      <w:pPr>
        <w:pStyle w:val="2"/>
        <w:rPr>
          <w:rFonts w:hint="eastAsia" w:ascii="宋体" w:hAnsi="宋体" w:eastAsia="宋体" w:cs="宋体"/>
          <w:sz w:val="24"/>
          <w:szCs w:val="24"/>
        </w:rPr>
      </w:pPr>
    </w:p>
    <w:p w14:paraId="4E6AA48A">
      <w:pPr>
        <w:pStyle w:val="2"/>
        <w:rPr>
          <w:rFonts w:hint="eastAsia" w:ascii="宋体" w:hAnsi="宋体" w:eastAsia="宋体" w:cs="宋体"/>
          <w:sz w:val="24"/>
          <w:szCs w:val="24"/>
        </w:rPr>
      </w:pPr>
    </w:p>
    <w:p w14:paraId="5F4E1AA9">
      <w:pPr>
        <w:pStyle w:val="2"/>
        <w:rPr>
          <w:rFonts w:hint="eastAsia" w:ascii="宋体" w:hAnsi="宋体" w:eastAsia="宋体" w:cs="宋体"/>
          <w:sz w:val="24"/>
          <w:szCs w:val="24"/>
        </w:rPr>
      </w:pPr>
    </w:p>
    <w:p w14:paraId="58E940B1">
      <w:pPr>
        <w:spacing w:line="480" w:lineRule="auto"/>
        <w:jc w:val="left"/>
        <w:rPr>
          <w:rFonts w:hint="eastAsia" w:ascii="宋体" w:hAnsi="宋体" w:eastAsia="宋体" w:cs="宋体"/>
          <w:sz w:val="24"/>
          <w:szCs w:val="24"/>
        </w:rPr>
      </w:pPr>
    </w:p>
    <w:p w14:paraId="38817936">
      <w:pPr>
        <w:spacing w:line="480" w:lineRule="auto"/>
        <w:jc w:val="center"/>
        <w:rPr>
          <w:rFonts w:hint="eastAsia" w:ascii="宋体" w:hAnsi="宋体" w:eastAsia="宋体" w:cs="宋体"/>
          <w:b/>
          <w:bCs/>
          <w:sz w:val="32"/>
          <w:szCs w:val="32"/>
        </w:rPr>
      </w:pPr>
      <w:r>
        <w:rPr>
          <w:rFonts w:hint="eastAsia" w:ascii="宋体" w:hAnsi="宋体" w:eastAsia="宋体" w:cs="宋体"/>
          <w:b/>
          <w:bCs/>
          <w:sz w:val="32"/>
          <w:szCs w:val="32"/>
        </w:rPr>
        <w:t>附录:项目背景与必要性说明</w:t>
      </w:r>
    </w:p>
    <w:p w14:paraId="754F5BD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一、项目背景</w:t>
      </w:r>
    </w:p>
    <w:p w14:paraId="6BF2FC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随着园区业态持续丰富、客流稳步增长,园区外围道路的交通组织和景观形象面临新问题:凤声路、龙驹路、白荡湖路三条道路紧邻园区主要出入口和人行主通道,现状为机非混行、无物理隔离、行人过街无序,既存在安全隐患,也与园区工业风文创的整体风貌不匹配。</w:t>
      </w:r>
    </w:p>
    <w:p w14:paraId="2CE9EA6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二、现状问题与建设必要性</w:t>
      </w:r>
    </w:p>
    <w:p w14:paraId="72440FE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1.安全隐患突出:三条道路现状机非混行,电动车、共享单车、行人在机动车道边缘混行,早晚高峰及节假日园区活动期间冲突频发,缺少物理隔离设施保护行人。</w:t>
      </w:r>
    </w:p>
    <w:p w14:paraId="2CDF7E5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2.景观风貌不统一:道路两侧现状以普通市政护栏或无护栏为主,样式杂乱、颜色陈旧,与合柴1972文创园工业风整体形象脱节,影响园区外围"第一印象"和拍照打卡氛围。</w:t>
      </w:r>
    </w:p>
    <w:p w14:paraId="55ED716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三、围栏设置范围</w:t>
      </w:r>
    </w:p>
    <w:p w14:paraId="735D7E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围栏总长度约</w:t>
      </w:r>
      <w:r>
        <w:rPr>
          <w:rFonts w:hint="eastAsia" w:ascii="宋体" w:hAnsi="宋体" w:cs="宋体"/>
          <w:sz w:val="24"/>
          <w:szCs w:val="24"/>
          <w:lang w:val="en-US" w:eastAsia="zh-CN"/>
        </w:rPr>
        <w:t>600</w:t>
      </w:r>
      <w:r>
        <w:rPr>
          <w:rFonts w:hint="eastAsia" w:ascii="宋体" w:hAnsi="宋体" w:eastAsia="宋体" w:cs="宋体"/>
          <w:sz w:val="24"/>
          <w:szCs w:val="24"/>
        </w:rPr>
        <w:t>米(具体起止桩号、长度以甲方现场交底及实测为准),基础形式采用预埋/化学锚栓/底座法兰三种方式根据现场条件选用,具体做法在施工图阶段明确。</w:t>
      </w:r>
    </w:p>
    <w:p w14:paraId="1E14CAB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四、预期效果</w:t>
      </w:r>
    </w:p>
    <w:p w14:paraId="2DA223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通过本项目实施,实现以下目标:</w:t>
      </w:r>
    </w:p>
    <w:p w14:paraId="0BE8CDB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1.行人安全显著提升,机非物理隔离后预期行人事故率明显下降;</w:t>
      </w:r>
    </w:p>
    <w:p w14:paraId="4C7DECF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2.园区外围视觉形象焕然一新,围栏与园区工业风风貌形成整体性表达;</w:t>
      </w:r>
    </w:p>
    <w:p w14:paraId="32401BC1">
      <w:pPr>
        <w:pStyle w:val="2"/>
        <w:rPr>
          <w:rFonts w:hint="eastAsia" w:ascii="宋体" w:hAnsi="宋体" w:eastAsia="宋体" w:cs="宋体"/>
          <w:b/>
          <w:bCs/>
          <w:sz w:val="24"/>
          <w:szCs w:val="24"/>
        </w:rPr>
      </w:pPr>
    </w:p>
    <w:p w14:paraId="42DF7EB9">
      <w:pPr>
        <w:pStyle w:val="2"/>
        <w:rPr>
          <w:rFonts w:hint="eastAsia" w:ascii="宋体" w:hAnsi="宋体" w:eastAsia="宋体" w:cs="宋体"/>
          <w:b/>
          <w:bCs/>
          <w:sz w:val="24"/>
          <w:szCs w:val="24"/>
        </w:rPr>
      </w:pPr>
    </w:p>
    <w:p w14:paraId="56EF48CD">
      <w:pPr>
        <w:pStyle w:val="2"/>
        <w:rPr>
          <w:rFonts w:hint="eastAsia" w:ascii="宋体" w:hAnsi="宋体" w:eastAsia="宋体" w:cs="宋体"/>
          <w:b/>
          <w:bCs/>
          <w:sz w:val="24"/>
          <w:szCs w:val="24"/>
        </w:rPr>
      </w:pPr>
    </w:p>
    <w:p w14:paraId="5A5E45A6">
      <w:pPr>
        <w:pStyle w:val="2"/>
        <w:rPr>
          <w:rFonts w:hint="eastAsia" w:ascii="宋体" w:hAnsi="宋体" w:eastAsia="宋体" w:cs="宋体"/>
          <w:b/>
          <w:bCs/>
          <w:sz w:val="24"/>
          <w:szCs w:val="24"/>
        </w:rPr>
      </w:pPr>
    </w:p>
    <w:p w14:paraId="29409F58">
      <w:pPr>
        <w:pStyle w:val="2"/>
        <w:rPr>
          <w:rFonts w:hint="eastAsia" w:ascii="宋体" w:hAnsi="宋体" w:eastAsia="宋体" w:cs="宋体"/>
          <w:b/>
          <w:bCs/>
          <w:sz w:val="24"/>
          <w:szCs w:val="24"/>
        </w:rPr>
      </w:pPr>
    </w:p>
    <w:p w14:paraId="4364C330">
      <w:pPr>
        <w:pStyle w:val="2"/>
        <w:rPr>
          <w:rFonts w:hint="eastAsia" w:ascii="宋体" w:hAnsi="宋体" w:eastAsia="宋体" w:cs="宋体"/>
          <w:b/>
          <w:bCs/>
          <w:sz w:val="24"/>
          <w:szCs w:val="24"/>
        </w:rPr>
      </w:pPr>
    </w:p>
    <w:p w14:paraId="50E2AB2D">
      <w:pPr>
        <w:pStyle w:val="2"/>
        <w:rPr>
          <w:rFonts w:hint="eastAsia" w:ascii="宋体" w:hAnsi="宋体" w:eastAsia="宋体" w:cs="宋体"/>
          <w:b/>
          <w:bCs/>
          <w:sz w:val="24"/>
          <w:szCs w:val="24"/>
        </w:rPr>
      </w:pPr>
    </w:p>
    <w:p w14:paraId="0364A45B">
      <w:pPr>
        <w:pStyle w:val="2"/>
        <w:rPr>
          <w:rFonts w:hint="eastAsia" w:ascii="宋体" w:hAnsi="宋体" w:eastAsia="宋体" w:cs="宋体"/>
          <w:b/>
          <w:bCs/>
          <w:sz w:val="24"/>
          <w:szCs w:val="24"/>
        </w:rPr>
      </w:pPr>
    </w:p>
    <w:p w14:paraId="226B37A4">
      <w:pPr>
        <w:pStyle w:val="2"/>
        <w:rPr>
          <w:rFonts w:hint="eastAsia" w:ascii="宋体" w:hAnsi="宋体" w:eastAsia="宋体" w:cs="宋体"/>
          <w:b/>
          <w:bCs/>
          <w:sz w:val="24"/>
          <w:szCs w:val="24"/>
        </w:rPr>
      </w:pPr>
    </w:p>
    <w:p w14:paraId="2911F5CA">
      <w:pPr>
        <w:pStyle w:val="2"/>
        <w:rPr>
          <w:rFonts w:hint="eastAsia" w:ascii="宋体" w:hAnsi="宋体" w:eastAsia="宋体" w:cs="宋体"/>
          <w:b/>
          <w:bCs/>
          <w:sz w:val="24"/>
          <w:szCs w:val="24"/>
        </w:rPr>
      </w:pPr>
    </w:p>
    <w:p w14:paraId="3552518F">
      <w:pPr>
        <w:pStyle w:val="2"/>
        <w:rPr>
          <w:rFonts w:hint="eastAsia" w:ascii="宋体" w:hAnsi="宋体" w:eastAsia="宋体" w:cs="宋体"/>
          <w:b/>
          <w:bCs/>
          <w:sz w:val="24"/>
          <w:szCs w:val="24"/>
        </w:rPr>
      </w:pPr>
    </w:p>
    <w:p w14:paraId="5C47F9AF">
      <w:pPr>
        <w:pStyle w:val="2"/>
        <w:rPr>
          <w:rFonts w:hint="eastAsia" w:ascii="宋体" w:hAnsi="宋体" w:eastAsia="宋体" w:cs="宋体"/>
          <w:b/>
          <w:bCs/>
          <w:sz w:val="24"/>
          <w:szCs w:val="24"/>
        </w:rPr>
      </w:pPr>
    </w:p>
    <w:p w14:paraId="724A877F">
      <w:pPr>
        <w:pStyle w:val="2"/>
        <w:rPr>
          <w:rFonts w:hint="eastAsia" w:ascii="宋体" w:hAnsi="宋体" w:eastAsia="宋体" w:cs="宋体"/>
          <w:b/>
          <w:bCs/>
          <w:sz w:val="24"/>
          <w:szCs w:val="24"/>
        </w:rPr>
      </w:pPr>
    </w:p>
    <w:p w14:paraId="622318C7">
      <w:pPr>
        <w:pStyle w:val="2"/>
        <w:rPr>
          <w:rFonts w:hint="eastAsia" w:ascii="宋体" w:hAnsi="宋体" w:eastAsia="宋体" w:cs="宋体"/>
          <w:b/>
          <w:bCs/>
          <w:sz w:val="24"/>
          <w:szCs w:val="24"/>
        </w:rPr>
      </w:pPr>
    </w:p>
    <w:p w14:paraId="1B49F0BE">
      <w:pPr>
        <w:pStyle w:val="2"/>
        <w:rPr>
          <w:rFonts w:hint="eastAsia" w:ascii="宋体" w:hAnsi="宋体" w:eastAsia="宋体" w:cs="宋体"/>
          <w:b/>
          <w:bCs/>
          <w:sz w:val="24"/>
          <w:szCs w:val="24"/>
        </w:rPr>
      </w:pPr>
    </w:p>
    <w:p w14:paraId="2E2521D4">
      <w:pPr>
        <w:pStyle w:val="2"/>
        <w:rPr>
          <w:rFonts w:hint="eastAsia" w:ascii="宋体" w:hAnsi="宋体" w:eastAsia="宋体" w:cs="宋体"/>
          <w:b/>
          <w:bCs/>
          <w:sz w:val="24"/>
          <w:szCs w:val="24"/>
        </w:rPr>
      </w:pPr>
    </w:p>
    <w:p w14:paraId="445B690B">
      <w:pPr>
        <w:pStyle w:val="2"/>
        <w:rPr>
          <w:rFonts w:hint="eastAsia" w:ascii="宋体" w:hAnsi="宋体" w:eastAsia="宋体" w:cs="宋体"/>
          <w:b/>
          <w:bCs/>
          <w:sz w:val="24"/>
          <w:szCs w:val="24"/>
        </w:rPr>
      </w:pPr>
    </w:p>
    <w:p w14:paraId="6AF2748C">
      <w:pPr>
        <w:spacing w:line="480" w:lineRule="auto"/>
        <w:jc w:val="center"/>
        <w:rPr>
          <w:rFonts w:hint="eastAsia" w:ascii="宋体" w:hAnsi="宋体" w:eastAsia="宋体" w:cs="宋体"/>
          <w:b/>
          <w:bCs/>
          <w:sz w:val="32"/>
          <w:szCs w:val="32"/>
        </w:rPr>
      </w:pPr>
      <w:r>
        <w:rPr>
          <w:rFonts w:hint="eastAsia" w:ascii="宋体" w:hAnsi="宋体" w:eastAsia="宋体" w:cs="宋体"/>
          <w:b/>
          <w:bCs/>
          <w:sz w:val="32"/>
          <w:szCs w:val="32"/>
        </w:rPr>
        <w:t>第三章 投标文件格式</w:t>
      </w:r>
    </w:p>
    <w:p w14:paraId="4BB54326">
      <w:pPr>
        <w:spacing w:line="480" w:lineRule="auto"/>
        <w:jc w:val="center"/>
        <w:rPr>
          <w:rFonts w:hint="eastAsia" w:ascii="宋体" w:hAnsi="宋体" w:eastAsia="宋体" w:cs="宋体"/>
          <w:b/>
          <w:bCs/>
          <w:sz w:val="44"/>
          <w:szCs w:val="44"/>
        </w:rPr>
      </w:pPr>
      <w:r>
        <w:rPr>
          <w:rFonts w:hint="eastAsia" w:ascii="宋体" w:hAnsi="宋体" w:eastAsia="宋体" w:cs="宋体"/>
          <w:b/>
          <w:bCs/>
          <w:sz w:val="44"/>
          <w:szCs w:val="44"/>
        </w:rPr>
        <w:t>关于合柴1972文创园户外人行道围栏</w:t>
      </w:r>
      <w:r>
        <w:rPr>
          <w:rFonts w:hint="eastAsia" w:ascii="宋体" w:hAnsi="宋体" w:cs="宋体"/>
          <w:b/>
          <w:bCs/>
          <w:sz w:val="44"/>
          <w:szCs w:val="44"/>
          <w:lang w:val="en-US" w:eastAsia="zh-CN"/>
        </w:rPr>
        <w:t>设计</w:t>
      </w:r>
      <w:r>
        <w:rPr>
          <w:rFonts w:hint="eastAsia" w:ascii="宋体" w:hAnsi="宋体" w:eastAsia="宋体" w:cs="宋体"/>
          <w:b/>
          <w:bCs/>
          <w:sz w:val="44"/>
          <w:szCs w:val="44"/>
        </w:rPr>
        <w:t>制作安装服务</w:t>
      </w:r>
    </w:p>
    <w:p w14:paraId="71FCA537">
      <w:pPr>
        <w:spacing w:line="480" w:lineRule="auto"/>
        <w:jc w:val="center"/>
        <w:rPr>
          <w:rFonts w:hint="eastAsia" w:ascii="宋体" w:hAnsi="宋体" w:eastAsia="宋体" w:cs="宋体"/>
          <w:b/>
          <w:bCs/>
          <w:sz w:val="44"/>
          <w:szCs w:val="44"/>
        </w:rPr>
      </w:pPr>
      <w:r>
        <w:rPr>
          <w:rFonts w:hint="eastAsia" w:ascii="宋体" w:hAnsi="宋体" w:eastAsia="宋体" w:cs="宋体"/>
          <w:b/>
          <w:bCs/>
          <w:sz w:val="44"/>
          <w:szCs w:val="44"/>
        </w:rPr>
        <w:t>技术标</w:t>
      </w:r>
    </w:p>
    <w:p w14:paraId="16652C34">
      <w:pPr>
        <w:spacing w:line="480" w:lineRule="auto"/>
        <w:jc w:val="center"/>
        <w:rPr>
          <w:rFonts w:hint="eastAsia" w:ascii="宋体" w:hAnsi="宋体" w:eastAsia="宋体" w:cs="宋体"/>
          <w:b/>
          <w:bCs/>
          <w:sz w:val="56"/>
          <w:szCs w:val="56"/>
        </w:rPr>
      </w:pPr>
      <w:r>
        <w:rPr>
          <w:rFonts w:hint="eastAsia" w:ascii="宋体" w:hAnsi="宋体" w:eastAsia="宋体" w:cs="宋体"/>
          <w:b/>
          <w:bCs/>
          <w:sz w:val="56"/>
          <w:szCs w:val="56"/>
        </w:rPr>
        <w:t>投</w:t>
      </w:r>
    </w:p>
    <w:p w14:paraId="3F313674">
      <w:pPr>
        <w:spacing w:line="480" w:lineRule="auto"/>
        <w:jc w:val="center"/>
        <w:rPr>
          <w:rFonts w:hint="eastAsia" w:ascii="宋体" w:hAnsi="宋体" w:eastAsia="宋体" w:cs="宋体"/>
          <w:b/>
          <w:bCs/>
          <w:sz w:val="56"/>
          <w:szCs w:val="56"/>
        </w:rPr>
      </w:pPr>
      <w:r>
        <w:rPr>
          <w:rFonts w:hint="eastAsia" w:ascii="宋体" w:hAnsi="宋体" w:eastAsia="宋体" w:cs="宋体"/>
          <w:b/>
          <w:bCs/>
          <w:sz w:val="56"/>
          <w:szCs w:val="56"/>
        </w:rPr>
        <w:t>标</w:t>
      </w:r>
    </w:p>
    <w:p w14:paraId="5F8358EA">
      <w:pPr>
        <w:spacing w:line="480" w:lineRule="auto"/>
        <w:jc w:val="center"/>
        <w:rPr>
          <w:rFonts w:hint="eastAsia" w:ascii="宋体" w:hAnsi="宋体" w:eastAsia="宋体" w:cs="宋体"/>
          <w:b/>
          <w:bCs/>
          <w:sz w:val="56"/>
          <w:szCs w:val="56"/>
        </w:rPr>
      </w:pPr>
      <w:r>
        <w:rPr>
          <w:rFonts w:hint="eastAsia" w:ascii="宋体" w:hAnsi="宋体" w:eastAsia="宋体" w:cs="宋体"/>
          <w:b/>
          <w:bCs/>
          <w:sz w:val="56"/>
          <w:szCs w:val="56"/>
        </w:rPr>
        <w:t>文</w:t>
      </w:r>
    </w:p>
    <w:p w14:paraId="2747A32E">
      <w:pPr>
        <w:spacing w:line="480" w:lineRule="auto"/>
        <w:jc w:val="center"/>
        <w:rPr>
          <w:rFonts w:hint="eastAsia" w:ascii="宋体" w:hAnsi="宋体" w:eastAsia="宋体" w:cs="宋体"/>
          <w:b/>
          <w:bCs/>
          <w:sz w:val="56"/>
          <w:szCs w:val="56"/>
        </w:rPr>
      </w:pPr>
      <w:r>
        <w:rPr>
          <w:rFonts w:hint="eastAsia" w:ascii="宋体" w:hAnsi="宋体" w:eastAsia="宋体" w:cs="宋体"/>
          <w:b/>
          <w:bCs/>
          <w:sz w:val="56"/>
          <w:szCs w:val="56"/>
        </w:rPr>
        <w:t>件</w:t>
      </w:r>
    </w:p>
    <w:p w14:paraId="3E097DAD">
      <w:pPr>
        <w:spacing w:line="480" w:lineRule="auto"/>
        <w:jc w:val="left"/>
        <w:rPr>
          <w:rFonts w:hint="eastAsia" w:ascii="宋体" w:hAnsi="宋体" w:eastAsia="宋体" w:cs="宋体"/>
          <w:sz w:val="24"/>
          <w:szCs w:val="24"/>
        </w:rPr>
      </w:pPr>
    </w:p>
    <w:p w14:paraId="769CDA4D">
      <w:pPr>
        <w:spacing w:line="480" w:lineRule="auto"/>
        <w:jc w:val="center"/>
        <w:rPr>
          <w:rFonts w:hint="eastAsia" w:ascii="宋体" w:hAnsi="宋体" w:eastAsia="宋体" w:cs="宋体"/>
          <w:sz w:val="24"/>
          <w:szCs w:val="24"/>
        </w:rPr>
      </w:pPr>
    </w:p>
    <w:p w14:paraId="2FD41725">
      <w:pPr>
        <w:spacing w:line="480" w:lineRule="auto"/>
        <w:jc w:val="center"/>
        <w:rPr>
          <w:rFonts w:hint="eastAsia" w:ascii="宋体" w:hAnsi="宋体" w:eastAsia="宋体" w:cs="宋体"/>
          <w:sz w:val="24"/>
          <w:szCs w:val="24"/>
        </w:rPr>
      </w:pPr>
      <w:r>
        <w:rPr>
          <w:rFonts w:hint="eastAsia" w:ascii="宋体" w:hAnsi="宋体" w:eastAsia="宋体" w:cs="宋体"/>
          <w:sz w:val="24"/>
          <w:szCs w:val="24"/>
        </w:rPr>
        <w:t>投标人：</w:t>
      </w:r>
    </w:p>
    <w:p w14:paraId="2A946597">
      <w:pPr>
        <w:spacing w:line="480" w:lineRule="auto"/>
        <w:jc w:val="center"/>
        <w:rPr>
          <w:rFonts w:hint="eastAsia" w:ascii="宋体" w:hAnsi="宋体" w:eastAsia="宋体" w:cs="宋体"/>
          <w:sz w:val="24"/>
          <w:szCs w:val="24"/>
        </w:rPr>
      </w:pPr>
      <w:r>
        <w:rPr>
          <w:rFonts w:hint="eastAsia" w:ascii="宋体" w:hAnsi="宋体" w:eastAsia="宋体" w:cs="宋体"/>
          <w:sz w:val="24"/>
          <w:szCs w:val="24"/>
        </w:rPr>
        <w:t>年   月   日</w:t>
      </w:r>
      <w:r>
        <w:rPr>
          <w:rFonts w:hint="eastAsia" w:ascii="宋体" w:hAnsi="宋体" w:eastAsia="宋体" w:cs="宋体"/>
          <w:sz w:val="24"/>
          <w:szCs w:val="24"/>
        </w:rPr>
        <w:br w:type="page"/>
      </w:r>
      <w:bookmarkStart w:id="12" w:name="_Toc20758"/>
      <w:bookmarkStart w:id="13" w:name="_Toc39733483"/>
      <w:bookmarkStart w:id="14" w:name="_Toc273602355"/>
      <w:bookmarkStart w:id="15" w:name="_Toc245714173"/>
      <w:r>
        <w:rPr>
          <w:rFonts w:hint="eastAsia" w:ascii="宋体" w:hAnsi="宋体" w:eastAsia="宋体" w:cs="宋体"/>
          <w:b/>
          <w:bCs/>
          <w:sz w:val="24"/>
          <w:szCs w:val="24"/>
        </w:rPr>
        <w:t>一、投标函</w:t>
      </w:r>
      <w:bookmarkEnd w:id="12"/>
      <w:bookmarkEnd w:id="13"/>
      <w:bookmarkEnd w:id="14"/>
      <w:bookmarkEnd w:id="15"/>
    </w:p>
    <w:p w14:paraId="5EEE5489">
      <w:pPr>
        <w:spacing w:line="480" w:lineRule="auto"/>
        <w:jc w:val="left"/>
        <w:rPr>
          <w:rFonts w:hint="eastAsia" w:ascii="宋体" w:hAnsi="宋体" w:eastAsia="宋体" w:cs="宋体"/>
          <w:sz w:val="24"/>
          <w:szCs w:val="24"/>
        </w:rPr>
      </w:pPr>
      <w:r>
        <w:rPr>
          <w:rFonts w:hint="eastAsia" w:ascii="宋体" w:hAnsi="宋体" w:eastAsia="宋体" w:cs="宋体"/>
          <w:sz w:val="24"/>
          <w:szCs w:val="24"/>
        </w:rPr>
        <w:t>致：合肥滨投文化创意发展有限公司</w:t>
      </w:r>
    </w:p>
    <w:p w14:paraId="10FC09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根据贵方关于合柴1972文创园户外人行道围栏制作安装服务项目的招标邀请书或招标公告，正式授权下述签字人          　（姓名）代表投标人         　   （投标人全称），提交投标文件正本　份，副本　份。</w:t>
      </w:r>
    </w:p>
    <w:p w14:paraId="3F2F40FA">
      <w:pPr>
        <w:spacing w:line="480" w:lineRule="auto"/>
        <w:jc w:val="left"/>
        <w:rPr>
          <w:rFonts w:hint="eastAsia" w:ascii="宋体" w:hAnsi="宋体" w:eastAsia="宋体" w:cs="宋体"/>
          <w:sz w:val="24"/>
          <w:szCs w:val="24"/>
        </w:rPr>
      </w:pPr>
      <w:r>
        <w:rPr>
          <w:rFonts w:hint="eastAsia" w:ascii="宋体" w:hAnsi="宋体" w:eastAsia="宋体" w:cs="宋体"/>
          <w:sz w:val="24"/>
          <w:szCs w:val="24"/>
        </w:rPr>
        <w:t>据此函，签字人兹宣布同意如下：</w:t>
      </w:r>
    </w:p>
    <w:p w14:paraId="011F7D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（1）我方完全响应招标文件要求，如我方中标，我方承诺将服从采购方管理，严格按照采购方相关规定履行业务。</w:t>
      </w:r>
    </w:p>
    <w:p w14:paraId="0F4DEE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（2）我方根据招标文件的规定，严格履行合同的责任和义务,并保证于招标方要求的日期内提供优质服务。</w:t>
      </w:r>
    </w:p>
    <w:p w14:paraId="41F771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3DB099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（4）我方同意从招标文件规定的开标日期起遵循本投标文件，并在招标文件规定的投标有效期之前均具有约束力。</w:t>
      </w:r>
    </w:p>
    <w:p w14:paraId="0573BD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（5）如果在开标后规定的投标有效期内撤回投标，我方的投标保证金可被贵方没收。</w:t>
      </w:r>
    </w:p>
    <w:p w14:paraId="5B6CABA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（6）我方声明投标文件所提供的一切资料真实、及时、有效。由于我方提供资料不实而造成的责任和后果由我方承担。我方同意按照贵方提出的要求，提供与投标有关的任何证据、数据或资料。</w:t>
      </w:r>
    </w:p>
    <w:p w14:paraId="0F7318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（7）与本投标有关的通讯地址：                                  </w:t>
      </w:r>
    </w:p>
    <w:p w14:paraId="7CD9A4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电    话：                       传    真：                 </w:t>
      </w:r>
    </w:p>
    <w:p w14:paraId="4C0FAA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p>
    <w:p w14:paraId="7CC258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投标人（公章）：                     </w:t>
      </w:r>
    </w:p>
    <w:p w14:paraId="2E6A88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p>
    <w:p w14:paraId="243383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日    期：                      </w:t>
      </w:r>
    </w:p>
    <w:p w14:paraId="59FC302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b/>
          <w:bCs/>
          <w:sz w:val="24"/>
          <w:szCs w:val="24"/>
        </w:rPr>
      </w:pPr>
      <w:r>
        <w:rPr>
          <w:rFonts w:hint="eastAsia" w:ascii="宋体" w:hAnsi="宋体" w:eastAsia="宋体" w:cs="宋体"/>
          <w:sz w:val="24"/>
          <w:szCs w:val="24"/>
        </w:rPr>
        <w:br w:type="page"/>
      </w:r>
      <w:bookmarkStart w:id="16" w:name="_Toc10239"/>
      <w:bookmarkStart w:id="17" w:name="_Toc245714174"/>
      <w:bookmarkStart w:id="18" w:name="_Toc273602356"/>
      <w:bookmarkStart w:id="19" w:name="_Toc39733484"/>
      <w:r>
        <w:rPr>
          <w:rFonts w:hint="eastAsia" w:ascii="宋体" w:hAnsi="宋体" w:cs="宋体"/>
          <w:b/>
          <w:bCs/>
          <w:sz w:val="24"/>
          <w:szCs w:val="24"/>
          <w:lang w:val="en-US" w:eastAsia="zh-CN"/>
        </w:rPr>
        <w:t>二、</w:t>
      </w:r>
      <w:r>
        <w:rPr>
          <w:rFonts w:hint="eastAsia" w:ascii="宋体" w:hAnsi="宋体" w:eastAsia="宋体" w:cs="宋体"/>
          <w:b/>
          <w:bCs/>
          <w:sz w:val="24"/>
          <w:szCs w:val="24"/>
        </w:rPr>
        <w:t>投标授权书</w:t>
      </w:r>
      <w:bookmarkEnd w:id="16"/>
      <w:bookmarkEnd w:id="17"/>
      <w:bookmarkEnd w:id="18"/>
      <w:bookmarkEnd w:id="19"/>
    </w:p>
    <w:p w14:paraId="5F993425">
      <w:pPr>
        <w:spacing w:line="480" w:lineRule="auto"/>
        <w:jc w:val="left"/>
        <w:rPr>
          <w:rFonts w:hint="eastAsia" w:ascii="宋体" w:hAnsi="宋体" w:eastAsia="宋体" w:cs="宋体"/>
          <w:sz w:val="24"/>
          <w:szCs w:val="24"/>
        </w:rPr>
      </w:pPr>
    </w:p>
    <w:p w14:paraId="3886F38B">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本授权书声明：             （投标单位）授权本公司（工厂）       （投标人授权代表姓名、职务）代表本公司（工厂）参加合肥滨投文化创意发展有限公司关于合柴1972文创园户外人行道围栏制作安装服务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bookmarkStart w:id="20" w:name="OLE_LINK3"/>
      <w:bookmarkEnd w:id="20"/>
    </w:p>
    <w:p w14:paraId="1FD912B7">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本授权书自出具之日起生效。</w:t>
      </w:r>
    </w:p>
    <w:p w14:paraId="131CBD9E">
      <w:pPr>
        <w:spacing w:line="480" w:lineRule="auto"/>
        <w:jc w:val="left"/>
        <w:rPr>
          <w:rFonts w:hint="eastAsia" w:ascii="宋体" w:hAnsi="宋体" w:eastAsia="宋体" w:cs="宋体"/>
          <w:sz w:val="24"/>
          <w:szCs w:val="24"/>
        </w:rPr>
      </w:pPr>
    </w:p>
    <w:p w14:paraId="6635B554">
      <w:pPr>
        <w:spacing w:line="480" w:lineRule="auto"/>
        <w:jc w:val="left"/>
        <w:rPr>
          <w:rFonts w:hint="eastAsia" w:ascii="宋体" w:hAnsi="宋体" w:eastAsia="宋体" w:cs="宋体"/>
          <w:sz w:val="24"/>
          <w:szCs w:val="24"/>
        </w:rPr>
      </w:pPr>
      <w:r>
        <w:rPr>
          <w:rFonts w:hint="eastAsia" w:ascii="宋体" w:hAnsi="宋体" w:eastAsia="宋体" w:cs="宋体"/>
          <w:sz w:val="24"/>
          <w:szCs w:val="24"/>
        </w:rPr>
        <w:t>特此声明。</w:t>
      </w:r>
    </w:p>
    <w:p w14:paraId="3604BAF3">
      <w:pPr>
        <w:spacing w:line="480" w:lineRule="auto"/>
        <w:jc w:val="left"/>
        <w:rPr>
          <w:rFonts w:hint="eastAsia" w:ascii="宋体" w:hAnsi="宋体" w:eastAsia="宋体" w:cs="宋体"/>
          <w:sz w:val="24"/>
          <w:szCs w:val="24"/>
        </w:rPr>
      </w:pPr>
      <w:r>
        <w:rPr>
          <w:rFonts w:hint="eastAsia" w:ascii="宋体" w:hAnsi="宋体" w:eastAsia="宋体" w:cs="宋体"/>
          <w:sz w:val="24"/>
          <w:szCs w:val="24"/>
        </w:rPr>
        <mc:AlternateContent>
          <mc:Choice Requires="wps">
            <w:drawing>
              <wp:inline distT="0" distB="0" distL="114300" distR="114300">
                <wp:extent cx="2638425" cy="1749425"/>
                <wp:effectExtent l="4445" t="4445" r="5080" b="17780"/>
                <wp:docPr id="3" name="圆角矩形 3"/>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B020D8E">
                            <w:pPr>
                              <w:spacing w:line="480" w:lineRule="auto"/>
                              <w:jc w:val="left"/>
                              <w:rPr>
                                <w:rFonts w:hint="eastAsia" w:ascii="宋体" w:hAnsi="宋体" w:eastAsia="宋体" w:cs="宋体"/>
                                <w:sz w:val="24"/>
                                <w:szCs w:val="24"/>
                              </w:rPr>
                            </w:pPr>
                            <w:r>
                              <w:rPr>
                                <w:rFonts w:hint="eastAsia" w:ascii="宋体" w:hAnsi="宋体" w:eastAsia="宋体" w:cs="宋体"/>
                                <w:sz w:val="24"/>
                                <w:szCs w:val="24"/>
                              </w:rPr>
                              <w:t>授权代表身份证复印件正面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JlsXaUwAgAAegQAAA4AAAAAAAAAAQAgAAAAIgEAAGRycy9lMm9Eb2MueG1sUEsF&#10;BgAAAAAGAAYAWQEAAMQFAAAAAA==&#10;">
                <v:fill on="t" focussize="0,0"/>
                <v:stroke color="#000000" joinstyle="round"/>
                <v:imagedata o:title=""/>
                <o:lock v:ext="edit" rotation="t" aspectratio="f"/>
                <v:textbox>
                  <w:txbxContent>
                    <w:p w14:paraId="1B020D8E">
                      <w:pPr>
                        <w:spacing w:line="480" w:lineRule="auto"/>
                        <w:jc w:val="left"/>
                        <w:rPr>
                          <w:rFonts w:hint="eastAsia" w:ascii="宋体" w:hAnsi="宋体" w:eastAsia="宋体" w:cs="宋体"/>
                          <w:sz w:val="24"/>
                          <w:szCs w:val="24"/>
                        </w:rPr>
                      </w:pPr>
                      <w:r>
                        <w:rPr>
                          <w:rFonts w:hint="eastAsia" w:ascii="宋体" w:hAnsi="宋体" w:eastAsia="宋体" w:cs="宋体"/>
                          <w:sz w:val="24"/>
                          <w:szCs w:val="24"/>
                        </w:rPr>
                        <w:t>授权代表身份证复印件正面</w:t>
                      </w:r>
                    </w:p>
                  </w:txbxContent>
                </v:textbox>
                <w10:wrap type="none"/>
                <w10:anchorlock/>
              </v:roundrect>
            </w:pict>
          </mc:Fallback>
        </mc:AlternateConten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rPr>
        <mc:AlternateContent>
          <mc:Choice Requires="wps">
            <w:drawing>
              <wp:inline distT="0" distB="0" distL="114300" distR="114300">
                <wp:extent cx="2638425" cy="1749425"/>
                <wp:effectExtent l="4445" t="4445" r="5080" b="17780"/>
                <wp:docPr id="4" name="圆角矩形 4"/>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93407E2">
                            <w:pPr>
                              <w:spacing w:line="480" w:lineRule="auto"/>
                              <w:jc w:val="left"/>
                              <w:rPr>
                                <w:rFonts w:hint="eastAsia" w:ascii="宋体" w:hAnsi="宋体" w:eastAsia="宋体" w:cs="宋体"/>
                                <w:sz w:val="24"/>
                                <w:szCs w:val="24"/>
                              </w:rPr>
                            </w:pPr>
                            <w:r>
                              <w:rPr>
                                <w:rFonts w:hint="eastAsia" w:ascii="宋体" w:hAnsi="宋体" w:eastAsia="宋体" w:cs="宋体"/>
                                <w:sz w:val="24"/>
                                <w:szCs w:val="24"/>
                              </w:rPr>
                              <w:t>授权代表身份证复印件反面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KyhW9wwAgAAegQAAA4AAAAAAAAAAQAgAAAAIgEAAGRycy9lMm9Eb2MueG1sUEsF&#10;BgAAAAAGAAYAWQEAAMQFAAAAAA==&#10;">
                <v:fill on="t" focussize="0,0"/>
                <v:stroke color="#000000" joinstyle="round"/>
                <v:imagedata o:title=""/>
                <o:lock v:ext="edit" rotation="t" aspectratio="f"/>
                <v:textbox>
                  <w:txbxContent>
                    <w:p w14:paraId="493407E2">
                      <w:pPr>
                        <w:spacing w:line="480" w:lineRule="auto"/>
                        <w:jc w:val="left"/>
                        <w:rPr>
                          <w:rFonts w:hint="eastAsia" w:ascii="宋体" w:hAnsi="宋体" w:eastAsia="宋体" w:cs="宋体"/>
                          <w:sz w:val="24"/>
                          <w:szCs w:val="24"/>
                        </w:rPr>
                      </w:pPr>
                      <w:r>
                        <w:rPr>
                          <w:rFonts w:hint="eastAsia" w:ascii="宋体" w:hAnsi="宋体" w:eastAsia="宋体" w:cs="宋体"/>
                          <w:sz w:val="24"/>
                          <w:szCs w:val="24"/>
                        </w:rPr>
                        <w:t>授权代表身份证复印件反面</w:t>
                      </w:r>
                    </w:p>
                  </w:txbxContent>
                </v:textbox>
                <w10:wrap type="none"/>
                <w10:anchorlock/>
              </v:roundrect>
            </w:pict>
          </mc:Fallback>
        </mc:AlternateContent>
      </w:r>
    </w:p>
    <w:p w14:paraId="5F3AED68">
      <w:pPr>
        <w:spacing w:line="480" w:lineRule="auto"/>
        <w:jc w:val="left"/>
        <w:rPr>
          <w:rFonts w:hint="eastAsia" w:ascii="宋体" w:hAnsi="宋体" w:eastAsia="宋体" w:cs="宋体"/>
          <w:sz w:val="24"/>
          <w:szCs w:val="24"/>
        </w:rPr>
      </w:pPr>
    </w:p>
    <w:p w14:paraId="52AF00A3">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投标人授权代表（签字）：             性别：        身份证号：                  </w:t>
      </w:r>
    </w:p>
    <w:p w14:paraId="0652B57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投标人（公章）：                </w:t>
      </w:r>
    </w:p>
    <w:p w14:paraId="7528F7C5">
      <w:pPr>
        <w:spacing w:line="480" w:lineRule="auto"/>
        <w:jc w:val="left"/>
        <w:rPr>
          <w:rFonts w:hint="eastAsia" w:ascii="宋体" w:hAnsi="宋体" w:eastAsia="宋体" w:cs="宋体"/>
          <w:sz w:val="24"/>
          <w:szCs w:val="24"/>
        </w:rPr>
      </w:pPr>
    </w:p>
    <w:p w14:paraId="3C3A7AE4">
      <w:pPr>
        <w:spacing w:line="480" w:lineRule="auto"/>
        <w:jc w:val="left"/>
        <w:rPr>
          <w:rFonts w:hint="eastAsia" w:ascii="宋体" w:hAnsi="宋体" w:eastAsia="宋体" w:cs="宋体"/>
          <w:sz w:val="24"/>
          <w:szCs w:val="24"/>
        </w:rPr>
      </w:pPr>
      <w:r>
        <w:rPr>
          <w:rFonts w:hint="eastAsia" w:ascii="宋体" w:hAnsi="宋体" w:eastAsia="宋体" w:cs="宋体"/>
          <w:sz w:val="24"/>
          <w:szCs w:val="24"/>
        </w:rPr>
        <w:t>日期:</w:t>
      </w:r>
    </w:p>
    <w:p w14:paraId="54272878">
      <w:pPr>
        <w:spacing w:line="480" w:lineRule="auto"/>
        <w:jc w:val="left"/>
        <w:rPr>
          <w:rFonts w:hint="eastAsia" w:ascii="宋体" w:hAnsi="宋体" w:eastAsia="宋体" w:cs="宋体"/>
          <w:sz w:val="24"/>
          <w:szCs w:val="24"/>
        </w:rPr>
      </w:pPr>
      <w:r>
        <w:rPr>
          <w:rFonts w:hint="eastAsia" w:ascii="宋体" w:hAnsi="宋体" w:eastAsia="宋体" w:cs="宋体"/>
          <w:sz w:val="24"/>
          <w:szCs w:val="24"/>
        </w:rPr>
        <w:t>注：</w:t>
      </w:r>
    </w:p>
    <w:p w14:paraId="1952A97D">
      <w:pPr>
        <w:spacing w:line="480" w:lineRule="auto"/>
        <w:jc w:val="left"/>
        <w:rPr>
          <w:rFonts w:hint="eastAsia" w:ascii="宋体" w:hAnsi="宋体" w:eastAsia="宋体" w:cs="宋体"/>
          <w:sz w:val="24"/>
          <w:szCs w:val="24"/>
        </w:rPr>
      </w:pPr>
      <w:r>
        <w:rPr>
          <w:rFonts w:hint="eastAsia" w:ascii="宋体" w:hAnsi="宋体" w:eastAsia="宋体" w:cs="宋体"/>
          <w:sz w:val="24"/>
          <w:szCs w:val="24"/>
        </w:rPr>
        <w:t>本项目只允许有唯一的投标人授权代表，且必须为投标人在职员工并提供身份证复印件。</w:t>
      </w:r>
    </w:p>
    <w:p w14:paraId="3802C7A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br w:type="page"/>
      </w:r>
      <w:bookmarkStart w:id="21" w:name="_Toc515390052"/>
      <w:r>
        <w:rPr>
          <w:rFonts w:hint="eastAsia" w:ascii="宋体" w:hAnsi="宋体" w:cs="宋体"/>
          <w:b/>
          <w:bCs/>
          <w:sz w:val="24"/>
          <w:szCs w:val="24"/>
          <w:lang w:val="en-US" w:eastAsia="zh-CN"/>
        </w:rPr>
        <w:t>三、投标人信用承诺</w:t>
      </w:r>
      <w:bookmarkEnd w:id="21"/>
    </w:p>
    <w:p w14:paraId="49FFDAEA">
      <w:pPr>
        <w:spacing w:line="480" w:lineRule="auto"/>
        <w:jc w:val="left"/>
        <w:rPr>
          <w:rFonts w:hint="eastAsia" w:ascii="宋体" w:hAnsi="宋体" w:eastAsia="宋体" w:cs="宋体"/>
          <w:sz w:val="24"/>
          <w:szCs w:val="24"/>
        </w:rPr>
      </w:pPr>
    </w:p>
    <w:p w14:paraId="3E1E3D8F">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一、我公司申明：</w:t>
      </w:r>
    </w:p>
    <w:p w14:paraId="21207027">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1.我公司未被人民法院列入失信被执行人；</w:t>
      </w:r>
    </w:p>
    <w:p w14:paraId="2B1C77D6">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2.我公司和我公司法定代表人和我公司拟派项目经理（项目负责人）均未被人民检察院列入行贿犯罪档案；</w:t>
      </w:r>
    </w:p>
    <w:p w14:paraId="27B3E30B">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3.我公司未被工商行政管理部门列入企业经营异常名录；</w:t>
      </w:r>
    </w:p>
    <w:p w14:paraId="135851C4">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4.我公司未被税务部门列入重大税收违法案件当事人名单；</w:t>
      </w:r>
    </w:p>
    <w:p w14:paraId="7377982B">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5.我公司未被合肥市人社部门列入拖欠农民工工资黑名单；</w:t>
      </w:r>
    </w:p>
    <w:p w14:paraId="77D38345">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6.我公司未存在被合肥市城乡建设局因安全生产责任事故限制在合肥行政区域内承接新的工程项目且在限制期内的情形。</w:t>
      </w:r>
    </w:p>
    <w:p w14:paraId="7433B91C">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32BE2C35">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sz w:val="24"/>
          <w:szCs w:val="24"/>
        </w:rPr>
      </w:pPr>
    </w:p>
    <w:p w14:paraId="13A71A97">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我公司对以上承诺的真实性承担责任。</w:t>
      </w:r>
    </w:p>
    <w:p w14:paraId="1E3811D6">
      <w:pPr>
        <w:spacing w:line="480" w:lineRule="auto"/>
        <w:jc w:val="left"/>
        <w:rPr>
          <w:rFonts w:hint="eastAsia" w:ascii="宋体" w:hAnsi="宋体" w:eastAsia="宋体" w:cs="宋体"/>
          <w:sz w:val="24"/>
          <w:szCs w:val="24"/>
        </w:rPr>
      </w:pPr>
    </w:p>
    <w:p w14:paraId="67BE46AF">
      <w:pPr>
        <w:spacing w:line="480" w:lineRule="auto"/>
        <w:jc w:val="left"/>
        <w:rPr>
          <w:rFonts w:hint="eastAsia" w:ascii="宋体" w:hAnsi="宋体" w:eastAsia="宋体" w:cs="宋体"/>
          <w:sz w:val="24"/>
          <w:szCs w:val="24"/>
        </w:rPr>
      </w:pPr>
    </w:p>
    <w:p w14:paraId="24EB508F">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center"/>
        <w:textAlignment w:val="auto"/>
        <w:rPr>
          <w:rFonts w:hint="eastAsia" w:ascii="宋体" w:hAnsi="宋体" w:eastAsia="宋体" w:cs="宋体"/>
          <w:sz w:val="24"/>
          <w:szCs w:val="24"/>
        </w:rPr>
      </w:pPr>
      <w:r>
        <w:rPr>
          <w:rFonts w:hint="eastAsia" w:ascii="宋体" w:hAnsi="宋体" w:cs="宋体"/>
          <w:sz w:val="24"/>
          <w:szCs w:val="24"/>
          <w:lang w:val="en-US" w:eastAsia="zh-CN"/>
        </w:rPr>
        <w:t xml:space="preserve">                                </w:t>
      </w:r>
      <w:r>
        <w:rPr>
          <w:rFonts w:hint="eastAsia" w:ascii="宋体" w:hAnsi="宋体" w:eastAsia="宋体" w:cs="宋体"/>
          <w:sz w:val="24"/>
          <w:szCs w:val="24"/>
        </w:rPr>
        <w:t>投标人（公章）：</w:t>
      </w:r>
    </w:p>
    <w:p w14:paraId="55AEC402">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center"/>
        <w:textAlignment w:val="auto"/>
        <w:rPr>
          <w:rFonts w:hint="eastAsia" w:ascii="宋体" w:hAnsi="宋体" w:eastAsia="宋体" w:cs="宋体"/>
          <w:sz w:val="24"/>
          <w:szCs w:val="24"/>
        </w:rPr>
      </w:pP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日  期：      年   </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月     日</w:t>
      </w:r>
    </w:p>
    <w:p w14:paraId="710D798C">
      <w:pPr>
        <w:spacing w:line="480" w:lineRule="auto"/>
        <w:jc w:val="left"/>
        <w:rPr>
          <w:rFonts w:hint="eastAsia" w:ascii="宋体" w:hAnsi="宋体" w:eastAsia="宋体" w:cs="宋体"/>
          <w:sz w:val="24"/>
          <w:szCs w:val="24"/>
        </w:rPr>
      </w:pPr>
    </w:p>
    <w:p w14:paraId="4DD47D82">
      <w:pPr>
        <w:spacing w:line="480" w:lineRule="auto"/>
        <w:jc w:val="left"/>
        <w:rPr>
          <w:rFonts w:hint="eastAsia" w:ascii="宋体" w:hAnsi="宋体" w:eastAsia="宋体" w:cs="宋体"/>
          <w:sz w:val="24"/>
          <w:szCs w:val="24"/>
        </w:rPr>
      </w:pPr>
    </w:p>
    <w:p w14:paraId="20E15258">
      <w:pPr>
        <w:spacing w:line="480" w:lineRule="auto"/>
        <w:jc w:val="left"/>
        <w:rPr>
          <w:rFonts w:hint="eastAsia" w:ascii="宋体" w:hAnsi="宋体" w:eastAsia="宋体" w:cs="宋体"/>
          <w:sz w:val="24"/>
          <w:szCs w:val="24"/>
        </w:rPr>
      </w:pPr>
    </w:p>
    <w:p w14:paraId="09C61C3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四、资质证明文件</w:t>
      </w:r>
    </w:p>
    <w:p w14:paraId="551CCA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p>
    <w:p w14:paraId="3F7980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营业执照、过往案例等相关证明材料包含但不限于公告中资格要求以及评标办法中初步评审涉及的相关证明材料复印件；</w:t>
      </w:r>
    </w:p>
    <w:p w14:paraId="509255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投标方案的纸质版</w:t>
      </w:r>
      <w:r>
        <w:rPr>
          <w:rFonts w:hint="eastAsia" w:ascii="宋体" w:hAnsi="宋体" w:cs="宋体"/>
          <w:sz w:val="24"/>
          <w:szCs w:val="24"/>
          <w:lang w:val="en-US" w:eastAsia="zh-CN"/>
        </w:rPr>
        <w:t>二</w:t>
      </w:r>
      <w:r>
        <w:rPr>
          <w:rFonts w:hint="eastAsia" w:ascii="宋体" w:hAnsi="宋体" w:eastAsia="宋体" w:cs="宋体"/>
          <w:sz w:val="24"/>
          <w:szCs w:val="24"/>
        </w:rPr>
        <w:t>份；</w:t>
      </w:r>
    </w:p>
    <w:p w14:paraId="7BDBB9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招标文件要求的其他资格证明文件。</w:t>
      </w:r>
    </w:p>
    <w:p w14:paraId="79E65752">
      <w:pPr>
        <w:spacing w:line="480" w:lineRule="auto"/>
        <w:jc w:val="left"/>
        <w:rPr>
          <w:rFonts w:hint="eastAsia" w:ascii="宋体" w:hAnsi="宋体" w:eastAsia="宋体" w:cs="宋体"/>
          <w:sz w:val="24"/>
          <w:szCs w:val="24"/>
        </w:rPr>
      </w:pPr>
    </w:p>
    <w:p w14:paraId="19FBB5FD">
      <w:pPr>
        <w:spacing w:line="480" w:lineRule="auto"/>
        <w:jc w:val="left"/>
        <w:rPr>
          <w:rFonts w:hint="eastAsia" w:ascii="宋体" w:hAnsi="宋体" w:eastAsia="宋体" w:cs="宋体"/>
          <w:sz w:val="24"/>
          <w:szCs w:val="24"/>
        </w:rPr>
      </w:pPr>
    </w:p>
    <w:p w14:paraId="46BCD6FC">
      <w:pPr>
        <w:spacing w:line="480" w:lineRule="auto"/>
        <w:jc w:val="left"/>
        <w:rPr>
          <w:rFonts w:hint="eastAsia" w:ascii="宋体" w:hAnsi="宋体" w:eastAsia="宋体" w:cs="宋体"/>
          <w:sz w:val="24"/>
          <w:szCs w:val="24"/>
        </w:rPr>
      </w:pPr>
    </w:p>
    <w:p w14:paraId="0B108FAD">
      <w:pPr>
        <w:spacing w:line="480" w:lineRule="auto"/>
        <w:jc w:val="left"/>
        <w:rPr>
          <w:rFonts w:hint="eastAsia" w:ascii="宋体" w:hAnsi="宋体" w:eastAsia="宋体" w:cs="宋体"/>
          <w:sz w:val="24"/>
          <w:szCs w:val="24"/>
        </w:rPr>
      </w:pPr>
    </w:p>
    <w:p w14:paraId="12A9607A">
      <w:pPr>
        <w:spacing w:line="480" w:lineRule="auto"/>
        <w:jc w:val="left"/>
        <w:rPr>
          <w:rFonts w:hint="eastAsia" w:ascii="宋体" w:hAnsi="宋体" w:eastAsia="宋体" w:cs="宋体"/>
          <w:sz w:val="24"/>
          <w:szCs w:val="24"/>
        </w:rPr>
      </w:pPr>
    </w:p>
    <w:p w14:paraId="6B9E6339">
      <w:pPr>
        <w:spacing w:line="480" w:lineRule="auto"/>
        <w:jc w:val="left"/>
        <w:rPr>
          <w:rFonts w:hint="eastAsia" w:ascii="宋体" w:hAnsi="宋体" w:eastAsia="宋体" w:cs="宋体"/>
          <w:sz w:val="24"/>
          <w:szCs w:val="24"/>
        </w:rPr>
      </w:pPr>
    </w:p>
    <w:p w14:paraId="22C53A77">
      <w:pPr>
        <w:spacing w:line="480" w:lineRule="auto"/>
        <w:jc w:val="left"/>
        <w:rPr>
          <w:rFonts w:hint="eastAsia" w:ascii="宋体" w:hAnsi="宋体" w:eastAsia="宋体" w:cs="宋体"/>
          <w:sz w:val="24"/>
          <w:szCs w:val="24"/>
        </w:rPr>
      </w:pPr>
    </w:p>
    <w:p w14:paraId="6683DF11">
      <w:pPr>
        <w:spacing w:line="480" w:lineRule="auto"/>
        <w:jc w:val="left"/>
        <w:rPr>
          <w:rFonts w:hint="eastAsia" w:ascii="宋体" w:hAnsi="宋体" w:eastAsia="宋体" w:cs="宋体"/>
          <w:sz w:val="24"/>
          <w:szCs w:val="24"/>
        </w:rPr>
      </w:pPr>
    </w:p>
    <w:p w14:paraId="38C08A84">
      <w:pPr>
        <w:spacing w:line="480" w:lineRule="auto"/>
        <w:jc w:val="left"/>
        <w:rPr>
          <w:rFonts w:hint="eastAsia" w:ascii="宋体" w:hAnsi="宋体" w:eastAsia="宋体" w:cs="宋体"/>
          <w:sz w:val="24"/>
          <w:szCs w:val="24"/>
        </w:rPr>
      </w:pPr>
    </w:p>
    <w:p w14:paraId="1CB4C729">
      <w:pPr>
        <w:spacing w:line="480" w:lineRule="auto"/>
        <w:jc w:val="left"/>
        <w:rPr>
          <w:rFonts w:hint="eastAsia" w:ascii="宋体" w:hAnsi="宋体" w:eastAsia="宋体" w:cs="宋体"/>
          <w:sz w:val="24"/>
          <w:szCs w:val="24"/>
        </w:rPr>
      </w:pPr>
    </w:p>
    <w:p w14:paraId="00958D54">
      <w:pPr>
        <w:spacing w:line="480" w:lineRule="auto"/>
        <w:jc w:val="left"/>
        <w:rPr>
          <w:rFonts w:hint="eastAsia" w:ascii="宋体" w:hAnsi="宋体" w:eastAsia="宋体" w:cs="宋体"/>
          <w:sz w:val="24"/>
          <w:szCs w:val="24"/>
        </w:rPr>
      </w:pPr>
    </w:p>
    <w:p w14:paraId="592B0947">
      <w:pPr>
        <w:spacing w:line="480" w:lineRule="auto"/>
        <w:jc w:val="left"/>
        <w:rPr>
          <w:rFonts w:hint="eastAsia" w:ascii="宋体" w:hAnsi="宋体" w:eastAsia="宋体" w:cs="宋体"/>
          <w:sz w:val="24"/>
          <w:szCs w:val="24"/>
        </w:rPr>
      </w:pPr>
    </w:p>
    <w:p w14:paraId="78A79559">
      <w:pPr>
        <w:spacing w:line="480" w:lineRule="auto"/>
        <w:jc w:val="left"/>
        <w:rPr>
          <w:rFonts w:hint="eastAsia" w:ascii="宋体" w:hAnsi="宋体" w:eastAsia="宋体" w:cs="宋体"/>
          <w:sz w:val="24"/>
          <w:szCs w:val="24"/>
        </w:rPr>
      </w:pPr>
    </w:p>
    <w:p w14:paraId="2CA9F7D8">
      <w:pPr>
        <w:spacing w:line="480" w:lineRule="auto"/>
        <w:jc w:val="left"/>
        <w:rPr>
          <w:rFonts w:hint="eastAsia" w:ascii="宋体" w:hAnsi="宋体" w:eastAsia="宋体" w:cs="宋体"/>
          <w:sz w:val="24"/>
          <w:szCs w:val="24"/>
        </w:rPr>
      </w:pPr>
    </w:p>
    <w:p w14:paraId="38E2704C">
      <w:pPr>
        <w:spacing w:line="480" w:lineRule="auto"/>
        <w:jc w:val="left"/>
        <w:rPr>
          <w:rFonts w:hint="eastAsia" w:ascii="宋体" w:hAnsi="宋体" w:eastAsia="宋体" w:cs="宋体"/>
          <w:sz w:val="24"/>
          <w:szCs w:val="24"/>
        </w:rPr>
      </w:pPr>
    </w:p>
    <w:p w14:paraId="54000DD6">
      <w:pPr>
        <w:spacing w:line="480" w:lineRule="auto"/>
        <w:jc w:val="left"/>
        <w:rPr>
          <w:rFonts w:hint="eastAsia" w:ascii="宋体" w:hAnsi="宋体" w:eastAsia="宋体" w:cs="宋体"/>
          <w:sz w:val="24"/>
          <w:szCs w:val="24"/>
        </w:rPr>
      </w:pPr>
    </w:p>
    <w:p w14:paraId="6B5859CE">
      <w:pPr>
        <w:spacing w:line="480" w:lineRule="auto"/>
        <w:jc w:val="left"/>
        <w:rPr>
          <w:rFonts w:hint="eastAsia" w:ascii="宋体" w:hAnsi="宋体" w:eastAsia="宋体" w:cs="宋体"/>
          <w:sz w:val="24"/>
          <w:szCs w:val="24"/>
        </w:rPr>
      </w:pPr>
    </w:p>
    <w:p w14:paraId="7AF3A941">
      <w:pPr>
        <w:spacing w:line="480" w:lineRule="auto"/>
        <w:jc w:val="left"/>
        <w:rPr>
          <w:rFonts w:hint="eastAsia" w:ascii="宋体" w:hAnsi="宋体" w:eastAsia="宋体" w:cs="宋体"/>
          <w:sz w:val="24"/>
          <w:szCs w:val="24"/>
        </w:rPr>
      </w:pPr>
    </w:p>
    <w:p w14:paraId="70A4936A">
      <w:pPr>
        <w:spacing w:line="480" w:lineRule="auto"/>
        <w:jc w:val="left"/>
        <w:rPr>
          <w:rFonts w:hint="eastAsia" w:ascii="宋体" w:hAnsi="宋体" w:eastAsia="宋体" w:cs="宋体"/>
          <w:sz w:val="24"/>
          <w:szCs w:val="24"/>
        </w:rPr>
      </w:pPr>
    </w:p>
    <w:p w14:paraId="5F9F602A">
      <w:pPr>
        <w:spacing w:line="480" w:lineRule="auto"/>
        <w:jc w:val="center"/>
        <w:rPr>
          <w:rFonts w:hint="eastAsia" w:ascii="宋体" w:hAnsi="宋体" w:eastAsia="宋体" w:cs="宋体"/>
          <w:sz w:val="22"/>
          <w:szCs w:val="22"/>
        </w:rPr>
      </w:pPr>
      <w:r>
        <w:rPr>
          <w:rFonts w:hint="eastAsia" w:ascii="宋体" w:hAnsi="宋体" w:eastAsia="宋体" w:cs="宋体"/>
          <w:b/>
          <w:bCs/>
          <w:sz w:val="44"/>
          <w:szCs w:val="44"/>
        </w:rPr>
        <w:t>关于合柴1972文创园户外人行道围栏</w:t>
      </w:r>
      <w:r>
        <w:rPr>
          <w:rFonts w:hint="eastAsia" w:ascii="宋体" w:hAnsi="宋体" w:cs="宋体"/>
          <w:b/>
          <w:bCs/>
          <w:sz w:val="44"/>
          <w:szCs w:val="44"/>
          <w:lang w:val="en-US" w:eastAsia="zh-CN"/>
        </w:rPr>
        <w:t>设计</w:t>
      </w:r>
      <w:r>
        <w:rPr>
          <w:rFonts w:hint="eastAsia" w:ascii="宋体" w:hAnsi="宋体" w:eastAsia="宋体" w:cs="宋体"/>
          <w:b/>
          <w:bCs/>
          <w:sz w:val="44"/>
          <w:szCs w:val="44"/>
        </w:rPr>
        <w:t>制作安装服务</w:t>
      </w:r>
    </w:p>
    <w:p w14:paraId="007A35A3">
      <w:pPr>
        <w:spacing w:line="480" w:lineRule="auto"/>
        <w:jc w:val="center"/>
        <w:rPr>
          <w:rFonts w:hint="eastAsia" w:ascii="宋体" w:hAnsi="宋体" w:eastAsia="宋体" w:cs="宋体"/>
          <w:b/>
          <w:bCs/>
          <w:sz w:val="84"/>
          <w:szCs w:val="84"/>
        </w:rPr>
      </w:pPr>
      <w:r>
        <w:rPr>
          <w:rFonts w:hint="eastAsia" w:ascii="宋体" w:hAnsi="宋体" w:eastAsia="宋体" w:cs="宋体"/>
          <w:b/>
          <w:bCs/>
          <w:sz w:val="84"/>
          <w:szCs w:val="84"/>
        </w:rPr>
        <w:t>商务标</w:t>
      </w:r>
    </w:p>
    <w:p w14:paraId="2347B190">
      <w:pPr>
        <w:spacing w:line="480" w:lineRule="auto"/>
        <w:jc w:val="center"/>
        <w:rPr>
          <w:rFonts w:hint="eastAsia" w:ascii="宋体" w:hAnsi="宋体" w:eastAsia="宋体" w:cs="宋体"/>
          <w:b/>
          <w:bCs/>
          <w:sz w:val="56"/>
          <w:szCs w:val="56"/>
        </w:rPr>
      </w:pPr>
      <w:r>
        <w:rPr>
          <w:rFonts w:hint="eastAsia" w:ascii="宋体" w:hAnsi="宋体" w:eastAsia="宋体" w:cs="宋体"/>
          <w:b/>
          <w:bCs/>
          <w:sz w:val="56"/>
          <w:szCs w:val="56"/>
        </w:rPr>
        <w:t>报</w:t>
      </w:r>
    </w:p>
    <w:p w14:paraId="6E567929">
      <w:pPr>
        <w:spacing w:line="480" w:lineRule="auto"/>
        <w:jc w:val="center"/>
        <w:rPr>
          <w:rFonts w:hint="eastAsia" w:ascii="宋体" w:hAnsi="宋体" w:eastAsia="宋体" w:cs="宋体"/>
          <w:b/>
          <w:bCs/>
          <w:sz w:val="56"/>
          <w:szCs w:val="56"/>
        </w:rPr>
      </w:pPr>
      <w:r>
        <w:rPr>
          <w:rFonts w:hint="eastAsia" w:ascii="宋体" w:hAnsi="宋体" w:eastAsia="宋体" w:cs="宋体"/>
          <w:b/>
          <w:bCs/>
          <w:sz w:val="56"/>
          <w:szCs w:val="56"/>
        </w:rPr>
        <w:t>价</w:t>
      </w:r>
    </w:p>
    <w:p w14:paraId="3DBB0308">
      <w:pPr>
        <w:spacing w:line="480" w:lineRule="auto"/>
        <w:jc w:val="center"/>
        <w:rPr>
          <w:rFonts w:hint="eastAsia" w:ascii="宋体" w:hAnsi="宋体" w:eastAsia="宋体" w:cs="宋体"/>
          <w:b/>
          <w:bCs/>
          <w:sz w:val="56"/>
          <w:szCs w:val="56"/>
        </w:rPr>
      </w:pPr>
      <w:r>
        <w:rPr>
          <w:rFonts w:hint="eastAsia" w:ascii="宋体" w:hAnsi="宋体" w:eastAsia="宋体" w:cs="宋体"/>
          <w:b/>
          <w:bCs/>
          <w:sz w:val="56"/>
          <w:szCs w:val="56"/>
        </w:rPr>
        <w:t>文</w:t>
      </w:r>
    </w:p>
    <w:p w14:paraId="4F9D44A9">
      <w:pPr>
        <w:spacing w:line="480" w:lineRule="auto"/>
        <w:jc w:val="center"/>
        <w:rPr>
          <w:rFonts w:hint="eastAsia" w:ascii="宋体" w:hAnsi="宋体" w:eastAsia="宋体" w:cs="宋体"/>
          <w:b/>
          <w:bCs/>
          <w:sz w:val="56"/>
          <w:szCs w:val="56"/>
        </w:rPr>
      </w:pPr>
      <w:r>
        <w:rPr>
          <w:rFonts w:hint="eastAsia" w:ascii="宋体" w:hAnsi="宋体" w:eastAsia="宋体" w:cs="宋体"/>
          <w:b/>
          <w:bCs/>
          <w:sz w:val="56"/>
          <w:szCs w:val="56"/>
        </w:rPr>
        <w:t>件</w:t>
      </w:r>
    </w:p>
    <w:p w14:paraId="495B4100">
      <w:pPr>
        <w:pStyle w:val="2"/>
        <w:rPr>
          <w:rFonts w:hint="eastAsia" w:ascii="宋体" w:hAnsi="宋体" w:eastAsia="宋体" w:cs="宋体"/>
          <w:b/>
          <w:bCs/>
          <w:sz w:val="60"/>
          <w:szCs w:val="60"/>
        </w:rPr>
      </w:pPr>
    </w:p>
    <w:p w14:paraId="1C413DEC">
      <w:pPr>
        <w:spacing w:line="480" w:lineRule="auto"/>
        <w:jc w:val="center"/>
        <w:rPr>
          <w:rFonts w:hint="eastAsia" w:ascii="宋体" w:hAnsi="宋体" w:eastAsia="宋体" w:cs="宋体"/>
          <w:sz w:val="24"/>
          <w:szCs w:val="24"/>
        </w:rPr>
      </w:pPr>
    </w:p>
    <w:p w14:paraId="17A77176">
      <w:pPr>
        <w:spacing w:line="480" w:lineRule="auto"/>
        <w:jc w:val="center"/>
        <w:rPr>
          <w:rFonts w:hint="eastAsia" w:ascii="宋体" w:hAnsi="宋体" w:eastAsia="宋体" w:cs="宋体"/>
          <w:sz w:val="24"/>
          <w:szCs w:val="24"/>
        </w:rPr>
      </w:pPr>
      <w:r>
        <w:rPr>
          <w:rFonts w:hint="eastAsia" w:ascii="宋体" w:hAnsi="宋体" w:eastAsia="宋体" w:cs="宋体"/>
          <w:sz w:val="24"/>
          <w:szCs w:val="24"/>
        </w:rPr>
        <w:t>投标人：</w:t>
      </w:r>
    </w:p>
    <w:p w14:paraId="44A520FB">
      <w:pPr>
        <w:pStyle w:val="2"/>
        <w:jc w:val="center"/>
        <w:rPr>
          <w:rFonts w:hint="eastAsia" w:ascii="宋体" w:hAnsi="宋体" w:eastAsia="宋体" w:cs="宋体"/>
          <w:b/>
          <w:bCs/>
          <w:sz w:val="60"/>
          <w:szCs w:val="60"/>
        </w:rPr>
      </w:pPr>
      <w:r>
        <w:rPr>
          <w:rFonts w:hint="eastAsia" w:ascii="宋体" w:hAnsi="宋体" w:eastAsia="宋体" w:cs="宋体"/>
          <w:sz w:val="24"/>
          <w:szCs w:val="24"/>
        </w:rPr>
        <w:t>年   月   日</w:t>
      </w:r>
      <w:r>
        <w:rPr>
          <w:rFonts w:hint="eastAsia" w:ascii="宋体" w:hAnsi="宋体" w:eastAsia="宋体" w:cs="宋体"/>
          <w:sz w:val="24"/>
          <w:szCs w:val="24"/>
        </w:rPr>
        <w:br w:type="page"/>
      </w:r>
    </w:p>
    <w:p w14:paraId="131D727D">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default" w:ascii="黑体" w:hAnsi="黑体" w:eastAsia="黑体" w:cs="黑体"/>
          <w:color w:val="000000"/>
          <w:sz w:val="44"/>
          <w:szCs w:val="44"/>
          <w:highlight w:val="none"/>
          <w:lang w:val="en-US" w:eastAsia="zh-CN"/>
        </w:rPr>
      </w:pPr>
      <w:r>
        <w:rPr>
          <w:rFonts w:hint="eastAsia" w:ascii="宋体" w:hAnsi="Times New Roman" w:eastAsia="宋体" w:cs="Times New Roman"/>
          <w:b/>
          <w:kern w:val="2"/>
          <w:sz w:val="32"/>
          <w:highlight w:val="none"/>
          <w:lang w:val="en-US" w:eastAsia="zh-CN" w:bidi="ar-SA"/>
        </w:rPr>
        <w:t>附</w:t>
      </w:r>
      <w:bookmarkStart w:id="22" w:name="_Toc270410845"/>
      <w:bookmarkStart w:id="23" w:name="_Toc328559344"/>
      <w:bookmarkStart w:id="24" w:name="_Toc240898303"/>
      <w:bookmarkStart w:id="25" w:name="_Toc273602363"/>
      <w:r>
        <w:rPr>
          <w:rFonts w:hint="eastAsia" w:ascii="宋体" w:eastAsia="宋体" w:cs="Times New Roman"/>
          <w:b/>
          <w:kern w:val="2"/>
          <w:sz w:val="32"/>
          <w:highlight w:val="none"/>
          <w:lang w:val="en-US" w:eastAsia="zh-CN" w:bidi="ar-SA"/>
        </w:rPr>
        <w:t>件</w:t>
      </w:r>
      <w:r>
        <w:rPr>
          <w:rFonts w:hint="eastAsia" w:ascii="宋体" w:hAnsi="Times New Roman" w:eastAsia="宋体" w:cs="Times New Roman"/>
          <w:b/>
          <w:kern w:val="2"/>
          <w:sz w:val="32"/>
          <w:highlight w:val="none"/>
          <w:lang w:val="en-US" w:eastAsia="zh-CN" w:bidi="ar-SA"/>
        </w:rPr>
        <w:t>五</w:t>
      </w:r>
      <w:r>
        <w:rPr>
          <w:rFonts w:hint="eastAsia" w:ascii="宋体" w:hAnsi="宋体" w:eastAsia="宋体" w:cs="Times New Roman"/>
          <w:b/>
          <w:kern w:val="2"/>
          <w:sz w:val="28"/>
          <w:szCs w:val="20"/>
          <w:highlight w:val="none"/>
          <w:lang w:val="en-US" w:eastAsia="zh-CN" w:bidi="ar-SA"/>
        </w:rPr>
        <w:t>、</w:t>
      </w:r>
      <w:bookmarkEnd w:id="22"/>
      <w:bookmarkEnd w:id="23"/>
      <w:bookmarkEnd w:id="24"/>
      <w:bookmarkEnd w:id="25"/>
      <w:r>
        <w:rPr>
          <w:rFonts w:hint="eastAsia" w:ascii="宋体" w:hAnsi="宋体" w:eastAsia="宋体" w:cs="Times New Roman"/>
          <w:b/>
          <w:kern w:val="2"/>
          <w:sz w:val="28"/>
          <w:szCs w:val="20"/>
          <w:highlight w:val="none"/>
          <w:lang w:val="en-US" w:eastAsia="zh-CN" w:bidi="ar-SA"/>
        </w:rPr>
        <w:t>投标报价</w:t>
      </w:r>
    </w:p>
    <w:p w14:paraId="345A5F9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（招标人名称）：</w:t>
      </w:r>
    </w:p>
    <w:p w14:paraId="6FF7FDA6">
      <w:pPr>
        <w:keepNext w:val="0"/>
        <w:keepLines w:val="0"/>
        <w:pageBreakBefore w:val="0"/>
        <w:kinsoku/>
        <w:wordWrap/>
        <w:overflowPunct/>
        <w:topLinePunct w:val="0"/>
        <w:autoSpaceDE/>
        <w:autoSpaceDN/>
        <w:bidi w:val="0"/>
        <w:spacing w:line="360" w:lineRule="auto"/>
        <w:ind w:firstLine="480" w:firstLineChars="200"/>
        <w:jc w:val="center"/>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1. 我方已仔细研究</w:t>
      </w:r>
      <w:r>
        <w:rPr>
          <w:rFonts w:hint="eastAsia" w:ascii="宋体" w:hAnsi="宋体" w:eastAsia="宋体" w:cs="Times New Roman"/>
          <w:kern w:val="2"/>
          <w:sz w:val="24"/>
          <w:szCs w:val="28"/>
          <w:highlight w:val="none"/>
          <w:u w:val="single"/>
          <w:lang w:val="en-US" w:eastAsia="zh-CN" w:bidi="ar-SA"/>
        </w:rPr>
        <w:t>关于合柴1972文创园户外人行道围栏制作安装服务</w:t>
      </w:r>
      <w:r>
        <w:rPr>
          <w:rFonts w:hint="eastAsia" w:ascii="宋体" w:hAnsi="宋体" w:eastAsia="宋体" w:cs="Times New Roman"/>
          <w:kern w:val="2"/>
          <w:sz w:val="24"/>
          <w:szCs w:val="28"/>
          <w:highlight w:val="none"/>
          <w:lang w:val="en-US" w:eastAsia="zh-CN" w:bidi="ar-SA"/>
        </w:rPr>
        <w:t>招标文件的全部内容，愿意以人民币（大写）         元（¥         ）的投标总报价，按合同约定实施。</w:t>
      </w:r>
    </w:p>
    <w:p w14:paraId="125E38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2. 我方已按招标文件要求详细审核并确认全部招标文件及有关附件，充分理解投标价格不得低于企业个别成本有关规定。我方经成本核算，所填报的投标报价不低于企业个别成本。</w:t>
      </w:r>
    </w:p>
    <w:p w14:paraId="406E484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3.（其他补充说明）。</w:t>
      </w:r>
    </w:p>
    <w:p w14:paraId="2394CAE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p>
    <w:p w14:paraId="31BA7A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投  标  人：                          （盖单位章）</w:t>
      </w:r>
    </w:p>
    <w:p w14:paraId="178CC7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p>
    <w:p w14:paraId="27CD38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法定代表人：                           （签字或盖章）</w:t>
      </w:r>
    </w:p>
    <w:p w14:paraId="12DCC0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p>
    <w:p w14:paraId="573ABE1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单位地址：  </w:t>
      </w:r>
    </w:p>
    <w:p w14:paraId="452512E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                                      </w:t>
      </w:r>
    </w:p>
    <w:p w14:paraId="6113E8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邮政编码：           电话：            传真：     </w:t>
      </w:r>
    </w:p>
    <w:p w14:paraId="678742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p>
    <w:p w14:paraId="364A00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日期：           年          月             日</w:t>
      </w:r>
    </w:p>
    <w:p w14:paraId="005A596E">
      <w:pPr>
        <w:pStyle w:val="53"/>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2F118A52">
      <w:pPr>
        <w:pStyle w:val="53"/>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eastAsia" w:ascii="宋体" w:hAnsi="宋体"/>
          <w:b/>
          <w:color w:val="000000"/>
          <w:sz w:val="24"/>
          <w:highlight w:val="none"/>
        </w:rPr>
      </w:pPr>
      <w:r>
        <w:rPr>
          <w:rFonts w:hint="eastAsia" w:ascii="宋体" w:hAnsi="宋体" w:eastAsia="宋体" w:cs="Times New Roman"/>
          <w:kern w:val="2"/>
          <w:sz w:val="24"/>
          <w:szCs w:val="28"/>
          <w:highlight w:val="none"/>
          <w:lang w:val="en-US" w:eastAsia="zh-CN" w:bidi="ar-SA"/>
        </w:rPr>
        <w:t>附报价清单</w:t>
      </w:r>
      <w:r>
        <w:rPr>
          <w:rFonts w:hint="eastAsia"/>
          <w:highlight w:val="none"/>
          <w:lang w:val="en-US" w:eastAsia="zh-CN"/>
        </w:rPr>
        <w:t xml:space="preserve"> </w:t>
      </w:r>
    </w:p>
    <w:p w14:paraId="20861A18">
      <w:pPr>
        <w:spacing w:line="480" w:lineRule="auto"/>
        <w:jc w:val="both"/>
        <w:rPr>
          <w:rFonts w:hint="eastAsia" w:ascii="宋体" w:hAnsi="宋体" w:eastAsia="宋体" w:cs="宋体"/>
          <w:sz w:val="24"/>
          <w:szCs w:val="24"/>
        </w:rPr>
      </w:pPr>
    </w:p>
    <w:p w14:paraId="21AD7DBF">
      <w:pPr>
        <w:pStyle w:val="2"/>
        <w:rPr>
          <w:rFonts w:hint="eastAsia" w:ascii="宋体" w:hAnsi="宋体" w:eastAsia="宋体" w:cs="宋体"/>
          <w:sz w:val="24"/>
          <w:szCs w:val="24"/>
        </w:rPr>
      </w:pPr>
    </w:p>
    <w:p w14:paraId="2798A187">
      <w:pPr>
        <w:pStyle w:val="2"/>
        <w:rPr>
          <w:rFonts w:hint="eastAsia" w:ascii="宋体" w:hAnsi="宋体" w:eastAsia="宋体" w:cs="宋体"/>
          <w:sz w:val="24"/>
          <w:szCs w:val="24"/>
        </w:rPr>
      </w:pPr>
    </w:p>
    <w:p w14:paraId="12D08525">
      <w:pPr>
        <w:pStyle w:val="2"/>
        <w:rPr>
          <w:rFonts w:hint="eastAsia" w:ascii="宋体" w:hAnsi="宋体" w:eastAsia="宋体" w:cs="宋体"/>
          <w:sz w:val="24"/>
          <w:szCs w:val="24"/>
        </w:rPr>
      </w:pPr>
    </w:p>
    <w:p w14:paraId="173966E9">
      <w:pPr>
        <w:pStyle w:val="2"/>
        <w:rPr>
          <w:rFonts w:hint="eastAsia" w:ascii="宋体" w:hAnsi="宋体" w:eastAsia="宋体" w:cs="宋体"/>
          <w:sz w:val="24"/>
          <w:szCs w:val="24"/>
        </w:rPr>
      </w:pPr>
    </w:p>
    <w:p w14:paraId="5D14988B">
      <w:pPr>
        <w:pStyle w:val="2"/>
        <w:rPr>
          <w:rFonts w:hint="eastAsia" w:ascii="宋体" w:hAnsi="宋体" w:eastAsia="宋体" w:cs="宋体"/>
          <w:sz w:val="24"/>
          <w:szCs w:val="24"/>
        </w:rPr>
      </w:pPr>
    </w:p>
    <w:p w14:paraId="04A76AF3">
      <w:pPr>
        <w:pStyle w:val="2"/>
        <w:rPr>
          <w:rFonts w:hint="eastAsia" w:ascii="宋体" w:hAnsi="宋体" w:eastAsia="宋体" w:cs="宋体"/>
          <w:sz w:val="24"/>
          <w:szCs w:val="24"/>
        </w:rPr>
      </w:pPr>
    </w:p>
    <w:p w14:paraId="46233FDD">
      <w:pPr>
        <w:pStyle w:val="2"/>
        <w:rPr>
          <w:rFonts w:hint="eastAsia" w:ascii="宋体" w:hAnsi="宋体" w:eastAsia="宋体" w:cs="宋体"/>
          <w:sz w:val="24"/>
          <w:szCs w:val="24"/>
        </w:rPr>
      </w:pPr>
    </w:p>
    <w:p w14:paraId="06A504AF">
      <w:pPr>
        <w:pStyle w:val="2"/>
        <w:rPr>
          <w:rFonts w:hint="eastAsia" w:ascii="宋体" w:hAnsi="宋体" w:eastAsia="宋体" w:cs="宋体"/>
          <w:sz w:val="24"/>
          <w:szCs w:val="24"/>
        </w:rPr>
      </w:pPr>
    </w:p>
    <w:p w14:paraId="6DC44C52">
      <w:pPr>
        <w:pStyle w:val="2"/>
        <w:rPr>
          <w:rFonts w:hint="eastAsia" w:ascii="宋体" w:hAnsi="宋体" w:eastAsia="宋体" w:cs="宋体"/>
          <w:sz w:val="24"/>
          <w:szCs w:val="24"/>
        </w:rPr>
      </w:pPr>
    </w:p>
    <w:p w14:paraId="176224BC">
      <w:pPr>
        <w:pStyle w:val="2"/>
        <w:rPr>
          <w:rFonts w:hint="eastAsia"/>
        </w:rPr>
      </w:pPr>
    </w:p>
    <w:p w14:paraId="7DDCD6F5">
      <w:pPr>
        <w:spacing w:line="480" w:lineRule="auto"/>
        <w:jc w:val="center"/>
        <w:rPr>
          <w:rFonts w:hint="eastAsia" w:ascii="宋体" w:hAnsi="宋体" w:eastAsia="宋体" w:cs="宋体"/>
          <w:b/>
          <w:bCs/>
          <w:sz w:val="32"/>
          <w:szCs w:val="32"/>
        </w:rPr>
      </w:pPr>
      <w:r>
        <w:rPr>
          <w:rFonts w:hint="eastAsia" w:ascii="宋体" w:hAnsi="宋体" w:eastAsia="宋体" w:cs="宋体"/>
          <w:b/>
          <w:bCs/>
          <w:sz w:val="32"/>
          <w:szCs w:val="32"/>
        </w:rPr>
        <w:t>第四章 合同主要条款</w:t>
      </w:r>
    </w:p>
    <w:p w14:paraId="2880762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一、合同标的与范围</w:t>
      </w:r>
    </w:p>
    <w:p w14:paraId="1429EC6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1.工程名称:合柴1972文创园户外人行道围栏制作安装服务。</w:t>
      </w:r>
    </w:p>
    <w:p w14:paraId="783A1E8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2.工程地点:合肥市包河区合柴1972文创园。</w:t>
      </w:r>
    </w:p>
    <w:p w14:paraId="602F089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3.工程内容:围栏方案设计、施工图设计、工厂加工制作、运输、现场安装、成品保护、竣工验收、质保期服务等全部内容,具体以本合同附件及甲方书面交底为准。</w:t>
      </w:r>
    </w:p>
    <w:p w14:paraId="04C02E6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4.承包方式:包工包料、包设计、包运输、包安装、包验收、包质保。</w:t>
      </w:r>
    </w:p>
    <w:p w14:paraId="3B47DE0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二、合同价款与支付</w:t>
      </w:r>
    </w:p>
    <w:p w14:paraId="2ADD057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1.合同总价为人民币____元整(含税),其中设计费占____%(由甲乙双方在签订合同时协商确定)。</w:t>
      </w:r>
    </w:p>
    <w:p w14:paraId="640BB32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2.支付方式:</w:t>
      </w:r>
    </w:p>
    <w:p w14:paraId="26E984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(1)合同签订后10个工作日内,甲方支付合同总价款的30%作为预付款;</w:t>
      </w:r>
    </w:p>
    <w:p w14:paraId="23D7D07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(2)主要材料进场并经甲方验收合格后,甲方支付合同总价款的30%;</w:t>
      </w:r>
    </w:p>
    <w:p w14:paraId="2EC5737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(3)项目竣工验收合格后,甲方支付合同总价款的35%;</w:t>
      </w:r>
    </w:p>
    <w:p w14:paraId="0C570D7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(4)质保期满(自竣工验收合格之日起</w:t>
      </w:r>
      <w:r>
        <w:rPr>
          <w:rFonts w:hint="eastAsia" w:ascii="宋体" w:hAnsi="宋体" w:cs="宋体"/>
          <w:sz w:val="24"/>
          <w:szCs w:val="24"/>
          <w:lang w:val="en-US" w:eastAsia="zh-CN"/>
        </w:rPr>
        <w:t>12</w:t>
      </w:r>
      <w:r>
        <w:rPr>
          <w:rFonts w:hint="eastAsia" w:ascii="宋体" w:hAnsi="宋体" w:eastAsia="宋体" w:cs="宋体"/>
          <w:sz w:val="24"/>
          <w:szCs w:val="24"/>
        </w:rPr>
        <w:t>个月)无质量问题,甲方支付合同总价款的5%尾款。</w:t>
      </w:r>
    </w:p>
    <w:p w14:paraId="30CC916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3.每次付款前乙方须提供等额合法增值税专用发票;甲方收到发票后按上述节点支付。</w:t>
      </w:r>
    </w:p>
    <w:p w14:paraId="070A810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4.因甲方原因延期付款的,甲方不承担违约责任,但应及时书面通知乙方并协商付款计划。</w:t>
      </w:r>
    </w:p>
    <w:p w14:paraId="4B97CA4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三、工期与节点</w:t>
      </w:r>
    </w:p>
    <w:p w14:paraId="24DC174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1.开工日期:以甲方书面开工令为准。</w:t>
      </w:r>
    </w:p>
    <w:p w14:paraId="51718CE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2.总工期:自开工之日起30个日历天内完成全部围栏的制作、运输、安装及竣工验收(包含设计周期)。</w:t>
      </w:r>
    </w:p>
    <w:p w14:paraId="4BEF6F8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3.关键节点:</w:t>
      </w:r>
    </w:p>
    <w:p w14:paraId="7D859C3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(1)方案设计:自合同签订且收到甲方基础资料后10个工作日内提交;</w:t>
      </w:r>
    </w:p>
    <w:p w14:paraId="51C263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(2)施工图设计:方案经甲方书面确认后10个工作日内提交;</w:t>
      </w:r>
    </w:p>
    <w:p w14:paraId="5A110D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(3)现场安装:材料到场后10个日历天内完成全部安装;</w:t>
      </w:r>
    </w:p>
    <w:p w14:paraId="0F8FA8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(5)竣工验收:安装完成后5个工作日内组织验收。</w:t>
      </w:r>
    </w:p>
    <w:p w14:paraId="68EF8A3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4.因不可抗力或甲方原因造成延误的,工期相应顺延,乙方不承担违约责任。</w:t>
      </w:r>
    </w:p>
    <w:p w14:paraId="1994E54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四、双方权利义务</w:t>
      </w:r>
    </w:p>
    <w:p w14:paraId="6FAF61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(一)甲方权利义务:</w:t>
      </w:r>
    </w:p>
    <w:p w14:paraId="43BB032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1.提供围栏设置位置的基础资料(管线图、路面状况、周边景观等)。</w:t>
      </w:r>
    </w:p>
    <w:p w14:paraId="5D55F1D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2.协调施工期间的现场管理、与其他施工单位的交叉作业。</w:t>
      </w:r>
    </w:p>
    <w:p w14:paraId="5E60666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3.按时支付合同价款。</w:t>
      </w:r>
    </w:p>
    <w:p w14:paraId="323DDE7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4.及时组织方案评审、施工图审查、竣工验收。</w:t>
      </w:r>
    </w:p>
    <w:p w14:paraId="7945C34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5.对乙方提交的方案、施工图、报价清单等享有审查权和否决权。</w:t>
      </w:r>
    </w:p>
    <w:p w14:paraId="022023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(二)乙方权利义务:</w:t>
      </w:r>
    </w:p>
    <w:p w14:paraId="731F0CD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1.按本合同约定和甲方要求,完成围栏设计、制作、安装、验收、质保等全部工作。</w:t>
      </w:r>
    </w:p>
    <w:p w14:paraId="64B0E78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2.设计方案和施工图须符合国家现行规范、园区风貌要求,并经甲方书面确认。</w:t>
      </w:r>
    </w:p>
    <w:p w14:paraId="1FF3782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3.选用材料须符合招标文件和合同约定的规格、质量、环保要求,提供材料出厂合格证、检测报告。</w:t>
      </w:r>
    </w:p>
    <w:p w14:paraId="72ACB96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4.施工现场须配备安全员,设置警示标志,采取安全防护措施,发生安全事故由乙方承担全部责任。</w:t>
      </w:r>
    </w:p>
    <w:p w14:paraId="7519C55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5.施工期间做好成品保护和周边环境保护,完工后及时清场。</w:t>
      </w:r>
    </w:p>
    <w:p w14:paraId="77194EF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6.提供完整的竣工资料(含竣工图、检测报告、验收记录、操作维护手册等)。</w:t>
      </w:r>
    </w:p>
    <w:p w14:paraId="4A2118F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五、验收标准与方法</w:t>
      </w:r>
    </w:p>
    <w:p w14:paraId="668ECD9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1</w:t>
      </w:r>
      <w:r>
        <w:rPr>
          <w:rFonts w:hint="eastAsia" w:ascii="宋体" w:hAnsi="宋体" w:eastAsia="宋体" w:cs="宋体"/>
          <w:b/>
          <w:bCs/>
          <w:sz w:val="24"/>
          <w:szCs w:val="24"/>
        </w:rPr>
        <w:t>.竣工验收:全部安装完成后,乙方提出验收申请,甲方5个工作日内组织验收。</w:t>
      </w:r>
    </w:p>
    <w:p w14:paraId="31EFCF2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六、质保期与售后服务</w:t>
      </w:r>
    </w:p>
    <w:p w14:paraId="4674E6D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1.质保期:自竣工验收合格之日起</w:t>
      </w:r>
      <w:r>
        <w:rPr>
          <w:rFonts w:hint="eastAsia" w:ascii="宋体" w:hAnsi="宋体" w:cs="宋体"/>
          <w:b/>
          <w:bCs/>
          <w:sz w:val="24"/>
          <w:szCs w:val="24"/>
          <w:lang w:val="en-US" w:eastAsia="zh-CN"/>
        </w:rPr>
        <w:t>12</w:t>
      </w:r>
      <w:r>
        <w:rPr>
          <w:rFonts w:hint="eastAsia" w:ascii="宋体" w:hAnsi="宋体" w:eastAsia="宋体" w:cs="宋体"/>
          <w:b/>
          <w:bCs/>
          <w:sz w:val="24"/>
          <w:szCs w:val="24"/>
        </w:rPr>
        <w:t>个月。</w:t>
      </w:r>
    </w:p>
    <w:p w14:paraId="294CFD6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2.质保范围:围栏结构、面层处理、连接件、预埋件等的非人为损坏和质量缺陷。</w:t>
      </w:r>
    </w:p>
    <w:p w14:paraId="12C9DBF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3.响应时效:接到甲方通知后24小时内响应,48小时内到场处理。</w:t>
      </w:r>
    </w:p>
    <w:p w14:paraId="2662D64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4.质保期内出现质量问题的,乙方应在3日内免费维修或更换;逾期不处理的,甲方有权委托第三方维修,费用从质保金中扣除。</w:t>
      </w:r>
    </w:p>
    <w:p w14:paraId="6F4D47C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七、违约责任</w:t>
      </w:r>
    </w:p>
    <w:p w14:paraId="3F9F1A0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1.乙方逾期完工的,每逾期一日按合同总价款的0.5‰向甲方支付违约金,逾期超过15日的,甲方有权解除合同,乙方退还全部已付款并支付合同总价款20%的违约金。</w:t>
      </w:r>
    </w:p>
    <w:p w14:paraId="1F87AFD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2.乙方使用材料与合同约定不符的,甲方有权要求返工,由此产生的费用和工期延误由乙方承担;情节严重的,甲方有权解除合同。</w:t>
      </w:r>
    </w:p>
    <w:p w14:paraId="7123516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3.工程质量不合格的,乙方须无条件返工至合格,返工费用和工期延误由乙方承担。</w:t>
      </w:r>
    </w:p>
    <w:p w14:paraId="279228C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4.甲方逾期付款的,每逾期一日按未付款金额的0.5‰向乙方支付违约金。</w:t>
      </w:r>
    </w:p>
    <w:p w14:paraId="1F056AF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5.任何一方擅自解除合同的,违约方应向守约方支付合同总价款20%的违约金。</w:t>
      </w:r>
    </w:p>
    <w:p w14:paraId="42350E9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八、安全责任与文明施工</w:t>
      </w:r>
    </w:p>
    <w:p w14:paraId="533B8BF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1.乙方应严格遵守国家和地方有关安全生产、文明施工的法律、法规。</w:t>
      </w:r>
    </w:p>
    <w:p w14:paraId="0C19D5C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2.乙方应为本项目施工人员购买工伤保险和意外伤害险,费用由乙方承担。</w:t>
      </w:r>
    </w:p>
    <w:p w14:paraId="5E9650A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3.因乙方原因造成的安全事故、质量事故、环境污染等,乙方承担全部法律责任和经济损失。</w:t>
      </w:r>
    </w:p>
    <w:p w14:paraId="6688704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4.施工期间乙方应设置围挡、警示标志、夜间警示灯等,接受甲方和政府部门监督管理。</w:t>
      </w:r>
    </w:p>
    <w:p w14:paraId="3153E6E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九、不可抗力</w:t>
      </w:r>
    </w:p>
    <w:p w14:paraId="3683429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1.本合同所指不可抗力包括但不限于:地震、台风、洪水、战争、政府行为等。</w:t>
      </w:r>
    </w:p>
    <w:p w14:paraId="6DEB7C5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2.因不可抗力导致本合同部分或全部无法履行的,遭受方应在3日内书面通知对方,并提供有效证明,双方协商处理。</w:t>
      </w:r>
    </w:p>
    <w:p w14:paraId="355E760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十、争议解决</w:t>
      </w:r>
    </w:p>
    <w:p w14:paraId="4B70FED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1.因本合同产生的争议,双方应友好协商解决;协商不成的,提交合肥仲裁委员会按其仲裁规则仲裁。</w:t>
      </w:r>
    </w:p>
    <w:p w14:paraId="577102D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2.仲裁裁决为终局裁决,对双方均具有约束力。</w:t>
      </w:r>
    </w:p>
    <w:p w14:paraId="76EA1E4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3.在争议解决期间,双方应继续履行本合同中无争议的部分。</w:t>
      </w:r>
    </w:p>
    <w:p w14:paraId="5AF1591B">
      <w:pPr>
        <w:pStyle w:val="2"/>
        <w:keepNext w:val="0"/>
        <w:keepLines w:val="0"/>
        <w:pageBreakBefore w:val="0"/>
        <w:widowControl w:val="0"/>
        <w:kinsoku/>
        <w:wordWrap/>
        <w:overflowPunct/>
        <w:topLinePunct w:val="0"/>
        <w:autoSpaceDE/>
        <w:autoSpaceDN/>
        <w:bidi w:val="0"/>
        <w:adjustRightInd/>
        <w:snapToGrid/>
        <w:spacing w:line="360" w:lineRule="auto"/>
        <w:ind w:firstLine="360" w:firstLineChars="200"/>
        <w:textAlignment w:val="auto"/>
        <w:rPr>
          <w:rFonts w:hint="eastAsia"/>
        </w:rPr>
      </w:pPr>
    </w:p>
    <w:p w14:paraId="44A7F21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p>
    <w:p w14:paraId="2DE1003B">
      <w:pPr>
        <w:pStyle w:val="2"/>
        <w:rPr>
          <w:rFonts w:hint="eastAsia" w:ascii="宋体" w:hAnsi="宋体" w:eastAsia="宋体" w:cs="宋体"/>
          <w:b/>
          <w:bCs/>
          <w:sz w:val="32"/>
          <w:szCs w:val="32"/>
        </w:rPr>
      </w:pPr>
    </w:p>
    <w:sectPr>
      <w:headerReference r:id="rId3" w:type="default"/>
      <w:footerReference r:id="rId4" w:type="default"/>
      <w:pgSz w:w="11907" w:h="16840"/>
      <w:pgMar w:top="1440" w:right="567" w:bottom="1440" w:left="1247" w:header="851" w:footer="992" w:gutter="0"/>
      <w:pgNumType w:fmt="decimal" w:start="1"/>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3014">
    <w:pPr>
      <w:pStyle w:val="34"/>
      <w:jc w:val="center"/>
      <w:rPr>
        <w:szCs w:val="21"/>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7A708A">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227A708A">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65B5E8">
                          <w:pPr>
                            <w:pStyle w:val="34"/>
                            <w:jc w:val="center"/>
                            <w:rPr>
                              <w:rFonts w:hint="eastAsia" w:eastAsia="宋体"/>
                              <w:lang w:val="en-US" w:eastAsia="zh-CN"/>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265B5E8">
                    <w:pPr>
                      <w:pStyle w:val="34"/>
                      <w:jc w:val="center"/>
                      <w:rPr>
                        <w:rFonts w:hint="eastAsia"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39177">
    <w:pPr>
      <w:pStyle w:val="35"/>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decimal"/>
      <w:lvlText w:val="%1"/>
      <w:lvlJc w:val="left"/>
      <w:pPr>
        <w:tabs>
          <w:tab w:val="left" w:pos="2502"/>
        </w:tabs>
        <w:ind w:left="2502" w:hanging="432"/>
      </w:pPr>
      <w:rPr>
        <w:rFonts w:hint="default"/>
      </w:rPr>
    </w:lvl>
    <w:lvl w:ilvl="1" w:tentative="0">
      <w:start w:val="1"/>
      <w:numFmt w:val="decimal"/>
      <w:lvlText w:val="%1.%2"/>
      <w:lvlJc w:val="left"/>
      <w:pPr>
        <w:tabs>
          <w:tab w:val="left" w:pos="2646"/>
        </w:tabs>
        <w:ind w:left="2646" w:hanging="576"/>
      </w:pPr>
      <w:rPr>
        <w:rFonts w:hint="default"/>
      </w:rPr>
    </w:lvl>
    <w:lvl w:ilvl="2" w:tentative="0">
      <w:start w:val="1"/>
      <w:numFmt w:val="decimal"/>
      <w:lvlText w:val="%1.%2.%3"/>
      <w:lvlJc w:val="left"/>
      <w:pPr>
        <w:tabs>
          <w:tab w:val="left" w:pos="2790"/>
        </w:tabs>
        <w:ind w:left="2790" w:hanging="720"/>
      </w:pPr>
      <w:rPr>
        <w:rFonts w:hint="default"/>
      </w:rPr>
    </w:lvl>
    <w:lvl w:ilvl="3" w:tentative="0">
      <w:start w:val="1"/>
      <w:numFmt w:val="decimal"/>
      <w:pStyle w:val="103"/>
      <w:lvlText w:val="%1.%2.%3.%4"/>
      <w:lvlJc w:val="left"/>
      <w:pPr>
        <w:tabs>
          <w:tab w:val="left" w:pos="2934"/>
        </w:tabs>
        <w:ind w:left="2934" w:hanging="864"/>
      </w:pPr>
      <w:rPr>
        <w:rFonts w:hint="default"/>
      </w:rPr>
    </w:lvl>
    <w:lvl w:ilvl="4" w:tentative="0">
      <w:start w:val="1"/>
      <w:numFmt w:val="decimal"/>
      <w:lvlText w:val="%1.%2.%3.%4.%5"/>
      <w:lvlJc w:val="left"/>
      <w:pPr>
        <w:tabs>
          <w:tab w:val="left" w:pos="3078"/>
        </w:tabs>
        <w:ind w:left="3078" w:hanging="1008"/>
      </w:pPr>
      <w:rPr>
        <w:rFonts w:hint="eastAsia"/>
      </w:rPr>
    </w:lvl>
    <w:lvl w:ilvl="5" w:tentative="0">
      <w:start w:val="1"/>
      <w:numFmt w:val="decimal"/>
      <w:lvlText w:val="%1.%2.%3.%4.%5.%6"/>
      <w:lvlJc w:val="left"/>
      <w:pPr>
        <w:tabs>
          <w:tab w:val="left" w:pos="3222"/>
        </w:tabs>
        <w:ind w:left="3222" w:hanging="1152"/>
      </w:pPr>
      <w:rPr>
        <w:rFonts w:hint="default"/>
      </w:rPr>
    </w:lvl>
    <w:lvl w:ilvl="6" w:tentative="0">
      <w:start w:val="1"/>
      <w:numFmt w:val="decimal"/>
      <w:lvlText w:val="%1.%2.%3.%4.%5.%6.%7"/>
      <w:lvlJc w:val="left"/>
      <w:pPr>
        <w:tabs>
          <w:tab w:val="left" w:pos="3366"/>
        </w:tabs>
        <w:ind w:left="3366" w:hanging="1296"/>
      </w:pPr>
      <w:rPr>
        <w:rFonts w:hint="default"/>
      </w:rPr>
    </w:lvl>
    <w:lvl w:ilvl="7" w:tentative="0">
      <w:start w:val="1"/>
      <w:numFmt w:val="decimal"/>
      <w:lvlText w:val="%1.%2.%3.%4.%5.%6.%7.%8"/>
      <w:lvlJc w:val="left"/>
      <w:pPr>
        <w:tabs>
          <w:tab w:val="left" w:pos="3510"/>
        </w:tabs>
        <w:ind w:left="3510" w:hanging="1440"/>
      </w:pPr>
      <w:rPr>
        <w:rFonts w:hint="default"/>
      </w:rPr>
    </w:lvl>
    <w:lvl w:ilvl="8" w:tentative="0">
      <w:start w:val="1"/>
      <w:numFmt w:val="decimal"/>
      <w:lvlText w:val="%1.%2.%3.%4.%5.%6.%7.%8.%9"/>
      <w:lvlJc w:val="left"/>
      <w:pPr>
        <w:tabs>
          <w:tab w:val="left" w:pos="3654"/>
        </w:tabs>
        <w:ind w:left="3654" w:hanging="1584"/>
      </w:pPr>
      <w:rPr>
        <w:rFonts w:hint="default"/>
      </w:rPr>
    </w:lvl>
  </w:abstractNum>
  <w:abstractNum w:abstractNumId="1">
    <w:nsid w:val="0000000D"/>
    <w:multiLevelType w:val="multilevel"/>
    <w:tmpl w:val="0000000D"/>
    <w:lvl w:ilvl="0" w:tentative="0">
      <w:start w:val="1"/>
      <w:numFmt w:val="decimal"/>
      <w:pStyle w:val="78"/>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00000E"/>
    <w:multiLevelType w:val="multilevel"/>
    <w:tmpl w:val="0000000E"/>
    <w:lvl w:ilvl="0" w:tentative="0">
      <w:start w:val="1"/>
      <w:numFmt w:val="decimal"/>
      <w:pStyle w:val="70"/>
      <w:lvlText w:val="%1"/>
      <w:lvlJc w:val="left"/>
      <w:pPr>
        <w:tabs>
          <w:tab w:val="left" w:pos="425"/>
        </w:tabs>
        <w:ind w:left="425" w:hanging="425"/>
      </w:pPr>
      <w:rPr>
        <w:rFonts w:hint="default" w:ascii="Arial" w:hAnsi="Arial" w:eastAsia="黑体"/>
        <w:b w:val="0"/>
        <w:i w:val="0"/>
        <w:sz w:val="28"/>
      </w:rPr>
    </w:lvl>
    <w:lvl w:ilvl="1" w:tentative="0">
      <w:start w:val="1"/>
      <w:numFmt w:val="decimal"/>
      <w:pStyle w:val="71"/>
      <w:lvlText w:val="%1.%2"/>
      <w:lvlJc w:val="left"/>
      <w:pPr>
        <w:tabs>
          <w:tab w:val="left" w:pos="992"/>
        </w:tabs>
        <w:ind w:left="992" w:hanging="567"/>
      </w:pPr>
      <w:rPr>
        <w:rFonts w:hint="default" w:ascii="Arial" w:hAnsi="Arial" w:eastAsia="黑体"/>
        <w:b w:val="0"/>
        <w:i w:val="0"/>
        <w:sz w:val="24"/>
      </w:rPr>
    </w:lvl>
    <w:lvl w:ilvl="2" w:tentative="0">
      <w:start w:val="1"/>
      <w:numFmt w:val="decimal"/>
      <w:pStyle w:val="99"/>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7F7E5238"/>
    <w:multiLevelType w:val="multilevel"/>
    <w:tmpl w:val="7F7E5238"/>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98"/>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303"/>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yMTc3ZTJjZjMwMGU3NzkzNmUyNTY1MmM3N2FjNjMifQ=="/>
  </w:docVars>
  <w:rsids>
    <w:rsidRoot w:val="00172A27"/>
    <w:rsid w:val="0001340A"/>
    <w:rsid w:val="000225C2"/>
    <w:rsid w:val="00035C13"/>
    <w:rsid w:val="00075D08"/>
    <w:rsid w:val="000930AE"/>
    <w:rsid w:val="0009394F"/>
    <w:rsid w:val="00094396"/>
    <w:rsid w:val="000A19DC"/>
    <w:rsid w:val="000A2736"/>
    <w:rsid w:val="000A78D6"/>
    <w:rsid w:val="000C079B"/>
    <w:rsid w:val="000C3994"/>
    <w:rsid w:val="000C39FF"/>
    <w:rsid w:val="000D160E"/>
    <w:rsid w:val="000D7107"/>
    <w:rsid w:val="000E248D"/>
    <w:rsid w:val="000E2CE6"/>
    <w:rsid w:val="000E48B4"/>
    <w:rsid w:val="000F0C8D"/>
    <w:rsid w:val="00106FA6"/>
    <w:rsid w:val="00115F0F"/>
    <w:rsid w:val="00117A99"/>
    <w:rsid w:val="00121679"/>
    <w:rsid w:val="00121698"/>
    <w:rsid w:val="00126DE2"/>
    <w:rsid w:val="0012790B"/>
    <w:rsid w:val="00131D57"/>
    <w:rsid w:val="00140BAA"/>
    <w:rsid w:val="001438D5"/>
    <w:rsid w:val="00144761"/>
    <w:rsid w:val="001471B3"/>
    <w:rsid w:val="00154933"/>
    <w:rsid w:val="00156779"/>
    <w:rsid w:val="0016125F"/>
    <w:rsid w:val="00164142"/>
    <w:rsid w:val="00170FFD"/>
    <w:rsid w:val="00172F0D"/>
    <w:rsid w:val="001B34E0"/>
    <w:rsid w:val="001B5F99"/>
    <w:rsid w:val="001C207B"/>
    <w:rsid w:val="001C251A"/>
    <w:rsid w:val="001C4FB7"/>
    <w:rsid w:val="001C5EBA"/>
    <w:rsid w:val="001D6A6C"/>
    <w:rsid w:val="001E126A"/>
    <w:rsid w:val="00207542"/>
    <w:rsid w:val="00207DDE"/>
    <w:rsid w:val="00210B37"/>
    <w:rsid w:val="00212838"/>
    <w:rsid w:val="00240588"/>
    <w:rsid w:val="0024094F"/>
    <w:rsid w:val="002415E9"/>
    <w:rsid w:val="0026359C"/>
    <w:rsid w:val="00282E1A"/>
    <w:rsid w:val="00290511"/>
    <w:rsid w:val="00290616"/>
    <w:rsid w:val="00293FFE"/>
    <w:rsid w:val="002B56A6"/>
    <w:rsid w:val="002C3D7C"/>
    <w:rsid w:val="002F007B"/>
    <w:rsid w:val="003152A3"/>
    <w:rsid w:val="00316163"/>
    <w:rsid w:val="00323D92"/>
    <w:rsid w:val="00330D02"/>
    <w:rsid w:val="003842B0"/>
    <w:rsid w:val="003858C5"/>
    <w:rsid w:val="003920AD"/>
    <w:rsid w:val="00397E22"/>
    <w:rsid w:val="003B0071"/>
    <w:rsid w:val="003B101B"/>
    <w:rsid w:val="003C2861"/>
    <w:rsid w:val="003C7FFC"/>
    <w:rsid w:val="003E2793"/>
    <w:rsid w:val="003E6130"/>
    <w:rsid w:val="003E7F27"/>
    <w:rsid w:val="00401EDF"/>
    <w:rsid w:val="00406B56"/>
    <w:rsid w:val="004212EE"/>
    <w:rsid w:val="0042488C"/>
    <w:rsid w:val="00433975"/>
    <w:rsid w:val="00436C0E"/>
    <w:rsid w:val="00436EDE"/>
    <w:rsid w:val="00462686"/>
    <w:rsid w:val="00463938"/>
    <w:rsid w:val="00465D60"/>
    <w:rsid w:val="0048490E"/>
    <w:rsid w:val="004A5B81"/>
    <w:rsid w:val="004B7BC7"/>
    <w:rsid w:val="004E4D34"/>
    <w:rsid w:val="004E71CA"/>
    <w:rsid w:val="004F27AD"/>
    <w:rsid w:val="005030A5"/>
    <w:rsid w:val="00506038"/>
    <w:rsid w:val="00511C4C"/>
    <w:rsid w:val="005628F2"/>
    <w:rsid w:val="00572B01"/>
    <w:rsid w:val="00573E74"/>
    <w:rsid w:val="00575CC0"/>
    <w:rsid w:val="0058324F"/>
    <w:rsid w:val="00592618"/>
    <w:rsid w:val="005B3B9F"/>
    <w:rsid w:val="005C1789"/>
    <w:rsid w:val="005C1B0B"/>
    <w:rsid w:val="005E1802"/>
    <w:rsid w:val="005E3F56"/>
    <w:rsid w:val="005F445C"/>
    <w:rsid w:val="005F6839"/>
    <w:rsid w:val="00620FDE"/>
    <w:rsid w:val="00634109"/>
    <w:rsid w:val="0063477B"/>
    <w:rsid w:val="00634A19"/>
    <w:rsid w:val="00637586"/>
    <w:rsid w:val="0064066F"/>
    <w:rsid w:val="00641BAF"/>
    <w:rsid w:val="006554A6"/>
    <w:rsid w:val="00685C6C"/>
    <w:rsid w:val="0068792F"/>
    <w:rsid w:val="006910FA"/>
    <w:rsid w:val="006940D2"/>
    <w:rsid w:val="006945D6"/>
    <w:rsid w:val="006A6410"/>
    <w:rsid w:val="006C3F3B"/>
    <w:rsid w:val="006C41EC"/>
    <w:rsid w:val="006C723D"/>
    <w:rsid w:val="006D0069"/>
    <w:rsid w:val="006D5C26"/>
    <w:rsid w:val="006E2FDD"/>
    <w:rsid w:val="006E38DD"/>
    <w:rsid w:val="006E6125"/>
    <w:rsid w:val="006F78D2"/>
    <w:rsid w:val="0070522B"/>
    <w:rsid w:val="00723FFB"/>
    <w:rsid w:val="00725FEC"/>
    <w:rsid w:val="00742EE8"/>
    <w:rsid w:val="00755FCA"/>
    <w:rsid w:val="007570F7"/>
    <w:rsid w:val="007615A0"/>
    <w:rsid w:val="0076362F"/>
    <w:rsid w:val="00766ADF"/>
    <w:rsid w:val="007700A1"/>
    <w:rsid w:val="007705B7"/>
    <w:rsid w:val="0077211F"/>
    <w:rsid w:val="007739F6"/>
    <w:rsid w:val="0077467D"/>
    <w:rsid w:val="00776A5F"/>
    <w:rsid w:val="00780E75"/>
    <w:rsid w:val="007834BA"/>
    <w:rsid w:val="00795B4A"/>
    <w:rsid w:val="007963A3"/>
    <w:rsid w:val="007A5E1C"/>
    <w:rsid w:val="007B6A4D"/>
    <w:rsid w:val="007C0F61"/>
    <w:rsid w:val="007E48B4"/>
    <w:rsid w:val="007F25F3"/>
    <w:rsid w:val="007F7815"/>
    <w:rsid w:val="008069DB"/>
    <w:rsid w:val="0080782C"/>
    <w:rsid w:val="00833FC9"/>
    <w:rsid w:val="008369BF"/>
    <w:rsid w:val="00860122"/>
    <w:rsid w:val="00860BE3"/>
    <w:rsid w:val="00865C6B"/>
    <w:rsid w:val="00870A82"/>
    <w:rsid w:val="008A1144"/>
    <w:rsid w:val="008B5DB6"/>
    <w:rsid w:val="008B7944"/>
    <w:rsid w:val="008C5B75"/>
    <w:rsid w:val="008D280E"/>
    <w:rsid w:val="008D6C20"/>
    <w:rsid w:val="008D6D40"/>
    <w:rsid w:val="008D796A"/>
    <w:rsid w:val="008E23B2"/>
    <w:rsid w:val="008F025F"/>
    <w:rsid w:val="008F45F9"/>
    <w:rsid w:val="00902CCF"/>
    <w:rsid w:val="00921F96"/>
    <w:rsid w:val="0092630C"/>
    <w:rsid w:val="00937F61"/>
    <w:rsid w:val="009418BB"/>
    <w:rsid w:val="00942E88"/>
    <w:rsid w:val="009457D4"/>
    <w:rsid w:val="009773FF"/>
    <w:rsid w:val="00983394"/>
    <w:rsid w:val="00985782"/>
    <w:rsid w:val="00985A88"/>
    <w:rsid w:val="009A27EE"/>
    <w:rsid w:val="009A2DC5"/>
    <w:rsid w:val="009A3585"/>
    <w:rsid w:val="009B3998"/>
    <w:rsid w:val="009C205B"/>
    <w:rsid w:val="009C3099"/>
    <w:rsid w:val="009C4861"/>
    <w:rsid w:val="009F53DA"/>
    <w:rsid w:val="009F6FD0"/>
    <w:rsid w:val="00A00D00"/>
    <w:rsid w:val="00A01395"/>
    <w:rsid w:val="00A068BA"/>
    <w:rsid w:val="00A06AEE"/>
    <w:rsid w:val="00A12815"/>
    <w:rsid w:val="00A27E3A"/>
    <w:rsid w:val="00A32D10"/>
    <w:rsid w:val="00A36F65"/>
    <w:rsid w:val="00A519D0"/>
    <w:rsid w:val="00A6571B"/>
    <w:rsid w:val="00A74730"/>
    <w:rsid w:val="00A856A4"/>
    <w:rsid w:val="00A93417"/>
    <w:rsid w:val="00AA282E"/>
    <w:rsid w:val="00AC2F76"/>
    <w:rsid w:val="00AD35ED"/>
    <w:rsid w:val="00B021A5"/>
    <w:rsid w:val="00B26AFD"/>
    <w:rsid w:val="00B2793B"/>
    <w:rsid w:val="00B27B7A"/>
    <w:rsid w:val="00B306A1"/>
    <w:rsid w:val="00B32758"/>
    <w:rsid w:val="00B431EB"/>
    <w:rsid w:val="00B57E57"/>
    <w:rsid w:val="00B6642A"/>
    <w:rsid w:val="00BB678D"/>
    <w:rsid w:val="00BC5C8C"/>
    <w:rsid w:val="00BD29A9"/>
    <w:rsid w:val="00BE53CB"/>
    <w:rsid w:val="00BE6DD5"/>
    <w:rsid w:val="00C035CD"/>
    <w:rsid w:val="00C07565"/>
    <w:rsid w:val="00C11EAB"/>
    <w:rsid w:val="00C16575"/>
    <w:rsid w:val="00C258CD"/>
    <w:rsid w:val="00C37EA2"/>
    <w:rsid w:val="00C4328B"/>
    <w:rsid w:val="00C45F34"/>
    <w:rsid w:val="00C561F1"/>
    <w:rsid w:val="00C67BDE"/>
    <w:rsid w:val="00CA23FA"/>
    <w:rsid w:val="00CB0D03"/>
    <w:rsid w:val="00CB1F56"/>
    <w:rsid w:val="00CB4BD4"/>
    <w:rsid w:val="00CB4D9A"/>
    <w:rsid w:val="00CB7DEC"/>
    <w:rsid w:val="00CC74B8"/>
    <w:rsid w:val="00CD580B"/>
    <w:rsid w:val="00CD6009"/>
    <w:rsid w:val="00CD78AA"/>
    <w:rsid w:val="00CE4B20"/>
    <w:rsid w:val="00CF1B95"/>
    <w:rsid w:val="00D020D1"/>
    <w:rsid w:val="00D10704"/>
    <w:rsid w:val="00D2394E"/>
    <w:rsid w:val="00D37825"/>
    <w:rsid w:val="00D4023D"/>
    <w:rsid w:val="00D45644"/>
    <w:rsid w:val="00D62030"/>
    <w:rsid w:val="00D634A6"/>
    <w:rsid w:val="00D67B2D"/>
    <w:rsid w:val="00D70994"/>
    <w:rsid w:val="00D763BD"/>
    <w:rsid w:val="00D76C49"/>
    <w:rsid w:val="00D77AA5"/>
    <w:rsid w:val="00D913E0"/>
    <w:rsid w:val="00D94544"/>
    <w:rsid w:val="00D94619"/>
    <w:rsid w:val="00D95E46"/>
    <w:rsid w:val="00DB4E2D"/>
    <w:rsid w:val="00DC1F8B"/>
    <w:rsid w:val="00DF67BA"/>
    <w:rsid w:val="00E134A1"/>
    <w:rsid w:val="00E224BF"/>
    <w:rsid w:val="00E22C87"/>
    <w:rsid w:val="00E23115"/>
    <w:rsid w:val="00E41365"/>
    <w:rsid w:val="00E4440C"/>
    <w:rsid w:val="00E52070"/>
    <w:rsid w:val="00E93340"/>
    <w:rsid w:val="00EA027C"/>
    <w:rsid w:val="00EB2D26"/>
    <w:rsid w:val="00EB700E"/>
    <w:rsid w:val="00ED2238"/>
    <w:rsid w:val="00EE370A"/>
    <w:rsid w:val="00EF6B80"/>
    <w:rsid w:val="00F04DFA"/>
    <w:rsid w:val="00F067FA"/>
    <w:rsid w:val="00F10E4B"/>
    <w:rsid w:val="00F2654A"/>
    <w:rsid w:val="00F33DAA"/>
    <w:rsid w:val="00F400DC"/>
    <w:rsid w:val="00F47ADB"/>
    <w:rsid w:val="00F52692"/>
    <w:rsid w:val="00F52DB5"/>
    <w:rsid w:val="00F60F8D"/>
    <w:rsid w:val="00F92908"/>
    <w:rsid w:val="00F94B3B"/>
    <w:rsid w:val="00FA03CB"/>
    <w:rsid w:val="00FA048B"/>
    <w:rsid w:val="00FA0B39"/>
    <w:rsid w:val="00FA4BE7"/>
    <w:rsid w:val="00FA77BF"/>
    <w:rsid w:val="00FD1D01"/>
    <w:rsid w:val="00FE4EC7"/>
    <w:rsid w:val="00FE5EB8"/>
    <w:rsid w:val="00FF3873"/>
    <w:rsid w:val="030C6B9D"/>
    <w:rsid w:val="03C440F0"/>
    <w:rsid w:val="03F262FE"/>
    <w:rsid w:val="04977DF1"/>
    <w:rsid w:val="05043438"/>
    <w:rsid w:val="05DC0389"/>
    <w:rsid w:val="077918E2"/>
    <w:rsid w:val="080F68DC"/>
    <w:rsid w:val="082A6E5C"/>
    <w:rsid w:val="091F4118"/>
    <w:rsid w:val="09B35E22"/>
    <w:rsid w:val="0A2B2280"/>
    <w:rsid w:val="0AEA2669"/>
    <w:rsid w:val="0CB67DF0"/>
    <w:rsid w:val="0D151D23"/>
    <w:rsid w:val="0D4103F4"/>
    <w:rsid w:val="0D517F6C"/>
    <w:rsid w:val="0D70587D"/>
    <w:rsid w:val="0D8F6CE5"/>
    <w:rsid w:val="0DFB303B"/>
    <w:rsid w:val="0E4C465A"/>
    <w:rsid w:val="0F8E619D"/>
    <w:rsid w:val="0FD94D4C"/>
    <w:rsid w:val="0FF90BC3"/>
    <w:rsid w:val="101C4917"/>
    <w:rsid w:val="123B32DA"/>
    <w:rsid w:val="124F64A1"/>
    <w:rsid w:val="13BF1AC2"/>
    <w:rsid w:val="14197F4D"/>
    <w:rsid w:val="1588638E"/>
    <w:rsid w:val="166B48A0"/>
    <w:rsid w:val="16F45074"/>
    <w:rsid w:val="16FC5D9B"/>
    <w:rsid w:val="172368D2"/>
    <w:rsid w:val="17834DE9"/>
    <w:rsid w:val="17F16374"/>
    <w:rsid w:val="1A313E0D"/>
    <w:rsid w:val="1B950C9D"/>
    <w:rsid w:val="1C4C37B9"/>
    <w:rsid w:val="1D097FE3"/>
    <w:rsid w:val="1E905351"/>
    <w:rsid w:val="1F9E3BCA"/>
    <w:rsid w:val="21130328"/>
    <w:rsid w:val="215D7652"/>
    <w:rsid w:val="23285A18"/>
    <w:rsid w:val="276F595A"/>
    <w:rsid w:val="299553EC"/>
    <w:rsid w:val="29D42705"/>
    <w:rsid w:val="2ADC147B"/>
    <w:rsid w:val="2B163BA8"/>
    <w:rsid w:val="2C056941"/>
    <w:rsid w:val="2C1C4834"/>
    <w:rsid w:val="2D8E6D7A"/>
    <w:rsid w:val="31566A52"/>
    <w:rsid w:val="31AB0CDA"/>
    <w:rsid w:val="31D73965"/>
    <w:rsid w:val="32E965DF"/>
    <w:rsid w:val="33366222"/>
    <w:rsid w:val="33435FAF"/>
    <w:rsid w:val="367120E1"/>
    <w:rsid w:val="373F5ED2"/>
    <w:rsid w:val="39087C01"/>
    <w:rsid w:val="3A5502A1"/>
    <w:rsid w:val="3A5D5440"/>
    <w:rsid w:val="3CC4744B"/>
    <w:rsid w:val="3D9424D5"/>
    <w:rsid w:val="3DAF6D45"/>
    <w:rsid w:val="3DC5397A"/>
    <w:rsid w:val="3DC6320C"/>
    <w:rsid w:val="3FB95217"/>
    <w:rsid w:val="3FD633C9"/>
    <w:rsid w:val="405065A5"/>
    <w:rsid w:val="413F71DB"/>
    <w:rsid w:val="414B7535"/>
    <w:rsid w:val="41502189"/>
    <w:rsid w:val="415E35C6"/>
    <w:rsid w:val="41776AEA"/>
    <w:rsid w:val="41AB521D"/>
    <w:rsid w:val="41BA02BB"/>
    <w:rsid w:val="428B7B0F"/>
    <w:rsid w:val="429C7054"/>
    <w:rsid w:val="42C40BE2"/>
    <w:rsid w:val="43EC454D"/>
    <w:rsid w:val="47140AC9"/>
    <w:rsid w:val="481A5BAC"/>
    <w:rsid w:val="4B493F7E"/>
    <w:rsid w:val="4C9F3B15"/>
    <w:rsid w:val="4CC82BA6"/>
    <w:rsid w:val="4DE72DDF"/>
    <w:rsid w:val="4EDD6607"/>
    <w:rsid w:val="4F5A71E7"/>
    <w:rsid w:val="500E40D0"/>
    <w:rsid w:val="512F03DB"/>
    <w:rsid w:val="5174228C"/>
    <w:rsid w:val="5307177D"/>
    <w:rsid w:val="539267AF"/>
    <w:rsid w:val="543264A9"/>
    <w:rsid w:val="554A03C4"/>
    <w:rsid w:val="56AA7F39"/>
    <w:rsid w:val="570E3BC9"/>
    <w:rsid w:val="58457CD0"/>
    <w:rsid w:val="59813B96"/>
    <w:rsid w:val="5A431F22"/>
    <w:rsid w:val="5AD92B11"/>
    <w:rsid w:val="5B302BB8"/>
    <w:rsid w:val="5C917115"/>
    <w:rsid w:val="5C9A1041"/>
    <w:rsid w:val="5CB511A8"/>
    <w:rsid w:val="5D967083"/>
    <w:rsid w:val="5DE85D9D"/>
    <w:rsid w:val="5E6162CC"/>
    <w:rsid w:val="5F8913FD"/>
    <w:rsid w:val="60C06604"/>
    <w:rsid w:val="6216372D"/>
    <w:rsid w:val="6277156E"/>
    <w:rsid w:val="633640E0"/>
    <w:rsid w:val="64332182"/>
    <w:rsid w:val="645E7AB0"/>
    <w:rsid w:val="65A7466B"/>
    <w:rsid w:val="669E20AE"/>
    <w:rsid w:val="6855023B"/>
    <w:rsid w:val="689500C5"/>
    <w:rsid w:val="69224EEB"/>
    <w:rsid w:val="69DE6A3D"/>
    <w:rsid w:val="69FB26F0"/>
    <w:rsid w:val="6E496FBD"/>
    <w:rsid w:val="6EAD10FE"/>
    <w:rsid w:val="6EBD4430"/>
    <w:rsid w:val="6F98180B"/>
    <w:rsid w:val="6FB62D34"/>
    <w:rsid w:val="709B35B6"/>
    <w:rsid w:val="71C53799"/>
    <w:rsid w:val="724972EE"/>
    <w:rsid w:val="728575CB"/>
    <w:rsid w:val="72A5179F"/>
    <w:rsid w:val="72DA16A4"/>
    <w:rsid w:val="74697EA8"/>
    <w:rsid w:val="74F460E5"/>
    <w:rsid w:val="753D52E3"/>
    <w:rsid w:val="76AF09F8"/>
    <w:rsid w:val="77270DF0"/>
    <w:rsid w:val="77A33CA2"/>
    <w:rsid w:val="77ED24B1"/>
    <w:rsid w:val="78275322"/>
    <w:rsid w:val="789D19E7"/>
    <w:rsid w:val="792425B9"/>
    <w:rsid w:val="7B620BCC"/>
    <w:rsid w:val="7BDA46B9"/>
    <w:rsid w:val="7C020BE6"/>
    <w:rsid w:val="7C0D02B4"/>
    <w:rsid w:val="7CF66286"/>
    <w:rsid w:val="7D971636"/>
    <w:rsid w:val="7E1507E4"/>
    <w:rsid w:val="7EA73659"/>
    <w:rsid w:val="7F0D1A18"/>
    <w:rsid w:val="7F9839D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rFonts w:eastAsia="宋体"/>
      <w:b/>
      <w:kern w:val="44"/>
      <w:sz w:val="30"/>
      <w:lang w:val="en-US" w:eastAsia="zh-CN"/>
    </w:rPr>
  </w:style>
  <w:style w:type="paragraph" w:styleId="4">
    <w:name w:val="heading 2"/>
    <w:basedOn w:val="1"/>
    <w:next w:val="1"/>
    <w:qFormat/>
    <w:uiPriority w:val="0"/>
    <w:pPr>
      <w:keepNext/>
      <w:keepLines/>
      <w:spacing w:before="260" w:beforeLines="0" w:beforeAutospacing="0" w:after="260" w:afterLines="0" w:afterAutospacing="0" w:line="413" w:lineRule="auto"/>
      <w:ind w:firstLine="628"/>
      <w:jc w:val="center"/>
      <w:outlineLvl w:val="1"/>
    </w:pPr>
    <w:rPr>
      <w:rFonts w:ascii="Arial" w:hAnsi="Arial" w:eastAsia="黑体"/>
      <w:b/>
      <w:sz w:val="32"/>
    </w:rPr>
  </w:style>
  <w:style w:type="paragraph" w:styleId="5">
    <w:name w:val="heading 3"/>
    <w:basedOn w:val="1"/>
    <w:next w:val="1"/>
    <w:qFormat/>
    <w:uiPriority w:val="0"/>
    <w:pPr>
      <w:keepNext/>
      <w:keepLines/>
      <w:spacing w:before="260" w:beforeLines="0" w:beforeAutospacing="0" w:after="260" w:afterLines="0" w:afterAutospacing="0" w:line="413" w:lineRule="auto"/>
      <w:jc w:val="center"/>
      <w:outlineLvl w:val="2"/>
    </w:pPr>
    <w:rPr>
      <w:rFonts w:ascii="宋体"/>
      <w:b/>
      <w:sz w:val="32"/>
    </w:rPr>
  </w:style>
  <w:style w:type="paragraph" w:styleId="6">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kern w:val="2"/>
      <w:sz w:val="28"/>
      <w:lang w:val="en-US" w:eastAsia="zh-CN"/>
    </w:rPr>
  </w:style>
  <w:style w:type="paragraph" w:styleId="7">
    <w:name w:val="heading 5"/>
    <w:basedOn w:val="1"/>
    <w:next w:val="1"/>
    <w:qFormat/>
    <w:uiPriority w:val="0"/>
    <w:pPr>
      <w:keepNext/>
      <w:outlineLvl w:val="4"/>
    </w:pPr>
    <w:rPr>
      <w:rFonts w:ascii="宋体" w:hAnsi="Arial"/>
      <w:sz w:val="28"/>
    </w:rPr>
  </w:style>
  <w:style w:type="paragraph" w:styleId="8">
    <w:name w:val="heading 6"/>
    <w:basedOn w:val="1"/>
    <w:next w:val="1"/>
    <w:qFormat/>
    <w:uiPriority w:val="0"/>
    <w:pPr>
      <w:keepNext/>
      <w:autoSpaceDE w:val="0"/>
      <w:autoSpaceDN w:val="0"/>
      <w:adjustRightInd w:val="0"/>
      <w:spacing w:before="156" w:beforeLines="50" w:beforeAutospacing="0" w:after="156" w:afterLines="50" w:afterAutospacing="0" w:line="300" w:lineRule="exact"/>
      <w:jc w:val="center"/>
      <w:outlineLvl w:val="5"/>
    </w:pPr>
    <w:rPr>
      <w:rFonts w:ascii="宋体" w:hAnsi="宋体"/>
      <w:kern w:val="0"/>
      <w:sz w:val="28"/>
    </w:rPr>
  </w:style>
  <w:style w:type="paragraph" w:styleId="9">
    <w:name w:val="heading 7"/>
    <w:basedOn w:val="1"/>
    <w:next w:val="1"/>
    <w:qFormat/>
    <w:uiPriority w:val="0"/>
    <w:pPr>
      <w:keepNext/>
      <w:keepLines/>
      <w:spacing w:before="240" w:beforeLines="0" w:beforeAutospacing="0" w:after="64" w:afterLines="0" w:afterAutospacing="0" w:line="317" w:lineRule="auto"/>
      <w:ind w:rightChars="-10" w:firstLine="464" w:firstLineChars="225"/>
      <w:jc w:val="left"/>
      <w:outlineLvl w:val="6"/>
    </w:pPr>
    <w:rPr>
      <w:rFonts w:ascii="Arial" w:hAnsi="Arial" w:eastAsia="仿宋_GB2312"/>
      <w:b/>
      <w:spacing w:val="-4"/>
      <w:sz w:val="24"/>
    </w:rPr>
  </w:style>
  <w:style w:type="paragraph" w:styleId="10">
    <w:name w:val="heading 8"/>
    <w:basedOn w:val="1"/>
    <w:next w:val="1"/>
    <w:qFormat/>
    <w:uiPriority w:val="0"/>
    <w:pPr>
      <w:keepNext/>
      <w:keepLines/>
      <w:spacing w:line="400" w:lineRule="exact"/>
      <w:jc w:val="center"/>
      <w:outlineLvl w:val="7"/>
    </w:pPr>
    <w:rPr>
      <w:rFonts w:ascii="宋体" w:hAnsi="宋体" w:eastAsia="黑体"/>
      <w:sz w:val="32"/>
      <w:szCs w:val="32"/>
    </w:rPr>
  </w:style>
  <w:style w:type="paragraph" w:styleId="11">
    <w:name w:val="heading 9"/>
    <w:basedOn w:val="10"/>
    <w:next w:val="1"/>
    <w:qFormat/>
    <w:uiPriority w:val="0"/>
    <w:pPr>
      <w:tabs>
        <w:tab w:val="left" w:pos="2160"/>
      </w:tabs>
      <w:ind w:left="1559" w:hanging="1559"/>
      <w:outlineLvl w:val="8"/>
    </w:pPr>
    <w:rPr>
      <w:rFonts w:ascii="Times New Roman" w:hAnsi="Times New Roman" w:eastAsia="宋体"/>
      <w:b/>
      <w:bCs/>
      <w:sz w:val="30"/>
      <w:szCs w:val="18"/>
    </w:rPr>
  </w:style>
  <w:style w:type="character" w:default="1" w:styleId="56">
    <w:name w:val="Default Paragraph Font"/>
    <w:qFormat/>
    <w:uiPriority w:val="0"/>
  </w:style>
  <w:style w:type="table" w:default="1" w:styleId="54">
    <w:name w:val="Normal Table"/>
    <w:semiHidden/>
    <w:qFormat/>
    <w:uiPriority w:val="0"/>
    <w:tblPr>
      <w:tblCellMar>
        <w:top w:w="0" w:type="dxa"/>
        <w:left w:w="108" w:type="dxa"/>
        <w:bottom w:w="0" w:type="dxa"/>
        <w:right w:w="108" w:type="dxa"/>
      </w:tblCellMar>
    </w:tblPr>
  </w:style>
  <w:style w:type="paragraph" w:styleId="2">
    <w:name w:val="Balloon Text"/>
    <w:basedOn w:val="1"/>
    <w:qFormat/>
    <w:uiPriority w:val="0"/>
    <w:rPr>
      <w:sz w:val="18"/>
    </w:rPr>
  </w:style>
  <w:style w:type="paragraph" w:styleId="12">
    <w:name w:val="toc 7"/>
    <w:basedOn w:val="1"/>
    <w:next w:val="1"/>
    <w:qFormat/>
    <w:uiPriority w:val="0"/>
    <w:pPr>
      <w:ind w:left="1260"/>
      <w:jc w:val="left"/>
    </w:pPr>
  </w:style>
  <w:style w:type="paragraph" w:styleId="13">
    <w:name w:val="table of authorities"/>
    <w:basedOn w:val="1"/>
    <w:next w:val="1"/>
    <w:qFormat/>
    <w:uiPriority w:val="0"/>
    <w:pPr>
      <w:ind w:left="420" w:leftChars="200"/>
    </w:pPr>
  </w:style>
  <w:style w:type="paragraph" w:styleId="14">
    <w:name w:val="index 8"/>
    <w:basedOn w:val="1"/>
    <w:next w:val="1"/>
    <w:qFormat/>
    <w:uiPriority w:val="0"/>
    <w:pPr>
      <w:ind w:left="1400" w:leftChars="1400"/>
    </w:pPr>
  </w:style>
  <w:style w:type="paragraph" w:styleId="15">
    <w:name w:val="Normal Indent"/>
    <w:basedOn w:val="1"/>
    <w:qFormat/>
    <w:uiPriority w:val="0"/>
    <w:pPr>
      <w:ind w:firstLine="420" w:firstLineChars="200"/>
    </w:pPr>
  </w:style>
  <w:style w:type="paragraph" w:styleId="16">
    <w:name w:val="index 5"/>
    <w:basedOn w:val="1"/>
    <w:next w:val="1"/>
    <w:qFormat/>
    <w:uiPriority w:val="0"/>
    <w:pPr>
      <w:ind w:left="800" w:leftChars="800"/>
    </w:p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b/>
    </w:rPr>
  </w:style>
  <w:style w:type="paragraph" w:styleId="19">
    <w:name w:val="annotation text"/>
    <w:basedOn w:val="1"/>
    <w:qFormat/>
    <w:uiPriority w:val="0"/>
    <w:pPr>
      <w:jc w:val="left"/>
    </w:pPr>
  </w:style>
  <w:style w:type="paragraph" w:styleId="20">
    <w:name w:val="index 6"/>
    <w:basedOn w:val="1"/>
    <w:next w:val="1"/>
    <w:qFormat/>
    <w:uiPriority w:val="0"/>
    <w:pPr>
      <w:ind w:left="1000" w:leftChars="1000"/>
    </w:pPr>
  </w:style>
  <w:style w:type="paragraph" w:styleId="21">
    <w:name w:val="Salutation"/>
    <w:basedOn w:val="1"/>
    <w:next w:val="1"/>
    <w:qFormat/>
    <w:uiPriority w:val="0"/>
    <w:rPr>
      <w:rFonts w:ascii="仿宋_GB2312" w:eastAsia="仿宋_GB2312"/>
      <w:sz w:val="28"/>
      <w:szCs w:val="20"/>
    </w:rPr>
  </w:style>
  <w:style w:type="paragraph" w:styleId="22">
    <w:name w:val="Body Text 3"/>
    <w:basedOn w:val="1"/>
    <w:qFormat/>
    <w:uiPriority w:val="0"/>
    <w:rPr>
      <w:rFonts w:ascii="黑体" w:hAnsi="Arial" w:eastAsia="黑体"/>
      <w:b/>
      <w:sz w:val="28"/>
    </w:rPr>
  </w:style>
  <w:style w:type="paragraph" w:styleId="23">
    <w:name w:val="Body Text"/>
    <w:basedOn w:val="1"/>
    <w:qFormat/>
    <w:uiPriority w:val="0"/>
    <w:rPr>
      <w:rFonts w:ascii="宋体" w:hAnsi="Arial"/>
      <w:sz w:val="28"/>
    </w:rPr>
  </w:style>
  <w:style w:type="paragraph" w:styleId="24">
    <w:name w:val="Body Text Indent"/>
    <w:basedOn w:val="1"/>
    <w:next w:val="25"/>
    <w:qFormat/>
    <w:uiPriority w:val="0"/>
    <w:pPr>
      <w:ind w:firstLine="645"/>
    </w:pPr>
    <w:rPr>
      <w:rFonts w:ascii="楷体_GB2312" w:eastAsia="楷体_GB2312"/>
      <w:sz w:val="32"/>
    </w:rPr>
  </w:style>
  <w:style w:type="paragraph" w:styleId="25">
    <w:name w:val="envelope return"/>
    <w:basedOn w:val="1"/>
    <w:qFormat/>
    <w:uiPriority w:val="99"/>
    <w:pPr>
      <w:widowControl/>
    </w:pPr>
    <w:rPr>
      <w:kern w:val="0"/>
      <w:sz w:val="22"/>
      <w:lang w:eastAsia="en-US"/>
    </w:rPr>
  </w:style>
  <w:style w:type="paragraph" w:styleId="26">
    <w:name w:val="index 4"/>
    <w:basedOn w:val="1"/>
    <w:next w:val="1"/>
    <w:qFormat/>
    <w:uiPriority w:val="0"/>
    <w:pPr>
      <w:ind w:left="600" w:leftChars="600"/>
    </w:pPr>
  </w:style>
  <w:style w:type="paragraph" w:styleId="27">
    <w:name w:val="toc 5"/>
    <w:basedOn w:val="1"/>
    <w:next w:val="1"/>
    <w:qFormat/>
    <w:uiPriority w:val="0"/>
    <w:pPr>
      <w:ind w:left="840"/>
      <w:jc w:val="left"/>
    </w:pPr>
  </w:style>
  <w:style w:type="paragraph" w:styleId="28">
    <w:name w:val="toc 3"/>
    <w:basedOn w:val="1"/>
    <w:next w:val="1"/>
    <w:qFormat/>
    <w:uiPriority w:val="0"/>
    <w:pPr>
      <w:ind w:left="420"/>
      <w:jc w:val="left"/>
    </w:pPr>
    <w:rPr>
      <w:i/>
    </w:rPr>
  </w:style>
  <w:style w:type="paragraph" w:styleId="29">
    <w:name w:val="Plain Text"/>
    <w:basedOn w:val="1"/>
    <w:qFormat/>
    <w:uiPriority w:val="0"/>
    <w:rPr>
      <w:rFonts w:ascii="宋体" w:hAnsi="Courier New"/>
    </w:rPr>
  </w:style>
  <w:style w:type="paragraph" w:styleId="30">
    <w:name w:val="toc 8"/>
    <w:basedOn w:val="1"/>
    <w:next w:val="1"/>
    <w:qFormat/>
    <w:uiPriority w:val="0"/>
    <w:pPr>
      <w:ind w:left="1470"/>
      <w:jc w:val="left"/>
    </w:pPr>
  </w:style>
  <w:style w:type="paragraph" w:styleId="31">
    <w:name w:val="index 3"/>
    <w:basedOn w:val="1"/>
    <w:next w:val="1"/>
    <w:qFormat/>
    <w:uiPriority w:val="0"/>
    <w:pPr>
      <w:ind w:left="400" w:leftChars="400"/>
    </w:pPr>
  </w:style>
  <w:style w:type="paragraph" w:styleId="32">
    <w:name w:val="Date"/>
    <w:basedOn w:val="1"/>
    <w:next w:val="1"/>
    <w:link w:val="63"/>
    <w:qFormat/>
    <w:uiPriority w:val="0"/>
    <w:rPr>
      <w:b/>
      <w:sz w:val="28"/>
    </w:rPr>
  </w:style>
  <w:style w:type="paragraph" w:styleId="33">
    <w:name w:val="Body Text Indent 2"/>
    <w:basedOn w:val="1"/>
    <w:qFormat/>
    <w:uiPriority w:val="0"/>
    <w:pPr>
      <w:ind w:left="630" w:firstLine="645"/>
    </w:pPr>
    <w:rPr>
      <w:rFonts w:ascii="Arial" w:hAnsi="Arial" w:eastAsia="仿宋_GB2312"/>
      <w:sz w:val="32"/>
    </w:rPr>
  </w:style>
  <w:style w:type="paragraph" w:styleId="34">
    <w:name w:val="footer"/>
    <w:basedOn w:val="1"/>
    <w:link w:val="64"/>
    <w:qFormat/>
    <w:uiPriority w:val="0"/>
    <w:pPr>
      <w:tabs>
        <w:tab w:val="center" w:pos="4153"/>
        <w:tab w:val="right" w:pos="8306"/>
      </w:tabs>
      <w:snapToGrid w:val="0"/>
      <w:jc w:val="left"/>
    </w:pPr>
    <w:rPr>
      <w:sz w:val="18"/>
    </w:rPr>
  </w:style>
  <w:style w:type="paragraph" w:styleId="35">
    <w:name w:val="header"/>
    <w:basedOn w:val="1"/>
    <w:link w:val="65"/>
    <w:qFormat/>
    <w:uiPriority w:val="0"/>
    <w:pPr>
      <w:pBdr>
        <w:bottom w:val="single" w:color="auto" w:sz="6" w:space="1"/>
      </w:pBdr>
      <w:tabs>
        <w:tab w:val="center" w:pos="4153"/>
        <w:tab w:val="right" w:pos="8306"/>
      </w:tabs>
      <w:snapToGrid w:val="0"/>
      <w:jc w:val="center"/>
    </w:pPr>
    <w:rPr>
      <w:sz w:val="18"/>
    </w:rPr>
  </w:style>
  <w:style w:type="paragraph" w:styleId="36">
    <w:name w:val="toc 1"/>
    <w:basedOn w:val="1"/>
    <w:next w:val="1"/>
    <w:qFormat/>
    <w:uiPriority w:val="0"/>
    <w:pPr>
      <w:spacing w:before="120" w:beforeLines="0" w:beforeAutospacing="0" w:after="120" w:afterLines="0" w:afterAutospacing="0"/>
      <w:jc w:val="left"/>
    </w:pPr>
    <w:rPr>
      <w:caps/>
    </w:rPr>
  </w:style>
  <w:style w:type="paragraph" w:styleId="37">
    <w:name w:val="toc 4"/>
    <w:basedOn w:val="1"/>
    <w:next w:val="1"/>
    <w:qFormat/>
    <w:uiPriority w:val="0"/>
    <w:pPr>
      <w:ind w:left="630"/>
      <w:jc w:val="left"/>
    </w:pPr>
  </w:style>
  <w:style w:type="paragraph" w:styleId="38">
    <w:name w:val="index heading"/>
    <w:basedOn w:val="1"/>
    <w:next w:val="39"/>
    <w:qFormat/>
    <w:uiPriority w:val="0"/>
    <w:rPr>
      <w:rFonts w:eastAsia="宋体"/>
      <w:kern w:val="2"/>
      <w:sz w:val="21"/>
      <w:lang w:val="en-US" w:eastAsia="zh-CN"/>
    </w:rPr>
  </w:style>
  <w:style w:type="paragraph" w:styleId="39">
    <w:name w:val="index 1"/>
    <w:basedOn w:val="1"/>
    <w:next w:val="1"/>
    <w:qFormat/>
    <w:uiPriority w:val="0"/>
    <w:pPr>
      <w:jc w:val="center"/>
    </w:pPr>
    <w:rPr>
      <w:rFonts w:ascii="仿宋_GB2312" w:eastAsia="仿宋_GB2312"/>
      <w:b/>
      <w:sz w:val="28"/>
    </w:rPr>
  </w:style>
  <w:style w:type="paragraph" w:styleId="40">
    <w:name w:val="List"/>
    <w:basedOn w:val="1"/>
    <w:qFormat/>
    <w:uiPriority w:val="0"/>
    <w:pPr>
      <w:ind w:left="200" w:hanging="200" w:hangingChars="200"/>
    </w:pPr>
    <w:rPr>
      <w:rFonts w:ascii="Calibri" w:hAnsi="Calibri"/>
      <w:szCs w:val="22"/>
    </w:rPr>
  </w:style>
  <w:style w:type="paragraph" w:styleId="41">
    <w:name w:val="footnote text"/>
    <w:basedOn w:val="1"/>
    <w:unhideWhenUsed/>
    <w:qFormat/>
    <w:uiPriority w:val="0"/>
    <w:pPr>
      <w:snapToGrid w:val="0"/>
      <w:jc w:val="left"/>
    </w:pPr>
    <w:rPr>
      <w:sz w:val="18"/>
      <w:szCs w:val="18"/>
    </w:rPr>
  </w:style>
  <w:style w:type="paragraph" w:styleId="42">
    <w:name w:val="toc 6"/>
    <w:basedOn w:val="1"/>
    <w:next w:val="1"/>
    <w:qFormat/>
    <w:uiPriority w:val="0"/>
    <w:pPr>
      <w:ind w:left="1050"/>
      <w:jc w:val="left"/>
    </w:pPr>
  </w:style>
  <w:style w:type="paragraph" w:styleId="43">
    <w:name w:val="Body Text Indent 3"/>
    <w:basedOn w:val="1"/>
    <w:qFormat/>
    <w:uiPriority w:val="0"/>
    <w:pPr>
      <w:ind w:firstLine="645"/>
    </w:pPr>
    <w:rPr>
      <w:rFonts w:ascii="仿宋_GB2312" w:hAnsi="Arial" w:eastAsia="仿宋_GB2312"/>
      <w:color w:val="000000"/>
      <w:sz w:val="30"/>
    </w:rPr>
  </w:style>
  <w:style w:type="paragraph" w:styleId="44">
    <w:name w:val="index 7"/>
    <w:basedOn w:val="1"/>
    <w:next w:val="1"/>
    <w:qFormat/>
    <w:uiPriority w:val="0"/>
    <w:pPr>
      <w:ind w:left="1200" w:leftChars="1200"/>
    </w:pPr>
  </w:style>
  <w:style w:type="paragraph" w:styleId="45">
    <w:name w:val="index 9"/>
    <w:basedOn w:val="1"/>
    <w:next w:val="1"/>
    <w:qFormat/>
    <w:uiPriority w:val="0"/>
    <w:pPr>
      <w:ind w:left="1600" w:leftChars="1600"/>
    </w:pPr>
  </w:style>
  <w:style w:type="paragraph" w:styleId="46">
    <w:name w:val="toc 2"/>
    <w:basedOn w:val="1"/>
    <w:next w:val="1"/>
    <w:qFormat/>
    <w:uiPriority w:val="0"/>
    <w:pPr>
      <w:ind w:left="210"/>
      <w:jc w:val="left"/>
    </w:pPr>
    <w:rPr>
      <w:smallCaps/>
      <w:sz w:val="28"/>
    </w:rPr>
  </w:style>
  <w:style w:type="paragraph" w:styleId="47">
    <w:name w:val="toc 9"/>
    <w:basedOn w:val="1"/>
    <w:next w:val="1"/>
    <w:qFormat/>
    <w:uiPriority w:val="0"/>
    <w:pPr>
      <w:ind w:left="1680"/>
      <w:jc w:val="left"/>
    </w:pPr>
  </w:style>
  <w:style w:type="paragraph" w:styleId="48">
    <w:name w:val="Body Text 2"/>
    <w:basedOn w:val="1"/>
    <w:qFormat/>
    <w:uiPriority w:val="0"/>
    <w:rPr>
      <w:rFonts w:ascii="仿宋_GB2312" w:eastAsia="仿宋_GB2312"/>
      <w:b/>
      <w:sz w:val="24"/>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2"/>
    <w:basedOn w:val="1"/>
    <w:next w:val="1"/>
    <w:qFormat/>
    <w:uiPriority w:val="0"/>
    <w:pPr>
      <w:ind w:left="200" w:leftChars="200"/>
    </w:pPr>
  </w:style>
  <w:style w:type="paragraph" w:styleId="51">
    <w:name w:val="annotation subject"/>
    <w:basedOn w:val="19"/>
    <w:next w:val="19"/>
    <w:qFormat/>
    <w:uiPriority w:val="0"/>
    <w:rPr>
      <w:b/>
      <w:bCs/>
    </w:rPr>
  </w:style>
  <w:style w:type="paragraph" w:styleId="52">
    <w:name w:val="Body Text First Indent"/>
    <w:basedOn w:val="1"/>
    <w:qFormat/>
    <w:uiPriority w:val="0"/>
    <w:pPr>
      <w:autoSpaceDE w:val="0"/>
      <w:autoSpaceDN w:val="0"/>
      <w:adjustRightInd w:val="0"/>
      <w:spacing w:line="360" w:lineRule="auto"/>
      <w:ind w:rightChars="-10" w:firstLine="425" w:firstLineChars="225"/>
    </w:pPr>
    <w:rPr>
      <w:rFonts w:ascii="Arial" w:hAnsi="Arial" w:eastAsia="仿宋_GB2312"/>
      <w:kern w:val="0"/>
      <w:sz w:val="24"/>
    </w:rPr>
  </w:style>
  <w:style w:type="paragraph" w:styleId="53">
    <w:name w:val="Body Text First Indent 2"/>
    <w:basedOn w:val="24"/>
    <w:next w:val="40"/>
    <w:qFormat/>
    <w:uiPriority w:val="99"/>
    <w:pPr>
      <w:widowControl/>
      <w:spacing w:before="100" w:beforeAutospacing="1" w:after="100" w:afterAutospacing="1"/>
    </w:pPr>
    <w:rPr>
      <w:sz w:val="24"/>
      <w:szCs w:val="24"/>
    </w:rPr>
  </w:style>
  <w:style w:type="table" w:styleId="55">
    <w:name w:val="Table Grid"/>
    <w:basedOn w:val="5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7">
    <w:name w:val="Strong"/>
    <w:qFormat/>
    <w:uiPriority w:val="0"/>
    <w:rPr>
      <w:b/>
      <w:bCs/>
    </w:rPr>
  </w:style>
  <w:style w:type="character" w:styleId="58">
    <w:name w:val="page number"/>
    <w:basedOn w:val="56"/>
    <w:qFormat/>
    <w:uiPriority w:val="0"/>
  </w:style>
  <w:style w:type="character" w:styleId="59">
    <w:name w:val="FollowedHyperlink"/>
    <w:qFormat/>
    <w:uiPriority w:val="0"/>
    <w:rPr>
      <w:color w:val="800080"/>
      <w:u w:val="single"/>
    </w:rPr>
  </w:style>
  <w:style w:type="character" w:styleId="60">
    <w:name w:val="Emphasis"/>
    <w:qFormat/>
    <w:uiPriority w:val="0"/>
    <w:rPr>
      <w:color w:val="CC0033"/>
    </w:rPr>
  </w:style>
  <w:style w:type="character" w:styleId="61">
    <w:name w:val="Hyperlink"/>
    <w:qFormat/>
    <w:uiPriority w:val="0"/>
    <w:rPr>
      <w:color w:val="0000FF"/>
      <w:u w:val="single"/>
    </w:rPr>
  </w:style>
  <w:style w:type="character" w:styleId="62">
    <w:name w:val="annotation reference"/>
    <w:qFormat/>
    <w:uiPriority w:val="0"/>
    <w:rPr>
      <w:sz w:val="21"/>
      <w:szCs w:val="21"/>
    </w:rPr>
  </w:style>
  <w:style w:type="character" w:customStyle="1" w:styleId="63">
    <w:name w:val=" Char Char1"/>
    <w:link w:val="32"/>
    <w:qFormat/>
    <w:uiPriority w:val="0"/>
    <w:rPr>
      <w:b/>
      <w:kern w:val="2"/>
      <w:sz w:val="28"/>
    </w:rPr>
  </w:style>
  <w:style w:type="character" w:customStyle="1" w:styleId="64">
    <w:name w:val=" Char Char"/>
    <w:link w:val="34"/>
    <w:qFormat/>
    <w:uiPriority w:val="0"/>
    <w:rPr>
      <w:kern w:val="2"/>
      <w:sz w:val="18"/>
    </w:rPr>
  </w:style>
  <w:style w:type="character" w:customStyle="1" w:styleId="65">
    <w:name w:val=" Char Char2"/>
    <w:link w:val="35"/>
    <w:qFormat/>
    <w:uiPriority w:val="0"/>
    <w:rPr>
      <w:kern w:val="2"/>
      <w:sz w:val="18"/>
    </w:rPr>
  </w:style>
  <w:style w:type="character" w:customStyle="1" w:styleId="66">
    <w:name w:val="索引标题 Char Char"/>
    <w:qFormat/>
    <w:uiPriority w:val="0"/>
    <w:rPr>
      <w:rFonts w:eastAsia="宋体"/>
      <w:kern w:val="2"/>
      <w:sz w:val="21"/>
      <w:lang w:val="en-US" w:eastAsia="zh-CN"/>
    </w:rPr>
  </w:style>
  <w:style w:type="character" w:customStyle="1" w:styleId="67">
    <w:name w:val="标题 1 Char"/>
    <w:qFormat/>
    <w:uiPriority w:val="0"/>
    <w:rPr>
      <w:rFonts w:eastAsia="宋体"/>
      <w:b/>
      <w:kern w:val="44"/>
      <w:sz w:val="30"/>
      <w:lang w:val="en-US" w:eastAsia="zh-CN"/>
    </w:rPr>
  </w:style>
  <w:style w:type="character" w:customStyle="1" w:styleId="68">
    <w:name w:val="标题 4 Char"/>
    <w:qFormat/>
    <w:uiPriority w:val="0"/>
    <w:rPr>
      <w:rFonts w:ascii="Arial" w:hAnsi="Arial" w:eastAsia="黑体"/>
      <w:b/>
      <w:kern w:val="2"/>
      <w:sz w:val="28"/>
      <w:lang w:val="en-US" w:eastAsia="zh-CN"/>
    </w:rPr>
  </w:style>
  <w:style w:type="paragraph" w:customStyle="1" w:styleId="69">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
    <w:name w:val="二级标题"/>
    <w:basedOn w:val="1"/>
    <w:next w:val="71"/>
    <w:qFormat/>
    <w:uiPriority w:val="0"/>
    <w:pPr>
      <w:numPr>
        <w:ilvl w:val="0"/>
        <w:numId w:val="1"/>
      </w:numPr>
      <w:tabs>
        <w:tab w:val="left" w:pos="992"/>
        <w:tab w:val="clear" w:pos="425"/>
      </w:tabs>
      <w:ind w:left="992" w:hanging="567"/>
      <w:outlineLvl w:val="1"/>
    </w:pPr>
    <w:rPr>
      <w:rFonts w:ascii="黑体" w:eastAsia="黑体"/>
      <w:sz w:val="28"/>
    </w:rPr>
  </w:style>
  <w:style w:type="paragraph" w:customStyle="1" w:styleId="71">
    <w:name w:val="文章正文"/>
    <w:basedOn w:val="1"/>
    <w:qFormat/>
    <w:uiPriority w:val="0"/>
    <w:pPr>
      <w:numPr>
        <w:ilvl w:val="1"/>
        <w:numId w:val="1"/>
      </w:numPr>
      <w:spacing w:before="156" w:beforeLines="50" w:after="156" w:afterLines="50" w:line="320" w:lineRule="exact"/>
      <w:ind w:left="0" w:firstLine="200" w:firstLineChars="200"/>
    </w:pPr>
    <w:rPr>
      <w:rFonts w:ascii="仿宋_GB2312" w:eastAsia="仿宋_GB2312"/>
      <w:sz w:val="28"/>
    </w:rPr>
  </w:style>
  <w:style w:type="paragraph" w:customStyle="1" w:styleId="72">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73">
    <w:name w:val="正文（缩进）"/>
    <w:basedOn w:val="1"/>
    <w:qFormat/>
    <w:uiPriority w:val="0"/>
    <w:pPr>
      <w:widowControl/>
      <w:spacing w:before="156" w:beforeLines="0" w:beforeAutospacing="0" w:after="156" w:afterLines="0" w:afterAutospacing="0"/>
      <w:ind w:firstLine="480" w:firstLineChars="200"/>
      <w:jc w:val="left"/>
    </w:pPr>
    <w:rPr>
      <w:rFonts w:ascii="仿宋_GB2312" w:eastAsia="仿宋_GB2312"/>
      <w:kern w:val="0"/>
      <w:sz w:val="24"/>
    </w:rPr>
  </w:style>
  <w:style w:type="paragraph" w:customStyle="1" w:styleId="74">
    <w:name w:val="Blockquote_0"/>
    <w:basedOn w:val="75"/>
    <w:qFormat/>
    <w:uiPriority w:val="0"/>
    <w:pPr>
      <w:autoSpaceDE w:val="0"/>
      <w:autoSpaceDN w:val="0"/>
      <w:adjustRightInd w:val="0"/>
      <w:spacing w:before="100" w:after="100"/>
      <w:ind w:left="360" w:right="360"/>
      <w:jc w:val="left"/>
    </w:pPr>
    <w:rPr>
      <w:kern w:val="0"/>
      <w:sz w:val="24"/>
      <w:szCs w:val="20"/>
    </w:rPr>
  </w:style>
  <w:style w:type="paragraph" w:customStyle="1" w:styleId="75">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77">
    <w:name w:val="Char Char Char Char Char"/>
    <w:basedOn w:val="1"/>
    <w:qFormat/>
    <w:uiPriority w:val="0"/>
    <w:rPr>
      <w:rFonts w:ascii="Tahoma" w:hAnsi="Tahoma"/>
      <w:sz w:val="24"/>
    </w:rPr>
  </w:style>
  <w:style w:type="paragraph" w:customStyle="1" w:styleId="78">
    <w:name w:val="样式1"/>
    <w:basedOn w:val="1"/>
    <w:qFormat/>
    <w:uiPriority w:val="0"/>
    <w:pPr>
      <w:numPr>
        <w:ilvl w:val="0"/>
        <w:numId w:val="2"/>
      </w:numPr>
      <w:adjustRightInd w:val="0"/>
      <w:textAlignment w:val="baseline"/>
    </w:pPr>
    <w:rPr>
      <w:rFonts w:ascii="宋体" w:hAnsi="宋体"/>
      <w:kern w:val="0"/>
    </w:rPr>
  </w:style>
  <w:style w:type="paragraph" w:customStyle="1" w:styleId="7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
    <w:name w:val="Normal_2"/>
    <w:qFormat/>
    <w:uiPriority w:val="0"/>
    <w:rPr>
      <w:rFonts w:ascii="Times New Roman" w:hAnsi="Times New Roman" w:eastAsia="Times New Roman" w:cs="Times New Roman"/>
      <w:sz w:val="24"/>
      <w:szCs w:val="24"/>
      <w:lang w:bidi="ar-SA"/>
    </w:rPr>
  </w:style>
  <w:style w:type="paragraph" w:customStyle="1" w:styleId="81">
    <w:name w:val="Char"/>
    <w:basedOn w:val="1"/>
    <w:qFormat/>
    <w:uiPriority w:val="0"/>
    <w:rPr>
      <w:rFonts w:ascii="Tahoma" w:hAnsi="Tahoma"/>
      <w:sz w:val="24"/>
    </w:rPr>
  </w:style>
  <w:style w:type="paragraph" w:customStyle="1" w:styleId="82">
    <w:name w:val="正文缩进_0"/>
    <w:basedOn w:val="75"/>
    <w:unhideWhenUsed/>
    <w:qFormat/>
    <w:uiPriority w:val="0"/>
    <w:pPr>
      <w:ind w:firstLine="420" w:firstLineChars="200"/>
    </w:pPr>
    <w:rPr>
      <w:rFonts w:ascii="Calibri" w:hAnsi="Calibri"/>
      <w:bCs/>
      <w:szCs w:val="32"/>
    </w:rPr>
  </w:style>
  <w:style w:type="paragraph" w:customStyle="1" w:styleId="83">
    <w:name w:val="Default Paragraph Char Char Char Char"/>
    <w:basedOn w:val="1"/>
    <w:next w:val="1"/>
    <w:qFormat/>
    <w:uiPriority w:val="0"/>
    <w:pPr>
      <w:widowControl/>
      <w:spacing w:line="360" w:lineRule="auto"/>
      <w:jc w:val="left"/>
    </w:pPr>
    <w:rPr>
      <w:kern w:val="0"/>
      <w:lang w:eastAsia="en-US"/>
    </w:rPr>
  </w:style>
  <w:style w:type="paragraph" w:customStyle="1" w:styleId="84">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font8"/>
    <w:basedOn w:val="1"/>
    <w:qFormat/>
    <w:uiPriority w:val="0"/>
    <w:pPr>
      <w:widowControl/>
      <w:spacing w:before="100" w:beforeLines="0" w:beforeAutospacing="1" w:after="100" w:afterLines="0" w:afterAutospacing="1"/>
      <w:jc w:val="left"/>
    </w:pPr>
    <w:rPr>
      <w:rFonts w:hint="eastAsia" w:ascii="宋体" w:hAnsi="宋体"/>
      <w:color w:val="000000"/>
      <w:kern w:val="0"/>
      <w:sz w:val="32"/>
    </w:rPr>
  </w:style>
  <w:style w:type="paragraph" w:customStyle="1" w:styleId="86">
    <w:name w:val="D&amp;L"/>
    <w:basedOn w:val="35"/>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87">
    <w:name w:val="Char Char Char"/>
    <w:basedOn w:val="1"/>
    <w:qFormat/>
    <w:uiPriority w:val="0"/>
    <w:rPr>
      <w:rFonts w:ascii="Tahoma" w:hAnsi="Tahoma"/>
      <w:sz w:val="24"/>
    </w:rPr>
  </w:style>
  <w:style w:type="paragraph" w:customStyle="1" w:styleId="88">
    <w:name w:val="基本文字 Char"/>
    <w:basedOn w:val="1"/>
    <w:qFormat/>
    <w:uiPriority w:val="0"/>
    <w:pPr>
      <w:spacing w:before="156" w:beforeLines="0" w:beforeAutospacing="0" w:line="400" w:lineRule="atLeast"/>
      <w:ind w:firstLine="540" w:firstLineChars="225"/>
    </w:pPr>
    <w:rPr>
      <w:sz w:val="24"/>
    </w:rPr>
  </w:style>
  <w:style w:type="paragraph" w:customStyle="1" w:styleId="89">
    <w:name w:val=" Char"/>
    <w:basedOn w:val="1"/>
    <w:qFormat/>
    <w:uiPriority w:val="0"/>
  </w:style>
  <w:style w:type="paragraph" w:customStyle="1" w:styleId="90">
    <w:name w:val=" Char1"/>
    <w:basedOn w:val="1"/>
    <w:qFormat/>
    <w:uiPriority w:val="0"/>
    <w:rPr>
      <w:rFonts w:ascii="Tahoma" w:hAnsi="Tahoma"/>
      <w:sz w:val="24"/>
    </w:rPr>
  </w:style>
  <w:style w:type="paragraph" w:customStyle="1" w:styleId="91">
    <w:name w:val="font7"/>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92">
    <w:name w:val="font6"/>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93">
    <w:name w:val="Blockquote"/>
    <w:basedOn w:val="1"/>
    <w:qFormat/>
    <w:uiPriority w:val="0"/>
    <w:pPr>
      <w:autoSpaceDE w:val="0"/>
      <w:autoSpaceDN w:val="0"/>
      <w:adjustRightInd w:val="0"/>
      <w:spacing w:before="100" w:beforeLines="0" w:after="100" w:afterLines="0"/>
      <w:ind w:left="360" w:right="360"/>
      <w:jc w:val="left"/>
    </w:pPr>
    <w:rPr>
      <w:kern w:val="0"/>
      <w:sz w:val="24"/>
    </w:rPr>
  </w:style>
  <w:style w:type="paragraph" w:customStyle="1" w:styleId="94">
    <w:name w:val=" Char Char Char"/>
    <w:basedOn w:val="1"/>
    <w:qFormat/>
    <w:uiPriority w:val="0"/>
    <w:rPr>
      <w:rFonts w:ascii="Tahoma" w:hAnsi="Tahoma"/>
      <w:sz w:val="24"/>
    </w:rPr>
  </w:style>
  <w:style w:type="paragraph" w:customStyle="1" w:styleId="9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96">
    <w:name w:val="Char Char Char Char Char Char Char1 Char"/>
    <w:basedOn w:val="1"/>
    <w:qFormat/>
    <w:uiPriority w:val="0"/>
    <w:rPr>
      <w:rFonts w:ascii="Tahoma" w:hAnsi="Tahoma"/>
      <w:sz w:val="24"/>
    </w:rPr>
  </w:style>
  <w:style w:type="paragraph" w:customStyle="1" w:styleId="97">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98">
    <w:name w:val="标题 3_0"/>
    <w:basedOn w:val="75"/>
    <w:next w:val="82"/>
    <w:qFormat/>
    <w:uiPriority w:val="0"/>
    <w:pPr>
      <w:keepNext/>
      <w:keepLines/>
      <w:widowControl/>
      <w:numPr>
        <w:ilvl w:val="2"/>
        <w:numId w:val="3"/>
      </w:numPr>
      <w:spacing w:before="120" w:after="120" w:line="360" w:lineRule="auto"/>
      <w:jc w:val="center"/>
      <w:outlineLvl w:val="2"/>
    </w:pPr>
    <w:rPr>
      <w:b/>
      <w:kern w:val="0"/>
      <w:sz w:val="32"/>
      <w:szCs w:val="20"/>
    </w:rPr>
  </w:style>
  <w:style w:type="paragraph" w:customStyle="1" w:styleId="99">
    <w:name w:val="一级标题"/>
    <w:basedOn w:val="1"/>
    <w:next w:val="70"/>
    <w:qFormat/>
    <w:uiPriority w:val="0"/>
    <w:pPr>
      <w:numPr>
        <w:ilvl w:val="2"/>
        <w:numId w:val="1"/>
      </w:numPr>
      <w:tabs>
        <w:tab w:val="left" w:pos="425"/>
        <w:tab w:val="clear" w:pos="1418"/>
      </w:tabs>
      <w:spacing w:after="312" w:afterLines="100"/>
      <w:ind w:left="850" w:hanging="425"/>
      <w:outlineLvl w:val="0"/>
    </w:pPr>
    <w:rPr>
      <w:rFonts w:ascii="黑体" w:eastAsia="黑体"/>
      <w:sz w:val="30"/>
    </w:rPr>
  </w:style>
  <w:style w:type="paragraph" w:customStyle="1" w:styleId="100">
    <w:name w:val="font9"/>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101">
    <w:name w:val="列出段落"/>
    <w:basedOn w:val="1"/>
    <w:qFormat/>
    <w:uiPriority w:val="0"/>
    <w:pPr>
      <w:ind w:firstLine="420" w:firstLineChars="200"/>
    </w:pPr>
    <w:rPr>
      <w:szCs w:val="24"/>
    </w:rPr>
  </w:style>
  <w:style w:type="paragraph" w:customStyle="1" w:styleId="10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hint="eastAsia" w:ascii="幼圆" w:hAnsi="宋体" w:eastAsia="幼圆"/>
      <w:kern w:val="0"/>
      <w:sz w:val="32"/>
    </w:rPr>
  </w:style>
  <w:style w:type="paragraph" w:customStyle="1" w:styleId="103">
    <w:name w:val="SUR-需求定义-第4级"/>
    <w:basedOn w:val="6"/>
    <w:next w:val="1"/>
    <w:qFormat/>
    <w:uiPriority w:val="0"/>
    <w:pPr>
      <w:numPr>
        <w:ilvl w:val="3"/>
        <w:numId w:val="4"/>
      </w:numPr>
      <w:tabs>
        <w:tab w:val="left" w:pos="1080"/>
        <w:tab w:val="clear" w:pos="2934"/>
      </w:tabs>
      <w:spacing w:before="0" w:beforeLines="0" w:after="0" w:afterLines="0"/>
      <w:ind w:left="-283" w:firstLine="283"/>
      <w:jc w:val="left"/>
    </w:pPr>
    <w:rPr>
      <w:b w:val="0"/>
      <w:color w:val="0000FF"/>
      <w:sz w:val="24"/>
    </w:rPr>
  </w:style>
  <w:style w:type="paragraph" w:customStyle="1" w:styleId="104">
    <w:name w:val="xl31"/>
    <w:basedOn w:val="1"/>
    <w:qFormat/>
    <w:uiPriority w:val="0"/>
    <w:pPr>
      <w:widowControl/>
      <w:spacing w:before="100" w:beforeLines="0" w:beforeAutospacing="1" w:after="100" w:afterLines="0" w:afterAutospacing="1"/>
      <w:jc w:val="center"/>
    </w:pPr>
    <w:rPr>
      <w:rFonts w:ascii="宋体" w:hAnsi="宋体"/>
      <w:b/>
      <w:kern w:val="0"/>
      <w:sz w:val="28"/>
    </w:rPr>
  </w:style>
  <w:style w:type="paragraph" w:customStyle="1" w:styleId="10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pPr>
    <w:rPr>
      <w:rFonts w:hint="eastAsia" w:ascii="幼圆" w:hAnsi="宋体" w:eastAsia="幼圆"/>
      <w:kern w:val="0"/>
      <w:sz w:val="32"/>
    </w:rPr>
  </w:style>
  <w:style w:type="paragraph" w:customStyle="1" w:styleId="106">
    <w:name w:val="Normal_1"/>
    <w:qFormat/>
    <w:uiPriority w:val="0"/>
    <w:rPr>
      <w:rFonts w:ascii="Times New Roman" w:hAnsi="Times New Roman" w:eastAsia="Times New Roman" w:cs="Times New Roman"/>
      <w:sz w:val="24"/>
      <w:szCs w:val="24"/>
      <w:lang w:bidi="ar-SA"/>
    </w:rPr>
  </w:style>
  <w:style w:type="paragraph" w:customStyle="1" w:styleId="107">
    <w:name w:val="Normal_3"/>
    <w:qFormat/>
    <w:uiPriority w:val="0"/>
    <w:rPr>
      <w:rFonts w:ascii="Times New Roman" w:hAnsi="Times New Roman" w:eastAsia="Times New Roman" w:cs="Times New Roman"/>
      <w:sz w:val="24"/>
      <w:szCs w:val="24"/>
      <w:lang w:bidi="ar-SA"/>
    </w:rPr>
  </w:style>
  <w:style w:type="paragraph" w:customStyle="1" w:styleId="10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9941</Words>
  <Characters>10825</Characters>
  <Lines>133</Lines>
  <Paragraphs>37</Paragraphs>
  <TotalTime>2</TotalTime>
  <ScaleCrop>false</ScaleCrop>
  <LinksUpToDate>false</LinksUpToDate>
  <CharactersWithSpaces>11608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2012-06-22T01:32:00Z</dcterms:created>
  <dc:creator>lyl</dc:creator>
  <cp:lastModifiedBy>蒋先森</cp:lastModifiedBy>
  <cp:lastPrinted>2020-11-20T02:35:00Z</cp:lastPrinted>
  <dcterms:modified xsi:type="dcterms:W3CDTF">2026-09-24T11:14:09Z</dcterms:modified>
  <dc:title>  </dc:title>
  <cp:revision>371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4BCB710D65314AEE87336F5AD7BBB9CE_13</vt:lpwstr>
  </property>
  <property fmtid="{D5CDD505-2E9C-101B-9397-08002B2CF9AE}" pid="4" name="KSOTemplateDocerSaveRecord">
    <vt:lpwstr>eyJoZGlkIjoiZWVkNmU4Y2M3MWI4Zjc4NjRiMDE5NjFlNDM4MDU0MjgiLCJ1c2VySWQiOiI0MTgwMjMwMzYifQ==</vt:lpwstr>
  </property>
</Properties>
</file>