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FEFA89C">
      <w:pPr>
        <w:adjustRightInd w:val="0"/>
        <w:snapToGrid w:val="0"/>
        <w:spacing w:beforeLines="20" w:afterLines="20" w:line="940" w:lineRule="exact"/>
        <w:jc w:val="center"/>
        <w:rPr>
          <w:rFonts w:eastAsia="仿宋_GB2312"/>
          <w:b/>
          <w:bCs/>
          <w:color w:val="auto"/>
          <w:sz w:val="72"/>
          <w:szCs w:val="72"/>
        </w:rPr>
      </w:pPr>
    </w:p>
    <w:p w14:paraId="6753D507">
      <w:pPr>
        <w:adjustRightInd w:val="0"/>
        <w:snapToGrid w:val="0"/>
        <w:spacing w:beforeLines="20" w:afterLines="20" w:line="940" w:lineRule="exact"/>
        <w:jc w:val="center"/>
        <w:rPr>
          <w:rFonts w:eastAsia="仿宋_GB2312"/>
          <w:b/>
          <w:bCs/>
          <w:color w:val="auto"/>
          <w:sz w:val="72"/>
          <w:szCs w:val="72"/>
        </w:rPr>
      </w:pPr>
    </w:p>
    <w:p w14:paraId="70E5985B">
      <w:pPr>
        <w:adjustRightInd w:val="0"/>
        <w:snapToGrid w:val="0"/>
        <w:spacing w:beforeLines="20" w:afterLines="20" w:line="640" w:lineRule="exact"/>
        <w:jc w:val="center"/>
        <w:rPr>
          <w:rFonts w:hint="eastAsia" w:ascii="宋体" w:hAnsi="宋体" w:cs="宋体"/>
          <w:b/>
          <w:color w:val="auto"/>
          <w:spacing w:val="-20"/>
          <w:sz w:val="48"/>
          <w:szCs w:val="48"/>
          <w:lang w:eastAsia="zh-CN"/>
        </w:rPr>
      </w:pPr>
      <w:r>
        <w:rPr>
          <w:rFonts w:hint="eastAsia" w:ascii="宋体" w:hAnsi="宋体" w:cs="宋体"/>
          <w:b/>
          <w:color w:val="auto"/>
          <w:spacing w:val="-20"/>
          <w:sz w:val="48"/>
          <w:szCs w:val="48"/>
          <w:lang w:eastAsia="zh-CN"/>
        </w:rPr>
        <w:t>合肥市篮球公园改造提升项目监理</w:t>
      </w:r>
    </w:p>
    <w:p w14:paraId="12B64471">
      <w:pPr>
        <w:adjustRightInd w:val="0"/>
        <w:snapToGrid w:val="0"/>
        <w:spacing w:beforeLines="20" w:afterLines="20" w:line="640" w:lineRule="exact"/>
        <w:jc w:val="center"/>
        <w:rPr>
          <w:rFonts w:hint="eastAsia" w:ascii="宋体" w:hAnsi="宋体" w:eastAsia="宋体" w:cs="宋体"/>
          <w:b/>
          <w:bCs/>
          <w:color w:val="auto"/>
          <w:sz w:val="36"/>
          <w:szCs w:val="36"/>
          <w:u w:val="single"/>
          <w:lang w:eastAsia="zh-CN"/>
        </w:rPr>
      </w:pPr>
      <w:r>
        <w:rPr>
          <w:rFonts w:hint="eastAsia" w:ascii="宋体" w:hAnsi="宋体" w:cs="宋体"/>
          <w:b/>
          <w:bCs/>
          <w:color w:val="auto"/>
          <w:sz w:val="36"/>
          <w:szCs w:val="36"/>
        </w:rPr>
        <w:t>项目编号：</w:t>
      </w:r>
    </w:p>
    <w:p w14:paraId="2E9DC0F1">
      <w:pPr>
        <w:adjustRightInd w:val="0"/>
        <w:snapToGrid w:val="0"/>
        <w:spacing w:beforeLines="20" w:afterLines="20" w:line="940" w:lineRule="exact"/>
        <w:jc w:val="center"/>
        <w:rPr>
          <w:rFonts w:ascii="宋体" w:hAnsi="宋体" w:cs="宋体"/>
          <w:b/>
          <w:bCs/>
          <w:color w:val="auto"/>
          <w:sz w:val="84"/>
          <w:szCs w:val="84"/>
        </w:rPr>
      </w:pPr>
    </w:p>
    <w:p w14:paraId="5EC23CF5">
      <w:pPr>
        <w:adjustRightInd w:val="0"/>
        <w:snapToGrid w:val="0"/>
        <w:spacing w:beforeLines="20" w:afterLines="20" w:line="940" w:lineRule="exact"/>
        <w:jc w:val="center"/>
        <w:rPr>
          <w:rFonts w:hint="eastAsia" w:ascii="宋体" w:hAnsi="宋体" w:cs="宋体"/>
          <w:bCs/>
          <w:color w:val="auto"/>
          <w:sz w:val="84"/>
          <w:szCs w:val="84"/>
          <w:lang w:eastAsia="zh-CN"/>
        </w:rPr>
      </w:pPr>
      <w:r>
        <w:rPr>
          <w:rFonts w:hint="eastAsia" w:ascii="宋体" w:hAnsi="宋体" w:cs="宋体"/>
          <w:bCs/>
          <w:color w:val="auto"/>
          <w:sz w:val="84"/>
          <w:szCs w:val="84"/>
          <w:lang w:eastAsia="zh-CN"/>
        </w:rPr>
        <w:t>招</w:t>
      </w:r>
    </w:p>
    <w:p w14:paraId="0083299D">
      <w:pPr>
        <w:adjustRightInd w:val="0"/>
        <w:snapToGrid w:val="0"/>
        <w:spacing w:beforeLines="20" w:afterLines="20" w:line="940" w:lineRule="exact"/>
        <w:jc w:val="center"/>
        <w:rPr>
          <w:rFonts w:hint="eastAsia" w:ascii="宋体" w:hAnsi="宋体" w:eastAsia="宋体" w:cs="宋体"/>
          <w:bCs/>
          <w:color w:val="auto"/>
          <w:sz w:val="84"/>
          <w:szCs w:val="84"/>
          <w:lang w:eastAsia="zh-CN"/>
        </w:rPr>
      </w:pPr>
      <w:r>
        <w:rPr>
          <w:rFonts w:hint="eastAsia" w:ascii="宋体" w:hAnsi="宋体" w:cs="宋体"/>
          <w:bCs/>
          <w:color w:val="auto"/>
          <w:sz w:val="84"/>
          <w:szCs w:val="84"/>
          <w:lang w:eastAsia="zh-CN"/>
        </w:rPr>
        <w:t>标</w:t>
      </w:r>
    </w:p>
    <w:p w14:paraId="5A970E05">
      <w:pPr>
        <w:adjustRightInd w:val="0"/>
        <w:snapToGrid w:val="0"/>
        <w:spacing w:beforeLines="20" w:afterLines="20" w:line="940" w:lineRule="exact"/>
        <w:jc w:val="center"/>
        <w:rPr>
          <w:rFonts w:ascii="宋体" w:hAnsi="宋体" w:cs="宋体"/>
          <w:bCs/>
          <w:color w:val="auto"/>
          <w:sz w:val="84"/>
          <w:szCs w:val="84"/>
        </w:rPr>
      </w:pPr>
      <w:r>
        <w:rPr>
          <w:rFonts w:hint="eastAsia" w:ascii="宋体" w:hAnsi="宋体" w:cs="宋体"/>
          <w:bCs/>
          <w:color w:val="auto"/>
          <w:sz w:val="84"/>
          <w:szCs w:val="84"/>
        </w:rPr>
        <w:t>文</w:t>
      </w:r>
    </w:p>
    <w:p w14:paraId="1A4B1A99">
      <w:pPr>
        <w:adjustRightInd w:val="0"/>
        <w:snapToGrid w:val="0"/>
        <w:spacing w:beforeLines="20" w:afterLines="20" w:line="940" w:lineRule="exact"/>
        <w:jc w:val="center"/>
        <w:rPr>
          <w:rFonts w:ascii="宋体" w:hAnsi="宋体" w:cs="宋体"/>
          <w:bCs/>
          <w:color w:val="auto"/>
          <w:sz w:val="84"/>
          <w:szCs w:val="84"/>
        </w:rPr>
      </w:pPr>
      <w:r>
        <w:rPr>
          <w:rFonts w:hint="eastAsia" w:ascii="宋体" w:hAnsi="宋体" w:cs="宋体"/>
          <w:bCs/>
          <w:color w:val="auto"/>
          <w:sz w:val="84"/>
          <w:szCs w:val="84"/>
        </w:rPr>
        <w:t>件</w:t>
      </w:r>
    </w:p>
    <w:p w14:paraId="6F7C9ADF">
      <w:pPr>
        <w:adjustRightInd w:val="0"/>
        <w:snapToGrid w:val="0"/>
        <w:spacing w:beforeLines="20" w:afterLines="20" w:line="640" w:lineRule="exact"/>
        <w:rPr>
          <w:rFonts w:ascii="宋体" w:hAnsi="宋体" w:cs="宋体"/>
          <w:bCs/>
          <w:color w:val="auto"/>
          <w:sz w:val="28"/>
        </w:rPr>
      </w:pPr>
      <w:r>
        <w:rPr>
          <w:rFonts w:hint="eastAsia" w:ascii="宋体" w:hAnsi="宋体" w:cs="宋体"/>
          <w:bCs/>
          <w:color w:val="auto"/>
          <w:sz w:val="28"/>
        </w:rPr>
        <w:t xml:space="preserve">                    </w:t>
      </w:r>
    </w:p>
    <w:p w14:paraId="3B5E8629">
      <w:pPr>
        <w:pStyle w:val="56"/>
        <w:rPr>
          <w:rFonts w:ascii="宋体" w:hAnsi="宋体" w:eastAsia="宋体" w:cs="宋体"/>
          <w:bCs/>
          <w:color w:val="auto"/>
          <w:sz w:val="28"/>
        </w:rPr>
      </w:pPr>
    </w:p>
    <w:p w14:paraId="6F895671">
      <w:pPr>
        <w:pStyle w:val="40"/>
        <w:ind w:left="420" w:hanging="420"/>
        <w:rPr>
          <w:color w:val="auto"/>
        </w:rPr>
      </w:pPr>
    </w:p>
    <w:p w14:paraId="4A3FB9E7">
      <w:pPr>
        <w:adjustRightInd w:val="0"/>
        <w:snapToGrid w:val="0"/>
        <w:spacing w:beforeLines="20" w:afterLines="20" w:line="540" w:lineRule="exact"/>
        <w:rPr>
          <w:rFonts w:ascii="宋体" w:hAnsi="宋体" w:cs="宋体"/>
          <w:b/>
          <w:color w:val="auto"/>
          <w:sz w:val="30"/>
          <w:szCs w:val="30"/>
        </w:rPr>
      </w:pPr>
    </w:p>
    <w:p w14:paraId="64A8CFEA">
      <w:pPr>
        <w:keepNext w:val="0"/>
        <w:keepLines w:val="0"/>
        <w:pageBreakBefore w:val="0"/>
        <w:widowControl w:val="0"/>
        <w:kinsoku/>
        <w:wordWrap/>
        <w:overflowPunct/>
        <w:topLinePunct w:val="0"/>
        <w:autoSpaceDE/>
        <w:autoSpaceDN/>
        <w:bidi w:val="0"/>
        <w:adjustRightInd w:val="0"/>
        <w:snapToGrid w:val="0"/>
        <w:spacing w:beforeLines="20" w:afterLines="20" w:line="540" w:lineRule="exact"/>
        <w:ind w:firstLine="1286" w:firstLineChars="400"/>
        <w:jc w:val="both"/>
        <w:textAlignment w:val="auto"/>
        <w:rPr>
          <w:rFonts w:ascii="宋体" w:hAnsi="宋体" w:cs="宋体"/>
          <w:b/>
          <w:bCs/>
          <w:color w:val="auto"/>
          <w:spacing w:val="-20"/>
          <w:sz w:val="36"/>
          <w:szCs w:val="36"/>
        </w:rPr>
      </w:pPr>
      <w:r>
        <w:rPr>
          <w:rFonts w:hint="eastAsia" w:ascii="宋体" w:hAnsi="宋体" w:cs="宋体"/>
          <w:b/>
          <w:bCs/>
          <w:color w:val="auto"/>
          <w:spacing w:val="-20"/>
          <w:sz w:val="36"/>
          <w:szCs w:val="36"/>
        </w:rPr>
        <w:t xml:space="preserve">采 </w:t>
      </w:r>
      <w:r>
        <w:rPr>
          <w:rFonts w:hint="eastAsia" w:ascii="宋体" w:hAnsi="宋体" w:cs="宋体"/>
          <w:b/>
          <w:bCs/>
          <w:color w:val="auto"/>
          <w:spacing w:val="-20"/>
          <w:sz w:val="36"/>
          <w:szCs w:val="36"/>
          <w:lang w:val="en-US" w:eastAsia="zh-CN"/>
        </w:rPr>
        <w:t xml:space="preserve"> </w:t>
      </w:r>
      <w:r>
        <w:rPr>
          <w:rFonts w:hint="eastAsia" w:ascii="宋体" w:hAnsi="宋体" w:cs="宋体"/>
          <w:b/>
          <w:bCs/>
          <w:color w:val="auto"/>
          <w:spacing w:val="-20"/>
          <w:sz w:val="36"/>
          <w:szCs w:val="36"/>
        </w:rPr>
        <w:t xml:space="preserve">购 </w:t>
      </w:r>
      <w:r>
        <w:rPr>
          <w:rFonts w:hint="eastAsia" w:ascii="宋体" w:hAnsi="宋体" w:cs="宋体"/>
          <w:b/>
          <w:bCs/>
          <w:color w:val="auto"/>
          <w:spacing w:val="-20"/>
          <w:sz w:val="36"/>
          <w:szCs w:val="36"/>
          <w:lang w:val="en-US" w:eastAsia="zh-CN"/>
        </w:rPr>
        <w:t xml:space="preserve"> </w:t>
      </w:r>
      <w:r>
        <w:rPr>
          <w:rFonts w:hint="eastAsia" w:ascii="宋体" w:hAnsi="宋体" w:cs="宋体"/>
          <w:b/>
          <w:bCs/>
          <w:color w:val="auto"/>
          <w:spacing w:val="-20"/>
          <w:sz w:val="36"/>
          <w:szCs w:val="36"/>
        </w:rPr>
        <w:t>人：</w:t>
      </w:r>
      <w:r>
        <w:rPr>
          <w:rFonts w:hint="eastAsia" w:ascii="宋体" w:hAnsi="宋体" w:cs="宋体"/>
          <w:b/>
          <w:bCs/>
          <w:color w:val="auto"/>
          <w:spacing w:val="-20"/>
          <w:sz w:val="36"/>
          <w:szCs w:val="36"/>
          <w:lang w:val="en-US" w:eastAsia="zh-CN"/>
        </w:rPr>
        <w:t>合肥滨湖投资控股集团有限公司</w:t>
      </w:r>
    </w:p>
    <w:p w14:paraId="543A581C">
      <w:pPr>
        <w:keepNext w:val="0"/>
        <w:keepLines w:val="0"/>
        <w:pageBreakBefore w:val="0"/>
        <w:widowControl w:val="0"/>
        <w:tabs>
          <w:tab w:val="left" w:pos="4620"/>
        </w:tabs>
        <w:kinsoku/>
        <w:wordWrap/>
        <w:overflowPunct/>
        <w:topLinePunct w:val="0"/>
        <w:autoSpaceDE/>
        <w:autoSpaceDN/>
        <w:bidi w:val="0"/>
        <w:spacing w:line="440" w:lineRule="exact"/>
        <w:ind w:firstLine="720" w:firstLineChars="200"/>
        <w:jc w:val="center"/>
        <w:textAlignment w:val="auto"/>
        <w:rPr>
          <w:rFonts w:ascii="宋体" w:hAnsi="宋体" w:cs="宋体"/>
          <w:bCs/>
          <w:color w:val="auto"/>
          <w:sz w:val="36"/>
        </w:rPr>
      </w:pPr>
      <w:bookmarkStart w:id="0" w:name="_Toc273602338"/>
      <w:bookmarkStart w:id="1" w:name="_Toc245092758"/>
    </w:p>
    <w:p w14:paraId="2D4BE7FC">
      <w:pPr>
        <w:keepNext w:val="0"/>
        <w:keepLines w:val="0"/>
        <w:pageBreakBefore w:val="0"/>
        <w:widowControl w:val="0"/>
        <w:tabs>
          <w:tab w:val="left" w:pos="4620"/>
        </w:tabs>
        <w:kinsoku/>
        <w:wordWrap/>
        <w:overflowPunct/>
        <w:topLinePunct w:val="0"/>
        <w:autoSpaceDE/>
        <w:autoSpaceDN/>
        <w:bidi w:val="0"/>
        <w:spacing w:line="440" w:lineRule="exact"/>
        <w:ind w:firstLine="1286" w:firstLineChars="400"/>
        <w:textAlignment w:val="auto"/>
        <w:rPr>
          <w:rFonts w:ascii="宋体" w:hAnsi="宋体" w:cs="宋体"/>
          <w:b/>
          <w:color w:val="auto"/>
          <w:sz w:val="36"/>
        </w:rPr>
      </w:pPr>
      <w:r>
        <w:rPr>
          <w:rFonts w:hint="eastAsia" w:ascii="宋体" w:hAnsi="宋体" w:cs="宋体"/>
          <w:b/>
          <w:bCs/>
          <w:color w:val="auto"/>
          <w:spacing w:val="-20"/>
          <w:sz w:val="36"/>
          <w:szCs w:val="36"/>
        </w:rPr>
        <w:t>日      期：</w:t>
      </w:r>
      <w:r>
        <w:rPr>
          <w:rFonts w:hint="eastAsia" w:ascii="宋体" w:hAnsi="宋体" w:cs="宋体"/>
          <w:b/>
          <w:color w:val="auto"/>
          <w:sz w:val="36"/>
        </w:rPr>
        <w:t>202</w:t>
      </w:r>
      <w:r>
        <w:rPr>
          <w:rFonts w:hint="eastAsia" w:ascii="宋体" w:hAnsi="宋体" w:cs="宋体"/>
          <w:b/>
          <w:color w:val="auto"/>
          <w:sz w:val="36"/>
          <w:lang w:val="en-US" w:eastAsia="zh-CN"/>
        </w:rPr>
        <w:t>6</w:t>
      </w:r>
      <w:r>
        <w:rPr>
          <w:rFonts w:hint="eastAsia" w:ascii="宋体" w:hAnsi="宋体" w:cs="宋体"/>
          <w:b/>
          <w:color w:val="auto"/>
          <w:sz w:val="36"/>
        </w:rPr>
        <w:t>年</w:t>
      </w:r>
      <w:r>
        <w:rPr>
          <w:rFonts w:hint="eastAsia" w:ascii="宋体" w:hAnsi="宋体" w:cs="宋体"/>
          <w:b/>
          <w:color w:val="auto"/>
          <w:sz w:val="36"/>
          <w:u w:val="single"/>
        </w:rPr>
        <w:t xml:space="preserve"> </w:t>
      </w:r>
      <w:r>
        <w:rPr>
          <w:rFonts w:hint="eastAsia" w:ascii="宋体" w:hAnsi="宋体" w:cs="宋体"/>
          <w:b/>
          <w:color w:val="auto"/>
          <w:sz w:val="36"/>
          <w:u w:val="single"/>
          <w:lang w:val="en-US" w:eastAsia="zh-CN"/>
        </w:rPr>
        <w:t>10</w:t>
      </w:r>
      <w:r>
        <w:rPr>
          <w:rFonts w:hint="eastAsia" w:ascii="宋体" w:hAnsi="宋体" w:cs="宋体"/>
          <w:b/>
          <w:color w:val="auto"/>
          <w:sz w:val="36"/>
          <w:u w:val="single"/>
        </w:rPr>
        <w:t xml:space="preserve"> </w:t>
      </w:r>
      <w:r>
        <w:rPr>
          <w:rFonts w:hint="eastAsia" w:ascii="宋体" w:hAnsi="宋体" w:cs="宋体"/>
          <w:b/>
          <w:color w:val="auto"/>
          <w:sz w:val="36"/>
        </w:rPr>
        <w:t>月</w:t>
      </w:r>
    </w:p>
    <w:p w14:paraId="1B3D1B3D">
      <w:pPr>
        <w:tabs>
          <w:tab w:val="left" w:pos="4620"/>
        </w:tabs>
        <w:spacing w:line="440" w:lineRule="exact"/>
        <w:rPr>
          <w:rFonts w:eastAsia="幼圆"/>
          <w:bCs/>
          <w:color w:val="auto"/>
          <w:sz w:val="36"/>
        </w:rPr>
      </w:pPr>
      <w:r>
        <w:rPr>
          <w:rFonts w:hint="eastAsia" w:ascii="宋体" w:hAnsi="宋体" w:cs="宋体"/>
          <w:b/>
          <w:color w:val="auto"/>
          <w:sz w:val="36"/>
        </w:rPr>
        <w:br w:type="page"/>
      </w:r>
    </w:p>
    <w:bookmarkEnd w:id="0"/>
    <w:bookmarkEnd w:id="1"/>
    <w:p w14:paraId="55F97071">
      <w:pPr>
        <w:pStyle w:val="3"/>
        <w:spacing w:before="0" w:after="0" w:line="240" w:lineRule="auto"/>
        <w:ind w:firstLine="0"/>
        <w:rPr>
          <w:rFonts w:ascii="宋体" w:hAnsi="宋体"/>
          <w:color w:val="auto"/>
          <w:sz w:val="24"/>
          <w:szCs w:val="18"/>
        </w:rPr>
      </w:pPr>
      <w:bookmarkStart w:id="2" w:name="_Toc328559326"/>
      <w:bookmarkStart w:id="3" w:name="_Toc245092759"/>
      <w:bookmarkStart w:id="4" w:name="_Toc273602339"/>
      <w:r>
        <w:rPr>
          <w:rFonts w:hint="eastAsia" w:ascii="宋体" w:hAnsi="宋体" w:eastAsia="宋体"/>
          <w:color w:val="auto"/>
        </w:rPr>
        <w:t xml:space="preserve">第一章 </w:t>
      </w:r>
      <w:bookmarkEnd w:id="2"/>
      <w:bookmarkEnd w:id="3"/>
      <w:bookmarkEnd w:id="4"/>
      <w:r>
        <w:rPr>
          <w:rFonts w:hint="eastAsia" w:ascii="宋体" w:hAnsi="宋体" w:eastAsia="宋体"/>
          <w:color w:val="auto"/>
          <w:lang w:eastAsia="zh-CN"/>
        </w:rPr>
        <w:t>招标</w:t>
      </w:r>
      <w:r>
        <w:rPr>
          <w:rFonts w:hint="eastAsia" w:ascii="宋体" w:hAnsi="宋体" w:eastAsia="宋体"/>
          <w:color w:val="auto"/>
        </w:rPr>
        <w:t>公告</w:t>
      </w:r>
    </w:p>
    <w:p w14:paraId="36E6A1D9">
      <w:pPr>
        <w:autoSpaceDE w:val="0"/>
        <w:autoSpaceDN w:val="0"/>
        <w:adjustRightInd w:val="0"/>
        <w:spacing w:line="360" w:lineRule="auto"/>
        <w:ind w:firstLine="480" w:firstLineChars="200"/>
        <w:jc w:val="left"/>
        <w:rPr>
          <w:rFonts w:ascii="宋体" w:hAnsi="宋体"/>
          <w:color w:val="auto"/>
          <w:sz w:val="24"/>
          <w:szCs w:val="18"/>
        </w:rPr>
      </w:pPr>
      <w:r>
        <w:rPr>
          <w:rFonts w:hint="eastAsia" w:ascii="宋体" w:hAnsi="宋体"/>
          <w:color w:val="auto"/>
          <w:kern w:val="0"/>
          <w:sz w:val="24"/>
          <w:lang w:val="en-US" w:eastAsia="zh-CN"/>
        </w:rPr>
        <w:t>合肥滨湖投资控股集团有限公司</w:t>
      </w:r>
      <w:r>
        <w:rPr>
          <w:rFonts w:hint="eastAsia" w:ascii="宋体" w:hAnsi="宋体"/>
          <w:color w:val="auto"/>
          <w:sz w:val="24"/>
          <w:szCs w:val="18"/>
        </w:rPr>
        <w:t>拟对“</w:t>
      </w:r>
      <w:r>
        <w:rPr>
          <w:rFonts w:hint="eastAsia" w:ascii="宋体" w:hAnsi="宋体"/>
          <w:b/>
          <w:color w:val="auto"/>
          <w:sz w:val="24"/>
          <w:szCs w:val="18"/>
          <w:u w:val="single"/>
        </w:rPr>
        <w:t xml:space="preserve"> </w:t>
      </w:r>
      <w:r>
        <w:rPr>
          <w:rFonts w:hint="eastAsia" w:ascii="宋体" w:hAnsi="宋体"/>
          <w:b/>
          <w:color w:val="auto"/>
          <w:sz w:val="24"/>
          <w:szCs w:val="18"/>
          <w:u w:val="single"/>
          <w:lang w:eastAsia="zh-CN"/>
        </w:rPr>
        <w:t>合肥市篮球公园改造提升项目监理</w:t>
      </w:r>
      <w:r>
        <w:rPr>
          <w:rFonts w:hint="eastAsia" w:ascii="宋体" w:hAnsi="宋体"/>
          <w:b/>
          <w:color w:val="auto"/>
          <w:sz w:val="24"/>
          <w:szCs w:val="18"/>
          <w:u w:val="single"/>
        </w:rPr>
        <w:t xml:space="preserve"> </w:t>
      </w:r>
      <w:r>
        <w:rPr>
          <w:rFonts w:hint="eastAsia" w:ascii="宋体" w:hAnsi="宋体"/>
          <w:color w:val="auto"/>
          <w:sz w:val="24"/>
          <w:szCs w:val="18"/>
        </w:rPr>
        <w:t>”进行公开</w:t>
      </w:r>
      <w:r>
        <w:rPr>
          <w:rFonts w:hint="eastAsia" w:ascii="宋体" w:hAnsi="宋体"/>
          <w:color w:val="auto"/>
          <w:sz w:val="24"/>
          <w:szCs w:val="18"/>
          <w:lang w:eastAsia="zh-CN"/>
        </w:rPr>
        <w:t>招标</w:t>
      </w:r>
      <w:r>
        <w:rPr>
          <w:rFonts w:hint="eastAsia" w:ascii="宋体" w:hAnsi="宋体"/>
          <w:color w:val="auto"/>
          <w:sz w:val="24"/>
          <w:szCs w:val="18"/>
        </w:rPr>
        <w:t>，欢迎具备条件的投标人参加。</w:t>
      </w:r>
    </w:p>
    <w:p w14:paraId="5F9CCDB6">
      <w:pPr>
        <w:autoSpaceDE w:val="0"/>
        <w:autoSpaceDN w:val="0"/>
        <w:adjustRightInd w:val="0"/>
        <w:spacing w:beforeLines="50" w:line="360" w:lineRule="auto"/>
        <w:ind w:firstLine="200"/>
        <w:jc w:val="left"/>
        <w:rPr>
          <w:rFonts w:ascii="宋体" w:hAnsi="宋体"/>
          <w:b/>
          <w:color w:val="auto"/>
          <w:kern w:val="0"/>
          <w:sz w:val="24"/>
          <w:lang w:val="zh-CN"/>
        </w:rPr>
      </w:pPr>
      <w:r>
        <w:rPr>
          <w:rFonts w:hint="eastAsia" w:ascii="宋体" w:hAnsi="宋体"/>
          <w:b/>
          <w:color w:val="auto"/>
          <w:kern w:val="0"/>
          <w:sz w:val="24"/>
          <w:lang w:val="zh-CN"/>
        </w:rPr>
        <w:t>一、项目名称及内容：</w:t>
      </w:r>
    </w:p>
    <w:p w14:paraId="17924208">
      <w:pPr>
        <w:autoSpaceDE w:val="0"/>
        <w:autoSpaceDN w:val="0"/>
        <w:adjustRightInd w:val="0"/>
        <w:spacing w:line="360" w:lineRule="auto"/>
        <w:ind w:firstLine="200"/>
        <w:jc w:val="left"/>
        <w:rPr>
          <w:rFonts w:ascii="宋体" w:hAnsi="宋体"/>
          <w:color w:val="auto"/>
          <w:kern w:val="0"/>
          <w:sz w:val="24"/>
          <w:lang w:val="zh-CN"/>
        </w:rPr>
      </w:pPr>
      <w:r>
        <w:rPr>
          <w:rFonts w:hint="eastAsia" w:ascii="宋体" w:hAnsi="宋体"/>
          <w:color w:val="auto"/>
          <w:kern w:val="0"/>
          <w:sz w:val="24"/>
          <w:lang w:val="zh-CN"/>
        </w:rPr>
        <w:t>1、项目编号：</w:t>
      </w:r>
      <w:r>
        <w:rPr>
          <w:rFonts w:hint="eastAsia" w:ascii="宋体" w:hAnsi="宋体"/>
          <w:color w:val="auto"/>
          <w:kern w:val="0"/>
          <w:sz w:val="24"/>
          <w:lang w:val="en-US" w:eastAsia="zh-CN"/>
        </w:rPr>
        <w:t>/</w:t>
      </w:r>
      <w:r>
        <w:rPr>
          <w:rFonts w:hint="eastAsia" w:ascii="宋体" w:hAnsi="宋体"/>
          <w:color w:val="auto"/>
          <w:kern w:val="0"/>
          <w:sz w:val="24"/>
        </w:rPr>
        <w:t xml:space="preserve"> </w:t>
      </w:r>
    </w:p>
    <w:p w14:paraId="3D32AACB">
      <w:pPr>
        <w:autoSpaceDE w:val="0"/>
        <w:autoSpaceDN w:val="0"/>
        <w:adjustRightInd w:val="0"/>
        <w:spacing w:line="360" w:lineRule="auto"/>
        <w:ind w:firstLine="200"/>
        <w:jc w:val="left"/>
        <w:rPr>
          <w:rFonts w:ascii="宋体" w:hAnsi="宋体"/>
          <w:b/>
          <w:color w:val="auto"/>
          <w:sz w:val="24"/>
          <w:szCs w:val="18"/>
        </w:rPr>
      </w:pPr>
      <w:r>
        <w:rPr>
          <w:rFonts w:hint="eastAsia" w:ascii="宋体" w:hAnsi="宋体"/>
          <w:color w:val="auto"/>
          <w:kern w:val="0"/>
          <w:sz w:val="24"/>
          <w:lang w:val="zh-CN"/>
        </w:rPr>
        <w:t>2、项目名称：合肥市篮球公园改造提升项目</w:t>
      </w:r>
      <w:r>
        <w:rPr>
          <w:rFonts w:hint="eastAsia" w:ascii="宋体" w:hAnsi="宋体" w:cs="宋体"/>
          <w:color w:val="auto"/>
          <w:kern w:val="0"/>
          <w:sz w:val="24"/>
          <w:szCs w:val="24"/>
          <w:lang w:eastAsia="zh-CN"/>
        </w:rPr>
        <w:t>监理</w:t>
      </w:r>
      <w:r>
        <w:rPr>
          <w:rFonts w:hint="eastAsia" w:ascii="宋体" w:hAnsi="宋体"/>
          <w:b/>
          <w:color w:val="auto"/>
          <w:sz w:val="24"/>
          <w:szCs w:val="18"/>
        </w:rPr>
        <w:t xml:space="preserve"> </w:t>
      </w:r>
    </w:p>
    <w:p w14:paraId="49742569">
      <w:pPr>
        <w:autoSpaceDE w:val="0"/>
        <w:autoSpaceDN w:val="0"/>
        <w:adjustRightInd w:val="0"/>
        <w:spacing w:line="360" w:lineRule="auto"/>
        <w:ind w:firstLine="200"/>
        <w:jc w:val="left"/>
        <w:rPr>
          <w:rFonts w:ascii="宋体" w:hAnsi="宋体" w:cs="宋体"/>
          <w:bCs/>
          <w:color w:val="auto"/>
          <w:sz w:val="24"/>
          <w:szCs w:val="24"/>
        </w:rPr>
      </w:pPr>
      <w:r>
        <w:rPr>
          <w:rFonts w:hint="eastAsia" w:ascii="宋体" w:hAnsi="宋体"/>
          <w:bCs/>
          <w:color w:val="auto"/>
          <w:sz w:val="24"/>
          <w:szCs w:val="18"/>
        </w:rPr>
        <w:t>3、项目地点：合肥市包河区</w:t>
      </w:r>
    </w:p>
    <w:p w14:paraId="3EE8EE91">
      <w:pPr>
        <w:autoSpaceDE w:val="0"/>
        <w:autoSpaceDN w:val="0"/>
        <w:adjustRightInd w:val="0"/>
        <w:spacing w:line="360" w:lineRule="auto"/>
        <w:ind w:firstLine="200"/>
        <w:jc w:val="left"/>
        <w:rPr>
          <w:rFonts w:hint="eastAsia" w:ascii="宋体" w:hAnsi="宋体"/>
          <w:color w:val="auto"/>
          <w:kern w:val="0"/>
          <w:sz w:val="24"/>
          <w:lang w:val="en-US" w:eastAsia="zh-CN"/>
        </w:rPr>
      </w:pPr>
      <w:r>
        <w:rPr>
          <w:rFonts w:hint="eastAsia" w:ascii="宋体" w:hAnsi="宋体"/>
          <w:color w:val="auto"/>
          <w:sz w:val="24"/>
          <w:szCs w:val="18"/>
        </w:rPr>
        <w:t>4、招标人：</w:t>
      </w:r>
      <w:r>
        <w:rPr>
          <w:rFonts w:hint="eastAsia" w:ascii="宋体" w:hAnsi="宋体"/>
          <w:color w:val="auto"/>
          <w:kern w:val="0"/>
          <w:sz w:val="24"/>
          <w:lang w:val="en-US" w:eastAsia="zh-CN"/>
        </w:rPr>
        <w:t>合肥滨湖投资控股集团有限公司</w:t>
      </w:r>
    </w:p>
    <w:p w14:paraId="6599BB86">
      <w:pPr>
        <w:autoSpaceDE w:val="0"/>
        <w:autoSpaceDN w:val="0"/>
        <w:adjustRightInd w:val="0"/>
        <w:spacing w:line="360" w:lineRule="auto"/>
        <w:ind w:firstLine="200"/>
        <w:jc w:val="left"/>
        <w:rPr>
          <w:rFonts w:ascii="宋体" w:hAnsi="宋体"/>
          <w:color w:val="auto"/>
          <w:kern w:val="0"/>
          <w:sz w:val="24"/>
          <w:lang w:val="zh-CN"/>
        </w:rPr>
      </w:pPr>
      <w:r>
        <w:rPr>
          <w:rFonts w:hint="eastAsia" w:ascii="宋体" w:hAnsi="宋体"/>
          <w:color w:val="auto"/>
          <w:kern w:val="0"/>
          <w:sz w:val="24"/>
        </w:rPr>
        <w:t>5</w:t>
      </w:r>
      <w:r>
        <w:rPr>
          <w:rFonts w:hint="eastAsia" w:ascii="宋体" w:hAnsi="宋体"/>
          <w:color w:val="auto"/>
          <w:kern w:val="0"/>
          <w:sz w:val="24"/>
          <w:lang w:val="zh-CN"/>
        </w:rPr>
        <w:t>、项目业主：</w:t>
      </w:r>
      <w:r>
        <w:rPr>
          <w:rFonts w:hint="eastAsia" w:ascii="宋体" w:hAnsi="宋体"/>
          <w:color w:val="auto"/>
          <w:kern w:val="0"/>
          <w:sz w:val="24"/>
          <w:lang w:val="en-US" w:eastAsia="zh-CN"/>
        </w:rPr>
        <w:t>合肥滨湖投资控股集团有限公司</w:t>
      </w:r>
    </w:p>
    <w:p w14:paraId="4618F80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olor w:val="auto"/>
          <w:sz w:val="24"/>
          <w:szCs w:val="18"/>
          <w:lang w:val="en-US" w:eastAsia="zh-CN"/>
        </w:rPr>
      </w:pPr>
      <w:r>
        <w:rPr>
          <w:rFonts w:hint="eastAsia" w:ascii="宋体" w:hAnsi="宋体"/>
          <w:color w:val="auto"/>
          <w:kern w:val="0"/>
          <w:sz w:val="24"/>
        </w:rPr>
        <w:t>6</w:t>
      </w:r>
      <w:r>
        <w:rPr>
          <w:rFonts w:hint="eastAsia" w:ascii="宋体" w:hAnsi="宋体"/>
          <w:color w:val="auto"/>
          <w:kern w:val="0"/>
          <w:sz w:val="24"/>
          <w:lang w:val="zh-CN"/>
        </w:rPr>
        <w:t>、</w:t>
      </w:r>
      <w:r>
        <w:rPr>
          <w:rFonts w:hint="eastAsia" w:ascii="宋体" w:hAnsi="宋体"/>
          <w:color w:val="auto"/>
          <w:sz w:val="24"/>
          <w:szCs w:val="18"/>
        </w:rPr>
        <w:t>项目概况：</w:t>
      </w:r>
      <w:r>
        <w:rPr>
          <w:rFonts w:hint="eastAsia" w:ascii="宋体" w:hAnsi="宋体" w:eastAsia="宋体" w:cs="宋体"/>
          <w:color w:val="auto"/>
          <w:kern w:val="0"/>
          <w:sz w:val="24"/>
          <w:highlight w:val="none"/>
          <w:u w:val="none"/>
        </w:rPr>
        <w:t>合肥市民篮球公园位于南二环沿线，东起包河大道，西至徽州大道，总长约1800米，现拥有15片各类篮球场地，是合肥首个以篮球为主题的公园。为满足后期相关赛事办赛要求，</w:t>
      </w:r>
      <w:r>
        <w:rPr>
          <w:rFonts w:hint="eastAsia" w:ascii="宋体" w:hAnsi="宋体" w:eastAsia="宋体"/>
          <w:color w:val="auto"/>
          <w:sz w:val="24"/>
          <w:szCs w:val="18"/>
          <w:highlight w:val="none"/>
          <w:lang w:val="en-US" w:eastAsia="zh-CN"/>
        </w:rPr>
        <w:t>本次</w:t>
      </w:r>
      <w:r>
        <w:rPr>
          <w:rFonts w:hint="eastAsia" w:ascii="宋体" w:hAnsi="宋体"/>
          <w:color w:val="auto"/>
          <w:sz w:val="24"/>
          <w:szCs w:val="18"/>
          <w:highlight w:val="none"/>
          <w:lang w:val="en-US" w:eastAsia="zh-CN"/>
        </w:rPr>
        <w:t>改造提升</w:t>
      </w:r>
      <w:r>
        <w:rPr>
          <w:rFonts w:hint="eastAsia" w:ascii="宋体" w:hAnsi="宋体" w:eastAsia="宋体"/>
          <w:color w:val="auto"/>
          <w:sz w:val="24"/>
          <w:szCs w:val="18"/>
          <w:highlight w:val="none"/>
          <w:lang w:val="en-US" w:eastAsia="zh-CN"/>
        </w:rPr>
        <w:t>招标范围包括</w:t>
      </w:r>
      <w:r>
        <w:rPr>
          <w:rFonts w:hint="eastAsia" w:ascii="宋体" w:hAnsi="宋体" w:eastAsia="宋体" w:cs="宋体"/>
          <w:color w:val="auto"/>
          <w:kern w:val="0"/>
          <w:sz w:val="24"/>
          <w:highlight w:val="none"/>
          <w:u w:val="none"/>
        </w:rPr>
        <w:t>竞赛场地除新及扩建提升，包含悬浮地板、移动式篮球架、铝合金移动看台、组合式围网、赛事专用球场灯（含智能调光系统）、二十四秒计时器、监控系统、扩声系统及音响、室外显示屏、张拉膜结构棚、标识标牌、公厕扩建、旗台等，公园点位景观提升，包含景观小品、红绿灯设备设施、绿化、铺装、亮化等</w:t>
      </w:r>
      <w:r>
        <w:rPr>
          <w:rFonts w:hint="eastAsia" w:ascii="宋体" w:hAnsi="宋体" w:eastAsia="宋体" w:cs="宋体"/>
          <w:color w:val="auto"/>
          <w:kern w:val="0"/>
          <w:sz w:val="24"/>
          <w:highlight w:val="none"/>
          <w:u w:val="none"/>
          <w:lang w:eastAsia="zh-CN"/>
        </w:rPr>
        <w:t>。</w:t>
      </w:r>
    </w:p>
    <w:p w14:paraId="129138CF">
      <w:pPr>
        <w:autoSpaceDE w:val="0"/>
        <w:autoSpaceDN w:val="0"/>
        <w:adjustRightInd w:val="0"/>
        <w:spacing w:line="360" w:lineRule="auto"/>
        <w:ind w:left="210" w:leftChars="100"/>
        <w:jc w:val="left"/>
        <w:rPr>
          <w:rFonts w:hint="default" w:ascii="宋体" w:hAnsi="宋体" w:eastAsia="宋体"/>
          <w:color w:val="auto"/>
          <w:sz w:val="24"/>
          <w:szCs w:val="18"/>
          <w:highlight w:val="none"/>
          <w:u w:val="none"/>
          <w:lang w:val="en-US" w:eastAsia="zh-CN"/>
        </w:rPr>
      </w:pPr>
      <w:r>
        <w:rPr>
          <w:rFonts w:hint="eastAsia" w:ascii="宋体" w:hAnsi="宋体"/>
          <w:color w:val="auto"/>
          <w:sz w:val="24"/>
          <w:szCs w:val="18"/>
          <w:highlight w:val="none"/>
          <w:u w:val="none"/>
          <w:lang w:val="en-US" w:eastAsia="zh-CN"/>
        </w:rPr>
        <w:t>7、项目总投资：约1350万元。</w:t>
      </w:r>
    </w:p>
    <w:p w14:paraId="5A70162F">
      <w:pPr>
        <w:autoSpaceDE w:val="0"/>
        <w:autoSpaceDN w:val="0"/>
        <w:adjustRightInd w:val="0"/>
        <w:spacing w:line="360" w:lineRule="auto"/>
        <w:ind w:left="210" w:leftChars="100"/>
        <w:jc w:val="left"/>
        <w:rPr>
          <w:rFonts w:ascii="宋体" w:hAnsi="宋体"/>
          <w:color w:val="auto"/>
          <w:sz w:val="24"/>
          <w:szCs w:val="18"/>
        </w:rPr>
      </w:pPr>
      <w:r>
        <w:rPr>
          <w:rFonts w:hint="eastAsia" w:ascii="宋体" w:hAnsi="宋体"/>
          <w:color w:val="auto"/>
          <w:sz w:val="24"/>
          <w:szCs w:val="18"/>
        </w:rPr>
        <w:t>8、项目类别：服务类</w:t>
      </w:r>
    </w:p>
    <w:p w14:paraId="51289187">
      <w:pPr>
        <w:autoSpaceDE w:val="0"/>
        <w:autoSpaceDN w:val="0"/>
        <w:adjustRightInd w:val="0"/>
        <w:spacing w:line="360" w:lineRule="auto"/>
        <w:ind w:left="210" w:leftChars="100"/>
        <w:jc w:val="left"/>
        <w:rPr>
          <w:rFonts w:ascii="宋体" w:hAnsi="宋体"/>
          <w:color w:val="auto"/>
          <w:sz w:val="24"/>
          <w:szCs w:val="18"/>
        </w:rPr>
      </w:pPr>
      <w:r>
        <w:rPr>
          <w:rFonts w:hint="eastAsia" w:ascii="宋体" w:hAnsi="宋体"/>
          <w:color w:val="auto"/>
          <w:sz w:val="24"/>
          <w:szCs w:val="18"/>
        </w:rPr>
        <w:t>9、标段划分：本项目共划分</w:t>
      </w:r>
      <w:r>
        <w:rPr>
          <w:rFonts w:hint="eastAsia" w:ascii="宋体" w:hAnsi="宋体"/>
          <w:color w:val="auto"/>
          <w:sz w:val="24"/>
          <w:szCs w:val="18"/>
          <w:u w:val="single"/>
        </w:rPr>
        <w:t xml:space="preserve"> 1 </w:t>
      </w:r>
      <w:r>
        <w:rPr>
          <w:rFonts w:hint="eastAsia" w:ascii="宋体" w:hAnsi="宋体"/>
          <w:color w:val="auto"/>
          <w:sz w:val="24"/>
          <w:szCs w:val="18"/>
        </w:rPr>
        <w:t>个标段</w:t>
      </w:r>
    </w:p>
    <w:p w14:paraId="7CCE32C1">
      <w:pPr>
        <w:autoSpaceDE w:val="0"/>
        <w:autoSpaceDN w:val="0"/>
        <w:adjustRightInd w:val="0"/>
        <w:spacing w:line="360" w:lineRule="auto"/>
        <w:ind w:firstLine="200"/>
        <w:jc w:val="left"/>
        <w:rPr>
          <w:rFonts w:ascii="宋体" w:hAnsi="宋体"/>
          <w:b/>
          <w:bCs/>
          <w:color w:val="auto"/>
          <w:sz w:val="24"/>
          <w:szCs w:val="24"/>
        </w:rPr>
      </w:pPr>
      <w:r>
        <w:rPr>
          <w:rFonts w:hint="eastAsia" w:ascii="宋体" w:hAnsi="宋体"/>
          <w:b/>
          <w:bCs/>
          <w:color w:val="auto"/>
          <w:sz w:val="24"/>
          <w:szCs w:val="24"/>
        </w:rPr>
        <w:t>二、投标人资格</w:t>
      </w:r>
    </w:p>
    <w:p w14:paraId="09320415">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1.投标人须满足以下资质之一：</w:t>
      </w:r>
    </w:p>
    <w:p w14:paraId="0BA50655">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（1）住建部门颁发的工程监理综合资质；</w:t>
      </w:r>
    </w:p>
    <w:p w14:paraId="7D1E6AEB">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highlight w:val="yellow"/>
        </w:rPr>
      </w:pPr>
      <w:r>
        <w:rPr>
          <w:rFonts w:hint="eastAsia" w:ascii="宋体" w:hAnsi="宋体"/>
          <w:color w:val="auto"/>
          <w:sz w:val="24"/>
          <w:szCs w:val="18"/>
        </w:rPr>
        <w:t>（2）</w:t>
      </w:r>
      <w:r>
        <w:rPr>
          <w:rFonts w:hint="eastAsia" w:ascii="宋体" w:hAnsi="宋体"/>
          <w:color w:val="auto"/>
          <w:sz w:val="24"/>
          <w:szCs w:val="18"/>
          <w:lang w:val="en-US" w:eastAsia="zh-CN"/>
        </w:rPr>
        <w:t>具有</w:t>
      </w:r>
      <w:r>
        <w:rPr>
          <w:rFonts w:hint="eastAsia" w:ascii="宋体" w:hAnsi="宋体"/>
          <w:color w:val="auto"/>
          <w:sz w:val="24"/>
          <w:szCs w:val="18"/>
        </w:rPr>
        <w:t>住建部门</w:t>
      </w:r>
      <w:r>
        <w:rPr>
          <w:rFonts w:hint="eastAsia" w:ascii="宋体" w:hAnsi="宋体"/>
          <w:color w:val="auto"/>
          <w:sz w:val="24"/>
          <w:szCs w:val="18"/>
          <w:highlight w:val="none"/>
        </w:rPr>
        <w:t>颁发的</w:t>
      </w:r>
      <w:r>
        <w:rPr>
          <w:rFonts w:hint="eastAsia" w:ascii="宋体" w:hAnsi="宋体" w:eastAsia="宋体" w:cs="Times New Roman"/>
          <w:color w:val="auto"/>
          <w:sz w:val="24"/>
          <w:szCs w:val="18"/>
          <w:highlight w:val="none"/>
        </w:rPr>
        <w:t>房屋建筑工程</w:t>
      </w:r>
      <w:r>
        <w:rPr>
          <w:rFonts w:hint="eastAsia" w:ascii="宋体" w:hAnsi="宋体" w:eastAsia="宋体" w:cs="Times New Roman"/>
          <w:color w:val="auto"/>
          <w:sz w:val="24"/>
          <w:szCs w:val="18"/>
          <w:highlight w:val="none"/>
          <w:lang w:val="en-US" w:eastAsia="zh-CN"/>
        </w:rPr>
        <w:t>监理</w:t>
      </w:r>
      <w:r>
        <w:rPr>
          <w:rFonts w:hint="eastAsia" w:ascii="宋体" w:hAnsi="宋体" w:cs="Times New Roman"/>
          <w:color w:val="auto"/>
          <w:sz w:val="24"/>
          <w:szCs w:val="18"/>
          <w:highlight w:val="none"/>
          <w:lang w:val="en-US" w:eastAsia="zh-CN"/>
        </w:rPr>
        <w:t>乙</w:t>
      </w:r>
      <w:r>
        <w:rPr>
          <w:rFonts w:hint="eastAsia" w:ascii="宋体" w:hAnsi="宋体" w:eastAsia="宋体" w:cs="Times New Roman"/>
          <w:color w:val="auto"/>
          <w:sz w:val="24"/>
          <w:szCs w:val="18"/>
          <w:highlight w:val="none"/>
          <w:lang w:val="en-US" w:eastAsia="zh-CN"/>
        </w:rPr>
        <w:t>级</w:t>
      </w:r>
      <w:r>
        <w:rPr>
          <w:rFonts w:hint="eastAsia" w:ascii="宋体" w:hAnsi="宋体"/>
          <w:color w:val="auto"/>
          <w:sz w:val="24"/>
          <w:szCs w:val="18"/>
          <w:highlight w:val="none"/>
        </w:rPr>
        <w:t>及以上</w:t>
      </w:r>
      <w:r>
        <w:rPr>
          <w:rFonts w:hint="eastAsia" w:ascii="宋体" w:hAnsi="宋体"/>
          <w:color w:val="auto"/>
          <w:sz w:val="24"/>
          <w:szCs w:val="18"/>
        </w:rPr>
        <w:t>资质。</w:t>
      </w:r>
    </w:p>
    <w:p w14:paraId="6CDD0A65">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18"/>
        </w:rPr>
        <w:t>2.总监理工程师资格：</w:t>
      </w:r>
      <w:r>
        <w:rPr>
          <w:rFonts w:hint="eastAsia" w:ascii="宋体" w:hAnsi="宋体"/>
          <w:color w:val="auto"/>
          <w:sz w:val="24"/>
          <w:szCs w:val="18"/>
          <w:lang w:val="en-US" w:eastAsia="zh-CN"/>
        </w:rPr>
        <w:t>须具备</w:t>
      </w:r>
      <w:r>
        <w:rPr>
          <w:rFonts w:hint="eastAsia" w:ascii="宋体" w:hAnsi="宋体"/>
          <w:color w:val="auto"/>
          <w:sz w:val="24"/>
          <w:szCs w:val="18"/>
        </w:rPr>
        <w:t>房屋建筑工程专业国家注册监理工程师执业资格</w:t>
      </w:r>
      <w:r>
        <w:rPr>
          <w:rFonts w:hint="eastAsia" w:ascii="宋体" w:hAnsi="宋体"/>
          <w:color w:val="auto"/>
          <w:sz w:val="24"/>
          <w:szCs w:val="24"/>
        </w:rPr>
        <w:t>。</w:t>
      </w:r>
    </w:p>
    <w:p w14:paraId="3437FBA0">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3.自2021年1月1日以来（以竣工时间为准），投标人拟须具有单个合同工程总投资额不低于900万元的公共建筑工程（包含体育场馆内容，工业厂房业绩不予认可）监理业绩。</w:t>
      </w:r>
    </w:p>
    <w:p w14:paraId="0AB948C4">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4.本项目不接受联合体投标；</w:t>
      </w:r>
    </w:p>
    <w:p w14:paraId="4AFDCDD9">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5.投标人存在以下不良信用记录情形之一的，不得推荐为中标候选人，不得确定为中标人：</w:t>
      </w:r>
    </w:p>
    <w:p w14:paraId="2919A48A">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（1）被责令停产停业，暂扣或者吊销许可证，暂扣或者吊销执照；</w:t>
      </w:r>
    </w:p>
    <w:p w14:paraId="27F7B7EC">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（2）进入清算程序，或被宣告破产，或其他丧失履约能力的情形； </w:t>
      </w:r>
    </w:p>
    <w:p w14:paraId="6B2C9ED3">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（3）在最近三年内（自投标截止之日向前追溯 3年，下同）有骗取中标或串通投标或严重违约或重大工程质量事故或重大生产安全事故的（以相关行业主管部门的行政处罚决定或司法机关出具的有关法律文书为准），前述行政处罚已完成信用修复的，自行政处罚作出机关或信用修复主管部门同意修复之日起满一年，或在线修复审核通过之日起满一年的，不受三年期限限制； </w:t>
      </w:r>
    </w:p>
    <w:p w14:paraId="4E18000C">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（4）在国家企业信用信息公示系统（http://www.gsxt.gov.cn/）中被列入严重违法失信企业名单； </w:t>
      </w:r>
    </w:p>
    <w:p w14:paraId="53CF79E8">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（5）在“信用中国”网站（http://www.creditchina.gov.cn/）中被列入失信被执行人名单； </w:t>
      </w:r>
    </w:p>
    <w:p w14:paraId="735F948E">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（6）在“信用中国”网站（http://www.creditchina.gov.cn/）中被列入重大税收违法案件当事人名单； </w:t>
      </w:r>
    </w:p>
    <w:p w14:paraId="70C20B7F">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（7）在近三年内投标人或其法定代表人（单位负责人）有行贿犯罪行为的；</w:t>
      </w:r>
    </w:p>
    <w:p w14:paraId="1234048C">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8）投标人被设区的市级及以上建设行政主管部门/房屋建筑和市政基础设施工程招标投标活动的监督部门因安全生产责任事故限制本次招标项目工程所在地或公共资源交易平台所在地承接新的工程项目且在限制期内。</w:t>
      </w:r>
    </w:p>
    <w:p w14:paraId="6247B3B0">
      <w:pPr>
        <w:autoSpaceDE w:val="0"/>
        <w:autoSpaceDN w:val="0"/>
        <w:adjustRightInd w:val="0"/>
        <w:spacing w:line="360" w:lineRule="auto"/>
        <w:ind w:firstLine="200"/>
        <w:jc w:val="left"/>
        <w:rPr>
          <w:rFonts w:ascii="宋体" w:hAnsi="宋体"/>
          <w:b/>
          <w:bCs/>
          <w:color w:val="auto"/>
          <w:sz w:val="24"/>
          <w:szCs w:val="24"/>
          <w:highlight w:val="none"/>
        </w:rPr>
      </w:pPr>
      <w:r>
        <w:rPr>
          <w:rFonts w:hint="eastAsia" w:ascii="宋体" w:hAnsi="宋体"/>
          <w:b/>
          <w:bCs/>
          <w:color w:val="auto"/>
          <w:sz w:val="24"/>
          <w:szCs w:val="24"/>
        </w:rPr>
        <w:t>三、</w:t>
      </w:r>
      <w:r>
        <w:rPr>
          <w:rFonts w:hint="eastAsia" w:ascii="宋体" w:hAnsi="宋体"/>
          <w:b/>
          <w:bCs/>
          <w:color w:val="auto"/>
          <w:sz w:val="24"/>
          <w:szCs w:val="24"/>
          <w:lang w:eastAsia="zh-CN"/>
        </w:rPr>
        <w:t>招标</w:t>
      </w:r>
      <w:r>
        <w:rPr>
          <w:rFonts w:hint="eastAsia" w:ascii="宋体" w:hAnsi="宋体"/>
          <w:b/>
          <w:bCs/>
          <w:color w:val="auto"/>
          <w:sz w:val="24"/>
          <w:szCs w:val="24"/>
          <w:highlight w:val="none"/>
          <w:lang w:eastAsia="zh-CN"/>
        </w:rPr>
        <w:t>文件</w:t>
      </w:r>
      <w:r>
        <w:rPr>
          <w:rFonts w:hint="eastAsia" w:ascii="宋体" w:hAnsi="宋体"/>
          <w:b/>
          <w:bCs/>
          <w:color w:val="auto"/>
          <w:sz w:val="24"/>
          <w:szCs w:val="24"/>
          <w:highlight w:val="none"/>
        </w:rPr>
        <w:t>的获取及</w:t>
      </w:r>
      <w:r>
        <w:rPr>
          <w:rFonts w:hint="eastAsia" w:ascii="宋体" w:hAnsi="宋体"/>
          <w:b/>
          <w:bCs/>
          <w:color w:val="auto"/>
          <w:sz w:val="24"/>
          <w:szCs w:val="24"/>
          <w:highlight w:val="none"/>
          <w:lang w:eastAsia="zh-CN"/>
        </w:rPr>
        <w:t>招标文件</w:t>
      </w:r>
      <w:r>
        <w:rPr>
          <w:rFonts w:hint="eastAsia" w:ascii="宋体" w:hAnsi="宋体"/>
          <w:b/>
          <w:bCs/>
          <w:color w:val="auto"/>
          <w:sz w:val="24"/>
          <w:szCs w:val="24"/>
          <w:highlight w:val="none"/>
        </w:rPr>
        <w:t>发售办法</w:t>
      </w:r>
    </w:p>
    <w:p w14:paraId="43FEDBBF">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hint="eastAsia" w:ascii="宋体" w:hAnsi="宋体"/>
          <w:color w:val="auto"/>
          <w:sz w:val="24"/>
          <w:szCs w:val="24"/>
        </w:rPr>
      </w:pPr>
      <w:r>
        <w:rPr>
          <w:rFonts w:hint="eastAsia" w:ascii="宋体" w:hAnsi="宋体"/>
          <w:color w:val="auto"/>
          <w:sz w:val="24"/>
          <w:szCs w:val="24"/>
        </w:rPr>
        <w:t>1.获取时间：2026年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8</w:t>
      </w:r>
      <w:r>
        <w:rPr>
          <w:rFonts w:hint="eastAsia" w:ascii="宋体" w:hAnsi="宋体"/>
          <w:color w:val="auto"/>
          <w:sz w:val="24"/>
          <w:szCs w:val="24"/>
        </w:rPr>
        <w:t>日—2026年</w:t>
      </w:r>
      <w:r>
        <w:rPr>
          <w:rFonts w:hint="eastAsia" w:ascii="宋体" w:hAnsi="宋体"/>
          <w:color w:val="auto"/>
          <w:sz w:val="24"/>
          <w:szCs w:val="24"/>
          <w:lang w:val="en-US" w:eastAsia="zh-CN"/>
        </w:rPr>
        <w:t>10</w:t>
      </w:r>
      <w:r>
        <w:rPr>
          <w:rFonts w:hint="eastAsia" w:ascii="宋体" w:hAnsi="宋体"/>
          <w:color w:val="auto"/>
          <w:sz w:val="24"/>
          <w:szCs w:val="24"/>
        </w:rPr>
        <w:t>月</w:t>
      </w:r>
      <w:r>
        <w:rPr>
          <w:rFonts w:hint="eastAsia" w:ascii="宋体" w:hAnsi="宋体"/>
          <w:color w:val="auto"/>
          <w:sz w:val="24"/>
          <w:szCs w:val="24"/>
          <w:lang w:val="en-US" w:eastAsia="zh-CN"/>
        </w:rPr>
        <w:t>12</w:t>
      </w:r>
      <w:r>
        <w:rPr>
          <w:rFonts w:hint="eastAsia" w:ascii="宋体" w:hAnsi="宋体"/>
          <w:color w:val="auto"/>
          <w:sz w:val="24"/>
          <w:szCs w:val="24"/>
        </w:rPr>
        <w:t>日15:00</w:t>
      </w:r>
    </w:p>
    <w:p w14:paraId="57009E4A">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2.获取方式：</w:t>
      </w:r>
    </w:p>
    <w:p w14:paraId="546E1FEB">
      <w:pPr>
        <w:keepNext w:val="0"/>
        <w:keepLines w:val="0"/>
        <w:pageBreakBefore w:val="0"/>
        <w:widowControl w:val="0"/>
        <w:kinsoku/>
        <w:wordWrap/>
        <w:overflowPunct/>
        <w:topLinePunct w:val="0"/>
        <w:autoSpaceDE w:val="0"/>
        <w:autoSpaceDN w:val="0"/>
        <w:bidi w:val="0"/>
        <w:adjustRightInd w:val="0"/>
        <w:snapToGrid/>
        <w:spacing w:line="360" w:lineRule="auto"/>
        <w:jc w:val="left"/>
        <w:textAlignment w:val="auto"/>
        <w:rPr>
          <w:rFonts w:ascii="宋体" w:hAnsi="宋体"/>
          <w:bCs/>
          <w:color w:val="auto"/>
          <w:sz w:val="24"/>
          <w:szCs w:val="24"/>
        </w:rPr>
      </w:pPr>
      <w:r>
        <w:rPr>
          <w:rFonts w:hint="eastAsia" w:ascii="宋体" w:hAnsi="宋体"/>
          <w:color w:val="auto"/>
          <w:sz w:val="24"/>
          <w:szCs w:val="24"/>
        </w:rPr>
        <w:t>（1）自</w:t>
      </w:r>
      <w:r>
        <w:rPr>
          <w:rFonts w:hint="eastAsia" w:ascii="宋体" w:hAnsi="宋体"/>
          <w:color w:val="auto"/>
          <w:sz w:val="24"/>
          <w:szCs w:val="24"/>
          <w:lang w:eastAsia="zh-CN"/>
        </w:rPr>
        <w:t>招标</w:t>
      </w:r>
      <w:r>
        <w:rPr>
          <w:rFonts w:hint="eastAsia" w:ascii="宋体" w:hAnsi="宋体"/>
          <w:color w:val="auto"/>
          <w:sz w:val="24"/>
          <w:szCs w:val="24"/>
        </w:rPr>
        <w:t>文件发出之日到</w:t>
      </w:r>
      <w:r>
        <w:rPr>
          <w:rFonts w:hint="eastAsia" w:ascii="宋体" w:hAnsi="宋体"/>
          <w:color w:val="auto"/>
          <w:sz w:val="24"/>
          <w:szCs w:val="24"/>
          <w:lang w:eastAsia="zh-CN"/>
        </w:rPr>
        <w:t>招标</w:t>
      </w:r>
      <w:r>
        <w:rPr>
          <w:rFonts w:hint="eastAsia" w:ascii="宋体" w:hAnsi="宋体"/>
          <w:color w:val="auto"/>
          <w:sz w:val="24"/>
          <w:szCs w:val="24"/>
        </w:rPr>
        <w:t>文件递交截止时间。</w:t>
      </w:r>
      <w:r>
        <w:rPr>
          <w:rFonts w:hint="eastAsia" w:ascii="宋体" w:hAnsi="宋体"/>
          <w:color w:val="auto"/>
          <w:sz w:val="24"/>
          <w:szCs w:val="24"/>
        </w:rPr>
        <w:br w:type="textWrapping"/>
      </w:r>
      <w:r>
        <w:rPr>
          <w:rFonts w:hint="eastAsia" w:ascii="宋体" w:hAnsi="宋体" w:eastAsia="宋体"/>
          <w:color w:val="auto"/>
          <w:sz w:val="24"/>
          <w:szCs w:val="24"/>
        </w:rPr>
        <w:t>（2）获取方式：潜在投标人须登录</w:t>
      </w:r>
      <w:r>
        <w:rPr>
          <w:rFonts w:hint="eastAsia" w:ascii="宋体" w:hAnsi="宋体" w:eastAsia="宋体"/>
          <w:color w:val="auto"/>
          <w:sz w:val="24"/>
          <w:szCs w:val="24"/>
          <w:lang w:eastAsia="zh-CN"/>
        </w:rPr>
        <w:t>合肥滨湖投资控股集团有限公司官网自行下载</w:t>
      </w:r>
      <w:r>
        <w:rPr>
          <w:rFonts w:hint="eastAsia" w:ascii="宋体" w:hAnsi="宋体" w:eastAsia="宋体"/>
          <w:color w:val="auto"/>
          <w:sz w:val="24"/>
          <w:szCs w:val="24"/>
        </w:rPr>
        <w:t>招标文件。</w:t>
      </w:r>
    </w:p>
    <w:p w14:paraId="0D36E702">
      <w:pPr>
        <w:autoSpaceDE w:val="0"/>
        <w:autoSpaceDN w:val="0"/>
        <w:adjustRightInd w:val="0"/>
        <w:spacing w:line="360" w:lineRule="auto"/>
        <w:ind w:firstLine="200"/>
        <w:jc w:val="left"/>
        <w:rPr>
          <w:rFonts w:hint="eastAsia" w:ascii="宋体" w:hAnsi="宋体"/>
          <w:b/>
          <w:bCs/>
          <w:color w:val="auto"/>
          <w:sz w:val="24"/>
          <w:szCs w:val="18"/>
          <w:highlight w:val="none"/>
        </w:rPr>
      </w:pPr>
      <w:r>
        <w:rPr>
          <w:rFonts w:hint="eastAsia" w:ascii="宋体" w:hAnsi="宋体"/>
          <w:b/>
          <w:bCs/>
          <w:color w:val="auto"/>
          <w:sz w:val="24"/>
          <w:szCs w:val="18"/>
        </w:rPr>
        <w:t>四、</w:t>
      </w:r>
      <w:r>
        <w:rPr>
          <w:rFonts w:hint="eastAsia" w:ascii="宋体" w:hAnsi="宋体"/>
          <w:b/>
          <w:bCs/>
          <w:color w:val="auto"/>
          <w:sz w:val="24"/>
          <w:szCs w:val="18"/>
          <w:highlight w:val="none"/>
        </w:rPr>
        <w:t>投标文件的递交</w:t>
      </w:r>
    </w:p>
    <w:p w14:paraId="0F73DD21">
      <w:pPr>
        <w:autoSpaceDE w:val="0"/>
        <w:autoSpaceDN w:val="0"/>
        <w:adjustRightInd w:val="0"/>
        <w:spacing w:line="360" w:lineRule="auto"/>
        <w:ind w:firstLine="200"/>
        <w:jc w:val="left"/>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投标文件递交的截止时间（投标截止时间，下同）为</w:t>
      </w:r>
      <w:r>
        <w:rPr>
          <w:rFonts w:hint="eastAsia" w:ascii="宋体" w:hAnsi="宋体" w:eastAsia="宋体" w:cs="Times New Roman"/>
          <w:bCs/>
          <w:color w:val="auto"/>
          <w:sz w:val="24"/>
          <w:szCs w:val="24"/>
          <w:highlight w:val="none"/>
          <w:lang w:eastAsia="zh-CN"/>
        </w:rPr>
        <w:t>2026年</w:t>
      </w:r>
      <w:r>
        <w:rPr>
          <w:rFonts w:hint="eastAsia" w:ascii="宋体" w:hAnsi="宋体" w:cs="Times New Roman"/>
          <w:bCs/>
          <w:color w:val="auto"/>
          <w:sz w:val="24"/>
          <w:szCs w:val="24"/>
          <w:highlight w:val="none"/>
          <w:lang w:val="en-US" w:eastAsia="zh-CN"/>
        </w:rPr>
        <w:t>10</w:t>
      </w:r>
      <w:r>
        <w:rPr>
          <w:rFonts w:hint="eastAsia" w:ascii="宋体" w:hAnsi="宋体" w:eastAsia="宋体" w:cs="Times New Roman"/>
          <w:bCs/>
          <w:color w:val="auto"/>
          <w:sz w:val="24"/>
          <w:szCs w:val="24"/>
          <w:highlight w:val="none"/>
          <w:lang w:eastAsia="zh-CN"/>
        </w:rPr>
        <w:t>月</w:t>
      </w:r>
      <w:r>
        <w:rPr>
          <w:rFonts w:hint="eastAsia" w:ascii="宋体" w:hAnsi="宋体" w:cs="Times New Roman"/>
          <w:bCs/>
          <w:color w:val="auto"/>
          <w:sz w:val="24"/>
          <w:szCs w:val="24"/>
          <w:highlight w:val="none"/>
          <w:lang w:val="en-US" w:eastAsia="zh-CN"/>
        </w:rPr>
        <w:t>12</w:t>
      </w:r>
      <w:r>
        <w:rPr>
          <w:rFonts w:hint="eastAsia" w:ascii="宋体" w:hAnsi="宋体" w:eastAsia="宋体" w:cs="Times New Roman"/>
          <w:bCs/>
          <w:color w:val="auto"/>
          <w:sz w:val="24"/>
          <w:szCs w:val="24"/>
          <w:highlight w:val="none"/>
          <w:lang w:eastAsia="zh-CN"/>
        </w:rPr>
        <w:t>日15时00分</w:t>
      </w:r>
      <w:r>
        <w:rPr>
          <w:rFonts w:hint="eastAsia" w:ascii="宋体" w:hAnsi="宋体" w:eastAsia="宋体" w:cs="Times New Roman"/>
          <w:bCs/>
          <w:color w:val="auto"/>
          <w:sz w:val="24"/>
          <w:szCs w:val="24"/>
          <w:highlight w:val="none"/>
        </w:rPr>
        <w:t>，投标人应在投标截止时间前</w:t>
      </w:r>
      <w:r>
        <w:rPr>
          <w:rFonts w:hint="eastAsia" w:ascii="宋体" w:hAnsi="宋体" w:eastAsia="宋体" w:cs="Times New Roman"/>
          <w:bCs/>
          <w:color w:val="auto"/>
          <w:sz w:val="24"/>
          <w:szCs w:val="24"/>
          <w:highlight w:val="none"/>
          <w:lang w:val="en-US" w:eastAsia="zh-CN"/>
        </w:rPr>
        <w:t>将投标文件递送至滨湖集团六楼</w:t>
      </w:r>
      <w:r>
        <w:rPr>
          <w:rFonts w:hint="eastAsia" w:ascii="宋体" w:hAnsi="宋体" w:cs="Times New Roman"/>
          <w:bCs/>
          <w:color w:val="auto"/>
          <w:sz w:val="24"/>
          <w:szCs w:val="24"/>
          <w:highlight w:val="none"/>
          <w:lang w:val="en-US" w:eastAsia="zh-CN"/>
        </w:rPr>
        <w:t>601</w:t>
      </w:r>
      <w:r>
        <w:rPr>
          <w:rFonts w:hint="eastAsia" w:ascii="宋体" w:hAnsi="宋体" w:eastAsia="宋体" w:cs="Times New Roman"/>
          <w:bCs/>
          <w:color w:val="auto"/>
          <w:sz w:val="24"/>
          <w:szCs w:val="24"/>
          <w:highlight w:val="none"/>
          <w:lang w:val="en-US" w:eastAsia="zh-CN"/>
        </w:rPr>
        <w:t>室（徽州大道1388号）</w:t>
      </w:r>
      <w:r>
        <w:rPr>
          <w:rFonts w:hint="eastAsia" w:ascii="宋体" w:hAnsi="宋体" w:eastAsia="宋体" w:cs="Times New Roman"/>
          <w:bCs/>
          <w:color w:val="auto"/>
          <w:sz w:val="24"/>
          <w:szCs w:val="24"/>
          <w:highlight w:val="none"/>
        </w:rPr>
        <w:t>。</w:t>
      </w:r>
    </w:p>
    <w:p w14:paraId="17C4AC75">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
          <w:bCs/>
          <w:color w:val="auto"/>
          <w:sz w:val="24"/>
          <w:szCs w:val="18"/>
        </w:rPr>
      </w:pPr>
      <w:r>
        <w:rPr>
          <w:rFonts w:hint="eastAsia" w:ascii="宋体" w:hAnsi="宋体"/>
          <w:b/>
          <w:bCs/>
          <w:color w:val="auto"/>
          <w:sz w:val="24"/>
          <w:szCs w:val="18"/>
          <w:lang w:eastAsia="zh-CN"/>
        </w:rPr>
        <w:t>五</w:t>
      </w:r>
      <w:r>
        <w:rPr>
          <w:rFonts w:hint="eastAsia" w:ascii="宋体" w:hAnsi="宋体"/>
          <w:b/>
          <w:bCs/>
          <w:color w:val="auto"/>
          <w:sz w:val="24"/>
          <w:szCs w:val="18"/>
        </w:rPr>
        <w:t>、资格审查方式</w:t>
      </w:r>
    </w:p>
    <w:p w14:paraId="6E4D07E2">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Cs/>
          <w:color w:val="auto"/>
          <w:sz w:val="24"/>
        </w:rPr>
      </w:pPr>
      <w:r>
        <w:rPr>
          <w:rFonts w:hint="eastAsia" w:ascii="宋体" w:hAnsi="宋体"/>
          <w:bCs/>
          <w:color w:val="auto"/>
          <w:sz w:val="24"/>
        </w:rPr>
        <w:t>本项目资格审查采用资格后审方式。</w:t>
      </w:r>
    </w:p>
    <w:p w14:paraId="59F2D282">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
          <w:bCs/>
          <w:color w:val="auto"/>
          <w:sz w:val="24"/>
          <w:szCs w:val="18"/>
        </w:rPr>
      </w:pPr>
      <w:r>
        <w:rPr>
          <w:rFonts w:hint="eastAsia" w:ascii="宋体" w:hAnsi="宋体"/>
          <w:b/>
          <w:bCs/>
          <w:color w:val="auto"/>
          <w:sz w:val="24"/>
          <w:szCs w:val="18"/>
          <w:lang w:eastAsia="zh-CN"/>
        </w:rPr>
        <w:t>六</w:t>
      </w:r>
      <w:r>
        <w:rPr>
          <w:rFonts w:hint="eastAsia" w:ascii="宋体" w:hAnsi="宋体"/>
          <w:b/>
          <w:bCs/>
          <w:color w:val="auto"/>
          <w:sz w:val="24"/>
          <w:szCs w:val="18"/>
        </w:rPr>
        <w:t>、评标办法</w:t>
      </w:r>
    </w:p>
    <w:p w14:paraId="128904FE">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Cs/>
          <w:color w:val="auto"/>
          <w:sz w:val="24"/>
        </w:rPr>
      </w:pPr>
      <w:r>
        <w:rPr>
          <w:rFonts w:hint="eastAsia" w:ascii="宋体" w:hAnsi="宋体"/>
          <w:bCs/>
          <w:color w:val="auto"/>
          <w:sz w:val="24"/>
        </w:rPr>
        <w:t>本项目评标办法采用综合评分法</w:t>
      </w:r>
      <w:r>
        <w:rPr>
          <w:rFonts w:hint="eastAsia" w:ascii="宋体" w:hAnsi="宋体"/>
          <w:bCs/>
          <w:color w:val="auto"/>
          <w:sz w:val="24"/>
          <w:lang w:eastAsia="zh-CN"/>
        </w:rPr>
        <w:t>（</w:t>
      </w:r>
      <w:r>
        <w:rPr>
          <w:rFonts w:hint="eastAsia" w:ascii="宋体" w:hAnsi="宋体"/>
          <w:bCs/>
          <w:color w:val="auto"/>
          <w:sz w:val="24"/>
          <w:lang w:val="en-US" w:eastAsia="zh-CN"/>
        </w:rPr>
        <w:t>固定费率</w:t>
      </w:r>
      <w:r>
        <w:rPr>
          <w:rFonts w:hint="eastAsia" w:ascii="宋体" w:hAnsi="宋体"/>
          <w:bCs/>
          <w:color w:val="auto"/>
          <w:sz w:val="24"/>
          <w:lang w:eastAsia="zh-CN"/>
        </w:rPr>
        <w:t>）</w:t>
      </w:r>
      <w:r>
        <w:rPr>
          <w:rFonts w:hint="eastAsia" w:ascii="宋体" w:hAnsi="宋体"/>
          <w:bCs/>
          <w:color w:val="auto"/>
          <w:sz w:val="24"/>
        </w:rPr>
        <w:t>。</w:t>
      </w:r>
    </w:p>
    <w:p w14:paraId="7718691D">
      <w:pPr>
        <w:autoSpaceDE w:val="0"/>
        <w:autoSpaceDN w:val="0"/>
        <w:adjustRightInd w:val="0"/>
        <w:spacing w:line="360" w:lineRule="auto"/>
        <w:ind w:left="249" w:leftChars="114" w:hanging="10" w:hangingChars="4"/>
        <w:jc w:val="left"/>
        <w:rPr>
          <w:rFonts w:hint="eastAsia" w:ascii="宋体" w:hAnsi="宋体" w:eastAsia="宋体" w:cs="Times New Roman"/>
          <w:b/>
          <w:bCs/>
          <w:color w:val="auto"/>
          <w:sz w:val="24"/>
          <w:szCs w:val="18"/>
          <w:highlight w:val="none"/>
          <w:lang w:val="en-US" w:eastAsia="zh-CN"/>
        </w:rPr>
      </w:pPr>
      <w:r>
        <w:rPr>
          <w:rFonts w:hint="eastAsia" w:ascii="宋体" w:hAnsi="宋体" w:eastAsia="宋体" w:cs="Times New Roman"/>
          <w:b/>
          <w:bCs/>
          <w:color w:val="auto"/>
          <w:sz w:val="24"/>
          <w:szCs w:val="18"/>
          <w:highlight w:val="none"/>
          <w:lang w:val="en-US" w:eastAsia="zh-CN"/>
        </w:rPr>
        <w:t>七、招标文件的异议、投诉</w:t>
      </w:r>
    </w:p>
    <w:p w14:paraId="4B507736">
      <w:pPr>
        <w:autoSpaceDE w:val="0"/>
        <w:autoSpaceDN w:val="0"/>
        <w:adjustRightInd w:val="0"/>
        <w:spacing w:line="360" w:lineRule="auto"/>
        <w:ind w:firstLine="200"/>
        <w:jc w:val="left"/>
        <w:rPr>
          <w:rFonts w:hint="default" w:ascii="宋体" w:hAnsi="宋体" w:eastAsia="宋体"/>
          <w:bCs/>
          <w:color w:val="auto"/>
          <w:sz w:val="24"/>
          <w:szCs w:val="18"/>
          <w:highlight w:val="none"/>
          <w:lang w:val="en-US" w:eastAsia="zh-CN"/>
        </w:rPr>
      </w:pPr>
      <w:r>
        <w:rPr>
          <w:rFonts w:hint="eastAsia" w:ascii="宋体" w:hAnsi="宋体" w:eastAsia="宋体" w:cs="Times New Roman"/>
          <w:bCs/>
          <w:color w:val="auto"/>
          <w:sz w:val="24"/>
          <w:szCs w:val="24"/>
          <w:highlight w:val="none"/>
        </w:rPr>
        <w:t>投标人或者其他利害关系人对</w:t>
      </w:r>
      <w:r>
        <w:rPr>
          <w:rFonts w:hint="eastAsia" w:ascii="宋体" w:hAnsi="宋体" w:eastAsia="宋体" w:cs="Times New Roman"/>
          <w:bCs/>
          <w:color w:val="auto"/>
          <w:sz w:val="24"/>
          <w:szCs w:val="24"/>
          <w:highlight w:val="none"/>
          <w:lang w:eastAsia="zh-CN"/>
        </w:rPr>
        <w:t>招标文件</w:t>
      </w:r>
      <w:r>
        <w:rPr>
          <w:rFonts w:hint="eastAsia" w:ascii="宋体" w:hAnsi="宋体" w:eastAsia="宋体" w:cs="Times New Roman"/>
          <w:bCs/>
          <w:color w:val="auto"/>
          <w:sz w:val="24"/>
          <w:szCs w:val="24"/>
          <w:highlight w:val="none"/>
        </w:rPr>
        <w:t>有异议的，应当在规定时间通过</w:t>
      </w:r>
      <w:r>
        <w:rPr>
          <w:rFonts w:hint="eastAsia" w:ascii="宋体" w:hAnsi="宋体" w:eastAsia="宋体" w:cs="Times New Roman"/>
          <w:bCs/>
          <w:color w:val="auto"/>
          <w:sz w:val="24"/>
          <w:szCs w:val="24"/>
          <w:highlight w:val="none"/>
          <w:lang w:eastAsia="zh-CN"/>
        </w:rPr>
        <w:t>集团官网</w:t>
      </w:r>
      <w:r>
        <w:rPr>
          <w:rFonts w:hint="eastAsia" w:ascii="宋体" w:hAnsi="宋体" w:eastAsia="宋体" w:cs="Times New Roman"/>
          <w:bCs/>
          <w:color w:val="auto"/>
          <w:sz w:val="24"/>
          <w:szCs w:val="24"/>
          <w:highlight w:val="none"/>
        </w:rPr>
        <w:t>在线提出或以其他书面形式提出。</w:t>
      </w:r>
    </w:p>
    <w:p w14:paraId="7E983768">
      <w:pPr>
        <w:autoSpaceDE w:val="0"/>
        <w:autoSpaceDN w:val="0"/>
        <w:adjustRightInd w:val="0"/>
        <w:spacing w:line="360" w:lineRule="auto"/>
        <w:ind w:firstLine="200"/>
        <w:jc w:val="left"/>
        <w:rPr>
          <w:rFonts w:hint="default" w:ascii="宋体" w:hAnsi="宋体" w:eastAsia="宋体"/>
          <w:b/>
          <w:bCs/>
          <w:color w:val="auto"/>
          <w:sz w:val="24"/>
          <w:szCs w:val="18"/>
          <w:highlight w:val="none"/>
          <w:lang w:val="en-US" w:eastAsia="zh-CN"/>
        </w:rPr>
      </w:pPr>
      <w:r>
        <w:rPr>
          <w:rFonts w:hint="eastAsia" w:ascii="宋体" w:hAnsi="宋体"/>
          <w:b/>
          <w:bCs/>
          <w:color w:val="auto"/>
          <w:sz w:val="24"/>
          <w:szCs w:val="18"/>
          <w:highlight w:val="none"/>
          <w:lang w:val="en-US" w:eastAsia="zh-CN"/>
        </w:rPr>
        <w:t>八</w:t>
      </w:r>
      <w:r>
        <w:rPr>
          <w:rFonts w:hint="eastAsia" w:ascii="宋体" w:hAnsi="宋体"/>
          <w:b/>
          <w:bCs/>
          <w:color w:val="auto"/>
          <w:sz w:val="24"/>
          <w:szCs w:val="18"/>
          <w:highlight w:val="none"/>
        </w:rPr>
        <w:t>、</w:t>
      </w:r>
      <w:r>
        <w:rPr>
          <w:rFonts w:hint="eastAsia" w:ascii="宋体" w:hAnsi="宋体"/>
          <w:b/>
          <w:bCs/>
          <w:color w:val="auto"/>
          <w:sz w:val="24"/>
          <w:szCs w:val="18"/>
          <w:highlight w:val="none"/>
          <w:lang w:val="en-US" w:eastAsia="zh-CN"/>
        </w:rPr>
        <w:t>开标时间和开标地点</w:t>
      </w:r>
    </w:p>
    <w:p w14:paraId="53B72D6D">
      <w:pPr>
        <w:autoSpaceDE w:val="0"/>
        <w:autoSpaceDN w:val="0"/>
        <w:adjustRightInd w:val="0"/>
        <w:spacing w:line="360" w:lineRule="auto"/>
        <w:ind w:firstLine="200"/>
        <w:jc w:val="left"/>
        <w:rPr>
          <w:rFonts w:hint="eastAsia" w:ascii="宋体" w:hAnsi="宋体"/>
          <w:bCs/>
          <w:color w:val="auto"/>
          <w:sz w:val="24"/>
          <w:highlight w:val="none"/>
          <w:u w:val="none"/>
          <w:lang w:val="en-US" w:eastAsia="zh-CN"/>
        </w:rPr>
      </w:pPr>
      <w:r>
        <w:rPr>
          <w:rFonts w:hint="eastAsia" w:ascii="宋体" w:hAnsi="宋体"/>
          <w:bCs/>
          <w:color w:val="auto"/>
          <w:sz w:val="24"/>
          <w:highlight w:val="none"/>
          <w:u w:val="none"/>
          <w:lang w:val="en-US" w:eastAsia="zh-CN"/>
        </w:rPr>
        <w:t>开标时间：2026年10月12日15:00</w:t>
      </w:r>
    </w:p>
    <w:p w14:paraId="5809CD53">
      <w:pPr>
        <w:autoSpaceDE w:val="0"/>
        <w:autoSpaceDN w:val="0"/>
        <w:adjustRightInd w:val="0"/>
        <w:spacing w:line="360" w:lineRule="auto"/>
        <w:ind w:firstLine="200"/>
        <w:jc w:val="left"/>
        <w:rPr>
          <w:rFonts w:hint="default" w:ascii="宋体" w:hAnsi="宋体" w:cs="Times New Roman"/>
          <w:bCs/>
          <w:color w:val="auto"/>
          <w:sz w:val="24"/>
          <w:highlight w:val="none"/>
          <w:u w:val="none"/>
          <w:lang w:val="en-US" w:eastAsia="zh-CN"/>
        </w:rPr>
      </w:pPr>
      <w:r>
        <w:rPr>
          <w:rFonts w:hint="eastAsia" w:ascii="宋体" w:hAnsi="宋体" w:cs="Times New Roman"/>
          <w:bCs/>
          <w:color w:val="auto"/>
          <w:sz w:val="24"/>
          <w:highlight w:val="none"/>
          <w:u w:val="none"/>
          <w:lang w:val="en-US" w:eastAsia="zh-CN"/>
        </w:rPr>
        <w:t>开标地点：滨湖集团六楼606室</w:t>
      </w:r>
    </w:p>
    <w:p w14:paraId="4C8F5127">
      <w:pPr>
        <w:autoSpaceDE w:val="0"/>
        <w:autoSpaceDN w:val="0"/>
        <w:adjustRightInd w:val="0"/>
        <w:spacing w:line="360" w:lineRule="auto"/>
        <w:ind w:firstLine="200"/>
        <w:jc w:val="left"/>
        <w:rPr>
          <w:rFonts w:hint="eastAsia" w:ascii="宋体" w:hAnsi="宋体" w:eastAsia="宋体"/>
          <w:b/>
          <w:bCs/>
          <w:color w:val="auto"/>
          <w:sz w:val="24"/>
          <w:szCs w:val="18"/>
          <w:highlight w:val="none"/>
          <w:lang w:eastAsia="zh-CN"/>
        </w:rPr>
      </w:pPr>
      <w:r>
        <w:rPr>
          <w:rFonts w:hint="eastAsia" w:ascii="宋体" w:hAnsi="宋体"/>
          <w:b/>
          <w:bCs/>
          <w:color w:val="auto"/>
          <w:sz w:val="24"/>
          <w:szCs w:val="18"/>
          <w:highlight w:val="none"/>
          <w:lang w:val="en-US" w:eastAsia="zh-CN"/>
        </w:rPr>
        <w:t>九</w:t>
      </w:r>
      <w:r>
        <w:rPr>
          <w:rFonts w:hint="eastAsia" w:ascii="宋体" w:hAnsi="宋体"/>
          <w:b/>
          <w:bCs/>
          <w:color w:val="auto"/>
          <w:sz w:val="24"/>
          <w:szCs w:val="18"/>
          <w:highlight w:val="none"/>
        </w:rPr>
        <w:t>、联系</w:t>
      </w:r>
      <w:r>
        <w:rPr>
          <w:rFonts w:hint="eastAsia" w:ascii="宋体" w:hAnsi="宋体"/>
          <w:b/>
          <w:bCs/>
          <w:color w:val="auto"/>
          <w:sz w:val="24"/>
          <w:szCs w:val="18"/>
          <w:highlight w:val="none"/>
          <w:lang w:val="en-US" w:eastAsia="zh-CN"/>
        </w:rPr>
        <w:t>方式</w:t>
      </w:r>
    </w:p>
    <w:p w14:paraId="46E1CE97">
      <w:pPr>
        <w:autoSpaceDE w:val="0"/>
        <w:autoSpaceDN w:val="0"/>
        <w:adjustRightInd w:val="0"/>
        <w:spacing w:line="360" w:lineRule="auto"/>
        <w:ind w:firstLine="200"/>
        <w:jc w:val="left"/>
        <w:rPr>
          <w:rFonts w:hint="eastAsia" w:ascii="宋体" w:hAnsi="宋体"/>
          <w:color w:val="auto"/>
          <w:sz w:val="24"/>
          <w:szCs w:val="24"/>
          <w:highlight w:val="none"/>
        </w:rPr>
      </w:pPr>
      <w:r>
        <w:rPr>
          <w:rFonts w:hint="eastAsia" w:ascii="宋体" w:hAnsi="宋体"/>
          <w:color w:val="auto"/>
          <w:sz w:val="24"/>
          <w:szCs w:val="24"/>
          <w:highlight w:val="none"/>
          <w:lang w:eastAsia="zh-CN"/>
        </w:rPr>
        <w:t>招标</w:t>
      </w:r>
      <w:r>
        <w:rPr>
          <w:rFonts w:hint="eastAsia" w:ascii="宋体" w:hAnsi="宋体"/>
          <w:color w:val="auto"/>
          <w:sz w:val="24"/>
          <w:szCs w:val="24"/>
          <w:highlight w:val="none"/>
          <w:lang w:val="en-US" w:eastAsia="zh-CN"/>
        </w:rPr>
        <w:t>人</w:t>
      </w:r>
      <w:r>
        <w:rPr>
          <w:rFonts w:hint="eastAsia" w:ascii="宋体" w:hAnsi="宋体"/>
          <w:color w:val="auto"/>
          <w:sz w:val="24"/>
          <w:szCs w:val="24"/>
          <w:highlight w:val="none"/>
        </w:rPr>
        <w:t>：</w:t>
      </w:r>
      <w:r>
        <w:rPr>
          <w:rFonts w:hint="eastAsia" w:ascii="宋体" w:hAnsi="宋体"/>
          <w:color w:val="auto"/>
          <w:sz w:val="24"/>
          <w:szCs w:val="18"/>
          <w:highlight w:val="none"/>
          <w:lang w:eastAsia="zh-CN"/>
        </w:rPr>
        <w:t>合肥</w:t>
      </w:r>
      <w:r>
        <w:rPr>
          <w:rFonts w:hint="eastAsia" w:ascii="宋体" w:hAnsi="宋体"/>
          <w:color w:val="auto"/>
          <w:sz w:val="24"/>
          <w:szCs w:val="18"/>
          <w:highlight w:val="none"/>
          <w:lang w:val="en-US" w:eastAsia="zh-CN"/>
        </w:rPr>
        <w:t>滨湖投资控股集团</w:t>
      </w:r>
      <w:r>
        <w:rPr>
          <w:rFonts w:hint="eastAsia" w:ascii="宋体" w:hAnsi="宋体"/>
          <w:color w:val="auto"/>
          <w:sz w:val="24"/>
          <w:szCs w:val="18"/>
          <w:highlight w:val="none"/>
          <w:lang w:eastAsia="zh-CN"/>
        </w:rPr>
        <w:t>有限公司</w:t>
      </w:r>
    </w:p>
    <w:p w14:paraId="587181DD">
      <w:pPr>
        <w:autoSpaceDE w:val="0"/>
        <w:autoSpaceDN w:val="0"/>
        <w:adjustRightInd w:val="0"/>
        <w:spacing w:line="360" w:lineRule="auto"/>
        <w:ind w:firstLine="200"/>
        <w:jc w:val="left"/>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地址：合肥市</w:t>
      </w:r>
      <w:r>
        <w:rPr>
          <w:rFonts w:hint="eastAsia" w:ascii="宋体" w:hAnsi="宋体"/>
          <w:color w:val="auto"/>
          <w:sz w:val="24"/>
          <w:szCs w:val="24"/>
          <w:highlight w:val="none"/>
          <w:lang w:eastAsia="zh-CN"/>
        </w:rPr>
        <w:t>包河区</w:t>
      </w:r>
      <w:r>
        <w:rPr>
          <w:rFonts w:hint="eastAsia" w:ascii="宋体" w:hAnsi="宋体"/>
          <w:color w:val="auto"/>
          <w:sz w:val="24"/>
          <w:szCs w:val="24"/>
          <w:highlight w:val="none"/>
        </w:rPr>
        <w:t>徽州大道1388号</w:t>
      </w:r>
      <w:r>
        <w:rPr>
          <w:rFonts w:hint="eastAsia" w:ascii="宋体" w:hAnsi="宋体"/>
          <w:color w:val="auto"/>
          <w:sz w:val="24"/>
          <w:szCs w:val="24"/>
          <w:highlight w:val="none"/>
          <w:lang w:val="en-US" w:eastAsia="zh-CN"/>
        </w:rPr>
        <w:t>601室</w:t>
      </w:r>
    </w:p>
    <w:p w14:paraId="5B721E0A">
      <w:pPr>
        <w:autoSpaceDE w:val="0"/>
        <w:autoSpaceDN w:val="0"/>
        <w:adjustRightInd w:val="0"/>
        <w:spacing w:line="360" w:lineRule="auto"/>
        <w:ind w:firstLine="200"/>
        <w:jc w:val="left"/>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联系人：</w:t>
      </w:r>
      <w:r>
        <w:rPr>
          <w:rFonts w:hint="eastAsia" w:ascii="宋体" w:hAnsi="宋体"/>
          <w:color w:val="auto"/>
          <w:sz w:val="24"/>
          <w:szCs w:val="24"/>
          <w:highlight w:val="none"/>
          <w:lang w:eastAsia="zh-CN"/>
        </w:rPr>
        <w:t>胡</w:t>
      </w:r>
      <w:r>
        <w:rPr>
          <w:rFonts w:hint="eastAsia" w:ascii="宋体" w:hAnsi="宋体"/>
          <w:color w:val="auto"/>
          <w:sz w:val="24"/>
          <w:szCs w:val="24"/>
          <w:highlight w:val="none"/>
          <w:lang w:val="en-US" w:eastAsia="zh-CN"/>
        </w:rPr>
        <w:t>工</w:t>
      </w:r>
    </w:p>
    <w:p w14:paraId="53129946">
      <w:pPr>
        <w:autoSpaceDE w:val="0"/>
        <w:autoSpaceDN w:val="0"/>
        <w:adjustRightInd w:val="0"/>
        <w:spacing w:line="360" w:lineRule="auto"/>
        <w:ind w:firstLine="200"/>
        <w:jc w:val="left"/>
        <w:rPr>
          <w:rFonts w:hint="default" w:ascii="宋体" w:hAnsi="宋体" w:eastAsia="宋体"/>
          <w:color w:val="auto"/>
          <w:highlight w:val="none"/>
          <w:lang w:val="en-US" w:eastAsia="zh-CN"/>
        </w:rPr>
      </w:pPr>
      <w:r>
        <w:rPr>
          <w:rFonts w:hint="eastAsia" w:ascii="宋体" w:hAnsi="宋体"/>
          <w:color w:val="auto"/>
          <w:sz w:val="24"/>
          <w:szCs w:val="24"/>
          <w:highlight w:val="none"/>
        </w:rPr>
        <w:t>电话：</w:t>
      </w:r>
      <w:r>
        <w:rPr>
          <w:rFonts w:hint="eastAsia" w:ascii="宋体" w:hAnsi="宋体"/>
          <w:color w:val="auto"/>
          <w:sz w:val="24"/>
          <w:szCs w:val="24"/>
          <w:highlight w:val="none"/>
          <w:lang w:val="en-US" w:eastAsia="zh-CN"/>
        </w:rPr>
        <w:t>18156937555</w:t>
      </w:r>
    </w:p>
    <w:p w14:paraId="6321AA97">
      <w:pPr>
        <w:autoSpaceDE w:val="0"/>
        <w:autoSpaceDN w:val="0"/>
        <w:adjustRightInd w:val="0"/>
        <w:spacing w:line="360" w:lineRule="auto"/>
        <w:jc w:val="left"/>
        <w:rPr>
          <w:rFonts w:ascii="宋体" w:hAnsi="宋体"/>
          <w:color w:val="auto"/>
          <w:highlight w:val="none"/>
        </w:rPr>
      </w:pPr>
      <w:r>
        <w:rPr>
          <w:rFonts w:hint="eastAsia" w:ascii="宋体" w:hAnsi="宋体"/>
          <w:color w:val="auto"/>
          <w:sz w:val="24"/>
          <w:szCs w:val="24"/>
          <w:highlight w:val="none"/>
        </w:rPr>
        <w:br w:type="page"/>
      </w:r>
      <w:bookmarkStart w:id="5" w:name="_Hlt510343011"/>
      <w:bookmarkStart w:id="6" w:name="_Hlt510342998"/>
      <w:bookmarkStart w:id="7" w:name="_Toc273602340"/>
      <w:bookmarkStart w:id="8" w:name="_Toc328559327"/>
      <w:bookmarkStart w:id="9" w:name="_Toc245092760"/>
      <w:bookmarkStart w:id="10" w:name="_Toc229413619"/>
    </w:p>
    <w:p w14:paraId="0FA91A84">
      <w:pPr>
        <w:pStyle w:val="3"/>
        <w:spacing w:before="0" w:after="0" w:line="240" w:lineRule="auto"/>
        <w:ind w:firstLine="0"/>
        <w:rPr>
          <w:rFonts w:ascii="宋体" w:hAnsi="宋体" w:eastAsia="宋体"/>
          <w:b w:val="0"/>
          <w:color w:val="auto"/>
        </w:rPr>
      </w:pPr>
      <w:r>
        <w:rPr>
          <w:rFonts w:hint="eastAsia" w:ascii="宋体" w:hAnsi="宋体" w:eastAsia="宋体"/>
          <w:color w:val="auto"/>
        </w:rPr>
        <w:t>第二章 投标人须</w:t>
      </w:r>
      <w:bookmarkEnd w:id="5"/>
      <w:r>
        <w:rPr>
          <w:rFonts w:hint="eastAsia" w:ascii="宋体" w:hAnsi="宋体" w:eastAsia="宋体"/>
          <w:color w:val="auto"/>
        </w:rPr>
        <w:t>知前</w:t>
      </w:r>
      <w:bookmarkEnd w:id="6"/>
      <w:r>
        <w:rPr>
          <w:rFonts w:hint="eastAsia" w:ascii="宋体" w:hAnsi="宋体" w:eastAsia="宋体"/>
          <w:color w:val="auto"/>
        </w:rPr>
        <w:t>附表</w:t>
      </w:r>
      <w:bookmarkEnd w:id="7"/>
      <w:bookmarkEnd w:id="8"/>
      <w:bookmarkEnd w:id="9"/>
    </w:p>
    <w:tbl>
      <w:tblPr>
        <w:tblStyle w:val="57"/>
        <w:tblW w:w="9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910"/>
        <w:gridCol w:w="6514"/>
      </w:tblGrid>
      <w:tr w14:paraId="266D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7AFE8ACB">
            <w:pPr>
              <w:jc w:val="center"/>
              <w:rPr>
                <w:rFonts w:ascii="宋体" w:hAnsi="宋体" w:cs="宋体"/>
                <w:b/>
                <w:color w:val="auto"/>
                <w:sz w:val="24"/>
                <w:szCs w:val="24"/>
              </w:rPr>
            </w:pPr>
            <w:r>
              <w:rPr>
                <w:rFonts w:hint="eastAsia" w:ascii="宋体" w:hAnsi="宋体" w:cs="宋体"/>
                <w:b/>
                <w:color w:val="auto"/>
                <w:sz w:val="24"/>
                <w:szCs w:val="24"/>
              </w:rPr>
              <w:t>序号</w:t>
            </w:r>
          </w:p>
        </w:tc>
        <w:tc>
          <w:tcPr>
            <w:tcW w:w="1910" w:type="dxa"/>
            <w:vAlign w:val="center"/>
          </w:tcPr>
          <w:p w14:paraId="36295509">
            <w:pPr>
              <w:jc w:val="center"/>
              <w:rPr>
                <w:rFonts w:ascii="宋体" w:hAnsi="宋体" w:cs="宋体"/>
                <w:b/>
                <w:color w:val="auto"/>
                <w:sz w:val="24"/>
                <w:szCs w:val="24"/>
              </w:rPr>
            </w:pPr>
            <w:r>
              <w:rPr>
                <w:rFonts w:hint="eastAsia" w:ascii="宋体" w:hAnsi="宋体" w:cs="宋体"/>
                <w:b/>
                <w:color w:val="auto"/>
                <w:sz w:val="24"/>
                <w:szCs w:val="24"/>
              </w:rPr>
              <w:t>内容</w:t>
            </w:r>
          </w:p>
        </w:tc>
        <w:tc>
          <w:tcPr>
            <w:tcW w:w="6514" w:type="dxa"/>
            <w:vAlign w:val="center"/>
          </w:tcPr>
          <w:p w14:paraId="119F35E0">
            <w:pPr>
              <w:pStyle w:val="96"/>
              <w:widowControl w:val="0"/>
              <w:spacing w:before="0" w:beforeAutospacing="0" w:after="0" w:afterAutospacing="0"/>
              <w:rPr>
                <w:rFonts w:cs="宋体"/>
                <w:bCs/>
                <w:color w:val="auto"/>
                <w:kern w:val="2"/>
                <w:sz w:val="24"/>
                <w:szCs w:val="24"/>
              </w:rPr>
            </w:pPr>
            <w:r>
              <w:rPr>
                <w:rFonts w:hint="eastAsia" w:cs="宋体"/>
                <w:bCs/>
                <w:color w:val="auto"/>
                <w:kern w:val="2"/>
                <w:sz w:val="24"/>
                <w:szCs w:val="24"/>
              </w:rPr>
              <w:t>说明与要求</w:t>
            </w:r>
          </w:p>
        </w:tc>
      </w:tr>
      <w:tr w14:paraId="66A9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53450B7D">
            <w:pPr>
              <w:jc w:val="center"/>
              <w:rPr>
                <w:rFonts w:ascii="宋体" w:hAnsi="宋体" w:cs="宋体"/>
                <w:bCs/>
                <w:color w:val="auto"/>
                <w:sz w:val="24"/>
                <w:szCs w:val="24"/>
              </w:rPr>
            </w:pPr>
            <w:r>
              <w:rPr>
                <w:rFonts w:hint="eastAsia" w:ascii="宋体" w:hAnsi="宋体" w:cs="宋体"/>
                <w:bCs/>
                <w:color w:val="auto"/>
                <w:sz w:val="24"/>
                <w:szCs w:val="24"/>
              </w:rPr>
              <w:t>1</w:t>
            </w:r>
          </w:p>
        </w:tc>
        <w:tc>
          <w:tcPr>
            <w:tcW w:w="1910" w:type="dxa"/>
            <w:vAlign w:val="center"/>
          </w:tcPr>
          <w:p w14:paraId="701E9321">
            <w:pPr>
              <w:jc w:val="center"/>
              <w:rPr>
                <w:rFonts w:ascii="宋体" w:hAnsi="宋体" w:cs="宋体"/>
                <w:bCs/>
                <w:color w:val="auto"/>
                <w:sz w:val="24"/>
                <w:szCs w:val="24"/>
              </w:rPr>
            </w:pPr>
            <w:r>
              <w:rPr>
                <w:rFonts w:hint="eastAsia" w:ascii="宋体" w:hAnsi="宋体" w:cs="宋体"/>
                <w:bCs/>
                <w:color w:val="auto"/>
                <w:sz w:val="24"/>
                <w:szCs w:val="24"/>
              </w:rPr>
              <w:t>招标人</w:t>
            </w:r>
          </w:p>
        </w:tc>
        <w:tc>
          <w:tcPr>
            <w:tcW w:w="6514" w:type="dxa"/>
            <w:vAlign w:val="center"/>
          </w:tcPr>
          <w:p w14:paraId="2ED2F1E0">
            <w:pPr>
              <w:pStyle w:val="96"/>
              <w:widowControl w:val="0"/>
              <w:spacing w:before="0" w:beforeAutospacing="0" w:after="0" w:afterAutospacing="0"/>
              <w:jc w:val="both"/>
              <w:rPr>
                <w:rFonts w:hint="default" w:eastAsia="宋体" w:cs="宋体"/>
                <w:b w:val="0"/>
                <w:color w:val="auto"/>
                <w:kern w:val="2"/>
                <w:sz w:val="24"/>
                <w:szCs w:val="24"/>
                <w:lang w:val="en-US" w:eastAsia="zh-CN"/>
              </w:rPr>
            </w:pPr>
            <w:r>
              <w:rPr>
                <w:rFonts w:hint="default" w:eastAsia="宋体" w:cs="宋体"/>
                <w:b w:val="0"/>
                <w:color w:val="auto"/>
                <w:kern w:val="2"/>
                <w:sz w:val="24"/>
                <w:szCs w:val="24"/>
                <w:lang w:val="en-US" w:eastAsia="zh-CN"/>
              </w:rPr>
              <w:t>合肥滨湖投资控股集团有限公司</w:t>
            </w:r>
          </w:p>
        </w:tc>
      </w:tr>
      <w:tr w14:paraId="6EF9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6E745C90">
            <w:pPr>
              <w:jc w:val="center"/>
              <w:rPr>
                <w:rFonts w:ascii="宋体" w:hAnsi="宋体" w:cs="宋体"/>
                <w:bCs/>
                <w:color w:val="auto"/>
                <w:sz w:val="24"/>
                <w:szCs w:val="24"/>
              </w:rPr>
            </w:pPr>
            <w:r>
              <w:rPr>
                <w:rFonts w:hint="eastAsia" w:ascii="宋体" w:hAnsi="宋体" w:cs="宋体"/>
                <w:bCs/>
                <w:color w:val="auto"/>
                <w:sz w:val="24"/>
                <w:szCs w:val="24"/>
              </w:rPr>
              <w:t>2</w:t>
            </w:r>
          </w:p>
        </w:tc>
        <w:tc>
          <w:tcPr>
            <w:tcW w:w="1910" w:type="dxa"/>
            <w:vAlign w:val="center"/>
          </w:tcPr>
          <w:p w14:paraId="13487089">
            <w:pPr>
              <w:jc w:val="center"/>
              <w:rPr>
                <w:rFonts w:ascii="宋体" w:hAnsi="宋体" w:cs="宋体"/>
                <w:bCs/>
                <w:color w:val="auto"/>
                <w:sz w:val="24"/>
                <w:szCs w:val="24"/>
              </w:rPr>
            </w:pPr>
            <w:r>
              <w:rPr>
                <w:rFonts w:hint="eastAsia" w:ascii="宋体" w:hAnsi="宋体" w:cs="宋体"/>
                <w:bCs/>
                <w:color w:val="auto"/>
                <w:sz w:val="24"/>
                <w:szCs w:val="24"/>
              </w:rPr>
              <w:t>项目业主</w:t>
            </w:r>
          </w:p>
        </w:tc>
        <w:tc>
          <w:tcPr>
            <w:tcW w:w="6514" w:type="dxa"/>
            <w:vAlign w:val="center"/>
          </w:tcPr>
          <w:p w14:paraId="1F380B7B">
            <w:pPr>
              <w:pStyle w:val="96"/>
              <w:widowControl w:val="0"/>
              <w:spacing w:before="0" w:beforeAutospacing="0" w:after="0" w:afterAutospacing="0"/>
              <w:jc w:val="both"/>
              <w:rPr>
                <w:rFonts w:cs="宋体"/>
                <w:b w:val="0"/>
                <w:bCs/>
                <w:color w:val="auto"/>
                <w:sz w:val="24"/>
                <w:szCs w:val="24"/>
              </w:rPr>
            </w:pPr>
            <w:r>
              <w:rPr>
                <w:rFonts w:hint="eastAsia" w:cs="宋体"/>
                <w:b w:val="0"/>
                <w:bCs/>
                <w:color w:val="auto"/>
                <w:sz w:val="24"/>
                <w:szCs w:val="24"/>
                <w:lang w:val="en-US" w:eastAsia="zh-CN"/>
              </w:rPr>
              <w:t>合肥滨湖投资控股集团有限公司</w:t>
            </w:r>
          </w:p>
        </w:tc>
      </w:tr>
      <w:tr w14:paraId="3B67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1F243AC9">
            <w:pPr>
              <w:jc w:val="center"/>
              <w:rPr>
                <w:rFonts w:ascii="宋体" w:hAnsi="宋体" w:cs="宋体"/>
                <w:bCs/>
                <w:color w:val="auto"/>
                <w:sz w:val="24"/>
                <w:szCs w:val="24"/>
              </w:rPr>
            </w:pPr>
            <w:r>
              <w:rPr>
                <w:rFonts w:hint="eastAsia" w:ascii="宋体" w:hAnsi="宋体" w:cs="宋体"/>
                <w:bCs/>
                <w:color w:val="auto"/>
                <w:sz w:val="24"/>
                <w:szCs w:val="24"/>
              </w:rPr>
              <w:t>3</w:t>
            </w:r>
          </w:p>
        </w:tc>
        <w:tc>
          <w:tcPr>
            <w:tcW w:w="1910" w:type="dxa"/>
            <w:vAlign w:val="center"/>
          </w:tcPr>
          <w:p w14:paraId="70FFD318">
            <w:pPr>
              <w:jc w:val="center"/>
              <w:rPr>
                <w:rFonts w:ascii="宋体" w:hAnsi="宋体" w:cs="宋体"/>
                <w:color w:val="auto"/>
                <w:sz w:val="24"/>
                <w:szCs w:val="24"/>
              </w:rPr>
            </w:pPr>
            <w:r>
              <w:rPr>
                <w:rFonts w:hint="eastAsia" w:ascii="宋体" w:hAnsi="宋体" w:cs="宋体"/>
                <w:color w:val="auto"/>
                <w:sz w:val="24"/>
                <w:szCs w:val="24"/>
              </w:rPr>
              <w:t>项目名称</w:t>
            </w:r>
          </w:p>
        </w:tc>
        <w:tc>
          <w:tcPr>
            <w:tcW w:w="6514" w:type="dxa"/>
            <w:vAlign w:val="center"/>
          </w:tcPr>
          <w:p w14:paraId="413AD76E">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合肥市篮球公园改造提升项目监理</w:t>
            </w:r>
          </w:p>
        </w:tc>
      </w:tr>
      <w:tr w14:paraId="3679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5FB0165F">
            <w:pPr>
              <w:jc w:val="center"/>
              <w:rPr>
                <w:rFonts w:ascii="宋体" w:hAnsi="宋体" w:cs="宋体"/>
                <w:bCs/>
                <w:color w:val="auto"/>
                <w:sz w:val="24"/>
                <w:szCs w:val="24"/>
              </w:rPr>
            </w:pPr>
            <w:r>
              <w:rPr>
                <w:rFonts w:hint="eastAsia" w:ascii="宋体" w:hAnsi="宋体" w:cs="宋体"/>
                <w:bCs/>
                <w:color w:val="auto"/>
                <w:sz w:val="24"/>
                <w:szCs w:val="24"/>
              </w:rPr>
              <w:t>4</w:t>
            </w:r>
          </w:p>
        </w:tc>
        <w:tc>
          <w:tcPr>
            <w:tcW w:w="1910" w:type="dxa"/>
            <w:vAlign w:val="center"/>
          </w:tcPr>
          <w:p w14:paraId="353242A5">
            <w:pPr>
              <w:jc w:val="center"/>
              <w:rPr>
                <w:rFonts w:ascii="宋体" w:hAnsi="宋体" w:cs="宋体"/>
                <w:color w:val="auto"/>
                <w:sz w:val="24"/>
                <w:szCs w:val="24"/>
              </w:rPr>
            </w:pPr>
            <w:r>
              <w:rPr>
                <w:rFonts w:hint="eastAsia" w:ascii="宋体" w:hAnsi="宋体" w:cs="宋体"/>
                <w:color w:val="auto"/>
                <w:sz w:val="24"/>
                <w:szCs w:val="24"/>
              </w:rPr>
              <w:t>项目编号</w:t>
            </w:r>
          </w:p>
        </w:tc>
        <w:tc>
          <w:tcPr>
            <w:tcW w:w="6514" w:type="dxa"/>
            <w:vAlign w:val="center"/>
          </w:tcPr>
          <w:p w14:paraId="297509EB">
            <w:pPr>
              <w:rPr>
                <w:rFonts w:hint="default" w:ascii="宋体" w:hAnsi="宋体" w:eastAsia="宋体" w:cs="宋体"/>
                <w:b/>
                <w:bCs/>
                <w:color w:val="auto"/>
                <w:sz w:val="24"/>
                <w:szCs w:val="24"/>
                <w:lang w:val="en-US" w:eastAsia="zh-CN"/>
              </w:rPr>
            </w:pPr>
          </w:p>
        </w:tc>
      </w:tr>
      <w:tr w14:paraId="47A8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866" w:type="dxa"/>
            <w:vAlign w:val="center"/>
          </w:tcPr>
          <w:p w14:paraId="22C1D93C">
            <w:pPr>
              <w:jc w:val="center"/>
              <w:rPr>
                <w:rFonts w:ascii="宋体" w:hAnsi="宋体" w:cs="宋体"/>
                <w:bCs/>
                <w:color w:val="auto"/>
                <w:sz w:val="24"/>
                <w:szCs w:val="24"/>
              </w:rPr>
            </w:pPr>
            <w:r>
              <w:rPr>
                <w:rFonts w:hint="eastAsia" w:ascii="宋体" w:hAnsi="宋体" w:cs="宋体"/>
                <w:bCs/>
                <w:color w:val="auto"/>
                <w:sz w:val="24"/>
                <w:szCs w:val="24"/>
              </w:rPr>
              <w:t>5</w:t>
            </w:r>
          </w:p>
        </w:tc>
        <w:tc>
          <w:tcPr>
            <w:tcW w:w="1910" w:type="dxa"/>
            <w:vAlign w:val="center"/>
          </w:tcPr>
          <w:p w14:paraId="185E30F6">
            <w:pPr>
              <w:jc w:val="center"/>
              <w:rPr>
                <w:rFonts w:ascii="宋体" w:hAnsi="宋体" w:cs="宋体"/>
                <w:color w:val="auto"/>
                <w:sz w:val="24"/>
                <w:szCs w:val="24"/>
              </w:rPr>
            </w:pPr>
            <w:r>
              <w:rPr>
                <w:rFonts w:hint="eastAsia" w:ascii="宋体" w:hAnsi="宋体" w:cs="宋体"/>
                <w:color w:val="auto"/>
                <w:sz w:val="24"/>
                <w:szCs w:val="24"/>
              </w:rPr>
              <w:t>项目预算</w:t>
            </w:r>
          </w:p>
        </w:tc>
        <w:tc>
          <w:tcPr>
            <w:tcW w:w="6514" w:type="dxa"/>
            <w:vAlign w:val="center"/>
          </w:tcPr>
          <w:p w14:paraId="53E12B49">
            <w:pPr>
              <w:rPr>
                <w:rFonts w:ascii="宋体" w:hAnsi="宋体" w:cs="宋体"/>
                <w:b/>
                <w:color w:val="auto"/>
                <w:sz w:val="24"/>
                <w:szCs w:val="24"/>
              </w:rPr>
            </w:pPr>
            <w:r>
              <w:rPr>
                <w:rFonts w:hint="eastAsia" w:ascii="宋体" w:hAnsi="宋体" w:cs="宋体"/>
                <w:b/>
                <w:color w:val="auto"/>
                <w:sz w:val="24"/>
                <w:szCs w:val="24"/>
                <w:lang w:val="en-US" w:eastAsia="zh-CN"/>
              </w:rPr>
              <w:t>13.50</w:t>
            </w:r>
            <w:r>
              <w:rPr>
                <w:rFonts w:hint="eastAsia" w:ascii="宋体" w:hAnsi="宋体" w:cs="宋体"/>
                <w:b/>
                <w:color w:val="auto"/>
                <w:sz w:val="24"/>
                <w:szCs w:val="24"/>
              </w:rPr>
              <w:t>万元</w:t>
            </w:r>
          </w:p>
        </w:tc>
      </w:tr>
      <w:tr w14:paraId="12FE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4A3B9942">
            <w:pPr>
              <w:jc w:val="center"/>
              <w:rPr>
                <w:rFonts w:ascii="宋体" w:hAnsi="宋体" w:cs="宋体"/>
                <w:color w:val="auto"/>
                <w:sz w:val="24"/>
                <w:szCs w:val="24"/>
              </w:rPr>
            </w:pPr>
            <w:r>
              <w:rPr>
                <w:rFonts w:hint="eastAsia" w:ascii="宋体" w:hAnsi="宋体" w:cs="宋体"/>
                <w:color w:val="auto"/>
                <w:sz w:val="24"/>
                <w:szCs w:val="24"/>
              </w:rPr>
              <w:t>6</w:t>
            </w:r>
          </w:p>
        </w:tc>
        <w:tc>
          <w:tcPr>
            <w:tcW w:w="1910" w:type="dxa"/>
            <w:vAlign w:val="center"/>
          </w:tcPr>
          <w:p w14:paraId="47EF9F42">
            <w:pPr>
              <w:jc w:val="center"/>
              <w:rPr>
                <w:rFonts w:ascii="宋体" w:hAnsi="宋体" w:cs="宋体"/>
                <w:color w:val="auto"/>
                <w:sz w:val="24"/>
                <w:szCs w:val="24"/>
                <w:lang w:val="zh-CN"/>
              </w:rPr>
            </w:pPr>
            <w:r>
              <w:rPr>
                <w:rFonts w:hint="eastAsia" w:ascii="宋体" w:hAnsi="宋体" w:cs="宋体"/>
                <w:color w:val="auto"/>
                <w:sz w:val="24"/>
                <w:szCs w:val="24"/>
              </w:rPr>
              <w:t>包别划分</w:t>
            </w:r>
          </w:p>
        </w:tc>
        <w:tc>
          <w:tcPr>
            <w:tcW w:w="6514" w:type="dxa"/>
            <w:vAlign w:val="center"/>
          </w:tcPr>
          <w:p w14:paraId="59A2E8C6">
            <w:pPr>
              <w:ind w:left="841" w:hanging="841"/>
              <w:rPr>
                <w:rFonts w:ascii="宋体" w:hAnsi="宋体" w:cs="宋体"/>
                <w:bCs/>
                <w:color w:val="auto"/>
                <w:sz w:val="24"/>
                <w:szCs w:val="24"/>
              </w:rPr>
            </w:pPr>
            <w:r>
              <w:rPr>
                <w:rFonts w:hint="eastAsia" w:ascii="宋体" w:hAnsi="宋体" w:cs="宋体"/>
                <w:b/>
                <w:bCs/>
                <w:color w:val="auto"/>
                <w:sz w:val="24"/>
                <w:szCs w:val="24"/>
              </w:rPr>
              <w:sym w:font="Wingdings" w:char="F0FE"/>
            </w:r>
            <w:r>
              <w:rPr>
                <w:rFonts w:hint="eastAsia" w:ascii="宋体" w:hAnsi="宋体" w:cs="宋体"/>
                <w:color w:val="auto"/>
                <w:sz w:val="24"/>
                <w:szCs w:val="24"/>
              </w:rPr>
              <w:t xml:space="preserve">不分包     </w:t>
            </w:r>
            <w:r>
              <w:rPr>
                <w:rFonts w:hint="eastAsia" w:ascii="宋体" w:hAnsi="宋体" w:cs="宋体"/>
                <w:b/>
                <w:bCs/>
                <w:color w:val="auto"/>
                <w:sz w:val="24"/>
                <w:szCs w:val="24"/>
              </w:rPr>
              <w:t>□</w:t>
            </w:r>
            <w:r>
              <w:rPr>
                <w:rFonts w:hint="eastAsia" w:ascii="宋体" w:hAnsi="宋体" w:cs="宋体"/>
                <w:color w:val="auto"/>
                <w:sz w:val="24"/>
                <w:szCs w:val="24"/>
              </w:rPr>
              <w:t>分为  包</w:t>
            </w:r>
          </w:p>
        </w:tc>
      </w:tr>
      <w:tr w14:paraId="0402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3845C278">
            <w:pPr>
              <w:jc w:val="center"/>
              <w:rPr>
                <w:rFonts w:ascii="宋体" w:hAnsi="宋体" w:cs="宋体"/>
                <w:color w:val="auto"/>
                <w:sz w:val="24"/>
                <w:szCs w:val="24"/>
              </w:rPr>
            </w:pPr>
            <w:r>
              <w:rPr>
                <w:rFonts w:hint="eastAsia" w:ascii="宋体" w:hAnsi="宋体" w:cs="宋体"/>
                <w:color w:val="auto"/>
                <w:sz w:val="24"/>
                <w:szCs w:val="24"/>
              </w:rPr>
              <w:t>7</w:t>
            </w:r>
          </w:p>
        </w:tc>
        <w:tc>
          <w:tcPr>
            <w:tcW w:w="1910" w:type="dxa"/>
            <w:vAlign w:val="center"/>
          </w:tcPr>
          <w:p w14:paraId="121D9BD8">
            <w:pPr>
              <w:jc w:val="center"/>
              <w:rPr>
                <w:rFonts w:ascii="宋体" w:hAnsi="宋体" w:cs="宋体"/>
                <w:color w:val="auto"/>
                <w:sz w:val="24"/>
                <w:szCs w:val="24"/>
              </w:rPr>
            </w:pPr>
            <w:r>
              <w:rPr>
                <w:rFonts w:hint="eastAsia" w:ascii="宋体" w:hAnsi="宋体" w:cs="宋体"/>
                <w:color w:val="auto"/>
                <w:sz w:val="24"/>
                <w:szCs w:val="24"/>
              </w:rPr>
              <w:t>项目性质</w:t>
            </w:r>
          </w:p>
        </w:tc>
        <w:tc>
          <w:tcPr>
            <w:tcW w:w="6514" w:type="dxa"/>
            <w:vAlign w:val="center"/>
          </w:tcPr>
          <w:p w14:paraId="21F7DED7">
            <w:pPr>
              <w:ind w:left="841" w:hanging="841"/>
              <w:rPr>
                <w:rFonts w:ascii="宋体" w:hAnsi="宋体" w:cs="宋体"/>
                <w:color w:val="auto"/>
                <w:sz w:val="24"/>
                <w:szCs w:val="24"/>
              </w:rPr>
            </w:pPr>
            <w:r>
              <w:rPr>
                <w:rFonts w:hint="eastAsia" w:ascii="宋体" w:hAnsi="宋体" w:cs="宋体"/>
                <w:color w:val="auto"/>
                <w:sz w:val="24"/>
                <w:szCs w:val="24"/>
              </w:rPr>
              <w:t>服务类</w:t>
            </w:r>
          </w:p>
        </w:tc>
      </w:tr>
      <w:tr w14:paraId="5F3F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66" w:type="dxa"/>
            <w:vAlign w:val="center"/>
          </w:tcPr>
          <w:p w14:paraId="2085B9C2">
            <w:pPr>
              <w:jc w:val="center"/>
              <w:rPr>
                <w:rFonts w:ascii="宋体" w:hAnsi="宋体" w:cs="宋体"/>
                <w:color w:val="auto"/>
                <w:sz w:val="24"/>
                <w:szCs w:val="24"/>
              </w:rPr>
            </w:pPr>
            <w:r>
              <w:rPr>
                <w:rFonts w:hint="eastAsia" w:ascii="宋体" w:hAnsi="宋体" w:cs="宋体"/>
                <w:color w:val="auto"/>
                <w:sz w:val="24"/>
                <w:szCs w:val="24"/>
              </w:rPr>
              <w:t>8</w:t>
            </w:r>
          </w:p>
        </w:tc>
        <w:tc>
          <w:tcPr>
            <w:tcW w:w="1910" w:type="dxa"/>
            <w:vAlign w:val="center"/>
          </w:tcPr>
          <w:p w14:paraId="1806FF3B">
            <w:pPr>
              <w:jc w:val="center"/>
              <w:rPr>
                <w:rFonts w:ascii="宋体" w:hAnsi="宋体" w:cs="宋体"/>
                <w:color w:val="auto"/>
                <w:sz w:val="24"/>
                <w:szCs w:val="24"/>
              </w:rPr>
            </w:pPr>
            <w:r>
              <w:rPr>
                <w:rFonts w:hint="eastAsia" w:ascii="宋体" w:hAnsi="宋体" w:cs="宋体"/>
                <w:color w:val="auto"/>
                <w:sz w:val="24"/>
                <w:szCs w:val="24"/>
                <w:lang w:val="en-US" w:eastAsia="zh-CN"/>
              </w:rPr>
              <w:t>投标报价</w:t>
            </w:r>
          </w:p>
        </w:tc>
        <w:tc>
          <w:tcPr>
            <w:tcW w:w="6514" w:type="dxa"/>
            <w:vAlign w:val="center"/>
          </w:tcPr>
          <w:p w14:paraId="0CDF4128">
            <w:pPr>
              <w:ind w:left="841" w:leftChars="0" w:hanging="841" w:firstLineChars="0"/>
              <w:rPr>
                <w:rFonts w:hint="default" w:ascii="宋体" w:hAnsi="宋体" w:cs="宋体"/>
                <w:color w:val="auto"/>
                <w:sz w:val="24"/>
                <w:szCs w:val="24"/>
                <w:lang w:val="en-US"/>
              </w:rPr>
            </w:pPr>
            <w:r>
              <w:rPr>
                <w:rFonts w:hint="eastAsia" w:ascii="宋体" w:hAnsi="宋体" w:cs="宋体"/>
                <w:color w:val="auto"/>
                <w:sz w:val="24"/>
                <w:szCs w:val="24"/>
                <w:lang w:val="en-US" w:eastAsia="zh-CN"/>
              </w:rPr>
              <w:t>固定价格：</w:t>
            </w:r>
            <w:r>
              <w:rPr>
                <w:rFonts w:hint="eastAsia" w:ascii="宋体" w:hAnsi="宋体" w:cs="宋体"/>
                <w:b/>
                <w:bCs/>
                <w:color w:val="auto"/>
                <w:sz w:val="24"/>
                <w:szCs w:val="24"/>
                <w:lang w:val="en-US" w:eastAsia="zh-CN"/>
              </w:rPr>
              <w:t>费率1.0%</w:t>
            </w:r>
          </w:p>
        </w:tc>
      </w:tr>
      <w:tr w14:paraId="7BE6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66" w:type="dxa"/>
            <w:vAlign w:val="center"/>
          </w:tcPr>
          <w:p w14:paraId="37F4B688">
            <w:pPr>
              <w:ind w:right="102"/>
              <w:jc w:val="center"/>
              <w:rPr>
                <w:rFonts w:ascii="宋体" w:hAnsi="宋体" w:cs="宋体"/>
                <w:color w:val="auto"/>
                <w:sz w:val="24"/>
                <w:szCs w:val="24"/>
                <w:lang w:val="zh-CN"/>
              </w:rPr>
            </w:pPr>
            <w:r>
              <w:rPr>
                <w:rFonts w:hint="eastAsia" w:ascii="宋体" w:hAnsi="宋体" w:cs="宋体"/>
                <w:color w:val="auto"/>
                <w:sz w:val="24"/>
                <w:szCs w:val="24"/>
                <w:lang w:val="zh-CN"/>
              </w:rPr>
              <w:t>9</w:t>
            </w:r>
          </w:p>
        </w:tc>
        <w:tc>
          <w:tcPr>
            <w:tcW w:w="1910" w:type="dxa"/>
            <w:vAlign w:val="center"/>
          </w:tcPr>
          <w:p w14:paraId="688E600E">
            <w:pPr>
              <w:pStyle w:val="96"/>
              <w:widowControl w:val="0"/>
              <w:spacing w:before="0" w:beforeAutospacing="0" w:after="0" w:afterAutospacing="0"/>
              <w:rPr>
                <w:rFonts w:cs="宋体"/>
                <w:b w:val="0"/>
                <w:bCs/>
                <w:color w:val="auto"/>
                <w:sz w:val="24"/>
                <w:szCs w:val="24"/>
              </w:rPr>
            </w:pPr>
            <w:r>
              <w:rPr>
                <w:rFonts w:hint="eastAsia" w:cs="宋体"/>
                <w:b w:val="0"/>
                <w:bCs/>
                <w:color w:val="auto"/>
                <w:sz w:val="24"/>
                <w:szCs w:val="24"/>
              </w:rPr>
              <w:t>付款方式</w:t>
            </w:r>
          </w:p>
        </w:tc>
        <w:tc>
          <w:tcPr>
            <w:tcW w:w="6514" w:type="dxa"/>
            <w:vAlign w:val="center"/>
          </w:tcPr>
          <w:p w14:paraId="19ECDA42">
            <w:pPr>
              <w:pStyle w:val="97"/>
              <w:adjustRightInd w:val="0"/>
              <w:snapToGrid w:val="0"/>
              <w:spacing w:line="360" w:lineRule="auto"/>
              <w:rPr>
                <w:rFonts w:hint="eastAsia" w:ascii="宋体" w:hAnsi="宋体" w:cs="宋体"/>
                <w:color w:val="auto"/>
                <w:kern w:val="0"/>
                <w:szCs w:val="24"/>
              </w:rPr>
            </w:pPr>
            <w:r>
              <w:rPr>
                <w:rFonts w:hint="eastAsia" w:ascii="宋体" w:hAnsi="宋体" w:cs="宋体"/>
                <w:color w:val="auto"/>
                <w:kern w:val="0"/>
                <w:szCs w:val="24"/>
              </w:rPr>
              <w:t>（1）</w:t>
            </w:r>
            <w:r>
              <w:rPr>
                <w:rFonts w:hint="eastAsia" w:ascii="宋体" w:hAnsi="宋体" w:cs="宋体"/>
                <w:color w:val="auto"/>
                <w:kern w:val="0"/>
                <w:szCs w:val="24"/>
                <w:lang w:eastAsia="zh-CN"/>
              </w:rPr>
              <w:t>施工过程监理服务费支付：按照施工单位每季度实际完成合格工程量（施工产值）×中标监理费率×80%</w:t>
            </w:r>
            <w:r>
              <w:rPr>
                <w:rFonts w:hint="eastAsia" w:ascii="宋体" w:hAnsi="宋体" w:cs="宋体"/>
                <w:color w:val="auto"/>
                <w:kern w:val="0"/>
                <w:szCs w:val="24"/>
              </w:rPr>
              <w:t>。</w:t>
            </w:r>
          </w:p>
          <w:p w14:paraId="293C2FDF">
            <w:pPr>
              <w:pStyle w:val="97"/>
              <w:adjustRightInd w:val="0"/>
              <w:snapToGrid w:val="0"/>
              <w:spacing w:line="360" w:lineRule="auto"/>
              <w:rPr>
                <w:rFonts w:hint="eastAsia" w:ascii="宋体" w:hAnsi="宋体" w:cs="宋体"/>
                <w:color w:val="auto"/>
                <w:kern w:val="0"/>
                <w:szCs w:val="24"/>
              </w:rPr>
            </w:pPr>
            <w:r>
              <w:rPr>
                <w:rFonts w:hint="eastAsia" w:ascii="宋体" w:hAnsi="宋体" w:cs="宋体"/>
                <w:color w:val="auto"/>
                <w:kern w:val="0"/>
                <w:szCs w:val="24"/>
              </w:rPr>
              <w:t>（2）最终监理服务费结算及支付：最终监理服务费结算价＝∑</w:t>
            </w:r>
            <w:r>
              <w:rPr>
                <w:rFonts w:hint="eastAsia" w:ascii="宋体" w:hAnsi="宋体" w:cs="宋体"/>
                <w:color w:val="auto"/>
                <w:kern w:val="0"/>
                <w:szCs w:val="24"/>
                <w:lang w:eastAsia="zh-CN"/>
              </w:rPr>
              <w:t>（</w:t>
            </w:r>
            <w:r>
              <w:rPr>
                <w:rFonts w:hint="eastAsia" w:ascii="宋体" w:hAnsi="宋体" w:cs="宋体"/>
                <w:color w:val="auto"/>
                <w:kern w:val="0"/>
                <w:szCs w:val="24"/>
              </w:rPr>
              <w:t>施工</w:t>
            </w:r>
            <w:r>
              <w:rPr>
                <w:rFonts w:hint="eastAsia" w:ascii="宋体" w:hAnsi="宋体" w:cs="宋体"/>
                <w:color w:val="auto"/>
                <w:kern w:val="0"/>
                <w:szCs w:val="24"/>
                <w:lang w:val="en-US" w:eastAsia="zh-CN"/>
              </w:rPr>
              <w:t>工程结算价</w:t>
            </w:r>
            <w:r>
              <w:rPr>
                <w:rFonts w:hint="eastAsia" w:ascii="宋体" w:hAnsi="宋体" w:cs="宋体"/>
                <w:color w:val="auto"/>
                <w:kern w:val="0"/>
                <w:szCs w:val="24"/>
                <w:lang w:eastAsia="zh-CN"/>
              </w:rPr>
              <w:t>）</w:t>
            </w:r>
            <w:r>
              <w:rPr>
                <w:rFonts w:hint="eastAsia" w:ascii="宋体" w:hAnsi="宋体" w:cs="宋体"/>
                <w:color w:val="auto"/>
                <w:kern w:val="0"/>
                <w:szCs w:val="24"/>
              </w:rPr>
              <w:t>×中标监理费率。监理合同范围内所有工程竣工验收合格且办理</w:t>
            </w:r>
            <w:r>
              <w:rPr>
                <w:rFonts w:hint="eastAsia" w:ascii="宋体" w:hAnsi="宋体" w:cs="宋体"/>
                <w:color w:val="auto"/>
                <w:kern w:val="0"/>
                <w:szCs w:val="24"/>
                <w:lang w:val="en-US" w:eastAsia="zh-CN"/>
              </w:rPr>
              <w:t>移交</w:t>
            </w:r>
            <w:r>
              <w:rPr>
                <w:rFonts w:hint="eastAsia" w:ascii="宋体" w:hAnsi="宋体" w:cs="宋体"/>
                <w:color w:val="auto"/>
                <w:kern w:val="0"/>
                <w:szCs w:val="24"/>
              </w:rPr>
              <w:t>手续后累计支付至最终监理服务费结算价97%，剩余款项待本工程</w:t>
            </w:r>
            <w:r>
              <w:rPr>
                <w:rFonts w:hint="eastAsia" w:ascii="宋体" w:hAnsi="宋体" w:eastAsia="宋体" w:cs="宋体"/>
                <w:color w:val="auto"/>
                <w:kern w:val="0"/>
                <w:szCs w:val="24"/>
              </w:rPr>
              <w:t>质保期</w:t>
            </w:r>
            <w:r>
              <w:rPr>
                <w:rFonts w:hint="eastAsia" w:ascii="宋体" w:hAnsi="宋体" w:cs="宋体"/>
                <w:color w:val="auto"/>
                <w:kern w:val="0"/>
                <w:szCs w:val="24"/>
              </w:rPr>
              <w:t>（两年）满后付清（不计利息）。</w:t>
            </w:r>
          </w:p>
          <w:p w14:paraId="61B54FEF">
            <w:pPr>
              <w:pStyle w:val="97"/>
              <w:adjustRightInd w:val="0"/>
              <w:snapToGrid w:val="0"/>
              <w:spacing w:line="360" w:lineRule="auto"/>
              <w:rPr>
                <w:rFonts w:hint="eastAsia" w:ascii="宋体" w:hAnsi="宋体" w:cs="宋体"/>
                <w:color w:val="auto"/>
                <w:kern w:val="0"/>
                <w:szCs w:val="24"/>
              </w:rPr>
            </w:pPr>
            <w:r>
              <w:rPr>
                <w:rFonts w:hint="eastAsia" w:ascii="宋体" w:hAnsi="宋体" w:cs="宋体"/>
                <w:color w:val="auto"/>
                <w:kern w:val="0"/>
                <w:szCs w:val="24"/>
              </w:rPr>
              <w:t>（3）工程施工工期延期时，监理服务期相应顺延，并且监理费不予调整。</w:t>
            </w:r>
          </w:p>
          <w:p w14:paraId="24153359">
            <w:pPr>
              <w:spacing w:line="360" w:lineRule="auto"/>
              <w:rPr>
                <w:rFonts w:ascii="宋体" w:hAnsi="宋体" w:cs="宋体"/>
                <w:color w:val="auto"/>
                <w:sz w:val="24"/>
                <w:szCs w:val="24"/>
              </w:rPr>
            </w:pPr>
            <w:r>
              <w:rPr>
                <w:rFonts w:hint="eastAsia" w:ascii="宋体" w:hAnsi="宋体" w:cs="宋体"/>
                <w:color w:val="auto"/>
                <w:sz w:val="24"/>
                <w:szCs w:val="24"/>
              </w:rPr>
              <w:t>开票要求：在付款前乙方须按照一般计税方法提供增值税专用发票(税率6%)，如未按约定开具增值税专用发票或实际开具的增值税专用发票税率低于合同中约定税率的，乙方应向甲方支付无法抵扣部分的税款金额。</w:t>
            </w:r>
          </w:p>
          <w:p w14:paraId="72A7C5AC">
            <w:pPr>
              <w:spacing w:line="360" w:lineRule="auto"/>
              <w:rPr>
                <w:rFonts w:ascii="宋体" w:hAnsi="宋体" w:cs="宋体"/>
                <w:b/>
                <w:bCs/>
                <w:color w:val="auto"/>
                <w:sz w:val="24"/>
                <w:szCs w:val="24"/>
              </w:rPr>
            </w:pPr>
            <w:r>
              <w:rPr>
                <w:rFonts w:hint="eastAsia" w:ascii="宋体" w:hAnsi="宋体" w:cs="宋体"/>
                <w:color w:val="auto"/>
                <w:sz w:val="24"/>
                <w:szCs w:val="24"/>
              </w:rPr>
              <w:t>投标人提交的投标文件中如有关于付款条件的表述与招标文件规定不符，将被视为实质性不响应，将导致投标无效。</w:t>
            </w:r>
          </w:p>
        </w:tc>
      </w:tr>
      <w:tr w14:paraId="7A9E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vAlign w:val="center"/>
          </w:tcPr>
          <w:p w14:paraId="3AB7A655">
            <w:pPr>
              <w:ind w:right="102"/>
              <w:jc w:val="center"/>
              <w:rPr>
                <w:rFonts w:ascii="宋体" w:hAnsi="宋体" w:cs="宋体"/>
                <w:color w:val="auto"/>
                <w:sz w:val="24"/>
                <w:szCs w:val="24"/>
                <w:lang w:val="zh-CN"/>
              </w:rPr>
            </w:pPr>
            <w:r>
              <w:rPr>
                <w:rFonts w:hint="eastAsia" w:ascii="宋体" w:hAnsi="宋体" w:cs="宋体"/>
                <w:color w:val="auto"/>
                <w:sz w:val="24"/>
                <w:szCs w:val="24"/>
                <w:lang w:val="zh-CN"/>
              </w:rPr>
              <w:t>10</w:t>
            </w:r>
          </w:p>
        </w:tc>
        <w:tc>
          <w:tcPr>
            <w:tcW w:w="1910" w:type="dxa"/>
            <w:vAlign w:val="center"/>
          </w:tcPr>
          <w:p w14:paraId="4DFEEDAB">
            <w:pPr>
              <w:jc w:val="center"/>
              <w:rPr>
                <w:rFonts w:ascii="宋体" w:hAnsi="宋体" w:cs="宋体"/>
                <w:color w:val="auto"/>
                <w:sz w:val="24"/>
                <w:szCs w:val="24"/>
              </w:rPr>
            </w:pPr>
            <w:r>
              <w:rPr>
                <w:rFonts w:hint="eastAsia" w:ascii="宋体" w:hAnsi="宋体" w:cs="宋体"/>
                <w:color w:val="auto"/>
                <w:sz w:val="24"/>
                <w:szCs w:val="24"/>
              </w:rPr>
              <w:t>联合体投标</w:t>
            </w:r>
          </w:p>
        </w:tc>
        <w:tc>
          <w:tcPr>
            <w:tcW w:w="6514" w:type="dxa"/>
            <w:vAlign w:val="center"/>
          </w:tcPr>
          <w:p w14:paraId="05FDF98E">
            <w:pPr>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lang w:val="zh-CN"/>
              </w:rPr>
              <w:t xml:space="preserve">允许   </w:t>
            </w:r>
            <w:r>
              <w:rPr>
                <w:rFonts w:hint="eastAsia" w:ascii="宋体" w:hAnsi="宋体" w:cs="宋体"/>
                <w:b/>
                <w:bCs/>
                <w:color w:val="auto"/>
                <w:sz w:val="24"/>
                <w:szCs w:val="24"/>
              </w:rPr>
              <w:sym w:font="Wingdings" w:char="F0FE"/>
            </w:r>
            <w:r>
              <w:rPr>
                <w:rFonts w:hint="eastAsia" w:ascii="宋体" w:hAnsi="宋体" w:cs="宋体"/>
                <w:color w:val="auto"/>
                <w:sz w:val="24"/>
                <w:szCs w:val="24"/>
              </w:rPr>
              <w:t>不允许</w:t>
            </w:r>
          </w:p>
        </w:tc>
      </w:tr>
      <w:tr w14:paraId="47B3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vAlign w:val="center"/>
          </w:tcPr>
          <w:p w14:paraId="31F5CAEE">
            <w:pPr>
              <w:jc w:val="center"/>
              <w:rPr>
                <w:rFonts w:ascii="宋体" w:hAnsi="宋体" w:cs="宋体"/>
                <w:color w:val="auto"/>
                <w:sz w:val="24"/>
                <w:szCs w:val="24"/>
              </w:rPr>
            </w:pPr>
            <w:r>
              <w:rPr>
                <w:rFonts w:hint="eastAsia" w:ascii="宋体" w:hAnsi="宋体" w:cs="宋体"/>
                <w:color w:val="auto"/>
                <w:sz w:val="24"/>
                <w:szCs w:val="24"/>
              </w:rPr>
              <w:t>11</w:t>
            </w:r>
          </w:p>
        </w:tc>
        <w:tc>
          <w:tcPr>
            <w:tcW w:w="1910" w:type="dxa"/>
            <w:vAlign w:val="center"/>
          </w:tcPr>
          <w:p w14:paraId="363C8DF7">
            <w:pPr>
              <w:jc w:val="center"/>
              <w:rPr>
                <w:rFonts w:ascii="宋体" w:hAnsi="宋体" w:cs="宋体"/>
                <w:color w:val="auto"/>
                <w:sz w:val="24"/>
                <w:szCs w:val="24"/>
                <w:lang w:val="zh-CN"/>
              </w:rPr>
            </w:pPr>
            <w:r>
              <w:rPr>
                <w:rFonts w:hint="eastAsia" w:ascii="宋体" w:hAnsi="宋体" w:cs="宋体"/>
                <w:color w:val="auto"/>
                <w:sz w:val="24"/>
                <w:szCs w:val="24"/>
              </w:rPr>
              <w:t>投标有效期</w:t>
            </w:r>
          </w:p>
        </w:tc>
        <w:tc>
          <w:tcPr>
            <w:tcW w:w="6514" w:type="dxa"/>
            <w:vAlign w:val="center"/>
          </w:tcPr>
          <w:p w14:paraId="028D6824">
            <w:pPr>
              <w:rPr>
                <w:rFonts w:ascii="宋体" w:hAnsi="宋体" w:cs="宋体"/>
                <w:color w:val="auto"/>
                <w:sz w:val="24"/>
                <w:szCs w:val="24"/>
              </w:rPr>
            </w:pPr>
            <w:r>
              <w:rPr>
                <w:rFonts w:hint="eastAsia" w:ascii="宋体" w:hAnsi="宋体" w:cs="宋体"/>
                <w:bCs/>
                <w:color w:val="auto"/>
                <w:sz w:val="24"/>
                <w:szCs w:val="24"/>
              </w:rPr>
              <w:t>开标后</w:t>
            </w:r>
            <w:r>
              <w:rPr>
                <w:rFonts w:hint="eastAsia" w:ascii="宋体" w:hAnsi="宋体" w:cs="宋体"/>
                <w:bCs/>
                <w:color w:val="auto"/>
                <w:sz w:val="24"/>
                <w:szCs w:val="24"/>
                <w:u w:val="single"/>
              </w:rPr>
              <w:t>30</w:t>
            </w:r>
            <w:r>
              <w:rPr>
                <w:rFonts w:hint="eastAsia" w:ascii="宋体" w:hAnsi="宋体" w:cs="宋体"/>
                <w:bCs/>
                <w:color w:val="auto"/>
                <w:sz w:val="24"/>
                <w:szCs w:val="24"/>
              </w:rPr>
              <w:t>天</w:t>
            </w:r>
          </w:p>
        </w:tc>
      </w:tr>
      <w:tr w14:paraId="011D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66" w:type="dxa"/>
            <w:vAlign w:val="center"/>
          </w:tcPr>
          <w:p w14:paraId="45CF43AD">
            <w:pPr>
              <w:jc w:val="center"/>
              <w:rPr>
                <w:rFonts w:ascii="宋体" w:hAnsi="宋体" w:cs="宋体"/>
                <w:color w:val="auto"/>
                <w:sz w:val="24"/>
                <w:szCs w:val="24"/>
              </w:rPr>
            </w:pPr>
            <w:r>
              <w:rPr>
                <w:rFonts w:hint="eastAsia" w:ascii="宋体" w:hAnsi="宋体" w:cs="宋体"/>
                <w:color w:val="auto"/>
                <w:sz w:val="24"/>
                <w:szCs w:val="24"/>
              </w:rPr>
              <w:t>12</w:t>
            </w:r>
          </w:p>
        </w:tc>
        <w:tc>
          <w:tcPr>
            <w:tcW w:w="1910" w:type="dxa"/>
            <w:vAlign w:val="center"/>
          </w:tcPr>
          <w:p w14:paraId="11F9722F">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服务（供货）周期</w:t>
            </w:r>
          </w:p>
        </w:tc>
        <w:tc>
          <w:tcPr>
            <w:tcW w:w="6514" w:type="dxa"/>
            <w:vAlign w:val="center"/>
          </w:tcPr>
          <w:p w14:paraId="025A232F">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6个月</w:t>
            </w:r>
          </w:p>
        </w:tc>
      </w:tr>
      <w:tr w14:paraId="2B71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66" w:type="dxa"/>
            <w:vAlign w:val="center"/>
          </w:tcPr>
          <w:p w14:paraId="7BA5E4E8">
            <w:pPr>
              <w:jc w:val="center"/>
              <w:rPr>
                <w:rFonts w:ascii="宋体" w:hAnsi="宋体" w:cs="宋体"/>
                <w:color w:val="auto"/>
                <w:sz w:val="24"/>
                <w:szCs w:val="24"/>
                <w:highlight w:val="none"/>
              </w:rPr>
            </w:pPr>
            <w:r>
              <w:rPr>
                <w:rFonts w:hint="eastAsia" w:ascii="宋体" w:hAnsi="宋体" w:cs="宋体"/>
                <w:color w:val="auto"/>
                <w:sz w:val="24"/>
                <w:szCs w:val="24"/>
                <w:highlight w:val="none"/>
              </w:rPr>
              <w:t>13</w:t>
            </w:r>
          </w:p>
        </w:tc>
        <w:tc>
          <w:tcPr>
            <w:tcW w:w="1910" w:type="dxa"/>
            <w:vAlign w:val="center"/>
          </w:tcPr>
          <w:p w14:paraId="7F9CFC9A">
            <w:pPr>
              <w:pStyle w:val="84"/>
              <w:pBdr>
                <w:bottom w:val="none" w:color="auto" w:sz="0" w:space="0"/>
              </w:pBdr>
              <w:tabs>
                <w:tab w:val="clear" w:pos="4153"/>
                <w:tab w:val="clear" w:pos="8306"/>
              </w:tabs>
              <w:adjustRightInd/>
              <w:spacing w:line="240" w:lineRule="auto"/>
              <w:textAlignment w:val="auto"/>
              <w:rPr>
                <w:rFonts w:ascii="宋体" w:hAnsi="宋体" w:cs="宋体"/>
                <w:color w:val="auto"/>
                <w:kern w:val="2"/>
                <w:szCs w:val="24"/>
                <w:highlight w:val="none"/>
                <w:lang w:val="zh-CN"/>
              </w:rPr>
            </w:pPr>
            <w:r>
              <w:rPr>
                <w:rFonts w:hint="eastAsia" w:ascii="宋体" w:hAnsi="宋体" w:cs="宋体"/>
                <w:color w:val="auto"/>
                <w:kern w:val="2"/>
                <w:szCs w:val="24"/>
                <w:highlight w:val="none"/>
              </w:rPr>
              <w:t>投标保证金</w:t>
            </w:r>
          </w:p>
        </w:tc>
        <w:tc>
          <w:tcPr>
            <w:tcW w:w="6514" w:type="dxa"/>
            <w:vAlign w:val="center"/>
          </w:tcPr>
          <w:p w14:paraId="6CEE2959">
            <w:pPr>
              <w:snapToGrid w:val="0"/>
              <w:rPr>
                <w:color w:val="auto"/>
                <w:highlight w:val="none"/>
              </w:rPr>
            </w:pPr>
            <w:r>
              <w:rPr>
                <w:rFonts w:hint="eastAsia"/>
                <w:color w:val="auto"/>
                <w:highlight w:val="none"/>
              </w:rPr>
              <w:t>是否要求投标人递交投标保证金：</w:t>
            </w:r>
          </w:p>
          <w:p w14:paraId="6274F2BB">
            <w:pPr>
              <w:snapToGrid w:val="0"/>
              <w:rPr>
                <w:color w:val="auto"/>
                <w:highlight w:val="none"/>
              </w:rPr>
            </w:pPr>
            <w:r>
              <w:rPr>
                <w:rFonts w:hint="eastAsia"/>
                <w:color w:val="auto"/>
                <w:highlight w:val="none"/>
              </w:rPr>
              <w:sym w:font="Wingdings 2" w:char="00A3"/>
            </w:r>
            <w:r>
              <w:rPr>
                <w:rFonts w:hint="eastAsia"/>
                <w:color w:val="auto"/>
                <w:highlight w:val="none"/>
              </w:rPr>
              <w:t xml:space="preserve">要求      </w:t>
            </w:r>
            <w:r>
              <w:rPr>
                <w:rFonts w:hint="eastAsia"/>
                <w:color w:val="auto"/>
                <w:highlight w:val="none"/>
              </w:rPr>
              <w:sym w:font="Wingdings 2" w:char="0052"/>
            </w:r>
            <w:r>
              <w:rPr>
                <w:rFonts w:hint="eastAsia"/>
                <w:color w:val="auto"/>
                <w:highlight w:val="none"/>
              </w:rPr>
              <w:t>不要求</w:t>
            </w:r>
          </w:p>
          <w:p w14:paraId="6D6D744F">
            <w:pPr>
              <w:snapToGrid w:val="0"/>
              <w:rPr>
                <w:color w:val="auto"/>
                <w:highlight w:val="none"/>
              </w:rPr>
            </w:pPr>
            <w:r>
              <w:rPr>
                <w:rFonts w:hint="eastAsia"/>
                <w:color w:val="auto"/>
                <w:highlight w:val="none"/>
              </w:rPr>
              <w:t xml:space="preserve">投标保证金的形式： </w:t>
            </w:r>
            <w:r>
              <w:rPr>
                <w:rFonts w:hint="eastAsia"/>
                <w:color w:val="auto"/>
                <w:highlight w:val="none"/>
              </w:rPr>
              <w:sym w:font="Wingdings 2" w:char="0052"/>
            </w:r>
            <w:r>
              <w:rPr>
                <w:rFonts w:hint="eastAsia"/>
                <w:color w:val="auto"/>
                <w:highlight w:val="none"/>
              </w:rPr>
              <w:t xml:space="preserve">银行保函 </w:t>
            </w:r>
            <w:r>
              <w:rPr>
                <w:rFonts w:hint="eastAsia"/>
                <w:color w:val="auto"/>
                <w:highlight w:val="none"/>
              </w:rPr>
              <w:sym w:font="Wingdings 2" w:char="00A3"/>
            </w:r>
            <w:r>
              <w:rPr>
                <w:rFonts w:hint="eastAsia"/>
                <w:color w:val="auto"/>
                <w:highlight w:val="none"/>
              </w:rPr>
              <w:t>担保机构担保</w:t>
            </w:r>
          </w:p>
          <w:p w14:paraId="5AD35BF7">
            <w:pPr>
              <w:snapToGrid w:val="0"/>
              <w:rPr>
                <w:color w:val="auto"/>
                <w:highlight w:val="none"/>
              </w:rPr>
            </w:pPr>
            <w:r>
              <w:rPr>
                <w:rFonts w:hint="eastAsia"/>
                <w:color w:val="auto"/>
                <w:highlight w:val="none"/>
              </w:rPr>
              <w:t>投标保证金的金额：人民币</w:t>
            </w:r>
            <w:r>
              <w:rPr>
                <w:rFonts w:hint="eastAsia"/>
                <w:color w:val="auto"/>
                <w:highlight w:val="none"/>
                <w:u w:val="single"/>
              </w:rPr>
              <w:t xml:space="preserve"> / </w:t>
            </w:r>
            <w:r>
              <w:rPr>
                <w:rFonts w:hint="eastAsia"/>
                <w:color w:val="auto"/>
                <w:highlight w:val="none"/>
              </w:rPr>
              <w:t>万元</w:t>
            </w:r>
          </w:p>
          <w:p w14:paraId="25CC446D">
            <w:pPr>
              <w:rPr>
                <w:rFonts w:ascii="宋体" w:hAnsi="宋体" w:cs="宋体"/>
                <w:bCs/>
                <w:color w:val="auto"/>
                <w:sz w:val="24"/>
                <w:szCs w:val="24"/>
                <w:highlight w:val="none"/>
              </w:rPr>
            </w:pPr>
            <w:r>
              <w:rPr>
                <w:rFonts w:hint="eastAsia" w:cs="楷体"/>
                <w:b/>
                <w:bCs/>
                <w:snapToGrid w:val="0"/>
                <w:color w:val="auto"/>
                <w:kern w:val="0"/>
                <w:sz w:val="24"/>
                <w:szCs w:val="24"/>
                <w:highlight w:val="none"/>
              </w:rPr>
              <w:t>注：银行保函及担保机构担保均无需提供原件，复印件置于投标文件第六部分资格证明文件里即可！</w:t>
            </w:r>
          </w:p>
        </w:tc>
      </w:tr>
      <w:tr w14:paraId="2A81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66" w:type="dxa"/>
            <w:vAlign w:val="center"/>
          </w:tcPr>
          <w:p w14:paraId="0AEC2AB7">
            <w:pPr>
              <w:jc w:val="center"/>
              <w:rPr>
                <w:rFonts w:ascii="宋体" w:hAnsi="宋体" w:cs="宋体"/>
                <w:color w:val="auto"/>
                <w:sz w:val="24"/>
                <w:szCs w:val="24"/>
              </w:rPr>
            </w:pPr>
            <w:r>
              <w:rPr>
                <w:rFonts w:hint="eastAsia" w:ascii="宋体" w:hAnsi="宋体" w:cs="宋体"/>
                <w:color w:val="auto"/>
                <w:sz w:val="24"/>
                <w:szCs w:val="24"/>
              </w:rPr>
              <w:t>14</w:t>
            </w:r>
          </w:p>
        </w:tc>
        <w:tc>
          <w:tcPr>
            <w:tcW w:w="1910" w:type="dxa"/>
            <w:vAlign w:val="center"/>
          </w:tcPr>
          <w:p w14:paraId="437C99C9">
            <w:pPr>
              <w:jc w:val="center"/>
              <w:rPr>
                <w:rFonts w:ascii="宋体" w:hAnsi="宋体" w:cs="宋体"/>
                <w:color w:val="auto"/>
                <w:sz w:val="24"/>
                <w:szCs w:val="24"/>
              </w:rPr>
            </w:pPr>
            <w:r>
              <w:rPr>
                <w:rFonts w:hint="eastAsia" w:ascii="宋体" w:hAnsi="宋体" w:cs="宋体"/>
                <w:bCs/>
                <w:color w:val="auto"/>
                <w:sz w:val="24"/>
                <w:szCs w:val="24"/>
              </w:rPr>
              <w:t>答疑</w:t>
            </w:r>
          </w:p>
        </w:tc>
        <w:tc>
          <w:tcPr>
            <w:tcW w:w="6514" w:type="dxa"/>
            <w:vAlign w:val="center"/>
          </w:tcPr>
          <w:p w14:paraId="101A2A19">
            <w:pPr>
              <w:rPr>
                <w:rFonts w:ascii="宋体" w:hAnsi="宋体" w:cs="宋体"/>
                <w:color w:val="auto"/>
                <w:sz w:val="24"/>
                <w:szCs w:val="24"/>
                <w:highlight w:val="none"/>
              </w:rPr>
            </w:pPr>
            <w:r>
              <w:rPr>
                <w:rFonts w:hint="eastAsia" w:ascii="宋体" w:hAnsi="宋体" w:cs="宋体"/>
                <w:color w:val="auto"/>
                <w:sz w:val="24"/>
                <w:szCs w:val="24"/>
                <w:highlight w:val="none"/>
              </w:rPr>
              <w:t>20</w:t>
            </w:r>
            <w:r>
              <w:rPr>
                <w:rFonts w:hint="eastAsia" w:ascii="宋体" w:hAnsi="宋体" w:cs="宋体"/>
                <w:color w:val="auto"/>
                <w:sz w:val="24"/>
                <w:szCs w:val="24"/>
                <w:highlight w:val="none"/>
                <w:u w:val="single"/>
              </w:rPr>
              <w:t>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10</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12</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sz w:val="24"/>
                <w:szCs w:val="24"/>
                <w:highlight w:val="none"/>
                <w:u w:val="single"/>
                <w:lang w:val="en-US" w:eastAsia="zh-CN"/>
              </w:rPr>
              <w:t>15</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0</w:t>
            </w:r>
            <w:r>
              <w:rPr>
                <w:rFonts w:hint="eastAsia" w:ascii="宋体" w:hAnsi="宋体" w:cs="宋体"/>
                <w:color w:val="auto"/>
                <w:sz w:val="24"/>
                <w:szCs w:val="24"/>
                <w:highlight w:val="none"/>
                <w:u w:val="single"/>
              </w:rPr>
              <w:t>0</w:t>
            </w:r>
            <w:r>
              <w:rPr>
                <w:rFonts w:hint="eastAsia" w:ascii="宋体" w:hAnsi="宋体" w:cs="宋体"/>
                <w:color w:val="auto"/>
                <w:sz w:val="24"/>
                <w:szCs w:val="24"/>
                <w:highlight w:val="none"/>
                <w:u w:val="none"/>
              </w:rPr>
              <w:t>前</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rPr>
              <w:t>书面形式递交至滨湖集团</w:t>
            </w:r>
            <w:r>
              <w:rPr>
                <w:rFonts w:hint="eastAsia" w:ascii="宋体" w:hAnsi="宋体" w:cs="宋体"/>
                <w:color w:val="auto"/>
                <w:sz w:val="24"/>
                <w:szCs w:val="24"/>
                <w:lang w:val="en-US" w:eastAsia="zh-CN"/>
              </w:rPr>
              <w:t>6楼601室</w:t>
            </w:r>
            <w:r>
              <w:rPr>
                <w:rFonts w:hint="eastAsia" w:ascii="宋体" w:hAnsi="宋体" w:eastAsia="宋体" w:cs="宋体"/>
                <w:color w:val="auto"/>
                <w:sz w:val="24"/>
                <w:szCs w:val="24"/>
              </w:rPr>
              <w:t>。</w:t>
            </w:r>
            <w:bookmarkStart w:id="94" w:name="_GoBack"/>
            <w:bookmarkEnd w:id="94"/>
          </w:p>
        </w:tc>
      </w:tr>
      <w:tr w14:paraId="79EB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vAlign w:val="center"/>
          </w:tcPr>
          <w:p w14:paraId="62FCAA9E">
            <w:pPr>
              <w:jc w:val="center"/>
              <w:rPr>
                <w:rFonts w:ascii="宋体" w:hAnsi="宋体" w:cs="宋体"/>
                <w:color w:val="auto"/>
                <w:sz w:val="24"/>
                <w:szCs w:val="24"/>
              </w:rPr>
            </w:pPr>
            <w:r>
              <w:rPr>
                <w:rFonts w:hint="eastAsia" w:ascii="宋体" w:hAnsi="宋体" w:cs="宋体"/>
                <w:color w:val="auto"/>
                <w:sz w:val="24"/>
                <w:szCs w:val="24"/>
              </w:rPr>
              <w:t>15</w:t>
            </w:r>
          </w:p>
        </w:tc>
        <w:tc>
          <w:tcPr>
            <w:tcW w:w="1910" w:type="dxa"/>
            <w:vAlign w:val="center"/>
          </w:tcPr>
          <w:p w14:paraId="491500E0">
            <w:pPr>
              <w:jc w:val="center"/>
              <w:rPr>
                <w:rFonts w:ascii="宋体" w:hAnsi="宋体" w:cs="宋体"/>
                <w:bCs/>
                <w:color w:val="auto"/>
                <w:sz w:val="24"/>
                <w:szCs w:val="24"/>
              </w:rPr>
            </w:pPr>
            <w:r>
              <w:rPr>
                <w:rFonts w:hint="eastAsia" w:ascii="宋体" w:hAnsi="宋体" w:cs="宋体"/>
                <w:bCs/>
                <w:color w:val="auto"/>
                <w:sz w:val="24"/>
                <w:szCs w:val="24"/>
              </w:rPr>
              <w:t>勘察现场</w:t>
            </w:r>
          </w:p>
        </w:tc>
        <w:tc>
          <w:tcPr>
            <w:tcW w:w="6514" w:type="dxa"/>
            <w:vAlign w:val="center"/>
          </w:tcPr>
          <w:p w14:paraId="2FB1E9B3">
            <w:pPr>
              <w:rPr>
                <w:rFonts w:ascii="宋体" w:hAnsi="宋体" w:cs="宋体"/>
                <w:bCs/>
                <w:color w:val="auto"/>
                <w:sz w:val="24"/>
                <w:szCs w:val="24"/>
              </w:rPr>
            </w:pPr>
            <w:r>
              <w:rPr>
                <w:rFonts w:hint="eastAsia" w:ascii="宋体" w:hAnsi="宋体" w:cs="宋体"/>
                <w:b/>
                <w:bCs/>
                <w:color w:val="auto"/>
                <w:sz w:val="24"/>
                <w:szCs w:val="24"/>
              </w:rPr>
              <w:sym w:font="Wingdings" w:char="F0FE"/>
            </w:r>
            <w:r>
              <w:rPr>
                <w:rFonts w:hint="eastAsia" w:ascii="宋体" w:hAnsi="宋体" w:cs="宋体"/>
                <w:bCs/>
                <w:color w:val="auto"/>
                <w:sz w:val="24"/>
                <w:szCs w:val="24"/>
              </w:rPr>
              <w:t xml:space="preserve">自行勘察  </w:t>
            </w:r>
            <w:r>
              <w:rPr>
                <w:rFonts w:hint="eastAsia" w:ascii="宋体" w:hAnsi="宋体" w:cs="宋体"/>
                <w:color w:val="auto"/>
                <w:sz w:val="24"/>
                <w:szCs w:val="24"/>
              </w:rPr>
              <w:t>□</w:t>
            </w:r>
            <w:r>
              <w:rPr>
                <w:rFonts w:hint="eastAsia" w:ascii="宋体" w:hAnsi="宋体" w:cs="宋体"/>
                <w:bCs/>
                <w:color w:val="auto"/>
                <w:sz w:val="24"/>
                <w:szCs w:val="24"/>
              </w:rPr>
              <w:t xml:space="preserve"> 统一组织</w:t>
            </w:r>
          </w:p>
        </w:tc>
      </w:tr>
      <w:tr w14:paraId="5785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66" w:type="dxa"/>
            <w:vAlign w:val="center"/>
          </w:tcPr>
          <w:p w14:paraId="4433F440">
            <w:pPr>
              <w:jc w:val="center"/>
              <w:rPr>
                <w:rFonts w:ascii="宋体" w:hAnsi="宋体" w:cs="宋体"/>
                <w:color w:val="auto"/>
                <w:sz w:val="24"/>
                <w:szCs w:val="24"/>
              </w:rPr>
            </w:pPr>
            <w:r>
              <w:rPr>
                <w:rFonts w:hint="eastAsia" w:ascii="宋体" w:hAnsi="宋体" w:cs="宋体"/>
                <w:color w:val="auto"/>
                <w:sz w:val="24"/>
                <w:szCs w:val="24"/>
              </w:rPr>
              <w:t>16</w:t>
            </w:r>
          </w:p>
        </w:tc>
        <w:tc>
          <w:tcPr>
            <w:tcW w:w="1910" w:type="dxa"/>
            <w:vAlign w:val="center"/>
          </w:tcPr>
          <w:p w14:paraId="0EF27123">
            <w:pPr>
              <w:jc w:val="center"/>
              <w:rPr>
                <w:rFonts w:ascii="宋体" w:hAnsi="宋体" w:cs="宋体"/>
                <w:color w:val="auto"/>
                <w:sz w:val="24"/>
                <w:szCs w:val="24"/>
              </w:rPr>
            </w:pPr>
            <w:r>
              <w:rPr>
                <w:rFonts w:hint="eastAsia" w:ascii="宋体" w:hAnsi="宋体" w:cs="宋体"/>
                <w:color w:val="auto"/>
                <w:sz w:val="24"/>
                <w:szCs w:val="24"/>
              </w:rPr>
              <w:t>评标办法</w:t>
            </w:r>
          </w:p>
        </w:tc>
        <w:tc>
          <w:tcPr>
            <w:tcW w:w="6514" w:type="dxa"/>
            <w:vAlign w:val="center"/>
          </w:tcPr>
          <w:p w14:paraId="5388F09F">
            <w:pPr>
              <w:rPr>
                <w:rFonts w:ascii="宋体" w:hAnsi="宋体" w:cs="宋体"/>
                <w:color w:val="auto"/>
                <w:sz w:val="24"/>
                <w:szCs w:val="24"/>
              </w:rPr>
            </w:pPr>
            <w:r>
              <w:rPr>
                <w:rFonts w:hint="eastAsia" w:ascii="宋体" w:hAnsi="宋体" w:cs="宋体"/>
                <w:color w:val="auto"/>
                <w:sz w:val="24"/>
                <w:szCs w:val="24"/>
              </w:rPr>
              <w:t>综合评分法，详见招标文件第一部分第四章评标办法。</w:t>
            </w:r>
          </w:p>
        </w:tc>
      </w:tr>
      <w:tr w14:paraId="2610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vAlign w:val="center"/>
          </w:tcPr>
          <w:p w14:paraId="48AF27FA">
            <w:pPr>
              <w:jc w:val="center"/>
              <w:rPr>
                <w:rFonts w:ascii="宋体" w:hAnsi="宋体" w:cs="宋体"/>
                <w:color w:val="auto"/>
                <w:sz w:val="24"/>
                <w:szCs w:val="24"/>
              </w:rPr>
            </w:pPr>
            <w:r>
              <w:rPr>
                <w:rFonts w:hint="eastAsia" w:ascii="宋体" w:hAnsi="宋体" w:cs="宋体"/>
                <w:color w:val="auto"/>
                <w:sz w:val="24"/>
                <w:szCs w:val="24"/>
              </w:rPr>
              <w:t>17</w:t>
            </w:r>
          </w:p>
        </w:tc>
        <w:tc>
          <w:tcPr>
            <w:tcW w:w="1910" w:type="dxa"/>
            <w:vAlign w:val="center"/>
          </w:tcPr>
          <w:p w14:paraId="413C2B47">
            <w:pPr>
              <w:jc w:val="center"/>
              <w:rPr>
                <w:rFonts w:ascii="宋体" w:hAnsi="宋体" w:cs="宋体"/>
                <w:bCs/>
                <w:color w:val="auto"/>
                <w:sz w:val="24"/>
                <w:szCs w:val="24"/>
              </w:rPr>
            </w:pPr>
            <w:r>
              <w:rPr>
                <w:rFonts w:hint="eastAsia" w:ascii="宋体" w:hAnsi="宋体" w:cs="宋体"/>
                <w:bCs/>
                <w:color w:val="auto"/>
                <w:sz w:val="24"/>
                <w:szCs w:val="24"/>
              </w:rPr>
              <w:t>履约保证金</w:t>
            </w:r>
          </w:p>
        </w:tc>
        <w:tc>
          <w:tcPr>
            <w:tcW w:w="6514" w:type="dxa"/>
            <w:vAlign w:val="center"/>
          </w:tcPr>
          <w:p w14:paraId="4DC385C2">
            <w:pPr>
              <w:rPr>
                <w:rFonts w:ascii="宋体" w:hAnsi="宋体" w:cs="宋体"/>
                <w:bCs/>
                <w:color w:val="auto"/>
                <w:sz w:val="24"/>
                <w:szCs w:val="24"/>
              </w:rPr>
            </w:pPr>
            <w:r>
              <w:rPr>
                <w:rFonts w:hint="eastAsia" w:ascii="宋体" w:hAnsi="宋体" w:cs="宋体"/>
                <w:bCs/>
                <w:color w:val="auto"/>
                <w:sz w:val="24"/>
                <w:szCs w:val="24"/>
              </w:rPr>
              <w:t>履约保证金金额：</w:t>
            </w:r>
            <w:r>
              <w:rPr>
                <w:rFonts w:hint="eastAsia" w:ascii="宋体" w:hAnsi="宋体" w:cs="宋体"/>
                <w:bCs/>
                <w:color w:val="auto"/>
                <w:sz w:val="24"/>
                <w:szCs w:val="24"/>
                <w:u w:val="single"/>
              </w:rPr>
              <w:t>中标合同价的</w:t>
            </w:r>
            <w:r>
              <w:rPr>
                <w:rFonts w:hint="eastAsia" w:ascii="宋体" w:hAnsi="宋体" w:cs="宋体"/>
                <w:bCs/>
                <w:color w:val="auto"/>
                <w:sz w:val="24"/>
                <w:szCs w:val="24"/>
                <w:u w:val="single"/>
                <w:lang w:val="en-US" w:eastAsia="zh-CN"/>
              </w:rPr>
              <w:t>2</w:t>
            </w:r>
            <w:r>
              <w:rPr>
                <w:rFonts w:hint="eastAsia" w:ascii="宋体" w:hAnsi="宋体" w:cs="宋体"/>
                <w:bCs/>
                <w:color w:val="auto"/>
                <w:sz w:val="24"/>
                <w:szCs w:val="24"/>
                <w:u w:val="single"/>
              </w:rPr>
              <w:t>%</w:t>
            </w:r>
          </w:p>
          <w:p w14:paraId="6427DC6C">
            <w:pPr>
              <w:rPr>
                <w:rFonts w:ascii="宋体" w:hAnsi="宋体" w:cs="宋体"/>
                <w:bCs/>
                <w:color w:val="auto"/>
                <w:sz w:val="24"/>
                <w:szCs w:val="24"/>
              </w:rPr>
            </w:pPr>
            <w:r>
              <w:rPr>
                <w:rFonts w:hint="eastAsia" w:ascii="宋体" w:hAnsi="宋体" w:cs="宋体"/>
                <w:bCs/>
                <w:color w:val="auto"/>
                <w:sz w:val="24"/>
                <w:szCs w:val="24"/>
              </w:rPr>
              <w:t>支付方式及退还：</w:t>
            </w:r>
            <w:r>
              <w:rPr>
                <w:rFonts w:hint="eastAsia" w:ascii="宋体" w:hAnsi="宋体" w:cs="宋体"/>
                <w:bCs/>
                <w:color w:val="auto"/>
                <w:sz w:val="24"/>
                <w:szCs w:val="24"/>
                <w:u w:val="single"/>
              </w:rPr>
              <w:t>银行转账、履约保函或工程担保机构担保，本项目工程验收合格后无息退还。</w:t>
            </w:r>
          </w:p>
        </w:tc>
      </w:tr>
      <w:tr w14:paraId="2392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vAlign w:val="center"/>
          </w:tcPr>
          <w:p w14:paraId="6491315D">
            <w:pPr>
              <w:jc w:val="center"/>
              <w:rPr>
                <w:rFonts w:ascii="宋体" w:hAnsi="宋体" w:cs="宋体"/>
                <w:color w:val="auto"/>
                <w:sz w:val="24"/>
                <w:szCs w:val="24"/>
              </w:rPr>
            </w:pPr>
            <w:r>
              <w:rPr>
                <w:rFonts w:hint="eastAsia" w:ascii="宋体" w:hAnsi="宋体" w:cs="宋体"/>
                <w:color w:val="auto"/>
                <w:sz w:val="24"/>
                <w:szCs w:val="24"/>
              </w:rPr>
              <w:t>18</w:t>
            </w:r>
          </w:p>
        </w:tc>
        <w:tc>
          <w:tcPr>
            <w:tcW w:w="1910" w:type="dxa"/>
            <w:vAlign w:val="center"/>
          </w:tcPr>
          <w:p w14:paraId="1CBA3FD6">
            <w:pPr>
              <w:jc w:val="center"/>
              <w:rPr>
                <w:rFonts w:ascii="宋体" w:hAnsi="宋体" w:cs="宋体"/>
                <w:color w:val="auto"/>
                <w:sz w:val="24"/>
                <w:szCs w:val="24"/>
              </w:rPr>
            </w:pPr>
            <w:r>
              <w:rPr>
                <w:rFonts w:hint="eastAsia" w:ascii="宋体" w:hAnsi="宋体" w:cs="宋体"/>
                <w:color w:val="auto"/>
                <w:sz w:val="24"/>
                <w:szCs w:val="24"/>
              </w:rPr>
              <w:t>投标人信用记录</w:t>
            </w:r>
          </w:p>
        </w:tc>
        <w:tc>
          <w:tcPr>
            <w:tcW w:w="6514" w:type="dxa"/>
            <w:vAlign w:val="center"/>
          </w:tcPr>
          <w:p w14:paraId="77F6D684">
            <w:pPr>
              <w:spacing w:line="360" w:lineRule="auto"/>
              <w:rPr>
                <w:rFonts w:ascii="宋体" w:hAnsi="宋体" w:cs="宋体"/>
                <w:color w:val="auto"/>
                <w:sz w:val="24"/>
                <w:szCs w:val="24"/>
              </w:rPr>
            </w:pPr>
            <w:r>
              <w:rPr>
                <w:rFonts w:hint="eastAsia" w:ascii="宋体" w:hAnsi="宋体" w:cs="宋体"/>
                <w:color w:val="auto"/>
                <w:sz w:val="24"/>
                <w:szCs w:val="24"/>
              </w:rPr>
              <w:t>1.投标文件中须提供投标人信用承诺（格式见第七章“投标人信用承诺”）【“投标人信用承诺”须盖投标人公章（或投标人电子签章）；联合体投标的，“投标人信用承诺”须由所有联合体成员盖单位公章（或单位电子签章）（分别盖章提供或各方共同在同一份承诺函上盖章均可）】。</w:t>
            </w:r>
            <w:r>
              <w:rPr>
                <w:rFonts w:hint="eastAsia" w:ascii="宋体" w:hAnsi="宋体" w:cs="宋体"/>
                <w:b/>
                <w:color w:val="auto"/>
                <w:sz w:val="24"/>
                <w:szCs w:val="24"/>
              </w:rPr>
              <w:t>（未提供或提供不符合的，投标无效）</w:t>
            </w:r>
          </w:p>
          <w:p w14:paraId="7D13B16B">
            <w:pPr>
              <w:spacing w:line="360" w:lineRule="auto"/>
              <w:rPr>
                <w:rFonts w:ascii="宋体" w:hAnsi="宋体" w:cs="宋体"/>
                <w:color w:val="auto"/>
                <w:sz w:val="24"/>
                <w:szCs w:val="24"/>
              </w:rPr>
            </w:pPr>
            <w:r>
              <w:rPr>
                <w:rFonts w:hint="eastAsia" w:ascii="宋体" w:hAnsi="宋体" w:cs="宋体"/>
                <w:color w:val="auto"/>
                <w:sz w:val="24"/>
                <w:szCs w:val="24"/>
              </w:rPr>
              <w:t>2.若联合体投标的，联合体任何一方存在投标人资格规定的不良信用记录的，视同联合体存在不良信用记录。</w:t>
            </w:r>
          </w:p>
        </w:tc>
      </w:tr>
      <w:tr w14:paraId="7F49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66" w:type="dxa"/>
            <w:vAlign w:val="center"/>
          </w:tcPr>
          <w:p w14:paraId="7647554B">
            <w:pPr>
              <w:jc w:val="center"/>
              <w:rPr>
                <w:rFonts w:ascii="宋体" w:hAnsi="宋体" w:cs="宋体"/>
                <w:color w:val="auto"/>
                <w:sz w:val="24"/>
                <w:szCs w:val="24"/>
              </w:rPr>
            </w:pPr>
            <w:r>
              <w:rPr>
                <w:rFonts w:hint="eastAsia" w:ascii="宋体" w:hAnsi="宋体" w:cs="宋体"/>
                <w:color w:val="auto"/>
                <w:sz w:val="24"/>
                <w:szCs w:val="24"/>
              </w:rPr>
              <w:t>19</w:t>
            </w:r>
          </w:p>
        </w:tc>
        <w:tc>
          <w:tcPr>
            <w:tcW w:w="1910" w:type="dxa"/>
            <w:vAlign w:val="center"/>
          </w:tcPr>
          <w:p w14:paraId="05891B55">
            <w:pPr>
              <w:jc w:val="center"/>
              <w:rPr>
                <w:rFonts w:hint="eastAsia" w:ascii="宋体" w:hAnsi="宋体" w:eastAsia="宋体" w:cs="宋体"/>
                <w:color w:val="auto"/>
                <w:sz w:val="24"/>
                <w:szCs w:val="24"/>
                <w:lang w:eastAsia="zh-CN"/>
              </w:rPr>
            </w:pPr>
            <w:r>
              <w:rPr>
                <w:rFonts w:hint="eastAsia" w:ascii="宋体" w:hAnsi="宋体" w:cs="宋体"/>
                <w:color w:val="auto"/>
                <w:sz w:val="24"/>
                <w:szCs w:val="24"/>
              </w:rPr>
              <w:t>业绩</w:t>
            </w:r>
            <w:r>
              <w:rPr>
                <w:rFonts w:hint="eastAsia" w:ascii="宋体" w:hAnsi="宋体" w:cs="宋体"/>
                <w:color w:val="auto"/>
                <w:sz w:val="24"/>
                <w:szCs w:val="24"/>
                <w:lang w:val="en-US" w:eastAsia="zh-CN"/>
              </w:rPr>
              <w:t>证明材料</w:t>
            </w:r>
          </w:p>
        </w:tc>
        <w:tc>
          <w:tcPr>
            <w:tcW w:w="6514" w:type="dxa"/>
            <w:vAlign w:val="center"/>
          </w:tcPr>
          <w:p w14:paraId="7FA433B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合同协议书。投标人所提供合同协议书应与监管部门备案的合同协议书（如有）保持一致，评标结束后若发现不一致的以备案合同协议书为准，并视同提供虚假材料；</w:t>
            </w:r>
          </w:p>
          <w:p w14:paraId="6234D6A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业绩已完成证明材料（竣工验收证明文件或监理业务手册或总监信用手册），已完成证明材料须有项目业主单位（或合同甲方公章）和监理单位盖章。对于消防项目，竣工验收证明文件有以下材料即可：由消防机构/建设行政主管部门出具的消防验收合格证明复印件，并提供消防机构/建设行政主管部门备案网址（如有）备查。</w:t>
            </w:r>
          </w:p>
          <w:p w14:paraId="1070D43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以上涉及到的材料证明资料信息应完整或能充分反映评审因素。如投标人提供的上述业绩证明材料均未能完整或充分反映评审因素（如工程总投资额、总建筑面积等），应另附业主（或合同甲方）证明材料予以明确说明，须加盖项目业主单位或合同甲方公章，否则评标委员会不予认可。</w:t>
            </w:r>
          </w:p>
          <w:p w14:paraId="6103C096">
            <w:pPr>
              <w:spacing w:line="360" w:lineRule="auto"/>
              <w:rPr>
                <w:rFonts w:ascii="宋体" w:hAnsi="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.上述业绩证明材料中同一内容不一致的以“业绩已完成证明材料”为准。</w:t>
            </w:r>
          </w:p>
        </w:tc>
      </w:tr>
      <w:tr w14:paraId="0253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66" w:type="dxa"/>
            <w:vAlign w:val="center"/>
          </w:tcPr>
          <w:p w14:paraId="72565860">
            <w:pPr>
              <w:jc w:val="center"/>
              <w:rPr>
                <w:rFonts w:ascii="宋体" w:hAnsi="宋体" w:cs="宋体"/>
                <w:color w:val="auto"/>
                <w:sz w:val="24"/>
                <w:szCs w:val="24"/>
              </w:rPr>
            </w:pPr>
            <w:r>
              <w:rPr>
                <w:rFonts w:hint="eastAsia" w:ascii="宋体" w:hAnsi="宋体" w:cs="宋体"/>
                <w:color w:val="auto"/>
                <w:sz w:val="24"/>
                <w:szCs w:val="24"/>
              </w:rPr>
              <w:t>24</w:t>
            </w:r>
          </w:p>
        </w:tc>
        <w:tc>
          <w:tcPr>
            <w:tcW w:w="1910" w:type="dxa"/>
            <w:vAlign w:val="center"/>
          </w:tcPr>
          <w:p w14:paraId="71B14EA9">
            <w:pPr>
              <w:jc w:val="center"/>
              <w:rPr>
                <w:rFonts w:ascii="宋体" w:hAnsi="宋体" w:cs="宋体"/>
                <w:color w:val="auto"/>
                <w:sz w:val="24"/>
                <w:szCs w:val="24"/>
              </w:rPr>
            </w:pPr>
            <w:r>
              <w:rPr>
                <w:rFonts w:hint="eastAsia" w:ascii="宋体" w:hAnsi="宋体" w:cs="宋体"/>
                <w:color w:val="auto"/>
                <w:sz w:val="24"/>
                <w:szCs w:val="24"/>
              </w:rPr>
              <w:t>资格审查方式</w:t>
            </w:r>
          </w:p>
        </w:tc>
        <w:tc>
          <w:tcPr>
            <w:tcW w:w="6514" w:type="dxa"/>
            <w:vAlign w:val="center"/>
          </w:tcPr>
          <w:p w14:paraId="2342F8A1">
            <w:pPr>
              <w:rPr>
                <w:rFonts w:ascii="宋体" w:hAnsi="宋体" w:cs="宋体"/>
                <w:color w:val="auto"/>
                <w:sz w:val="24"/>
                <w:szCs w:val="24"/>
              </w:rPr>
            </w:pPr>
            <w:r>
              <w:rPr>
                <w:rFonts w:hint="eastAsia" w:ascii="宋体" w:hAnsi="宋体" w:cs="宋体"/>
                <w:color w:val="auto"/>
                <w:sz w:val="24"/>
                <w:szCs w:val="24"/>
              </w:rPr>
              <w:t>资格后审。</w:t>
            </w:r>
          </w:p>
        </w:tc>
      </w:tr>
      <w:tr w14:paraId="73AE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66" w:type="dxa"/>
            <w:vAlign w:val="center"/>
          </w:tcPr>
          <w:p w14:paraId="250E0FE0">
            <w:pPr>
              <w:jc w:val="center"/>
              <w:rPr>
                <w:rFonts w:ascii="宋体" w:hAnsi="宋体" w:cs="宋体"/>
                <w:color w:val="auto"/>
                <w:sz w:val="24"/>
                <w:szCs w:val="24"/>
              </w:rPr>
            </w:pPr>
            <w:r>
              <w:rPr>
                <w:rFonts w:hint="eastAsia" w:ascii="宋体" w:hAnsi="宋体" w:cs="宋体"/>
                <w:color w:val="auto"/>
                <w:sz w:val="24"/>
                <w:szCs w:val="24"/>
              </w:rPr>
              <w:t>25</w:t>
            </w:r>
          </w:p>
        </w:tc>
        <w:tc>
          <w:tcPr>
            <w:tcW w:w="1910" w:type="dxa"/>
            <w:vAlign w:val="center"/>
          </w:tcPr>
          <w:p w14:paraId="00C3B32E">
            <w:pPr>
              <w:jc w:val="center"/>
              <w:rPr>
                <w:rFonts w:ascii="宋体" w:hAnsi="宋体" w:cs="宋体"/>
                <w:color w:val="auto"/>
                <w:sz w:val="24"/>
                <w:szCs w:val="24"/>
              </w:rPr>
            </w:pPr>
            <w:r>
              <w:rPr>
                <w:rFonts w:hint="eastAsia" w:ascii="宋体" w:hAnsi="宋体" w:cs="宋体"/>
                <w:color w:val="auto"/>
                <w:sz w:val="24"/>
                <w:szCs w:val="24"/>
              </w:rPr>
              <w:t>本项目提供除电子版招标文件以外的其他资料</w:t>
            </w:r>
          </w:p>
        </w:tc>
        <w:tc>
          <w:tcPr>
            <w:tcW w:w="6514" w:type="dxa"/>
            <w:vAlign w:val="center"/>
          </w:tcPr>
          <w:p w14:paraId="3B8E36F7">
            <w:pPr>
              <w:rPr>
                <w:rFonts w:ascii="宋体" w:hAnsi="宋体" w:cs="宋体"/>
                <w:bCs/>
                <w:color w:val="auto"/>
                <w:sz w:val="24"/>
                <w:szCs w:val="24"/>
              </w:rPr>
            </w:pPr>
            <w:r>
              <w:rPr>
                <w:rFonts w:hint="eastAsia" w:ascii="宋体" w:hAnsi="宋体" w:cs="宋体"/>
                <w:bCs/>
                <w:color w:val="auto"/>
                <w:sz w:val="24"/>
                <w:szCs w:val="24"/>
              </w:rPr>
              <w:sym w:font="Wingdings" w:char="00FE"/>
            </w:r>
            <w:r>
              <w:rPr>
                <w:rFonts w:hint="eastAsia" w:ascii="宋体" w:hAnsi="宋体" w:cs="宋体"/>
                <w:bCs/>
                <w:color w:val="auto"/>
                <w:sz w:val="24"/>
                <w:szCs w:val="24"/>
              </w:rPr>
              <w:t xml:space="preserve">无   </w:t>
            </w:r>
            <w:r>
              <w:rPr>
                <w:rFonts w:hint="eastAsia" w:ascii="宋体" w:hAnsi="宋体" w:cs="宋体"/>
                <w:color w:val="auto"/>
                <w:sz w:val="24"/>
                <w:szCs w:val="24"/>
                <w:lang w:eastAsia="zh-CN"/>
              </w:rPr>
              <w:t>□</w:t>
            </w:r>
            <w:r>
              <w:rPr>
                <w:rFonts w:hint="eastAsia" w:ascii="宋体" w:hAnsi="宋体" w:cs="宋体"/>
                <w:bCs/>
                <w:color w:val="auto"/>
                <w:sz w:val="24"/>
                <w:szCs w:val="24"/>
              </w:rPr>
              <w:t xml:space="preserve">电子版图纸   </w:t>
            </w:r>
            <w:r>
              <w:rPr>
                <w:rFonts w:hint="eastAsia" w:ascii="宋体" w:hAnsi="宋体" w:cs="宋体"/>
                <w:color w:val="auto"/>
                <w:sz w:val="24"/>
                <w:szCs w:val="24"/>
              </w:rPr>
              <w:t>□</w:t>
            </w:r>
            <w:r>
              <w:rPr>
                <w:rFonts w:hint="eastAsia" w:ascii="宋体" w:hAnsi="宋体" w:cs="宋体"/>
                <w:bCs/>
                <w:color w:val="auto"/>
                <w:sz w:val="24"/>
                <w:szCs w:val="24"/>
              </w:rPr>
              <w:t>光盘</w:t>
            </w:r>
          </w:p>
        </w:tc>
      </w:tr>
      <w:tr w14:paraId="1B08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6" w:type="dxa"/>
            <w:vAlign w:val="center"/>
          </w:tcPr>
          <w:p w14:paraId="751591B5">
            <w:pPr>
              <w:jc w:val="center"/>
              <w:rPr>
                <w:rFonts w:ascii="宋体" w:hAnsi="宋体" w:cs="宋体"/>
                <w:color w:val="auto"/>
                <w:sz w:val="24"/>
                <w:szCs w:val="24"/>
              </w:rPr>
            </w:pPr>
            <w:r>
              <w:rPr>
                <w:rFonts w:hint="eastAsia" w:ascii="宋体" w:hAnsi="宋体" w:cs="宋体"/>
                <w:color w:val="auto"/>
                <w:sz w:val="24"/>
                <w:szCs w:val="24"/>
              </w:rPr>
              <w:t>26</w:t>
            </w:r>
          </w:p>
        </w:tc>
        <w:tc>
          <w:tcPr>
            <w:tcW w:w="1910" w:type="dxa"/>
            <w:vAlign w:val="center"/>
          </w:tcPr>
          <w:p w14:paraId="287EFA01">
            <w:pPr>
              <w:jc w:val="center"/>
              <w:rPr>
                <w:rFonts w:ascii="宋体" w:hAnsi="宋体" w:cs="宋体"/>
                <w:color w:val="auto"/>
                <w:sz w:val="24"/>
                <w:szCs w:val="24"/>
              </w:rPr>
            </w:pPr>
            <w:r>
              <w:rPr>
                <w:rFonts w:hint="eastAsia" w:ascii="宋体" w:hAnsi="宋体" w:cs="宋体"/>
                <w:color w:val="auto"/>
                <w:sz w:val="24"/>
                <w:szCs w:val="24"/>
              </w:rPr>
              <w:t>其他</w:t>
            </w:r>
          </w:p>
        </w:tc>
        <w:tc>
          <w:tcPr>
            <w:tcW w:w="6514" w:type="dxa"/>
            <w:vAlign w:val="center"/>
          </w:tcPr>
          <w:p w14:paraId="7B94FF1F">
            <w:pPr>
              <w:pStyle w:val="88"/>
              <w:ind w:firstLine="0" w:firstLineChars="0"/>
              <w:rPr>
                <w:rFonts w:ascii="宋体" w:hAnsi="宋体" w:cs="宋体"/>
                <w:color w:val="auto"/>
                <w:sz w:val="24"/>
              </w:rPr>
            </w:pPr>
            <w:r>
              <w:rPr>
                <w:rFonts w:hint="eastAsia" w:ascii="宋体" w:hAnsi="宋体" w:cs="宋体"/>
                <w:color w:val="auto"/>
                <w:sz w:val="24"/>
              </w:rPr>
              <w:t>1.中标人在工程设计中必须严格执行本项目招标文件中要求的技术标准和要求，遵守发包人制定的项目管理相关制度规定，满足发包人的各项管理规定要求。本项目管理严格按照发包人《滨湖集团工程管理检查制度》、《滨湖集团安全生产管理办法》、《滨湖集团建设工程服务类单位管理办法》</w:t>
            </w:r>
            <w:r>
              <w:rPr>
                <w:rFonts w:hint="eastAsia" w:ascii="宋体" w:hAnsi="宋体" w:cs="宋体"/>
                <w:color w:val="auto"/>
                <w:sz w:val="24"/>
                <w:lang w:eastAsia="zh-CN"/>
              </w:rPr>
              <w:t>、</w:t>
            </w:r>
            <w:r>
              <w:rPr>
                <w:rFonts w:hint="eastAsia" w:ascii="宋体" w:hAnsi="宋体" w:cs="宋体"/>
                <w:color w:val="auto"/>
                <w:sz w:val="24"/>
              </w:rPr>
              <w:t>《滨湖集团建设工程质量检测管理规定》、《滨湖集团工程变更及签证管理办法》、《滨湖集团工程结算管理办法及要求》、《滨湖集团建设工程合约单位违约行为违约金支付标准管理办法》、《滨湖集团品牌库》等相关制度执行。</w:t>
            </w:r>
          </w:p>
          <w:p w14:paraId="3158CE0B">
            <w:pPr>
              <w:pStyle w:val="88"/>
              <w:ind w:firstLine="0" w:firstLineChars="0"/>
              <w:rPr>
                <w:rFonts w:ascii="宋体" w:hAnsi="宋体" w:cs="宋体"/>
                <w:color w:val="auto"/>
                <w:sz w:val="24"/>
              </w:rPr>
            </w:pPr>
          </w:p>
        </w:tc>
      </w:tr>
    </w:tbl>
    <w:p w14:paraId="01D4530B">
      <w:pPr>
        <w:pStyle w:val="3"/>
        <w:spacing w:line="500" w:lineRule="exact"/>
        <w:rPr>
          <w:rFonts w:ascii="宋体" w:hAnsi="宋体" w:eastAsia="宋体"/>
          <w:color w:val="auto"/>
        </w:rPr>
      </w:pPr>
      <w:bookmarkStart w:id="11" w:name="_Hlt519045778"/>
      <w:bookmarkEnd w:id="11"/>
      <w:bookmarkStart w:id="12" w:name="_Hlt509650027"/>
      <w:bookmarkEnd w:id="12"/>
      <w:r>
        <w:rPr>
          <w:rFonts w:ascii="宋体" w:hAnsi="宋体" w:eastAsia="宋体"/>
          <w:color w:val="auto"/>
          <w:sz w:val="28"/>
        </w:rPr>
        <w:br w:type="page"/>
      </w:r>
      <w:bookmarkEnd w:id="10"/>
      <w:bookmarkStart w:id="13" w:name="_Toc220232390"/>
      <w:bookmarkStart w:id="14" w:name="_Toc245092761"/>
      <w:bookmarkStart w:id="15" w:name="_Toc273602341"/>
      <w:bookmarkStart w:id="16" w:name="_Toc328559328"/>
      <w:r>
        <w:rPr>
          <w:rFonts w:hint="eastAsia" w:ascii="宋体" w:hAnsi="宋体" w:eastAsia="宋体"/>
          <w:color w:val="auto"/>
        </w:rPr>
        <w:t xml:space="preserve">第三章 </w:t>
      </w:r>
      <w:bookmarkEnd w:id="13"/>
      <w:bookmarkEnd w:id="14"/>
      <w:r>
        <w:rPr>
          <w:rFonts w:hint="eastAsia" w:ascii="宋体" w:hAnsi="宋体" w:eastAsia="宋体"/>
          <w:color w:val="auto"/>
        </w:rPr>
        <w:t>招标范围及要求</w:t>
      </w:r>
      <w:bookmarkEnd w:id="15"/>
      <w:bookmarkEnd w:id="16"/>
    </w:p>
    <w:p w14:paraId="0F41F35C">
      <w:pPr>
        <w:spacing w:line="360" w:lineRule="auto"/>
        <w:ind w:firstLine="480" w:firstLineChars="200"/>
        <w:rPr>
          <w:rFonts w:ascii="宋体" w:hAnsi="宋体"/>
          <w:color w:val="auto"/>
          <w:sz w:val="24"/>
          <w:szCs w:val="28"/>
        </w:rPr>
      </w:pPr>
      <w:r>
        <w:rPr>
          <w:rFonts w:hint="eastAsia" w:ascii="宋体" w:hAnsi="宋体"/>
          <w:color w:val="auto"/>
          <w:sz w:val="24"/>
          <w:szCs w:val="28"/>
        </w:rPr>
        <w:t>前注：</w:t>
      </w:r>
    </w:p>
    <w:p w14:paraId="39C274DF">
      <w:pPr>
        <w:spacing w:line="360" w:lineRule="auto"/>
        <w:ind w:firstLine="480" w:firstLineChars="200"/>
        <w:rPr>
          <w:rFonts w:ascii="宋体" w:hAnsi="宋体"/>
          <w:color w:val="auto"/>
          <w:sz w:val="24"/>
          <w:szCs w:val="24"/>
        </w:rPr>
      </w:pPr>
      <w:r>
        <w:rPr>
          <w:rFonts w:hint="eastAsia" w:ascii="宋体" w:hAnsi="宋体"/>
          <w:color w:val="auto"/>
          <w:sz w:val="24"/>
          <w:szCs w:val="24"/>
        </w:rPr>
        <w:t>1.投标人自行考虑“营改增”税收费用及风险，中标后须按国家相关规定缴纳税金并按招标人要求提供发票，费用含在本次投标总价中，中标后不作调整。</w:t>
      </w:r>
    </w:p>
    <w:p w14:paraId="6E2BA873">
      <w:pPr>
        <w:spacing w:line="360" w:lineRule="auto"/>
        <w:ind w:firstLine="480" w:firstLineChars="200"/>
        <w:rPr>
          <w:rFonts w:ascii="宋体" w:hAnsi="宋体"/>
          <w:color w:val="auto"/>
          <w:sz w:val="24"/>
          <w:szCs w:val="24"/>
        </w:rPr>
      </w:pPr>
      <w:r>
        <w:rPr>
          <w:rFonts w:hint="eastAsia" w:ascii="宋体" w:hAnsi="宋体"/>
          <w:color w:val="auto"/>
          <w:sz w:val="24"/>
          <w:szCs w:val="24"/>
        </w:rPr>
        <w:t>2.如对本招标文件有任何疑问或澄清要求，请按本招标文件“投标人须知前附表”中的约定方式在接受答疑截止时间前联系招标人。否则视同理解和接受。</w:t>
      </w:r>
    </w:p>
    <w:p w14:paraId="160D3F27">
      <w:pPr>
        <w:pStyle w:val="40"/>
        <w:ind w:left="420" w:hanging="420"/>
        <w:rPr>
          <w:color w:val="auto"/>
        </w:rPr>
      </w:pPr>
    </w:p>
    <w:p w14:paraId="6A9E92C3">
      <w:pPr>
        <w:autoSpaceDE w:val="0"/>
        <w:autoSpaceDN w:val="0"/>
        <w:adjustRightInd w:val="0"/>
        <w:snapToGrid w:val="0"/>
        <w:spacing w:line="360" w:lineRule="auto"/>
        <w:ind w:firstLine="482" w:firstLineChars="200"/>
        <w:rPr>
          <w:rFonts w:ascii="宋体" w:hAnsi="宋体" w:cs="宋体"/>
          <w:b/>
          <w:bCs/>
          <w:color w:val="auto"/>
          <w:kern w:val="0"/>
          <w:sz w:val="24"/>
          <w:szCs w:val="24"/>
        </w:rPr>
      </w:pPr>
      <w:r>
        <w:rPr>
          <w:rFonts w:hint="eastAsia" w:ascii="宋体" w:hAnsi="宋体" w:cs="宋体"/>
          <w:b/>
          <w:bCs/>
          <w:color w:val="auto"/>
          <w:kern w:val="0"/>
          <w:sz w:val="24"/>
          <w:szCs w:val="24"/>
        </w:rPr>
        <w:t>（一）工程概况：</w:t>
      </w:r>
    </w:p>
    <w:p w14:paraId="7FD3E85C">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olor w:val="auto"/>
          <w:sz w:val="24"/>
          <w:szCs w:val="18"/>
          <w:lang w:val="en-US" w:eastAsia="zh-CN"/>
        </w:rPr>
        <w:t>1.</w:t>
      </w:r>
      <w:r>
        <w:rPr>
          <w:rFonts w:hint="eastAsia" w:ascii="宋体" w:hAnsi="宋体" w:eastAsia="宋体" w:cs="宋体"/>
          <w:color w:val="auto"/>
          <w:kern w:val="0"/>
          <w:sz w:val="24"/>
          <w:highlight w:val="none"/>
          <w:u w:val="none"/>
        </w:rPr>
        <w:t>合肥市民篮球公园位于南二环沿线，东起包河大道，西至徽州大道，总长约1800米，现拥有15片各类篮球场地，是合肥首个以篮球为主题的公园。为满足后期相关赛事办赛要求，</w:t>
      </w:r>
      <w:r>
        <w:rPr>
          <w:rFonts w:hint="eastAsia" w:ascii="宋体" w:hAnsi="宋体" w:eastAsia="宋体"/>
          <w:color w:val="auto"/>
          <w:sz w:val="24"/>
          <w:szCs w:val="18"/>
          <w:highlight w:val="none"/>
          <w:lang w:val="en-US" w:eastAsia="zh-CN"/>
        </w:rPr>
        <w:t>本次</w:t>
      </w:r>
      <w:r>
        <w:rPr>
          <w:rFonts w:hint="eastAsia" w:ascii="宋体" w:hAnsi="宋体"/>
          <w:color w:val="auto"/>
          <w:sz w:val="24"/>
          <w:szCs w:val="18"/>
          <w:highlight w:val="none"/>
          <w:lang w:val="en-US" w:eastAsia="zh-CN"/>
        </w:rPr>
        <w:t>改造提升</w:t>
      </w:r>
      <w:r>
        <w:rPr>
          <w:rFonts w:hint="eastAsia" w:ascii="宋体" w:hAnsi="宋体" w:eastAsia="宋体"/>
          <w:color w:val="auto"/>
          <w:sz w:val="24"/>
          <w:szCs w:val="18"/>
          <w:highlight w:val="none"/>
          <w:lang w:val="en-US" w:eastAsia="zh-CN"/>
        </w:rPr>
        <w:t>招标范围包括</w:t>
      </w:r>
      <w:r>
        <w:rPr>
          <w:rFonts w:hint="eastAsia" w:ascii="宋体" w:hAnsi="宋体" w:eastAsia="宋体" w:cs="宋体"/>
          <w:color w:val="auto"/>
          <w:kern w:val="0"/>
          <w:sz w:val="24"/>
          <w:highlight w:val="none"/>
          <w:u w:val="none"/>
        </w:rPr>
        <w:t>竞赛场地除新及扩建提升，包含悬浮地板、移动式篮球架、铝合金移动看台、组合式围网、赛事专用球场灯（含智能调光系统）、二十四秒计时器、监控系统、扩声系统及音响、室外显示屏、张拉膜结构棚、标识标牌、公厕扩建、旗台等，公园点位景观提升，包含景观小品、红绿灯设备设施、绿化、铺装、亮化等</w:t>
      </w:r>
      <w:r>
        <w:rPr>
          <w:rFonts w:hint="eastAsia" w:ascii="宋体" w:hAnsi="宋体" w:eastAsia="宋体" w:cs="宋体"/>
          <w:color w:val="auto"/>
          <w:kern w:val="0"/>
          <w:sz w:val="24"/>
          <w:szCs w:val="24"/>
          <w:highlight w:val="none"/>
          <w:lang w:val="en-US" w:eastAsia="zh-CN"/>
        </w:rPr>
        <w:t>本</w:t>
      </w:r>
      <w:r>
        <w:rPr>
          <w:rFonts w:hint="eastAsia" w:ascii="宋体" w:hAnsi="宋体" w:cs="宋体"/>
          <w:color w:val="auto"/>
          <w:kern w:val="0"/>
          <w:sz w:val="24"/>
          <w:szCs w:val="24"/>
          <w:highlight w:val="none"/>
          <w:lang w:val="en-US" w:eastAsia="zh-CN"/>
        </w:rPr>
        <w:t>项目</w:t>
      </w:r>
      <w:r>
        <w:rPr>
          <w:rFonts w:hint="eastAsia" w:ascii="宋体" w:hAnsi="宋体" w:eastAsia="宋体" w:cs="宋体"/>
          <w:color w:val="auto"/>
          <w:kern w:val="0"/>
          <w:sz w:val="24"/>
          <w:szCs w:val="24"/>
          <w:highlight w:val="none"/>
          <w:lang w:val="en-US" w:eastAsia="zh-CN"/>
        </w:rPr>
        <w:t>所涉及的所有内容</w:t>
      </w:r>
      <w:r>
        <w:rPr>
          <w:rFonts w:hint="eastAsia" w:ascii="宋体" w:hAnsi="宋体" w:cs="宋体"/>
          <w:color w:val="auto"/>
          <w:kern w:val="0"/>
          <w:sz w:val="24"/>
          <w:szCs w:val="24"/>
          <w:highlight w:val="none"/>
          <w:lang w:val="en-US" w:eastAsia="zh-CN"/>
        </w:rPr>
        <w:t>监理</w:t>
      </w:r>
      <w:r>
        <w:rPr>
          <w:rFonts w:hint="eastAsia" w:ascii="宋体" w:hAnsi="宋体" w:eastAsia="宋体" w:cs="宋体"/>
          <w:color w:val="auto"/>
          <w:kern w:val="0"/>
          <w:sz w:val="24"/>
          <w:szCs w:val="24"/>
          <w:highlight w:val="none"/>
          <w:lang w:val="en-US" w:eastAsia="zh-CN"/>
        </w:rPr>
        <w:t>.</w:t>
      </w:r>
    </w:p>
    <w:p w14:paraId="14941A2C">
      <w:pPr>
        <w:adjustRightInd w:val="0"/>
        <w:snapToGrid w:val="0"/>
        <w:spacing w:line="360" w:lineRule="auto"/>
        <w:ind w:firstLine="480" w:firstLineChars="200"/>
        <w:rPr>
          <w:rFonts w:hint="eastAsia" w:ascii="宋体" w:hAnsi="宋体" w:cs="宋体-18030"/>
          <w:color w:val="auto"/>
          <w:sz w:val="24"/>
          <w:highlight w:val="none"/>
        </w:rPr>
      </w:pPr>
      <w:r>
        <w:rPr>
          <w:rFonts w:hint="eastAsia" w:ascii="宋体" w:hAnsi="宋体" w:cs="宋体-18030"/>
          <w:color w:val="auto"/>
          <w:sz w:val="24"/>
          <w:highlight w:val="none"/>
          <w:lang w:val="en-US" w:eastAsia="zh-CN"/>
        </w:rPr>
        <w:t>本项目</w:t>
      </w:r>
      <w:r>
        <w:rPr>
          <w:rFonts w:hint="eastAsia" w:ascii="宋体" w:hAnsi="宋体" w:cs="宋体-18030"/>
          <w:color w:val="auto"/>
          <w:sz w:val="24"/>
          <w:highlight w:val="none"/>
        </w:rPr>
        <w:t>投资额约</w:t>
      </w:r>
      <w:r>
        <w:rPr>
          <w:rFonts w:hint="eastAsia" w:ascii="宋体" w:hAnsi="宋体" w:cs="宋体-18030"/>
          <w:color w:val="auto"/>
          <w:sz w:val="24"/>
          <w:highlight w:val="none"/>
          <w:lang w:val="en-US" w:eastAsia="zh-CN"/>
        </w:rPr>
        <w:t>1350万</w:t>
      </w:r>
      <w:r>
        <w:rPr>
          <w:rFonts w:hint="eastAsia" w:ascii="宋体" w:hAnsi="宋体" w:cs="宋体-18030"/>
          <w:color w:val="auto"/>
          <w:sz w:val="24"/>
          <w:highlight w:val="none"/>
        </w:rPr>
        <w:t>元。</w:t>
      </w:r>
    </w:p>
    <w:p w14:paraId="33735389">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2．工程建设监理范围及监理内容：建设工程项目施工阶段的质量控制、进度控制、费用控制、安全管理、合同管理、资料管理、信息管理以及组织协调等咨询服务（即上述工程从开工始至竣工验收合格止全过程施工监理）。</w:t>
      </w:r>
    </w:p>
    <w:p w14:paraId="07802BFF">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3．根据《合肥市建设领域农民工工资专用账户管理意见》规定：工程监理人应将农民工工资支付情况纳入监理日志内容，督促工程总承包人按时足额支付农民工工资。对工程发包人未按时足额拨付工资性工程款，工程总承包人未按时足额支付农民工工资、未在施工现场醒目位置公示工资性工程款拨付和农民工工资支付清单的，工程监理人应及时报告工程所在地建设领域农民工维权机构。</w:t>
      </w:r>
    </w:p>
    <w:p w14:paraId="1AB04415">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工程监理人未将农民工工资支付情况记入监理日志和未按时核定工资性工程进度款的，由工程所在地建设领域农民工维权机构责令其限期整改；逾期未整改或整改不到位的，记入市建设行业信用信息系统，列入全市建筑市场重点监管对象。</w:t>
      </w:r>
    </w:p>
    <w:p w14:paraId="5A853159">
      <w:pPr>
        <w:adjustRightInd w:val="0"/>
        <w:snapToGrid w:val="0"/>
        <w:spacing w:line="360" w:lineRule="auto"/>
        <w:ind w:firstLine="480" w:firstLineChars="200"/>
        <w:rPr>
          <w:rFonts w:hint="eastAsia" w:ascii="新宋体" w:hAnsi="新宋体" w:eastAsia="新宋体"/>
          <w:b/>
          <w:color w:val="auto"/>
          <w:sz w:val="24"/>
          <w:szCs w:val="24"/>
        </w:rPr>
      </w:pPr>
      <w:r>
        <w:rPr>
          <w:rFonts w:hint="eastAsia" w:ascii="宋体" w:hAnsi="宋体" w:eastAsia="楷体_GB2312" w:cs="宋体-18030"/>
          <w:color w:val="auto"/>
          <w:sz w:val="24"/>
          <w:lang w:val="en-US" w:eastAsia="zh-CN"/>
        </w:rPr>
        <w:t>4</w:t>
      </w:r>
      <w:r>
        <w:rPr>
          <w:rFonts w:hint="eastAsia" w:ascii="宋体" w:hAnsi="宋体" w:eastAsia="楷体_GB2312" w:cs="宋体-18030"/>
          <w:color w:val="auto"/>
          <w:sz w:val="24"/>
        </w:rPr>
        <w:t>.</w:t>
      </w:r>
      <w:r>
        <w:rPr>
          <w:rFonts w:hint="eastAsia" w:ascii="新宋体" w:hAnsi="新宋体" w:eastAsia="新宋体"/>
          <w:b/>
          <w:color w:val="auto"/>
          <w:sz w:val="24"/>
          <w:szCs w:val="24"/>
        </w:rPr>
        <w:t>本项目如因方案、土地调整等政策影响导致本项目建设内容取消，本项目监理合同终止，监理费用按已完成的施工工程量结算，监理费用不予额外补偿。</w:t>
      </w:r>
    </w:p>
    <w:p w14:paraId="0A4B4219">
      <w:pPr>
        <w:adjustRightInd w:val="0"/>
        <w:snapToGrid w:val="0"/>
        <w:spacing w:line="360" w:lineRule="auto"/>
        <w:ind w:firstLine="482" w:firstLineChars="200"/>
        <w:rPr>
          <w:rFonts w:hint="eastAsia" w:ascii="新宋体" w:hAnsi="新宋体" w:eastAsia="新宋体"/>
          <w:b/>
          <w:color w:val="auto"/>
          <w:sz w:val="24"/>
          <w:szCs w:val="24"/>
        </w:rPr>
      </w:pPr>
      <w:r>
        <w:rPr>
          <w:rFonts w:hint="eastAsia" w:ascii="新宋体" w:hAnsi="新宋体" w:eastAsia="新宋体"/>
          <w:b/>
          <w:color w:val="auto"/>
          <w:sz w:val="24"/>
          <w:szCs w:val="24"/>
        </w:rPr>
        <w:t>如因方案、土地调整等政策影响及招标人因素导致本项目建设暂停，费用不予补偿，待工程复工后监理服务期限顺延。</w:t>
      </w:r>
    </w:p>
    <w:p w14:paraId="6324D467">
      <w:pPr>
        <w:adjustRightInd w:val="0"/>
        <w:snapToGrid w:val="0"/>
        <w:spacing w:line="360" w:lineRule="auto"/>
        <w:ind w:firstLine="482" w:firstLineChars="200"/>
        <w:rPr>
          <w:rFonts w:hint="eastAsia" w:ascii="新宋体" w:hAnsi="新宋体" w:eastAsia="新宋体"/>
          <w:b/>
          <w:color w:val="auto"/>
          <w:sz w:val="24"/>
          <w:szCs w:val="24"/>
        </w:rPr>
      </w:pPr>
      <w:r>
        <w:rPr>
          <w:rFonts w:hint="eastAsia" w:ascii="宋体" w:hAnsi="宋体" w:cs="宋体-18030"/>
          <w:b/>
          <w:bCs/>
          <w:color w:val="auto"/>
          <w:sz w:val="24"/>
        </w:rPr>
        <w:t>由于本项目</w:t>
      </w:r>
      <w:r>
        <w:rPr>
          <w:rFonts w:hint="eastAsia" w:ascii="宋体" w:hAnsi="宋体" w:cs="宋体-18030"/>
          <w:b/>
          <w:bCs/>
          <w:color w:val="auto"/>
          <w:sz w:val="24"/>
          <w:lang w:eastAsia="zh-CN"/>
        </w:rPr>
        <w:t>设计后期相关国家级赛事要求</w:t>
      </w:r>
      <w:r>
        <w:rPr>
          <w:rFonts w:hint="eastAsia" w:ascii="宋体" w:hAnsi="宋体" w:cs="宋体-18030"/>
          <w:b/>
          <w:bCs/>
          <w:color w:val="auto"/>
          <w:sz w:val="24"/>
        </w:rPr>
        <w:t>，中标人应充分考虑并承受各种不确定因素带来的风险。</w:t>
      </w:r>
    </w:p>
    <w:p w14:paraId="309274E3">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lang w:val="en-US" w:eastAsia="zh-CN"/>
        </w:rPr>
        <w:t>5</w:t>
      </w:r>
      <w:r>
        <w:rPr>
          <w:rFonts w:hint="eastAsia" w:ascii="宋体" w:hAnsi="宋体" w:cs="宋体-18030"/>
          <w:color w:val="auto"/>
          <w:sz w:val="24"/>
        </w:rPr>
        <w:t>.工程施工监理具体内容详见施工设计图内容和有关说明，本工程施工图纸投标人中标后自行联系招标人查阅。</w:t>
      </w:r>
    </w:p>
    <w:p w14:paraId="63877788">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工程质量监理及检查验收标准、招标人的项目实施目标、拟采用的具体项目控制手段：</w:t>
      </w:r>
    </w:p>
    <w:p w14:paraId="156ED9D0">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本工程以工程施工设计图纸、图纸会审记录、设计变更通知书、技术联系单、各类试验报告、产品合格证书等有关资料和合同规定的条款为依据，按国家颁布的工程施工验收规范及监理大纲进行监理、检查、验收。</w:t>
      </w:r>
    </w:p>
    <w:p w14:paraId="1C8827D5">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lang w:val="en-US" w:eastAsia="zh-CN"/>
        </w:rPr>
        <w:t>6</w:t>
      </w:r>
      <w:r>
        <w:rPr>
          <w:rFonts w:hint="eastAsia" w:ascii="宋体" w:hAnsi="宋体" w:cs="宋体-18030"/>
          <w:color w:val="auto"/>
          <w:sz w:val="24"/>
        </w:rPr>
        <w:t>.中标人须提供正常监理服务以外其他的相关服务，包括但不限于配合招标人办理报建、报批、报审、施工招标过程的技术服务、施工图纸复核、施工合同的拟定、洽谈以及施工许可证申请办理、工程现场前期的准备工作、设计协调、竣工验收、工程结算初审、工程备案以及工期控制等全过程服务。</w:t>
      </w:r>
    </w:p>
    <w:p w14:paraId="2520CDC7">
      <w:pPr>
        <w:adjustRightInd w:val="0"/>
        <w:snapToGrid w:val="0"/>
        <w:spacing w:line="360" w:lineRule="auto"/>
        <w:ind w:firstLine="482" w:firstLineChars="200"/>
        <w:jc w:val="left"/>
        <w:rPr>
          <w:rFonts w:hint="eastAsia"/>
          <w:color w:val="auto"/>
          <w:sz w:val="24"/>
        </w:rPr>
      </w:pPr>
      <w:r>
        <w:rPr>
          <w:rFonts w:hint="eastAsia" w:ascii="宋体" w:hAnsi="宋体" w:cs="宋体-18030"/>
          <w:b/>
          <w:color w:val="auto"/>
          <w:sz w:val="24"/>
          <w:highlight w:val="none"/>
          <w:lang w:val="en-US" w:eastAsia="zh-CN"/>
        </w:rPr>
        <w:t>7</w:t>
      </w:r>
      <w:r>
        <w:rPr>
          <w:rFonts w:hint="eastAsia" w:ascii="宋体" w:hAnsi="宋体" w:cs="宋体-18030"/>
          <w:b/>
          <w:color w:val="auto"/>
          <w:sz w:val="24"/>
          <w:highlight w:val="none"/>
        </w:rPr>
        <w:t>.</w:t>
      </w:r>
      <w:r>
        <w:rPr>
          <w:rFonts w:hint="eastAsia"/>
          <w:b/>
          <w:color w:val="auto"/>
          <w:sz w:val="24"/>
          <w:highlight w:val="none"/>
        </w:rPr>
        <w:t>服务周期：</w:t>
      </w:r>
      <w:r>
        <w:rPr>
          <w:rFonts w:hint="eastAsia" w:ascii="宋体" w:hAnsi="宋体"/>
          <w:color w:val="auto"/>
          <w:sz w:val="24"/>
          <w:highlight w:val="none"/>
        </w:rPr>
        <w:t>约</w:t>
      </w:r>
      <w:r>
        <w:rPr>
          <w:rFonts w:hint="eastAsia" w:ascii="宋体" w:hAnsi="宋体"/>
          <w:color w:val="auto"/>
          <w:sz w:val="24"/>
          <w:highlight w:val="none"/>
          <w:lang w:val="en-US" w:eastAsia="zh-CN"/>
        </w:rPr>
        <w:t>6</w:t>
      </w:r>
      <w:r>
        <w:rPr>
          <w:rFonts w:hint="eastAsia" w:ascii="宋体" w:hAnsi="宋体"/>
          <w:color w:val="auto"/>
          <w:sz w:val="24"/>
          <w:highlight w:val="none"/>
        </w:rPr>
        <w:t>个月，</w:t>
      </w:r>
      <w:r>
        <w:rPr>
          <w:rFonts w:hint="eastAsia" w:ascii="宋体" w:hAnsi="宋体"/>
          <w:b/>
          <w:color w:val="auto"/>
          <w:sz w:val="24"/>
          <w:highlight w:val="none"/>
        </w:rPr>
        <w:t>自监理合同</w:t>
      </w:r>
      <w:r>
        <w:rPr>
          <w:rFonts w:hint="eastAsia" w:ascii="宋体" w:hAnsi="宋体"/>
          <w:b/>
          <w:color w:val="auto"/>
          <w:sz w:val="24"/>
        </w:rPr>
        <w:t>签订之日起至竣工验收移交且质保期满回访合格止，本招标文件所述计划施工工期仅供投标人参考。</w:t>
      </w:r>
      <w:r>
        <w:rPr>
          <w:rFonts w:hint="eastAsia"/>
          <w:color w:val="auto"/>
          <w:sz w:val="24"/>
        </w:rPr>
        <w:t>工程资料归档完毕后并按照国家现行法律法规规定提供质保期内的监理服务，监理服务费用不因工程延期而增加，充分考虑到本工程开工时间的不确定性，中标后不得因此提出索赔。</w:t>
      </w:r>
    </w:p>
    <w:p w14:paraId="05826C5C">
      <w:pPr>
        <w:adjustRightInd w:val="0"/>
        <w:snapToGrid w:val="0"/>
        <w:spacing w:line="360" w:lineRule="auto"/>
        <w:rPr>
          <w:rFonts w:hint="eastAsia" w:ascii="宋体" w:hAnsi="宋体"/>
          <w:b/>
          <w:color w:val="auto"/>
          <w:sz w:val="24"/>
        </w:rPr>
      </w:pPr>
      <w:r>
        <w:rPr>
          <w:rFonts w:hint="eastAsia" w:ascii="宋体" w:hAnsi="宋体"/>
          <w:b/>
          <w:color w:val="auto"/>
          <w:sz w:val="24"/>
        </w:rPr>
        <w:t>（二）对投标人的要求</w:t>
      </w:r>
    </w:p>
    <w:p w14:paraId="45A6B92E">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1.投标人资质要求详见招标公告，拟任总监及监理工程师资质要求详见投标人人员配备表。</w:t>
      </w:r>
    </w:p>
    <w:p w14:paraId="5F114894">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2.投标人必须有良好的社会信誉，具备相应监理技术装备及监理技术。</w:t>
      </w:r>
    </w:p>
    <w:p w14:paraId="75BD672C">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3.各投标人必须按本工程的特点，认真阅读招标文件内容，按照招标文件要求编写投标文件及工程监理大纲，内容详尽。</w:t>
      </w:r>
    </w:p>
    <w:p w14:paraId="13C775B5">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4.投标人须具备保证施工质量的监理管理体系。</w:t>
      </w:r>
    </w:p>
    <w:p w14:paraId="2DDB5BD2">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5.投标人在本工程中配备的总监及监理工程师，须具有丰富的监理经验、身体健康、年龄适中、有良好职业道德的专职人员。</w:t>
      </w:r>
    </w:p>
    <w:p w14:paraId="7CDFF4A9">
      <w:pPr>
        <w:adjustRightInd w:val="0"/>
        <w:snapToGrid w:val="0"/>
        <w:spacing w:line="360" w:lineRule="auto"/>
        <w:ind w:firstLine="482" w:firstLineChars="200"/>
        <w:rPr>
          <w:rFonts w:hint="eastAsia" w:ascii="宋体" w:hAnsi="宋体" w:cs="宋体-18030"/>
          <w:b/>
          <w:bCs/>
          <w:color w:val="auto"/>
          <w:sz w:val="24"/>
        </w:rPr>
      </w:pPr>
      <w:r>
        <w:rPr>
          <w:rFonts w:hint="eastAsia" w:ascii="宋体" w:hAnsi="宋体" w:cs="宋体-18030"/>
          <w:b/>
          <w:bCs/>
          <w:color w:val="auto"/>
          <w:sz w:val="24"/>
        </w:rPr>
        <w:t>6.承担本工程施工监理的监理机构须进驻现场，</w:t>
      </w:r>
      <w:r>
        <w:rPr>
          <w:rFonts w:hint="eastAsia" w:ascii="宋体" w:hAnsi="宋体" w:cs="宋体-18030"/>
          <w:b/>
          <w:bCs/>
          <w:color w:val="auto"/>
          <w:sz w:val="24"/>
          <w:lang w:eastAsia="zh-CN"/>
        </w:rPr>
        <w:t>总监</w:t>
      </w:r>
      <w:r>
        <w:rPr>
          <w:rFonts w:hint="eastAsia" w:ascii="宋体" w:hAnsi="宋体" w:cs="宋体-18030"/>
          <w:b/>
          <w:bCs/>
          <w:color w:val="auto"/>
          <w:sz w:val="24"/>
          <w:lang w:val="en-US" w:eastAsia="zh-CN"/>
        </w:rPr>
        <w:t>3</w:t>
      </w:r>
      <w:r>
        <w:rPr>
          <w:rFonts w:hint="eastAsia" w:ascii="宋体" w:hAnsi="宋体" w:cs="宋体-18030"/>
          <w:b/>
          <w:bCs/>
          <w:color w:val="auto"/>
          <w:sz w:val="24"/>
          <w:highlight w:val="none"/>
          <w:lang w:val="en-US" w:eastAsia="zh-CN"/>
        </w:rPr>
        <w:t>天/周，</w:t>
      </w:r>
      <w:r>
        <w:rPr>
          <w:rFonts w:hint="eastAsia" w:ascii="宋体" w:hAnsi="宋体" w:cs="宋体-18030"/>
          <w:b/>
          <w:bCs/>
          <w:color w:val="auto"/>
          <w:sz w:val="24"/>
          <w:lang w:val="en-US" w:eastAsia="zh-CN"/>
        </w:rPr>
        <w:t>总代和其他监理人员26天/月</w:t>
      </w:r>
      <w:r>
        <w:rPr>
          <w:rFonts w:hint="eastAsia" w:ascii="宋体" w:hAnsi="宋体" w:cs="宋体-18030"/>
          <w:b/>
          <w:bCs/>
          <w:color w:val="auto"/>
          <w:sz w:val="24"/>
        </w:rPr>
        <w:t>，由招标人进行考勤，否则业主有权进行处罚，直至清退出场,并记入不良行为记录内。总监</w:t>
      </w:r>
      <w:r>
        <w:rPr>
          <w:rFonts w:hint="eastAsia" w:ascii="宋体" w:hAnsi="宋体" w:cs="宋体-18030"/>
          <w:b/>
          <w:bCs/>
          <w:color w:val="auto"/>
          <w:sz w:val="24"/>
          <w:lang w:eastAsia="zh-CN"/>
        </w:rPr>
        <w:t>、</w:t>
      </w:r>
      <w:r>
        <w:rPr>
          <w:rFonts w:hint="eastAsia" w:ascii="宋体" w:hAnsi="宋体" w:cs="宋体-18030"/>
          <w:b/>
          <w:bCs/>
          <w:color w:val="auto"/>
          <w:sz w:val="24"/>
        </w:rPr>
        <w:t>无故缺勤按</w:t>
      </w:r>
      <w:r>
        <w:rPr>
          <w:rFonts w:hint="eastAsia" w:ascii="宋体" w:hAnsi="宋体" w:cs="宋体-18030"/>
          <w:b/>
          <w:bCs/>
          <w:color w:val="auto"/>
          <w:sz w:val="24"/>
          <w:lang w:val="en-US" w:eastAsia="zh-CN"/>
        </w:rPr>
        <w:t>2</w:t>
      </w:r>
      <w:r>
        <w:rPr>
          <w:rFonts w:hint="eastAsia" w:ascii="宋体" w:hAnsi="宋体" w:cs="宋体-18030"/>
          <w:b/>
          <w:bCs/>
          <w:color w:val="auto"/>
          <w:sz w:val="24"/>
        </w:rPr>
        <w:t>000元/次</w:t>
      </w:r>
      <w:r>
        <w:rPr>
          <w:rFonts w:hint="eastAsia" w:ascii="宋体" w:hAnsi="宋体" w:cs="宋体-18030"/>
          <w:b/>
          <w:bCs/>
          <w:color w:val="auto"/>
          <w:sz w:val="24"/>
          <w:lang w:val="en-US" w:eastAsia="zh-CN"/>
        </w:rPr>
        <w:t>处违约金</w:t>
      </w:r>
      <w:r>
        <w:rPr>
          <w:rFonts w:hint="eastAsia" w:ascii="宋体" w:hAnsi="宋体" w:cs="宋体-18030"/>
          <w:b/>
          <w:bCs/>
          <w:color w:val="auto"/>
          <w:sz w:val="24"/>
          <w:lang w:eastAsia="zh-CN"/>
        </w:rPr>
        <w:t>，</w:t>
      </w:r>
      <w:r>
        <w:rPr>
          <w:rFonts w:hint="eastAsia" w:ascii="宋体" w:hAnsi="宋体" w:cs="宋体-18030"/>
          <w:b/>
          <w:bCs/>
          <w:color w:val="auto"/>
          <w:sz w:val="24"/>
          <w:lang w:val="en-US" w:eastAsia="zh-CN"/>
        </w:rPr>
        <w:t>总监代表、</w:t>
      </w:r>
      <w:r>
        <w:rPr>
          <w:rFonts w:hint="eastAsia" w:ascii="宋体" w:hAnsi="宋体" w:cs="宋体-18030"/>
          <w:b/>
          <w:bCs/>
          <w:color w:val="auto"/>
          <w:sz w:val="24"/>
        </w:rPr>
        <w:t>监理人员无故缺勤按500元/次</w:t>
      </w:r>
      <w:r>
        <w:rPr>
          <w:rFonts w:hint="eastAsia" w:ascii="宋体" w:hAnsi="宋体" w:cs="宋体-18030"/>
          <w:b/>
          <w:bCs/>
          <w:color w:val="auto"/>
          <w:sz w:val="24"/>
          <w:lang w:val="en-US" w:eastAsia="zh-CN"/>
        </w:rPr>
        <w:t>处违约金</w:t>
      </w:r>
      <w:r>
        <w:rPr>
          <w:rFonts w:hint="eastAsia" w:ascii="宋体" w:hAnsi="宋体" w:cs="宋体-18030"/>
          <w:b/>
          <w:bCs/>
          <w:color w:val="auto"/>
          <w:sz w:val="24"/>
        </w:rPr>
        <w:t>。</w:t>
      </w:r>
    </w:p>
    <w:p w14:paraId="7140BA2F">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7.在建设过程中，中标人必须按投标时承诺配备的人员及时到位，配备专业人员，未经招标人同意，中标人不得擅自更换或者减少上述人员。根据现场施工情况，保证监理人员每天到场数量，招标人有权根据监理现场人员到位情况，要求其增加专业人员，监理单位必须服从，否则，视同中标人违约，招标人有权中止合同履行。</w:t>
      </w:r>
    </w:p>
    <w:p w14:paraId="4375534F">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8.中标人自行考虑伙食问题，坚决杜绝与施工单位搭伙。一经发现将严厉处罚，直至清退出场取消中标资格。</w:t>
      </w:r>
    </w:p>
    <w:p w14:paraId="0DA4ADD2">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9.投标人应认真对现场进行踏勘，对建设场地的地理位置、施工现场的一切情况和影响施工的因素以及困难条件进行周密的察勘和研究，作出自己的判断结论和估价，报价时要充分考虑上述因素。中标后签订监理合同时和实施监理过程中，投标人不得以不完全了解现场情况为由，提出任何形式的增加监理服务收费用的要求。</w:t>
      </w:r>
    </w:p>
    <w:p w14:paraId="4ED26E35">
      <w:pPr>
        <w:adjustRightInd w:val="0"/>
        <w:snapToGrid w:val="0"/>
        <w:spacing w:line="360" w:lineRule="auto"/>
        <w:ind w:firstLine="482" w:firstLineChars="200"/>
        <w:rPr>
          <w:rFonts w:hint="eastAsia" w:ascii="宋体" w:hAnsi="宋体" w:cs="宋体-18030"/>
          <w:b/>
          <w:color w:val="auto"/>
          <w:sz w:val="24"/>
        </w:rPr>
      </w:pPr>
      <w:r>
        <w:rPr>
          <w:rFonts w:hint="eastAsia" w:ascii="宋体" w:hAnsi="宋体"/>
          <w:b/>
          <w:color w:val="auto"/>
          <w:sz w:val="24"/>
        </w:rPr>
        <w:t>（三）</w:t>
      </w:r>
      <w:r>
        <w:rPr>
          <w:rFonts w:hint="eastAsia" w:ascii="宋体" w:hAnsi="宋体" w:cs="宋体-18030"/>
          <w:b/>
          <w:color w:val="auto"/>
          <w:sz w:val="24"/>
        </w:rPr>
        <w:t>人员的配备</w:t>
      </w:r>
    </w:p>
    <w:p w14:paraId="2BC6A5E1">
      <w:pPr>
        <w:adjustRightInd w:val="0"/>
        <w:snapToGrid w:val="0"/>
        <w:spacing w:line="360" w:lineRule="auto"/>
        <w:ind w:firstLine="482" w:firstLineChars="200"/>
        <w:jc w:val="center"/>
        <w:rPr>
          <w:rFonts w:hint="eastAsia" w:ascii="宋体" w:hAnsi="宋体" w:cs="宋体-18030"/>
          <w:b/>
          <w:color w:val="auto"/>
          <w:sz w:val="24"/>
        </w:rPr>
      </w:pPr>
      <w:r>
        <w:rPr>
          <w:rFonts w:hint="eastAsia" w:ascii="宋体" w:hAnsi="宋体" w:cs="宋体-18030"/>
          <w:b/>
          <w:color w:val="auto"/>
          <w:sz w:val="24"/>
        </w:rPr>
        <w:t>表1  本项目人员配备表</w:t>
      </w:r>
    </w:p>
    <w:tbl>
      <w:tblPr>
        <w:tblStyle w:val="57"/>
        <w:tblW w:w="8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938"/>
        <w:gridCol w:w="2126"/>
        <w:gridCol w:w="1533"/>
        <w:gridCol w:w="1050"/>
      </w:tblGrid>
      <w:tr w14:paraId="5A5D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998" w:type="dxa"/>
            <w:noWrap w:val="0"/>
            <w:vAlign w:val="center"/>
          </w:tcPr>
          <w:p w14:paraId="4C1A4BAB">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执业资格</w:t>
            </w:r>
          </w:p>
        </w:tc>
        <w:tc>
          <w:tcPr>
            <w:tcW w:w="1938" w:type="dxa"/>
            <w:noWrap w:val="0"/>
            <w:vAlign w:val="center"/>
          </w:tcPr>
          <w:p w14:paraId="0A04421C">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专业</w:t>
            </w:r>
          </w:p>
        </w:tc>
        <w:tc>
          <w:tcPr>
            <w:tcW w:w="2126" w:type="dxa"/>
            <w:noWrap w:val="0"/>
            <w:vAlign w:val="center"/>
          </w:tcPr>
          <w:p w14:paraId="6ECB72FC">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岗位</w:t>
            </w:r>
          </w:p>
        </w:tc>
        <w:tc>
          <w:tcPr>
            <w:tcW w:w="1533" w:type="dxa"/>
            <w:noWrap w:val="0"/>
            <w:vAlign w:val="center"/>
          </w:tcPr>
          <w:p w14:paraId="1CE26E8B">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人员配额</w:t>
            </w:r>
          </w:p>
        </w:tc>
        <w:tc>
          <w:tcPr>
            <w:tcW w:w="1050" w:type="dxa"/>
            <w:noWrap w:val="0"/>
            <w:vAlign w:val="center"/>
          </w:tcPr>
          <w:p w14:paraId="0BBE4DC3">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备注</w:t>
            </w:r>
          </w:p>
        </w:tc>
      </w:tr>
      <w:tr w14:paraId="2A1A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998" w:type="dxa"/>
            <w:noWrap w:val="0"/>
            <w:vAlign w:val="center"/>
          </w:tcPr>
          <w:p w14:paraId="6D94B2FC">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olor w:val="auto"/>
                <w:spacing w:val="20"/>
                <w:sz w:val="24"/>
              </w:rPr>
              <w:t>国家级注册监理工程师</w:t>
            </w:r>
          </w:p>
        </w:tc>
        <w:tc>
          <w:tcPr>
            <w:tcW w:w="1938" w:type="dxa"/>
            <w:noWrap w:val="0"/>
            <w:vAlign w:val="center"/>
          </w:tcPr>
          <w:p w14:paraId="62CDE345">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s="Times New Roman"/>
                <w:color w:val="auto"/>
                <w:spacing w:val="20"/>
                <w:sz w:val="24"/>
              </w:rPr>
              <w:t>房屋建筑工程</w:t>
            </w:r>
          </w:p>
        </w:tc>
        <w:tc>
          <w:tcPr>
            <w:tcW w:w="2126" w:type="dxa"/>
            <w:noWrap w:val="0"/>
            <w:vAlign w:val="center"/>
          </w:tcPr>
          <w:p w14:paraId="413A34C5">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olor w:val="auto"/>
                <w:spacing w:val="20"/>
                <w:sz w:val="24"/>
              </w:rPr>
              <w:t>总监理工程师</w:t>
            </w:r>
          </w:p>
        </w:tc>
        <w:tc>
          <w:tcPr>
            <w:tcW w:w="1533" w:type="dxa"/>
            <w:noWrap w:val="0"/>
            <w:vAlign w:val="center"/>
          </w:tcPr>
          <w:p w14:paraId="2A926C9E">
            <w:pPr>
              <w:adjustRightInd w:val="0"/>
              <w:snapToGrid w:val="0"/>
              <w:spacing w:line="360" w:lineRule="auto"/>
              <w:jc w:val="center"/>
              <w:rPr>
                <w:rFonts w:hint="eastAsia" w:ascii="新宋体" w:hAnsi="新宋体" w:eastAsia="新宋体"/>
                <w:color w:val="auto"/>
                <w:spacing w:val="20"/>
                <w:sz w:val="24"/>
                <w:highlight w:val="none"/>
              </w:rPr>
            </w:pPr>
            <w:r>
              <w:rPr>
                <w:rFonts w:hint="eastAsia" w:ascii="新宋体" w:hAnsi="新宋体" w:eastAsia="新宋体"/>
                <w:color w:val="auto"/>
                <w:spacing w:val="20"/>
                <w:sz w:val="24"/>
                <w:highlight w:val="none"/>
              </w:rPr>
              <w:t>1人</w:t>
            </w:r>
          </w:p>
        </w:tc>
        <w:tc>
          <w:tcPr>
            <w:tcW w:w="1050" w:type="dxa"/>
            <w:noWrap w:val="0"/>
            <w:vAlign w:val="center"/>
          </w:tcPr>
          <w:p w14:paraId="6DCD496D">
            <w:pPr>
              <w:adjustRightInd w:val="0"/>
              <w:snapToGrid w:val="0"/>
              <w:spacing w:line="360" w:lineRule="auto"/>
              <w:jc w:val="center"/>
              <w:rPr>
                <w:rFonts w:hint="eastAsia" w:ascii="新宋体" w:hAnsi="新宋体" w:eastAsia="新宋体"/>
                <w:color w:val="auto"/>
                <w:spacing w:val="20"/>
                <w:sz w:val="24"/>
              </w:rPr>
            </w:pPr>
          </w:p>
        </w:tc>
      </w:tr>
      <w:tr w14:paraId="102A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998" w:type="dxa"/>
            <w:vMerge w:val="restart"/>
            <w:noWrap w:val="0"/>
            <w:vAlign w:val="center"/>
          </w:tcPr>
          <w:p w14:paraId="0A6F8DA3">
            <w:pPr>
              <w:adjustRightInd w:val="0"/>
              <w:snapToGrid w:val="0"/>
              <w:spacing w:line="360" w:lineRule="auto"/>
              <w:jc w:val="center"/>
              <w:rPr>
                <w:rFonts w:hint="eastAsia" w:ascii="新宋体" w:hAnsi="新宋体" w:eastAsia="新宋体"/>
                <w:color w:val="auto"/>
                <w:spacing w:val="20"/>
                <w:sz w:val="24"/>
              </w:rPr>
            </w:pPr>
          </w:p>
        </w:tc>
        <w:tc>
          <w:tcPr>
            <w:tcW w:w="1938" w:type="dxa"/>
            <w:shd w:val="clear" w:color="auto" w:fill="auto"/>
            <w:noWrap w:val="0"/>
            <w:vAlign w:val="center"/>
          </w:tcPr>
          <w:p w14:paraId="05C33F5F">
            <w:pPr>
              <w:adjustRightInd w:val="0"/>
              <w:snapToGrid w:val="0"/>
              <w:spacing w:line="360" w:lineRule="auto"/>
              <w:jc w:val="center"/>
              <w:rPr>
                <w:rFonts w:hint="eastAsia" w:ascii="新宋体" w:hAnsi="新宋体" w:eastAsia="新宋体" w:cs="Times New Roman"/>
                <w:color w:val="auto"/>
                <w:spacing w:val="20"/>
                <w:kern w:val="2"/>
                <w:sz w:val="24"/>
                <w:lang w:val="en-US" w:eastAsia="zh-CN" w:bidi="ar-SA"/>
              </w:rPr>
            </w:pPr>
            <w:r>
              <w:rPr>
                <w:rFonts w:hint="eastAsia" w:ascii="新宋体" w:hAnsi="新宋体" w:eastAsia="新宋体" w:cs="Times New Roman"/>
                <w:color w:val="auto"/>
                <w:spacing w:val="20"/>
                <w:sz w:val="24"/>
              </w:rPr>
              <w:t>房屋建筑工程</w:t>
            </w:r>
          </w:p>
        </w:tc>
        <w:tc>
          <w:tcPr>
            <w:tcW w:w="2126" w:type="dxa"/>
            <w:shd w:val="clear" w:color="auto" w:fill="auto"/>
            <w:noWrap w:val="0"/>
            <w:vAlign w:val="center"/>
          </w:tcPr>
          <w:p w14:paraId="4B9E4EA1">
            <w:pPr>
              <w:adjustRightInd w:val="0"/>
              <w:snapToGrid w:val="0"/>
              <w:spacing w:line="360" w:lineRule="auto"/>
              <w:jc w:val="center"/>
              <w:rPr>
                <w:rFonts w:hint="default" w:ascii="新宋体" w:hAnsi="新宋体" w:eastAsia="新宋体" w:cs="Times New Roman"/>
                <w:color w:val="auto"/>
                <w:spacing w:val="20"/>
                <w:kern w:val="2"/>
                <w:sz w:val="24"/>
                <w:lang w:val="en-US" w:eastAsia="zh-CN" w:bidi="ar-SA"/>
              </w:rPr>
            </w:pPr>
            <w:r>
              <w:rPr>
                <w:rFonts w:hint="eastAsia" w:ascii="新宋体" w:hAnsi="新宋体" w:eastAsia="新宋体"/>
                <w:color w:val="auto"/>
                <w:spacing w:val="20"/>
                <w:sz w:val="24"/>
                <w:highlight w:val="none"/>
                <w:lang w:eastAsia="zh-CN"/>
              </w:rPr>
              <w:t>总监代表</w:t>
            </w:r>
          </w:p>
        </w:tc>
        <w:tc>
          <w:tcPr>
            <w:tcW w:w="1533" w:type="dxa"/>
            <w:shd w:val="clear" w:color="auto" w:fill="auto"/>
            <w:noWrap w:val="0"/>
            <w:vAlign w:val="center"/>
          </w:tcPr>
          <w:p w14:paraId="114BC357">
            <w:pPr>
              <w:adjustRightInd w:val="0"/>
              <w:snapToGrid w:val="0"/>
              <w:spacing w:line="360" w:lineRule="auto"/>
              <w:jc w:val="center"/>
              <w:rPr>
                <w:rFonts w:hint="default" w:ascii="新宋体" w:hAnsi="新宋体" w:eastAsia="新宋体" w:cs="Times New Roman"/>
                <w:bCs/>
                <w:color w:val="auto"/>
                <w:spacing w:val="20"/>
                <w:kern w:val="2"/>
                <w:sz w:val="24"/>
                <w:highlight w:val="none"/>
                <w:lang w:val="en-US" w:eastAsia="zh-CN" w:bidi="ar-SA"/>
              </w:rPr>
            </w:pPr>
            <w:r>
              <w:rPr>
                <w:rFonts w:hint="eastAsia" w:ascii="新宋体" w:hAnsi="新宋体" w:eastAsia="新宋体"/>
                <w:bCs/>
                <w:color w:val="auto"/>
                <w:spacing w:val="20"/>
                <w:sz w:val="24"/>
                <w:highlight w:val="none"/>
                <w:lang w:val="en-US" w:eastAsia="zh-CN"/>
              </w:rPr>
              <w:t>1</w:t>
            </w:r>
            <w:r>
              <w:rPr>
                <w:rFonts w:hint="eastAsia" w:ascii="新宋体" w:hAnsi="新宋体" w:eastAsia="新宋体"/>
                <w:bCs/>
                <w:color w:val="auto"/>
                <w:spacing w:val="20"/>
                <w:sz w:val="24"/>
                <w:highlight w:val="none"/>
              </w:rPr>
              <w:t>人</w:t>
            </w:r>
          </w:p>
        </w:tc>
        <w:tc>
          <w:tcPr>
            <w:tcW w:w="1050" w:type="dxa"/>
            <w:vMerge w:val="restart"/>
            <w:noWrap w:val="0"/>
            <w:vAlign w:val="center"/>
          </w:tcPr>
          <w:p w14:paraId="58F106FB">
            <w:pPr>
              <w:adjustRightInd w:val="0"/>
              <w:snapToGrid w:val="0"/>
              <w:spacing w:line="240" w:lineRule="auto"/>
              <w:jc w:val="center"/>
              <w:rPr>
                <w:rFonts w:hint="default" w:ascii="新宋体" w:hAnsi="新宋体" w:eastAsia="新宋体"/>
                <w:bCs/>
                <w:color w:val="auto"/>
                <w:spacing w:val="20"/>
                <w:sz w:val="24"/>
                <w:highlight w:val="yellow"/>
                <w:lang w:val="en-US" w:eastAsia="zh-CN"/>
              </w:rPr>
            </w:pPr>
          </w:p>
        </w:tc>
      </w:tr>
      <w:tr w14:paraId="3CF2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998" w:type="dxa"/>
            <w:vMerge w:val="continue"/>
            <w:noWrap w:val="0"/>
            <w:vAlign w:val="center"/>
          </w:tcPr>
          <w:p w14:paraId="5AAB6562">
            <w:pPr>
              <w:adjustRightInd w:val="0"/>
              <w:snapToGrid w:val="0"/>
              <w:spacing w:line="360" w:lineRule="auto"/>
              <w:jc w:val="center"/>
              <w:rPr>
                <w:rFonts w:hint="eastAsia" w:ascii="新宋体" w:hAnsi="新宋体" w:eastAsia="新宋体"/>
                <w:color w:val="auto"/>
                <w:spacing w:val="20"/>
                <w:sz w:val="24"/>
              </w:rPr>
            </w:pPr>
          </w:p>
        </w:tc>
        <w:tc>
          <w:tcPr>
            <w:tcW w:w="1938" w:type="dxa"/>
            <w:shd w:val="clear" w:color="auto" w:fill="auto"/>
            <w:noWrap w:val="0"/>
            <w:vAlign w:val="center"/>
          </w:tcPr>
          <w:p w14:paraId="701AD4B9">
            <w:pPr>
              <w:adjustRightInd w:val="0"/>
              <w:snapToGrid w:val="0"/>
              <w:spacing w:line="360" w:lineRule="auto"/>
              <w:jc w:val="center"/>
              <w:rPr>
                <w:rFonts w:hint="default" w:ascii="新宋体" w:hAnsi="新宋体" w:eastAsia="新宋体" w:cs="Times New Roman"/>
                <w:color w:val="auto"/>
                <w:spacing w:val="20"/>
                <w:kern w:val="2"/>
                <w:sz w:val="24"/>
                <w:lang w:val="en-US" w:eastAsia="zh-CN" w:bidi="ar-SA"/>
              </w:rPr>
            </w:pPr>
            <w:r>
              <w:rPr>
                <w:rFonts w:hint="eastAsia" w:ascii="新宋体" w:hAnsi="新宋体" w:eastAsia="新宋体" w:cs="Times New Roman"/>
                <w:color w:val="auto"/>
                <w:spacing w:val="20"/>
                <w:sz w:val="24"/>
                <w:lang w:val="en-US" w:eastAsia="zh-CN"/>
              </w:rPr>
              <w:t>安装工程</w:t>
            </w:r>
          </w:p>
        </w:tc>
        <w:tc>
          <w:tcPr>
            <w:tcW w:w="2126" w:type="dxa"/>
            <w:shd w:val="clear" w:color="auto" w:fill="auto"/>
            <w:noWrap w:val="0"/>
            <w:vAlign w:val="center"/>
          </w:tcPr>
          <w:p w14:paraId="6C4C20A2">
            <w:pPr>
              <w:adjustRightInd w:val="0"/>
              <w:snapToGrid w:val="0"/>
              <w:spacing w:line="360" w:lineRule="auto"/>
              <w:jc w:val="center"/>
              <w:rPr>
                <w:rFonts w:hint="default" w:ascii="新宋体" w:hAnsi="新宋体" w:eastAsia="新宋体" w:cs="Times New Roman"/>
                <w:color w:val="auto"/>
                <w:spacing w:val="20"/>
                <w:kern w:val="2"/>
                <w:sz w:val="24"/>
                <w:lang w:val="en-US" w:eastAsia="zh-CN" w:bidi="ar-SA"/>
              </w:rPr>
            </w:pPr>
            <w:r>
              <w:rPr>
                <w:rFonts w:hint="eastAsia" w:ascii="新宋体" w:hAnsi="新宋体" w:eastAsia="新宋体"/>
                <w:color w:val="auto"/>
                <w:spacing w:val="20"/>
                <w:sz w:val="24"/>
              </w:rPr>
              <w:t>监理工程师</w:t>
            </w:r>
          </w:p>
        </w:tc>
        <w:tc>
          <w:tcPr>
            <w:tcW w:w="1533" w:type="dxa"/>
            <w:shd w:val="clear" w:color="auto" w:fill="auto"/>
            <w:noWrap w:val="0"/>
            <w:vAlign w:val="center"/>
          </w:tcPr>
          <w:p w14:paraId="692C6D46">
            <w:pPr>
              <w:adjustRightInd w:val="0"/>
              <w:snapToGrid w:val="0"/>
              <w:spacing w:line="360" w:lineRule="auto"/>
              <w:jc w:val="center"/>
              <w:rPr>
                <w:rFonts w:hint="default" w:ascii="新宋体" w:hAnsi="新宋体" w:eastAsia="新宋体" w:cs="Times New Roman"/>
                <w:bCs/>
                <w:color w:val="auto"/>
                <w:spacing w:val="20"/>
                <w:kern w:val="2"/>
                <w:sz w:val="24"/>
                <w:highlight w:val="none"/>
                <w:lang w:val="en-US" w:eastAsia="zh-CN" w:bidi="ar-SA"/>
              </w:rPr>
            </w:pPr>
            <w:r>
              <w:rPr>
                <w:rFonts w:hint="eastAsia" w:ascii="新宋体" w:hAnsi="新宋体" w:eastAsia="新宋体"/>
                <w:bCs/>
                <w:color w:val="auto"/>
                <w:spacing w:val="20"/>
                <w:sz w:val="24"/>
                <w:highlight w:val="none"/>
              </w:rPr>
              <w:t>1人</w:t>
            </w:r>
          </w:p>
        </w:tc>
        <w:tc>
          <w:tcPr>
            <w:tcW w:w="1050" w:type="dxa"/>
            <w:vMerge w:val="continue"/>
            <w:noWrap w:val="0"/>
            <w:vAlign w:val="center"/>
          </w:tcPr>
          <w:p w14:paraId="309A2655">
            <w:pPr>
              <w:adjustRightInd w:val="0"/>
              <w:snapToGrid w:val="0"/>
              <w:spacing w:line="240" w:lineRule="auto"/>
              <w:jc w:val="center"/>
              <w:rPr>
                <w:rFonts w:hint="eastAsia" w:ascii="新宋体" w:hAnsi="新宋体" w:eastAsia="新宋体"/>
                <w:bCs/>
                <w:color w:val="auto"/>
                <w:spacing w:val="20"/>
                <w:sz w:val="24"/>
                <w:highlight w:val="yellow"/>
                <w:lang w:val="en-US" w:eastAsia="zh-CN"/>
              </w:rPr>
            </w:pPr>
          </w:p>
        </w:tc>
      </w:tr>
      <w:tr w14:paraId="02CA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trPr>
        <w:tc>
          <w:tcPr>
            <w:tcW w:w="6062" w:type="dxa"/>
            <w:gridSpan w:val="3"/>
            <w:noWrap w:val="0"/>
            <w:vAlign w:val="center"/>
          </w:tcPr>
          <w:p w14:paraId="3CAE73C7">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olor w:val="auto"/>
                <w:spacing w:val="20"/>
                <w:sz w:val="24"/>
              </w:rPr>
              <w:t>合计</w:t>
            </w:r>
          </w:p>
        </w:tc>
        <w:tc>
          <w:tcPr>
            <w:tcW w:w="1533" w:type="dxa"/>
            <w:noWrap w:val="0"/>
            <w:vAlign w:val="center"/>
          </w:tcPr>
          <w:p w14:paraId="0D3D76C6">
            <w:pPr>
              <w:adjustRightInd w:val="0"/>
              <w:snapToGrid w:val="0"/>
              <w:spacing w:line="360" w:lineRule="auto"/>
              <w:jc w:val="center"/>
              <w:rPr>
                <w:rFonts w:hint="eastAsia" w:ascii="新宋体" w:hAnsi="新宋体" w:eastAsia="新宋体"/>
                <w:color w:val="auto"/>
                <w:spacing w:val="20"/>
                <w:sz w:val="24"/>
                <w:highlight w:val="none"/>
              </w:rPr>
            </w:pPr>
            <w:r>
              <w:rPr>
                <w:rFonts w:hint="eastAsia" w:ascii="新宋体" w:hAnsi="新宋体" w:eastAsia="新宋体"/>
                <w:bCs/>
                <w:color w:val="auto"/>
                <w:spacing w:val="20"/>
                <w:sz w:val="24"/>
                <w:highlight w:val="none"/>
                <w:lang w:val="en-US" w:eastAsia="zh-CN"/>
              </w:rPr>
              <w:t>3</w:t>
            </w:r>
            <w:r>
              <w:rPr>
                <w:rFonts w:hint="eastAsia" w:ascii="新宋体" w:hAnsi="新宋体" w:eastAsia="新宋体"/>
                <w:bCs/>
                <w:color w:val="auto"/>
                <w:spacing w:val="20"/>
                <w:sz w:val="24"/>
                <w:highlight w:val="none"/>
              </w:rPr>
              <w:t>人</w:t>
            </w:r>
          </w:p>
        </w:tc>
        <w:tc>
          <w:tcPr>
            <w:tcW w:w="1050" w:type="dxa"/>
            <w:noWrap w:val="0"/>
            <w:vAlign w:val="center"/>
          </w:tcPr>
          <w:p w14:paraId="368BEE99">
            <w:pPr>
              <w:adjustRightInd w:val="0"/>
              <w:snapToGrid w:val="0"/>
              <w:spacing w:line="276" w:lineRule="auto"/>
              <w:rPr>
                <w:rFonts w:hint="eastAsia" w:ascii="新宋体" w:hAnsi="新宋体" w:eastAsia="新宋体"/>
                <w:bCs/>
                <w:color w:val="auto"/>
                <w:spacing w:val="20"/>
                <w:sz w:val="24"/>
                <w:highlight w:val="yellow"/>
              </w:rPr>
            </w:pPr>
          </w:p>
        </w:tc>
      </w:tr>
      <w:tr w14:paraId="23E6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5" w:type="dxa"/>
            <w:gridSpan w:val="5"/>
            <w:noWrap w:val="0"/>
            <w:vAlign w:val="center"/>
          </w:tcPr>
          <w:p w14:paraId="249D1777">
            <w:pPr>
              <w:adjustRightInd w:val="0"/>
              <w:snapToGrid w:val="0"/>
              <w:spacing w:line="360" w:lineRule="auto"/>
              <w:rPr>
                <w:rFonts w:hint="eastAsia" w:ascii="宋体" w:hAnsi="宋体"/>
                <w:color w:val="auto"/>
                <w:sz w:val="24"/>
              </w:rPr>
            </w:pPr>
            <w:r>
              <w:rPr>
                <w:rFonts w:hint="eastAsia" w:ascii="宋体" w:hAnsi="宋体"/>
                <w:color w:val="auto"/>
                <w:sz w:val="24"/>
              </w:rPr>
              <w:t>人员配备通则：</w:t>
            </w:r>
          </w:p>
          <w:p w14:paraId="737712BA">
            <w:pPr>
              <w:adjustRightInd w:val="0"/>
              <w:snapToGrid w:val="0"/>
              <w:spacing w:line="360" w:lineRule="auto"/>
              <w:rPr>
                <w:rFonts w:ascii="宋体" w:hAnsi="宋体"/>
                <w:color w:val="auto"/>
                <w:sz w:val="24"/>
              </w:rPr>
            </w:pPr>
            <w:r>
              <w:rPr>
                <w:rFonts w:hint="eastAsia" w:ascii="宋体" w:hAnsi="宋体"/>
                <w:color w:val="auto"/>
                <w:sz w:val="24"/>
              </w:rPr>
              <w:t>1.表中所列监理人员配额在本工程服务期内，</w:t>
            </w:r>
            <w:r>
              <w:rPr>
                <w:rFonts w:hint="eastAsia" w:ascii="宋体" w:hAnsi="宋体"/>
                <w:color w:val="auto"/>
                <w:sz w:val="24"/>
                <w:lang w:eastAsia="zh-CN"/>
              </w:rPr>
              <w:t>除总监外</w:t>
            </w:r>
            <w:r>
              <w:rPr>
                <w:rFonts w:hint="eastAsia" w:ascii="宋体" w:hAnsi="宋体"/>
                <w:color w:val="auto"/>
                <w:sz w:val="24"/>
              </w:rPr>
              <w:t>不能在其他工程项目上重复任职。</w:t>
            </w:r>
          </w:p>
          <w:p w14:paraId="67340A09">
            <w:pPr>
              <w:adjustRightInd w:val="0"/>
              <w:snapToGrid w:val="0"/>
              <w:spacing w:line="360" w:lineRule="auto"/>
              <w:rPr>
                <w:rFonts w:ascii="宋体" w:hAnsi="宋体"/>
                <w:color w:val="auto"/>
                <w:sz w:val="24"/>
              </w:rPr>
            </w:pPr>
            <w:r>
              <w:rPr>
                <w:rFonts w:hint="eastAsia" w:ascii="宋体" w:hAnsi="宋体"/>
                <w:color w:val="auto"/>
                <w:sz w:val="24"/>
              </w:rPr>
              <w:t>2.各类助理人员配额由监理单位根据</w:t>
            </w:r>
            <w:r>
              <w:rPr>
                <w:rFonts w:hint="eastAsia" w:ascii="宋体" w:hAnsi="宋体"/>
                <w:color w:val="auto"/>
                <w:sz w:val="24"/>
                <w:lang w:eastAsia="zh-CN"/>
              </w:rPr>
              <w:t>招标</w:t>
            </w:r>
            <w:r>
              <w:rPr>
                <w:rFonts w:hint="eastAsia" w:ascii="宋体" w:hAnsi="宋体"/>
                <w:color w:val="auto"/>
                <w:sz w:val="24"/>
              </w:rPr>
              <w:t>文件要求及项目实际情况提供。</w:t>
            </w:r>
          </w:p>
          <w:p w14:paraId="275522FF">
            <w:pPr>
              <w:adjustRightInd w:val="0"/>
              <w:snapToGrid w:val="0"/>
              <w:spacing w:line="360" w:lineRule="auto"/>
              <w:rPr>
                <w:rFonts w:ascii="宋体" w:hAnsi="宋体"/>
                <w:color w:val="auto"/>
                <w:sz w:val="24"/>
              </w:rPr>
            </w:pPr>
            <w:r>
              <w:rPr>
                <w:rFonts w:hint="eastAsia" w:ascii="宋体" w:hAnsi="宋体"/>
                <w:color w:val="auto"/>
                <w:sz w:val="24"/>
              </w:rPr>
              <w:t>3.安全岗位如配备国家级注册安全工程师，无须具备监理员或以上执业资格。</w:t>
            </w:r>
          </w:p>
          <w:p w14:paraId="569B1470">
            <w:pPr>
              <w:adjustRightInd w:val="0"/>
              <w:snapToGrid w:val="0"/>
              <w:spacing w:line="360" w:lineRule="auto"/>
              <w:rPr>
                <w:rFonts w:ascii="宋体" w:hAnsi="宋体"/>
                <w:color w:val="auto"/>
                <w:sz w:val="24"/>
              </w:rPr>
            </w:pPr>
            <w:r>
              <w:rPr>
                <w:rFonts w:hint="eastAsia" w:ascii="宋体" w:hAnsi="宋体"/>
                <w:color w:val="auto"/>
                <w:sz w:val="24"/>
              </w:rPr>
              <w:t>4.相近专业是指</w:t>
            </w:r>
            <w:r>
              <w:rPr>
                <w:rFonts w:hint="eastAsia" w:ascii="宋体" w:hAnsi="宋体"/>
                <w:color w:val="auto"/>
                <w:sz w:val="24"/>
                <w:lang w:eastAsia="zh-CN"/>
              </w:rPr>
              <w:t>招标</w:t>
            </w:r>
            <w:r>
              <w:rPr>
                <w:rFonts w:hint="eastAsia" w:ascii="宋体" w:hAnsi="宋体"/>
                <w:color w:val="auto"/>
                <w:sz w:val="24"/>
              </w:rPr>
              <w:t>文件要求专业和响应文件配备专业之间为建设部、水利部、交通部等不同行业(部门)定义的具备同一或类似功能的专业关系，或要求专业的功能涵盖在配备专业之中。例如：建设部的市政公用工程与交通部的道路与桥梁工程为相近专业。</w:t>
            </w:r>
          </w:p>
          <w:p w14:paraId="35F6678C">
            <w:pPr>
              <w:adjustRightInd w:val="0"/>
              <w:snapToGrid w:val="0"/>
              <w:spacing w:line="360" w:lineRule="auto"/>
              <w:rPr>
                <w:rFonts w:ascii="宋体" w:hAnsi="宋体"/>
                <w:color w:val="auto"/>
                <w:sz w:val="24"/>
              </w:rPr>
            </w:pPr>
            <w:r>
              <w:rPr>
                <w:rFonts w:hint="eastAsia" w:ascii="宋体" w:hAnsi="宋体"/>
                <w:color w:val="auto"/>
                <w:sz w:val="24"/>
              </w:rPr>
              <w:t>5.自2015 年建设监理协会组织考试并颁发了监理工程师岗位认定证书和监理员岗位认定证书，此证书可以作为“监理工程师”、“监理员”证书使用，相应人员可以担任人员配备要求中的“监理工程师”、“监理员”，</w:t>
            </w:r>
            <w:r>
              <w:rPr>
                <w:rFonts w:hint="eastAsia" w:ascii="宋体" w:hAnsi="宋体"/>
                <w:b/>
                <w:color w:val="auto"/>
                <w:sz w:val="24"/>
              </w:rPr>
              <w:t>其相应专业以职称证书或学历证书反映。</w:t>
            </w:r>
          </w:p>
          <w:p w14:paraId="1DD8DD23">
            <w:pPr>
              <w:adjustRightInd w:val="0"/>
              <w:snapToGrid w:val="0"/>
              <w:spacing w:line="360" w:lineRule="auto"/>
              <w:rPr>
                <w:rFonts w:ascii="宋体" w:hAnsi="宋体"/>
                <w:color w:val="auto"/>
                <w:sz w:val="24"/>
              </w:rPr>
            </w:pPr>
            <w:r>
              <w:rPr>
                <w:rFonts w:hint="eastAsia" w:ascii="宋体" w:hAnsi="宋体"/>
                <w:color w:val="auto"/>
                <w:sz w:val="24"/>
              </w:rPr>
              <w:t>6.</w:t>
            </w:r>
            <w:r>
              <w:rPr>
                <w:rFonts w:hint="eastAsia" w:ascii="宋体" w:hAnsi="宋体"/>
                <w:b/>
                <w:color w:val="auto"/>
                <w:sz w:val="24"/>
              </w:rPr>
              <w:t>除总监外，其余人员不作为初审指标。</w:t>
            </w:r>
            <w:r>
              <w:rPr>
                <w:rFonts w:hint="eastAsia" w:ascii="宋体" w:hAnsi="宋体"/>
                <w:color w:val="auto"/>
                <w:sz w:val="24"/>
              </w:rPr>
              <w:t>响应文件中同时提供拟任总监的</w:t>
            </w:r>
            <w:r>
              <w:rPr>
                <w:rFonts w:hint="eastAsia" w:ascii="新宋体" w:hAnsi="新宋体" w:eastAsia="新宋体"/>
                <w:color w:val="auto"/>
                <w:spacing w:val="20"/>
                <w:sz w:val="24"/>
              </w:rPr>
              <w:t>国家级注册监理工程师</w:t>
            </w:r>
            <w:r>
              <w:rPr>
                <w:rFonts w:hint="eastAsia" w:ascii="宋体" w:hAnsi="宋体"/>
                <w:color w:val="auto"/>
                <w:sz w:val="24"/>
              </w:rPr>
              <w:t>证书和投标人为其缴纳的</w:t>
            </w:r>
            <w:r>
              <w:rPr>
                <w:rFonts w:hint="eastAsia" w:ascii="宋体" w:hAnsi="宋体"/>
                <w:b/>
                <w:color w:val="auto"/>
                <w:sz w:val="24"/>
              </w:rPr>
              <w:t>自202</w:t>
            </w:r>
            <w:r>
              <w:rPr>
                <w:rFonts w:hint="eastAsia" w:ascii="宋体" w:hAnsi="宋体"/>
                <w:b/>
                <w:color w:val="auto"/>
                <w:sz w:val="24"/>
                <w:lang w:val="en-US" w:eastAsia="zh-CN"/>
              </w:rPr>
              <w:t>6</w:t>
            </w:r>
            <w:r>
              <w:rPr>
                <w:rFonts w:hint="eastAsia" w:ascii="宋体" w:hAnsi="宋体"/>
                <w:b/>
                <w:color w:val="auto"/>
                <w:sz w:val="24"/>
              </w:rPr>
              <w:t>年</w:t>
            </w:r>
            <w:r>
              <w:rPr>
                <w:rFonts w:hint="eastAsia" w:ascii="宋体" w:hAnsi="宋体"/>
                <w:b/>
                <w:color w:val="auto"/>
                <w:sz w:val="24"/>
                <w:lang w:val="en-US" w:eastAsia="zh-CN"/>
              </w:rPr>
              <w:t>5</w:t>
            </w:r>
            <w:r>
              <w:rPr>
                <w:rFonts w:hint="eastAsia" w:ascii="宋体" w:hAnsi="宋体"/>
                <w:b/>
                <w:color w:val="auto"/>
                <w:sz w:val="24"/>
              </w:rPr>
              <w:t>月1日以来的</w:t>
            </w:r>
            <w:r>
              <w:rPr>
                <w:rFonts w:hint="eastAsia" w:ascii="宋体" w:hAnsi="宋体"/>
                <w:b/>
                <w:color w:val="auto"/>
                <w:sz w:val="24"/>
                <w:lang w:val="en-US" w:eastAsia="zh-CN"/>
              </w:rPr>
              <w:t>连续三个</w:t>
            </w:r>
            <w:r>
              <w:rPr>
                <w:rFonts w:hint="eastAsia" w:ascii="宋体" w:hAnsi="宋体"/>
                <w:b/>
                <w:bCs/>
                <w:color w:val="auto"/>
                <w:sz w:val="24"/>
              </w:rPr>
              <w:t>月</w:t>
            </w:r>
            <w:r>
              <w:rPr>
                <w:rFonts w:hint="eastAsia" w:ascii="宋体" w:hAnsi="宋体"/>
                <w:color w:val="auto"/>
                <w:sz w:val="24"/>
              </w:rPr>
              <w:t>社保证明材料（或退休证明材料）扫描件，</w:t>
            </w:r>
            <w:r>
              <w:rPr>
                <w:rFonts w:hint="eastAsia" w:ascii="宋体" w:hAnsi="宋体"/>
                <w:b/>
                <w:bCs/>
                <w:color w:val="auto"/>
                <w:sz w:val="24"/>
                <w:szCs w:val="24"/>
              </w:rPr>
              <w:t>社保证明材料要求详见投标人须知前附表</w:t>
            </w:r>
            <w:r>
              <w:rPr>
                <w:rFonts w:hint="eastAsia" w:ascii="宋体" w:hAnsi="宋体"/>
                <w:color w:val="auto"/>
                <w:sz w:val="24"/>
              </w:rPr>
              <w:t>。</w:t>
            </w:r>
            <w:r>
              <w:rPr>
                <w:rFonts w:hint="eastAsia" w:ascii="宋体" w:hAnsi="宋体"/>
                <w:bCs/>
                <w:color w:val="auto"/>
                <w:sz w:val="24"/>
              </w:rPr>
              <w:t>其余人员岗位资格和人员数量配备满足本表要求即可（投标人在响应文件中可以列表或书面承诺等形式予以响应），具体人员名单中标后再行上报业主单位考核后确定。如投标时，投标人自行提供了除总监外的其他人员配备名单，且提供的人员执业资质及岗位等不符合上表要求的</w:t>
            </w:r>
            <w:r>
              <w:rPr>
                <w:rFonts w:hint="eastAsia" w:ascii="宋体" w:hAnsi="宋体"/>
                <w:bCs/>
                <w:color w:val="auto"/>
                <w:sz w:val="24"/>
                <w:lang w:eastAsia="zh-CN"/>
              </w:rPr>
              <w:t>，按招标</w:t>
            </w:r>
            <w:r>
              <w:rPr>
                <w:rFonts w:hint="eastAsia" w:ascii="宋体" w:hAnsi="宋体"/>
                <w:bCs/>
                <w:color w:val="auto"/>
                <w:sz w:val="24"/>
              </w:rPr>
              <w:t>文件规定进行扣分。</w:t>
            </w:r>
          </w:p>
          <w:p w14:paraId="16A64246">
            <w:pPr>
              <w:adjustRightInd w:val="0"/>
              <w:snapToGrid w:val="0"/>
              <w:spacing w:line="360" w:lineRule="auto"/>
              <w:rPr>
                <w:rFonts w:hint="eastAsia" w:ascii="宋体" w:hAnsi="宋体"/>
                <w:b/>
                <w:color w:val="auto"/>
                <w:sz w:val="24"/>
              </w:rPr>
            </w:pPr>
            <w:r>
              <w:rPr>
                <w:rFonts w:hint="eastAsia" w:ascii="宋体" w:hAnsi="宋体"/>
                <w:b/>
                <w:color w:val="auto"/>
                <w:sz w:val="24"/>
              </w:rPr>
              <w:t>7.除总监外，其余人员认可相近专业。其余人员中标后可更换</w:t>
            </w:r>
            <w:r>
              <w:rPr>
                <w:rFonts w:hint="eastAsia" w:ascii="宋体" w:hAnsi="宋体"/>
                <w:b/>
                <w:color w:val="auto"/>
                <w:sz w:val="24"/>
                <w:lang w:val="en-US" w:eastAsia="zh-CN"/>
              </w:rPr>
              <w:t>一次</w:t>
            </w:r>
            <w:r>
              <w:rPr>
                <w:rFonts w:hint="eastAsia" w:ascii="宋体" w:hAnsi="宋体"/>
                <w:b/>
                <w:color w:val="auto"/>
                <w:sz w:val="24"/>
              </w:rPr>
              <w:t>，但资格、阅历及经验等不得低于原计划配置人员。</w:t>
            </w:r>
          </w:p>
          <w:p w14:paraId="34FC026C">
            <w:pPr>
              <w:adjustRightInd w:val="0"/>
              <w:snapToGrid w:val="0"/>
              <w:spacing w:line="360" w:lineRule="auto"/>
              <w:rPr>
                <w:rFonts w:hint="default" w:ascii="宋体" w:hAnsi="宋体"/>
                <w:b/>
                <w:color w:val="auto"/>
                <w:sz w:val="24"/>
                <w:lang w:val="en-US" w:eastAsia="zh-CN"/>
              </w:rPr>
            </w:pPr>
            <w:r>
              <w:rPr>
                <w:rFonts w:hint="eastAsia" w:ascii="宋体" w:hAnsi="宋体"/>
                <w:b/>
                <w:color w:val="auto"/>
                <w:sz w:val="24"/>
                <w:lang w:val="en-US" w:eastAsia="zh-CN"/>
              </w:rPr>
              <w:t>8.若总监全职驻场主持工作（每月驻场不少于26天），可不设总监代表，人员配备减少为2人。</w:t>
            </w:r>
          </w:p>
        </w:tc>
      </w:tr>
    </w:tbl>
    <w:p w14:paraId="495B4659">
      <w:pPr>
        <w:adjustRightInd w:val="0"/>
        <w:snapToGrid w:val="0"/>
        <w:spacing w:line="360" w:lineRule="auto"/>
        <w:ind w:firstLine="482" w:firstLineChars="200"/>
        <w:rPr>
          <w:rFonts w:hint="eastAsia" w:ascii="新宋体" w:hAnsi="新宋体" w:eastAsia="新宋体"/>
          <w:b/>
          <w:color w:val="auto"/>
          <w:sz w:val="24"/>
        </w:rPr>
      </w:pPr>
    </w:p>
    <w:p w14:paraId="6C1CD521">
      <w:pPr>
        <w:numPr>
          <w:ilvl w:val="0"/>
          <w:numId w:val="5"/>
        </w:numPr>
        <w:adjustRightInd w:val="0"/>
        <w:snapToGrid w:val="0"/>
        <w:spacing w:line="360" w:lineRule="auto"/>
        <w:ind w:firstLine="482" w:firstLineChars="200"/>
        <w:rPr>
          <w:rFonts w:hint="eastAsia" w:ascii="新宋体" w:hAnsi="新宋体" w:eastAsia="新宋体"/>
          <w:b/>
          <w:color w:val="auto"/>
          <w:sz w:val="24"/>
        </w:rPr>
      </w:pPr>
      <w:r>
        <w:rPr>
          <w:rFonts w:hint="eastAsia" w:ascii="新宋体" w:hAnsi="新宋体" w:eastAsia="新宋体"/>
          <w:b/>
          <w:color w:val="auto"/>
          <w:sz w:val="24"/>
        </w:rPr>
        <w:t>对办公设备及检测设备的配备要求</w:t>
      </w:r>
    </w:p>
    <w:p w14:paraId="012427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rPr>
      </w:pPr>
      <w:r>
        <w:rPr>
          <w:rFonts w:hint="eastAsia" w:ascii="新宋体" w:hAnsi="新宋体" w:eastAsia="新宋体"/>
          <w:b/>
          <w:bCs/>
          <w:color w:val="auto"/>
          <w:sz w:val="24"/>
        </w:rPr>
        <w:t>表2  办公用品一览表</w:t>
      </w:r>
    </w:p>
    <w:tbl>
      <w:tblPr>
        <w:tblStyle w:val="57"/>
        <w:tblpPr w:leftFromText="180" w:rightFromText="180" w:vertAnchor="text" w:horzAnchor="page" w:tblpX="1772" w:tblpY="466"/>
        <w:tblOverlap w:val="never"/>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3255"/>
        <w:gridCol w:w="1575"/>
        <w:gridCol w:w="2835"/>
      </w:tblGrid>
      <w:tr w14:paraId="55FB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14C7E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序号</w:t>
            </w:r>
          </w:p>
        </w:tc>
        <w:tc>
          <w:tcPr>
            <w:tcW w:w="3255" w:type="dxa"/>
            <w:noWrap w:val="0"/>
            <w:vAlign w:val="top"/>
          </w:tcPr>
          <w:p w14:paraId="240CD8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名 称（规格、型号）</w:t>
            </w:r>
          </w:p>
        </w:tc>
        <w:tc>
          <w:tcPr>
            <w:tcW w:w="1575" w:type="dxa"/>
            <w:noWrap w:val="0"/>
            <w:vAlign w:val="top"/>
          </w:tcPr>
          <w:p w14:paraId="796015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数 量</w:t>
            </w:r>
          </w:p>
        </w:tc>
        <w:tc>
          <w:tcPr>
            <w:tcW w:w="2835" w:type="dxa"/>
            <w:noWrap w:val="0"/>
            <w:vAlign w:val="top"/>
          </w:tcPr>
          <w:p w14:paraId="1910B5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备 注</w:t>
            </w:r>
          </w:p>
        </w:tc>
      </w:tr>
      <w:tr w14:paraId="1AA2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7FA9F7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1</w:t>
            </w:r>
          </w:p>
        </w:tc>
        <w:tc>
          <w:tcPr>
            <w:tcW w:w="3255" w:type="dxa"/>
            <w:noWrap w:val="0"/>
            <w:vAlign w:val="top"/>
          </w:tcPr>
          <w:p w14:paraId="2DA059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电脑</w:t>
            </w:r>
          </w:p>
        </w:tc>
        <w:tc>
          <w:tcPr>
            <w:tcW w:w="1575" w:type="dxa"/>
            <w:noWrap w:val="0"/>
            <w:vAlign w:val="top"/>
          </w:tcPr>
          <w:p w14:paraId="7325CE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top"/>
          </w:tcPr>
          <w:p w14:paraId="4325ACD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新宋体" w:hAnsi="新宋体" w:eastAsia="新宋体"/>
                <w:color w:val="auto"/>
                <w:sz w:val="24"/>
                <w:szCs w:val="28"/>
              </w:rPr>
            </w:pPr>
          </w:p>
        </w:tc>
      </w:tr>
      <w:tr w14:paraId="1BEE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3A9F57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2</w:t>
            </w:r>
          </w:p>
        </w:tc>
        <w:tc>
          <w:tcPr>
            <w:tcW w:w="3255" w:type="dxa"/>
            <w:noWrap w:val="0"/>
            <w:vAlign w:val="top"/>
          </w:tcPr>
          <w:p w14:paraId="455B32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打印机</w:t>
            </w:r>
          </w:p>
        </w:tc>
        <w:tc>
          <w:tcPr>
            <w:tcW w:w="1575" w:type="dxa"/>
            <w:noWrap w:val="0"/>
            <w:vAlign w:val="top"/>
          </w:tcPr>
          <w:p w14:paraId="0D22D5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1</w:t>
            </w:r>
          </w:p>
        </w:tc>
        <w:tc>
          <w:tcPr>
            <w:tcW w:w="2835" w:type="dxa"/>
            <w:noWrap w:val="0"/>
            <w:vAlign w:val="top"/>
          </w:tcPr>
          <w:p w14:paraId="36080ED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新宋体" w:hAnsi="新宋体" w:eastAsia="新宋体"/>
                <w:color w:val="auto"/>
                <w:sz w:val="24"/>
                <w:szCs w:val="28"/>
              </w:rPr>
            </w:pPr>
          </w:p>
        </w:tc>
      </w:tr>
      <w:tr w14:paraId="5F51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48FE29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3</w:t>
            </w:r>
          </w:p>
        </w:tc>
        <w:tc>
          <w:tcPr>
            <w:tcW w:w="3255" w:type="dxa"/>
            <w:noWrap w:val="0"/>
            <w:vAlign w:val="top"/>
          </w:tcPr>
          <w:p w14:paraId="080CA4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数码照相机</w:t>
            </w:r>
          </w:p>
        </w:tc>
        <w:tc>
          <w:tcPr>
            <w:tcW w:w="1575" w:type="dxa"/>
            <w:noWrap w:val="0"/>
            <w:vAlign w:val="top"/>
          </w:tcPr>
          <w:p w14:paraId="797797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1</w:t>
            </w:r>
          </w:p>
        </w:tc>
        <w:tc>
          <w:tcPr>
            <w:tcW w:w="2835" w:type="dxa"/>
            <w:noWrap w:val="0"/>
            <w:vAlign w:val="top"/>
          </w:tcPr>
          <w:p w14:paraId="750A5F4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新宋体" w:hAnsi="新宋体" w:eastAsia="新宋体"/>
                <w:color w:val="auto"/>
                <w:sz w:val="24"/>
                <w:szCs w:val="28"/>
              </w:rPr>
            </w:pPr>
          </w:p>
        </w:tc>
      </w:tr>
    </w:tbl>
    <w:p w14:paraId="38EF1705">
      <w:pPr>
        <w:adjustRightInd w:val="0"/>
        <w:snapToGrid w:val="0"/>
        <w:spacing w:line="360" w:lineRule="auto"/>
        <w:jc w:val="center"/>
        <w:rPr>
          <w:rFonts w:hint="eastAsia" w:ascii="新宋体" w:hAnsi="新宋体" w:eastAsia="新宋体"/>
          <w:b/>
          <w:bCs/>
          <w:color w:val="auto"/>
          <w:sz w:val="24"/>
        </w:rPr>
      </w:pPr>
    </w:p>
    <w:p w14:paraId="2D11B2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新宋体" w:hAnsi="新宋体" w:eastAsia="新宋体"/>
          <w:b/>
          <w:bCs/>
          <w:color w:val="auto"/>
          <w:sz w:val="24"/>
        </w:rPr>
      </w:pPr>
      <w:r>
        <w:rPr>
          <w:rFonts w:hint="eastAsia" w:ascii="新宋体" w:hAnsi="新宋体" w:eastAsia="新宋体"/>
          <w:b/>
          <w:bCs/>
          <w:color w:val="auto"/>
          <w:sz w:val="24"/>
        </w:rPr>
        <w:t>表3   检测设备一览表</w:t>
      </w:r>
    </w:p>
    <w:tbl>
      <w:tblPr>
        <w:tblStyle w:val="57"/>
        <w:tblpPr w:leftFromText="180" w:rightFromText="180" w:vertAnchor="text" w:horzAnchor="page" w:tblpX="1822" w:tblpY="457"/>
        <w:tblOverlap w:val="never"/>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3255"/>
        <w:gridCol w:w="1575"/>
        <w:gridCol w:w="2835"/>
      </w:tblGrid>
      <w:tr w14:paraId="3C56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72FAED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序号</w:t>
            </w:r>
          </w:p>
        </w:tc>
        <w:tc>
          <w:tcPr>
            <w:tcW w:w="3255" w:type="dxa"/>
            <w:noWrap w:val="0"/>
            <w:vAlign w:val="bottom"/>
          </w:tcPr>
          <w:p w14:paraId="1D3E05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名 称（规格、型号）</w:t>
            </w:r>
          </w:p>
        </w:tc>
        <w:tc>
          <w:tcPr>
            <w:tcW w:w="1575" w:type="dxa"/>
            <w:noWrap w:val="0"/>
            <w:vAlign w:val="bottom"/>
          </w:tcPr>
          <w:p w14:paraId="7E59F6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数 量</w:t>
            </w:r>
          </w:p>
        </w:tc>
        <w:tc>
          <w:tcPr>
            <w:tcW w:w="2835" w:type="dxa"/>
            <w:noWrap w:val="0"/>
            <w:vAlign w:val="bottom"/>
          </w:tcPr>
          <w:p w14:paraId="429CF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备 注</w:t>
            </w:r>
          </w:p>
        </w:tc>
      </w:tr>
      <w:tr w14:paraId="7E52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6AB3EE51">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3255" w:type="dxa"/>
            <w:noWrap w:val="0"/>
            <w:vAlign w:val="center"/>
          </w:tcPr>
          <w:p w14:paraId="66ABC4FC">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测距仪</w:t>
            </w:r>
          </w:p>
        </w:tc>
        <w:tc>
          <w:tcPr>
            <w:tcW w:w="1575" w:type="dxa"/>
            <w:noWrap w:val="0"/>
            <w:vAlign w:val="bottom"/>
          </w:tcPr>
          <w:p w14:paraId="0011FC3C">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bottom"/>
          </w:tcPr>
          <w:p w14:paraId="4706DCFE">
            <w:pPr>
              <w:adjustRightInd w:val="0"/>
              <w:snapToGrid w:val="0"/>
              <w:spacing w:line="360" w:lineRule="auto"/>
              <w:jc w:val="center"/>
              <w:rPr>
                <w:rFonts w:ascii="新宋体" w:hAnsi="新宋体" w:eastAsia="新宋体"/>
                <w:color w:val="auto"/>
                <w:sz w:val="24"/>
                <w:szCs w:val="28"/>
              </w:rPr>
            </w:pPr>
          </w:p>
        </w:tc>
      </w:tr>
      <w:tr w14:paraId="150C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39CC482D">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2</w:t>
            </w:r>
          </w:p>
        </w:tc>
        <w:tc>
          <w:tcPr>
            <w:tcW w:w="3255" w:type="dxa"/>
            <w:noWrap w:val="0"/>
            <w:vAlign w:val="bottom"/>
          </w:tcPr>
          <w:p w14:paraId="70C97F35">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水准仪</w:t>
            </w:r>
          </w:p>
        </w:tc>
        <w:tc>
          <w:tcPr>
            <w:tcW w:w="1575" w:type="dxa"/>
            <w:noWrap w:val="0"/>
            <w:vAlign w:val="bottom"/>
          </w:tcPr>
          <w:p w14:paraId="6ABF8BBE">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2A7B548E">
            <w:pPr>
              <w:adjustRightInd w:val="0"/>
              <w:snapToGrid w:val="0"/>
              <w:spacing w:line="360" w:lineRule="auto"/>
              <w:jc w:val="center"/>
              <w:rPr>
                <w:rFonts w:ascii="新宋体" w:hAnsi="新宋体" w:eastAsia="新宋体"/>
                <w:color w:val="auto"/>
                <w:sz w:val="24"/>
                <w:szCs w:val="28"/>
              </w:rPr>
            </w:pPr>
          </w:p>
        </w:tc>
      </w:tr>
      <w:tr w14:paraId="7360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5D1C6741">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3</w:t>
            </w:r>
          </w:p>
        </w:tc>
        <w:tc>
          <w:tcPr>
            <w:tcW w:w="3255" w:type="dxa"/>
            <w:noWrap w:val="0"/>
            <w:vAlign w:val="bottom"/>
          </w:tcPr>
          <w:p w14:paraId="679EA155">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经纬仪</w:t>
            </w:r>
          </w:p>
        </w:tc>
        <w:tc>
          <w:tcPr>
            <w:tcW w:w="1575" w:type="dxa"/>
            <w:noWrap w:val="0"/>
            <w:vAlign w:val="bottom"/>
          </w:tcPr>
          <w:p w14:paraId="482FA0A3">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11DCBC76">
            <w:pPr>
              <w:adjustRightInd w:val="0"/>
              <w:snapToGrid w:val="0"/>
              <w:spacing w:line="360" w:lineRule="auto"/>
              <w:jc w:val="center"/>
              <w:rPr>
                <w:rFonts w:ascii="新宋体" w:hAnsi="新宋体" w:eastAsia="新宋体"/>
                <w:color w:val="auto"/>
                <w:sz w:val="24"/>
                <w:szCs w:val="28"/>
              </w:rPr>
            </w:pPr>
          </w:p>
        </w:tc>
      </w:tr>
      <w:tr w14:paraId="06F2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59722A92">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4</w:t>
            </w:r>
          </w:p>
        </w:tc>
        <w:tc>
          <w:tcPr>
            <w:tcW w:w="3255" w:type="dxa"/>
            <w:noWrap w:val="0"/>
            <w:vAlign w:val="bottom"/>
          </w:tcPr>
          <w:p w14:paraId="6A4071C2">
            <w:pPr>
              <w:adjustRightInd w:val="0"/>
              <w:snapToGrid w:val="0"/>
              <w:spacing w:line="360" w:lineRule="auto"/>
              <w:jc w:val="center"/>
              <w:rPr>
                <w:rFonts w:ascii="宋体" w:hAnsi="宋体"/>
                <w:color w:val="auto"/>
                <w:sz w:val="24"/>
                <w:szCs w:val="28"/>
              </w:rPr>
            </w:pPr>
            <w:r>
              <w:rPr>
                <w:rFonts w:hAnsi="宋体"/>
                <w:color w:val="auto"/>
                <w:sz w:val="24"/>
              </w:rPr>
              <w:t>钢尺</w:t>
            </w:r>
          </w:p>
        </w:tc>
        <w:tc>
          <w:tcPr>
            <w:tcW w:w="1575" w:type="dxa"/>
            <w:noWrap w:val="0"/>
            <w:vAlign w:val="bottom"/>
          </w:tcPr>
          <w:p w14:paraId="5F6E0B4E">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bottom"/>
          </w:tcPr>
          <w:p w14:paraId="6C1D76A2">
            <w:pPr>
              <w:adjustRightInd w:val="0"/>
              <w:snapToGrid w:val="0"/>
              <w:spacing w:line="360" w:lineRule="auto"/>
              <w:jc w:val="center"/>
              <w:rPr>
                <w:rFonts w:ascii="新宋体" w:hAnsi="新宋体" w:eastAsia="新宋体"/>
                <w:color w:val="auto"/>
                <w:sz w:val="24"/>
                <w:szCs w:val="28"/>
              </w:rPr>
            </w:pPr>
          </w:p>
        </w:tc>
      </w:tr>
      <w:tr w14:paraId="18B3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0AB9D704">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5</w:t>
            </w:r>
          </w:p>
        </w:tc>
        <w:tc>
          <w:tcPr>
            <w:tcW w:w="3255" w:type="dxa"/>
            <w:noWrap w:val="0"/>
            <w:vAlign w:val="bottom"/>
          </w:tcPr>
          <w:p w14:paraId="2B385E6C">
            <w:pPr>
              <w:adjustRightInd w:val="0"/>
              <w:snapToGrid w:val="0"/>
              <w:spacing w:line="360" w:lineRule="auto"/>
              <w:jc w:val="center"/>
              <w:rPr>
                <w:rFonts w:ascii="宋体" w:hAnsi="宋体"/>
                <w:color w:val="auto"/>
                <w:sz w:val="24"/>
                <w:szCs w:val="28"/>
              </w:rPr>
            </w:pPr>
            <w:r>
              <w:rPr>
                <w:color w:val="auto"/>
                <w:spacing w:val="-10"/>
                <w:sz w:val="24"/>
              </w:rPr>
              <w:t>3m</w:t>
            </w:r>
            <w:r>
              <w:rPr>
                <w:rFonts w:hAnsi="宋体"/>
                <w:color w:val="auto"/>
                <w:spacing w:val="-10"/>
                <w:sz w:val="24"/>
              </w:rPr>
              <w:t>直尺</w:t>
            </w:r>
          </w:p>
        </w:tc>
        <w:tc>
          <w:tcPr>
            <w:tcW w:w="1575" w:type="dxa"/>
            <w:noWrap w:val="0"/>
            <w:vAlign w:val="bottom"/>
          </w:tcPr>
          <w:p w14:paraId="4AC22EE4">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4A41964D">
            <w:pPr>
              <w:adjustRightInd w:val="0"/>
              <w:snapToGrid w:val="0"/>
              <w:spacing w:line="360" w:lineRule="auto"/>
              <w:jc w:val="center"/>
              <w:rPr>
                <w:rFonts w:ascii="新宋体" w:hAnsi="新宋体" w:eastAsia="新宋体"/>
                <w:color w:val="auto"/>
                <w:sz w:val="24"/>
                <w:szCs w:val="28"/>
              </w:rPr>
            </w:pPr>
          </w:p>
        </w:tc>
      </w:tr>
      <w:tr w14:paraId="4050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30549754">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6</w:t>
            </w:r>
          </w:p>
        </w:tc>
        <w:tc>
          <w:tcPr>
            <w:tcW w:w="3255" w:type="dxa"/>
            <w:noWrap w:val="0"/>
            <w:vAlign w:val="bottom"/>
          </w:tcPr>
          <w:p w14:paraId="07D0D17C">
            <w:pPr>
              <w:adjustRightInd w:val="0"/>
              <w:snapToGrid w:val="0"/>
              <w:spacing w:line="360" w:lineRule="auto"/>
              <w:jc w:val="center"/>
              <w:rPr>
                <w:rFonts w:ascii="宋体" w:hAnsi="宋体"/>
                <w:color w:val="auto"/>
                <w:sz w:val="24"/>
                <w:szCs w:val="28"/>
              </w:rPr>
            </w:pPr>
            <w:r>
              <w:rPr>
                <w:rFonts w:hAnsi="宋体"/>
                <w:color w:val="auto"/>
                <w:spacing w:val="-10"/>
                <w:sz w:val="24"/>
              </w:rPr>
              <w:t>塞尺</w:t>
            </w:r>
          </w:p>
        </w:tc>
        <w:tc>
          <w:tcPr>
            <w:tcW w:w="1575" w:type="dxa"/>
            <w:noWrap w:val="0"/>
            <w:vAlign w:val="bottom"/>
          </w:tcPr>
          <w:p w14:paraId="660209D3">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bottom"/>
          </w:tcPr>
          <w:p w14:paraId="50F8E6A6">
            <w:pPr>
              <w:adjustRightInd w:val="0"/>
              <w:snapToGrid w:val="0"/>
              <w:spacing w:line="360" w:lineRule="auto"/>
              <w:jc w:val="center"/>
              <w:rPr>
                <w:rFonts w:ascii="新宋体" w:hAnsi="新宋体" w:eastAsia="新宋体"/>
                <w:color w:val="auto"/>
                <w:sz w:val="24"/>
                <w:szCs w:val="28"/>
              </w:rPr>
            </w:pPr>
          </w:p>
        </w:tc>
      </w:tr>
      <w:tr w14:paraId="57EB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0ECCE149">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7</w:t>
            </w:r>
          </w:p>
        </w:tc>
        <w:tc>
          <w:tcPr>
            <w:tcW w:w="3255" w:type="dxa"/>
            <w:noWrap w:val="0"/>
            <w:vAlign w:val="bottom"/>
          </w:tcPr>
          <w:p w14:paraId="1648BE00">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混凝土回弹仪</w:t>
            </w:r>
          </w:p>
        </w:tc>
        <w:tc>
          <w:tcPr>
            <w:tcW w:w="1575" w:type="dxa"/>
            <w:noWrap w:val="0"/>
            <w:vAlign w:val="bottom"/>
          </w:tcPr>
          <w:p w14:paraId="6556A6AC">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4EB0A180">
            <w:pPr>
              <w:adjustRightInd w:val="0"/>
              <w:snapToGrid w:val="0"/>
              <w:spacing w:line="360" w:lineRule="auto"/>
              <w:jc w:val="center"/>
              <w:rPr>
                <w:rFonts w:ascii="新宋体" w:hAnsi="新宋体" w:eastAsia="新宋体"/>
                <w:color w:val="auto"/>
                <w:sz w:val="24"/>
                <w:szCs w:val="28"/>
              </w:rPr>
            </w:pPr>
          </w:p>
        </w:tc>
      </w:tr>
    </w:tbl>
    <w:p w14:paraId="00099A71">
      <w:pPr>
        <w:widowControl/>
        <w:adjustRightInd w:val="0"/>
        <w:snapToGrid w:val="0"/>
        <w:spacing w:line="360" w:lineRule="auto"/>
        <w:ind w:firstLine="480" w:firstLineChars="200"/>
        <w:jc w:val="left"/>
        <w:rPr>
          <w:rFonts w:ascii="宋体" w:hAnsi="宋体"/>
          <w:color w:val="auto"/>
          <w:sz w:val="24"/>
          <w:szCs w:val="21"/>
        </w:rPr>
      </w:pPr>
      <w:r>
        <w:rPr>
          <w:rFonts w:hint="eastAsia" w:ascii="宋体" w:hAnsi="宋体"/>
          <w:color w:val="auto"/>
          <w:sz w:val="24"/>
          <w:szCs w:val="21"/>
        </w:rPr>
        <w:t>说明：监理</w:t>
      </w:r>
      <w:r>
        <w:rPr>
          <w:rFonts w:hint="eastAsia" w:ascii="宋体" w:hAnsi="宋体" w:cs="宋体-18030"/>
          <w:color w:val="auto"/>
          <w:sz w:val="24"/>
        </w:rPr>
        <w:t>合同履行期间，监理单位除按照以上要求配置办公及检测设备外，中标人还需根据项目情况及委托人要求配备足够的办公设备及检测设备。</w:t>
      </w:r>
    </w:p>
    <w:p w14:paraId="6C1820CA">
      <w:pPr>
        <w:widowControl/>
        <w:adjustRightInd w:val="0"/>
        <w:snapToGrid w:val="0"/>
        <w:spacing w:line="360" w:lineRule="auto"/>
        <w:ind w:firstLine="482" w:firstLineChars="200"/>
        <w:rPr>
          <w:rFonts w:hint="eastAsia" w:ascii="宋体" w:hAnsi="宋体"/>
          <w:b/>
          <w:color w:val="auto"/>
          <w:sz w:val="24"/>
          <w:szCs w:val="21"/>
        </w:rPr>
      </w:pPr>
      <w:r>
        <w:rPr>
          <w:rFonts w:hint="eastAsia" w:ascii="宋体" w:hAnsi="宋体"/>
          <w:b/>
          <w:color w:val="auto"/>
          <w:sz w:val="24"/>
          <w:szCs w:val="21"/>
        </w:rPr>
        <w:t>（五）建设单位对本项目监理机构管理考核细则</w:t>
      </w:r>
    </w:p>
    <w:p w14:paraId="7F3BE4BB">
      <w:pPr>
        <w:widowControl/>
        <w:adjustRightInd w:val="0"/>
        <w:snapToGrid w:val="0"/>
        <w:spacing w:line="360" w:lineRule="auto"/>
        <w:ind w:firstLine="360" w:firstLineChars="150"/>
        <w:rPr>
          <w:rFonts w:ascii="宋体" w:hAnsi="宋体"/>
          <w:color w:val="auto"/>
          <w:kern w:val="0"/>
          <w:sz w:val="24"/>
        </w:rPr>
      </w:pPr>
      <w:r>
        <w:rPr>
          <w:rFonts w:hint="eastAsia" w:ascii="宋体" w:hAnsi="宋体"/>
          <w:color w:val="auto"/>
          <w:sz w:val="24"/>
          <w:szCs w:val="21"/>
        </w:rPr>
        <w:t>监理</w:t>
      </w:r>
      <w:r>
        <w:rPr>
          <w:rFonts w:hint="eastAsia" w:ascii="宋体" w:hAnsi="宋体"/>
          <w:color w:val="auto"/>
          <w:sz w:val="24"/>
          <w:szCs w:val="21"/>
          <w:lang w:val="en-US" w:eastAsia="zh-CN"/>
        </w:rPr>
        <w:t>单位</w:t>
      </w:r>
      <w:r>
        <w:rPr>
          <w:rFonts w:hint="eastAsia" w:ascii="宋体" w:hAnsi="宋体"/>
          <w:color w:val="auto"/>
          <w:sz w:val="24"/>
          <w:szCs w:val="21"/>
        </w:rPr>
        <w:t>不得擅自更换项目总监、总</w:t>
      </w:r>
      <w:r>
        <w:rPr>
          <w:rFonts w:hint="eastAsia" w:ascii="宋体" w:hAnsi="宋体"/>
          <w:color w:val="auto"/>
          <w:kern w:val="0"/>
          <w:sz w:val="24"/>
        </w:rPr>
        <w:t>监代表，如确要更换，应提前10日书面报告招标人，更换的项目总监的资格、阅历及经验等不得低于更换前的总监理工程师，且经业主方面试合格方可办理更换，同时对中标人将予以</w:t>
      </w:r>
      <w:r>
        <w:rPr>
          <w:rFonts w:hint="eastAsia" w:ascii="宋体" w:hAnsi="宋体"/>
          <w:color w:val="auto"/>
          <w:kern w:val="0"/>
          <w:sz w:val="24"/>
          <w:lang w:val="en-US" w:eastAsia="zh-CN"/>
        </w:rPr>
        <w:t>1</w:t>
      </w:r>
      <w:r>
        <w:rPr>
          <w:rFonts w:hint="eastAsia" w:ascii="宋体" w:hAnsi="宋体"/>
          <w:color w:val="auto"/>
          <w:kern w:val="0"/>
          <w:sz w:val="24"/>
        </w:rPr>
        <w:t>万元的违约金处罚；更换其他专业监理人员，按上述程序办理，对中标人将予以每人次</w:t>
      </w:r>
      <w:r>
        <w:rPr>
          <w:rFonts w:hint="eastAsia" w:ascii="宋体" w:hAnsi="宋体"/>
          <w:color w:val="auto"/>
          <w:kern w:val="0"/>
          <w:sz w:val="24"/>
          <w:lang w:val="en-US" w:eastAsia="zh-CN"/>
        </w:rPr>
        <w:t>5000</w:t>
      </w:r>
      <w:r>
        <w:rPr>
          <w:rFonts w:hint="eastAsia" w:ascii="宋体" w:hAnsi="宋体"/>
          <w:color w:val="auto"/>
          <w:kern w:val="0"/>
          <w:sz w:val="24"/>
        </w:rPr>
        <w:t>元的违约处罚。对于其它因特殊或不可抗力原因导致的人员更换，经与委托人充分协商，按上述程序办理免除罚款。</w:t>
      </w:r>
    </w:p>
    <w:p w14:paraId="089675DC">
      <w:pPr>
        <w:adjustRightInd w:val="0"/>
        <w:snapToGrid w:val="0"/>
        <w:spacing w:line="360" w:lineRule="auto"/>
        <w:ind w:firstLine="482" w:firstLineChars="200"/>
        <w:rPr>
          <w:rFonts w:hint="eastAsia" w:ascii="宋体" w:hAnsi="宋体"/>
          <w:color w:val="auto"/>
          <w:sz w:val="24"/>
          <w:lang w:val="zh-CN"/>
        </w:rPr>
      </w:pPr>
      <w:r>
        <w:rPr>
          <w:rFonts w:hint="eastAsia" w:ascii="宋体" w:hAnsi="宋体"/>
          <w:b/>
          <w:color w:val="auto"/>
          <w:sz w:val="24"/>
          <w:lang w:val="zh-CN"/>
        </w:rPr>
        <w:t>（六）报价要求</w:t>
      </w:r>
    </w:p>
    <w:p w14:paraId="64C14A06">
      <w:pPr>
        <w:adjustRightInd w:val="0"/>
        <w:snapToGrid w:val="0"/>
        <w:spacing w:line="360" w:lineRule="auto"/>
        <w:ind w:firstLine="482" w:firstLineChars="200"/>
        <w:rPr>
          <w:rFonts w:ascii="宋体" w:hAnsi="宋体"/>
          <w:b/>
          <w:bCs/>
          <w:color w:val="auto"/>
          <w:sz w:val="24"/>
          <w:highlight w:val="none"/>
          <w:lang w:val="zh-CN"/>
        </w:rPr>
      </w:pPr>
      <w:r>
        <w:rPr>
          <w:rFonts w:ascii="宋体" w:hAnsi="宋体"/>
          <w:b/>
          <w:bCs/>
          <w:color w:val="auto"/>
          <w:sz w:val="24"/>
          <w:highlight w:val="none"/>
          <w:lang w:val="zh-CN"/>
        </w:rPr>
        <w:t>1.本项目</w:t>
      </w:r>
      <w:r>
        <w:rPr>
          <w:rFonts w:hint="eastAsia" w:ascii="宋体" w:hAnsi="宋体"/>
          <w:b/>
          <w:bCs/>
          <w:color w:val="auto"/>
          <w:sz w:val="24"/>
          <w:highlight w:val="none"/>
          <w:lang w:val="en-US" w:eastAsia="zh-CN"/>
        </w:rPr>
        <w:t>采用固定价格（固定费率1.0%），最终结算价不得超过本项目概算，超过部分不予支付。</w:t>
      </w:r>
    </w:p>
    <w:p w14:paraId="5AB84D20">
      <w:pPr>
        <w:adjustRightInd w:val="0"/>
        <w:snapToGrid w:val="0"/>
        <w:spacing w:line="360" w:lineRule="auto"/>
        <w:ind w:firstLine="480" w:firstLineChars="200"/>
        <w:rPr>
          <w:rFonts w:ascii="宋体" w:hAnsi="宋体"/>
          <w:b/>
          <w:color w:val="auto"/>
          <w:sz w:val="24"/>
          <w:highlight w:val="none"/>
          <w:lang w:val="zh-CN"/>
        </w:rPr>
      </w:pPr>
      <w:r>
        <w:rPr>
          <w:rFonts w:ascii="宋体" w:hAnsi="宋体"/>
          <w:color w:val="auto"/>
          <w:sz w:val="24"/>
          <w:highlight w:val="none"/>
          <w:lang w:val="zh-CN"/>
        </w:rPr>
        <w:t>2.本项目中标费率作为合同签订和结算的依据。</w:t>
      </w:r>
      <w:r>
        <w:rPr>
          <w:rFonts w:hint="eastAsia" w:ascii="宋体" w:hAnsi="宋体"/>
          <w:b/>
          <w:color w:val="auto"/>
          <w:sz w:val="24"/>
          <w:highlight w:val="none"/>
          <w:lang w:val="zh-CN"/>
        </w:rPr>
        <w:t>最终监理服务费结算价＝∑（施工工程结算价）×中标监理费率。</w:t>
      </w:r>
    </w:p>
    <w:p w14:paraId="42493462">
      <w:pPr>
        <w:adjustRightInd w:val="0"/>
        <w:snapToGrid w:val="0"/>
        <w:spacing w:line="360" w:lineRule="auto"/>
        <w:ind w:firstLine="480" w:firstLineChars="200"/>
        <w:rPr>
          <w:rFonts w:ascii="宋体" w:hAnsi="宋体"/>
          <w:color w:val="auto"/>
          <w:sz w:val="24"/>
          <w:lang w:val="zh-CN"/>
        </w:rPr>
      </w:pPr>
      <w:r>
        <w:rPr>
          <w:rFonts w:hint="eastAsia" w:ascii="宋体" w:hAnsi="宋体"/>
          <w:color w:val="auto"/>
          <w:sz w:val="24"/>
          <w:lang w:val="zh-CN"/>
        </w:rPr>
        <w:t>3.投标人的所投报价为完成本项目并通过验收所需的全部服务的全部费用，投标时请谨慎报价。中标人必须确保整体通过用户方及有关主管部门验收,所发生的验收费用由中标人承担；投标人应自行踏勘施工建设现场，如投标人因未及时踏勘现场而导致的报价缺项漏项废标、或中标后无法完工，投标人自行承担一切后果。中标后不得以任何理由调整造价。</w:t>
      </w:r>
    </w:p>
    <w:p w14:paraId="43E7DE5A">
      <w:pPr>
        <w:spacing w:line="360" w:lineRule="auto"/>
        <w:ind w:firstLine="437"/>
        <w:jc w:val="center"/>
        <w:rPr>
          <w:rFonts w:ascii="黑体"/>
          <w:color w:val="auto"/>
        </w:rPr>
      </w:pPr>
      <w:r>
        <w:rPr>
          <w:rFonts w:hint="eastAsia" w:ascii="宋体" w:hAnsi="宋体"/>
          <w:color w:val="auto"/>
          <w:sz w:val="24"/>
        </w:rPr>
        <w:br w:type="page"/>
      </w:r>
      <w:bookmarkStart w:id="17" w:name="_Toc245092762"/>
      <w:bookmarkStart w:id="18" w:name="_Toc273602342"/>
      <w:bookmarkStart w:id="19" w:name="_Toc328559329"/>
      <w:r>
        <w:rPr>
          <w:rStyle w:val="69"/>
          <w:rFonts w:hint="eastAsia"/>
          <w:color w:val="auto"/>
        </w:rPr>
        <w:t>第</w:t>
      </w:r>
      <w:bookmarkStart w:id="20" w:name="_Hlt240110027"/>
      <w:bookmarkEnd w:id="20"/>
      <w:r>
        <w:rPr>
          <w:rStyle w:val="69"/>
          <w:rFonts w:hint="eastAsia"/>
          <w:color w:val="auto"/>
        </w:rPr>
        <w:t>四章 评标办法</w:t>
      </w:r>
      <w:bookmarkEnd w:id="17"/>
      <w:bookmarkEnd w:id="18"/>
      <w:bookmarkEnd w:id="19"/>
    </w:p>
    <w:p w14:paraId="6458A20B">
      <w:pPr>
        <w:tabs>
          <w:tab w:val="left" w:pos="360"/>
          <w:tab w:val="left" w:pos="540"/>
          <w:tab w:val="left" w:pos="3600"/>
          <w:tab w:val="left" w:pos="3780"/>
          <w:tab w:val="left" w:pos="8460"/>
          <w:tab w:val="left" w:pos="9180"/>
        </w:tabs>
        <w:adjustRightInd w:val="0"/>
        <w:snapToGrid w:val="0"/>
        <w:spacing w:line="360" w:lineRule="auto"/>
        <w:ind w:right="-21" w:rightChars="-10" w:firstLine="361" w:firstLineChars="150"/>
        <w:jc w:val="center"/>
        <w:rPr>
          <w:rFonts w:ascii="宋体" w:hAnsi="宋体"/>
          <w:b/>
          <w:color w:val="auto"/>
          <w:sz w:val="24"/>
        </w:rPr>
      </w:pPr>
      <w:r>
        <w:rPr>
          <w:rFonts w:hint="eastAsia" w:ascii="宋体" w:hAnsi="宋体"/>
          <w:b/>
          <w:color w:val="auto"/>
          <w:sz w:val="24"/>
        </w:rPr>
        <w:t>一、    总  则</w:t>
      </w:r>
    </w:p>
    <w:p w14:paraId="0A0DA532">
      <w:pPr>
        <w:adjustRightInd w:val="0"/>
        <w:snapToGrid w:val="0"/>
        <w:spacing w:line="360" w:lineRule="auto"/>
        <w:ind w:right="-10" w:firstLine="482" w:firstLineChars="200"/>
        <w:rPr>
          <w:rFonts w:ascii="宋体" w:hAnsi="宋体"/>
          <w:color w:val="auto"/>
          <w:sz w:val="24"/>
        </w:rPr>
      </w:pPr>
      <w:r>
        <w:rPr>
          <w:rFonts w:hint="eastAsia" w:ascii="宋体" w:hAnsi="宋体"/>
          <w:b/>
          <w:bCs/>
          <w:color w:val="auto"/>
          <w:sz w:val="24"/>
        </w:rPr>
        <w:t xml:space="preserve">第一条 </w:t>
      </w:r>
      <w:r>
        <w:rPr>
          <w:rFonts w:hint="eastAsia" w:ascii="宋体" w:hAnsi="宋体"/>
          <w:color w:val="auto"/>
          <w:sz w:val="24"/>
        </w:rPr>
        <w:t>为了做好“</w:t>
      </w:r>
      <w:r>
        <w:rPr>
          <w:rFonts w:hint="eastAsia" w:ascii="宋体" w:hAnsi="宋体" w:eastAsia="宋体" w:cs="宋体"/>
          <w:color w:val="auto"/>
          <w:sz w:val="24"/>
          <w:szCs w:val="24"/>
          <w:u w:val="single"/>
          <w:lang w:eastAsia="zh-CN"/>
        </w:rPr>
        <w:t>合肥市篮球公园改造提升项目监理</w:t>
      </w:r>
      <w:r>
        <w:rPr>
          <w:rFonts w:hint="eastAsia" w:ascii="宋体" w:hAnsi="宋体"/>
          <w:color w:val="auto"/>
          <w:sz w:val="24"/>
          <w:szCs w:val="18"/>
        </w:rPr>
        <w:t>”</w:t>
      </w:r>
      <w:r>
        <w:rPr>
          <w:rFonts w:hint="eastAsia" w:ascii="宋体" w:hAnsi="宋体"/>
          <w:color w:val="auto"/>
          <w:sz w:val="24"/>
        </w:rPr>
        <w:t>项目（项</w:t>
      </w:r>
      <w:r>
        <w:rPr>
          <w:rFonts w:hint="eastAsia" w:ascii="宋体" w:hAnsi="宋体"/>
          <w:color w:val="auto"/>
          <w:sz w:val="24"/>
          <w:highlight w:val="none"/>
        </w:rPr>
        <w:t>目编号</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）的</w:t>
      </w:r>
      <w:r>
        <w:rPr>
          <w:rFonts w:hint="eastAsia" w:ascii="宋体" w:hAnsi="宋体"/>
          <w:color w:val="auto"/>
          <w:sz w:val="24"/>
        </w:rPr>
        <w:t>招标评标工作，保证项目评审工作的正常有序进行，依据《中华人民共和国政府采购法》、《中华人民共和国招标投标法》及其它相关法律法规，本着公开、公平、公正的原则，制定评标办法。</w:t>
      </w:r>
    </w:p>
    <w:p w14:paraId="2C2E798D">
      <w:pPr>
        <w:adjustRightInd w:val="0"/>
        <w:snapToGrid w:val="0"/>
        <w:spacing w:line="360" w:lineRule="auto"/>
        <w:ind w:right="-10" w:firstLine="482" w:firstLineChars="200"/>
        <w:rPr>
          <w:rFonts w:ascii="宋体" w:hAnsi="宋体"/>
          <w:color w:val="auto"/>
          <w:sz w:val="24"/>
        </w:rPr>
      </w:pPr>
      <w:r>
        <w:rPr>
          <w:rFonts w:hint="eastAsia" w:ascii="宋体" w:hAnsi="宋体"/>
          <w:b/>
          <w:bCs/>
          <w:color w:val="auto"/>
          <w:sz w:val="24"/>
        </w:rPr>
        <w:t xml:space="preserve">第二条 </w:t>
      </w:r>
      <w:r>
        <w:rPr>
          <w:rFonts w:hint="eastAsia" w:ascii="宋体" w:hAnsi="宋体"/>
          <w:color w:val="auto"/>
          <w:sz w:val="24"/>
        </w:rPr>
        <w:t>本次项目评标采用</w:t>
      </w:r>
      <w:r>
        <w:rPr>
          <w:rFonts w:hint="eastAsia" w:ascii="宋体" w:hAnsi="宋体"/>
          <w:b/>
          <w:color w:val="auto"/>
          <w:sz w:val="24"/>
        </w:rPr>
        <w:t>综合评分法</w:t>
      </w:r>
      <w:r>
        <w:rPr>
          <w:rFonts w:hint="eastAsia" w:ascii="宋体" w:hAnsi="宋体"/>
          <w:color w:val="auto"/>
          <w:sz w:val="24"/>
        </w:rPr>
        <w:t>作为对投标人标书的比较方法</w:t>
      </w:r>
      <w:r>
        <w:rPr>
          <w:rFonts w:hint="eastAsia" w:ascii="宋体" w:hAnsi="宋体" w:cs="宋体-18030"/>
          <w:color w:val="auto"/>
          <w:sz w:val="24"/>
        </w:rPr>
        <w:t>。</w:t>
      </w:r>
    </w:p>
    <w:p w14:paraId="28BFBF0A">
      <w:pPr>
        <w:adjustRightInd w:val="0"/>
        <w:snapToGrid w:val="0"/>
        <w:spacing w:line="360" w:lineRule="auto"/>
        <w:ind w:left="-61" w:leftChars="-29" w:right="-10" w:firstLine="602" w:firstLineChars="250"/>
        <w:rPr>
          <w:rFonts w:ascii="宋体" w:hAnsi="宋体"/>
          <w:color w:val="auto"/>
          <w:sz w:val="24"/>
        </w:rPr>
      </w:pPr>
      <w:r>
        <w:rPr>
          <w:rFonts w:hint="eastAsia" w:ascii="宋体" w:hAnsi="宋体"/>
          <w:b/>
          <w:color w:val="auto"/>
          <w:sz w:val="24"/>
        </w:rPr>
        <w:t xml:space="preserve">第三条 </w:t>
      </w:r>
      <w:r>
        <w:rPr>
          <w:rFonts w:hint="eastAsia" w:ascii="宋体" w:hAnsi="宋体"/>
          <w:color w:val="auto"/>
          <w:sz w:val="24"/>
        </w:rPr>
        <w:t>招标人将</w:t>
      </w:r>
      <w:r>
        <w:rPr>
          <w:rFonts w:hint="eastAsia" w:ascii="宋体" w:hAnsi="宋体"/>
          <w:bCs/>
          <w:color w:val="auto"/>
          <w:sz w:val="24"/>
        </w:rPr>
        <w:t>组织</w:t>
      </w:r>
      <w:r>
        <w:rPr>
          <w:rFonts w:hint="eastAsia" w:ascii="宋体" w:hAnsi="宋体"/>
          <w:color w:val="auto"/>
          <w:sz w:val="24"/>
        </w:rPr>
        <w:t>不少于</w:t>
      </w:r>
      <w:r>
        <w:rPr>
          <w:rFonts w:hint="eastAsia" w:ascii="宋体" w:hAnsi="宋体"/>
          <w:b/>
          <w:color w:val="auto"/>
          <w:sz w:val="24"/>
          <w:u w:val="single"/>
        </w:rPr>
        <w:t>3</w:t>
      </w:r>
      <w:r>
        <w:rPr>
          <w:rFonts w:hint="eastAsia" w:ascii="宋体" w:hAnsi="宋体"/>
          <w:color w:val="auto"/>
          <w:sz w:val="24"/>
        </w:rPr>
        <w:t>人组成的评标委员会（以下简称评委会），负责本项目的评标工作。招标人内部监督小组，负责评标过程中的记录、联络及评委会交办的其他工作。</w:t>
      </w:r>
    </w:p>
    <w:p w14:paraId="71AE14B5">
      <w:pPr>
        <w:adjustRightInd w:val="0"/>
        <w:snapToGrid w:val="0"/>
        <w:spacing w:line="360" w:lineRule="auto"/>
        <w:ind w:right="-10" w:firstLine="482" w:firstLineChars="200"/>
        <w:rPr>
          <w:rFonts w:ascii="宋体" w:hAnsi="宋体"/>
          <w:color w:val="auto"/>
          <w:sz w:val="24"/>
        </w:rPr>
      </w:pPr>
      <w:r>
        <w:rPr>
          <w:rFonts w:hint="eastAsia" w:ascii="宋体" w:hAnsi="宋体"/>
          <w:b/>
          <w:color w:val="auto"/>
          <w:sz w:val="24"/>
        </w:rPr>
        <w:t xml:space="preserve">第四条 </w:t>
      </w:r>
      <w:r>
        <w:rPr>
          <w:rFonts w:hint="eastAsia" w:ascii="宋体" w:hAnsi="宋体"/>
          <w:color w:val="auto"/>
          <w:sz w:val="24"/>
        </w:rPr>
        <w:t>评委会按照“客观公正，实事求是”的原则，评价参加本次招标的投标人所提供的服务对招标文件的符合性及响应性。</w:t>
      </w:r>
    </w:p>
    <w:p w14:paraId="55F0605C">
      <w:pPr>
        <w:adjustRightInd w:val="0"/>
        <w:snapToGrid w:val="0"/>
        <w:spacing w:line="360" w:lineRule="auto"/>
        <w:ind w:right="-10"/>
        <w:jc w:val="center"/>
        <w:rPr>
          <w:rFonts w:ascii="宋体" w:hAnsi="宋体"/>
          <w:color w:val="auto"/>
          <w:sz w:val="24"/>
        </w:rPr>
      </w:pPr>
      <w:r>
        <w:rPr>
          <w:rFonts w:hint="eastAsia" w:ascii="宋体" w:hAnsi="宋体"/>
          <w:b/>
          <w:color w:val="auto"/>
          <w:sz w:val="24"/>
        </w:rPr>
        <w:t>第二章  评标程序及评审细则</w:t>
      </w:r>
    </w:p>
    <w:p w14:paraId="6225E230">
      <w:pPr>
        <w:adjustRightInd w:val="0"/>
        <w:snapToGrid w:val="0"/>
        <w:spacing w:line="360" w:lineRule="auto"/>
        <w:ind w:right="-10" w:firstLine="480"/>
        <w:rPr>
          <w:rFonts w:ascii="宋体" w:hAnsi="宋体"/>
          <w:color w:val="auto"/>
          <w:sz w:val="24"/>
        </w:rPr>
      </w:pPr>
      <w:r>
        <w:rPr>
          <w:rFonts w:hint="eastAsia" w:ascii="宋体" w:hAnsi="宋体"/>
          <w:b/>
          <w:color w:val="auto"/>
          <w:sz w:val="24"/>
        </w:rPr>
        <w:t>第五条</w:t>
      </w:r>
      <w:r>
        <w:rPr>
          <w:rFonts w:hint="eastAsia" w:ascii="宋体" w:hAnsi="宋体"/>
          <w:color w:val="auto"/>
          <w:sz w:val="24"/>
        </w:rPr>
        <w:t xml:space="preserve"> 评标工作于开标后进行。评委会应认真研究招标文件，至少应了解和熟悉以下内容：</w:t>
      </w:r>
    </w:p>
    <w:p w14:paraId="47E6C8D3">
      <w:pPr>
        <w:spacing w:line="360" w:lineRule="auto"/>
        <w:ind w:left="480" w:right="-10"/>
        <w:rPr>
          <w:rFonts w:ascii="宋体" w:hAnsi="宋体"/>
          <w:color w:val="auto"/>
          <w:sz w:val="24"/>
        </w:rPr>
      </w:pPr>
      <w:r>
        <w:rPr>
          <w:rFonts w:hint="eastAsia" w:ascii="宋体" w:hAnsi="宋体"/>
          <w:color w:val="auto"/>
          <w:sz w:val="24"/>
        </w:rPr>
        <w:t>（一）招标的目标；</w:t>
      </w:r>
    </w:p>
    <w:p w14:paraId="58AFFE2B">
      <w:pPr>
        <w:spacing w:line="360" w:lineRule="auto"/>
        <w:ind w:left="480" w:right="-10"/>
        <w:rPr>
          <w:rFonts w:ascii="宋体" w:hAnsi="宋体"/>
          <w:color w:val="auto"/>
          <w:sz w:val="24"/>
        </w:rPr>
      </w:pPr>
      <w:r>
        <w:rPr>
          <w:rFonts w:hint="eastAsia" w:ascii="宋体" w:hAnsi="宋体"/>
          <w:color w:val="auto"/>
          <w:sz w:val="24"/>
        </w:rPr>
        <w:t>（二）招标项目的范围和性质；</w:t>
      </w:r>
    </w:p>
    <w:p w14:paraId="37749407">
      <w:pPr>
        <w:spacing w:line="360" w:lineRule="auto"/>
        <w:ind w:left="480" w:right="-10"/>
        <w:rPr>
          <w:rFonts w:ascii="宋体" w:hAnsi="宋体"/>
          <w:color w:val="auto"/>
          <w:sz w:val="24"/>
        </w:rPr>
      </w:pPr>
      <w:r>
        <w:rPr>
          <w:rFonts w:hint="eastAsia" w:ascii="宋体" w:hAnsi="宋体"/>
          <w:color w:val="auto"/>
          <w:sz w:val="24"/>
        </w:rPr>
        <w:t>（三）招标文件中规定的主要服务要求、标准和商务条款；</w:t>
      </w:r>
    </w:p>
    <w:p w14:paraId="38FF760D">
      <w:pPr>
        <w:spacing w:line="360" w:lineRule="auto"/>
        <w:ind w:left="480" w:right="-10"/>
        <w:rPr>
          <w:rFonts w:ascii="宋体" w:hAnsi="宋体"/>
          <w:color w:val="auto"/>
          <w:sz w:val="24"/>
        </w:rPr>
      </w:pPr>
      <w:r>
        <w:rPr>
          <w:rFonts w:hint="eastAsia" w:ascii="宋体" w:hAnsi="宋体"/>
          <w:color w:val="auto"/>
          <w:sz w:val="24"/>
        </w:rPr>
        <w:t>（四）招标文件规定的评标标准、评标方法和在评标过程中考虑的相关因素。</w:t>
      </w:r>
    </w:p>
    <w:p w14:paraId="1F87AEC6">
      <w:pPr>
        <w:adjustRightInd w:val="0"/>
        <w:snapToGrid w:val="0"/>
        <w:spacing w:line="360" w:lineRule="auto"/>
        <w:ind w:right="-10" w:firstLine="482" w:firstLineChars="200"/>
        <w:rPr>
          <w:rFonts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有效投标应符合以下原则：</w:t>
      </w:r>
    </w:p>
    <w:p w14:paraId="3F6115C2">
      <w:pPr>
        <w:spacing w:line="360" w:lineRule="auto"/>
        <w:ind w:left="480" w:right="-10"/>
        <w:rPr>
          <w:rFonts w:ascii="宋体" w:hAnsi="宋体"/>
          <w:color w:val="auto"/>
          <w:sz w:val="24"/>
        </w:rPr>
      </w:pPr>
      <w:r>
        <w:rPr>
          <w:rFonts w:hint="eastAsia" w:ascii="宋体" w:hAnsi="宋体"/>
          <w:color w:val="auto"/>
          <w:sz w:val="24"/>
        </w:rPr>
        <w:t>（一）满足招标文件的实质性要求；</w:t>
      </w:r>
    </w:p>
    <w:p w14:paraId="0CEC283C">
      <w:pPr>
        <w:spacing w:line="360" w:lineRule="auto"/>
        <w:ind w:left="480" w:right="-10"/>
        <w:rPr>
          <w:rFonts w:ascii="宋体" w:hAnsi="宋体"/>
          <w:color w:val="auto"/>
          <w:sz w:val="24"/>
        </w:rPr>
      </w:pPr>
      <w:r>
        <w:rPr>
          <w:rFonts w:hint="eastAsia" w:ascii="宋体" w:hAnsi="宋体"/>
          <w:color w:val="auto"/>
          <w:sz w:val="24"/>
        </w:rPr>
        <w:t>（二）无重大偏离、保留或招标人不能接受的附加条件；</w:t>
      </w:r>
    </w:p>
    <w:p w14:paraId="59B6423D">
      <w:pPr>
        <w:spacing w:line="360" w:lineRule="auto"/>
        <w:ind w:left="480" w:right="-10"/>
        <w:rPr>
          <w:rFonts w:ascii="宋体" w:hAnsi="宋体"/>
          <w:color w:val="auto"/>
          <w:sz w:val="24"/>
        </w:rPr>
      </w:pPr>
      <w:r>
        <w:rPr>
          <w:rFonts w:hint="eastAsia" w:ascii="宋体" w:hAnsi="宋体"/>
          <w:color w:val="auto"/>
          <w:sz w:val="24"/>
        </w:rPr>
        <w:t>（三）通过投标初审；</w:t>
      </w:r>
    </w:p>
    <w:p w14:paraId="07A6A1A8">
      <w:pPr>
        <w:adjustRightInd w:val="0"/>
        <w:snapToGrid w:val="0"/>
        <w:spacing w:line="360" w:lineRule="auto"/>
        <w:ind w:right="-10" w:firstLine="480" w:firstLineChars="200"/>
        <w:rPr>
          <w:rFonts w:ascii="宋体" w:hAnsi="宋体"/>
          <w:color w:val="auto"/>
          <w:sz w:val="24"/>
        </w:rPr>
      </w:pPr>
      <w:r>
        <w:rPr>
          <w:rFonts w:hint="eastAsia" w:ascii="宋体" w:hAnsi="宋体"/>
          <w:color w:val="auto"/>
          <w:sz w:val="24"/>
        </w:rPr>
        <w:t>（四）报价不低于投标成本；</w:t>
      </w:r>
    </w:p>
    <w:p w14:paraId="4F351C0B">
      <w:pPr>
        <w:adjustRightInd w:val="0"/>
        <w:snapToGrid w:val="0"/>
        <w:spacing w:line="360" w:lineRule="auto"/>
        <w:ind w:right="-10" w:firstLine="480" w:firstLineChars="200"/>
        <w:rPr>
          <w:rFonts w:ascii="宋体" w:hAnsi="宋体"/>
          <w:color w:val="auto"/>
          <w:sz w:val="24"/>
        </w:rPr>
      </w:pPr>
      <w:r>
        <w:rPr>
          <w:rFonts w:hint="eastAsia" w:ascii="宋体" w:hAnsi="宋体"/>
          <w:color w:val="auto"/>
          <w:sz w:val="24"/>
        </w:rPr>
        <w:t>（五）评委会依据招标文件认定的其他原则。</w:t>
      </w:r>
    </w:p>
    <w:p w14:paraId="71B969E5">
      <w:pPr>
        <w:adjustRightInd w:val="0"/>
        <w:snapToGrid w:val="0"/>
        <w:spacing w:line="360" w:lineRule="auto"/>
        <w:ind w:right="-10" w:firstLine="482" w:firstLineChars="200"/>
        <w:rPr>
          <w:rFonts w:ascii="宋体" w:hAnsi="宋体"/>
          <w:color w:val="auto"/>
          <w:sz w:val="24"/>
        </w:rPr>
      </w:pPr>
      <w:r>
        <w:rPr>
          <w:rFonts w:hint="eastAsia" w:ascii="宋体" w:hAnsi="宋体"/>
          <w:b/>
          <w:color w:val="auto"/>
          <w:sz w:val="24"/>
        </w:rPr>
        <w:t xml:space="preserve">第七条 </w:t>
      </w:r>
      <w:r>
        <w:rPr>
          <w:rFonts w:hint="eastAsia" w:ascii="宋体" w:hAnsi="宋体" w:cs="宋体-18030"/>
          <w:color w:val="auto"/>
          <w:sz w:val="24"/>
        </w:rPr>
        <w:t>评委会遵循公开、公平、公正和科学诚信的原则，对所有投标文件均采用相同程序和标准，进行评定。</w:t>
      </w:r>
    </w:p>
    <w:p w14:paraId="3C353F4D">
      <w:pPr>
        <w:ind w:left="523" w:leftChars="249"/>
        <w:rPr>
          <w:rFonts w:ascii="宋体" w:hAnsi="宋体" w:cs="宋体-18030"/>
          <w:color w:val="auto"/>
          <w:sz w:val="24"/>
        </w:rPr>
      </w:pPr>
      <w:r>
        <w:rPr>
          <w:rFonts w:hint="eastAsia" w:ascii="宋体" w:hAnsi="宋体"/>
          <w:b/>
          <w:color w:val="auto"/>
          <w:sz w:val="24"/>
        </w:rPr>
        <w:t>第八条</w:t>
      </w:r>
      <w:r>
        <w:rPr>
          <w:rFonts w:hint="eastAsia" w:ascii="宋体" w:hAnsi="宋体" w:cs="宋体-18030"/>
          <w:color w:val="auto"/>
          <w:sz w:val="24"/>
        </w:rPr>
        <w:t xml:space="preserve"> 评审程序</w:t>
      </w:r>
    </w:p>
    <w:p w14:paraId="5C9B86AD">
      <w:pPr>
        <w:spacing w:line="360" w:lineRule="auto"/>
        <w:ind w:right="-10" w:firstLine="480" w:firstLineChars="200"/>
        <w:rPr>
          <w:rFonts w:ascii="宋体" w:hAnsi="宋体"/>
          <w:color w:val="auto"/>
          <w:sz w:val="24"/>
          <w:highlight w:val="none"/>
        </w:rPr>
      </w:pPr>
      <w:r>
        <w:rPr>
          <w:rFonts w:hint="eastAsia" w:ascii="宋体" w:hAnsi="宋体"/>
          <w:color w:val="auto"/>
          <w:sz w:val="24"/>
        </w:rPr>
        <w:t>1本项目采用综合评分法进行评审，在最大限度地满足招标文件实质性要求前提下，按照招标文件中规定的各项因素进行综合评审。</w:t>
      </w:r>
      <w:r>
        <w:rPr>
          <w:rFonts w:hint="eastAsia" w:ascii="宋体" w:hAnsi="宋体"/>
          <w:color w:val="auto"/>
          <w:sz w:val="24"/>
          <w:highlight w:val="none"/>
        </w:rPr>
        <w:t>综合评分法的主要因素是：方案设计、技术标、商务标以及相应的比重。满分为100分。</w:t>
      </w:r>
    </w:p>
    <w:p w14:paraId="22ECBF18">
      <w:pPr>
        <w:spacing w:line="360" w:lineRule="auto"/>
        <w:ind w:right="-10" w:firstLine="480" w:firstLineChars="200"/>
        <w:rPr>
          <w:rFonts w:ascii="宋体" w:hAnsi="宋体"/>
          <w:color w:val="auto"/>
          <w:sz w:val="24"/>
        </w:rPr>
      </w:pPr>
      <w:r>
        <w:rPr>
          <w:rFonts w:hint="eastAsia" w:ascii="宋体" w:hAnsi="宋体"/>
          <w:color w:val="auto"/>
          <w:sz w:val="24"/>
        </w:rPr>
        <w:t>2评委会首先对投标文件进行初审，投标文件应实质上响应招标文件的要求，应与招标文件所有条款、条件和规定相符，无显著差异或保留。对内容不全，影响正常评标的投标文件由评标委员会初审后按无效标书处理。初审指标表如下（投标人初审指标有一项不合格即作废标处理）：</w:t>
      </w:r>
    </w:p>
    <w:p w14:paraId="509AFA54">
      <w:pPr>
        <w:snapToGrid w:val="0"/>
        <w:spacing w:line="560" w:lineRule="exact"/>
        <w:rPr>
          <w:b/>
          <w:color w:val="auto"/>
          <w:sz w:val="28"/>
          <w:szCs w:val="28"/>
        </w:rPr>
      </w:pPr>
      <w:r>
        <w:rPr>
          <w:rFonts w:hint="eastAsia"/>
          <w:b/>
          <w:color w:val="auto"/>
          <w:sz w:val="28"/>
          <w:szCs w:val="28"/>
        </w:rPr>
        <w:t>一、初审指标</w:t>
      </w:r>
    </w:p>
    <w:tbl>
      <w:tblPr>
        <w:tblStyle w:val="57"/>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97"/>
        <w:gridCol w:w="3008"/>
        <w:gridCol w:w="819"/>
        <w:gridCol w:w="2717"/>
      </w:tblGrid>
      <w:tr w14:paraId="0822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9161" w:type="dxa"/>
            <w:gridSpan w:val="5"/>
            <w:vAlign w:val="center"/>
          </w:tcPr>
          <w:p w14:paraId="621780F1">
            <w:pPr>
              <w:pStyle w:val="84"/>
              <w:pBdr>
                <w:bottom w:val="none" w:color="auto" w:sz="0" w:space="0"/>
              </w:pBdr>
              <w:tabs>
                <w:tab w:val="clear" w:pos="4153"/>
                <w:tab w:val="clear" w:pos="8306"/>
              </w:tabs>
              <w:snapToGrid w:val="0"/>
              <w:spacing w:line="360" w:lineRule="auto"/>
              <w:ind w:right="-10"/>
              <w:textAlignment w:val="auto"/>
              <w:rPr>
                <w:rFonts w:ascii="宋体" w:hAnsi="宋体"/>
                <w:color w:val="auto"/>
                <w:kern w:val="2"/>
                <w:szCs w:val="24"/>
              </w:rPr>
            </w:pPr>
            <w:r>
              <w:rPr>
                <w:rFonts w:hint="eastAsia" w:ascii="宋体" w:hAnsi="宋体"/>
                <w:b/>
                <w:color w:val="auto"/>
              </w:rPr>
              <w:t>初审表（废标指标一览表）</w:t>
            </w:r>
          </w:p>
        </w:tc>
      </w:tr>
      <w:tr w14:paraId="7830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vAlign w:val="center"/>
          </w:tcPr>
          <w:p w14:paraId="3E7B988D">
            <w:pPr>
              <w:adjustRightInd w:val="0"/>
              <w:snapToGrid w:val="0"/>
              <w:spacing w:line="360" w:lineRule="auto"/>
              <w:ind w:right="-10"/>
              <w:jc w:val="center"/>
              <w:rPr>
                <w:rFonts w:ascii="宋体" w:hAnsi="宋体"/>
                <w:color w:val="auto"/>
                <w:sz w:val="24"/>
              </w:rPr>
            </w:pPr>
            <w:r>
              <w:rPr>
                <w:rFonts w:hint="eastAsia" w:ascii="宋体" w:hAnsi="宋体"/>
                <w:color w:val="auto"/>
                <w:sz w:val="24"/>
              </w:rPr>
              <w:t>序号</w:t>
            </w:r>
          </w:p>
        </w:tc>
        <w:tc>
          <w:tcPr>
            <w:tcW w:w="1897" w:type="dxa"/>
            <w:tcBorders>
              <w:bottom w:val="single" w:color="auto" w:sz="4" w:space="0"/>
            </w:tcBorders>
            <w:vAlign w:val="center"/>
          </w:tcPr>
          <w:p w14:paraId="19694FAE">
            <w:pPr>
              <w:pStyle w:val="84"/>
              <w:pBdr>
                <w:bottom w:val="none" w:color="auto" w:sz="0" w:space="0"/>
              </w:pBdr>
              <w:tabs>
                <w:tab w:val="clear" w:pos="4153"/>
                <w:tab w:val="clear" w:pos="8306"/>
              </w:tabs>
              <w:snapToGrid w:val="0"/>
              <w:spacing w:line="420" w:lineRule="exact"/>
              <w:ind w:right="-11"/>
              <w:textAlignment w:val="auto"/>
              <w:rPr>
                <w:rFonts w:ascii="宋体" w:hAnsi="宋体"/>
                <w:color w:val="auto"/>
                <w:kern w:val="2"/>
                <w:szCs w:val="24"/>
              </w:rPr>
            </w:pPr>
            <w:r>
              <w:rPr>
                <w:rFonts w:hint="eastAsia" w:ascii="宋体" w:hAnsi="宋体"/>
                <w:color w:val="auto"/>
                <w:kern w:val="2"/>
                <w:szCs w:val="24"/>
              </w:rPr>
              <w:t>指标名称</w:t>
            </w:r>
          </w:p>
        </w:tc>
        <w:tc>
          <w:tcPr>
            <w:tcW w:w="3008" w:type="dxa"/>
            <w:tcBorders>
              <w:bottom w:val="single" w:color="auto" w:sz="4" w:space="0"/>
            </w:tcBorders>
            <w:vAlign w:val="center"/>
          </w:tcPr>
          <w:p w14:paraId="08C20DCD">
            <w:pPr>
              <w:adjustRightInd w:val="0"/>
              <w:snapToGrid w:val="0"/>
              <w:spacing w:line="420" w:lineRule="exact"/>
              <w:ind w:right="-11"/>
              <w:jc w:val="center"/>
              <w:rPr>
                <w:rFonts w:ascii="宋体" w:hAnsi="宋体"/>
                <w:color w:val="auto"/>
                <w:sz w:val="24"/>
              </w:rPr>
            </w:pPr>
            <w:r>
              <w:rPr>
                <w:rFonts w:hint="eastAsia" w:ascii="宋体" w:hAnsi="宋体"/>
                <w:color w:val="auto"/>
                <w:sz w:val="24"/>
              </w:rPr>
              <w:t>指标要求</w:t>
            </w:r>
          </w:p>
        </w:tc>
        <w:tc>
          <w:tcPr>
            <w:tcW w:w="819" w:type="dxa"/>
            <w:tcBorders>
              <w:bottom w:val="single" w:color="auto" w:sz="4" w:space="0"/>
            </w:tcBorders>
            <w:vAlign w:val="center"/>
          </w:tcPr>
          <w:p w14:paraId="0C73BB78">
            <w:pPr>
              <w:adjustRightInd w:val="0"/>
              <w:snapToGrid w:val="0"/>
              <w:spacing w:line="420" w:lineRule="exact"/>
              <w:ind w:right="-11"/>
              <w:jc w:val="center"/>
              <w:rPr>
                <w:rFonts w:ascii="宋体" w:hAnsi="宋体"/>
                <w:color w:val="auto"/>
                <w:sz w:val="24"/>
              </w:rPr>
            </w:pPr>
            <w:r>
              <w:rPr>
                <w:rFonts w:hint="eastAsia" w:ascii="宋体" w:hAnsi="宋体"/>
                <w:color w:val="auto"/>
                <w:sz w:val="24"/>
              </w:rPr>
              <w:t>是否通过</w:t>
            </w:r>
          </w:p>
        </w:tc>
        <w:tc>
          <w:tcPr>
            <w:tcW w:w="2717" w:type="dxa"/>
            <w:tcBorders>
              <w:bottom w:val="single" w:color="auto" w:sz="4" w:space="0"/>
            </w:tcBorders>
            <w:vAlign w:val="center"/>
          </w:tcPr>
          <w:p w14:paraId="74CCC78A">
            <w:pPr>
              <w:adjustRightInd w:val="0"/>
              <w:snapToGrid w:val="0"/>
              <w:spacing w:line="420" w:lineRule="exact"/>
              <w:ind w:right="-11"/>
              <w:jc w:val="center"/>
              <w:rPr>
                <w:rFonts w:ascii="宋体" w:hAnsi="宋体"/>
                <w:color w:val="auto"/>
                <w:sz w:val="24"/>
              </w:rPr>
            </w:pPr>
            <w:r>
              <w:rPr>
                <w:rFonts w:hint="eastAsia" w:ascii="宋体" w:hAnsi="宋体"/>
                <w:color w:val="auto"/>
                <w:sz w:val="24"/>
              </w:rPr>
              <w:t>投标文件格式及提交资料要求</w:t>
            </w:r>
          </w:p>
        </w:tc>
      </w:tr>
      <w:tr w14:paraId="3DE3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vAlign w:val="center"/>
          </w:tcPr>
          <w:p w14:paraId="54897C09">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1</w:t>
            </w:r>
          </w:p>
        </w:tc>
        <w:tc>
          <w:tcPr>
            <w:tcW w:w="1897" w:type="dxa"/>
            <w:tcBorders>
              <w:bottom w:val="single" w:color="auto" w:sz="4" w:space="0"/>
            </w:tcBorders>
            <w:vAlign w:val="center"/>
          </w:tcPr>
          <w:p w14:paraId="37B308BD">
            <w:pPr>
              <w:spacing w:line="420" w:lineRule="exact"/>
              <w:ind w:right="-11"/>
              <w:jc w:val="center"/>
              <w:rPr>
                <w:rFonts w:ascii="宋体" w:hAnsi="宋体"/>
                <w:color w:val="auto"/>
                <w:sz w:val="24"/>
                <w:szCs w:val="24"/>
              </w:rPr>
            </w:pPr>
            <w:r>
              <w:rPr>
                <w:rFonts w:hint="eastAsia" w:ascii="宋体" w:hAnsi="宋体"/>
                <w:color w:val="auto"/>
                <w:sz w:val="24"/>
                <w:szCs w:val="24"/>
              </w:rPr>
              <w:t>营业执照或事业单位法人证书</w:t>
            </w:r>
          </w:p>
        </w:tc>
        <w:tc>
          <w:tcPr>
            <w:tcW w:w="3008" w:type="dxa"/>
            <w:tcBorders>
              <w:bottom w:val="single" w:color="auto" w:sz="4" w:space="0"/>
            </w:tcBorders>
            <w:vAlign w:val="center"/>
          </w:tcPr>
          <w:p w14:paraId="6DC4B8B1">
            <w:pPr>
              <w:spacing w:line="420" w:lineRule="exact"/>
              <w:ind w:right="-11"/>
              <w:jc w:val="center"/>
              <w:rPr>
                <w:rFonts w:ascii="宋体" w:hAnsi="宋体"/>
                <w:color w:val="auto"/>
                <w:sz w:val="24"/>
                <w:szCs w:val="24"/>
              </w:rPr>
            </w:pPr>
            <w:r>
              <w:rPr>
                <w:rFonts w:hint="eastAsia" w:ascii="宋体" w:hAnsi="宋体"/>
                <w:color w:val="auto"/>
                <w:sz w:val="24"/>
                <w:szCs w:val="24"/>
              </w:rPr>
              <w:t>合法有效</w:t>
            </w:r>
          </w:p>
        </w:tc>
        <w:tc>
          <w:tcPr>
            <w:tcW w:w="819" w:type="dxa"/>
            <w:tcBorders>
              <w:bottom w:val="single" w:color="auto" w:sz="4" w:space="0"/>
            </w:tcBorders>
            <w:vAlign w:val="center"/>
          </w:tcPr>
          <w:p w14:paraId="286CF23C">
            <w:pPr>
              <w:adjustRightInd w:val="0"/>
              <w:snapToGrid w:val="0"/>
              <w:spacing w:line="420" w:lineRule="exact"/>
              <w:ind w:right="-11"/>
              <w:jc w:val="center"/>
              <w:rPr>
                <w:rFonts w:ascii="宋体" w:hAnsi="宋体"/>
                <w:color w:val="auto"/>
                <w:sz w:val="24"/>
                <w:szCs w:val="24"/>
              </w:rPr>
            </w:pPr>
          </w:p>
        </w:tc>
        <w:tc>
          <w:tcPr>
            <w:tcW w:w="2717" w:type="dxa"/>
            <w:tcBorders>
              <w:bottom w:val="single" w:color="auto" w:sz="4" w:space="0"/>
            </w:tcBorders>
            <w:vAlign w:val="center"/>
          </w:tcPr>
          <w:p w14:paraId="7C7B95C9">
            <w:pPr>
              <w:adjustRightInd w:val="0"/>
              <w:snapToGrid w:val="0"/>
              <w:spacing w:line="420" w:lineRule="exact"/>
              <w:ind w:right="-11"/>
              <w:jc w:val="center"/>
              <w:rPr>
                <w:rFonts w:ascii="宋体" w:hAnsi="宋体"/>
                <w:color w:val="auto"/>
                <w:sz w:val="24"/>
                <w:szCs w:val="24"/>
              </w:rPr>
            </w:pPr>
            <w:r>
              <w:rPr>
                <w:rFonts w:hint="eastAsia" w:ascii="宋体" w:hAnsi="宋体"/>
                <w:color w:val="auto"/>
                <w:sz w:val="24"/>
                <w:szCs w:val="24"/>
              </w:rPr>
              <w:t>提供有效的营业执照（或事业单位法人证书）的扫描件</w:t>
            </w:r>
            <w:r>
              <w:rPr>
                <w:rFonts w:hint="eastAsia" w:ascii="宋体" w:hAnsi="宋体"/>
                <w:b/>
                <w:bCs/>
                <w:color w:val="auto"/>
                <w:sz w:val="24"/>
                <w:szCs w:val="24"/>
              </w:rPr>
              <w:t>，应完整的体现出营业执照</w:t>
            </w:r>
            <w:r>
              <w:rPr>
                <w:rFonts w:hint="eastAsia" w:ascii="宋体" w:hAnsi="宋体"/>
                <w:b/>
                <w:color w:val="auto"/>
                <w:sz w:val="24"/>
                <w:szCs w:val="24"/>
              </w:rPr>
              <w:t>（或事业单位法人证书）</w:t>
            </w:r>
            <w:r>
              <w:rPr>
                <w:rFonts w:hint="eastAsia" w:ascii="宋体" w:hAnsi="宋体"/>
                <w:b/>
                <w:bCs/>
                <w:color w:val="auto"/>
                <w:sz w:val="24"/>
                <w:szCs w:val="24"/>
              </w:rPr>
              <w:t>的全部内容。</w:t>
            </w:r>
            <w:r>
              <w:rPr>
                <w:rFonts w:hint="eastAsia" w:ascii="宋体" w:hAnsi="宋体"/>
                <w:bCs/>
                <w:color w:val="auto"/>
                <w:sz w:val="24"/>
                <w:szCs w:val="24"/>
              </w:rPr>
              <w:t>联合体投标的，联合体各方均须提供。</w:t>
            </w:r>
          </w:p>
        </w:tc>
      </w:tr>
      <w:tr w14:paraId="5AC0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720" w:type="dxa"/>
            <w:vAlign w:val="center"/>
          </w:tcPr>
          <w:p w14:paraId="188D2798">
            <w:pPr>
              <w:adjustRightInd w:val="0"/>
              <w:snapToGrid w:val="0"/>
              <w:spacing w:line="360" w:lineRule="auto"/>
              <w:ind w:right="-10"/>
              <w:jc w:val="center"/>
              <w:rPr>
                <w:rFonts w:ascii="宋体" w:hAnsi="宋体"/>
                <w:color w:val="auto"/>
                <w:sz w:val="24"/>
              </w:rPr>
            </w:pPr>
            <w:r>
              <w:rPr>
                <w:rFonts w:hint="eastAsia" w:ascii="宋体" w:hAnsi="宋体"/>
                <w:color w:val="auto"/>
                <w:sz w:val="24"/>
              </w:rPr>
              <w:t>2</w:t>
            </w:r>
          </w:p>
        </w:tc>
        <w:tc>
          <w:tcPr>
            <w:tcW w:w="1897" w:type="dxa"/>
            <w:vAlign w:val="center"/>
          </w:tcPr>
          <w:p w14:paraId="5A77F41C">
            <w:pPr>
              <w:spacing w:line="420" w:lineRule="exact"/>
              <w:ind w:right="-11"/>
              <w:jc w:val="center"/>
              <w:rPr>
                <w:rFonts w:ascii="宋体" w:hAnsi="宋体"/>
                <w:color w:val="auto"/>
                <w:sz w:val="24"/>
                <w:szCs w:val="28"/>
              </w:rPr>
            </w:pPr>
            <w:r>
              <w:rPr>
                <w:rFonts w:hint="eastAsia" w:ascii="宋体" w:hAnsi="宋体"/>
                <w:color w:val="auto"/>
                <w:sz w:val="24"/>
                <w:szCs w:val="28"/>
              </w:rPr>
              <w:t>投标函</w:t>
            </w:r>
          </w:p>
        </w:tc>
        <w:tc>
          <w:tcPr>
            <w:tcW w:w="3008" w:type="dxa"/>
            <w:vAlign w:val="center"/>
          </w:tcPr>
          <w:p w14:paraId="509F4E52">
            <w:pPr>
              <w:spacing w:line="420" w:lineRule="exact"/>
              <w:ind w:right="-11"/>
              <w:jc w:val="center"/>
              <w:rPr>
                <w:rFonts w:ascii="宋体" w:hAnsi="宋体"/>
                <w:color w:val="auto"/>
                <w:sz w:val="24"/>
                <w:szCs w:val="28"/>
              </w:rPr>
            </w:pPr>
            <w:r>
              <w:rPr>
                <w:rFonts w:hint="eastAsia" w:ascii="宋体" w:hAnsi="宋体"/>
                <w:color w:val="auto"/>
                <w:sz w:val="24"/>
                <w:szCs w:val="28"/>
              </w:rPr>
              <w:t>符合招标文件要求</w:t>
            </w:r>
          </w:p>
        </w:tc>
        <w:tc>
          <w:tcPr>
            <w:tcW w:w="819" w:type="dxa"/>
            <w:vAlign w:val="center"/>
          </w:tcPr>
          <w:p w14:paraId="2F481791">
            <w:pPr>
              <w:adjustRightInd w:val="0"/>
              <w:snapToGrid w:val="0"/>
              <w:spacing w:line="420" w:lineRule="exact"/>
              <w:ind w:right="-11"/>
              <w:jc w:val="center"/>
              <w:rPr>
                <w:rFonts w:ascii="宋体" w:hAnsi="宋体"/>
                <w:color w:val="auto"/>
                <w:sz w:val="24"/>
              </w:rPr>
            </w:pPr>
          </w:p>
        </w:tc>
        <w:tc>
          <w:tcPr>
            <w:tcW w:w="2717" w:type="dxa"/>
            <w:vAlign w:val="center"/>
          </w:tcPr>
          <w:p w14:paraId="5A7AA922">
            <w:pPr>
              <w:adjustRightInd w:val="0"/>
              <w:snapToGrid w:val="0"/>
              <w:spacing w:line="420" w:lineRule="exact"/>
              <w:ind w:right="-11"/>
              <w:jc w:val="center"/>
              <w:rPr>
                <w:rFonts w:ascii="宋体" w:hAnsi="宋体"/>
                <w:color w:val="auto"/>
                <w:sz w:val="24"/>
              </w:rPr>
            </w:pPr>
          </w:p>
        </w:tc>
      </w:tr>
      <w:tr w14:paraId="0C48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65A1CD32">
            <w:pPr>
              <w:adjustRightInd w:val="0"/>
              <w:snapToGrid w:val="0"/>
              <w:spacing w:line="360" w:lineRule="auto"/>
              <w:ind w:right="-10"/>
              <w:jc w:val="center"/>
              <w:rPr>
                <w:rFonts w:ascii="宋体" w:hAnsi="宋体"/>
                <w:color w:val="auto"/>
                <w:sz w:val="24"/>
              </w:rPr>
            </w:pPr>
            <w:r>
              <w:rPr>
                <w:rFonts w:hint="eastAsia" w:ascii="宋体" w:hAnsi="宋体"/>
                <w:color w:val="auto"/>
                <w:sz w:val="24"/>
              </w:rPr>
              <w:t>3</w:t>
            </w:r>
          </w:p>
        </w:tc>
        <w:tc>
          <w:tcPr>
            <w:tcW w:w="1897" w:type="dxa"/>
            <w:vAlign w:val="center"/>
          </w:tcPr>
          <w:p w14:paraId="4A72B347">
            <w:pPr>
              <w:spacing w:line="420" w:lineRule="exact"/>
              <w:ind w:right="-11"/>
              <w:jc w:val="center"/>
              <w:rPr>
                <w:rFonts w:ascii="宋体" w:hAnsi="宋体"/>
                <w:color w:val="auto"/>
                <w:sz w:val="24"/>
                <w:szCs w:val="28"/>
              </w:rPr>
            </w:pPr>
            <w:r>
              <w:rPr>
                <w:rFonts w:hint="eastAsia" w:ascii="宋体" w:hAnsi="宋体"/>
                <w:color w:val="auto"/>
                <w:sz w:val="24"/>
                <w:szCs w:val="28"/>
              </w:rPr>
              <w:t>投标授权书</w:t>
            </w:r>
          </w:p>
        </w:tc>
        <w:tc>
          <w:tcPr>
            <w:tcW w:w="3008" w:type="dxa"/>
            <w:vAlign w:val="center"/>
          </w:tcPr>
          <w:p w14:paraId="713BA593">
            <w:pPr>
              <w:spacing w:line="420" w:lineRule="exact"/>
              <w:ind w:right="-11"/>
              <w:jc w:val="center"/>
              <w:rPr>
                <w:rFonts w:ascii="宋体" w:hAnsi="宋体"/>
                <w:color w:val="auto"/>
                <w:sz w:val="24"/>
                <w:szCs w:val="28"/>
              </w:rPr>
            </w:pPr>
            <w:r>
              <w:rPr>
                <w:rFonts w:hint="eastAsia" w:ascii="宋体" w:hAnsi="宋体"/>
                <w:color w:val="auto"/>
                <w:sz w:val="24"/>
                <w:szCs w:val="28"/>
              </w:rPr>
              <w:t>符合招标文件要求</w:t>
            </w:r>
          </w:p>
        </w:tc>
        <w:tc>
          <w:tcPr>
            <w:tcW w:w="819" w:type="dxa"/>
            <w:vAlign w:val="center"/>
          </w:tcPr>
          <w:p w14:paraId="30B6D02E">
            <w:pPr>
              <w:adjustRightInd w:val="0"/>
              <w:snapToGrid w:val="0"/>
              <w:spacing w:line="420" w:lineRule="exact"/>
              <w:ind w:right="-11"/>
              <w:jc w:val="center"/>
              <w:rPr>
                <w:rFonts w:ascii="宋体" w:hAnsi="宋体"/>
                <w:color w:val="auto"/>
                <w:sz w:val="24"/>
              </w:rPr>
            </w:pPr>
          </w:p>
        </w:tc>
        <w:tc>
          <w:tcPr>
            <w:tcW w:w="2717" w:type="dxa"/>
            <w:vAlign w:val="center"/>
          </w:tcPr>
          <w:p w14:paraId="1EE6019F">
            <w:pPr>
              <w:adjustRightInd w:val="0"/>
              <w:snapToGrid w:val="0"/>
              <w:spacing w:line="420" w:lineRule="exact"/>
              <w:ind w:right="-11"/>
              <w:jc w:val="left"/>
              <w:rPr>
                <w:rFonts w:ascii="宋体" w:hAnsi="宋体"/>
                <w:color w:val="auto"/>
                <w:sz w:val="24"/>
              </w:rPr>
            </w:pPr>
            <w:r>
              <w:rPr>
                <w:rFonts w:hint="eastAsia" w:ascii="宋体" w:hAnsi="宋体"/>
                <w:color w:val="auto"/>
                <w:sz w:val="24"/>
              </w:rPr>
              <w:t>详见第八章投标文件格式“投标授权书”</w:t>
            </w:r>
          </w:p>
        </w:tc>
      </w:tr>
      <w:tr w14:paraId="1997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5EC007EC">
            <w:pPr>
              <w:adjustRightInd w:val="0"/>
              <w:snapToGrid w:val="0"/>
              <w:spacing w:line="360" w:lineRule="auto"/>
              <w:ind w:right="-10"/>
              <w:jc w:val="center"/>
              <w:rPr>
                <w:rFonts w:ascii="宋体" w:hAnsi="宋体"/>
                <w:color w:val="auto"/>
                <w:sz w:val="24"/>
              </w:rPr>
            </w:pPr>
            <w:r>
              <w:rPr>
                <w:rFonts w:hint="eastAsia" w:ascii="宋体" w:hAnsi="宋体"/>
                <w:color w:val="auto"/>
                <w:sz w:val="24"/>
              </w:rPr>
              <w:t>7</w:t>
            </w:r>
          </w:p>
        </w:tc>
        <w:tc>
          <w:tcPr>
            <w:tcW w:w="1897" w:type="dxa"/>
            <w:vAlign w:val="center"/>
          </w:tcPr>
          <w:p w14:paraId="1253DC26">
            <w:pPr>
              <w:spacing w:after="50" w:line="360" w:lineRule="auto"/>
              <w:ind w:right="-10"/>
              <w:jc w:val="center"/>
              <w:rPr>
                <w:rFonts w:ascii="宋体" w:hAnsi="宋体"/>
                <w:color w:val="auto"/>
                <w:sz w:val="24"/>
                <w:szCs w:val="28"/>
              </w:rPr>
            </w:pPr>
            <w:r>
              <w:rPr>
                <w:rFonts w:hint="eastAsia" w:ascii="宋体" w:hAnsi="宋体"/>
                <w:color w:val="auto"/>
                <w:sz w:val="24"/>
                <w:szCs w:val="24"/>
              </w:rPr>
              <w:t>投标人信用承诺</w:t>
            </w:r>
          </w:p>
        </w:tc>
        <w:tc>
          <w:tcPr>
            <w:tcW w:w="3008" w:type="dxa"/>
            <w:vAlign w:val="center"/>
          </w:tcPr>
          <w:p w14:paraId="2F24F2A5">
            <w:pPr>
              <w:spacing w:after="50" w:line="360" w:lineRule="auto"/>
              <w:ind w:right="-10"/>
              <w:jc w:val="center"/>
              <w:rPr>
                <w:rFonts w:ascii="宋体" w:hAnsi="宋体"/>
                <w:color w:val="auto"/>
                <w:sz w:val="24"/>
                <w:szCs w:val="28"/>
              </w:rPr>
            </w:pPr>
            <w:r>
              <w:rPr>
                <w:rFonts w:hint="eastAsia" w:ascii="宋体" w:hAnsi="宋体"/>
                <w:color w:val="auto"/>
                <w:sz w:val="24"/>
                <w:szCs w:val="28"/>
              </w:rPr>
              <w:t>符合招标文件要求</w:t>
            </w:r>
          </w:p>
        </w:tc>
        <w:tc>
          <w:tcPr>
            <w:tcW w:w="819" w:type="dxa"/>
            <w:vAlign w:val="center"/>
          </w:tcPr>
          <w:p w14:paraId="41682B8D">
            <w:pPr>
              <w:adjustRightInd w:val="0"/>
              <w:snapToGrid w:val="0"/>
              <w:spacing w:line="360" w:lineRule="auto"/>
              <w:ind w:right="-10"/>
              <w:jc w:val="center"/>
              <w:rPr>
                <w:rFonts w:ascii="宋体" w:hAnsi="宋体"/>
                <w:color w:val="auto"/>
                <w:sz w:val="24"/>
              </w:rPr>
            </w:pPr>
          </w:p>
        </w:tc>
        <w:tc>
          <w:tcPr>
            <w:tcW w:w="2717" w:type="dxa"/>
            <w:vAlign w:val="center"/>
          </w:tcPr>
          <w:p w14:paraId="31ED7BA5">
            <w:pPr>
              <w:adjustRightInd w:val="0"/>
              <w:snapToGrid w:val="0"/>
              <w:spacing w:line="360" w:lineRule="auto"/>
              <w:ind w:right="-10"/>
              <w:jc w:val="left"/>
              <w:rPr>
                <w:rFonts w:ascii="宋体" w:hAnsi="宋体"/>
                <w:color w:val="auto"/>
                <w:sz w:val="24"/>
              </w:rPr>
            </w:pPr>
            <w:r>
              <w:rPr>
                <w:rFonts w:hint="eastAsia" w:ascii="宋体" w:hAnsi="宋体"/>
                <w:color w:val="auto"/>
                <w:sz w:val="24"/>
                <w:szCs w:val="24"/>
              </w:rPr>
              <w:t>详见第八章投标文件格式</w:t>
            </w:r>
            <w:r>
              <w:rPr>
                <w:rFonts w:hint="eastAsia" w:ascii="宋体" w:hAnsi="宋体"/>
                <w:color w:val="auto"/>
                <w:sz w:val="24"/>
              </w:rPr>
              <w:t>“</w:t>
            </w:r>
            <w:r>
              <w:rPr>
                <w:rFonts w:hint="eastAsia" w:ascii="宋体" w:hAnsi="宋体"/>
                <w:color w:val="auto"/>
                <w:sz w:val="24"/>
                <w:szCs w:val="24"/>
              </w:rPr>
              <w:t>投标人信用承诺</w:t>
            </w:r>
            <w:r>
              <w:rPr>
                <w:rFonts w:hint="eastAsia" w:ascii="宋体" w:hAnsi="宋体"/>
                <w:color w:val="auto"/>
                <w:sz w:val="24"/>
              </w:rPr>
              <w:t>”，</w:t>
            </w:r>
            <w:r>
              <w:rPr>
                <w:rFonts w:hint="eastAsia" w:ascii="宋体" w:hAnsi="宋体"/>
                <w:bCs/>
                <w:color w:val="auto"/>
                <w:sz w:val="24"/>
                <w:szCs w:val="24"/>
              </w:rPr>
              <w:t>联合体投标的，联合体各方均须承诺。</w:t>
            </w:r>
          </w:p>
        </w:tc>
      </w:tr>
      <w:tr w14:paraId="2661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6D60CAB4">
            <w:pPr>
              <w:adjustRightInd w:val="0"/>
              <w:snapToGrid w:val="0"/>
              <w:spacing w:line="360" w:lineRule="auto"/>
              <w:ind w:right="-10"/>
              <w:jc w:val="center"/>
              <w:rPr>
                <w:rFonts w:ascii="宋体" w:hAnsi="宋体"/>
                <w:color w:val="auto"/>
                <w:sz w:val="24"/>
              </w:rPr>
            </w:pPr>
            <w:r>
              <w:rPr>
                <w:rFonts w:hint="eastAsia" w:ascii="宋体" w:hAnsi="宋体"/>
                <w:color w:val="auto"/>
                <w:sz w:val="24"/>
              </w:rPr>
              <w:t>8</w:t>
            </w:r>
          </w:p>
        </w:tc>
        <w:tc>
          <w:tcPr>
            <w:tcW w:w="1897" w:type="dxa"/>
            <w:vAlign w:val="center"/>
          </w:tcPr>
          <w:p w14:paraId="71C0E783">
            <w:pPr>
              <w:spacing w:line="420" w:lineRule="exact"/>
              <w:ind w:right="-11"/>
              <w:jc w:val="center"/>
              <w:rPr>
                <w:rFonts w:ascii="宋体" w:hAnsi="宋体"/>
                <w:color w:val="auto"/>
                <w:sz w:val="24"/>
                <w:szCs w:val="24"/>
              </w:rPr>
            </w:pPr>
            <w:r>
              <w:rPr>
                <w:rFonts w:hint="eastAsia" w:ascii="宋体" w:hAnsi="宋体"/>
                <w:color w:val="auto"/>
                <w:sz w:val="24"/>
                <w:szCs w:val="24"/>
              </w:rPr>
              <w:t>投标人资质</w:t>
            </w:r>
          </w:p>
        </w:tc>
        <w:tc>
          <w:tcPr>
            <w:tcW w:w="3008" w:type="dxa"/>
            <w:vAlign w:val="center"/>
          </w:tcPr>
          <w:p w14:paraId="3EC114D4">
            <w:pPr>
              <w:spacing w:line="420" w:lineRule="exact"/>
              <w:ind w:right="-11"/>
              <w:jc w:val="center"/>
              <w:rPr>
                <w:rFonts w:ascii="宋体" w:hAnsi="宋体"/>
                <w:color w:val="auto"/>
                <w:sz w:val="24"/>
                <w:szCs w:val="24"/>
              </w:rPr>
            </w:pPr>
            <w:r>
              <w:rPr>
                <w:rFonts w:hint="eastAsia" w:ascii="宋体" w:hAnsi="宋体"/>
                <w:color w:val="auto"/>
                <w:sz w:val="24"/>
                <w:szCs w:val="24"/>
              </w:rPr>
              <w:t>符合招标公告要求</w:t>
            </w:r>
          </w:p>
        </w:tc>
        <w:tc>
          <w:tcPr>
            <w:tcW w:w="819" w:type="dxa"/>
            <w:vAlign w:val="center"/>
          </w:tcPr>
          <w:p w14:paraId="7F854D8B">
            <w:pPr>
              <w:adjustRightInd w:val="0"/>
              <w:snapToGrid w:val="0"/>
              <w:spacing w:line="420" w:lineRule="exact"/>
              <w:ind w:right="-11"/>
              <w:jc w:val="center"/>
              <w:rPr>
                <w:rFonts w:ascii="宋体" w:hAnsi="宋体"/>
                <w:color w:val="auto"/>
                <w:sz w:val="24"/>
                <w:szCs w:val="24"/>
              </w:rPr>
            </w:pPr>
          </w:p>
        </w:tc>
        <w:tc>
          <w:tcPr>
            <w:tcW w:w="2717" w:type="dxa"/>
            <w:vAlign w:val="center"/>
          </w:tcPr>
          <w:p w14:paraId="2C013E31">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提供资质证书扫描件</w:t>
            </w:r>
          </w:p>
        </w:tc>
      </w:tr>
      <w:tr w14:paraId="7D74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1CE5C83B">
            <w:pPr>
              <w:adjustRightInd w:val="0"/>
              <w:snapToGrid w:val="0"/>
              <w:spacing w:line="360" w:lineRule="auto"/>
              <w:ind w:right="-10"/>
              <w:jc w:val="center"/>
              <w:rPr>
                <w:rFonts w:ascii="宋体" w:hAnsi="宋体"/>
                <w:color w:val="auto"/>
                <w:sz w:val="24"/>
              </w:rPr>
            </w:pPr>
            <w:r>
              <w:rPr>
                <w:rFonts w:hint="eastAsia" w:ascii="宋体" w:hAnsi="宋体"/>
                <w:color w:val="auto"/>
                <w:sz w:val="24"/>
              </w:rPr>
              <w:t>9</w:t>
            </w:r>
          </w:p>
        </w:tc>
        <w:tc>
          <w:tcPr>
            <w:tcW w:w="1897" w:type="dxa"/>
            <w:vAlign w:val="center"/>
          </w:tcPr>
          <w:p w14:paraId="27FEE67C">
            <w:pPr>
              <w:spacing w:line="420" w:lineRule="exact"/>
              <w:ind w:right="-11"/>
              <w:jc w:val="center"/>
              <w:rPr>
                <w:rFonts w:ascii="宋体" w:hAnsi="宋体"/>
                <w:color w:val="auto"/>
                <w:sz w:val="24"/>
                <w:szCs w:val="24"/>
              </w:rPr>
            </w:pPr>
            <w:r>
              <w:rPr>
                <w:rFonts w:hint="eastAsia" w:ascii="宋体" w:hAnsi="宋体"/>
                <w:color w:val="auto"/>
                <w:sz w:val="24"/>
                <w:szCs w:val="24"/>
              </w:rPr>
              <w:t>业绩</w:t>
            </w:r>
          </w:p>
        </w:tc>
        <w:tc>
          <w:tcPr>
            <w:tcW w:w="3008" w:type="dxa"/>
            <w:vAlign w:val="center"/>
          </w:tcPr>
          <w:p w14:paraId="01FBEF17">
            <w:pPr>
              <w:spacing w:line="420" w:lineRule="exact"/>
              <w:ind w:right="-11"/>
              <w:jc w:val="center"/>
              <w:rPr>
                <w:rFonts w:ascii="宋体" w:hAnsi="宋体"/>
                <w:color w:val="auto"/>
                <w:sz w:val="24"/>
                <w:szCs w:val="24"/>
              </w:rPr>
            </w:pPr>
            <w:r>
              <w:rPr>
                <w:rFonts w:hint="eastAsia" w:ascii="宋体" w:hAnsi="宋体"/>
                <w:color w:val="auto"/>
                <w:sz w:val="24"/>
                <w:szCs w:val="24"/>
              </w:rPr>
              <w:t>符合招标公告要求</w:t>
            </w:r>
          </w:p>
        </w:tc>
        <w:tc>
          <w:tcPr>
            <w:tcW w:w="819" w:type="dxa"/>
            <w:vAlign w:val="center"/>
          </w:tcPr>
          <w:p w14:paraId="0051CA25">
            <w:pPr>
              <w:adjustRightInd w:val="0"/>
              <w:snapToGrid w:val="0"/>
              <w:spacing w:line="420" w:lineRule="exact"/>
              <w:ind w:right="-11"/>
              <w:jc w:val="center"/>
              <w:rPr>
                <w:rFonts w:ascii="宋体" w:hAnsi="宋体"/>
                <w:color w:val="auto"/>
                <w:sz w:val="24"/>
                <w:szCs w:val="24"/>
              </w:rPr>
            </w:pPr>
          </w:p>
        </w:tc>
        <w:tc>
          <w:tcPr>
            <w:tcW w:w="2717" w:type="dxa"/>
            <w:vAlign w:val="center"/>
          </w:tcPr>
          <w:p w14:paraId="3CE70BD0">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详见投标人须知前附表</w:t>
            </w:r>
          </w:p>
        </w:tc>
      </w:tr>
      <w:tr w14:paraId="62B2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2ECF4474">
            <w:pPr>
              <w:adjustRightInd w:val="0"/>
              <w:snapToGrid w:val="0"/>
              <w:spacing w:line="360" w:lineRule="auto"/>
              <w:ind w:right="-10"/>
              <w:jc w:val="center"/>
              <w:rPr>
                <w:rFonts w:ascii="宋体" w:hAnsi="宋体"/>
                <w:color w:val="auto"/>
                <w:sz w:val="24"/>
              </w:rPr>
            </w:pPr>
            <w:r>
              <w:rPr>
                <w:rFonts w:hint="eastAsia" w:ascii="宋体" w:hAnsi="宋体"/>
                <w:color w:val="auto"/>
                <w:sz w:val="24"/>
              </w:rPr>
              <w:t>10</w:t>
            </w:r>
          </w:p>
        </w:tc>
        <w:tc>
          <w:tcPr>
            <w:tcW w:w="1897" w:type="dxa"/>
            <w:vAlign w:val="center"/>
          </w:tcPr>
          <w:p w14:paraId="4F1F0CDD">
            <w:pPr>
              <w:spacing w:line="420" w:lineRule="exact"/>
              <w:ind w:right="-11"/>
              <w:jc w:val="center"/>
              <w:rPr>
                <w:rFonts w:ascii="宋体" w:hAnsi="宋体"/>
                <w:color w:val="auto"/>
                <w:sz w:val="24"/>
                <w:szCs w:val="24"/>
              </w:rPr>
            </w:pPr>
            <w:r>
              <w:rPr>
                <w:rFonts w:hint="eastAsia" w:ascii="宋体" w:hAnsi="宋体"/>
                <w:color w:val="auto"/>
                <w:sz w:val="24"/>
                <w:szCs w:val="24"/>
              </w:rPr>
              <w:t>拟任项目负责人</w:t>
            </w:r>
          </w:p>
        </w:tc>
        <w:tc>
          <w:tcPr>
            <w:tcW w:w="3008" w:type="dxa"/>
            <w:vAlign w:val="center"/>
          </w:tcPr>
          <w:p w14:paraId="33ECA5B3">
            <w:pPr>
              <w:spacing w:line="420" w:lineRule="exact"/>
              <w:ind w:right="-11"/>
              <w:jc w:val="center"/>
              <w:rPr>
                <w:rFonts w:ascii="宋体" w:hAnsi="宋体"/>
                <w:color w:val="auto"/>
                <w:sz w:val="24"/>
                <w:szCs w:val="24"/>
              </w:rPr>
            </w:pPr>
            <w:r>
              <w:rPr>
                <w:rFonts w:hint="eastAsia" w:ascii="宋体" w:hAnsi="宋体"/>
                <w:color w:val="auto"/>
                <w:sz w:val="24"/>
                <w:szCs w:val="24"/>
              </w:rPr>
              <w:t>符合招标文件要求</w:t>
            </w:r>
          </w:p>
        </w:tc>
        <w:tc>
          <w:tcPr>
            <w:tcW w:w="819" w:type="dxa"/>
            <w:vAlign w:val="center"/>
          </w:tcPr>
          <w:p w14:paraId="5FB525AB">
            <w:pPr>
              <w:adjustRightInd w:val="0"/>
              <w:snapToGrid w:val="0"/>
              <w:spacing w:line="420" w:lineRule="exact"/>
              <w:ind w:right="-11"/>
              <w:jc w:val="center"/>
              <w:rPr>
                <w:rFonts w:ascii="宋体" w:hAnsi="宋体"/>
                <w:color w:val="auto"/>
                <w:sz w:val="24"/>
                <w:szCs w:val="24"/>
              </w:rPr>
            </w:pPr>
          </w:p>
        </w:tc>
        <w:tc>
          <w:tcPr>
            <w:tcW w:w="2717" w:type="dxa"/>
            <w:vAlign w:val="center"/>
          </w:tcPr>
          <w:p w14:paraId="3D974686">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提供拟任项目负责人相关证书和社保材料扫描件，详见招标需求。</w:t>
            </w:r>
          </w:p>
        </w:tc>
      </w:tr>
      <w:tr w14:paraId="7EBE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67CC08A2">
            <w:pPr>
              <w:adjustRightInd w:val="0"/>
              <w:snapToGrid w:val="0"/>
              <w:spacing w:line="360" w:lineRule="auto"/>
              <w:ind w:right="-10"/>
              <w:jc w:val="center"/>
              <w:rPr>
                <w:rFonts w:ascii="宋体" w:hAnsi="宋体"/>
                <w:color w:val="auto"/>
                <w:sz w:val="24"/>
              </w:rPr>
            </w:pPr>
            <w:r>
              <w:rPr>
                <w:rFonts w:hint="eastAsia" w:ascii="宋体" w:hAnsi="宋体"/>
                <w:color w:val="auto"/>
                <w:sz w:val="24"/>
              </w:rPr>
              <w:t>11</w:t>
            </w:r>
          </w:p>
        </w:tc>
        <w:tc>
          <w:tcPr>
            <w:tcW w:w="1897" w:type="dxa"/>
            <w:vAlign w:val="center"/>
          </w:tcPr>
          <w:p w14:paraId="5C18F9D6">
            <w:pPr>
              <w:spacing w:line="420" w:lineRule="exact"/>
              <w:ind w:right="-11"/>
              <w:jc w:val="center"/>
              <w:rPr>
                <w:rFonts w:ascii="宋体" w:hAnsi="宋体"/>
                <w:color w:val="auto"/>
                <w:sz w:val="24"/>
                <w:szCs w:val="24"/>
              </w:rPr>
            </w:pPr>
            <w:r>
              <w:rPr>
                <w:rFonts w:hint="eastAsia" w:ascii="宋体" w:hAnsi="宋体"/>
                <w:color w:val="auto"/>
                <w:sz w:val="24"/>
                <w:szCs w:val="24"/>
              </w:rPr>
              <w:t>联合体协议</w:t>
            </w:r>
          </w:p>
        </w:tc>
        <w:tc>
          <w:tcPr>
            <w:tcW w:w="3008" w:type="dxa"/>
            <w:vAlign w:val="center"/>
          </w:tcPr>
          <w:p w14:paraId="4F2AFDDE">
            <w:pPr>
              <w:spacing w:line="420" w:lineRule="exact"/>
              <w:ind w:right="-11"/>
              <w:jc w:val="center"/>
              <w:rPr>
                <w:rFonts w:ascii="宋体" w:hAnsi="宋体"/>
                <w:color w:val="auto"/>
                <w:sz w:val="24"/>
                <w:szCs w:val="24"/>
              </w:rPr>
            </w:pPr>
            <w:r>
              <w:rPr>
                <w:rFonts w:hint="eastAsia" w:ascii="宋体" w:hAnsi="宋体"/>
                <w:color w:val="auto"/>
                <w:sz w:val="24"/>
                <w:szCs w:val="24"/>
              </w:rPr>
              <w:t>符合招标文件要求</w:t>
            </w:r>
          </w:p>
        </w:tc>
        <w:tc>
          <w:tcPr>
            <w:tcW w:w="819" w:type="dxa"/>
            <w:vAlign w:val="center"/>
          </w:tcPr>
          <w:p w14:paraId="3DAC9E5C">
            <w:pPr>
              <w:adjustRightInd w:val="0"/>
              <w:snapToGrid w:val="0"/>
              <w:spacing w:line="420" w:lineRule="exact"/>
              <w:ind w:right="-11"/>
              <w:jc w:val="center"/>
              <w:rPr>
                <w:rFonts w:ascii="宋体" w:hAnsi="宋体"/>
                <w:color w:val="auto"/>
                <w:sz w:val="24"/>
                <w:szCs w:val="24"/>
              </w:rPr>
            </w:pPr>
          </w:p>
        </w:tc>
        <w:tc>
          <w:tcPr>
            <w:tcW w:w="2717" w:type="dxa"/>
            <w:vAlign w:val="center"/>
          </w:tcPr>
          <w:p w14:paraId="1E5845FB">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联合体投标的须提供；未组成联合体投标的，无需提供</w:t>
            </w:r>
          </w:p>
        </w:tc>
      </w:tr>
      <w:tr w14:paraId="468C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4EE379EF">
            <w:pPr>
              <w:adjustRightInd w:val="0"/>
              <w:snapToGrid w:val="0"/>
              <w:spacing w:line="360" w:lineRule="auto"/>
              <w:ind w:right="-10"/>
              <w:jc w:val="center"/>
              <w:rPr>
                <w:rFonts w:ascii="宋体" w:hAnsi="宋体"/>
                <w:color w:val="auto"/>
                <w:sz w:val="24"/>
              </w:rPr>
            </w:pPr>
            <w:r>
              <w:rPr>
                <w:rFonts w:hint="eastAsia" w:ascii="宋体" w:hAnsi="宋体"/>
                <w:color w:val="auto"/>
                <w:sz w:val="24"/>
              </w:rPr>
              <w:t>12</w:t>
            </w:r>
          </w:p>
        </w:tc>
        <w:tc>
          <w:tcPr>
            <w:tcW w:w="1897" w:type="dxa"/>
            <w:vAlign w:val="center"/>
          </w:tcPr>
          <w:p w14:paraId="2F3461E8">
            <w:pPr>
              <w:spacing w:line="420" w:lineRule="exact"/>
              <w:ind w:right="-11"/>
              <w:jc w:val="center"/>
              <w:rPr>
                <w:rFonts w:ascii="宋体" w:hAnsi="宋体"/>
                <w:color w:val="auto"/>
                <w:sz w:val="24"/>
                <w:szCs w:val="28"/>
              </w:rPr>
            </w:pPr>
            <w:r>
              <w:rPr>
                <w:rFonts w:hint="eastAsia" w:ascii="宋体" w:hAnsi="宋体"/>
                <w:color w:val="auto"/>
                <w:sz w:val="24"/>
                <w:szCs w:val="28"/>
              </w:rPr>
              <w:t>标书响应情况</w:t>
            </w:r>
          </w:p>
        </w:tc>
        <w:tc>
          <w:tcPr>
            <w:tcW w:w="3008" w:type="dxa"/>
            <w:vAlign w:val="center"/>
          </w:tcPr>
          <w:p w14:paraId="54C10783">
            <w:pPr>
              <w:spacing w:line="420" w:lineRule="exact"/>
              <w:ind w:right="-11"/>
              <w:jc w:val="center"/>
              <w:rPr>
                <w:rFonts w:ascii="宋体" w:hAnsi="宋体"/>
                <w:color w:val="auto"/>
                <w:sz w:val="24"/>
                <w:szCs w:val="28"/>
              </w:rPr>
            </w:pPr>
          </w:p>
        </w:tc>
        <w:tc>
          <w:tcPr>
            <w:tcW w:w="819" w:type="dxa"/>
            <w:vAlign w:val="center"/>
          </w:tcPr>
          <w:p w14:paraId="3A0BE909">
            <w:pPr>
              <w:adjustRightInd w:val="0"/>
              <w:snapToGrid w:val="0"/>
              <w:spacing w:line="420" w:lineRule="exact"/>
              <w:ind w:right="-11"/>
              <w:jc w:val="center"/>
              <w:rPr>
                <w:rFonts w:ascii="宋体" w:hAnsi="宋体"/>
                <w:color w:val="auto"/>
                <w:sz w:val="24"/>
                <w:highlight w:val="none"/>
              </w:rPr>
            </w:pPr>
          </w:p>
        </w:tc>
        <w:tc>
          <w:tcPr>
            <w:tcW w:w="2717" w:type="dxa"/>
            <w:vAlign w:val="center"/>
          </w:tcPr>
          <w:p w14:paraId="6E01E7C8">
            <w:pPr>
              <w:adjustRightInd w:val="0"/>
              <w:snapToGrid w:val="0"/>
              <w:spacing w:line="420" w:lineRule="exact"/>
              <w:ind w:right="-11"/>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招标文件投标函中已明确响应招标文件全部内容。若删除此项，投标无效。</w:t>
            </w:r>
          </w:p>
        </w:tc>
      </w:tr>
      <w:tr w14:paraId="2AE3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28FC3240">
            <w:pPr>
              <w:adjustRightInd w:val="0"/>
              <w:snapToGrid w:val="0"/>
              <w:spacing w:line="360" w:lineRule="auto"/>
              <w:ind w:right="-10"/>
              <w:jc w:val="center"/>
              <w:rPr>
                <w:rFonts w:ascii="宋体" w:hAnsi="宋体"/>
                <w:color w:val="auto"/>
                <w:sz w:val="24"/>
              </w:rPr>
            </w:pPr>
            <w:r>
              <w:rPr>
                <w:rFonts w:hint="eastAsia" w:ascii="宋体" w:hAnsi="宋体"/>
                <w:color w:val="auto"/>
                <w:sz w:val="24"/>
              </w:rPr>
              <w:t>13</w:t>
            </w:r>
          </w:p>
        </w:tc>
        <w:tc>
          <w:tcPr>
            <w:tcW w:w="1897" w:type="dxa"/>
            <w:vAlign w:val="center"/>
          </w:tcPr>
          <w:p w14:paraId="33E361E7">
            <w:pPr>
              <w:spacing w:line="420" w:lineRule="exact"/>
              <w:ind w:right="-11"/>
              <w:jc w:val="center"/>
              <w:rPr>
                <w:rFonts w:ascii="宋体" w:hAnsi="宋体"/>
                <w:color w:val="auto"/>
                <w:sz w:val="24"/>
              </w:rPr>
            </w:pPr>
            <w:r>
              <w:rPr>
                <w:rFonts w:hint="eastAsia" w:ascii="宋体" w:hAnsi="宋体"/>
                <w:color w:val="auto"/>
                <w:sz w:val="24"/>
              </w:rPr>
              <w:t>标书规范性</w:t>
            </w:r>
          </w:p>
        </w:tc>
        <w:tc>
          <w:tcPr>
            <w:tcW w:w="3008" w:type="dxa"/>
            <w:vAlign w:val="center"/>
          </w:tcPr>
          <w:p w14:paraId="52F37F1A">
            <w:pPr>
              <w:pStyle w:val="84"/>
              <w:pBdr>
                <w:bottom w:val="none" w:color="auto" w:sz="0" w:space="0"/>
              </w:pBdr>
              <w:tabs>
                <w:tab w:val="clear" w:pos="4153"/>
                <w:tab w:val="clear" w:pos="8306"/>
              </w:tabs>
              <w:adjustRightInd/>
              <w:spacing w:line="420" w:lineRule="exact"/>
              <w:ind w:right="-11"/>
              <w:jc w:val="both"/>
              <w:textAlignment w:val="auto"/>
              <w:rPr>
                <w:rFonts w:ascii="宋体" w:hAnsi="宋体"/>
                <w:color w:val="auto"/>
                <w:kern w:val="2"/>
              </w:rPr>
            </w:pPr>
            <w:r>
              <w:rPr>
                <w:rFonts w:hint="eastAsia" w:ascii="宋体" w:hAnsi="宋体"/>
                <w:color w:val="auto"/>
              </w:rPr>
              <w:t>无严重的编排混乱、内容不全或字迹模糊辨认不清、前后矛盾情况，对评标无实质性影响的</w:t>
            </w:r>
          </w:p>
        </w:tc>
        <w:tc>
          <w:tcPr>
            <w:tcW w:w="819" w:type="dxa"/>
            <w:vAlign w:val="center"/>
          </w:tcPr>
          <w:p w14:paraId="20D47FBC">
            <w:pPr>
              <w:adjustRightInd w:val="0"/>
              <w:snapToGrid w:val="0"/>
              <w:spacing w:line="420" w:lineRule="exact"/>
              <w:ind w:right="-11"/>
              <w:jc w:val="center"/>
              <w:rPr>
                <w:rFonts w:ascii="宋体" w:hAnsi="宋体"/>
                <w:color w:val="auto"/>
                <w:sz w:val="24"/>
              </w:rPr>
            </w:pPr>
          </w:p>
        </w:tc>
        <w:tc>
          <w:tcPr>
            <w:tcW w:w="2717" w:type="dxa"/>
            <w:vAlign w:val="center"/>
          </w:tcPr>
          <w:p w14:paraId="54E0654C">
            <w:pPr>
              <w:adjustRightInd w:val="0"/>
              <w:snapToGrid w:val="0"/>
              <w:spacing w:line="420" w:lineRule="exact"/>
              <w:ind w:right="-11"/>
              <w:jc w:val="center"/>
              <w:rPr>
                <w:rFonts w:ascii="宋体" w:hAnsi="宋体"/>
                <w:color w:val="auto"/>
                <w:sz w:val="24"/>
              </w:rPr>
            </w:pPr>
          </w:p>
        </w:tc>
      </w:tr>
      <w:tr w14:paraId="2276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5A1FBB40">
            <w:pPr>
              <w:adjustRightInd w:val="0"/>
              <w:snapToGrid w:val="0"/>
              <w:spacing w:line="360" w:lineRule="auto"/>
              <w:ind w:right="-10"/>
              <w:jc w:val="center"/>
              <w:rPr>
                <w:rFonts w:ascii="宋体" w:hAnsi="宋体"/>
                <w:color w:val="auto"/>
                <w:sz w:val="24"/>
              </w:rPr>
            </w:pPr>
            <w:r>
              <w:rPr>
                <w:rFonts w:hint="eastAsia" w:ascii="宋体" w:hAnsi="宋体"/>
                <w:color w:val="auto"/>
                <w:sz w:val="24"/>
              </w:rPr>
              <w:t>14</w:t>
            </w:r>
          </w:p>
        </w:tc>
        <w:tc>
          <w:tcPr>
            <w:tcW w:w="1897" w:type="dxa"/>
            <w:vAlign w:val="center"/>
          </w:tcPr>
          <w:p w14:paraId="2639DF32">
            <w:pPr>
              <w:spacing w:line="420" w:lineRule="exact"/>
              <w:ind w:right="-11"/>
              <w:jc w:val="center"/>
              <w:rPr>
                <w:rFonts w:ascii="宋体" w:hAnsi="宋体"/>
                <w:color w:val="auto"/>
                <w:sz w:val="24"/>
                <w:szCs w:val="28"/>
              </w:rPr>
            </w:pPr>
            <w:r>
              <w:rPr>
                <w:rFonts w:hint="eastAsia" w:ascii="宋体" w:hAnsi="宋体"/>
                <w:color w:val="auto"/>
                <w:sz w:val="24"/>
                <w:szCs w:val="28"/>
              </w:rPr>
              <w:t>其他要求</w:t>
            </w:r>
          </w:p>
        </w:tc>
        <w:tc>
          <w:tcPr>
            <w:tcW w:w="3008" w:type="dxa"/>
            <w:vAlign w:val="center"/>
          </w:tcPr>
          <w:p w14:paraId="75C6EE34">
            <w:pPr>
              <w:spacing w:line="420" w:lineRule="exact"/>
              <w:ind w:right="-11"/>
              <w:jc w:val="center"/>
              <w:rPr>
                <w:rFonts w:ascii="宋体" w:hAnsi="宋体"/>
                <w:color w:val="auto"/>
                <w:sz w:val="24"/>
                <w:szCs w:val="28"/>
              </w:rPr>
            </w:pPr>
            <w:r>
              <w:rPr>
                <w:rFonts w:hint="eastAsia" w:ascii="宋体" w:hAnsi="宋体"/>
                <w:color w:val="auto"/>
                <w:sz w:val="24"/>
                <w:szCs w:val="28"/>
              </w:rPr>
              <w:t>上述指标中未列出，但国家相关法律法规或招标文件有明确规定的</w:t>
            </w:r>
          </w:p>
        </w:tc>
        <w:tc>
          <w:tcPr>
            <w:tcW w:w="819" w:type="dxa"/>
            <w:vAlign w:val="center"/>
          </w:tcPr>
          <w:p w14:paraId="183CC95E">
            <w:pPr>
              <w:adjustRightInd w:val="0"/>
              <w:snapToGrid w:val="0"/>
              <w:spacing w:line="420" w:lineRule="exact"/>
              <w:ind w:right="-11"/>
              <w:jc w:val="center"/>
              <w:rPr>
                <w:rFonts w:ascii="宋体" w:hAnsi="宋体"/>
                <w:color w:val="auto"/>
                <w:sz w:val="24"/>
              </w:rPr>
            </w:pPr>
          </w:p>
        </w:tc>
        <w:tc>
          <w:tcPr>
            <w:tcW w:w="2717" w:type="dxa"/>
            <w:vAlign w:val="center"/>
          </w:tcPr>
          <w:p w14:paraId="5AF29DF1">
            <w:pPr>
              <w:adjustRightInd w:val="0"/>
              <w:snapToGrid w:val="0"/>
              <w:spacing w:line="420" w:lineRule="exact"/>
              <w:ind w:right="-11"/>
              <w:jc w:val="center"/>
              <w:rPr>
                <w:rFonts w:ascii="宋体" w:hAnsi="宋体"/>
                <w:color w:val="auto"/>
                <w:sz w:val="24"/>
              </w:rPr>
            </w:pPr>
          </w:p>
        </w:tc>
      </w:tr>
      <w:tr w14:paraId="1C72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1" w:type="dxa"/>
            <w:gridSpan w:val="5"/>
            <w:vAlign w:val="center"/>
          </w:tcPr>
          <w:p w14:paraId="15AA5517">
            <w:pPr>
              <w:adjustRightInd w:val="0"/>
              <w:snapToGrid w:val="0"/>
              <w:spacing w:line="360" w:lineRule="auto"/>
              <w:ind w:right="-10"/>
              <w:jc w:val="left"/>
              <w:rPr>
                <w:rFonts w:ascii="宋体" w:hAnsi="宋体"/>
                <w:color w:val="auto"/>
                <w:sz w:val="24"/>
              </w:rPr>
            </w:pPr>
            <w:r>
              <w:rPr>
                <w:rFonts w:hint="eastAsia" w:ascii="宋体" w:hAnsi="宋体"/>
                <w:color w:val="auto"/>
                <w:sz w:val="24"/>
              </w:rPr>
              <w:t>初审指标通过标准：投标人必须通过上述全部指标。</w:t>
            </w:r>
          </w:p>
          <w:p w14:paraId="43FB2218">
            <w:pPr>
              <w:adjustRightInd w:val="0"/>
              <w:snapToGrid w:val="0"/>
              <w:spacing w:line="420" w:lineRule="exact"/>
              <w:ind w:right="-11"/>
              <w:jc w:val="left"/>
              <w:rPr>
                <w:rFonts w:ascii="宋体" w:hAnsi="宋体"/>
                <w:color w:val="auto"/>
                <w:sz w:val="24"/>
              </w:rPr>
            </w:pPr>
            <w:r>
              <w:rPr>
                <w:rFonts w:hint="eastAsia" w:ascii="宋体" w:hAnsi="宋体"/>
                <w:color w:val="auto"/>
                <w:sz w:val="24"/>
              </w:rPr>
              <w:t>评标委员会根据表中所列各项指标对投标人是否为有效标进行评审，未列入上表中的指标不得作为废标依据。</w:t>
            </w:r>
          </w:p>
        </w:tc>
      </w:tr>
    </w:tbl>
    <w:p w14:paraId="560ECDF6">
      <w:pPr>
        <w:spacing w:line="360" w:lineRule="auto"/>
        <w:ind w:firstLine="480" w:firstLineChars="200"/>
        <w:rPr>
          <w:rFonts w:ascii="宋体" w:hAnsi="宋体"/>
          <w:color w:val="auto"/>
          <w:sz w:val="24"/>
          <w:szCs w:val="24"/>
        </w:rPr>
      </w:pPr>
    </w:p>
    <w:p w14:paraId="262D16BB">
      <w:pPr>
        <w:spacing w:line="360" w:lineRule="auto"/>
        <w:ind w:firstLine="482" w:firstLineChars="200"/>
        <w:jc w:val="left"/>
        <w:rPr>
          <w:rFonts w:ascii="宋体" w:hAnsi="宋体"/>
          <w:b/>
          <w:bCs/>
          <w:color w:val="auto"/>
          <w:sz w:val="24"/>
          <w:szCs w:val="24"/>
        </w:rPr>
      </w:pPr>
      <w:r>
        <w:rPr>
          <w:rFonts w:hint="eastAsia" w:ascii="宋体" w:hAnsi="宋体"/>
          <w:b/>
          <w:bCs/>
          <w:color w:val="auto"/>
          <w:sz w:val="24"/>
          <w:szCs w:val="24"/>
        </w:rPr>
        <w:t>二、技术标详细评审</w:t>
      </w:r>
    </w:p>
    <w:p w14:paraId="2EF74770">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评标委员会将对所有通过初审的投标文件进行商务及技术文件详细评审标准</w:t>
      </w:r>
      <w:r>
        <w:rPr>
          <w:rFonts w:hint="eastAsia" w:ascii="宋体" w:hAnsi="宋体"/>
          <w:bCs/>
          <w:color w:val="auto"/>
          <w:sz w:val="24"/>
          <w:lang w:eastAsia="zh-CN"/>
        </w:rPr>
        <w:t>，</w:t>
      </w:r>
      <w:r>
        <w:rPr>
          <w:rFonts w:hint="eastAsia" w:ascii="宋体" w:hAnsi="宋体"/>
          <w:bCs/>
          <w:color w:val="auto"/>
          <w:sz w:val="24"/>
        </w:rPr>
        <w:t>具体如下：</w:t>
      </w:r>
    </w:p>
    <w:p w14:paraId="31A2E5BD">
      <w:pPr>
        <w:adjustRightInd w:val="0"/>
        <w:snapToGrid w:val="0"/>
        <w:spacing w:line="360" w:lineRule="auto"/>
        <w:ind w:right="-10" w:firstLine="422" w:firstLineChars="175"/>
        <w:rPr>
          <w:rFonts w:ascii="宋体" w:hAnsi="宋体"/>
          <w:b/>
          <w:color w:val="auto"/>
          <w:sz w:val="24"/>
        </w:rPr>
      </w:pPr>
      <w:r>
        <w:rPr>
          <w:rFonts w:hint="eastAsia" w:ascii="宋体" w:hAnsi="宋体"/>
          <w:b/>
          <w:bCs/>
          <w:color w:val="auto"/>
          <w:sz w:val="24"/>
        </w:rPr>
        <w:t>1.</w:t>
      </w:r>
      <w:r>
        <w:rPr>
          <w:rFonts w:hint="eastAsia" w:ascii="宋体" w:hAnsi="宋体"/>
          <w:b/>
          <w:color w:val="auto"/>
          <w:sz w:val="24"/>
        </w:rPr>
        <w:t>设计方案评分</w:t>
      </w:r>
    </w:p>
    <w:p w14:paraId="703C16F3">
      <w:pPr>
        <w:adjustRightInd w:val="0"/>
        <w:snapToGrid w:val="0"/>
        <w:spacing w:line="360" w:lineRule="auto"/>
        <w:ind w:right="-10" w:firstLine="480" w:firstLineChars="200"/>
        <w:rPr>
          <w:rFonts w:ascii="宋体" w:hAnsi="宋体"/>
          <w:color w:val="auto"/>
          <w:sz w:val="24"/>
        </w:rPr>
      </w:pPr>
      <w:r>
        <w:rPr>
          <w:rFonts w:ascii="宋体" w:hAnsi="宋体"/>
          <w:color w:val="auto"/>
          <w:sz w:val="24"/>
        </w:rPr>
        <w:t>1.1</w:t>
      </w:r>
      <w:r>
        <w:rPr>
          <w:rFonts w:hint="eastAsia" w:ascii="宋体" w:hAnsi="宋体"/>
          <w:color w:val="auto"/>
          <w:sz w:val="24"/>
        </w:rPr>
        <w:t>根据评分细则，评委应对进入详细评审的所有</w:t>
      </w:r>
      <w:r>
        <w:rPr>
          <w:rFonts w:hint="eastAsia" w:ascii="宋体" w:hAnsi="宋体"/>
          <w:color w:val="auto"/>
          <w:sz w:val="24"/>
          <w:lang w:val="en-US" w:eastAsia="zh-CN"/>
        </w:rPr>
        <w:t>商务技术文件</w:t>
      </w:r>
      <w:r>
        <w:rPr>
          <w:rFonts w:hint="eastAsia" w:ascii="宋体" w:hAnsi="宋体"/>
          <w:color w:val="auto"/>
          <w:sz w:val="24"/>
        </w:rPr>
        <w:t>进行评分，并分别填写打分表。</w:t>
      </w:r>
    </w:p>
    <w:p w14:paraId="140FA4A3">
      <w:pPr>
        <w:adjustRightInd w:val="0"/>
        <w:snapToGrid w:val="0"/>
        <w:spacing w:line="360" w:lineRule="auto"/>
        <w:ind w:right="-10" w:firstLine="480" w:firstLineChars="200"/>
        <w:rPr>
          <w:rFonts w:ascii="宋体" w:hAnsi="宋体"/>
          <w:color w:val="auto"/>
          <w:sz w:val="24"/>
        </w:rPr>
      </w:pPr>
      <w:r>
        <w:rPr>
          <w:rFonts w:hint="eastAsia" w:ascii="宋体" w:hAnsi="宋体"/>
          <w:color w:val="auto"/>
          <w:sz w:val="24"/>
        </w:rPr>
        <w:t>将投标人</w:t>
      </w:r>
      <w:r>
        <w:rPr>
          <w:rFonts w:hint="eastAsia" w:ascii="宋体" w:hAnsi="宋体"/>
          <w:color w:val="auto"/>
          <w:sz w:val="24"/>
          <w:lang w:val="en-US" w:eastAsia="zh-CN"/>
        </w:rPr>
        <w:t>每项</w:t>
      </w:r>
      <w:r>
        <w:rPr>
          <w:rFonts w:hint="eastAsia" w:ascii="宋体" w:hAnsi="宋体"/>
          <w:color w:val="auto"/>
          <w:sz w:val="24"/>
        </w:rPr>
        <w:t>分得分进行汇总，</w:t>
      </w:r>
      <w:r>
        <w:rPr>
          <w:rFonts w:hint="eastAsia" w:ascii="宋体" w:hAnsi="宋体"/>
          <w:color w:val="auto"/>
          <w:sz w:val="24"/>
          <w:lang w:val="en-US" w:eastAsia="zh-CN"/>
        </w:rPr>
        <w:t>平均得分</w:t>
      </w:r>
      <w:r>
        <w:rPr>
          <w:rFonts w:hint="eastAsia" w:ascii="宋体" w:hAnsi="宋体"/>
          <w:color w:val="auto"/>
          <w:sz w:val="24"/>
        </w:rPr>
        <w:t>得到该投标人的</w:t>
      </w:r>
      <w:r>
        <w:rPr>
          <w:rFonts w:hint="eastAsia" w:ascii="宋体" w:hAnsi="宋体"/>
          <w:color w:val="auto"/>
          <w:sz w:val="24"/>
          <w:lang w:val="en-US" w:eastAsia="zh-CN"/>
        </w:rPr>
        <w:t>最终分值</w:t>
      </w:r>
      <w:r>
        <w:rPr>
          <w:rFonts w:hint="eastAsia" w:ascii="宋体" w:hAnsi="宋体"/>
          <w:color w:val="auto"/>
          <w:sz w:val="24"/>
        </w:rPr>
        <w:t>。</w:t>
      </w:r>
    </w:p>
    <w:p w14:paraId="60E440FB">
      <w:pPr>
        <w:adjustRightInd w:val="0"/>
        <w:snapToGrid w:val="0"/>
        <w:spacing w:line="360" w:lineRule="auto"/>
        <w:ind w:right="-10" w:firstLine="480" w:firstLineChars="200"/>
        <w:rPr>
          <w:color w:val="auto"/>
          <w:highlight w:val="yellow"/>
        </w:rPr>
      </w:pPr>
      <w:r>
        <w:rPr>
          <w:rFonts w:hint="eastAsia" w:ascii="宋体" w:hAnsi="宋体"/>
          <w:bCs/>
          <w:color w:val="auto"/>
          <w:sz w:val="24"/>
          <w:szCs w:val="24"/>
        </w:rPr>
        <w:t>投标人的各项得分均保留小数点后两位（小数点后第三位四舍五入）。</w:t>
      </w:r>
    </w:p>
    <w:tbl>
      <w:tblPr>
        <w:tblStyle w:val="57"/>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1219"/>
        <w:gridCol w:w="6320"/>
        <w:gridCol w:w="1385"/>
      </w:tblGrid>
      <w:tr w14:paraId="0D4E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381" w:type="dxa"/>
            <w:gridSpan w:val="4"/>
            <w:vAlign w:val="center"/>
          </w:tcPr>
          <w:p w14:paraId="6EE26D40">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详细评审表</w:t>
            </w:r>
          </w:p>
        </w:tc>
      </w:tr>
      <w:tr w14:paraId="0A00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5" w:hRule="atLeast"/>
          <w:jc w:val="center"/>
        </w:trPr>
        <w:tc>
          <w:tcPr>
            <w:tcW w:w="457" w:type="dxa"/>
            <w:vAlign w:val="center"/>
          </w:tcPr>
          <w:p w14:paraId="35F2446D">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序号</w:t>
            </w:r>
          </w:p>
        </w:tc>
        <w:tc>
          <w:tcPr>
            <w:tcW w:w="1219" w:type="dxa"/>
            <w:vAlign w:val="center"/>
          </w:tcPr>
          <w:p w14:paraId="6B759410">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指标</w:t>
            </w:r>
          </w:p>
        </w:tc>
        <w:tc>
          <w:tcPr>
            <w:tcW w:w="6320" w:type="dxa"/>
            <w:vAlign w:val="center"/>
          </w:tcPr>
          <w:p w14:paraId="5D80F438">
            <w:pPr>
              <w:adjustRightInd w:val="0"/>
              <w:snapToGrid w:val="0"/>
              <w:spacing w:line="0" w:lineRule="atLeast"/>
              <w:ind w:firstLine="482" w:firstLineChars="200"/>
              <w:jc w:val="center"/>
              <w:rPr>
                <w:rFonts w:ascii="宋体" w:hAnsi="宋体"/>
                <w:b/>
                <w:color w:val="auto"/>
                <w:sz w:val="24"/>
                <w:szCs w:val="24"/>
                <w:highlight w:val="none"/>
              </w:rPr>
            </w:pPr>
            <w:r>
              <w:rPr>
                <w:rFonts w:hint="eastAsia" w:ascii="宋体" w:hAnsi="宋体"/>
                <w:b/>
                <w:color w:val="auto"/>
                <w:sz w:val="24"/>
                <w:szCs w:val="24"/>
                <w:highlight w:val="none"/>
              </w:rPr>
              <w:t>指标描述</w:t>
            </w:r>
          </w:p>
        </w:tc>
        <w:tc>
          <w:tcPr>
            <w:tcW w:w="1385" w:type="dxa"/>
            <w:vAlign w:val="center"/>
          </w:tcPr>
          <w:p w14:paraId="499F8C6E">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分值范围</w:t>
            </w:r>
          </w:p>
        </w:tc>
      </w:tr>
      <w:tr w14:paraId="1198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13611272">
            <w:pPr>
              <w:spacing w:line="0" w:lineRule="atLeast"/>
              <w:jc w:val="center"/>
              <w:rPr>
                <w:rFonts w:ascii="宋体" w:hAnsi="宋体"/>
                <w:color w:val="auto"/>
                <w:sz w:val="24"/>
                <w:highlight w:val="none"/>
              </w:rPr>
            </w:pPr>
            <w:r>
              <w:rPr>
                <w:rFonts w:hint="eastAsia" w:ascii="宋体" w:hAnsi="宋体"/>
                <w:color w:val="auto"/>
                <w:sz w:val="24"/>
                <w:highlight w:val="none"/>
              </w:rPr>
              <w:t>1</w:t>
            </w:r>
          </w:p>
        </w:tc>
        <w:tc>
          <w:tcPr>
            <w:tcW w:w="1219" w:type="dxa"/>
            <w:vAlign w:val="center"/>
          </w:tcPr>
          <w:p w14:paraId="014C7F1B">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投标人</w:t>
            </w:r>
          </w:p>
          <w:p w14:paraId="19B0D682">
            <w:pPr>
              <w:pStyle w:val="110"/>
              <w:spacing w:line="360" w:lineRule="auto"/>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信誉</w:t>
            </w:r>
          </w:p>
        </w:tc>
        <w:tc>
          <w:tcPr>
            <w:tcW w:w="6320" w:type="dxa"/>
            <w:vAlign w:val="center"/>
          </w:tcPr>
          <w:p w14:paraId="60751193">
            <w:pPr>
              <w:spacing w:line="440" w:lineRule="exact"/>
              <w:rPr>
                <w:color w:val="auto"/>
              </w:rPr>
            </w:pPr>
            <w:r>
              <w:rPr>
                <w:rFonts w:hint="eastAsia"/>
                <w:color w:val="auto"/>
              </w:rPr>
              <w:t>投标人具有经中国国家认证认可监督管理委员会认可的认证机构颁发的有效的质量管理体系认证证书、环境管理体系认证证书、职业健康安全管理体系认证证书的，每类得</w:t>
            </w:r>
            <w:r>
              <w:rPr>
                <w:rFonts w:hint="eastAsia"/>
                <w:color w:val="auto"/>
                <w:lang w:val="en-US" w:eastAsia="zh-CN"/>
              </w:rPr>
              <w:t>5</w:t>
            </w:r>
            <w:r>
              <w:rPr>
                <w:rFonts w:hint="eastAsia"/>
                <w:color w:val="auto"/>
              </w:rPr>
              <w:t>分，满分</w:t>
            </w:r>
            <w:r>
              <w:rPr>
                <w:rFonts w:hint="eastAsia"/>
                <w:color w:val="auto"/>
                <w:lang w:val="en-US" w:eastAsia="zh-CN"/>
              </w:rPr>
              <w:t>15</w:t>
            </w:r>
            <w:r>
              <w:rPr>
                <w:rFonts w:hint="eastAsia"/>
                <w:color w:val="auto"/>
              </w:rPr>
              <w:t>分。</w:t>
            </w:r>
          </w:p>
          <w:p w14:paraId="71F41C5A">
            <w:pPr>
              <w:pStyle w:val="110"/>
              <w:spacing w:line="360" w:lineRule="auto"/>
              <w:jc w:val="both"/>
              <w:rPr>
                <w:rFonts w:ascii="宋体" w:hAnsi="宋体" w:eastAsia="宋体"/>
                <w:color w:val="auto"/>
                <w:highlight w:val="none"/>
              </w:rPr>
            </w:pPr>
            <w:r>
              <w:rPr>
                <w:rFonts w:hint="eastAsia"/>
                <w:b/>
                <w:color w:val="auto"/>
              </w:rPr>
              <w:t>注：投标文件中须提供证书扫描件及全国认证认可信息公共服务平台官网证书信息查询截图。同类证书仅计分一次。</w:t>
            </w:r>
          </w:p>
        </w:tc>
        <w:tc>
          <w:tcPr>
            <w:tcW w:w="1385" w:type="dxa"/>
            <w:vAlign w:val="center"/>
          </w:tcPr>
          <w:p w14:paraId="2E7A5286">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15</w:t>
            </w:r>
            <w:r>
              <w:rPr>
                <w:rFonts w:hint="eastAsia" w:ascii="宋体" w:hAnsi="宋体" w:eastAsia="宋体"/>
                <w:color w:val="auto"/>
                <w:highlight w:val="none"/>
              </w:rPr>
              <w:t>分</w:t>
            </w:r>
          </w:p>
        </w:tc>
      </w:tr>
      <w:tr w14:paraId="7B14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457" w:type="dxa"/>
            <w:vAlign w:val="center"/>
          </w:tcPr>
          <w:p w14:paraId="14B2DE43">
            <w:pPr>
              <w:spacing w:line="0" w:lineRule="atLeast"/>
              <w:jc w:val="center"/>
              <w:rPr>
                <w:rFonts w:ascii="宋体" w:hAnsi="宋体"/>
                <w:color w:val="auto"/>
                <w:sz w:val="24"/>
                <w:highlight w:val="none"/>
              </w:rPr>
            </w:pPr>
            <w:r>
              <w:rPr>
                <w:rFonts w:hint="eastAsia" w:ascii="宋体" w:hAnsi="宋体"/>
                <w:color w:val="auto"/>
                <w:sz w:val="24"/>
                <w:highlight w:val="none"/>
              </w:rPr>
              <w:t>2</w:t>
            </w:r>
          </w:p>
        </w:tc>
        <w:tc>
          <w:tcPr>
            <w:tcW w:w="1219" w:type="dxa"/>
            <w:vAlign w:val="center"/>
          </w:tcPr>
          <w:p w14:paraId="43E83730">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投标人</w:t>
            </w:r>
          </w:p>
          <w:p w14:paraId="72445773">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荣誉</w:t>
            </w:r>
          </w:p>
        </w:tc>
        <w:tc>
          <w:tcPr>
            <w:tcW w:w="6320" w:type="dxa"/>
          </w:tcPr>
          <w:p w14:paraId="7B428EAF">
            <w:pPr>
              <w:numPr>
                <w:ilvl w:val="0"/>
                <w:numId w:val="0"/>
              </w:numPr>
              <w:spacing w:line="440" w:lineRule="exact"/>
              <w:rPr>
                <w:rFonts w:hint="eastAsia"/>
                <w:color w:val="auto"/>
                <w:lang w:val="en-US" w:eastAsia="zh-CN"/>
              </w:rPr>
            </w:pPr>
            <w:r>
              <w:rPr>
                <w:rFonts w:hint="eastAsia"/>
                <w:color w:val="auto"/>
                <w:highlight w:val="none"/>
              </w:rPr>
              <w:t>自</w:t>
            </w:r>
            <w:r>
              <w:rPr>
                <w:rFonts w:hint="eastAsia"/>
                <w:color w:val="auto"/>
                <w:highlight w:val="none"/>
                <w:lang w:eastAsia="zh-CN"/>
              </w:rPr>
              <w:t>202</w:t>
            </w:r>
            <w:r>
              <w:rPr>
                <w:rFonts w:hint="eastAsia"/>
                <w:color w:val="auto"/>
                <w:highlight w:val="none"/>
                <w:lang w:val="en-US" w:eastAsia="zh-CN"/>
              </w:rPr>
              <w:t>1</w:t>
            </w:r>
            <w:r>
              <w:rPr>
                <w:rFonts w:hint="eastAsia"/>
                <w:color w:val="auto"/>
                <w:highlight w:val="none"/>
              </w:rPr>
              <w:t>年1月1日以来（以</w:t>
            </w:r>
            <w:r>
              <w:rPr>
                <w:rFonts w:hint="eastAsia"/>
                <w:color w:val="auto"/>
              </w:rPr>
              <w:t>颁奖时间为准），投标人获得过</w:t>
            </w:r>
            <w:r>
              <w:rPr>
                <w:rFonts w:hint="eastAsia"/>
                <w:color w:val="auto"/>
                <w:lang w:val="en-US" w:eastAsia="zh-CN"/>
              </w:rPr>
              <w:t>以下任意一种奖项荣誉的，得10分，满分10分；</w:t>
            </w:r>
          </w:p>
          <w:p w14:paraId="352A62E0">
            <w:pPr>
              <w:numPr>
                <w:ilvl w:val="0"/>
                <w:numId w:val="6"/>
              </w:numPr>
              <w:spacing w:line="440" w:lineRule="exact"/>
              <w:rPr>
                <w:rFonts w:hint="eastAsia"/>
                <w:color w:val="auto"/>
              </w:rPr>
            </w:pPr>
            <w:r>
              <w:rPr>
                <w:rFonts w:hint="eastAsia"/>
                <w:color w:val="auto"/>
              </w:rPr>
              <w:t>行政主管部门或在国内依法登记注册的行业协会（或学会）颁发的先进监理企业或优秀监理企业称号：</w:t>
            </w:r>
            <w:r>
              <w:rPr>
                <w:rFonts w:hint="eastAsia" w:eastAsia="宋体"/>
                <w:color w:val="auto"/>
                <w:lang w:val="en-US" w:eastAsia="zh-CN"/>
              </w:rPr>
              <w:t>地市</w:t>
            </w:r>
            <w:r>
              <w:rPr>
                <w:rFonts w:hint="eastAsia"/>
                <w:color w:val="auto"/>
              </w:rPr>
              <w:t>级及以上的；</w:t>
            </w:r>
          </w:p>
          <w:p w14:paraId="7C8BAC3C">
            <w:pPr>
              <w:numPr>
                <w:ilvl w:val="0"/>
                <w:numId w:val="6"/>
              </w:numPr>
              <w:spacing w:line="440" w:lineRule="exact"/>
              <w:rPr>
                <w:rFonts w:hint="default" w:eastAsia="宋体"/>
                <w:color w:val="auto"/>
                <w:lang w:val="en-US" w:eastAsia="zh-CN"/>
              </w:rPr>
            </w:pPr>
            <w:r>
              <w:rPr>
                <w:rFonts w:hint="eastAsia"/>
                <w:color w:val="auto"/>
              </w:rPr>
              <w:t>投标人所监理的房屋建筑工程项目获得行政主管部门或在国内依法登记注册的协会（或学会）颁发的安全文明标准化工地（或安全文明示范工地或建筑安全生产标准化示范工地）称号：</w:t>
            </w:r>
            <w:r>
              <w:rPr>
                <w:rFonts w:hint="eastAsia"/>
                <w:color w:val="auto"/>
                <w:lang w:val="en-US" w:eastAsia="zh-CN"/>
              </w:rPr>
              <w:t>地市</w:t>
            </w:r>
            <w:r>
              <w:rPr>
                <w:rFonts w:hint="eastAsia"/>
                <w:color w:val="auto"/>
              </w:rPr>
              <w:t>级及以上的</w:t>
            </w:r>
            <w:r>
              <w:rPr>
                <w:rFonts w:hint="eastAsia"/>
                <w:color w:val="auto"/>
                <w:lang w:eastAsia="zh-CN"/>
              </w:rPr>
              <w:t>；</w:t>
            </w:r>
          </w:p>
          <w:p w14:paraId="7DB37CE5">
            <w:pPr>
              <w:numPr>
                <w:ilvl w:val="0"/>
                <w:numId w:val="6"/>
              </w:numPr>
              <w:spacing w:line="440" w:lineRule="exact"/>
              <w:rPr>
                <w:rFonts w:hint="default" w:eastAsia="宋体"/>
                <w:color w:val="auto"/>
                <w:lang w:val="en-US" w:eastAsia="zh-CN"/>
              </w:rPr>
            </w:pPr>
            <w:r>
              <w:rPr>
                <w:rFonts w:hint="eastAsia"/>
                <w:color w:val="auto"/>
              </w:rPr>
              <w:t>投标人所监理的房屋建筑工程获得行业主管部门或在国内依法登记注册的行业协会（或学会）颁发的优质工程奖项的</w:t>
            </w:r>
            <w:r>
              <w:rPr>
                <w:rFonts w:hint="eastAsia"/>
                <w:color w:val="auto"/>
                <w:lang w:eastAsia="zh-CN"/>
              </w:rPr>
              <w:t>，</w:t>
            </w:r>
            <w:r>
              <w:rPr>
                <w:rFonts w:hint="eastAsia"/>
                <w:color w:val="auto"/>
                <w:lang w:val="en-US" w:eastAsia="zh-CN"/>
              </w:rPr>
              <w:t>地市</w:t>
            </w:r>
            <w:r>
              <w:rPr>
                <w:rFonts w:hint="eastAsia"/>
                <w:color w:val="auto"/>
              </w:rPr>
              <w:t>级及以上的</w:t>
            </w:r>
            <w:r>
              <w:rPr>
                <w:rFonts w:hint="eastAsia"/>
                <w:color w:val="auto"/>
                <w:lang w:val="en-US" w:eastAsia="zh-CN"/>
              </w:rPr>
              <w:t>.</w:t>
            </w:r>
          </w:p>
          <w:p w14:paraId="71ED8170">
            <w:pPr>
              <w:numPr>
                <w:ilvl w:val="0"/>
                <w:numId w:val="0"/>
              </w:numPr>
              <w:spacing w:line="440" w:lineRule="exact"/>
              <w:rPr>
                <w:rFonts w:hint="eastAsia"/>
                <w:b/>
                <w:bCs/>
                <w:color w:val="auto"/>
              </w:rPr>
            </w:pPr>
            <w:r>
              <w:rPr>
                <w:rFonts w:hint="eastAsia" w:ascii="宋体" w:hAnsi="宋体" w:cs="宋体"/>
                <w:b/>
                <w:color w:val="auto"/>
                <w:szCs w:val="21"/>
              </w:rPr>
              <w:t>注:</w:t>
            </w:r>
          </w:p>
          <w:p w14:paraId="702F6175">
            <w:pPr>
              <w:pStyle w:val="21"/>
              <w:spacing w:after="0" w:line="440" w:lineRule="exact"/>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（1）投标文件中提供获奖项目监理合同扫描件，此项仅适用于2、3；</w:t>
            </w:r>
          </w:p>
          <w:p w14:paraId="5A1CC4FB">
            <w:pPr>
              <w:pStyle w:val="21"/>
              <w:spacing w:after="0" w:line="440" w:lineRule="exact"/>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（2）投标文件中提供颁奖单位的颁奖文件（颁奖文件不含荣誉证书、奖杯、奖牌、奖状）或颁奖单位官网文件的截图；</w:t>
            </w:r>
          </w:p>
          <w:p w14:paraId="6050EC3C">
            <w:pPr>
              <w:spacing w:line="440" w:lineRule="exact"/>
              <w:rPr>
                <w:rFonts w:hint="eastAsia" w:ascii="宋体" w:hAnsi="宋体" w:cs="宋体"/>
                <w:b/>
                <w:color w:val="auto"/>
                <w:szCs w:val="21"/>
              </w:rPr>
            </w:pPr>
            <w:r>
              <w:rPr>
                <w:rFonts w:hint="eastAsia"/>
                <w:b/>
                <w:color w:val="auto"/>
              </w:rPr>
              <w:t>（3）</w:t>
            </w:r>
            <w:r>
              <w:rPr>
                <w:rFonts w:hint="eastAsia" w:ascii="宋体" w:hAnsi="宋体" w:cs="宋体"/>
                <w:b/>
                <w:color w:val="auto"/>
                <w:szCs w:val="21"/>
              </w:rPr>
              <w:t>“国内依法登记注册”以中国社会组织政务服务平台中“全国社会组织信用信息公示平台（试运行）”查询结果为准。针对国内依法登记注册的行业协会（或学会）颁发的奖项、荣誉，投标文件中须提供该协会在中国社会组织政务服务平台中“全国社会组织信用信息公示平台（试运行）”查询结果截图。民政部公布的“离岸社团”、“山寨社团”或中国社会组织政务服务平台中“全国社会组织信用信息公示平台（试运行）”公示的“涉嫌非法社会组织”颁发的荣誉、奖励均无效。</w:t>
            </w:r>
          </w:p>
          <w:p w14:paraId="14110F2B">
            <w:pPr>
              <w:spacing w:line="440" w:lineRule="exact"/>
              <w:rPr>
                <w:rFonts w:hint="eastAsia"/>
                <w:b/>
                <w:color w:val="auto"/>
              </w:rPr>
            </w:pPr>
            <w:r>
              <w:rPr>
                <w:rFonts w:hint="eastAsia" w:hAnsi="宋体" w:cs="宋体"/>
                <w:b/>
                <w:color w:val="auto"/>
                <w:szCs w:val="21"/>
              </w:rPr>
              <w:t>（4）</w:t>
            </w:r>
            <w:r>
              <w:rPr>
                <w:rFonts w:hint="eastAsia"/>
                <w:b/>
                <w:color w:val="auto"/>
              </w:rPr>
              <w:t>针对鲁班奖，符合以下任一条件均可：</w:t>
            </w:r>
          </w:p>
          <w:p w14:paraId="78A4619A">
            <w:pPr>
              <w:spacing w:line="440" w:lineRule="exact"/>
              <w:rPr>
                <w:rFonts w:hint="eastAsia"/>
                <w:b/>
                <w:color w:val="auto"/>
              </w:rPr>
            </w:pPr>
            <w:r>
              <w:rPr>
                <w:rFonts w:hint="eastAsia"/>
                <w:b/>
                <w:color w:val="auto"/>
              </w:rPr>
              <w:t>a.提供中国建筑业协会颁奖文件或中国建筑业协会官网文件截图，同时通过业绩合同体现投标人为获奖工程的监理单位即可；</w:t>
            </w:r>
          </w:p>
          <w:p w14:paraId="14E2CC05">
            <w:pPr>
              <w:spacing w:line="440" w:lineRule="exact"/>
              <w:rPr>
                <w:rFonts w:hint="default" w:ascii="宋体" w:hAnsi="宋体" w:eastAsia="宋体"/>
                <w:color w:val="auto"/>
                <w:highlight w:val="none"/>
                <w:lang w:val="en-US" w:eastAsia="zh-CN"/>
              </w:rPr>
            </w:pPr>
            <w:r>
              <w:rPr>
                <w:rFonts w:hint="eastAsia"/>
                <w:b/>
                <w:color w:val="auto"/>
              </w:rPr>
              <w:t>b.提供中国建设监理协会颁奖文件或中国建设监理协会颁奖文件官网截图，且颁奖文件或截图中须体现出投标人名称及其监理项目名称；</w:t>
            </w:r>
          </w:p>
        </w:tc>
        <w:tc>
          <w:tcPr>
            <w:tcW w:w="1385" w:type="dxa"/>
            <w:vAlign w:val="center"/>
          </w:tcPr>
          <w:p w14:paraId="7DE799F7">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10</w:t>
            </w:r>
            <w:r>
              <w:rPr>
                <w:rFonts w:hint="eastAsia" w:ascii="宋体" w:hAnsi="宋体" w:eastAsia="宋体"/>
                <w:color w:val="auto"/>
                <w:highlight w:val="none"/>
              </w:rPr>
              <w:t>分</w:t>
            </w:r>
          </w:p>
        </w:tc>
      </w:tr>
      <w:tr w14:paraId="7C8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457" w:type="dxa"/>
            <w:vAlign w:val="center"/>
          </w:tcPr>
          <w:p w14:paraId="65AD359B">
            <w:pPr>
              <w:spacing w:line="0" w:lineRule="atLeast"/>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1219" w:type="dxa"/>
            <w:vAlign w:val="center"/>
          </w:tcPr>
          <w:p w14:paraId="10F30708">
            <w:pPr>
              <w:pStyle w:val="110"/>
              <w:spacing w:line="360" w:lineRule="auto"/>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投标人</w:t>
            </w:r>
          </w:p>
          <w:p w14:paraId="3FF60FCB">
            <w:pPr>
              <w:pStyle w:val="110"/>
              <w:spacing w:line="360" w:lineRule="auto"/>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业绩</w:t>
            </w:r>
          </w:p>
        </w:tc>
        <w:tc>
          <w:tcPr>
            <w:tcW w:w="6320" w:type="dxa"/>
          </w:tcPr>
          <w:p w14:paraId="0E89EE5D">
            <w:pPr>
              <w:spacing w:line="460" w:lineRule="exact"/>
              <w:rPr>
                <w:rFonts w:hint="eastAsia" w:ascii="Times New Roman" w:hAnsi="Times New Roman"/>
                <w:bCs/>
                <w:snapToGrid w:val="0"/>
                <w:color w:val="auto"/>
                <w:kern w:val="0"/>
                <w:szCs w:val="21"/>
                <w:highlight w:val="none"/>
              </w:rPr>
            </w:pPr>
            <w:r>
              <w:rPr>
                <w:rFonts w:hint="eastAsia" w:ascii="Times New Roman" w:hAnsi="Times New Roman"/>
                <w:bCs/>
                <w:snapToGrid w:val="0"/>
                <w:color w:val="auto"/>
                <w:kern w:val="0"/>
                <w:szCs w:val="21"/>
                <w:highlight w:val="none"/>
                <w:lang w:val="en-US" w:eastAsia="zh-CN"/>
              </w:rPr>
              <w:t>自2021年1月1日以来（以竣工时间为准），投标人拟须具有单个合同工程总投资额不低于900万元的公共建筑工程（包含体育场馆内容，工业厂房业绩不予认可）监理业绩</w:t>
            </w:r>
            <w:r>
              <w:rPr>
                <w:rFonts w:hint="eastAsia" w:ascii="Times New Roman" w:hAnsi="Times New Roman"/>
                <w:bCs/>
                <w:snapToGrid w:val="0"/>
                <w:color w:val="auto"/>
                <w:kern w:val="0"/>
                <w:szCs w:val="21"/>
                <w:highlight w:val="none"/>
              </w:rPr>
              <w:t>。每个</w:t>
            </w:r>
            <w:r>
              <w:rPr>
                <w:rFonts w:hint="eastAsia" w:ascii="Times New Roman" w:hAnsi="Times New Roman"/>
                <w:bCs/>
                <w:snapToGrid w:val="0"/>
                <w:color w:val="auto"/>
                <w:kern w:val="0"/>
                <w:szCs w:val="21"/>
                <w:highlight w:val="none"/>
                <w:lang w:val="en-US" w:eastAsia="zh-CN"/>
              </w:rPr>
              <w:t>10</w:t>
            </w:r>
            <w:r>
              <w:rPr>
                <w:rFonts w:hint="eastAsia" w:ascii="Times New Roman" w:hAnsi="Times New Roman"/>
                <w:bCs/>
                <w:snapToGrid w:val="0"/>
                <w:color w:val="auto"/>
                <w:kern w:val="0"/>
                <w:szCs w:val="21"/>
                <w:highlight w:val="none"/>
              </w:rPr>
              <w:t>分，满分</w:t>
            </w:r>
            <w:r>
              <w:rPr>
                <w:rFonts w:hint="eastAsia" w:ascii="Times New Roman" w:hAnsi="Times New Roman"/>
                <w:bCs/>
                <w:snapToGrid w:val="0"/>
                <w:color w:val="auto"/>
                <w:kern w:val="0"/>
                <w:szCs w:val="21"/>
                <w:highlight w:val="none"/>
                <w:lang w:val="en-US" w:eastAsia="zh-CN"/>
              </w:rPr>
              <w:t>30</w:t>
            </w:r>
            <w:r>
              <w:rPr>
                <w:rFonts w:hint="eastAsia" w:ascii="Times New Roman" w:hAnsi="Times New Roman"/>
                <w:bCs/>
                <w:snapToGrid w:val="0"/>
                <w:color w:val="auto"/>
                <w:kern w:val="0"/>
                <w:szCs w:val="21"/>
                <w:highlight w:val="none"/>
              </w:rPr>
              <w:t>分。</w:t>
            </w:r>
          </w:p>
          <w:p w14:paraId="07B4C977">
            <w:pPr>
              <w:spacing w:line="460" w:lineRule="exact"/>
              <w:rPr>
                <w:rFonts w:hint="eastAsia" w:ascii="宋体" w:hAnsi="宋体" w:cs="宋体"/>
                <w:b/>
                <w:bCs/>
                <w:color w:val="auto"/>
                <w:highlight w:val="none"/>
              </w:rPr>
            </w:pPr>
            <w:r>
              <w:rPr>
                <w:rFonts w:hint="eastAsia" w:ascii="宋体" w:hAnsi="宋体" w:cs="宋体"/>
                <w:b/>
                <w:bCs/>
                <w:color w:val="auto"/>
                <w:highlight w:val="none"/>
              </w:rPr>
              <w:t>注：（1）评标委员会认可的投标人资格审查业绩不予加分；</w:t>
            </w:r>
          </w:p>
          <w:p w14:paraId="78A3AA26">
            <w:pPr>
              <w:spacing w:line="460" w:lineRule="exact"/>
              <w:rPr>
                <w:rFonts w:ascii="宋体" w:hAnsi="宋体" w:eastAsia="宋体"/>
                <w:color w:val="auto"/>
                <w:highlight w:val="yellow"/>
              </w:rPr>
            </w:pPr>
            <w:r>
              <w:rPr>
                <w:rFonts w:hint="eastAsia" w:ascii="宋体" w:hAnsi="宋体" w:cs="宋体"/>
                <w:b/>
                <w:bCs/>
                <w:color w:val="auto"/>
                <w:highlight w:val="none"/>
              </w:rPr>
              <w:t>（2）投标文件中须提供业绩证明材料，业绩证明材料要求详见投标人须知表。</w:t>
            </w:r>
          </w:p>
        </w:tc>
        <w:tc>
          <w:tcPr>
            <w:tcW w:w="1385" w:type="dxa"/>
            <w:vAlign w:val="center"/>
          </w:tcPr>
          <w:p w14:paraId="41ADCDB2">
            <w:pPr>
              <w:pStyle w:val="110"/>
              <w:spacing w:line="360" w:lineRule="auto"/>
              <w:jc w:val="center"/>
              <w:rPr>
                <w:rFonts w:hint="default" w:ascii="宋体" w:hAnsi="宋体" w:eastAsia="宋体"/>
                <w:color w:val="auto"/>
                <w:highlight w:val="yellow"/>
                <w:lang w:val="en-US" w:eastAsia="zh-CN"/>
              </w:rPr>
            </w:pPr>
            <w:r>
              <w:rPr>
                <w:rFonts w:hint="eastAsia" w:ascii="宋体" w:hAnsi="宋体" w:eastAsia="宋体"/>
                <w:color w:val="auto"/>
                <w:highlight w:val="none"/>
                <w:lang w:val="en-US" w:eastAsia="zh-CN"/>
              </w:rPr>
              <w:t>0-30分</w:t>
            </w:r>
          </w:p>
        </w:tc>
      </w:tr>
      <w:tr w14:paraId="0C01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457" w:type="dxa"/>
            <w:vAlign w:val="center"/>
          </w:tcPr>
          <w:p w14:paraId="019D64A6">
            <w:pPr>
              <w:spacing w:line="0" w:lineRule="atLeast"/>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4</w:t>
            </w:r>
          </w:p>
        </w:tc>
        <w:tc>
          <w:tcPr>
            <w:tcW w:w="1219" w:type="dxa"/>
            <w:vAlign w:val="center"/>
          </w:tcPr>
          <w:p w14:paraId="482AC974">
            <w:pPr>
              <w:pStyle w:val="110"/>
              <w:spacing w:line="360" w:lineRule="auto"/>
              <w:jc w:val="center"/>
              <w:rPr>
                <w:rFonts w:hint="default" w:ascii="宋体" w:hAnsi="宋体" w:eastAsia="宋体"/>
                <w:color w:val="auto"/>
                <w:highlight w:val="none"/>
                <w:lang w:val="en-US" w:eastAsia="zh-CN"/>
              </w:rPr>
            </w:pPr>
            <w:r>
              <w:rPr>
                <w:rFonts w:hint="eastAsia" w:ascii="Times New Roman" w:hAnsi="Times New Roman"/>
                <w:color w:val="auto"/>
                <w:szCs w:val="21"/>
              </w:rPr>
              <w:t>监理内容重点，制度及具体措施</w:t>
            </w:r>
          </w:p>
        </w:tc>
        <w:tc>
          <w:tcPr>
            <w:tcW w:w="6320" w:type="dxa"/>
          </w:tcPr>
          <w:p w14:paraId="482AD78D">
            <w:pPr>
              <w:spacing w:line="440" w:lineRule="exact"/>
              <w:rPr>
                <w:rFonts w:hint="eastAsia" w:ascii="Times New Roman" w:hAnsi="Times New Roman"/>
                <w:color w:val="auto"/>
              </w:rPr>
            </w:pPr>
            <w:r>
              <w:rPr>
                <w:rFonts w:hint="eastAsia" w:ascii="Times New Roman" w:hAnsi="Times New Roman"/>
                <w:color w:val="auto"/>
              </w:rPr>
              <w:t>监理大纲内容全面、重点突出，制度健全，有具体措施。</w:t>
            </w:r>
          </w:p>
          <w:p w14:paraId="408DAA64">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方案合理性、可行性、针对性强，得10分；</w:t>
            </w:r>
          </w:p>
          <w:p w14:paraId="2F6CF53E">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方案合理性、可行性、针对性较强，得</w:t>
            </w:r>
            <w:r>
              <w:rPr>
                <w:rFonts w:hint="eastAsia" w:ascii="Times New Roman" w:hAnsi="Times New Roman"/>
                <w:color w:val="auto"/>
              </w:rPr>
              <w:t>7≤F＜10</w:t>
            </w:r>
            <w:r>
              <w:rPr>
                <w:rFonts w:hint="eastAsia" w:ascii="宋体" w:hAnsi="宋体" w:cs="宋体"/>
                <w:color w:val="auto"/>
                <w:kern w:val="0"/>
                <w:szCs w:val="21"/>
                <w:lang w:bidi="ar"/>
              </w:rPr>
              <w:t>分；</w:t>
            </w:r>
          </w:p>
          <w:p w14:paraId="4B84D834">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方案合理性、可行性、针对性一般，得3</w:t>
            </w:r>
            <w:r>
              <w:rPr>
                <w:rFonts w:hint="eastAsia" w:ascii="Times New Roman" w:hAnsi="Times New Roman"/>
                <w:color w:val="auto"/>
              </w:rPr>
              <w:t>≤F＜7</w:t>
            </w:r>
            <w:r>
              <w:rPr>
                <w:rFonts w:hint="eastAsia" w:ascii="宋体" w:hAnsi="宋体" w:cs="宋体"/>
                <w:color w:val="auto"/>
                <w:kern w:val="0"/>
                <w:szCs w:val="21"/>
                <w:lang w:bidi="ar"/>
              </w:rPr>
              <w:t>分；</w:t>
            </w:r>
          </w:p>
          <w:p w14:paraId="0D3CD1B6">
            <w:pPr>
              <w:pStyle w:val="110"/>
              <w:spacing w:line="360" w:lineRule="auto"/>
              <w:jc w:val="both"/>
              <w:rPr>
                <w:rFonts w:hint="default" w:ascii="宋体" w:hAnsi="宋体" w:eastAsia="宋体"/>
                <w:color w:val="auto"/>
                <w:highlight w:val="none"/>
                <w:lang w:val="en-US" w:eastAsia="zh-CN"/>
              </w:rPr>
            </w:pPr>
            <w:r>
              <w:rPr>
                <w:rFonts w:hint="eastAsia" w:ascii="Times New Roman" w:hAnsi="Times New Roman"/>
                <w:color w:val="auto"/>
              </w:rPr>
              <w:t>内容未提供或无任何针对性、可行性，该小项不得分。</w:t>
            </w:r>
          </w:p>
        </w:tc>
        <w:tc>
          <w:tcPr>
            <w:tcW w:w="1385" w:type="dxa"/>
            <w:vAlign w:val="center"/>
          </w:tcPr>
          <w:p w14:paraId="117A2CC8">
            <w:pPr>
              <w:pStyle w:val="110"/>
              <w:spacing w:line="360" w:lineRule="auto"/>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0-10分</w:t>
            </w:r>
          </w:p>
        </w:tc>
      </w:tr>
      <w:tr w14:paraId="637D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1" w:hRule="atLeast"/>
          <w:jc w:val="center"/>
        </w:trPr>
        <w:tc>
          <w:tcPr>
            <w:tcW w:w="457" w:type="dxa"/>
            <w:vAlign w:val="center"/>
          </w:tcPr>
          <w:p w14:paraId="40C6592C">
            <w:pPr>
              <w:spacing w:line="0" w:lineRule="atLeast"/>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5</w:t>
            </w:r>
          </w:p>
        </w:tc>
        <w:tc>
          <w:tcPr>
            <w:tcW w:w="1219" w:type="dxa"/>
            <w:vAlign w:val="center"/>
          </w:tcPr>
          <w:p w14:paraId="74FB0963">
            <w:pPr>
              <w:pStyle w:val="110"/>
              <w:spacing w:line="360" w:lineRule="auto"/>
              <w:ind w:left="240" w:hanging="240" w:hangingChars="100"/>
              <w:jc w:val="left"/>
              <w:rPr>
                <w:rFonts w:hint="default" w:ascii="宋体" w:hAnsi="宋体" w:eastAsia="宋体"/>
                <w:color w:val="auto"/>
                <w:highlight w:val="none"/>
                <w:lang w:val="en-US" w:eastAsia="zh-CN"/>
              </w:rPr>
            </w:pPr>
            <w:r>
              <w:rPr>
                <w:rFonts w:hint="eastAsia" w:ascii="Times New Roman" w:hAnsi="Times New Roman" w:eastAsia="宋体"/>
                <w:color w:val="auto"/>
                <w:lang w:val="en-US" w:eastAsia="zh-CN"/>
              </w:rPr>
              <w:t>质量控制措施</w:t>
            </w:r>
          </w:p>
        </w:tc>
        <w:tc>
          <w:tcPr>
            <w:tcW w:w="6320" w:type="dxa"/>
          </w:tcPr>
          <w:p w14:paraId="391BCED2">
            <w:pPr>
              <w:spacing w:line="440" w:lineRule="exact"/>
              <w:rPr>
                <w:rFonts w:hint="eastAsia" w:ascii="Times New Roman" w:hAnsi="Times New Roman"/>
                <w:color w:val="auto"/>
              </w:rPr>
            </w:pPr>
            <w:r>
              <w:rPr>
                <w:rFonts w:hint="eastAsia" w:ascii="Times New Roman" w:hAnsi="Times New Roman"/>
                <w:color w:val="auto"/>
              </w:rPr>
              <w:t>工程质量控制措施。</w:t>
            </w:r>
          </w:p>
          <w:p w14:paraId="708FA323">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合理性、可行性、针对性强，得10分；</w:t>
            </w:r>
          </w:p>
          <w:p w14:paraId="01B7564E">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合理性、可行性、针对性较强，得</w:t>
            </w:r>
            <w:r>
              <w:rPr>
                <w:rFonts w:hint="eastAsia" w:ascii="Times New Roman" w:hAnsi="Times New Roman"/>
                <w:color w:val="auto"/>
              </w:rPr>
              <w:t>7≤F＜10</w:t>
            </w:r>
            <w:r>
              <w:rPr>
                <w:rFonts w:hint="eastAsia" w:ascii="宋体" w:hAnsi="宋体" w:cs="宋体"/>
                <w:color w:val="auto"/>
                <w:kern w:val="0"/>
                <w:szCs w:val="21"/>
                <w:lang w:bidi="ar"/>
              </w:rPr>
              <w:t>分；</w:t>
            </w:r>
          </w:p>
          <w:p w14:paraId="3610C3C4">
            <w:pPr>
              <w:spacing w:line="440" w:lineRule="exact"/>
              <w:rPr>
                <w:rFonts w:ascii="宋体" w:hAnsi="宋体" w:eastAsia="宋体"/>
                <w:color w:val="auto"/>
                <w:highlight w:val="none"/>
              </w:rPr>
            </w:pPr>
            <w:r>
              <w:rPr>
                <w:rFonts w:hint="eastAsia" w:ascii="Times New Roman" w:hAnsi="Times New Roman"/>
                <w:color w:val="auto"/>
              </w:rPr>
              <w:t>措施</w:t>
            </w:r>
            <w:r>
              <w:rPr>
                <w:rFonts w:hint="eastAsia" w:ascii="宋体" w:hAnsi="宋体" w:cs="宋体"/>
                <w:color w:val="auto"/>
                <w:kern w:val="0"/>
                <w:szCs w:val="21"/>
                <w:lang w:bidi="ar"/>
              </w:rPr>
              <w:t>合理性、可行性、针对性一般，得</w:t>
            </w:r>
            <w:r>
              <w:rPr>
                <w:rFonts w:hint="eastAsia" w:ascii="Times New Roman" w:hAnsi="Times New Roman"/>
                <w:color w:val="auto"/>
              </w:rPr>
              <w:t>3≤F＜7</w:t>
            </w:r>
            <w:r>
              <w:rPr>
                <w:rFonts w:hint="eastAsia" w:ascii="宋体" w:hAnsi="宋体" w:cs="宋体"/>
                <w:color w:val="auto"/>
                <w:kern w:val="0"/>
                <w:szCs w:val="21"/>
                <w:lang w:bidi="ar"/>
              </w:rPr>
              <w:t>分；</w:t>
            </w:r>
          </w:p>
        </w:tc>
        <w:tc>
          <w:tcPr>
            <w:tcW w:w="1385" w:type="dxa"/>
            <w:vAlign w:val="center"/>
          </w:tcPr>
          <w:p w14:paraId="22176AC8">
            <w:pPr>
              <w:pStyle w:val="110"/>
              <w:spacing w:line="360" w:lineRule="auto"/>
              <w:jc w:val="center"/>
              <w:rPr>
                <w:rFonts w:ascii="Cambria Math" w:hAnsi="Cambria Math"/>
                <w:b/>
                <w:bCs/>
                <w:color w:val="auto"/>
                <w:highlight w:val="none"/>
              </w:rPr>
            </w:pPr>
            <w:r>
              <w:rPr>
                <w:rFonts w:hint="eastAsia" w:ascii="宋体" w:hAnsi="宋体" w:eastAsia="宋体"/>
                <w:color w:val="auto"/>
                <w:highlight w:val="none"/>
              </w:rPr>
              <w:t>0-1</w:t>
            </w:r>
            <w:r>
              <w:rPr>
                <w:rFonts w:hint="eastAsia" w:ascii="宋体" w:hAnsi="宋体" w:eastAsia="宋体"/>
                <w:color w:val="auto"/>
                <w:highlight w:val="none"/>
                <w:lang w:val="en-US" w:eastAsia="zh-CN"/>
              </w:rPr>
              <w:t>0</w:t>
            </w:r>
            <w:r>
              <w:rPr>
                <w:rFonts w:hint="eastAsia" w:ascii="宋体" w:hAnsi="宋体" w:eastAsia="宋体"/>
                <w:color w:val="auto"/>
                <w:highlight w:val="none"/>
              </w:rPr>
              <w:t>分</w:t>
            </w:r>
          </w:p>
        </w:tc>
      </w:tr>
      <w:tr w14:paraId="315A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1D9B2B7A">
            <w:pPr>
              <w:spacing w:line="0" w:lineRule="atLeast"/>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6</w:t>
            </w:r>
          </w:p>
        </w:tc>
        <w:tc>
          <w:tcPr>
            <w:tcW w:w="1219" w:type="dxa"/>
            <w:vAlign w:val="center"/>
          </w:tcPr>
          <w:p w14:paraId="28F55B29">
            <w:pPr>
              <w:pStyle w:val="110"/>
              <w:spacing w:line="360" w:lineRule="auto"/>
              <w:jc w:val="both"/>
              <w:rPr>
                <w:rFonts w:ascii="宋体" w:hAnsi="宋体" w:eastAsia="宋体"/>
                <w:color w:val="auto"/>
                <w:highlight w:val="none"/>
              </w:rPr>
            </w:pPr>
            <w:r>
              <w:rPr>
                <w:rFonts w:hint="eastAsia" w:ascii="Times New Roman" w:hAnsi="Times New Roman"/>
                <w:color w:val="auto"/>
              </w:rPr>
              <w:t>文明施工、安全生产的控制措施</w:t>
            </w:r>
          </w:p>
        </w:tc>
        <w:tc>
          <w:tcPr>
            <w:tcW w:w="6320" w:type="dxa"/>
          </w:tcPr>
          <w:p w14:paraId="7B695699">
            <w:pPr>
              <w:spacing w:line="440" w:lineRule="exact"/>
              <w:rPr>
                <w:rFonts w:hint="eastAsia" w:ascii="Times New Roman" w:hAnsi="Times New Roman"/>
                <w:color w:val="auto"/>
              </w:rPr>
            </w:pPr>
            <w:r>
              <w:rPr>
                <w:rFonts w:hint="eastAsia" w:ascii="Times New Roman" w:hAnsi="Times New Roman"/>
                <w:color w:val="auto"/>
              </w:rPr>
              <w:t>文明施工、安全生产的控制措施。</w:t>
            </w:r>
          </w:p>
          <w:p w14:paraId="7187BC50">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合理性、可行性、针对性强，得10分；</w:t>
            </w:r>
          </w:p>
          <w:p w14:paraId="36D13A7E">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合理性、可行性、针对性较强，得</w:t>
            </w:r>
            <w:r>
              <w:rPr>
                <w:rFonts w:hint="eastAsia" w:ascii="Times New Roman" w:hAnsi="Times New Roman"/>
                <w:color w:val="auto"/>
              </w:rPr>
              <w:t>7≤F＜10</w:t>
            </w:r>
            <w:r>
              <w:rPr>
                <w:rFonts w:hint="eastAsia" w:ascii="宋体" w:hAnsi="宋体" w:cs="宋体"/>
                <w:color w:val="auto"/>
                <w:kern w:val="0"/>
                <w:szCs w:val="21"/>
                <w:lang w:bidi="ar"/>
              </w:rPr>
              <w:t>分；</w:t>
            </w:r>
          </w:p>
          <w:p w14:paraId="11F011D1">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合理性、可行性、针对性一般，得</w:t>
            </w:r>
            <w:r>
              <w:rPr>
                <w:rFonts w:hint="eastAsia" w:ascii="Times New Roman" w:hAnsi="Times New Roman"/>
                <w:color w:val="auto"/>
              </w:rPr>
              <w:t>3≤F＜7</w:t>
            </w:r>
            <w:r>
              <w:rPr>
                <w:rFonts w:hint="eastAsia" w:ascii="宋体" w:hAnsi="宋体" w:cs="宋体"/>
                <w:color w:val="auto"/>
                <w:kern w:val="0"/>
                <w:szCs w:val="21"/>
                <w:lang w:bidi="ar"/>
              </w:rPr>
              <w:t>分；</w:t>
            </w:r>
          </w:p>
          <w:p w14:paraId="1B32A2FD">
            <w:pPr>
              <w:pStyle w:val="110"/>
              <w:spacing w:line="360" w:lineRule="auto"/>
              <w:jc w:val="both"/>
              <w:rPr>
                <w:rFonts w:ascii="宋体" w:hAnsi="宋体" w:eastAsia="宋体"/>
                <w:color w:val="auto"/>
                <w:highlight w:val="none"/>
              </w:rPr>
            </w:pPr>
            <w:r>
              <w:rPr>
                <w:rFonts w:hint="eastAsia" w:ascii="Times New Roman" w:hAnsi="Times New Roman"/>
                <w:color w:val="auto"/>
              </w:rPr>
              <w:t>内容未提供或无任何针对性、可行性，该小项不得分。</w:t>
            </w:r>
            <w:r>
              <w:rPr>
                <w:rFonts w:hint="eastAsia" w:ascii="宋体" w:hAnsi="宋体" w:eastAsia="宋体"/>
                <w:color w:val="auto"/>
                <w:highlight w:val="none"/>
              </w:rPr>
              <w:t xml:space="preserve"> </w:t>
            </w:r>
          </w:p>
        </w:tc>
        <w:tc>
          <w:tcPr>
            <w:tcW w:w="1385" w:type="dxa"/>
            <w:vAlign w:val="center"/>
          </w:tcPr>
          <w:p w14:paraId="340EB8E8">
            <w:pPr>
              <w:pStyle w:val="110"/>
              <w:spacing w:line="360" w:lineRule="auto"/>
              <w:ind w:firstLine="240" w:firstLineChars="100"/>
              <w:jc w:val="both"/>
              <w:rPr>
                <w:rFonts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10</w:t>
            </w:r>
            <w:r>
              <w:rPr>
                <w:rFonts w:hint="eastAsia" w:ascii="宋体" w:hAnsi="宋体" w:eastAsia="宋体"/>
                <w:color w:val="auto"/>
                <w:highlight w:val="none"/>
              </w:rPr>
              <w:t>分</w:t>
            </w:r>
          </w:p>
        </w:tc>
      </w:tr>
      <w:tr w14:paraId="5920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7091F25C">
            <w:pPr>
              <w:spacing w:line="0" w:lineRule="atLeast"/>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7</w:t>
            </w:r>
          </w:p>
        </w:tc>
        <w:tc>
          <w:tcPr>
            <w:tcW w:w="1219" w:type="dxa"/>
            <w:vAlign w:val="center"/>
          </w:tcPr>
          <w:p w14:paraId="04521EF6">
            <w:pPr>
              <w:spacing w:line="440" w:lineRule="exact"/>
              <w:rPr>
                <w:rFonts w:hint="eastAsia"/>
                <w:color w:val="auto"/>
              </w:rPr>
            </w:pPr>
            <w:r>
              <w:rPr>
                <w:rFonts w:hint="eastAsia"/>
                <w:color w:val="auto"/>
              </w:rPr>
              <w:t>工程进度控制措施对策及监理建议</w:t>
            </w:r>
          </w:p>
          <w:p w14:paraId="0BA429B8">
            <w:pPr>
              <w:pStyle w:val="110"/>
              <w:spacing w:line="360" w:lineRule="auto"/>
              <w:jc w:val="both"/>
              <w:rPr>
                <w:rFonts w:hint="eastAsia" w:ascii="Times New Roman" w:hAnsi="Times New Roman"/>
                <w:color w:val="auto"/>
              </w:rPr>
            </w:pPr>
          </w:p>
        </w:tc>
        <w:tc>
          <w:tcPr>
            <w:tcW w:w="6320" w:type="dxa"/>
          </w:tcPr>
          <w:p w14:paraId="1384DF25">
            <w:pPr>
              <w:spacing w:line="440" w:lineRule="exact"/>
              <w:rPr>
                <w:rFonts w:hint="eastAsia"/>
                <w:color w:val="auto"/>
              </w:rPr>
            </w:pPr>
            <w:r>
              <w:rPr>
                <w:rFonts w:hint="eastAsia"/>
                <w:color w:val="auto"/>
              </w:rPr>
              <w:t>工程进度控制措施对策及监理建议。</w:t>
            </w:r>
          </w:p>
          <w:p w14:paraId="5E1480EA">
            <w:pPr>
              <w:spacing w:line="440" w:lineRule="exact"/>
              <w:rPr>
                <w:rFonts w:hint="eastAsia"/>
                <w:color w:val="auto"/>
              </w:rPr>
            </w:pPr>
            <w:r>
              <w:rPr>
                <w:rFonts w:hint="eastAsia" w:ascii="Times New Roman" w:hAnsi="Times New Roman"/>
                <w:color w:val="auto"/>
              </w:rPr>
              <w:t>措施</w:t>
            </w:r>
            <w:r>
              <w:rPr>
                <w:rFonts w:hint="eastAsia"/>
                <w:color w:val="auto"/>
              </w:rPr>
              <w:t>合理性、可行性、针对性强，得10分；</w:t>
            </w:r>
          </w:p>
          <w:p w14:paraId="798860C5">
            <w:pPr>
              <w:spacing w:line="440" w:lineRule="exact"/>
              <w:rPr>
                <w:rFonts w:hint="eastAsia"/>
                <w:color w:val="auto"/>
              </w:rPr>
            </w:pPr>
            <w:r>
              <w:rPr>
                <w:rFonts w:hint="eastAsia" w:ascii="Times New Roman" w:hAnsi="Times New Roman"/>
                <w:color w:val="auto"/>
              </w:rPr>
              <w:t>措施</w:t>
            </w:r>
            <w:r>
              <w:rPr>
                <w:rFonts w:hint="eastAsia"/>
                <w:color w:val="auto"/>
              </w:rPr>
              <w:t>合理性、可行性、针对性较强，得7≤F＜10分；</w:t>
            </w:r>
          </w:p>
          <w:p w14:paraId="5E726C7F">
            <w:pPr>
              <w:spacing w:line="440" w:lineRule="exact"/>
              <w:rPr>
                <w:rFonts w:hint="eastAsia"/>
                <w:color w:val="auto"/>
              </w:rPr>
            </w:pPr>
            <w:r>
              <w:rPr>
                <w:rFonts w:hint="eastAsia" w:ascii="Times New Roman" w:hAnsi="Times New Roman"/>
                <w:color w:val="auto"/>
              </w:rPr>
              <w:t>措施</w:t>
            </w:r>
            <w:r>
              <w:rPr>
                <w:rFonts w:hint="eastAsia"/>
                <w:color w:val="auto"/>
              </w:rPr>
              <w:t>合理性、可行性、针对性一般，得3≤F＜7分；</w:t>
            </w:r>
          </w:p>
          <w:p w14:paraId="663A16CC">
            <w:pPr>
              <w:pStyle w:val="110"/>
              <w:spacing w:line="360" w:lineRule="auto"/>
              <w:jc w:val="both"/>
              <w:rPr>
                <w:rFonts w:hint="eastAsia" w:ascii="Times New Roman" w:hAnsi="Times New Roman"/>
                <w:color w:val="auto"/>
              </w:rPr>
            </w:pPr>
            <w:r>
              <w:rPr>
                <w:rFonts w:hint="eastAsia"/>
                <w:color w:val="auto"/>
              </w:rPr>
              <w:t>内容未提供或无任何针对性、可行性，该小项不得分。</w:t>
            </w:r>
          </w:p>
        </w:tc>
        <w:tc>
          <w:tcPr>
            <w:tcW w:w="1385" w:type="dxa"/>
            <w:vAlign w:val="center"/>
          </w:tcPr>
          <w:p w14:paraId="7F96275A">
            <w:pPr>
              <w:pStyle w:val="110"/>
              <w:spacing w:line="360" w:lineRule="auto"/>
              <w:ind w:firstLine="240" w:firstLineChars="100"/>
              <w:jc w:val="both"/>
              <w:rPr>
                <w:rFonts w:hint="eastAsia"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10</w:t>
            </w:r>
            <w:r>
              <w:rPr>
                <w:rFonts w:hint="eastAsia" w:ascii="宋体" w:hAnsi="宋体" w:eastAsia="宋体"/>
                <w:color w:val="auto"/>
                <w:highlight w:val="none"/>
              </w:rPr>
              <w:t>分</w:t>
            </w:r>
          </w:p>
        </w:tc>
      </w:tr>
      <w:tr w14:paraId="2196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6C0A15C0">
            <w:pPr>
              <w:spacing w:line="0" w:lineRule="atLeast"/>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8</w:t>
            </w:r>
          </w:p>
        </w:tc>
        <w:tc>
          <w:tcPr>
            <w:tcW w:w="1219" w:type="dxa"/>
            <w:vAlign w:val="center"/>
          </w:tcPr>
          <w:p w14:paraId="111278AF">
            <w:pPr>
              <w:pStyle w:val="110"/>
              <w:spacing w:line="360" w:lineRule="auto"/>
              <w:jc w:val="both"/>
              <w:rPr>
                <w:rFonts w:hint="eastAsia" w:ascii="宋体" w:hAnsi="宋体" w:eastAsia="宋体"/>
                <w:color w:val="auto"/>
                <w:highlight w:val="none"/>
                <w:lang w:eastAsia="zh-CN"/>
              </w:rPr>
            </w:pPr>
            <w:r>
              <w:rPr>
                <w:rFonts w:hint="eastAsia" w:ascii="宋体" w:hAnsi="宋体" w:eastAsia="宋体"/>
                <w:color w:val="auto"/>
                <w:highlight w:val="none"/>
                <w:lang w:val="en-US" w:eastAsia="zh-CN"/>
              </w:rPr>
              <w:t>便利化服务</w:t>
            </w:r>
          </w:p>
        </w:tc>
        <w:tc>
          <w:tcPr>
            <w:tcW w:w="6320" w:type="dxa"/>
          </w:tcPr>
          <w:p w14:paraId="0E00B66C">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根据投标人</w:t>
            </w:r>
            <w:r>
              <w:rPr>
                <w:rFonts w:hint="eastAsia" w:ascii="宋体" w:hAnsi="宋体" w:cs="宋体"/>
                <w:color w:val="auto"/>
                <w:kern w:val="0"/>
                <w:szCs w:val="21"/>
                <w:lang w:eastAsia="zh-CN" w:bidi="ar"/>
              </w:rPr>
              <w:t>便利化</w:t>
            </w:r>
            <w:r>
              <w:rPr>
                <w:rFonts w:hint="eastAsia" w:ascii="宋体" w:hAnsi="宋体" w:cs="宋体"/>
                <w:color w:val="auto"/>
                <w:kern w:val="0"/>
                <w:szCs w:val="21"/>
                <w:lang w:bidi="ar"/>
              </w:rPr>
              <w:t>服务方案的完整性、可操作性、响应及时性以及</w:t>
            </w:r>
            <w:r>
              <w:rPr>
                <w:rFonts w:hint="eastAsia" w:ascii="宋体" w:hAnsi="宋体" w:cs="宋体"/>
                <w:color w:val="auto"/>
                <w:kern w:val="0"/>
                <w:szCs w:val="21"/>
                <w:lang w:eastAsia="zh-CN" w:bidi="ar"/>
              </w:rPr>
              <w:t>便利</w:t>
            </w:r>
            <w:r>
              <w:rPr>
                <w:rFonts w:hint="eastAsia" w:ascii="宋体" w:hAnsi="宋体" w:cs="宋体"/>
                <w:color w:val="auto"/>
                <w:kern w:val="0"/>
                <w:szCs w:val="21"/>
                <w:lang w:bidi="ar"/>
              </w:rPr>
              <w:t>化服务人员的技术能力等方面进行综合评审。</w:t>
            </w:r>
          </w:p>
          <w:p w14:paraId="499345AF">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优秀的，得</w:t>
            </w:r>
            <w:r>
              <w:rPr>
                <w:rFonts w:hint="eastAsia" w:ascii="宋体" w:hAnsi="宋体" w:cs="宋体"/>
                <w:color w:val="auto"/>
                <w:kern w:val="0"/>
                <w:szCs w:val="21"/>
                <w:lang w:val="en-US" w:eastAsia="zh-CN" w:bidi="ar"/>
              </w:rPr>
              <w:t>5</w:t>
            </w:r>
            <w:r>
              <w:rPr>
                <w:rFonts w:hint="eastAsia" w:ascii="宋体" w:hAnsi="宋体" w:cs="宋体"/>
                <w:color w:val="auto"/>
                <w:kern w:val="0"/>
                <w:szCs w:val="21"/>
                <w:lang w:bidi="ar"/>
              </w:rPr>
              <w:t>分；</w:t>
            </w:r>
          </w:p>
          <w:p w14:paraId="14057122">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良好的，得</w:t>
            </w:r>
            <w:r>
              <w:rPr>
                <w:rFonts w:hint="eastAsia"/>
                <w:color w:val="auto"/>
                <w:lang w:val="en-US" w:eastAsia="zh-CN"/>
              </w:rPr>
              <w:t>3</w:t>
            </w:r>
            <w:r>
              <w:rPr>
                <w:rFonts w:hint="eastAsia" w:ascii="Times New Roman" w:hAnsi="Times New Roman"/>
                <w:color w:val="auto"/>
              </w:rPr>
              <w:t>≤F＜</w:t>
            </w:r>
            <w:r>
              <w:rPr>
                <w:rFonts w:hint="eastAsia"/>
                <w:color w:val="auto"/>
                <w:lang w:val="en-US" w:eastAsia="zh-CN"/>
              </w:rPr>
              <w:t>5</w:t>
            </w:r>
            <w:r>
              <w:rPr>
                <w:rFonts w:hint="eastAsia" w:ascii="宋体" w:hAnsi="宋体" w:cs="宋体"/>
                <w:color w:val="auto"/>
                <w:kern w:val="0"/>
                <w:szCs w:val="21"/>
                <w:lang w:bidi="ar"/>
              </w:rPr>
              <w:t>分；</w:t>
            </w:r>
          </w:p>
          <w:p w14:paraId="7F9DAB74">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一般的，得</w:t>
            </w:r>
            <w:r>
              <w:rPr>
                <w:rFonts w:hint="eastAsia" w:ascii="宋体" w:hAnsi="宋体" w:cs="宋体"/>
                <w:color w:val="auto"/>
                <w:kern w:val="0"/>
                <w:szCs w:val="21"/>
                <w:lang w:val="en-US" w:eastAsia="zh-CN" w:bidi="ar"/>
              </w:rPr>
              <w:t>1</w:t>
            </w:r>
            <w:r>
              <w:rPr>
                <w:rFonts w:hint="eastAsia" w:ascii="Times New Roman" w:hAnsi="Times New Roman"/>
                <w:color w:val="auto"/>
              </w:rPr>
              <w:t>≤F＜</w:t>
            </w:r>
            <w:r>
              <w:rPr>
                <w:rFonts w:hint="eastAsia"/>
                <w:color w:val="auto"/>
                <w:lang w:val="en-US" w:eastAsia="zh-CN"/>
              </w:rPr>
              <w:t>3</w:t>
            </w:r>
            <w:r>
              <w:rPr>
                <w:rFonts w:hint="eastAsia" w:ascii="宋体" w:hAnsi="宋体" w:cs="宋体"/>
                <w:color w:val="auto"/>
                <w:kern w:val="0"/>
                <w:szCs w:val="21"/>
                <w:lang w:bidi="ar"/>
              </w:rPr>
              <w:t>分；</w:t>
            </w:r>
          </w:p>
          <w:p w14:paraId="40D34532">
            <w:pPr>
              <w:pStyle w:val="110"/>
              <w:spacing w:line="360" w:lineRule="auto"/>
              <w:jc w:val="both"/>
              <w:rPr>
                <w:rFonts w:ascii="宋体" w:hAnsi="宋体" w:eastAsia="宋体"/>
                <w:color w:val="auto"/>
                <w:highlight w:val="none"/>
              </w:rPr>
            </w:pPr>
            <w:r>
              <w:rPr>
                <w:rFonts w:hint="eastAsia" w:ascii="Times New Roman" w:hAnsi="Times New Roman"/>
                <w:color w:val="auto"/>
              </w:rPr>
              <w:t>内容未提供或无任何针对性、可行性，该小项不得分。</w:t>
            </w:r>
          </w:p>
        </w:tc>
        <w:tc>
          <w:tcPr>
            <w:tcW w:w="1385" w:type="dxa"/>
            <w:vAlign w:val="center"/>
          </w:tcPr>
          <w:p w14:paraId="75400563">
            <w:pPr>
              <w:pStyle w:val="110"/>
              <w:spacing w:line="360" w:lineRule="auto"/>
              <w:ind w:firstLine="240" w:firstLineChars="100"/>
              <w:jc w:val="both"/>
              <w:rPr>
                <w:rFonts w:ascii="宋体" w:hAnsi="宋体" w:eastAsia="宋体"/>
                <w:color w:val="auto"/>
                <w:highlight w:val="none"/>
              </w:rPr>
            </w:pPr>
            <w:r>
              <w:rPr>
                <w:rFonts w:hint="eastAsia" w:ascii="宋体" w:hAnsi="宋体" w:eastAsia="宋体"/>
                <w:color w:val="auto"/>
                <w:highlight w:val="none"/>
              </w:rPr>
              <w:t>0-5分</w:t>
            </w:r>
          </w:p>
          <w:p w14:paraId="4815CB9C">
            <w:pPr>
              <w:pStyle w:val="110"/>
              <w:spacing w:line="360" w:lineRule="auto"/>
              <w:jc w:val="center"/>
              <w:rPr>
                <w:rFonts w:ascii="宋体" w:hAnsi="宋体" w:eastAsia="宋体"/>
                <w:color w:val="auto"/>
                <w:highlight w:val="none"/>
              </w:rPr>
            </w:pPr>
          </w:p>
        </w:tc>
      </w:tr>
      <w:tr w14:paraId="4980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57" w:type="dxa"/>
            <w:vAlign w:val="center"/>
          </w:tcPr>
          <w:p w14:paraId="5908D6BC">
            <w:pPr>
              <w:spacing w:line="0" w:lineRule="atLeast"/>
              <w:jc w:val="center"/>
              <w:rPr>
                <w:rFonts w:ascii="宋体" w:hAnsi="宋体"/>
                <w:color w:val="auto"/>
                <w:sz w:val="24"/>
                <w:highlight w:val="none"/>
              </w:rPr>
            </w:pPr>
          </w:p>
        </w:tc>
        <w:tc>
          <w:tcPr>
            <w:tcW w:w="1219" w:type="dxa"/>
            <w:vAlign w:val="center"/>
          </w:tcPr>
          <w:p w14:paraId="23BFBFD5">
            <w:pPr>
              <w:widowControl/>
              <w:spacing w:line="360" w:lineRule="auto"/>
              <w:jc w:val="center"/>
              <w:rPr>
                <w:rFonts w:ascii="宋体" w:hAnsi="宋体"/>
                <w:b/>
                <w:bCs/>
                <w:color w:val="auto"/>
                <w:sz w:val="24"/>
                <w:highlight w:val="none"/>
              </w:rPr>
            </w:pPr>
            <w:r>
              <w:rPr>
                <w:rFonts w:hint="eastAsia" w:ascii="宋体" w:hAnsi="宋体"/>
                <w:b/>
                <w:bCs/>
                <w:color w:val="auto"/>
                <w:sz w:val="24"/>
                <w:highlight w:val="none"/>
              </w:rPr>
              <w:t>合计</w:t>
            </w:r>
          </w:p>
        </w:tc>
        <w:tc>
          <w:tcPr>
            <w:tcW w:w="6320" w:type="dxa"/>
            <w:vAlign w:val="center"/>
          </w:tcPr>
          <w:p w14:paraId="264BCFEC">
            <w:pPr>
              <w:widowControl/>
              <w:spacing w:line="360" w:lineRule="auto"/>
              <w:jc w:val="left"/>
              <w:rPr>
                <w:rFonts w:ascii="宋体" w:hAnsi="宋体"/>
                <w:b/>
                <w:bCs/>
                <w:color w:val="auto"/>
                <w:sz w:val="24"/>
                <w:highlight w:val="none"/>
              </w:rPr>
            </w:pPr>
          </w:p>
        </w:tc>
        <w:tc>
          <w:tcPr>
            <w:tcW w:w="1385" w:type="dxa"/>
            <w:vAlign w:val="center"/>
          </w:tcPr>
          <w:p w14:paraId="5D8E46F4">
            <w:pPr>
              <w:jc w:val="center"/>
              <w:rPr>
                <w:rFonts w:ascii="宋体" w:hAnsi="宋体"/>
                <w:b/>
                <w:bCs/>
                <w:color w:val="auto"/>
                <w:sz w:val="24"/>
                <w:highlight w:val="none"/>
              </w:rPr>
            </w:pPr>
            <w:r>
              <w:rPr>
                <w:rFonts w:hint="eastAsia" w:ascii="宋体" w:hAnsi="宋体"/>
                <w:b/>
                <w:bCs/>
                <w:color w:val="auto"/>
                <w:sz w:val="24"/>
                <w:highlight w:val="none"/>
              </w:rPr>
              <w:t>0-</w:t>
            </w:r>
            <w:r>
              <w:rPr>
                <w:rFonts w:hint="eastAsia" w:ascii="宋体" w:hAnsi="宋体"/>
                <w:b/>
                <w:bCs/>
                <w:color w:val="auto"/>
                <w:sz w:val="24"/>
                <w:highlight w:val="none"/>
                <w:lang w:val="en-US" w:eastAsia="zh-CN"/>
              </w:rPr>
              <w:t>10</w:t>
            </w:r>
            <w:r>
              <w:rPr>
                <w:rFonts w:hint="eastAsia" w:ascii="宋体" w:hAnsi="宋体"/>
                <w:b/>
                <w:bCs/>
                <w:color w:val="auto"/>
                <w:sz w:val="24"/>
                <w:highlight w:val="none"/>
              </w:rPr>
              <w:t>0分</w:t>
            </w:r>
          </w:p>
        </w:tc>
      </w:tr>
    </w:tbl>
    <w:p w14:paraId="245915C0">
      <w:pPr>
        <w:spacing w:line="360" w:lineRule="auto"/>
        <w:rPr>
          <w:rFonts w:ascii="宋体" w:hAnsi="宋体"/>
          <w:b/>
          <w:color w:val="auto"/>
          <w:sz w:val="24"/>
          <w:szCs w:val="28"/>
        </w:rPr>
      </w:pPr>
    </w:p>
    <w:p w14:paraId="6F94103A">
      <w:pPr>
        <w:spacing w:line="360" w:lineRule="auto"/>
        <w:ind w:firstLine="482" w:firstLineChars="200"/>
        <w:rPr>
          <w:rFonts w:ascii="宋体" w:hAnsi="宋体"/>
          <w:color w:val="auto"/>
          <w:sz w:val="24"/>
        </w:rPr>
      </w:pPr>
      <w:r>
        <w:rPr>
          <w:rFonts w:hint="eastAsia" w:ascii="宋体" w:hAnsi="宋体"/>
          <w:b/>
          <w:color w:val="auto"/>
          <w:sz w:val="24"/>
          <w:szCs w:val="28"/>
        </w:rPr>
        <w:t>3.</w:t>
      </w:r>
      <w:r>
        <w:rPr>
          <w:rFonts w:hint="eastAsia" w:ascii="宋体" w:hAnsi="宋体"/>
          <w:b/>
          <w:color w:val="auto"/>
          <w:sz w:val="24"/>
          <w:szCs w:val="24"/>
        </w:rPr>
        <w:t>确定中标候选人</w:t>
      </w:r>
    </w:p>
    <w:p w14:paraId="4739C89F">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3</w:t>
      </w:r>
      <w:r>
        <w:rPr>
          <w:rFonts w:ascii="宋体" w:hAnsi="宋体"/>
          <w:bCs/>
          <w:color w:val="auto"/>
          <w:sz w:val="24"/>
        </w:rPr>
        <w:t>.1</w:t>
      </w:r>
      <w:r>
        <w:rPr>
          <w:rFonts w:hint="eastAsia" w:ascii="宋体" w:hAnsi="宋体"/>
          <w:bCs/>
          <w:color w:val="auto"/>
          <w:sz w:val="24"/>
        </w:rPr>
        <w:t>计算最终得分</w:t>
      </w:r>
    </w:p>
    <w:p w14:paraId="61B79878">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将每个有效投标人的</w:t>
      </w:r>
      <w:r>
        <w:rPr>
          <w:rFonts w:hint="eastAsia" w:ascii="宋体" w:hAnsi="宋体"/>
          <w:bCs/>
          <w:color w:val="auto"/>
          <w:sz w:val="24"/>
          <w:lang w:val="en-US" w:eastAsia="zh-CN"/>
        </w:rPr>
        <w:t>得分进行汇总</w:t>
      </w:r>
      <w:r>
        <w:rPr>
          <w:rFonts w:hint="eastAsia" w:ascii="宋体" w:hAnsi="宋体"/>
          <w:bCs/>
          <w:color w:val="auto"/>
          <w:sz w:val="24"/>
        </w:rPr>
        <w:t>，得出该投标人的最终得分。</w:t>
      </w:r>
    </w:p>
    <w:p w14:paraId="7500C3CA">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投标人的各项得分均</w:t>
      </w:r>
      <w:bookmarkStart w:id="21" w:name="_Hlk514730679"/>
      <w:r>
        <w:rPr>
          <w:rFonts w:hint="eastAsia" w:ascii="宋体" w:hAnsi="宋体"/>
          <w:bCs/>
          <w:color w:val="auto"/>
          <w:sz w:val="24"/>
        </w:rPr>
        <w:t>保留小数点后两位（小数点后第三位四舍五入）</w:t>
      </w:r>
      <w:bookmarkEnd w:id="21"/>
      <w:r>
        <w:rPr>
          <w:rFonts w:hint="eastAsia" w:ascii="宋体" w:hAnsi="宋体"/>
          <w:bCs/>
          <w:color w:val="auto"/>
          <w:sz w:val="24"/>
        </w:rPr>
        <w:t>。</w:t>
      </w:r>
    </w:p>
    <w:p w14:paraId="0863F7C2">
      <w:pPr>
        <w:pStyle w:val="22"/>
        <w:spacing w:line="360" w:lineRule="auto"/>
        <w:ind w:right="-10" w:firstLine="482"/>
        <w:rPr>
          <w:rFonts w:ascii="宋体" w:hAnsi="宋体" w:eastAsia="宋体"/>
          <w:bCs/>
          <w:color w:val="auto"/>
          <w:sz w:val="24"/>
        </w:rPr>
      </w:pPr>
      <w:r>
        <w:rPr>
          <w:rFonts w:hint="eastAsia" w:ascii="宋体" w:hAnsi="宋体" w:eastAsia="宋体"/>
          <w:bCs/>
          <w:color w:val="auto"/>
          <w:sz w:val="24"/>
        </w:rPr>
        <w:t>3</w:t>
      </w:r>
      <w:r>
        <w:rPr>
          <w:rFonts w:ascii="宋体" w:hAnsi="宋体" w:eastAsia="宋体"/>
          <w:bCs/>
          <w:color w:val="auto"/>
          <w:sz w:val="24"/>
        </w:rPr>
        <w:t>.2</w:t>
      </w:r>
      <w:r>
        <w:rPr>
          <w:rFonts w:hint="eastAsia" w:ascii="宋体" w:hAnsi="宋体" w:eastAsia="宋体"/>
          <w:bCs/>
          <w:color w:val="auto"/>
          <w:sz w:val="24"/>
        </w:rPr>
        <w:t>按照有效投标人最终得分由高到低排出中标候选人。</w:t>
      </w:r>
    </w:p>
    <w:p w14:paraId="5CC950E2">
      <w:pPr>
        <w:pStyle w:val="22"/>
        <w:spacing w:line="360" w:lineRule="auto"/>
        <w:ind w:right="-10" w:firstLine="482"/>
        <w:rPr>
          <w:rFonts w:ascii="宋体" w:hAnsi="宋体" w:eastAsia="宋体"/>
          <w:color w:val="auto"/>
          <w:sz w:val="24"/>
        </w:rPr>
      </w:pPr>
      <w:r>
        <w:rPr>
          <w:rFonts w:hint="eastAsia" w:ascii="宋体" w:hAnsi="宋体" w:eastAsia="宋体"/>
          <w:bCs/>
          <w:color w:val="auto"/>
          <w:sz w:val="24"/>
        </w:rPr>
        <w:t>最终</w:t>
      </w:r>
      <w:r>
        <w:rPr>
          <w:rFonts w:hint="eastAsia" w:ascii="宋体" w:hAnsi="宋体" w:eastAsia="宋体"/>
          <w:color w:val="auto"/>
          <w:sz w:val="24"/>
        </w:rPr>
        <w:t>得分相同的，</w:t>
      </w:r>
      <w:r>
        <w:rPr>
          <w:rFonts w:hint="eastAsia" w:ascii="宋体" w:hAnsi="宋体" w:eastAsia="宋体"/>
          <w:bCs/>
          <w:color w:val="auto"/>
          <w:sz w:val="24"/>
        </w:rPr>
        <w:t>则采取评标委员会抽签方式确定其前后次序。</w:t>
      </w:r>
    </w:p>
    <w:p w14:paraId="52293756">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第九条</w:t>
      </w:r>
      <w:r>
        <w:rPr>
          <w:rFonts w:hint="eastAsia" w:ascii="宋体" w:hAnsi="宋体"/>
          <w:bCs/>
          <w:color w:val="auto"/>
          <w:sz w:val="24"/>
        </w:rPr>
        <w:t xml:space="preserve"> 各投标人的得分一经得出，并核对无误后，任何人不得更改。</w:t>
      </w:r>
    </w:p>
    <w:p w14:paraId="6C7359DE">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第十条</w:t>
      </w:r>
      <w:r>
        <w:rPr>
          <w:rFonts w:hint="eastAsia" w:ascii="宋体" w:hAnsi="宋体"/>
          <w:bCs/>
          <w:color w:val="auto"/>
          <w:sz w:val="24"/>
        </w:rPr>
        <w:t xml:space="preserve"> 评标委员会在评标过程中发现的问题，应当及时作出处理或者向招标人提出处理建议，并作书面记录。</w:t>
      </w:r>
    </w:p>
    <w:p w14:paraId="2E116CB0">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第十一条</w:t>
      </w:r>
      <w:r>
        <w:rPr>
          <w:rFonts w:hint="eastAsia" w:ascii="宋体" w:hAnsi="宋体"/>
          <w:bCs/>
          <w:color w:val="auto"/>
          <w:sz w:val="24"/>
        </w:rPr>
        <w:t xml:space="preserve"> 评标后，评标委员会应写出评标报告并签字。评标报告是评标委员会根据全体评标成员签字的原始评标记录和评标结果编写的报告，评标委员会全体成员及监督员均须在评标报告上签字。评标报告应如实记录本次评标的主要过程，全面反映评标过程中的各种不同的意见，以及其他澄清、说明、补正事项。</w:t>
      </w:r>
    </w:p>
    <w:p w14:paraId="4497E27C">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第十二条</w:t>
      </w:r>
      <w:r>
        <w:rPr>
          <w:rFonts w:hint="eastAsia" w:ascii="宋体" w:hAnsi="宋体"/>
          <w:bCs/>
          <w:color w:val="auto"/>
          <w:sz w:val="24"/>
        </w:rPr>
        <w:t xml:space="preserve"> 评标委员会和评标工作人员应严格遵守国家的法律、法规和规章制度；严格按照本次招标文件进行评标；公正廉洁、不徇私情，不得损害国家利益；保护招、投标人的合法权益。</w:t>
      </w:r>
    </w:p>
    <w:p w14:paraId="3AC00FD4">
      <w:pPr>
        <w:pStyle w:val="22"/>
        <w:spacing w:line="360" w:lineRule="auto"/>
        <w:ind w:right="-10" w:firstLine="482"/>
        <w:rPr>
          <w:rFonts w:ascii="宋体" w:hAnsi="宋体" w:eastAsia="宋体"/>
          <w:bCs/>
          <w:color w:val="auto"/>
          <w:sz w:val="24"/>
        </w:rPr>
      </w:pPr>
      <w:r>
        <w:rPr>
          <w:rFonts w:hint="eastAsia" w:ascii="宋体" w:hAnsi="宋体" w:eastAsia="宋体"/>
          <w:b/>
          <w:color w:val="auto"/>
          <w:sz w:val="24"/>
        </w:rPr>
        <w:t>第十三条</w:t>
      </w:r>
      <w:r>
        <w:rPr>
          <w:rFonts w:hint="eastAsia" w:ascii="宋体" w:hAnsi="宋体" w:eastAsia="宋体"/>
          <w:bCs/>
          <w:color w:val="auto"/>
          <w:sz w:val="24"/>
        </w:rPr>
        <w:t xml:space="preserve"> 在评标过程中，评委及其他评标工作人员必须对评标情况严格保密，任何人不得将评标情况透露给与投标人有关的单位和个人。如有违反评标纪律的情况发生，将依据《中华人民共和国招标投标法》、《中华人民共和国招标投标法实施条例》及其他有关法律法规的规定，追究有关当事人的责任。</w:t>
      </w:r>
    </w:p>
    <w:p w14:paraId="2EA06279">
      <w:pPr>
        <w:pStyle w:val="22"/>
        <w:spacing w:line="360" w:lineRule="auto"/>
        <w:ind w:right="-10" w:firstLine="0"/>
        <w:rPr>
          <w:b/>
          <w:color w:val="auto"/>
          <w:sz w:val="28"/>
          <w:szCs w:val="28"/>
        </w:rPr>
      </w:pPr>
      <w:r>
        <w:rPr>
          <w:rFonts w:hint="eastAsia" w:ascii="宋体" w:hAnsi="宋体" w:eastAsia="宋体"/>
          <w:bCs/>
          <w:color w:val="auto"/>
          <w:sz w:val="24"/>
        </w:rPr>
        <w:br w:type="page"/>
      </w:r>
    </w:p>
    <w:p w14:paraId="7F29634A">
      <w:pPr>
        <w:pStyle w:val="4"/>
        <w:spacing w:before="0" w:after="0" w:line="360" w:lineRule="auto"/>
        <w:ind w:firstLine="482" w:firstLineChars="200"/>
        <w:rPr>
          <w:rFonts w:hAnsi="宋体"/>
          <w:color w:val="auto"/>
          <w:sz w:val="24"/>
          <w:szCs w:val="24"/>
        </w:rPr>
      </w:pPr>
      <w:bookmarkStart w:id="22" w:name="_Toc297563647"/>
      <w:bookmarkStart w:id="23" w:name="_Toc328559330"/>
      <w:bookmarkStart w:id="24" w:name="_Toc245714167"/>
      <w:bookmarkStart w:id="25" w:name="_Toc232819544"/>
      <w:bookmarkStart w:id="26" w:name="_Toc273602349"/>
      <w:r>
        <w:rPr>
          <w:rFonts w:hint="eastAsia" w:hAnsi="宋体"/>
          <w:color w:val="auto"/>
          <w:sz w:val="24"/>
          <w:szCs w:val="24"/>
        </w:rPr>
        <w:t>第四章 开标与评标</w:t>
      </w:r>
      <w:bookmarkEnd w:id="22"/>
      <w:bookmarkEnd w:id="23"/>
      <w:bookmarkEnd w:id="24"/>
      <w:bookmarkEnd w:id="25"/>
      <w:bookmarkEnd w:id="26"/>
    </w:p>
    <w:p w14:paraId="2E957004">
      <w:pPr>
        <w:spacing w:line="360" w:lineRule="auto"/>
        <w:ind w:firstLine="482" w:firstLineChars="200"/>
        <w:rPr>
          <w:rFonts w:ascii="宋体" w:hAnsi="宋体"/>
          <w:b/>
          <w:color w:val="auto"/>
          <w:sz w:val="24"/>
          <w:szCs w:val="24"/>
        </w:rPr>
      </w:pPr>
      <w:r>
        <w:rPr>
          <w:rFonts w:hint="eastAsia" w:ascii="宋体" w:hAnsi="宋体"/>
          <w:b/>
          <w:color w:val="auto"/>
          <w:sz w:val="24"/>
          <w:szCs w:val="24"/>
        </w:rPr>
        <w:t>一、开标</w:t>
      </w:r>
    </w:p>
    <w:p w14:paraId="1C2F3871">
      <w:pPr>
        <w:spacing w:line="440" w:lineRule="exact"/>
        <w:ind w:firstLine="550"/>
        <w:rPr>
          <w:rFonts w:ascii="宋体" w:hAnsi="宋体"/>
          <w:color w:val="auto"/>
          <w:sz w:val="24"/>
        </w:rPr>
      </w:pPr>
      <w:r>
        <w:rPr>
          <w:rFonts w:hint="eastAsia" w:ascii="宋体" w:hAnsi="宋体"/>
          <w:color w:val="auto"/>
          <w:sz w:val="24"/>
        </w:rPr>
        <w:t>1、招标人将在投标</w:t>
      </w:r>
      <w:bookmarkStart w:id="27" w:name="_Hlt509649432"/>
      <w:bookmarkEnd w:id="27"/>
      <w:r>
        <w:rPr>
          <w:rFonts w:hint="eastAsia" w:ascii="宋体" w:hAnsi="宋体"/>
          <w:color w:val="auto"/>
          <w:sz w:val="24"/>
        </w:rPr>
        <w:t>人须知前附表规定的时间和地点组织公开开标。投标人授权代表应携带身份证明参加并签到。</w:t>
      </w:r>
    </w:p>
    <w:p w14:paraId="2E98A4F8">
      <w:pPr>
        <w:spacing w:line="440" w:lineRule="exact"/>
        <w:ind w:firstLine="550"/>
        <w:rPr>
          <w:rFonts w:ascii="宋体" w:hAnsi="宋体"/>
          <w:bCs/>
          <w:color w:val="auto"/>
          <w:sz w:val="24"/>
        </w:rPr>
      </w:pPr>
      <w:r>
        <w:rPr>
          <w:rFonts w:hint="eastAsia" w:ascii="宋体" w:hAnsi="宋体"/>
          <w:bCs/>
          <w:color w:val="auto"/>
          <w:sz w:val="24"/>
        </w:rPr>
        <w:t>2、开标前，招标人将会同监督人员或公证人员进行验标（检查投标文件密封情况），并宣布检查结果。确认无误后开标。</w:t>
      </w:r>
    </w:p>
    <w:p w14:paraId="3EEC9ECE">
      <w:pPr>
        <w:spacing w:line="360" w:lineRule="auto"/>
        <w:ind w:firstLine="480" w:firstLineChars="200"/>
        <w:rPr>
          <w:rFonts w:ascii="宋体" w:hAnsi="宋体"/>
          <w:color w:val="auto"/>
          <w:sz w:val="24"/>
          <w:szCs w:val="24"/>
        </w:rPr>
      </w:pPr>
      <w:r>
        <w:rPr>
          <w:rFonts w:hint="eastAsia" w:ascii="宋体" w:hAnsi="宋体"/>
          <w:bCs/>
          <w:color w:val="auto"/>
          <w:sz w:val="24"/>
          <w:szCs w:val="24"/>
        </w:rPr>
        <w:t>3、评标时对通过初步筛查的投标人首先</w:t>
      </w:r>
      <w:r>
        <w:rPr>
          <w:rFonts w:hint="eastAsia" w:ascii="宋体" w:hAnsi="宋体"/>
          <w:color w:val="auto"/>
          <w:sz w:val="24"/>
          <w:szCs w:val="24"/>
        </w:rPr>
        <w:t>计算有效值，对高于或等于有效值的，按评审对象报价由低到高的顺序先进行资格评审，然后进行商务评审和技术评审。技术文件（U盘）若未按投标人须知前附表要求提交，投标文件视为未响应招标文件要求，予以废标。</w:t>
      </w:r>
    </w:p>
    <w:p w14:paraId="1F5B9F68">
      <w:pPr>
        <w:spacing w:line="360" w:lineRule="auto"/>
        <w:ind w:firstLine="480" w:firstLineChars="200"/>
        <w:rPr>
          <w:rFonts w:ascii="宋体" w:hAnsi="宋体"/>
          <w:bCs/>
          <w:color w:val="auto"/>
          <w:sz w:val="24"/>
          <w:szCs w:val="24"/>
        </w:rPr>
      </w:pPr>
      <w:r>
        <w:rPr>
          <w:rFonts w:hint="eastAsia" w:ascii="宋体" w:hAnsi="宋体"/>
          <w:bCs/>
          <w:color w:val="auto"/>
          <w:sz w:val="24"/>
          <w:szCs w:val="24"/>
        </w:rPr>
        <w:t>4、商务标开标时，招标人将当众宣读投标人名称、投标价格、书面修改和撤回投标的通知，以及招标人认为合适的其它详细内容。只有在开标时唱出的优惠，评标时才予以考虑。</w:t>
      </w:r>
    </w:p>
    <w:p w14:paraId="17484667">
      <w:pPr>
        <w:spacing w:line="360" w:lineRule="auto"/>
        <w:ind w:firstLine="480" w:firstLineChars="200"/>
        <w:rPr>
          <w:rFonts w:ascii="宋体" w:hAnsi="宋体"/>
          <w:color w:val="auto"/>
          <w:sz w:val="24"/>
          <w:szCs w:val="24"/>
        </w:rPr>
      </w:pPr>
      <w:r>
        <w:rPr>
          <w:rFonts w:hint="eastAsia" w:ascii="宋体" w:hAnsi="宋体"/>
          <w:bCs/>
          <w:color w:val="auto"/>
          <w:sz w:val="24"/>
          <w:szCs w:val="24"/>
        </w:rPr>
        <w:t>5、在评审结束前，未得到招标人允许，投标人授权代表不得离开开标现场。</w:t>
      </w:r>
    </w:p>
    <w:p w14:paraId="6C3DC80A">
      <w:pPr>
        <w:spacing w:line="360" w:lineRule="auto"/>
        <w:ind w:firstLine="482" w:firstLineChars="200"/>
        <w:rPr>
          <w:rFonts w:ascii="宋体" w:hAnsi="宋体"/>
          <w:b/>
          <w:color w:val="auto"/>
          <w:sz w:val="24"/>
          <w:szCs w:val="24"/>
        </w:rPr>
      </w:pPr>
      <w:r>
        <w:rPr>
          <w:rFonts w:hint="eastAsia" w:ascii="宋体" w:hAnsi="宋体"/>
          <w:b/>
          <w:color w:val="auto"/>
          <w:sz w:val="24"/>
          <w:szCs w:val="24"/>
        </w:rPr>
        <w:t>二、投标文件的澄清、说明或补正</w:t>
      </w:r>
    </w:p>
    <w:p w14:paraId="536C45E7">
      <w:pPr>
        <w:spacing w:line="360" w:lineRule="auto"/>
        <w:ind w:firstLine="480" w:firstLineChars="200"/>
        <w:rPr>
          <w:rFonts w:ascii="宋体" w:hAnsi="宋体"/>
          <w:bCs/>
          <w:color w:val="auto"/>
          <w:sz w:val="24"/>
          <w:szCs w:val="24"/>
        </w:rPr>
      </w:pPr>
      <w:r>
        <w:rPr>
          <w:rFonts w:hint="eastAsia" w:ascii="宋体" w:hAnsi="宋体"/>
          <w:bCs/>
          <w:color w:val="auto"/>
          <w:sz w:val="24"/>
          <w:szCs w:val="24"/>
        </w:rPr>
        <w:t>1、为有助于投标的审查、评价和比较，评标委员会可以书面方式要求投标人对投标文件中含义不明确、对同类问题表述不一致或者有明显文字和计算错误的内容作必要的澄清、说明或补正。澄清、说明或补正应以书面方式进行并不得超出投标文件的范围或改变投标文件的实质性内容。</w:t>
      </w:r>
    </w:p>
    <w:p w14:paraId="6447D37A">
      <w:pPr>
        <w:spacing w:line="360" w:lineRule="auto"/>
        <w:ind w:firstLine="480" w:firstLineChars="200"/>
        <w:rPr>
          <w:rFonts w:ascii="宋体" w:hAnsi="宋体"/>
          <w:color w:val="auto"/>
          <w:sz w:val="24"/>
          <w:szCs w:val="24"/>
        </w:rPr>
      </w:pPr>
      <w:r>
        <w:rPr>
          <w:rFonts w:hint="eastAsia" w:ascii="宋体" w:hAnsi="宋体"/>
          <w:color w:val="auto"/>
          <w:sz w:val="24"/>
          <w:szCs w:val="24"/>
        </w:rPr>
        <w:t>2、投标文件中大写金额和小写金额不一致的，以大写金额为准；总价金额与按单价汇总金额不一致的，以单价金额计算结果为准；单价金额小数点有明显错位的，应以总价为准，并修改单价。</w:t>
      </w:r>
    </w:p>
    <w:p w14:paraId="39F8B1EA">
      <w:pPr>
        <w:spacing w:line="360" w:lineRule="auto"/>
        <w:ind w:firstLine="480" w:firstLineChars="200"/>
        <w:rPr>
          <w:rFonts w:ascii="宋体" w:hAnsi="宋体"/>
          <w:bCs/>
          <w:color w:val="auto"/>
          <w:sz w:val="24"/>
          <w:szCs w:val="24"/>
        </w:rPr>
      </w:pPr>
      <w:r>
        <w:rPr>
          <w:rFonts w:hint="eastAsia" w:ascii="宋体" w:hAnsi="宋体"/>
          <w:color w:val="auto"/>
          <w:sz w:val="24"/>
          <w:szCs w:val="24"/>
        </w:rPr>
        <w:t>3、</w:t>
      </w:r>
      <w:r>
        <w:rPr>
          <w:rFonts w:hint="eastAsia" w:ascii="宋体" w:hAnsi="宋体"/>
          <w:bCs/>
          <w:color w:val="auto"/>
          <w:sz w:val="24"/>
          <w:szCs w:val="24"/>
        </w:rPr>
        <w:t>开标一览表内容与投标文件中明细表内容不一致的，以开标一览表为准。</w:t>
      </w:r>
    </w:p>
    <w:p w14:paraId="3E06DDC6">
      <w:pPr>
        <w:spacing w:line="360" w:lineRule="auto"/>
        <w:ind w:firstLine="482" w:firstLineChars="200"/>
        <w:rPr>
          <w:rFonts w:ascii="宋体" w:hAnsi="宋体"/>
          <w:color w:val="auto"/>
          <w:sz w:val="24"/>
          <w:szCs w:val="24"/>
        </w:rPr>
      </w:pPr>
      <w:r>
        <w:rPr>
          <w:rFonts w:hint="eastAsia" w:ascii="宋体" w:hAnsi="宋体"/>
          <w:b/>
          <w:color w:val="auto"/>
          <w:sz w:val="24"/>
          <w:szCs w:val="24"/>
        </w:rPr>
        <w:t>三、评标</w:t>
      </w:r>
    </w:p>
    <w:p w14:paraId="5F7364E9">
      <w:pPr>
        <w:spacing w:line="360" w:lineRule="auto"/>
        <w:ind w:firstLine="480" w:firstLineChars="200"/>
        <w:rPr>
          <w:rFonts w:ascii="宋体" w:hAnsi="宋体"/>
          <w:color w:val="auto"/>
          <w:sz w:val="24"/>
          <w:szCs w:val="24"/>
        </w:rPr>
      </w:pPr>
      <w:r>
        <w:rPr>
          <w:rFonts w:hint="eastAsia" w:ascii="宋体" w:hAnsi="宋体"/>
          <w:color w:val="auto"/>
          <w:sz w:val="24"/>
          <w:szCs w:val="24"/>
        </w:rPr>
        <w:t>1、评委会将按照招标文件规定的评标办法对投标人进行评审。</w:t>
      </w:r>
    </w:p>
    <w:p w14:paraId="2B960ABE">
      <w:pPr>
        <w:spacing w:line="360" w:lineRule="auto"/>
        <w:ind w:firstLine="480" w:firstLineChars="200"/>
        <w:rPr>
          <w:rFonts w:ascii="宋体" w:hAnsi="宋体"/>
          <w:color w:val="auto"/>
          <w:sz w:val="24"/>
        </w:rPr>
      </w:pPr>
      <w:r>
        <w:rPr>
          <w:rFonts w:ascii="宋体" w:hAnsi="宋体"/>
          <w:color w:val="auto"/>
          <w:sz w:val="24"/>
        </w:rPr>
        <w:t>2</w:t>
      </w:r>
      <w:r>
        <w:rPr>
          <w:rFonts w:hint="eastAsia" w:ascii="宋体" w:hAnsi="宋体"/>
          <w:color w:val="auto"/>
          <w:sz w:val="24"/>
        </w:rPr>
        <w:t>、资格审核时，评委会将首先审查投标文件是否实质上响应招标文件的资格审核指标要求。实质上响应的投标应与招标文件的全部条款、条件相符，没有重大偏离或保留。所谓重大偏离或保留是指影响合同的质量等；或者在实质上与招标文件不一致，而且限制了合同中买方的权利或投标人的义务。这些偏离或保留将会对其他实质上响应要求的投标人的竞争地位产生不公正的影响。投标人不得通过修改或撤销不合要求的偏离或保留而使其投标成为响应性的投标。</w:t>
      </w:r>
    </w:p>
    <w:p w14:paraId="6DAFE358">
      <w:pPr>
        <w:spacing w:line="360" w:lineRule="auto"/>
        <w:ind w:firstLine="480" w:firstLineChars="200"/>
        <w:rPr>
          <w:rFonts w:ascii="宋体" w:hAnsi="宋体"/>
          <w:color w:val="auto"/>
          <w:sz w:val="24"/>
        </w:rPr>
      </w:pPr>
      <w:r>
        <w:rPr>
          <w:rFonts w:hint="eastAsia" w:ascii="宋体" w:hAnsi="宋体"/>
          <w:color w:val="auto"/>
          <w:sz w:val="24"/>
        </w:rPr>
        <w:t>3、如果投标文件未通过资格审核，投标无效。</w:t>
      </w:r>
    </w:p>
    <w:p w14:paraId="573C4306">
      <w:pPr>
        <w:spacing w:line="360" w:lineRule="auto"/>
        <w:ind w:firstLine="480" w:firstLineChars="200"/>
        <w:rPr>
          <w:rFonts w:ascii="宋体" w:hAnsi="宋体"/>
          <w:color w:val="auto"/>
          <w:sz w:val="24"/>
          <w:szCs w:val="24"/>
        </w:rPr>
      </w:pPr>
      <w:r>
        <w:rPr>
          <w:rFonts w:hint="eastAsia" w:ascii="宋体" w:hAnsi="宋体"/>
          <w:color w:val="auto"/>
          <w:sz w:val="24"/>
          <w:szCs w:val="24"/>
        </w:rPr>
        <w:t>4、评委会决定投标文件的响应性及符合性只根据投标文件本身的内容，而不寻求其他外部证据。</w:t>
      </w:r>
    </w:p>
    <w:p w14:paraId="6E8F41BD">
      <w:pPr>
        <w:spacing w:line="360" w:lineRule="auto"/>
        <w:ind w:firstLine="482" w:firstLineChars="200"/>
        <w:rPr>
          <w:rFonts w:ascii="宋体" w:hAnsi="宋体"/>
          <w:b/>
          <w:color w:val="auto"/>
          <w:sz w:val="24"/>
          <w:szCs w:val="24"/>
        </w:rPr>
      </w:pPr>
      <w:r>
        <w:rPr>
          <w:rFonts w:hint="eastAsia" w:ascii="宋体" w:hAnsi="宋体"/>
          <w:b/>
          <w:color w:val="auto"/>
          <w:sz w:val="24"/>
          <w:szCs w:val="24"/>
        </w:rPr>
        <w:t>四、有下列情况之一者，投标文件无效</w:t>
      </w:r>
    </w:p>
    <w:p w14:paraId="7AE88588">
      <w:pPr>
        <w:spacing w:line="360" w:lineRule="auto"/>
        <w:ind w:firstLine="480" w:firstLineChars="200"/>
        <w:rPr>
          <w:rFonts w:ascii="宋体" w:hAnsi="宋体"/>
          <w:color w:val="auto"/>
          <w:sz w:val="24"/>
          <w:szCs w:val="24"/>
        </w:rPr>
      </w:pPr>
      <w:r>
        <w:rPr>
          <w:rFonts w:hint="eastAsia" w:ascii="宋体" w:hAnsi="宋体"/>
          <w:color w:val="auto"/>
          <w:sz w:val="24"/>
          <w:szCs w:val="24"/>
        </w:rPr>
        <w:t>1、延期送达标书的；</w:t>
      </w:r>
    </w:p>
    <w:p w14:paraId="1612A75C">
      <w:pPr>
        <w:spacing w:line="360" w:lineRule="auto"/>
        <w:ind w:firstLine="480" w:firstLineChars="200"/>
        <w:rPr>
          <w:rFonts w:ascii="宋体" w:hAnsi="宋体"/>
          <w:color w:val="auto"/>
          <w:sz w:val="24"/>
          <w:szCs w:val="24"/>
        </w:rPr>
      </w:pPr>
      <w:r>
        <w:rPr>
          <w:rFonts w:hint="eastAsia" w:ascii="宋体" w:hAnsi="宋体"/>
          <w:color w:val="auto"/>
          <w:sz w:val="24"/>
          <w:szCs w:val="24"/>
        </w:rPr>
        <w:t>2、商务报价文件有2个或以上报价的；</w:t>
      </w:r>
    </w:p>
    <w:p w14:paraId="731DB233">
      <w:pPr>
        <w:spacing w:line="360" w:lineRule="auto"/>
        <w:ind w:firstLine="480" w:firstLineChars="200"/>
        <w:rPr>
          <w:rFonts w:ascii="宋体" w:hAnsi="宋体"/>
          <w:color w:val="auto"/>
          <w:sz w:val="24"/>
          <w:szCs w:val="24"/>
        </w:rPr>
      </w:pPr>
      <w:r>
        <w:rPr>
          <w:rFonts w:hint="eastAsia" w:ascii="宋体" w:hAnsi="宋体"/>
          <w:color w:val="auto"/>
          <w:sz w:val="24"/>
          <w:szCs w:val="24"/>
        </w:rPr>
        <w:t>3、投标报价高于控制价的；</w:t>
      </w:r>
    </w:p>
    <w:p w14:paraId="5E3F08FD">
      <w:pPr>
        <w:spacing w:line="360" w:lineRule="auto"/>
        <w:ind w:firstLine="480" w:firstLineChars="200"/>
        <w:rPr>
          <w:rFonts w:ascii="宋体" w:hAnsi="宋体"/>
          <w:color w:val="auto"/>
          <w:sz w:val="24"/>
          <w:szCs w:val="24"/>
        </w:rPr>
      </w:pPr>
      <w:r>
        <w:rPr>
          <w:rFonts w:hint="eastAsia" w:ascii="宋体" w:hAnsi="宋体"/>
          <w:color w:val="auto"/>
          <w:sz w:val="24"/>
          <w:szCs w:val="24"/>
        </w:rPr>
        <w:t>4、企业资质条件或建造师（或相关专业项目经理）资质条件不符合招标文件要求的；</w:t>
      </w:r>
    </w:p>
    <w:p w14:paraId="60646990">
      <w:pPr>
        <w:spacing w:line="360" w:lineRule="auto"/>
        <w:ind w:firstLine="480" w:firstLineChars="200"/>
        <w:rPr>
          <w:rFonts w:ascii="宋体" w:hAnsi="宋体"/>
          <w:color w:val="auto"/>
          <w:sz w:val="24"/>
          <w:szCs w:val="24"/>
        </w:rPr>
      </w:pPr>
      <w:r>
        <w:rPr>
          <w:rFonts w:hint="eastAsia" w:ascii="宋体" w:hAnsi="宋体"/>
          <w:color w:val="auto"/>
          <w:sz w:val="24"/>
          <w:szCs w:val="24"/>
        </w:rPr>
        <w:t>5、明显低价又未能给出合理说明的；</w:t>
      </w:r>
    </w:p>
    <w:p w14:paraId="460F97B4">
      <w:pPr>
        <w:spacing w:line="360" w:lineRule="auto"/>
        <w:ind w:firstLine="480" w:firstLineChars="200"/>
        <w:rPr>
          <w:rFonts w:ascii="宋体" w:hAnsi="宋体"/>
          <w:color w:val="auto"/>
          <w:sz w:val="24"/>
          <w:szCs w:val="24"/>
        </w:rPr>
      </w:pPr>
      <w:r>
        <w:rPr>
          <w:rFonts w:hint="eastAsia" w:ascii="宋体" w:hAnsi="宋体"/>
          <w:color w:val="auto"/>
          <w:sz w:val="24"/>
          <w:szCs w:val="24"/>
        </w:rPr>
        <w:t>6、未实质性响应招标文件要求的（包括工期、质量和质保期等重要条件）；</w:t>
      </w:r>
    </w:p>
    <w:p w14:paraId="4190193B">
      <w:pPr>
        <w:spacing w:line="360" w:lineRule="auto"/>
        <w:ind w:firstLine="480" w:firstLineChars="200"/>
        <w:rPr>
          <w:rFonts w:ascii="宋体" w:hAnsi="宋体"/>
          <w:color w:val="auto"/>
          <w:sz w:val="24"/>
          <w:szCs w:val="24"/>
        </w:rPr>
      </w:pPr>
      <w:r>
        <w:rPr>
          <w:rFonts w:hint="eastAsia" w:ascii="宋体" w:hAnsi="宋体"/>
          <w:color w:val="auto"/>
          <w:sz w:val="24"/>
          <w:szCs w:val="24"/>
        </w:rPr>
        <w:t>7、未提供规范合理的施工组织设计；</w:t>
      </w:r>
    </w:p>
    <w:p w14:paraId="36F86344">
      <w:pPr>
        <w:spacing w:line="360" w:lineRule="auto"/>
        <w:ind w:firstLine="480" w:firstLineChars="200"/>
        <w:rPr>
          <w:rFonts w:ascii="宋体" w:hAnsi="宋体"/>
          <w:color w:val="auto"/>
          <w:sz w:val="24"/>
          <w:szCs w:val="24"/>
        </w:rPr>
      </w:pPr>
      <w:r>
        <w:rPr>
          <w:rFonts w:hint="eastAsia" w:ascii="宋体" w:hAnsi="宋体"/>
          <w:color w:val="auto"/>
          <w:sz w:val="24"/>
          <w:szCs w:val="24"/>
        </w:rPr>
        <w:t>8、发现提供虚假资料、虚假承诺的一切弄虚作假行为的。</w:t>
      </w:r>
    </w:p>
    <w:p w14:paraId="1122CCC0">
      <w:pPr>
        <w:spacing w:line="360" w:lineRule="auto"/>
        <w:ind w:firstLine="480" w:firstLineChars="200"/>
        <w:rPr>
          <w:rFonts w:ascii="宋体" w:hAnsi="宋体"/>
          <w:color w:val="auto"/>
          <w:sz w:val="24"/>
          <w:szCs w:val="24"/>
        </w:rPr>
      </w:pPr>
      <w:r>
        <w:rPr>
          <w:rFonts w:hint="eastAsia" w:ascii="宋体" w:hAnsi="宋体"/>
          <w:color w:val="auto"/>
          <w:sz w:val="24"/>
          <w:szCs w:val="24"/>
        </w:rPr>
        <w:t>9、其他未能实质性响应招标文件的。</w:t>
      </w:r>
    </w:p>
    <w:p w14:paraId="480E0BB8">
      <w:pPr>
        <w:spacing w:line="360" w:lineRule="auto"/>
        <w:ind w:firstLine="482" w:firstLineChars="200"/>
        <w:rPr>
          <w:rFonts w:ascii="宋体" w:hAnsi="宋体"/>
          <w:b/>
          <w:bCs/>
          <w:color w:val="auto"/>
          <w:sz w:val="24"/>
          <w:szCs w:val="24"/>
        </w:rPr>
      </w:pPr>
      <w:r>
        <w:rPr>
          <w:rFonts w:hint="eastAsia" w:ascii="宋体" w:hAnsi="宋体"/>
          <w:b/>
          <w:bCs/>
          <w:color w:val="auto"/>
          <w:sz w:val="24"/>
          <w:szCs w:val="24"/>
        </w:rPr>
        <w:t>五、废标处理</w:t>
      </w:r>
    </w:p>
    <w:p w14:paraId="0F18E447">
      <w:pPr>
        <w:spacing w:line="360" w:lineRule="auto"/>
        <w:ind w:firstLine="480" w:firstLineChars="200"/>
        <w:rPr>
          <w:rFonts w:ascii="宋体" w:hAnsi="宋体"/>
          <w:color w:val="auto"/>
          <w:sz w:val="24"/>
          <w:szCs w:val="24"/>
        </w:rPr>
      </w:pPr>
      <w:r>
        <w:rPr>
          <w:rFonts w:hint="eastAsia" w:ascii="宋体" w:hAnsi="宋体"/>
          <w:color w:val="auto"/>
          <w:sz w:val="24"/>
          <w:szCs w:val="24"/>
        </w:rPr>
        <w:t>在招标采购中，出现下列情形之一的，招标人有权宣布废标：</w:t>
      </w:r>
    </w:p>
    <w:p w14:paraId="546823DF">
      <w:pPr>
        <w:spacing w:line="360" w:lineRule="auto"/>
        <w:ind w:firstLine="480" w:firstLineChars="200"/>
        <w:rPr>
          <w:rFonts w:ascii="宋体" w:hAnsi="宋体"/>
          <w:color w:val="auto"/>
          <w:sz w:val="24"/>
          <w:szCs w:val="24"/>
        </w:rPr>
      </w:pPr>
      <w:r>
        <w:rPr>
          <w:rFonts w:hint="eastAsia" w:ascii="宋体" w:hAnsi="宋体"/>
          <w:color w:val="auto"/>
          <w:sz w:val="24"/>
          <w:szCs w:val="24"/>
        </w:rPr>
        <w:t>1、符合专业条件的投标人或对招标文件作实质响应的投标人不足三家的；</w:t>
      </w:r>
    </w:p>
    <w:p w14:paraId="75F9EDB7">
      <w:pPr>
        <w:spacing w:line="360" w:lineRule="auto"/>
        <w:ind w:firstLine="480" w:firstLineChars="200"/>
        <w:rPr>
          <w:rFonts w:ascii="宋体" w:hAnsi="宋体"/>
          <w:color w:val="auto"/>
          <w:sz w:val="24"/>
          <w:szCs w:val="24"/>
        </w:rPr>
      </w:pPr>
      <w:r>
        <w:rPr>
          <w:rFonts w:hint="eastAsia" w:ascii="宋体" w:hAnsi="宋体"/>
          <w:color w:val="auto"/>
          <w:sz w:val="24"/>
          <w:szCs w:val="24"/>
        </w:rPr>
        <w:t>2、投标人的报价均超过招标预算，招标人不能支付的；</w:t>
      </w:r>
    </w:p>
    <w:p w14:paraId="348435D3">
      <w:pPr>
        <w:spacing w:line="360" w:lineRule="auto"/>
        <w:ind w:firstLine="480" w:firstLineChars="200"/>
        <w:rPr>
          <w:rFonts w:ascii="宋体" w:hAnsi="宋体"/>
          <w:color w:val="auto"/>
          <w:sz w:val="24"/>
          <w:szCs w:val="24"/>
        </w:rPr>
      </w:pPr>
      <w:r>
        <w:rPr>
          <w:rFonts w:hint="eastAsia" w:ascii="宋体" w:hAnsi="宋体"/>
          <w:color w:val="auto"/>
          <w:sz w:val="24"/>
          <w:szCs w:val="24"/>
        </w:rPr>
        <w:t>3、出现影响采购公正的违法、违规行为的；</w:t>
      </w:r>
    </w:p>
    <w:p w14:paraId="2DB89196">
      <w:pPr>
        <w:spacing w:line="360" w:lineRule="auto"/>
        <w:ind w:firstLine="480" w:firstLineChars="200"/>
        <w:rPr>
          <w:rFonts w:ascii="宋体" w:hAnsi="宋体"/>
          <w:color w:val="auto"/>
          <w:sz w:val="24"/>
          <w:szCs w:val="24"/>
        </w:rPr>
      </w:pPr>
      <w:r>
        <w:rPr>
          <w:rFonts w:hint="eastAsia" w:ascii="宋体" w:hAnsi="宋体"/>
          <w:color w:val="auto"/>
          <w:sz w:val="24"/>
          <w:szCs w:val="24"/>
        </w:rPr>
        <w:t>4、因重大变故，招标任务取消的。</w:t>
      </w:r>
    </w:p>
    <w:p w14:paraId="43FC9CB1">
      <w:pPr>
        <w:spacing w:line="360" w:lineRule="auto"/>
        <w:ind w:firstLine="480" w:firstLineChars="200"/>
        <w:rPr>
          <w:rFonts w:ascii="宋体" w:hAnsi="宋体"/>
          <w:color w:val="auto"/>
          <w:sz w:val="24"/>
          <w:szCs w:val="24"/>
        </w:rPr>
      </w:pPr>
    </w:p>
    <w:p w14:paraId="77B30ADD">
      <w:pPr>
        <w:spacing w:line="360" w:lineRule="auto"/>
        <w:rPr>
          <w:rFonts w:ascii="宋体" w:hAnsi="宋体"/>
          <w:color w:val="auto"/>
          <w:sz w:val="24"/>
          <w:szCs w:val="24"/>
        </w:rPr>
      </w:pPr>
      <w:r>
        <w:rPr>
          <w:rFonts w:hint="eastAsia" w:ascii="宋体" w:hAnsi="宋体"/>
          <w:color w:val="auto"/>
          <w:sz w:val="24"/>
          <w:szCs w:val="24"/>
        </w:rPr>
        <w:br w:type="page"/>
      </w:r>
    </w:p>
    <w:p w14:paraId="5FB56483">
      <w:pPr>
        <w:pStyle w:val="4"/>
        <w:spacing w:before="0" w:after="0" w:line="360" w:lineRule="auto"/>
        <w:ind w:firstLine="482" w:firstLineChars="200"/>
        <w:rPr>
          <w:rFonts w:hAnsi="宋体"/>
          <w:color w:val="auto"/>
          <w:sz w:val="24"/>
          <w:szCs w:val="24"/>
        </w:rPr>
      </w:pPr>
      <w:bookmarkStart w:id="28" w:name="_Toc232819545"/>
      <w:bookmarkStart w:id="29" w:name="_Toc245714168"/>
      <w:bookmarkStart w:id="30" w:name="_Toc273602350"/>
      <w:bookmarkStart w:id="31" w:name="_Toc516969091"/>
      <w:bookmarkStart w:id="32" w:name="_Toc297563648"/>
      <w:bookmarkStart w:id="33" w:name="_Toc328559331"/>
      <w:r>
        <w:rPr>
          <w:rFonts w:hint="eastAsia" w:hAnsi="宋体"/>
          <w:color w:val="auto"/>
          <w:sz w:val="24"/>
          <w:szCs w:val="24"/>
        </w:rPr>
        <w:t>第六章 定标与签订合同</w:t>
      </w:r>
      <w:bookmarkEnd w:id="28"/>
      <w:bookmarkEnd w:id="29"/>
      <w:bookmarkEnd w:id="30"/>
      <w:bookmarkEnd w:id="31"/>
      <w:bookmarkEnd w:id="32"/>
      <w:bookmarkEnd w:id="33"/>
    </w:p>
    <w:p w14:paraId="634A9B87">
      <w:pPr>
        <w:spacing w:line="360" w:lineRule="auto"/>
        <w:ind w:firstLine="482" w:firstLineChars="200"/>
        <w:rPr>
          <w:rFonts w:ascii="宋体" w:hAnsi="宋体"/>
          <w:b/>
          <w:color w:val="auto"/>
          <w:sz w:val="24"/>
          <w:szCs w:val="24"/>
        </w:rPr>
      </w:pPr>
      <w:r>
        <w:rPr>
          <w:rFonts w:hint="eastAsia" w:ascii="宋体" w:hAnsi="宋体"/>
          <w:b/>
          <w:color w:val="auto"/>
          <w:sz w:val="24"/>
          <w:szCs w:val="24"/>
        </w:rPr>
        <w:t>一、定标</w:t>
      </w:r>
    </w:p>
    <w:p w14:paraId="62ED52B7">
      <w:pPr>
        <w:spacing w:line="360" w:lineRule="auto"/>
        <w:ind w:firstLine="480" w:firstLineChars="200"/>
        <w:rPr>
          <w:rFonts w:ascii="宋体" w:hAnsi="宋体"/>
          <w:color w:val="auto"/>
          <w:sz w:val="24"/>
          <w:szCs w:val="24"/>
        </w:rPr>
      </w:pPr>
      <w:r>
        <w:rPr>
          <w:rFonts w:hint="eastAsia" w:ascii="宋体" w:hAnsi="宋体"/>
          <w:color w:val="auto"/>
          <w:sz w:val="24"/>
          <w:szCs w:val="24"/>
        </w:rPr>
        <w:t>1、评委会按招标文件规定的评标办法排出中标候选人。</w:t>
      </w:r>
    </w:p>
    <w:p w14:paraId="19491A01">
      <w:pPr>
        <w:spacing w:line="360" w:lineRule="auto"/>
        <w:ind w:firstLine="480" w:firstLineChars="200"/>
        <w:rPr>
          <w:rFonts w:ascii="宋体" w:hAnsi="宋体"/>
          <w:color w:val="auto"/>
          <w:sz w:val="24"/>
          <w:szCs w:val="24"/>
        </w:rPr>
      </w:pPr>
      <w:r>
        <w:rPr>
          <w:rFonts w:hint="eastAsia" w:ascii="宋体" w:hAnsi="宋体"/>
          <w:color w:val="auto"/>
          <w:sz w:val="24"/>
          <w:szCs w:val="24"/>
        </w:rPr>
        <w:t>2、如评委会认为有必要，首先对第一中标候选人就投标文件所提供的内容进行资格审查。资格审查视为本项目采购活动的延续，以书面报告作为最终审查的结果。如果确定第一中标候选人无法履行合同，将按排名依次对其余中标候选人进行类似的审查。</w:t>
      </w:r>
    </w:p>
    <w:p w14:paraId="554F3A3C">
      <w:pPr>
        <w:spacing w:line="360" w:lineRule="auto"/>
        <w:ind w:firstLine="480" w:firstLineChars="200"/>
        <w:rPr>
          <w:rFonts w:ascii="宋体" w:hAnsi="宋体"/>
          <w:color w:val="auto"/>
          <w:sz w:val="24"/>
          <w:szCs w:val="24"/>
        </w:rPr>
      </w:pPr>
      <w:r>
        <w:rPr>
          <w:rFonts w:hint="eastAsia" w:ascii="宋体" w:hAnsi="宋体"/>
          <w:color w:val="auto"/>
          <w:sz w:val="24"/>
          <w:szCs w:val="24"/>
        </w:rPr>
        <w:t>3、原则上把合同授予实质上响应招标文件要求的排名最前的中标候选人或通过上条资格审查的中标候选人。</w:t>
      </w:r>
    </w:p>
    <w:p w14:paraId="2BE98317">
      <w:pPr>
        <w:spacing w:line="360" w:lineRule="auto"/>
        <w:ind w:firstLine="480" w:firstLineChars="200"/>
        <w:rPr>
          <w:rFonts w:ascii="宋体" w:hAnsi="宋体"/>
          <w:color w:val="auto"/>
          <w:sz w:val="24"/>
          <w:szCs w:val="24"/>
        </w:rPr>
      </w:pPr>
      <w:r>
        <w:rPr>
          <w:rFonts w:hint="eastAsia" w:ascii="宋体" w:hAnsi="宋体"/>
          <w:color w:val="auto"/>
          <w:sz w:val="24"/>
          <w:szCs w:val="24"/>
        </w:rPr>
        <w:t>4、 最低报价并不是被授予合同的保证。</w:t>
      </w:r>
    </w:p>
    <w:p w14:paraId="0D0100DA">
      <w:pPr>
        <w:spacing w:line="360" w:lineRule="auto"/>
        <w:ind w:firstLine="482" w:firstLineChars="200"/>
        <w:rPr>
          <w:rFonts w:ascii="宋体" w:hAnsi="宋体"/>
          <w:b/>
          <w:color w:val="auto"/>
          <w:sz w:val="24"/>
          <w:szCs w:val="24"/>
        </w:rPr>
      </w:pPr>
      <w:r>
        <w:rPr>
          <w:rFonts w:hint="eastAsia" w:ascii="宋体" w:hAnsi="宋体"/>
          <w:b/>
          <w:color w:val="auto"/>
          <w:sz w:val="24"/>
          <w:szCs w:val="24"/>
        </w:rPr>
        <w:t>二、中标通知书</w:t>
      </w:r>
    </w:p>
    <w:p w14:paraId="3DFB49DA">
      <w:pPr>
        <w:spacing w:line="360" w:lineRule="auto"/>
        <w:ind w:firstLine="480" w:firstLineChars="200"/>
        <w:rPr>
          <w:rFonts w:ascii="宋体" w:hAnsi="宋体"/>
          <w:color w:val="auto"/>
          <w:sz w:val="24"/>
          <w:szCs w:val="24"/>
        </w:rPr>
      </w:pPr>
      <w:r>
        <w:rPr>
          <w:rFonts w:hint="eastAsia" w:ascii="宋体" w:hAnsi="宋体"/>
          <w:color w:val="auto"/>
          <w:sz w:val="24"/>
          <w:szCs w:val="24"/>
        </w:rPr>
        <w:t>1、招标人将以中标通知书形式通知中标人，其投标已被接受。</w:t>
      </w:r>
    </w:p>
    <w:p w14:paraId="594261E6">
      <w:pPr>
        <w:spacing w:line="360" w:lineRule="auto"/>
        <w:ind w:firstLine="480" w:firstLineChars="200"/>
        <w:rPr>
          <w:rFonts w:ascii="宋体" w:hAnsi="宋体"/>
          <w:color w:val="auto"/>
          <w:sz w:val="24"/>
          <w:szCs w:val="24"/>
        </w:rPr>
      </w:pPr>
      <w:r>
        <w:rPr>
          <w:rFonts w:hint="eastAsia" w:ascii="宋体" w:hAnsi="宋体"/>
          <w:color w:val="auto"/>
          <w:sz w:val="24"/>
          <w:szCs w:val="24"/>
        </w:rPr>
        <w:t>2、招标人对未中标的投标人不做未中标原因的解释。</w:t>
      </w:r>
    </w:p>
    <w:p w14:paraId="68601D9D">
      <w:pPr>
        <w:spacing w:line="360" w:lineRule="auto"/>
        <w:ind w:firstLine="482" w:firstLineChars="200"/>
        <w:rPr>
          <w:rFonts w:ascii="宋体" w:hAnsi="宋体"/>
          <w:b/>
          <w:color w:val="auto"/>
          <w:sz w:val="24"/>
          <w:szCs w:val="24"/>
        </w:rPr>
      </w:pPr>
      <w:r>
        <w:rPr>
          <w:rFonts w:hint="eastAsia" w:ascii="宋体" w:hAnsi="宋体"/>
          <w:b/>
          <w:color w:val="auto"/>
          <w:sz w:val="24"/>
          <w:szCs w:val="24"/>
        </w:rPr>
        <w:t>三、签订合同</w:t>
      </w:r>
    </w:p>
    <w:p w14:paraId="0D1A6796">
      <w:pPr>
        <w:spacing w:line="360" w:lineRule="auto"/>
        <w:ind w:firstLine="480" w:firstLineChars="200"/>
        <w:rPr>
          <w:rFonts w:ascii="宋体" w:hAnsi="宋体"/>
          <w:color w:val="auto"/>
          <w:sz w:val="24"/>
          <w:szCs w:val="24"/>
        </w:rPr>
      </w:pPr>
      <w:r>
        <w:rPr>
          <w:rFonts w:hint="eastAsia" w:ascii="宋体" w:hAnsi="宋体"/>
          <w:color w:val="auto"/>
          <w:sz w:val="24"/>
          <w:szCs w:val="24"/>
        </w:rPr>
        <w:t>1、中标人应在中标通知书发出之日起三十日内（具体时间、地点见中标通知书）与委托人签订合同。招标文件、中标人的投标文件及澄清文件等，均作为合同的附件。</w:t>
      </w:r>
    </w:p>
    <w:p w14:paraId="29C21F92">
      <w:pPr>
        <w:spacing w:line="360" w:lineRule="auto"/>
        <w:ind w:firstLine="480" w:firstLineChars="200"/>
        <w:rPr>
          <w:rFonts w:ascii="宋体" w:hAnsi="宋体"/>
          <w:color w:val="auto"/>
          <w:sz w:val="24"/>
          <w:szCs w:val="24"/>
        </w:rPr>
      </w:pPr>
      <w:r>
        <w:rPr>
          <w:rFonts w:hint="eastAsia" w:ascii="宋体" w:hAnsi="宋体"/>
          <w:color w:val="auto"/>
          <w:sz w:val="24"/>
          <w:szCs w:val="24"/>
        </w:rPr>
        <w:t>2、招标人保留以书面形式要求合同的卖方对其所投服务的地点及服务细则等作适当调整的权利。</w:t>
      </w:r>
    </w:p>
    <w:p w14:paraId="5A17D315">
      <w:pPr>
        <w:spacing w:line="360" w:lineRule="auto"/>
        <w:ind w:firstLine="482" w:firstLineChars="200"/>
        <w:rPr>
          <w:rFonts w:ascii="宋体" w:hAnsi="宋体"/>
          <w:b/>
          <w:color w:val="auto"/>
          <w:sz w:val="24"/>
          <w:szCs w:val="24"/>
        </w:rPr>
      </w:pPr>
      <w:r>
        <w:rPr>
          <w:rFonts w:hint="eastAsia" w:ascii="宋体" w:hAnsi="宋体"/>
          <w:b/>
          <w:color w:val="auto"/>
          <w:sz w:val="24"/>
          <w:szCs w:val="24"/>
        </w:rPr>
        <w:t>四、未尽事宜</w:t>
      </w:r>
    </w:p>
    <w:p w14:paraId="629E440E">
      <w:pPr>
        <w:spacing w:line="360" w:lineRule="auto"/>
        <w:ind w:firstLine="480" w:firstLineChars="200"/>
        <w:rPr>
          <w:rFonts w:ascii="宋体" w:hAnsi="宋体"/>
          <w:b/>
          <w:color w:val="auto"/>
          <w:sz w:val="24"/>
          <w:szCs w:val="24"/>
        </w:rPr>
      </w:pPr>
      <w:r>
        <w:rPr>
          <w:rFonts w:hint="eastAsia" w:ascii="宋体" w:hAnsi="宋体"/>
          <w:color w:val="auto"/>
          <w:sz w:val="24"/>
          <w:szCs w:val="24"/>
        </w:rPr>
        <w:t>按</w:t>
      </w:r>
      <w:r>
        <w:rPr>
          <w:rFonts w:hint="eastAsia" w:ascii="宋体" w:hAnsi="宋体"/>
          <w:bCs/>
          <w:color w:val="auto"/>
          <w:sz w:val="24"/>
        </w:rPr>
        <w:t>《中华人民共和国招标投标法》、</w:t>
      </w:r>
      <w:r>
        <w:rPr>
          <w:rFonts w:hint="eastAsia" w:ascii="宋体" w:hAnsi="宋体"/>
          <w:color w:val="auto"/>
          <w:sz w:val="24"/>
          <w:szCs w:val="24"/>
        </w:rPr>
        <w:t>《中华人民共和国政府采购法》及其他有关法律法规的规定执行。</w:t>
      </w:r>
    </w:p>
    <w:p w14:paraId="043AD465">
      <w:pPr>
        <w:spacing w:line="360" w:lineRule="auto"/>
        <w:ind w:firstLine="482" w:firstLineChars="200"/>
        <w:rPr>
          <w:rFonts w:ascii="宋体" w:hAnsi="宋体"/>
          <w:b/>
          <w:color w:val="auto"/>
          <w:sz w:val="24"/>
          <w:szCs w:val="24"/>
        </w:rPr>
      </w:pPr>
      <w:r>
        <w:rPr>
          <w:rFonts w:hint="eastAsia" w:ascii="宋体" w:hAnsi="宋体"/>
          <w:b/>
          <w:color w:val="auto"/>
          <w:sz w:val="24"/>
          <w:szCs w:val="24"/>
        </w:rPr>
        <w:t>五、解释权</w:t>
      </w:r>
    </w:p>
    <w:p w14:paraId="06AEF3B6">
      <w:pPr>
        <w:spacing w:line="360" w:lineRule="auto"/>
        <w:ind w:firstLine="480" w:firstLineChars="200"/>
        <w:rPr>
          <w:rFonts w:ascii="宋体" w:hAnsi="宋体"/>
          <w:bCs/>
          <w:color w:val="auto"/>
          <w:sz w:val="24"/>
          <w:szCs w:val="24"/>
        </w:rPr>
      </w:pPr>
      <w:r>
        <w:rPr>
          <w:rFonts w:hint="eastAsia" w:ascii="宋体" w:hAnsi="宋体"/>
          <w:bCs/>
          <w:color w:val="auto"/>
          <w:sz w:val="24"/>
          <w:szCs w:val="24"/>
        </w:rPr>
        <w:t>本招标文件的解释权属于</w:t>
      </w:r>
      <w:r>
        <w:rPr>
          <w:rFonts w:hint="eastAsia" w:ascii="宋体" w:hAnsi="宋体"/>
          <w:bCs/>
          <w:color w:val="auto"/>
          <w:sz w:val="24"/>
          <w:szCs w:val="24"/>
          <w:lang w:eastAsia="zh-CN"/>
        </w:rPr>
        <w:t>合肥滨湖投资控股集团有限公司</w:t>
      </w:r>
      <w:r>
        <w:rPr>
          <w:rFonts w:hint="eastAsia" w:ascii="宋体" w:hAnsi="宋体"/>
          <w:bCs/>
          <w:color w:val="auto"/>
          <w:sz w:val="24"/>
          <w:szCs w:val="24"/>
        </w:rPr>
        <w:t>。</w:t>
      </w:r>
    </w:p>
    <w:p w14:paraId="673F16EB">
      <w:pPr>
        <w:spacing w:line="360" w:lineRule="auto"/>
        <w:ind w:firstLine="480" w:firstLineChars="200"/>
        <w:jc w:val="center"/>
        <w:rPr>
          <w:rFonts w:ascii="宋体" w:hAnsi="宋体"/>
          <w:color w:val="auto"/>
          <w:szCs w:val="36"/>
        </w:rPr>
      </w:pPr>
      <w:r>
        <w:rPr>
          <w:rFonts w:hint="eastAsia" w:ascii="宋体" w:hAnsi="宋体"/>
          <w:bCs/>
          <w:color w:val="auto"/>
          <w:sz w:val="24"/>
          <w:szCs w:val="24"/>
        </w:rPr>
        <w:br w:type="page"/>
      </w:r>
      <w:bookmarkStart w:id="34" w:name="_Toc220232392"/>
      <w:bookmarkStart w:id="35" w:name="_Toc236562395"/>
      <w:bookmarkStart w:id="36" w:name="_Toc328559332"/>
      <w:r>
        <w:rPr>
          <w:rFonts w:hint="eastAsia" w:ascii="宋体" w:hAnsi="宋体"/>
          <w:b/>
          <w:bCs/>
          <w:color w:val="auto"/>
          <w:sz w:val="36"/>
          <w:szCs w:val="36"/>
        </w:rPr>
        <w:t xml:space="preserve">第七章 </w:t>
      </w:r>
      <w:r>
        <w:rPr>
          <w:rFonts w:ascii="宋体" w:hAnsi="宋体"/>
          <w:b/>
          <w:bCs/>
          <w:color w:val="auto"/>
          <w:sz w:val="36"/>
          <w:szCs w:val="36"/>
        </w:rPr>
        <w:t>合同</w:t>
      </w:r>
      <w:bookmarkEnd w:id="34"/>
      <w:r>
        <w:rPr>
          <w:rFonts w:hint="eastAsia" w:ascii="宋体" w:hAnsi="宋体"/>
          <w:b/>
          <w:bCs/>
          <w:color w:val="auto"/>
          <w:sz w:val="36"/>
          <w:szCs w:val="36"/>
        </w:rPr>
        <w:t>文本及主要条款</w:t>
      </w:r>
      <w:bookmarkEnd w:id="35"/>
      <w:bookmarkEnd w:id="36"/>
    </w:p>
    <w:p w14:paraId="20532AC9">
      <w:pPr>
        <w:pStyle w:val="3"/>
        <w:ind w:firstLine="643" w:firstLineChars="200"/>
        <w:jc w:val="center"/>
        <w:rPr>
          <w:rFonts w:ascii="Times New Roman" w:hAnsi="Times New Roman"/>
          <w:color w:val="auto"/>
        </w:rPr>
      </w:pPr>
      <w:bookmarkStart w:id="37" w:name="_Toc245714170"/>
      <w:bookmarkStart w:id="38" w:name="_Toc245028818"/>
      <w:bookmarkStart w:id="39" w:name="_Toc273602352"/>
      <w:r>
        <w:rPr>
          <w:rFonts w:hint="eastAsia" w:ascii="Times New Roman" w:hAnsi="Times New Roman"/>
          <w:color w:val="auto"/>
        </w:rPr>
        <w:t>合同协议书</w:t>
      </w:r>
    </w:p>
    <w:p w14:paraId="182AF587">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委托人（全称）：</w:t>
      </w:r>
      <w:r>
        <w:rPr>
          <w:rFonts w:hint="eastAsia" w:ascii="宋体" w:hAnsi="宋体"/>
          <w:b/>
          <w:color w:val="auto"/>
          <w:szCs w:val="21"/>
          <w:u w:val="single"/>
        </w:rPr>
        <w:t xml:space="preserve"> </w:t>
      </w:r>
      <w:r>
        <w:rPr>
          <w:rFonts w:hint="eastAsia" w:ascii="宋体" w:hAnsi="宋体"/>
          <w:b/>
          <w:color w:val="auto"/>
          <w:szCs w:val="21"/>
          <w:u w:val="single"/>
          <w:lang w:val="en-US" w:eastAsia="zh-CN"/>
        </w:rPr>
        <w:t xml:space="preserve">                                </w:t>
      </w:r>
      <w:r>
        <w:rPr>
          <w:rFonts w:hint="eastAsia" w:ascii="宋体" w:hAnsi="宋体"/>
          <w:b/>
          <w:color w:val="auto"/>
          <w:szCs w:val="21"/>
          <w:u w:val="single"/>
        </w:rPr>
        <w:t xml:space="preserve"> </w:t>
      </w:r>
    </w:p>
    <w:p w14:paraId="2F9EC8BE">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监理人（全称）：</w:t>
      </w:r>
      <w:r>
        <w:rPr>
          <w:rFonts w:hint="eastAsia" w:ascii="宋体" w:hAnsi="宋体"/>
          <w:b/>
          <w:color w:val="auto"/>
          <w:szCs w:val="21"/>
          <w:u w:val="single"/>
        </w:rPr>
        <w:t xml:space="preserve">                                  </w:t>
      </w:r>
    </w:p>
    <w:p w14:paraId="351B3584">
      <w:pPr>
        <w:adjustRightInd w:val="0"/>
        <w:snapToGrid w:val="0"/>
        <w:spacing w:line="360" w:lineRule="auto"/>
        <w:ind w:firstLine="420" w:firstLineChars="200"/>
        <w:rPr>
          <w:color w:val="auto"/>
          <w:szCs w:val="21"/>
        </w:rPr>
      </w:pPr>
      <w:r>
        <w:rPr>
          <w:rFonts w:hint="eastAsia" w:ascii="宋体" w:hAnsi="宋体"/>
          <w:color w:val="auto"/>
          <w:szCs w:val="21"/>
        </w:rPr>
        <w:t>根据《中华人民共和国民法典》、《中华人民共和国建筑法》及其他有关法律、法规，遵循平等、自愿、公平和诚信的原则，双方就下述工程委托监理与相关服务事项协商一致，订立本合同。</w:t>
      </w:r>
    </w:p>
    <w:p w14:paraId="44166C66">
      <w:pPr>
        <w:spacing w:line="360" w:lineRule="auto"/>
        <w:ind w:firstLine="417" w:firstLineChars="198"/>
        <w:outlineLvl w:val="0"/>
        <w:rPr>
          <w:rFonts w:ascii="宋体" w:hAnsi="宋体"/>
          <w:b/>
          <w:color w:val="auto"/>
          <w:szCs w:val="21"/>
        </w:rPr>
      </w:pPr>
      <w:r>
        <w:rPr>
          <w:rFonts w:hint="eastAsia" w:ascii="宋体" w:hAnsi="宋体"/>
          <w:b/>
          <w:color w:val="auto"/>
          <w:szCs w:val="21"/>
        </w:rPr>
        <w:t>一、工程概况</w:t>
      </w:r>
    </w:p>
    <w:p w14:paraId="3EE13564">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1. 工程名称：</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w:t>
      </w:r>
    </w:p>
    <w:p w14:paraId="5CB42A7B">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2. 工程地点：</w:t>
      </w:r>
      <w:r>
        <w:rPr>
          <w:rFonts w:hint="eastAsia" w:ascii="Times New Roman" w:hAnsi="Times New Roman"/>
          <w:color w:val="auto"/>
          <w:szCs w:val="21"/>
          <w:u w:val="single"/>
          <w:lang w:val="en-US" w:eastAsia="zh-CN"/>
        </w:rPr>
        <w:t xml:space="preserve">                            </w:t>
      </w:r>
      <w:r>
        <w:rPr>
          <w:rFonts w:hint="eastAsia" w:ascii="宋体" w:hAnsi="宋体"/>
          <w:color w:val="auto"/>
          <w:szCs w:val="21"/>
        </w:rPr>
        <w:t>；</w:t>
      </w:r>
    </w:p>
    <w:p w14:paraId="1A14EFA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 工程规模：</w:t>
      </w:r>
      <w:r>
        <w:rPr>
          <w:rFonts w:hint="eastAsia" w:ascii="Times New Roman" w:hAnsi="Times New Roman"/>
          <w:color w:val="auto"/>
          <w:u w:val="single"/>
          <w:lang w:val="en-US" w:eastAsia="zh-CN"/>
        </w:rPr>
        <w:t xml:space="preserve">                         </w:t>
      </w:r>
      <w:r>
        <w:rPr>
          <w:rFonts w:hint="eastAsia" w:ascii="Times New Roman" w:hAnsi="Times New Roman"/>
          <w:color w:val="auto"/>
          <w:u w:val="single"/>
        </w:rPr>
        <w:t>。</w:t>
      </w:r>
    </w:p>
    <w:p w14:paraId="5CAE323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 工程概算投资额或建筑安装工程费：</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w:t>
      </w:r>
    </w:p>
    <w:p w14:paraId="7F44C3C6">
      <w:pPr>
        <w:spacing w:line="360" w:lineRule="auto"/>
        <w:ind w:firstLine="417" w:firstLineChars="198"/>
        <w:rPr>
          <w:rFonts w:ascii="宋体" w:hAnsi="宋体"/>
          <w:b/>
          <w:color w:val="auto"/>
          <w:szCs w:val="21"/>
        </w:rPr>
      </w:pPr>
      <w:r>
        <w:rPr>
          <w:rFonts w:hint="eastAsia" w:ascii="宋体" w:hAnsi="宋体"/>
          <w:b/>
          <w:color w:val="auto"/>
          <w:szCs w:val="21"/>
        </w:rPr>
        <w:t>二、词语限定</w:t>
      </w:r>
    </w:p>
    <w:p w14:paraId="0BD2CA86">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协议书中相关词语的含义与通用条件中的定义与解释相同。</w:t>
      </w:r>
    </w:p>
    <w:p w14:paraId="5300B8C7">
      <w:pPr>
        <w:spacing w:line="360" w:lineRule="auto"/>
        <w:ind w:firstLine="417" w:firstLineChars="198"/>
        <w:outlineLvl w:val="0"/>
        <w:rPr>
          <w:rFonts w:ascii="宋体" w:hAnsi="宋体"/>
          <w:b/>
          <w:color w:val="auto"/>
          <w:szCs w:val="21"/>
        </w:rPr>
      </w:pPr>
      <w:r>
        <w:rPr>
          <w:rFonts w:hint="eastAsia" w:ascii="宋体" w:hAnsi="宋体"/>
          <w:b/>
          <w:color w:val="auto"/>
          <w:szCs w:val="21"/>
        </w:rPr>
        <w:t>三、组成本合同的文件</w:t>
      </w:r>
    </w:p>
    <w:p w14:paraId="4F3313ED">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1. 协议书；</w:t>
      </w:r>
    </w:p>
    <w:p w14:paraId="6A6C0BEA">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2. 中标通知书（适用于招标工程）或委托书（适用于非招标工程）；</w:t>
      </w:r>
    </w:p>
    <w:p w14:paraId="06E7E819">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3. 投标文件（适用于招标工程）或监理与相关服务建议书（适用于非招标工程）；</w:t>
      </w:r>
    </w:p>
    <w:p w14:paraId="465C556F">
      <w:pPr>
        <w:adjustRightInd w:val="0"/>
        <w:snapToGrid w:val="0"/>
        <w:spacing w:line="360" w:lineRule="auto"/>
        <w:rPr>
          <w:rFonts w:ascii="宋体" w:hAnsi="宋体"/>
          <w:color w:val="auto"/>
          <w:szCs w:val="21"/>
        </w:rPr>
      </w:pPr>
      <w:r>
        <w:rPr>
          <w:rFonts w:hint="eastAsia" w:ascii="宋体" w:hAnsi="宋体"/>
          <w:color w:val="auto"/>
          <w:szCs w:val="21"/>
        </w:rPr>
        <w:t xml:space="preserve">    4. 专用条件；</w:t>
      </w:r>
    </w:p>
    <w:p w14:paraId="7B3D2435">
      <w:pPr>
        <w:adjustRightInd w:val="0"/>
        <w:snapToGrid w:val="0"/>
        <w:spacing w:line="360" w:lineRule="auto"/>
        <w:ind w:firstLine="415" w:firstLineChars="198"/>
        <w:rPr>
          <w:rFonts w:hint="eastAsia" w:ascii="宋体" w:hAnsi="宋体"/>
          <w:color w:val="auto"/>
          <w:szCs w:val="21"/>
        </w:rPr>
      </w:pPr>
      <w:r>
        <w:rPr>
          <w:rFonts w:hint="eastAsia" w:ascii="宋体" w:hAnsi="宋体"/>
          <w:color w:val="auto"/>
          <w:szCs w:val="21"/>
        </w:rPr>
        <w:t>5. 通用条件；</w:t>
      </w:r>
    </w:p>
    <w:p w14:paraId="53629D4A">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6. 附录，即：</w:t>
      </w:r>
    </w:p>
    <w:p w14:paraId="0C2D47E5">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附录A  相关服务的范围和内容</w:t>
      </w:r>
    </w:p>
    <w:p w14:paraId="5FEF092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附录B  委托人派遣的人员和提供的</w:t>
      </w:r>
      <w:r>
        <w:rPr>
          <w:rFonts w:hint="eastAsia" w:ascii="宋体" w:hAnsi="宋体"/>
          <w:bCs/>
          <w:color w:val="auto"/>
          <w:szCs w:val="21"/>
        </w:rPr>
        <w:t>房屋、资料</w:t>
      </w:r>
      <w:r>
        <w:rPr>
          <w:rFonts w:hint="eastAsia" w:ascii="宋体" w:hAnsi="宋体"/>
          <w:color w:val="auto"/>
          <w:szCs w:val="21"/>
        </w:rPr>
        <w:t>、设备</w:t>
      </w:r>
    </w:p>
    <w:p w14:paraId="0D19DAD9">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本合同签订后，双方依法签订的补充协议也是本合同文件的组成部分。</w:t>
      </w:r>
    </w:p>
    <w:p w14:paraId="58491022">
      <w:pPr>
        <w:spacing w:line="360" w:lineRule="auto"/>
        <w:ind w:firstLine="417" w:firstLineChars="198"/>
        <w:outlineLvl w:val="0"/>
        <w:rPr>
          <w:rFonts w:ascii="宋体" w:hAnsi="宋体"/>
          <w:b/>
          <w:color w:val="auto"/>
          <w:szCs w:val="21"/>
        </w:rPr>
      </w:pPr>
      <w:r>
        <w:rPr>
          <w:rFonts w:hint="eastAsia" w:ascii="宋体" w:hAnsi="宋体"/>
          <w:b/>
          <w:color w:val="auto"/>
          <w:szCs w:val="21"/>
        </w:rPr>
        <w:t>四、总监理工程师</w:t>
      </w:r>
    </w:p>
    <w:p w14:paraId="1B40FCF1">
      <w:pPr>
        <w:adjustRightInd w:val="0"/>
        <w:snapToGrid w:val="0"/>
        <w:spacing w:line="360" w:lineRule="auto"/>
        <w:ind w:firstLine="415" w:firstLineChars="198"/>
        <w:rPr>
          <w:rFonts w:hint="eastAsia" w:ascii="宋体" w:hAnsi="宋体"/>
          <w:color w:val="auto"/>
          <w:kern w:val="0"/>
          <w:szCs w:val="21"/>
        </w:rPr>
      </w:pPr>
      <w:r>
        <w:rPr>
          <w:rFonts w:hint="eastAsia" w:ascii="宋体" w:hAnsi="宋体"/>
          <w:color w:val="auto"/>
          <w:kern w:val="0"/>
          <w:szCs w:val="21"/>
        </w:rPr>
        <w:t>总监理工程师姓名：</w:t>
      </w:r>
      <w:r>
        <w:rPr>
          <w:rFonts w:hint="eastAsia" w:ascii="宋体" w:hAnsi="宋体"/>
          <w:color w:val="auto"/>
          <w:kern w:val="0"/>
          <w:szCs w:val="21"/>
          <w:u w:val="single"/>
        </w:rPr>
        <w:t xml:space="preserve">        </w:t>
      </w:r>
      <w:r>
        <w:rPr>
          <w:rFonts w:hint="eastAsia" w:ascii="宋体" w:hAnsi="宋体"/>
          <w:color w:val="auto"/>
          <w:kern w:val="0"/>
          <w:szCs w:val="21"/>
        </w:rPr>
        <w:t>；</w:t>
      </w:r>
    </w:p>
    <w:p w14:paraId="0E8C554C">
      <w:pPr>
        <w:adjustRightInd w:val="0"/>
        <w:snapToGrid w:val="0"/>
        <w:spacing w:line="360" w:lineRule="auto"/>
        <w:ind w:firstLine="415" w:firstLineChars="198"/>
        <w:rPr>
          <w:rFonts w:ascii="宋体" w:hAnsi="宋体"/>
          <w:color w:val="auto"/>
          <w:kern w:val="0"/>
          <w:szCs w:val="21"/>
        </w:rPr>
      </w:pPr>
      <w:r>
        <w:rPr>
          <w:rFonts w:hint="eastAsia" w:ascii="宋体" w:hAnsi="宋体"/>
          <w:color w:val="auto"/>
          <w:kern w:val="0"/>
          <w:szCs w:val="21"/>
        </w:rPr>
        <w:t>身份证号码：</w:t>
      </w:r>
      <w:r>
        <w:rPr>
          <w:rFonts w:hint="eastAsia" w:ascii="宋体" w:hAnsi="宋体"/>
          <w:color w:val="auto"/>
          <w:kern w:val="0"/>
          <w:szCs w:val="21"/>
          <w:u w:val="single"/>
        </w:rPr>
        <w:t xml:space="preserve">                 </w:t>
      </w:r>
      <w:r>
        <w:rPr>
          <w:rFonts w:hint="eastAsia" w:ascii="宋体" w:hAnsi="宋体"/>
          <w:color w:val="auto"/>
          <w:kern w:val="0"/>
          <w:szCs w:val="21"/>
        </w:rPr>
        <w:t>，注册号：</w:t>
      </w:r>
      <w:r>
        <w:rPr>
          <w:rFonts w:hint="eastAsia" w:ascii="宋体" w:hAnsi="宋体"/>
          <w:color w:val="auto"/>
          <w:kern w:val="0"/>
          <w:szCs w:val="21"/>
          <w:u w:val="single"/>
        </w:rPr>
        <w:t xml:space="preserve">          </w:t>
      </w:r>
      <w:r>
        <w:rPr>
          <w:rFonts w:hint="eastAsia" w:ascii="宋体" w:hAnsi="宋体"/>
          <w:color w:val="auto"/>
          <w:kern w:val="0"/>
          <w:szCs w:val="21"/>
        </w:rPr>
        <w:t>。</w:t>
      </w:r>
    </w:p>
    <w:p w14:paraId="43CEE9E0">
      <w:pPr>
        <w:spacing w:line="360" w:lineRule="auto"/>
        <w:ind w:firstLine="417" w:firstLineChars="198"/>
        <w:outlineLvl w:val="0"/>
        <w:rPr>
          <w:rFonts w:ascii="宋体" w:hAnsi="宋体"/>
          <w:b/>
          <w:color w:val="auto"/>
          <w:szCs w:val="21"/>
        </w:rPr>
      </w:pPr>
      <w:r>
        <w:rPr>
          <w:rFonts w:hint="eastAsia" w:ascii="宋体" w:hAnsi="宋体"/>
          <w:b/>
          <w:color w:val="auto"/>
          <w:szCs w:val="21"/>
        </w:rPr>
        <w:t>五、签约酬金</w:t>
      </w:r>
    </w:p>
    <w:p w14:paraId="63C359A1">
      <w:pPr>
        <w:adjustRightInd w:val="0"/>
        <w:snapToGrid w:val="0"/>
        <w:spacing w:line="360" w:lineRule="auto"/>
        <w:ind w:firstLine="415" w:firstLineChars="198"/>
        <w:rPr>
          <w:rFonts w:hint="eastAsia" w:ascii="宋体" w:hAnsi="宋体" w:eastAsia="宋体"/>
          <w:b/>
          <w:bCs/>
          <w:color w:val="auto"/>
          <w:szCs w:val="21"/>
          <w:highlight w:val="none"/>
          <w:u w:val="single"/>
          <w:lang w:eastAsia="zh-CN"/>
        </w:rPr>
      </w:pPr>
      <w:r>
        <w:rPr>
          <w:rFonts w:hint="eastAsia" w:ascii="宋体" w:hAnsi="宋体"/>
          <w:color w:val="auto"/>
          <w:szCs w:val="21"/>
        </w:rPr>
        <w:t>签约酬金（大写）：</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元）。</w:t>
      </w:r>
      <w:r>
        <w:rPr>
          <w:rFonts w:hint="eastAsia" w:ascii="宋体" w:hAnsi="宋体"/>
          <w:b/>
          <w:bCs/>
          <w:color w:val="auto"/>
          <w:szCs w:val="21"/>
          <w:highlight w:val="none"/>
        </w:rPr>
        <w:t>中标费率=</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1.</w:t>
      </w:r>
      <w:r>
        <w:rPr>
          <w:rFonts w:hint="eastAsia" w:ascii="宋体" w:hAnsi="宋体"/>
          <w:b/>
          <w:bCs/>
          <w:color w:val="auto"/>
          <w:szCs w:val="21"/>
          <w:highlight w:val="none"/>
          <w:u w:val="single"/>
          <w:lang w:val="en-US" w:eastAsia="zh-CN"/>
        </w:rPr>
        <w:t>0</w:t>
      </w:r>
      <w:r>
        <w:rPr>
          <w:rFonts w:hint="eastAsia" w:ascii="宋体" w:hAnsi="宋体"/>
          <w:b/>
          <w:bCs/>
          <w:color w:val="auto"/>
          <w:szCs w:val="21"/>
          <w:highlight w:val="none"/>
          <w:u w:val="single"/>
          <w:lang w:eastAsia="zh-CN"/>
        </w:rPr>
        <w:t>%</w:t>
      </w:r>
    </w:p>
    <w:p w14:paraId="2FD42D20">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包括：</w:t>
      </w:r>
    </w:p>
    <w:p w14:paraId="00E2413A">
      <w:pPr>
        <w:adjustRightInd w:val="0"/>
        <w:snapToGrid w:val="0"/>
        <w:spacing w:line="360" w:lineRule="auto"/>
        <w:ind w:firstLine="525" w:firstLineChars="250"/>
        <w:rPr>
          <w:rFonts w:ascii="宋体" w:hAnsi="宋体"/>
          <w:color w:val="auto"/>
          <w:szCs w:val="21"/>
        </w:rPr>
      </w:pPr>
      <w:r>
        <w:rPr>
          <w:rFonts w:hint="eastAsia" w:ascii="宋体" w:hAnsi="宋体"/>
          <w:color w:val="auto"/>
          <w:szCs w:val="21"/>
        </w:rPr>
        <w:t>1. 监理酬金：</w:t>
      </w:r>
      <w:r>
        <w:rPr>
          <w:rFonts w:hint="eastAsia" w:ascii="宋体" w:hAnsi="宋体"/>
          <w:color w:val="auto"/>
          <w:szCs w:val="21"/>
          <w:u w:val="single"/>
        </w:rPr>
        <w:t xml:space="preserve"> 包括完成本合同所需的所有费用，项目监理费结算时不因工期延误等因素变化而做任何调整 </w:t>
      </w:r>
      <w:r>
        <w:rPr>
          <w:rFonts w:hint="eastAsia" w:ascii="宋体" w:hAnsi="宋体"/>
          <w:color w:val="auto"/>
          <w:szCs w:val="21"/>
        </w:rPr>
        <w:t>。</w:t>
      </w:r>
    </w:p>
    <w:p w14:paraId="7BEC98C8">
      <w:pPr>
        <w:adjustRightInd w:val="0"/>
        <w:snapToGrid w:val="0"/>
        <w:spacing w:line="360" w:lineRule="auto"/>
        <w:ind w:firstLine="525" w:firstLineChars="250"/>
        <w:rPr>
          <w:rFonts w:ascii="宋体" w:hAnsi="宋体"/>
          <w:color w:val="auto"/>
          <w:szCs w:val="21"/>
        </w:rPr>
      </w:pPr>
      <w:r>
        <w:rPr>
          <w:rFonts w:hint="eastAsia" w:ascii="宋体" w:hAnsi="宋体"/>
          <w:color w:val="auto"/>
          <w:szCs w:val="21"/>
        </w:rPr>
        <w:t>2. 相关服务酬金：</w:t>
      </w:r>
      <w:r>
        <w:rPr>
          <w:rFonts w:hint="eastAsia" w:ascii="宋体" w:hAnsi="宋体"/>
          <w:color w:val="auto"/>
          <w:szCs w:val="21"/>
          <w:u w:val="single"/>
        </w:rPr>
        <w:t xml:space="preserve">   /    </w:t>
      </w:r>
      <w:r>
        <w:rPr>
          <w:rFonts w:hint="eastAsia" w:ascii="宋体" w:hAnsi="宋体"/>
          <w:color w:val="auto"/>
          <w:szCs w:val="21"/>
        </w:rPr>
        <w:t>。</w:t>
      </w:r>
    </w:p>
    <w:p w14:paraId="5AA698EE">
      <w:pPr>
        <w:adjustRightInd w:val="0"/>
        <w:snapToGrid w:val="0"/>
        <w:spacing w:line="360" w:lineRule="auto"/>
        <w:ind w:firstLine="525" w:firstLineChars="250"/>
        <w:rPr>
          <w:rFonts w:hint="eastAsia" w:ascii="宋体" w:hAnsi="宋体"/>
          <w:color w:val="auto"/>
          <w:szCs w:val="21"/>
        </w:rPr>
      </w:pPr>
      <w:r>
        <w:rPr>
          <w:rFonts w:hint="eastAsia" w:ascii="宋体" w:hAnsi="宋体"/>
          <w:color w:val="auto"/>
          <w:szCs w:val="21"/>
        </w:rPr>
        <w:t>其中：</w:t>
      </w:r>
    </w:p>
    <w:p w14:paraId="3F01CDD9">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（1）勘察阶段服务</w:t>
      </w:r>
      <w:r>
        <w:rPr>
          <w:rFonts w:hint="eastAsia" w:ascii="宋体" w:hAnsi="宋体"/>
          <w:color w:val="auto"/>
          <w:szCs w:val="21"/>
        </w:rPr>
        <w:t>酬金：</w:t>
      </w:r>
      <w:r>
        <w:rPr>
          <w:rFonts w:hint="eastAsia" w:ascii="宋体" w:hAnsi="宋体"/>
          <w:color w:val="auto"/>
          <w:szCs w:val="21"/>
          <w:u w:val="single"/>
        </w:rPr>
        <w:t xml:space="preserve">        /             </w:t>
      </w:r>
      <w:r>
        <w:rPr>
          <w:rFonts w:hint="eastAsia" w:ascii="宋体" w:hAnsi="宋体"/>
          <w:color w:val="auto"/>
          <w:szCs w:val="21"/>
        </w:rPr>
        <w:t>。</w:t>
      </w:r>
    </w:p>
    <w:p w14:paraId="038C2B84">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（2）设计阶段服务</w:t>
      </w:r>
      <w:r>
        <w:rPr>
          <w:rFonts w:hint="eastAsia" w:ascii="宋体" w:hAnsi="宋体"/>
          <w:color w:val="auto"/>
          <w:szCs w:val="21"/>
        </w:rPr>
        <w:t>酬金：</w:t>
      </w:r>
      <w:r>
        <w:rPr>
          <w:rFonts w:hint="eastAsia" w:ascii="宋体" w:hAnsi="宋体"/>
          <w:color w:val="auto"/>
          <w:szCs w:val="21"/>
          <w:u w:val="single"/>
        </w:rPr>
        <w:t xml:space="preserve">       /              </w:t>
      </w:r>
      <w:r>
        <w:rPr>
          <w:rFonts w:hint="eastAsia" w:ascii="宋体" w:hAnsi="宋体"/>
          <w:color w:val="auto"/>
          <w:szCs w:val="21"/>
        </w:rPr>
        <w:t>。</w:t>
      </w:r>
    </w:p>
    <w:p w14:paraId="3E5B423D">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（3）保修阶段服务</w:t>
      </w:r>
      <w:r>
        <w:rPr>
          <w:rFonts w:hint="eastAsia" w:ascii="宋体" w:hAnsi="宋体"/>
          <w:color w:val="auto"/>
          <w:szCs w:val="21"/>
        </w:rPr>
        <w:t>酬金：</w:t>
      </w:r>
      <w:r>
        <w:rPr>
          <w:rFonts w:hint="eastAsia" w:ascii="宋体" w:hAnsi="宋体"/>
          <w:color w:val="auto"/>
          <w:szCs w:val="21"/>
          <w:u w:val="single"/>
        </w:rPr>
        <w:t xml:space="preserve">       /              </w:t>
      </w:r>
      <w:r>
        <w:rPr>
          <w:rFonts w:hint="eastAsia" w:ascii="宋体" w:hAnsi="宋体"/>
          <w:color w:val="auto"/>
          <w:szCs w:val="21"/>
        </w:rPr>
        <w:t>。</w:t>
      </w:r>
    </w:p>
    <w:p w14:paraId="6B863046">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（4）</w:t>
      </w:r>
      <w:r>
        <w:rPr>
          <w:rFonts w:hint="eastAsia" w:ascii="宋体" w:hAnsi="宋体"/>
          <w:color w:val="auto"/>
          <w:szCs w:val="21"/>
        </w:rPr>
        <w:t>其他相关服务酬金：</w:t>
      </w:r>
      <w:r>
        <w:rPr>
          <w:rFonts w:hint="eastAsia" w:ascii="宋体" w:hAnsi="宋体"/>
          <w:color w:val="auto"/>
          <w:szCs w:val="21"/>
          <w:u w:val="single"/>
        </w:rPr>
        <w:t xml:space="preserve">       /              </w:t>
      </w:r>
      <w:r>
        <w:rPr>
          <w:rFonts w:hint="eastAsia" w:ascii="宋体" w:hAnsi="宋体"/>
          <w:color w:val="auto"/>
          <w:szCs w:val="21"/>
        </w:rPr>
        <w:t>。</w:t>
      </w:r>
    </w:p>
    <w:p w14:paraId="0024A62E">
      <w:pPr>
        <w:spacing w:line="360" w:lineRule="auto"/>
        <w:ind w:firstLine="417" w:firstLineChars="198"/>
        <w:outlineLvl w:val="0"/>
        <w:rPr>
          <w:rFonts w:ascii="宋体" w:hAnsi="宋体"/>
          <w:b/>
          <w:color w:val="auto"/>
          <w:szCs w:val="21"/>
        </w:rPr>
      </w:pPr>
      <w:r>
        <w:rPr>
          <w:rFonts w:hint="eastAsia" w:ascii="宋体" w:hAnsi="宋体"/>
          <w:b/>
          <w:color w:val="auto"/>
          <w:szCs w:val="21"/>
        </w:rPr>
        <w:t>六、期限</w:t>
      </w:r>
    </w:p>
    <w:p w14:paraId="61D31630">
      <w:pPr>
        <w:adjustRightInd w:val="0"/>
        <w:snapToGrid w:val="0"/>
        <w:spacing w:line="360" w:lineRule="auto"/>
        <w:ind w:firstLine="525" w:firstLineChars="250"/>
        <w:rPr>
          <w:rFonts w:hint="eastAsia" w:ascii="宋体" w:hAnsi="宋体"/>
          <w:color w:val="auto"/>
          <w:kern w:val="0"/>
          <w:szCs w:val="21"/>
        </w:rPr>
      </w:pPr>
      <w:r>
        <w:rPr>
          <w:rFonts w:hint="eastAsia" w:ascii="宋体" w:hAnsi="宋体"/>
          <w:color w:val="auto"/>
          <w:kern w:val="0"/>
          <w:szCs w:val="21"/>
        </w:rPr>
        <w:t>1. 监理期限：</w:t>
      </w:r>
      <w:r>
        <w:rPr>
          <w:rFonts w:hint="eastAsia" w:ascii="宋体" w:hAnsi="宋体"/>
          <w:color w:val="auto"/>
          <w:kern w:val="0"/>
          <w:szCs w:val="21"/>
          <w:u w:val="single"/>
        </w:rPr>
        <w:t>约</w:t>
      </w:r>
      <w:r>
        <w:rPr>
          <w:rFonts w:hint="eastAsia" w:ascii="宋体" w:hAnsi="宋体"/>
          <w:color w:val="auto"/>
          <w:kern w:val="0"/>
          <w:szCs w:val="21"/>
          <w:u w:val="single"/>
          <w:lang w:val="en-US" w:eastAsia="zh-CN"/>
        </w:rPr>
        <w:t>6</w:t>
      </w:r>
      <w:r>
        <w:rPr>
          <w:rFonts w:hint="eastAsia" w:ascii="宋体" w:hAnsi="宋体"/>
          <w:color w:val="auto"/>
          <w:kern w:val="0"/>
          <w:szCs w:val="21"/>
          <w:u w:val="single"/>
        </w:rPr>
        <w:t>个月。自监理合同签订之日起至竣工验收备案移交且缺陷责任期满回访合格止（包括招标准备阶段、施工图设计阶段、施工阶段、缺陷责任期等）。</w:t>
      </w:r>
    </w:p>
    <w:p w14:paraId="1B341D95">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 xml:space="preserve">2. </w:t>
      </w:r>
      <w:r>
        <w:rPr>
          <w:rFonts w:hint="eastAsia" w:ascii="宋体" w:hAnsi="宋体"/>
          <w:color w:val="auto"/>
          <w:szCs w:val="21"/>
        </w:rPr>
        <w:t>相关服务期限：</w:t>
      </w:r>
    </w:p>
    <w:p w14:paraId="2F91C32D">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（1）勘察阶段</w:t>
      </w:r>
      <w:r>
        <w:rPr>
          <w:rFonts w:hint="eastAsia" w:ascii="宋体" w:hAnsi="宋体"/>
          <w:color w:val="auto"/>
          <w:szCs w:val="21"/>
        </w:rPr>
        <w:t>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530DC6BA">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（2）设计阶段</w:t>
      </w:r>
      <w:r>
        <w:rPr>
          <w:rFonts w:hint="eastAsia" w:ascii="宋体" w:hAnsi="宋体"/>
          <w:color w:val="auto"/>
          <w:szCs w:val="21"/>
        </w:rPr>
        <w:t>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0FCBBD91">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（3）保修阶段</w:t>
      </w:r>
      <w:r>
        <w:rPr>
          <w:rFonts w:hint="eastAsia" w:ascii="宋体" w:hAnsi="宋体"/>
          <w:color w:val="auto"/>
          <w:szCs w:val="21"/>
        </w:rPr>
        <w:t>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4F8B1DF2">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（4）</w:t>
      </w:r>
      <w:r>
        <w:rPr>
          <w:rFonts w:hint="eastAsia" w:ascii="宋体" w:hAnsi="宋体"/>
          <w:color w:val="auto"/>
          <w:szCs w:val="21"/>
        </w:rPr>
        <w:t>其他相关服务期限自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02A95653">
      <w:pPr>
        <w:spacing w:line="360" w:lineRule="auto"/>
        <w:ind w:firstLine="417" w:firstLineChars="198"/>
        <w:outlineLvl w:val="0"/>
        <w:rPr>
          <w:rFonts w:ascii="宋体" w:hAnsi="宋体"/>
          <w:b/>
          <w:color w:val="auto"/>
          <w:szCs w:val="21"/>
        </w:rPr>
      </w:pPr>
      <w:r>
        <w:rPr>
          <w:rFonts w:hint="eastAsia" w:ascii="宋体" w:hAnsi="宋体"/>
          <w:b/>
          <w:color w:val="auto"/>
          <w:szCs w:val="21"/>
        </w:rPr>
        <w:t>七、双方承诺</w:t>
      </w:r>
    </w:p>
    <w:p w14:paraId="6879DD57">
      <w:pPr>
        <w:spacing w:line="360" w:lineRule="auto"/>
        <w:ind w:firstLine="415" w:firstLineChars="198"/>
        <w:outlineLvl w:val="0"/>
        <w:rPr>
          <w:rFonts w:ascii="宋体" w:hAnsi="宋体"/>
          <w:b/>
          <w:color w:val="auto"/>
          <w:szCs w:val="21"/>
        </w:rPr>
      </w:pPr>
      <w:r>
        <w:rPr>
          <w:rFonts w:hint="eastAsia" w:ascii="宋体" w:hAnsi="宋体"/>
          <w:color w:val="auto"/>
          <w:szCs w:val="21"/>
        </w:rPr>
        <w:t>1. 监理人向委托人承诺，按照本合同约定</w:t>
      </w:r>
      <w:r>
        <w:rPr>
          <w:rFonts w:hint="eastAsia" w:ascii="宋体" w:hAnsi="宋体"/>
          <w:color w:val="auto"/>
          <w:kern w:val="0"/>
          <w:szCs w:val="21"/>
        </w:rPr>
        <w:t>提供</w:t>
      </w:r>
      <w:r>
        <w:rPr>
          <w:rFonts w:hint="eastAsia" w:ascii="宋体" w:hAnsi="宋体"/>
          <w:color w:val="auto"/>
          <w:szCs w:val="21"/>
        </w:rPr>
        <w:t>监理与相关服务。</w:t>
      </w:r>
    </w:p>
    <w:p w14:paraId="3EE29F29">
      <w:pPr>
        <w:spacing w:line="360" w:lineRule="auto"/>
        <w:ind w:firstLine="415" w:firstLineChars="198"/>
        <w:outlineLvl w:val="0"/>
        <w:rPr>
          <w:rFonts w:ascii="宋体" w:hAnsi="宋体"/>
          <w:color w:val="auto"/>
          <w:szCs w:val="21"/>
        </w:rPr>
      </w:pPr>
      <w:r>
        <w:rPr>
          <w:rFonts w:hint="eastAsia" w:ascii="宋体" w:hAnsi="宋体"/>
          <w:color w:val="auto"/>
          <w:szCs w:val="21"/>
        </w:rPr>
        <w:t>2. 委托人向监理人承诺，按照本合同约定派遣相应的人员，提供</w:t>
      </w:r>
      <w:r>
        <w:rPr>
          <w:rFonts w:hint="eastAsia" w:ascii="宋体" w:hAnsi="宋体"/>
          <w:bCs/>
          <w:color w:val="auto"/>
          <w:szCs w:val="21"/>
        </w:rPr>
        <w:t>房屋、资料</w:t>
      </w:r>
      <w:r>
        <w:rPr>
          <w:rFonts w:hint="eastAsia" w:ascii="宋体" w:hAnsi="宋体"/>
          <w:color w:val="auto"/>
          <w:szCs w:val="21"/>
        </w:rPr>
        <w:t>、设备，并按本合同约定支付酬金。</w:t>
      </w:r>
    </w:p>
    <w:p w14:paraId="0FAE37D9">
      <w:pPr>
        <w:spacing w:line="360" w:lineRule="auto"/>
        <w:ind w:firstLine="417" w:firstLineChars="198"/>
        <w:outlineLvl w:val="0"/>
        <w:rPr>
          <w:rFonts w:ascii="宋体" w:hAnsi="宋体"/>
          <w:b/>
          <w:color w:val="auto"/>
          <w:szCs w:val="21"/>
        </w:rPr>
      </w:pPr>
      <w:r>
        <w:rPr>
          <w:rFonts w:hint="eastAsia" w:ascii="宋体" w:hAnsi="宋体"/>
          <w:b/>
          <w:color w:val="auto"/>
          <w:szCs w:val="21"/>
        </w:rPr>
        <w:t>八、合同订立</w:t>
      </w:r>
    </w:p>
    <w:p w14:paraId="50819B60">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1. 订立时间：</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A786185">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2. 订立地点：</w:t>
      </w:r>
      <w:r>
        <w:rPr>
          <w:rFonts w:hint="eastAsia" w:ascii="宋体" w:hAnsi="宋体"/>
          <w:color w:val="auto"/>
          <w:szCs w:val="21"/>
          <w:u w:val="single"/>
        </w:rPr>
        <w:t xml:space="preserve"> 合肥市包河区</w:t>
      </w:r>
      <w:r>
        <w:rPr>
          <w:rFonts w:hint="eastAsia" w:ascii="宋体" w:hAnsi="宋体"/>
          <w:color w:val="auto"/>
          <w:szCs w:val="21"/>
          <w:u w:val="single"/>
          <w:lang w:eastAsia="zh-CN"/>
        </w:rPr>
        <w:t>滨湖集团</w:t>
      </w:r>
      <w:r>
        <w:rPr>
          <w:rFonts w:hint="eastAsia" w:ascii="宋体" w:hAnsi="宋体"/>
          <w:color w:val="auto"/>
          <w:szCs w:val="21"/>
          <w:u w:val="single"/>
        </w:rPr>
        <w:t xml:space="preserve"> </w:t>
      </w:r>
      <w:r>
        <w:rPr>
          <w:rFonts w:hint="eastAsia" w:ascii="宋体" w:hAnsi="宋体"/>
          <w:color w:val="auto"/>
          <w:szCs w:val="21"/>
        </w:rPr>
        <w:t>。</w:t>
      </w:r>
    </w:p>
    <w:p w14:paraId="74E7D1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 本合同一式</w:t>
      </w:r>
      <w:r>
        <w:rPr>
          <w:rFonts w:hint="eastAsia" w:ascii="宋体" w:hAnsi="宋体"/>
          <w:color w:val="auto"/>
          <w:szCs w:val="21"/>
          <w:u w:val="single"/>
        </w:rPr>
        <w:t xml:space="preserve"> </w:t>
      </w:r>
      <w:r>
        <w:rPr>
          <w:rFonts w:hint="eastAsia" w:ascii="宋体" w:hAnsi="宋体" w:cs="宋体"/>
          <w:color w:val="auto"/>
          <w:spacing w:val="-3"/>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份，具有同等法律效力，甲方执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份，乙方执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w:t>
      </w:r>
    </w:p>
    <w:tbl>
      <w:tblPr>
        <w:tblStyle w:val="57"/>
        <w:tblpPr w:leftFromText="180" w:rightFromText="180" w:vertAnchor="text" w:horzAnchor="page" w:tblpXSpec="center" w:tblpY="392"/>
        <w:tblOverlap w:val="never"/>
        <w:tblW w:w="10031" w:type="dxa"/>
        <w:tblInd w:w="0" w:type="dxa"/>
        <w:tblLayout w:type="autofit"/>
        <w:tblCellMar>
          <w:top w:w="0" w:type="dxa"/>
          <w:left w:w="108" w:type="dxa"/>
          <w:bottom w:w="0" w:type="dxa"/>
          <w:right w:w="108" w:type="dxa"/>
        </w:tblCellMar>
      </w:tblPr>
      <w:tblGrid>
        <w:gridCol w:w="4928"/>
        <w:gridCol w:w="5103"/>
      </w:tblGrid>
      <w:tr w14:paraId="1EC91FE9">
        <w:tblPrEx>
          <w:tblCellMar>
            <w:top w:w="0" w:type="dxa"/>
            <w:left w:w="108" w:type="dxa"/>
            <w:bottom w:w="0" w:type="dxa"/>
            <w:right w:w="108" w:type="dxa"/>
          </w:tblCellMar>
        </w:tblPrEx>
        <w:trPr>
          <w:trHeight w:val="97" w:hRule="atLeast"/>
        </w:trPr>
        <w:tc>
          <w:tcPr>
            <w:tcW w:w="4928" w:type="dxa"/>
            <w:shd w:val="clear" w:color="auto" w:fill="auto"/>
            <w:noWrap w:val="0"/>
            <w:vAlign w:val="center"/>
          </w:tcPr>
          <w:p w14:paraId="7875B635">
            <w:pPr>
              <w:adjustRightInd w:val="0"/>
              <w:snapToGrid w:val="0"/>
              <w:spacing w:line="276" w:lineRule="auto"/>
              <w:rPr>
                <w:rFonts w:ascii="宋体" w:hAnsi="宋体"/>
                <w:color w:val="auto"/>
                <w:kern w:val="0"/>
                <w:szCs w:val="21"/>
              </w:rPr>
            </w:pPr>
            <w:r>
              <w:rPr>
                <w:rFonts w:hint="eastAsia" w:ascii="宋体" w:hAnsi="宋体"/>
                <w:color w:val="auto"/>
                <w:kern w:val="0"/>
                <w:szCs w:val="21"/>
              </w:rPr>
              <w:t>委托人：（公章）</w:t>
            </w:r>
          </w:p>
          <w:p w14:paraId="6FB8DA0C">
            <w:pPr>
              <w:adjustRightInd w:val="0"/>
              <w:snapToGrid w:val="0"/>
              <w:spacing w:line="276" w:lineRule="auto"/>
              <w:rPr>
                <w:rFonts w:hint="eastAsia" w:ascii="宋体" w:hAnsi="宋体" w:eastAsia="宋体"/>
                <w:color w:val="auto"/>
                <w:kern w:val="0"/>
                <w:szCs w:val="21"/>
                <w:lang w:eastAsia="zh-CN"/>
              </w:rPr>
            </w:pPr>
            <w:r>
              <w:rPr>
                <w:rFonts w:hint="eastAsia" w:ascii="宋体" w:hAnsi="宋体"/>
                <w:color w:val="auto"/>
                <w:kern w:val="0"/>
                <w:szCs w:val="21"/>
                <w:lang w:val="en-US" w:eastAsia="zh-CN"/>
              </w:rPr>
              <w:t xml:space="preserve"> </w:t>
            </w:r>
          </w:p>
        </w:tc>
        <w:tc>
          <w:tcPr>
            <w:tcW w:w="5103" w:type="dxa"/>
            <w:shd w:val="clear" w:color="auto" w:fill="auto"/>
            <w:noWrap w:val="0"/>
            <w:vAlign w:val="center"/>
          </w:tcPr>
          <w:p w14:paraId="7A15F11A">
            <w:pPr>
              <w:adjustRightInd w:val="0"/>
              <w:snapToGrid w:val="0"/>
              <w:spacing w:line="276" w:lineRule="auto"/>
              <w:rPr>
                <w:rFonts w:ascii="宋体" w:hAnsi="宋体"/>
                <w:color w:val="auto"/>
                <w:kern w:val="0"/>
                <w:szCs w:val="21"/>
              </w:rPr>
            </w:pPr>
            <w:r>
              <w:rPr>
                <w:rFonts w:hint="eastAsia" w:ascii="宋体" w:hAnsi="宋体"/>
                <w:color w:val="auto"/>
                <w:kern w:val="0"/>
                <w:szCs w:val="21"/>
              </w:rPr>
              <w:t>监理人：（公章）</w:t>
            </w:r>
          </w:p>
          <w:p w14:paraId="77455C8B">
            <w:pPr>
              <w:adjustRightInd w:val="0"/>
              <w:snapToGrid w:val="0"/>
              <w:spacing w:line="276" w:lineRule="auto"/>
              <w:rPr>
                <w:rFonts w:ascii="宋体" w:hAnsi="宋体"/>
                <w:color w:val="auto"/>
                <w:kern w:val="0"/>
                <w:szCs w:val="21"/>
              </w:rPr>
            </w:pPr>
          </w:p>
        </w:tc>
      </w:tr>
      <w:tr w14:paraId="1166B54C">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712DADC8">
            <w:pPr>
              <w:adjustRightInd w:val="0"/>
              <w:snapToGrid w:val="0"/>
              <w:spacing w:line="276" w:lineRule="auto"/>
              <w:rPr>
                <w:rFonts w:ascii="宋体" w:hAnsi="宋体"/>
                <w:color w:val="auto"/>
                <w:kern w:val="0"/>
                <w:szCs w:val="21"/>
              </w:rPr>
            </w:pPr>
            <w:r>
              <w:rPr>
                <w:rFonts w:hint="eastAsia" w:ascii="宋体" w:hAnsi="宋体"/>
                <w:color w:val="auto"/>
                <w:kern w:val="0"/>
                <w:szCs w:val="21"/>
              </w:rPr>
              <w:t>地址：</w:t>
            </w:r>
          </w:p>
        </w:tc>
        <w:tc>
          <w:tcPr>
            <w:tcW w:w="5103" w:type="dxa"/>
            <w:shd w:val="clear" w:color="auto" w:fill="auto"/>
            <w:noWrap w:val="0"/>
            <w:vAlign w:val="center"/>
          </w:tcPr>
          <w:p w14:paraId="68A7B6C4">
            <w:pPr>
              <w:adjustRightInd w:val="0"/>
              <w:snapToGrid w:val="0"/>
              <w:spacing w:line="276" w:lineRule="auto"/>
              <w:rPr>
                <w:rFonts w:ascii="宋体" w:hAnsi="宋体"/>
                <w:color w:val="auto"/>
                <w:kern w:val="0"/>
                <w:szCs w:val="21"/>
              </w:rPr>
            </w:pPr>
            <w:r>
              <w:rPr>
                <w:rFonts w:hint="eastAsia" w:ascii="宋体" w:hAnsi="宋体"/>
                <w:color w:val="auto"/>
                <w:kern w:val="0"/>
                <w:szCs w:val="21"/>
              </w:rPr>
              <w:t>地址：</w:t>
            </w:r>
          </w:p>
        </w:tc>
      </w:tr>
      <w:tr w14:paraId="62CDA12A">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2326425B">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法定代表人：</w:t>
            </w:r>
          </w:p>
        </w:tc>
        <w:tc>
          <w:tcPr>
            <w:tcW w:w="5103" w:type="dxa"/>
            <w:shd w:val="clear" w:color="auto" w:fill="auto"/>
            <w:noWrap w:val="0"/>
            <w:vAlign w:val="center"/>
          </w:tcPr>
          <w:p w14:paraId="1C298E24">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法定代表人：</w:t>
            </w:r>
          </w:p>
        </w:tc>
      </w:tr>
      <w:tr w14:paraId="73C28F15">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6F6B4FBF">
            <w:pPr>
              <w:adjustRightInd w:val="0"/>
              <w:snapToGrid w:val="0"/>
              <w:spacing w:line="276" w:lineRule="auto"/>
              <w:rPr>
                <w:rFonts w:ascii="宋体" w:hAnsi="宋体"/>
                <w:color w:val="auto"/>
                <w:kern w:val="0"/>
                <w:szCs w:val="21"/>
              </w:rPr>
            </w:pPr>
            <w:r>
              <w:rPr>
                <w:rFonts w:hint="eastAsia" w:ascii="宋体" w:hAnsi="宋体"/>
                <w:color w:val="auto"/>
                <w:kern w:val="0"/>
                <w:szCs w:val="21"/>
              </w:rPr>
              <w:t>委托代理人（签字）：</w:t>
            </w:r>
          </w:p>
        </w:tc>
        <w:tc>
          <w:tcPr>
            <w:tcW w:w="5103" w:type="dxa"/>
            <w:shd w:val="clear" w:color="auto" w:fill="auto"/>
            <w:noWrap w:val="0"/>
            <w:vAlign w:val="center"/>
          </w:tcPr>
          <w:p w14:paraId="5EAD6DB0">
            <w:pPr>
              <w:adjustRightInd w:val="0"/>
              <w:snapToGrid w:val="0"/>
              <w:spacing w:line="276" w:lineRule="auto"/>
              <w:rPr>
                <w:rFonts w:ascii="宋体" w:hAnsi="宋体"/>
                <w:color w:val="auto"/>
                <w:kern w:val="0"/>
                <w:szCs w:val="21"/>
              </w:rPr>
            </w:pPr>
            <w:r>
              <w:rPr>
                <w:rFonts w:hint="eastAsia" w:ascii="宋体" w:hAnsi="宋体"/>
                <w:color w:val="auto"/>
                <w:kern w:val="0"/>
                <w:szCs w:val="21"/>
              </w:rPr>
              <w:t>委托代理人（签字）：</w:t>
            </w:r>
          </w:p>
        </w:tc>
      </w:tr>
      <w:tr w14:paraId="4A3FB856">
        <w:tblPrEx>
          <w:tblCellMar>
            <w:top w:w="0" w:type="dxa"/>
            <w:left w:w="108" w:type="dxa"/>
            <w:bottom w:w="0" w:type="dxa"/>
            <w:right w:w="108" w:type="dxa"/>
          </w:tblCellMar>
        </w:tblPrEx>
        <w:trPr>
          <w:trHeight w:val="90" w:hRule="atLeast"/>
        </w:trPr>
        <w:tc>
          <w:tcPr>
            <w:tcW w:w="4928" w:type="dxa"/>
            <w:shd w:val="clear" w:color="auto" w:fill="auto"/>
            <w:noWrap w:val="0"/>
            <w:vAlign w:val="center"/>
          </w:tcPr>
          <w:p w14:paraId="1033E371">
            <w:pPr>
              <w:adjustRightInd w:val="0"/>
              <w:snapToGrid w:val="0"/>
              <w:spacing w:line="276" w:lineRule="auto"/>
              <w:rPr>
                <w:rFonts w:ascii="宋体" w:hAnsi="宋体"/>
                <w:color w:val="auto"/>
                <w:kern w:val="0"/>
                <w:szCs w:val="21"/>
              </w:rPr>
            </w:pPr>
            <w:r>
              <w:rPr>
                <w:rFonts w:hint="eastAsia" w:ascii="宋体" w:hAnsi="宋体"/>
                <w:color w:val="auto"/>
                <w:kern w:val="0"/>
                <w:szCs w:val="21"/>
              </w:rPr>
              <w:t>电    话：</w:t>
            </w:r>
          </w:p>
        </w:tc>
        <w:tc>
          <w:tcPr>
            <w:tcW w:w="5103" w:type="dxa"/>
            <w:shd w:val="clear" w:color="auto" w:fill="auto"/>
            <w:noWrap w:val="0"/>
            <w:vAlign w:val="center"/>
          </w:tcPr>
          <w:p w14:paraId="22DF1D08">
            <w:pPr>
              <w:adjustRightInd w:val="0"/>
              <w:snapToGrid w:val="0"/>
              <w:spacing w:line="276" w:lineRule="auto"/>
              <w:rPr>
                <w:rFonts w:ascii="宋体" w:hAnsi="宋体"/>
                <w:color w:val="auto"/>
                <w:kern w:val="0"/>
                <w:szCs w:val="21"/>
              </w:rPr>
            </w:pPr>
            <w:r>
              <w:rPr>
                <w:rFonts w:hint="eastAsia" w:ascii="宋体" w:hAnsi="宋体"/>
                <w:color w:val="auto"/>
                <w:kern w:val="0"/>
                <w:szCs w:val="21"/>
              </w:rPr>
              <w:t>电    话：</w:t>
            </w:r>
          </w:p>
        </w:tc>
      </w:tr>
      <w:tr w14:paraId="2C34891D">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25838515">
            <w:pPr>
              <w:adjustRightInd w:val="0"/>
              <w:snapToGrid w:val="0"/>
              <w:spacing w:line="276" w:lineRule="auto"/>
              <w:rPr>
                <w:rFonts w:ascii="宋体" w:hAnsi="宋体"/>
                <w:color w:val="auto"/>
                <w:kern w:val="0"/>
                <w:szCs w:val="21"/>
              </w:rPr>
            </w:pPr>
            <w:r>
              <w:rPr>
                <w:rFonts w:hint="eastAsia" w:ascii="宋体" w:hAnsi="宋体"/>
                <w:color w:val="auto"/>
                <w:kern w:val="0"/>
                <w:szCs w:val="21"/>
              </w:rPr>
              <w:t>传    真：</w:t>
            </w:r>
          </w:p>
        </w:tc>
        <w:tc>
          <w:tcPr>
            <w:tcW w:w="5103" w:type="dxa"/>
            <w:shd w:val="clear" w:color="auto" w:fill="auto"/>
            <w:noWrap w:val="0"/>
            <w:vAlign w:val="center"/>
          </w:tcPr>
          <w:p w14:paraId="00D568EA">
            <w:pPr>
              <w:adjustRightInd w:val="0"/>
              <w:snapToGrid w:val="0"/>
              <w:spacing w:line="276" w:lineRule="auto"/>
              <w:rPr>
                <w:rFonts w:ascii="宋体" w:hAnsi="宋体"/>
                <w:color w:val="auto"/>
                <w:kern w:val="0"/>
                <w:szCs w:val="21"/>
              </w:rPr>
            </w:pPr>
            <w:r>
              <w:rPr>
                <w:rFonts w:hint="eastAsia" w:ascii="宋体" w:hAnsi="宋体"/>
                <w:color w:val="auto"/>
                <w:kern w:val="0"/>
                <w:szCs w:val="21"/>
              </w:rPr>
              <w:t>传    真：</w:t>
            </w:r>
          </w:p>
        </w:tc>
      </w:tr>
      <w:tr w14:paraId="6C4E42C4">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3BC1FE37">
            <w:pPr>
              <w:adjustRightInd w:val="0"/>
              <w:snapToGrid w:val="0"/>
              <w:spacing w:line="276" w:lineRule="auto"/>
              <w:rPr>
                <w:rFonts w:ascii="宋体" w:hAnsi="宋体"/>
                <w:color w:val="auto"/>
                <w:kern w:val="0"/>
                <w:szCs w:val="21"/>
              </w:rPr>
            </w:pPr>
            <w:r>
              <w:rPr>
                <w:rFonts w:hint="eastAsia" w:ascii="宋体" w:hAnsi="宋体"/>
                <w:color w:val="auto"/>
                <w:kern w:val="0"/>
                <w:szCs w:val="21"/>
              </w:rPr>
              <w:t>开户银行：</w:t>
            </w:r>
          </w:p>
        </w:tc>
        <w:tc>
          <w:tcPr>
            <w:tcW w:w="5103" w:type="dxa"/>
            <w:shd w:val="clear" w:color="auto" w:fill="auto"/>
            <w:noWrap w:val="0"/>
            <w:vAlign w:val="center"/>
          </w:tcPr>
          <w:p w14:paraId="4D36C3CE">
            <w:pPr>
              <w:adjustRightInd w:val="0"/>
              <w:snapToGrid w:val="0"/>
              <w:spacing w:line="276" w:lineRule="auto"/>
              <w:rPr>
                <w:rFonts w:ascii="宋体" w:hAnsi="宋体"/>
                <w:color w:val="auto"/>
                <w:kern w:val="0"/>
                <w:szCs w:val="21"/>
              </w:rPr>
            </w:pPr>
            <w:r>
              <w:rPr>
                <w:rFonts w:hint="eastAsia" w:ascii="宋体" w:hAnsi="宋体"/>
                <w:color w:val="auto"/>
                <w:kern w:val="0"/>
                <w:szCs w:val="21"/>
              </w:rPr>
              <w:t>开户银行：</w:t>
            </w:r>
          </w:p>
        </w:tc>
      </w:tr>
      <w:tr w14:paraId="45646FF2">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5AAB8FE9">
            <w:pPr>
              <w:adjustRightInd w:val="0"/>
              <w:snapToGrid w:val="0"/>
              <w:spacing w:line="276" w:lineRule="auto"/>
              <w:rPr>
                <w:rFonts w:ascii="宋体" w:hAnsi="宋体"/>
                <w:color w:val="auto"/>
                <w:kern w:val="0"/>
                <w:szCs w:val="21"/>
              </w:rPr>
            </w:pPr>
            <w:r>
              <w:rPr>
                <w:rFonts w:hint="eastAsia" w:ascii="宋体" w:hAnsi="宋体"/>
                <w:color w:val="auto"/>
                <w:kern w:val="0"/>
                <w:szCs w:val="21"/>
              </w:rPr>
              <w:t>帐    号：</w:t>
            </w:r>
          </w:p>
        </w:tc>
        <w:tc>
          <w:tcPr>
            <w:tcW w:w="5103" w:type="dxa"/>
            <w:shd w:val="clear" w:color="auto" w:fill="auto"/>
            <w:noWrap w:val="0"/>
            <w:vAlign w:val="center"/>
          </w:tcPr>
          <w:p w14:paraId="2385E551">
            <w:pPr>
              <w:adjustRightInd w:val="0"/>
              <w:snapToGrid w:val="0"/>
              <w:spacing w:line="276" w:lineRule="auto"/>
              <w:rPr>
                <w:rFonts w:ascii="宋体" w:hAnsi="宋体"/>
                <w:color w:val="auto"/>
                <w:kern w:val="0"/>
                <w:szCs w:val="21"/>
              </w:rPr>
            </w:pPr>
            <w:r>
              <w:rPr>
                <w:rFonts w:hint="eastAsia" w:ascii="宋体" w:hAnsi="宋体"/>
                <w:color w:val="auto"/>
                <w:kern w:val="0"/>
                <w:szCs w:val="21"/>
              </w:rPr>
              <w:t>帐    号：</w:t>
            </w:r>
          </w:p>
        </w:tc>
      </w:tr>
      <w:tr w14:paraId="6DBF5522">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59FCD9C9">
            <w:pPr>
              <w:adjustRightInd w:val="0"/>
              <w:snapToGrid w:val="0"/>
              <w:spacing w:line="276" w:lineRule="auto"/>
              <w:rPr>
                <w:rFonts w:ascii="宋体" w:hAnsi="宋体"/>
                <w:color w:val="auto"/>
                <w:kern w:val="0"/>
                <w:szCs w:val="21"/>
              </w:rPr>
            </w:pPr>
            <w:r>
              <w:rPr>
                <w:rFonts w:hint="eastAsia" w:ascii="宋体" w:hAnsi="宋体"/>
                <w:color w:val="auto"/>
                <w:kern w:val="0"/>
                <w:szCs w:val="21"/>
              </w:rPr>
              <w:t>邮政编码：</w:t>
            </w:r>
          </w:p>
        </w:tc>
        <w:tc>
          <w:tcPr>
            <w:tcW w:w="5103" w:type="dxa"/>
            <w:shd w:val="clear" w:color="auto" w:fill="auto"/>
            <w:noWrap w:val="0"/>
            <w:vAlign w:val="center"/>
          </w:tcPr>
          <w:p w14:paraId="19231F6E">
            <w:pPr>
              <w:adjustRightInd w:val="0"/>
              <w:snapToGrid w:val="0"/>
              <w:spacing w:line="276" w:lineRule="auto"/>
              <w:rPr>
                <w:rFonts w:ascii="宋体" w:hAnsi="宋体"/>
                <w:color w:val="auto"/>
                <w:kern w:val="0"/>
                <w:szCs w:val="21"/>
              </w:rPr>
            </w:pPr>
            <w:r>
              <w:rPr>
                <w:rFonts w:hint="eastAsia" w:ascii="宋体" w:hAnsi="宋体"/>
                <w:color w:val="auto"/>
                <w:kern w:val="0"/>
                <w:szCs w:val="21"/>
              </w:rPr>
              <w:t>邮政编码：</w:t>
            </w:r>
          </w:p>
        </w:tc>
      </w:tr>
      <w:tr w14:paraId="187316A7">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3E50BB68">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时    间：      年    月    日</w:t>
            </w:r>
          </w:p>
        </w:tc>
        <w:tc>
          <w:tcPr>
            <w:tcW w:w="5103" w:type="dxa"/>
            <w:shd w:val="clear" w:color="auto" w:fill="auto"/>
            <w:noWrap w:val="0"/>
            <w:vAlign w:val="center"/>
          </w:tcPr>
          <w:p w14:paraId="27FD192B">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时    间：      年    月    日</w:t>
            </w:r>
          </w:p>
        </w:tc>
      </w:tr>
    </w:tbl>
    <w:p w14:paraId="5A57A06F">
      <w:pPr>
        <w:widowControl/>
        <w:spacing w:line="360" w:lineRule="auto"/>
        <w:jc w:val="left"/>
        <w:rPr>
          <w:rFonts w:ascii="Times New Roman" w:hAnsi="Times New Roman" w:eastAsia="黑体"/>
          <w:b/>
          <w:color w:val="auto"/>
          <w:szCs w:val="21"/>
        </w:rPr>
      </w:pPr>
      <w:r>
        <w:rPr>
          <w:rFonts w:ascii="Times New Roman" w:hAnsi="Times New Roman"/>
          <w:color w:val="auto"/>
          <w:szCs w:val="21"/>
        </w:rPr>
        <w:br w:type="page"/>
      </w:r>
    </w:p>
    <w:p w14:paraId="21B418AB">
      <w:pPr>
        <w:keepNext/>
        <w:keepLines/>
        <w:spacing w:before="120" w:after="120" w:line="360" w:lineRule="auto"/>
        <w:jc w:val="center"/>
        <w:outlineLvl w:val="1"/>
        <w:rPr>
          <w:rFonts w:ascii="Times New Roman" w:hAnsi="Times New Roman" w:eastAsia="黑体"/>
          <w:b/>
          <w:color w:val="auto"/>
          <w:sz w:val="32"/>
          <w:szCs w:val="20"/>
        </w:rPr>
      </w:pPr>
      <w:r>
        <w:rPr>
          <w:rFonts w:ascii="Times New Roman" w:hAnsi="Times New Roman" w:eastAsia="黑体"/>
          <w:b/>
          <w:color w:val="auto"/>
          <w:sz w:val="32"/>
          <w:szCs w:val="20"/>
        </w:rPr>
        <w:t>第</w:t>
      </w:r>
      <w:r>
        <w:rPr>
          <w:rFonts w:hint="eastAsia" w:ascii="Times New Roman" w:hAnsi="Times New Roman" w:eastAsia="黑体"/>
          <w:b/>
          <w:color w:val="auto"/>
          <w:sz w:val="32"/>
          <w:szCs w:val="20"/>
        </w:rPr>
        <w:t>二</w:t>
      </w:r>
      <w:r>
        <w:rPr>
          <w:rFonts w:ascii="Times New Roman" w:hAnsi="Times New Roman" w:eastAsia="黑体"/>
          <w:b/>
          <w:color w:val="auto"/>
          <w:sz w:val="32"/>
          <w:szCs w:val="20"/>
        </w:rPr>
        <w:t>节</w:t>
      </w:r>
      <w:r>
        <w:rPr>
          <w:rFonts w:hint="eastAsia" w:ascii="Times New Roman" w:hAnsi="Times New Roman" w:eastAsia="黑体"/>
          <w:b/>
          <w:color w:val="auto"/>
          <w:sz w:val="32"/>
          <w:szCs w:val="20"/>
        </w:rPr>
        <w:t xml:space="preserve"> </w:t>
      </w:r>
      <w:r>
        <w:rPr>
          <w:rFonts w:ascii="Times New Roman" w:hAnsi="Times New Roman" w:eastAsia="黑体"/>
          <w:b/>
          <w:color w:val="auto"/>
          <w:sz w:val="32"/>
          <w:szCs w:val="20"/>
        </w:rPr>
        <w:t>通用合同条款</w:t>
      </w:r>
    </w:p>
    <w:p w14:paraId="6FC2329E">
      <w:pPr>
        <w:ind w:firstLine="560" w:firstLineChars="200"/>
        <w:rPr>
          <w:rFonts w:hint="eastAsia" w:ascii="Times New Roman" w:hAnsi="Times New Roman" w:eastAsia="黑体"/>
          <w:b/>
          <w:bCs/>
          <w:color w:val="auto"/>
          <w:sz w:val="32"/>
          <w:szCs w:val="32"/>
          <w:lang w:eastAsia="zh-CN"/>
        </w:rPr>
      </w:pPr>
      <w:r>
        <w:rPr>
          <w:rFonts w:hint="eastAsia" w:ascii="黑体" w:hAnsi="黑体" w:eastAsia="黑体"/>
          <w:color w:val="auto"/>
          <w:sz w:val="28"/>
          <w:szCs w:val="28"/>
        </w:rPr>
        <w:t>采用</w:t>
      </w:r>
      <w:r>
        <w:rPr>
          <w:rFonts w:ascii="黑体" w:hAnsi="黑体" w:eastAsia="黑体"/>
          <w:color w:val="auto"/>
          <w:sz w:val="28"/>
          <w:szCs w:val="28"/>
        </w:rPr>
        <w:t>《建设工程监理合同（示范文本）》（GF-2012-0202）</w:t>
      </w:r>
      <w:r>
        <w:rPr>
          <w:rFonts w:hint="eastAsia" w:ascii="黑体" w:hAnsi="黑体" w:eastAsia="黑体"/>
          <w:color w:val="auto"/>
          <w:sz w:val="28"/>
          <w:szCs w:val="28"/>
        </w:rPr>
        <w:t>中通用合同条款。</w:t>
      </w:r>
    </w:p>
    <w:p w14:paraId="3FB7DA05">
      <w:pPr>
        <w:spacing w:line="360" w:lineRule="auto"/>
        <w:ind w:firstLine="422" w:firstLineChars="200"/>
        <w:rPr>
          <w:rFonts w:ascii="Times New Roman" w:hAnsi="Times New Roman" w:eastAsia="黑体"/>
          <w:b/>
          <w:bCs/>
          <w:color w:val="auto"/>
          <w:szCs w:val="21"/>
        </w:rPr>
      </w:pPr>
    </w:p>
    <w:p w14:paraId="34B2038D">
      <w:pPr>
        <w:widowControl/>
        <w:spacing w:line="360" w:lineRule="auto"/>
        <w:jc w:val="left"/>
        <w:rPr>
          <w:rFonts w:ascii="Times New Roman" w:hAnsi="Times New Roman" w:eastAsia="黑体"/>
          <w:b/>
          <w:color w:val="auto"/>
          <w:szCs w:val="21"/>
        </w:rPr>
      </w:pPr>
      <w:r>
        <w:rPr>
          <w:rFonts w:ascii="Times New Roman" w:hAnsi="Times New Roman"/>
          <w:color w:val="auto"/>
          <w:szCs w:val="21"/>
        </w:rPr>
        <w:br w:type="page"/>
      </w:r>
    </w:p>
    <w:p w14:paraId="4686E092">
      <w:pPr>
        <w:keepNext/>
        <w:keepLines/>
        <w:spacing w:before="120" w:after="120" w:line="360" w:lineRule="auto"/>
        <w:ind w:firstLine="643" w:firstLineChars="200"/>
        <w:jc w:val="center"/>
        <w:outlineLvl w:val="1"/>
        <w:rPr>
          <w:rFonts w:ascii="Times New Roman" w:hAnsi="Times New Roman" w:eastAsia="黑体"/>
          <w:b/>
          <w:color w:val="auto"/>
          <w:sz w:val="32"/>
          <w:szCs w:val="20"/>
        </w:rPr>
      </w:pPr>
      <w:bookmarkStart w:id="40" w:name="_Toc2003"/>
      <w:r>
        <w:rPr>
          <w:rFonts w:ascii="Times New Roman" w:hAnsi="Times New Roman" w:eastAsia="黑体"/>
          <w:b/>
          <w:color w:val="auto"/>
          <w:sz w:val="32"/>
          <w:szCs w:val="20"/>
        </w:rPr>
        <w:t>第</w:t>
      </w:r>
      <w:r>
        <w:rPr>
          <w:rFonts w:hint="eastAsia" w:ascii="Times New Roman" w:hAnsi="Times New Roman" w:eastAsia="黑体"/>
          <w:b/>
          <w:color w:val="auto"/>
          <w:sz w:val="32"/>
          <w:szCs w:val="20"/>
        </w:rPr>
        <w:t>三</w:t>
      </w:r>
      <w:r>
        <w:rPr>
          <w:rFonts w:ascii="Times New Roman" w:hAnsi="Times New Roman" w:eastAsia="黑体"/>
          <w:b/>
          <w:color w:val="auto"/>
          <w:sz w:val="32"/>
          <w:szCs w:val="20"/>
        </w:rPr>
        <w:t>节</w:t>
      </w:r>
      <w:r>
        <w:rPr>
          <w:rFonts w:hint="eastAsia" w:ascii="Times New Roman" w:hAnsi="Times New Roman" w:eastAsia="黑体"/>
          <w:b/>
          <w:color w:val="auto"/>
          <w:sz w:val="32"/>
          <w:szCs w:val="20"/>
        </w:rPr>
        <w:t xml:space="preserve"> </w:t>
      </w:r>
      <w:r>
        <w:rPr>
          <w:rFonts w:ascii="Times New Roman" w:hAnsi="Times New Roman" w:eastAsia="黑体"/>
          <w:b/>
          <w:color w:val="auto"/>
          <w:sz w:val="32"/>
          <w:szCs w:val="20"/>
        </w:rPr>
        <w:t>专用合同条款</w:t>
      </w:r>
      <w:bookmarkEnd w:id="40"/>
    </w:p>
    <w:p w14:paraId="2777F8B0">
      <w:pPr>
        <w:adjustRightInd w:val="0"/>
        <w:snapToGrid w:val="0"/>
        <w:spacing w:line="360" w:lineRule="auto"/>
        <w:rPr>
          <w:rFonts w:ascii="宋体" w:hAnsi="宋体"/>
          <w:b/>
          <w:color w:val="auto"/>
          <w:szCs w:val="21"/>
        </w:rPr>
      </w:pPr>
      <w:r>
        <w:rPr>
          <w:rFonts w:hint="eastAsia" w:ascii="宋体" w:hAnsi="宋体"/>
          <w:b/>
          <w:color w:val="auto"/>
          <w:szCs w:val="21"/>
        </w:rPr>
        <w:t>1. 定义与解释</w:t>
      </w:r>
    </w:p>
    <w:p w14:paraId="5099D71E">
      <w:pPr>
        <w:adjustRightInd w:val="0"/>
        <w:snapToGrid w:val="0"/>
        <w:spacing w:line="360" w:lineRule="auto"/>
        <w:rPr>
          <w:rFonts w:ascii="宋体" w:hAnsi="宋体"/>
          <w:color w:val="auto"/>
          <w:szCs w:val="21"/>
        </w:rPr>
      </w:pPr>
      <w:r>
        <w:rPr>
          <w:rFonts w:hint="eastAsia" w:ascii="宋体" w:hAnsi="宋体"/>
          <w:color w:val="auto"/>
          <w:szCs w:val="21"/>
        </w:rPr>
        <w:t xml:space="preserve">  1.2  解释</w:t>
      </w:r>
    </w:p>
    <w:p w14:paraId="553A428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 本合同文件除使用中文外，还可用</w:t>
      </w:r>
      <w:r>
        <w:rPr>
          <w:rFonts w:hint="eastAsia" w:ascii="宋体" w:hAnsi="宋体"/>
          <w:color w:val="auto"/>
          <w:szCs w:val="21"/>
          <w:u w:val="single"/>
        </w:rPr>
        <w:t xml:space="preserve">    /     </w:t>
      </w:r>
      <w:r>
        <w:rPr>
          <w:rFonts w:hint="eastAsia" w:ascii="宋体" w:hAnsi="宋体"/>
          <w:color w:val="auto"/>
          <w:szCs w:val="21"/>
        </w:rPr>
        <w:t>。</w:t>
      </w:r>
    </w:p>
    <w:p w14:paraId="2D19A5E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1.2.2 约定本合同文件的解释顺序为：</w:t>
      </w:r>
      <w:r>
        <w:rPr>
          <w:rFonts w:hint="eastAsia" w:ascii="宋体" w:hAnsi="宋体"/>
          <w:color w:val="auto"/>
          <w:szCs w:val="21"/>
          <w:u w:val="single"/>
        </w:rPr>
        <w:t xml:space="preserve"> 本合同协议书；中标通知书（适用于招标工程）或委托书（适用于非招标工程）；专用条件；通用条件；招投标文件（适用于招标工程）或监理与相关服务建议书（适用于非招标工程） </w:t>
      </w:r>
      <w:r>
        <w:rPr>
          <w:rFonts w:hint="eastAsia" w:ascii="宋体" w:hAnsi="宋体"/>
          <w:color w:val="auto"/>
          <w:szCs w:val="21"/>
        </w:rPr>
        <w:t>。</w:t>
      </w:r>
    </w:p>
    <w:p w14:paraId="17DD8118">
      <w:pPr>
        <w:adjustRightInd w:val="0"/>
        <w:snapToGrid w:val="0"/>
        <w:spacing w:line="360" w:lineRule="auto"/>
        <w:rPr>
          <w:rFonts w:ascii="宋体" w:hAnsi="宋体"/>
          <w:b/>
          <w:color w:val="auto"/>
          <w:szCs w:val="21"/>
        </w:rPr>
      </w:pPr>
      <w:r>
        <w:rPr>
          <w:rFonts w:hint="eastAsia" w:ascii="宋体" w:hAnsi="宋体"/>
          <w:b/>
          <w:color w:val="auto"/>
          <w:szCs w:val="21"/>
        </w:rPr>
        <w:t>2. 监理人义务</w:t>
      </w:r>
    </w:p>
    <w:p w14:paraId="7B82E639">
      <w:pPr>
        <w:adjustRightInd w:val="0"/>
        <w:snapToGrid w:val="0"/>
        <w:spacing w:line="360" w:lineRule="auto"/>
        <w:ind w:firstLine="205" w:firstLineChars="98"/>
        <w:rPr>
          <w:rFonts w:ascii="宋体" w:hAnsi="宋体"/>
          <w:color w:val="auto"/>
          <w:szCs w:val="21"/>
        </w:rPr>
      </w:pPr>
      <w:r>
        <w:rPr>
          <w:rFonts w:hint="eastAsia" w:ascii="宋体" w:hAnsi="宋体"/>
          <w:color w:val="auto"/>
          <w:szCs w:val="21"/>
        </w:rPr>
        <w:t>2.1 监理的范围和</w:t>
      </w:r>
      <w:r>
        <w:rPr>
          <w:rFonts w:hint="eastAsia" w:ascii="宋体" w:hAnsi="宋体"/>
          <w:bCs/>
          <w:color w:val="auto"/>
          <w:szCs w:val="21"/>
        </w:rPr>
        <w:t>内容</w:t>
      </w:r>
    </w:p>
    <w:p w14:paraId="26F45EC0">
      <w:pPr>
        <w:spacing w:line="360" w:lineRule="auto"/>
        <w:ind w:firstLine="205" w:firstLineChars="98"/>
        <w:rPr>
          <w:rFonts w:hint="eastAsia" w:ascii="宋体" w:hAnsi="宋体"/>
          <w:color w:val="auto"/>
          <w:szCs w:val="21"/>
          <w:u w:val="single"/>
        </w:rPr>
      </w:pPr>
      <w:r>
        <w:rPr>
          <w:rFonts w:hint="eastAsia" w:ascii="宋体" w:hAnsi="宋体"/>
          <w:color w:val="auto"/>
          <w:szCs w:val="21"/>
        </w:rPr>
        <w:t>2.1.1 监理范围包括：工程建设全过程监理，包括但不限于对工程进行进度控制、质量控制、投资三控制和合同管理、信息管理、</w:t>
      </w:r>
      <w:r>
        <w:rPr>
          <w:rFonts w:hint="eastAsia" w:ascii="宋体" w:hAnsi="宋体"/>
          <w:color w:val="auto"/>
          <w:szCs w:val="21"/>
          <w:lang w:val="en-US" w:eastAsia="zh-CN"/>
        </w:rPr>
        <w:t>供水供电、</w:t>
      </w:r>
      <w:r>
        <w:rPr>
          <w:rFonts w:hint="eastAsia" w:ascii="宋体" w:hAnsi="宋体"/>
          <w:color w:val="auto"/>
          <w:szCs w:val="21"/>
        </w:rPr>
        <w:t>安全生产监督及协调施工现场各方关系等。</w:t>
      </w:r>
    </w:p>
    <w:p w14:paraId="1E57BFB0">
      <w:pPr>
        <w:spacing w:line="360" w:lineRule="auto"/>
        <w:ind w:firstLine="420"/>
        <w:rPr>
          <w:rFonts w:hint="eastAsia"/>
          <w:color w:val="auto"/>
          <w:szCs w:val="21"/>
        </w:rPr>
      </w:pPr>
      <w:r>
        <w:rPr>
          <w:rFonts w:hint="eastAsia"/>
          <w:color w:val="auto"/>
          <w:szCs w:val="21"/>
        </w:rPr>
        <w:t>根据《合肥市建设领域农民工工资专用账户管理意见》规定：工程监理人应将农民工工资支付情况纳入监理日志内容，督促工程总承包人按时足额支付农民工工资。对工程发包人未按时足额拨付工资性工程款，工程总承包人未按时足额支付农民工工资、未在施工现场醒目位置公示工资性工程款拨付和农民工工资支付清单的，工程监理人应及时报告工程所在地建设领域农民工维权机构。</w:t>
      </w:r>
    </w:p>
    <w:p w14:paraId="781CCAE3">
      <w:pPr>
        <w:spacing w:line="360" w:lineRule="auto"/>
        <w:ind w:firstLine="420"/>
        <w:rPr>
          <w:rFonts w:hint="eastAsia"/>
          <w:color w:val="auto"/>
          <w:szCs w:val="21"/>
        </w:rPr>
      </w:pPr>
      <w:r>
        <w:rPr>
          <w:rFonts w:hint="eastAsia"/>
          <w:color w:val="auto"/>
          <w:szCs w:val="21"/>
        </w:rPr>
        <w:t>工程监理人未将农民工工资支付情况记入监理日志和未按时核定工资性工程进度款的，由工程所在地建设领域农民工维权机构责令其限期整改；逾期未整改或整改不到位的，记入市建设行业信用信息系统，列入全市建筑市场重点监管对象。</w:t>
      </w:r>
    </w:p>
    <w:p w14:paraId="7D240B8E">
      <w:pPr>
        <w:spacing w:line="360" w:lineRule="auto"/>
        <w:ind w:firstLine="420"/>
        <w:rPr>
          <w:rFonts w:hint="eastAsia"/>
          <w:color w:val="auto"/>
          <w:szCs w:val="21"/>
        </w:rPr>
      </w:pPr>
      <w:r>
        <w:rPr>
          <w:rFonts w:hint="eastAsia"/>
          <w:color w:val="auto"/>
          <w:szCs w:val="21"/>
        </w:rPr>
        <w:t>监理单位在监理过程中必须设专人监管农民工工资发放、防扬尘污染措施落实情况。</w:t>
      </w:r>
    </w:p>
    <w:p w14:paraId="042A865F">
      <w:pPr>
        <w:spacing w:line="360" w:lineRule="auto"/>
        <w:ind w:firstLine="420"/>
        <w:rPr>
          <w:rFonts w:hint="eastAsia"/>
          <w:color w:val="auto"/>
          <w:szCs w:val="21"/>
        </w:rPr>
      </w:pPr>
      <w:r>
        <w:rPr>
          <w:rFonts w:hint="eastAsia"/>
          <w:color w:val="auto"/>
          <w:szCs w:val="21"/>
        </w:rPr>
        <w:t>特别提示：</w:t>
      </w:r>
    </w:p>
    <w:p w14:paraId="6B10C61A">
      <w:pPr>
        <w:spacing w:line="360" w:lineRule="auto"/>
        <w:ind w:firstLine="420"/>
        <w:rPr>
          <w:color w:val="auto"/>
          <w:szCs w:val="21"/>
        </w:rPr>
      </w:pPr>
      <w:r>
        <w:rPr>
          <w:rFonts w:hint="eastAsia"/>
          <w:color w:val="auto"/>
          <w:szCs w:val="21"/>
        </w:rPr>
        <w:t xml:space="preserve">（1）工程施工监理增减说明： </w:t>
      </w:r>
    </w:p>
    <w:p w14:paraId="23394285">
      <w:pPr>
        <w:spacing w:line="360" w:lineRule="auto"/>
        <w:ind w:firstLine="420"/>
        <w:rPr>
          <w:rFonts w:hint="eastAsia"/>
          <w:color w:val="auto"/>
          <w:szCs w:val="21"/>
        </w:rPr>
      </w:pPr>
      <w:r>
        <w:rPr>
          <w:rFonts w:hint="eastAsia"/>
          <w:color w:val="auto"/>
          <w:szCs w:val="21"/>
        </w:rPr>
        <w:t>本次监理范围：本项目规划用地范围内房屋建筑工程的土建、安装（含消防、暖通、智能化）、装饰（立面、室内）、室外道排及景观绿化、消防管网、人防工程等工程施工监理。</w:t>
      </w:r>
    </w:p>
    <w:p w14:paraId="4966E4C6">
      <w:pPr>
        <w:spacing w:line="360" w:lineRule="auto"/>
        <w:ind w:firstLine="420"/>
        <w:rPr>
          <w:rFonts w:hint="eastAsia"/>
          <w:color w:val="auto"/>
          <w:szCs w:val="21"/>
        </w:rPr>
      </w:pPr>
      <w:r>
        <w:rPr>
          <w:rFonts w:hint="eastAsia"/>
          <w:color w:val="auto"/>
          <w:szCs w:val="21"/>
        </w:rPr>
        <w:t>（2）以下工程内容不在本次监理招标范围内：本项目规划用地范围内供水、供电、燃气、有线电视、电信等市政配套安装工程施工监理均不在本次监理招标范围内。</w:t>
      </w:r>
    </w:p>
    <w:p w14:paraId="67E99394">
      <w:pPr>
        <w:spacing w:line="360" w:lineRule="auto"/>
        <w:ind w:firstLine="420"/>
        <w:rPr>
          <w:rFonts w:hint="eastAsia"/>
          <w:color w:val="auto"/>
          <w:szCs w:val="21"/>
        </w:rPr>
      </w:pPr>
      <w:r>
        <w:rPr>
          <w:rFonts w:hint="eastAsia"/>
          <w:color w:val="auto"/>
          <w:szCs w:val="21"/>
        </w:rPr>
        <w:t>本次监理工程主要范围为上述工程施工全过程监理。在项目实施中如有增减项，中标人的服务内容则相应予以增加或减少，费用增减按合同约定执行。</w:t>
      </w:r>
    </w:p>
    <w:p w14:paraId="4DD3CC7A">
      <w:pPr>
        <w:spacing w:line="360" w:lineRule="auto"/>
        <w:ind w:firstLine="420"/>
        <w:rPr>
          <w:rFonts w:hint="eastAsia"/>
          <w:color w:val="auto"/>
          <w:szCs w:val="21"/>
        </w:rPr>
      </w:pPr>
      <w:r>
        <w:rPr>
          <w:rFonts w:hint="eastAsia"/>
          <w:color w:val="auto"/>
          <w:szCs w:val="21"/>
        </w:rPr>
        <w:t>本项目如因规划方案、土地调整等政策影响导致本项目建设内容取消，本项目监理合同终止，监理费用按已完成的施工工程量结算，监理费用不予额外补偿。</w:t>
      </w:r>
    </w:p>
    <w:p w14:paraId="2B373FC2">
      <w:pPr>
        <w:spacing w:line="360" w:lineRule="auto"/>
        <w:ind w:firstLine="420"/>
        <w:rPr>
          <w:rFonts w:hint="eastAsia"/>
          <w:color w:val="auto"/>
          <w:szCs w:val="21"/>
        </w:rPr>
      </w:pPr>
      <w:r>
        <w:rPr>
          <w:rFonts w:hint="eastAsia"/>
          <w:color w:val="auto"/>
          <w:szCs w:val="21"/>
        </w:rPr>
        <w:t>如因规划方案、土地调整等政策影响及招标人因素导致本项目建设暂停，费用不予补偿，待工程复工后监理服务期限顺延。</w:t>
      </w:r>
    </w:p>
    <w:p w14:paraId="5D25B1CB">
      <w:pPr>
        <w:spacing w:line="360" w:lineRule="auto"/>
        <w:ind w:firstLine="420"/>
        <w:rPr>
          <w:rFonts w:hint="eastAsia"/>
          <w:color w:val="auto"/>
          <w:szCs w:val="21"/>
        </w:rPr>
      </w:pPr>
      <w:r>
        <w:rPr>
          <w:rFonts w:hint="eastAsia"/>
          <w:color w:val="auto"/>
          <w:szCs w:val="21"/>
        </w:rPr>
        <w:t>（3）由于本项目时间跨度较长，监理人已充分考虑并承受各种不确定因素带来的风险。</w:t>
      </w:r>
    </w:p>
    <w:p w14:paraId="41CF8B59">
      <w:pPr>
        <w:spacing w:line="360" w:lineRule="auto"/>
        <w:ind w:firstLine="420"/>
        <w:rPr>
          <w:rFonts w:hint="eastAsia"/>
          <w:color w:val="auto"/>
          <w:szCs w:val="21"/>
        </w:rPr>
      </w:pPr>
      <w:r>
        <w:rPr>
          <w:rFonts w:hint="eastAsia"/>
          <w:color w:val="auto"/>
          <w:szCs w:val="21"/>
        </w:rPr>
        <w:t>（4）工程施工监理具体内容详见施工设计图内容和有关说明，本工程施工图纸监理人自行联系招标人查阅。</w:t>
      </w:r>
    </w:p>
    <w:p w14:paraId="6EBE1785">
      <w:pPr>
        <w:spacing w:line="360" w:lineRule="auto"/>
        <w:ind w:firstLine="420"/>
        <w:rPr>
          <w:rFonts w:hint="eastAsia"/>
          <w:color w:val="auto"/>
          <w:szCs w:val="21"/>
        </w:rPr>
      </w:pPr>
      <w:r>
        <w:rPr>
          <w:rFonts w:hint="eastAsia"/>
          <w:color w:val="auto"/>
          <w:szCs w:val="21"/>
        </w:rPr>
        <w:t>（5）工程质量监理及检查验收标准、委托人的项目实施目标、拟采用的具体项目控制手段：</w:t>
      </w:r>
    </w:p>
    <w:p w14:paraId="638DC19D">
      <w:pPr>
        <w:spacing w:line="360" w:lineRule="auto"/>
        <w:ind w:firstLine="420"/>
        <w:rPr>
          <w:rFonts w:hint="eastAsia"/>
          <w:color w:val="auto"/>
          <w:szCs w:val="21"/>
        </w:rPr>
      </w:pPr>
      <w:r>
        <w:rPr>
          <w:rFonts w:hint="eastAsia"/>
          <w:color w:val="auto"/>
          <w:szCs w:val="21"/>
        </w:rPr>
        <w:t>（6）本工程以工程施工设计图纸、图纸会审记录、设计变更通知书、技术联系单、各类试 验报告、产品合格证书等有关资料和合同规定的条款为依据，按国家颁布的工程施工验收规范及监理大纲进行监理、检查、验收。</w:t>
      </w:r>
    </w:p>
    <w:p w14:paraId="275783E6">
      <w:pPr>
        <w:spacing w:line="360" w:lineRule="auto"/>
        <w:ind w:firstLine="420"/>
        <w:rPr>
          <w:color w:val="auto"/>
          <w:szCs w:val="21"/>
        </w:rPr>
      </w:pPr>
      <w:r>
        <w:rPr>
          <w:rFonts w:hint="eastAsia"/>
          <w:color w:val="auto"/>
          <w:szCs w:val="21"/>
        </w:rPr>
        <w:t>（7）监理人须提供正常监理服务以外其他的相关服务，包括但不限于配合委托人办理报建、报批、报审、施工招标过程的技术服务、施工图纸复核、施工合同的拟定、洽谈以及施工许可证申请办理、工程现场前期的准备工作、设计协调、竣工验收、工程结算初审、工程备案以及工期控制等全过程服务。</w:t>
      </w:r>
    </w:p>
    <w:p w14:paraId="6D5116C8">
      <w:pPr>
        <w:spacing w:line="360" w:lineRule="auto"/>
        <w:ind w:firstLine="205" w:firstLineChars="98"/>
        <w:rPr>
          <w:rFonts w:hint="eastAsia" w:ascii="宋体" w:hAnsi="宋体"/>
          <w:color w:val="auto"/>
          <w:szCs w:val="21"/>
        </w:rPr>
      </w:pPr>
      <w:r>
        <w:rPr>
          <w:rFonts w:hint="eastAsia" w:ascii="宋体" w:hAnsi="宋体"/>
          <w:color w:val="auto"/>
          <w:szCs w:val="21"/>
        </w:rPr>
        <w:t>2.1.2 监理工作内容还包括：</w:t>
      </w:r>
    </w:p>
    <w:p w14:paraId="722F1F5D">
      <w:pPr>
        <w:spacing w:line="360" w:lineRule="auto"/>
        <w:ind w:firstLine="205" w:firstLineChars="98"/>
        <w:rPr>
          <w:rFonts w:hint="eastAsia" w:ascii="宋体" w:hAnsi="宋体"/>
          <w:color w:val="auto"/>
          <w:szCs w:val="21"/>
        </w:rPr>
      </w:pPr>
      <w:r>
        <w:rPr>
          <w:rFonts w:hint="eastAsia" w:ascii="宋体" w:hAnsi="宋体"/>
          <w:color w:val="auto"/>
          <w:szCs w:val="21"/>
        </w:rPr>
        <w:t>（一）施工准备阶段</w:t>
      </w:r>
    </w:p>
    <w:p w14:paraId="013CB119">
      <w:pPr>
        <w:spacing w:line="360" w:lineRule="auto"/>
        <w:ind w:firstLine="205" w:firstLineChars="98"/>
        <w:rPr>
          <w:rFonts w:hint="eastAsia" w:ascii="宋体" w:hAnsi="宋体"/>
          <w:color w:val="auto"/>
          <w:szCs w:val="21"/>
        </w:rPr>
      </w:pPr>
      <w:r>
        <w:rPr>
          <w:rFonts w:hint="eastAsia" w:ascii="宋体" w:hAnsi="宋体"/>
          <w:color w:val="auto"/>
          <w:szCs w:val="21"/>
        </w:rPr>
        <w:t>①协助委托人主持设计单位对施工单位进行的设计交底。</w:t>
      </w:r>
    </w:p>
    <w:p w14:paraId="15BCCA32">
      <w:pPr>
        <w:spacing w:line="360" w:lineRule="auto"/>
        <w:ind w:firstLine="205" w:firstLineChars="98"/>
        <w:rPr>
          <w:rFonts w:hint="eastAsia" w:ascii="宋体" w:hAnsi="宋体"/>
          <w:color w:val="auto"/>
          <w:szCs w:val="21"/>
        </w:rPr>
      </w:pPr>
      <w:r>
        <w:rPr>
          <w:rFonts w:hint="eastAsia" w:ascii="宋体" w:hAnsi="宋体"/>
          <w:color w:val="auto"/>
          <w:szCs w:val="21"/>
        </w:rPr>
        <w:t>②检查开工前施工单位的复测资料，对定位情况、中线及水准桩的设置是否稳固可靠进行监理。</w:t>
      </w:r>
    </w:p>
    <w:p w14:paraId="3A2E5895">
      <w:pPr>
        <w:spacing w:line="360" w:lineRule="auto"/>
        <w:ind w:firstLine="205" w:firstLineChars="98"/>
        <w:rPr>
          <w:rFonts w:hint="eastAsia" w:ascii="宋体" w:hAnsi="宋体"/>
          <w:color w:val="auto"/>
          <w:szCs w:val="21"/>
        </w:rPr>
      </w:pPr>
      <w:r>
        <w:rPr>
          <w:rFonts w:hint="eastAsia" w:ascii="宋体" w:hAnsi="宋体"/>
          <w:color w:val="auto"/>
          <w:szCs w:val="21"/>
        </w:rPr>
        <w:t>③审查施工单位实施性施工组织设计，并对劳力、机械设备、材料等进场情况，以及保证质量、安全、工期和控制造价等方面的措施进行监理，并向委托人提出监理意见。</w:t>
      </w:r>
    </w:p>
    <w:p w14:paraId="7E43C93A">
      <w:pPr>
        <w:spacing w:line="360" w:lineRule="auto"/>
        <w:ind w:firstLine="205" w:firstLineChars="98"/>
        <w:rPr>
          <w:rFonts w:hint="eastAsia" w:ascii="宋体" w:hAnsi="宋体"/>
          <w:color w:val="auto"/>
          <w:szCs w:val="21"/>
        </w:rPr>
      </w:pPr>
      <w:r>
        <w:rPr>
          <w:rFonts w:hint="eastAsia" w:ascii="宋体" w:hAnsi="宋体"/>
          <w:color w:val="auto"/>
          <w:szCs w:val="21"/>
        </w:rPr>
        <w:t>④对施工单位质量保证体系是否健全、安全、质量技术措施是否落实进行监督检查。</w:t>
      </w:r>
    </w:p>
    <w:p w14:paraId="56D0DB33">
      <w:pPr>
        <w:spacing w:line="360" w:lineRule="auto"/>
        <w:ind w:firstLine="205" w:firstLineChars="98"/>
        <w:rPr>
          <w:rFonts w:hint="eastAsia" w:ascii="宋体" w:hAnsi="宋体"/>
          <w:color w:val="auto"/>
          <w:szCs w:val="21"/>
        </w:rPr>
      </w:pPr>
      <w:r>
        <w:rPr>
          <w:rFonts w:hint="eastAsia" w:ascii="宋体" w:hAnsi="宋体"/>
          <w:color w:val="auto"/>
          <w:szCs w:val="21"/>
        </w:rPr>
        <w:t>⑤审查施工单位的开工报告，经委托人批准后，下达开工令。</w:t>
      </w:r>
    </w:p>
    <w:p w14:paraId="1633BA6F">
      <w:pPr>
        <w:spacing w:line="360" w:lineRule="auto"/>
        <w:ind w:firstLine="205" w:firstLineChars="98"/>
        <w:rPr>
          <w:rFonts w:hint="eastAsia" w:ascii="宋体" w:hAnsi="宋体"/>
          <w:color w:val="auto"/>
          <w:szCs w:val="21"/>
        </w:rPr>
      </w:pPr>
      <w:r>
        <w:rPr>
          <w:rFonts w:hint="eastAsia" w:ascii="宋体" w:hAnsi="宋体"/>
          <w:color w:val="auto"/>
          <w:szCs w:val="21"/>
        </w:rPr>
        <w:t>（二）施工阶段</w:t>
      </w:r>
    </w:p>
    <w:p w14:paraId="3316A360">
      <w:pPr>
        <w:spacing w:line="360" w:lineRule="auto"/>
        <w:ind w:firstLine="205" w:firstLineChars="98"/>
        <w:rPr>
          <w:rFonts w:hint="eastAsia" w:ascii="宋体" w:hAnsi="宋体"/>
          <w:color w:val="auto"/>
          <w:szCs w:val="21"/>
        </w:rPr>
      </w:pPr>
      <w:r>
        <w:rPr>
          <w:rFonts w:hint="eastAsia" w:ascii="宋体" w:hAnsi="宋体"/>
          <w:color w:val="auto"/>
          <w:szCs w:val="21"/>
        </w:rPr>
        <w:t>（1）控制工程质量：</w:t>
      </w:r>
    </w:p>
    <w:p w14:paraId="01025F4A">
      <w:pPr>
        <w:spacing w:line="360" w:lineRule="auto"/>
        <w:ind w:firstLine="205" w:firstLineChars="98"/>
        <w:rPr>
          <w:rFonts w:hint="eastAsia" w:ascii="宋体" w:hAnsi="宋体"/>
          <w:color w:val="auto"/>
          <w:szCs w:val="21"/>
        </w:rPr>
      </w:pPr>
      <w:r>
        <w:rPr>
          <w:rFonts w:hint="eastAsia" w:ascii="宋体" w:hAnsi="宋体"/>
          <w:color w:val="auto"/>
          <w:szCs w:val="21"/>
        </w:rPr>
        <w:t>1）隐蔽工程检查。应对所有隐蔽工程进行检查和办理签证。对隐蔽工程中出现的各种问题，及时监督施工单位认真处理，必要时邀请设计单位和建设主管部门参加检查签证。同时应对施工工艺、劳力组织、机电设备等提出监理意见，当发现实际操作与工艺要求不符，监理人有权进行制止，并及时通知委托人。</w:t>
      </w:r>
    </w:p>
    <w:p w14:paraId="729912AF">
      <w:pPr>
        <w:spacing w:line="360" w:lineRule="auto"/>
        <w:ind w:firstLine="205" w:firstLineChars="98"/>
        <w:rPr>
          <w:rFonts w:hint="eastAsia" w:ascii="宋体" w:hAnsi="宋体"/>
          <w:color w:val="auto"/>
          <w:szCs w:val="21"/>
        </w:rPr>
      </w:pPr>
      <w:r>
        <w:rPr>
          <w:rFonts w:hint="eastAsia" w:ascii="宋体" w:hAnsi="宋体"/>
          <w:color w:val="auto"/>
          <w:szCs w:val="21"/>
        </w:rPr>
        <w:t>2）质量检查：</w:t>
      </w:r>
    </w:p>
    <w:p w14:paraId="14A49992">
      <w:pPr>
        <w:spacing w:line="360" w:lineRule="auto"/>
        <w:ind w:firstLine="205" w:firstLineChars="98"/>
        <w:rPr>
          <w:rFonts w:hint="eastAsia" w:ascii="宋体" w:hAnsi="宋体"/>
          <w:color w:val="auto"/>
          <w:szCs w:val="21"/>
        </w:rPr>
      </w:pPr>
      <w:r>
        <w:rPr>
          <w:rFonts w:hint="eastAsia" w:ascii="宋体" w:hAnsi="宋体"/>
          <w:color w:val="auto"/>
          <w:szCs w:val="21"/>
        </w:rPr>
        <w:t>①对施工测量、放样等进行随机抽查和重点复查。对发现的问题，要作出监理记录，并通知施工单位及时纠正。</w:t>
      </w:r>
      <w:r>
        <w:rPr>
          <w:rFonts w:ascii="宋体" w:hAnsi="宋体"/>
          <w:color w:val="auto"/>
          <w:szCs w:val="21"/>
        </w:rPr>
        <w:br w:type="textWrapping"/>
      </w:r>
      <w:r>
        <w:rPr>
          <w:rFonts w:hint="eastAsia" w:ascii="宋体" w:hAnsi="宋体"/>
          <w:color w:val="auto"/>
          <w:szCs w:val="21"/>
        </w:rPr>
        <w:t xml:space="preserve">  ②检查工程材料：承包方应对成品、半成品、设备等出厂合格证，材料试验报告单和原材料取样抽检，钢结构生产厂家的资质审查，人员资格审查，对于不符合要求的材料和设备，有权禁止进入工地和投入使用。</w:t>
      </w:r>
    </w:p>
    <w:p w14:paraId="392C6E60">
      <w:pPr>
        <w:spacing w:line="360" w:lineRule="auto"/>
        <w:ind w:firstLine="205" w:firstLineChars="98"/>
        <w:rPr>
          <w:rFonts w:hint="eastAsia" w:ascii="宋体" w:hAnsi="宋体"/>
          <w:color w:val="auto"/>
          <w:szCs w:val="21"/>
        </w:rPr>
      </w:pPr>
      <w:r>
        <w:rPr>
          <w:rFonts w:hint="eastAsia" w:ascii="宋体" w:hAnsi="宋体"/>
          <w:color w:val="auto"/>
          <w:szCs w:val="21"/>
        </w:rPr>
        <w:t>③监督施工单位严格执行施工承发包合同，严格按施工规范，设计图纸要求进行施工，对工程主要部位、主要环节的施工，按有关的施工规范和质量检测规定，进行检验签证，参与钢结构的抽样检验，以控制工程质量，并对施工质量作出评价。</w:t>
      </w:r>
    </w:p>
    <w:p w14:paraId="141BDB27">
      <w:pPr>
        <w:spacing w:line="360" w:lineRule="auto"/>
        <w:ind w:firstLine="205" w:firstLineChars="98"/>
        <w:rPr>
          <w:rFonts w:hint="eastAsia" w:ascii="宋体" w:hAnsi="宋体"/>
          <w:color w:val="auto"/>
          <w:szCs w:val="21"/>
        </w:rPr>
      </w:pPr>
      <w:r>
        <w:rPr>
          <w:rFonts w:hint="eastAsia" w:ascii="宋体" w:hAnsi="宋体"/>
          <w:color w:val="auto"/>
          <w:szCs w:val="21"/>
        </w:rPr>
        <w:t>④对施工单位完成的各类试件按规定进行检查或抽查，对试验结果作出评价。</w:t>
      </w:r>
    </w:p>
    <w:p w14:paraId="33A8DC38">
      <w:pPr>
        <w:spacing w:line="360" w:lineRule="auto"/>
        <w:ind w:firstLine="205" w:firstLineChars="98"/>
        <w:rPr>
          <w:rFonts w:hint="eastAsia" w:ascii="宋体" w:hAnsi="宋体"/>
          <w:color w:val="auto"/>
          <w:szCs w:val="21"/>
        </w:rPr>
      </w:pPr>
      <w:r>
        <w:rPr>
          <w:rFonts w:hint="eastAsia" w:ascii="宋体" w:hAnsi="宋体"/>
          <w:color w:val="auto"/>
          <w:szCs w:val="21"/>
        </w:rPr>
        <w:t>⑤监督施工单位对分项、分部、单位工程量评定工作资料是否齐全，并对质量评定工作作出综合评价。</w:t>
      </w:r>
    </w:p>
    <w:p w14:paraId="5899DE70">
      <w:pPr>
        <w:spacing w:line="360" w:lineRule="auto"/>
        <w:ind w:firstLine="205" w:firstLineChars="98"/>
        <w:rPr>
          <w:rFonts w:hint="eastAsia" w:ascii="宋体" w:hAnsi="宋体"/>
          <w:color w:val="auto"/>
          <w:szCs w:val="21"/>
        </w:rPr>
      </w:pPr>
      <w:r>
        <w:rPr>
          <w:rFonts w:hint="eastAsia" w:ascii="宋体" w:hAnsi="宋体"/>
          <w:color w:val="auto"/>
          <w:szCs w:val="21"/>
        </w:rPr>
        <w:t>⑥督促施工单位做好安全防护措施及文明施工。</w:t>
      </w:r>
    </w:p>
    <w:p w14:paraId="0451FB6F">
      <w:pPr>
        <w:spacing w:line="360" w:lineRule="auto"/>
        <w:ind w:firstLine="205" w:firstLineChars="98"/>
        <w:rPr>
          <w:rFonts w:hint="eastAsia" w:ascii="宋体" w:hAnsi="宋体"/>
          <w:color w:val="auto"/>
          <w:szCs w:val="21"/>
        </w:rPr>
      </w:pPr>
      <w:r>
        <w:rPr>
          <w:rFonts w:hint="eastAsia" w:ascii="宋体" w:hAnsi="宋体"/>
          <w:color w:val="auto"/>
          <w:szCs w:val="21"/>
        </w:rPr>
        <w:t>⑦对施工单位的检验测试仪器设备进行全面监督，审核度量衡和定期检验资料，保证度量资料的准确。</w:t>
      </w:r>
    </w:p>
    <w:p w14:paraId="7F6FAA47">
      <w:pPr>
        <w:spacing w:line="360" w:lineRule="auto"/>
        <w:ind w:firstLine="205" w:firstLineChars="98"/>
        <w:rPr>
          <w:rFonts w:hint="eastAsia" w:ascii="宋体" w:hAnsi="宋体"/>
          <w:color w:val="auto"/>
          <w:szCs w:val="21"/>
        </w:rPr>
      </w:pPr>
      <w:r>
        <w:rPr>
          <w:rFonts w:hint="eastAsia" w:ascii="宋体" w:hAnsi="宋体"/>
          <w:color w:val="auto"/>
          <w:szCs w:val="21"/>
        </w:rPr>
        <w:t>⑧施工中发现一般质量事故，立即通知施工单位返工处理，并记入工程日志本，对发生特大、重大质量事故，主持事故分析会，督促施工单位及时处理，有权否定施工单位对质量事故和返工处理的意见，责成重新研究处理方案。</w:t>
      </w:r>
    </w:p>
    <w:p w14:paraId="3EB2C518">
      <w:pPr>
        <w:spacing w:line="360" w:lineRule="auto"/>
        <w:ind w:firstLine="205" w:firstLineChars="98"/>
        <w:rPr>
          <w:rFonts w:hint="eastAsia" w:ascii="宋体" w:hAnsi="宋体"/>
          <w:color w:val="auto"/>
          <w:szCs w:val="21"/>
        </w:rPr>
      </w:pPr>
      <w:r>
        <w:rPr>
          <w:rFonts w:hint="eastAsia" w:ascii="宋体" w:hAnsi="宋体"/>
          <w:color w:val="auto"/>
          <w:szCs w:val="21"/>
        </w:rPr>
        <w:t>⑨对工程的施工检查要保证不漏检，重点过程和技术复杂的过程应适当增加检查次数。</w:t>
      </w:r>
    </w:p>
    <w:p w14:paraId="592ED130">
      <w:pPr>
        <w:spacing w:line="360" w:lineRule="auto"/>
        <w:ind w:firstLine="205" w:firstLineChars="98"/>
        <w:rPr>
          <w:rFonts w:hint="eastAsia" w:ascii="宋体" w:hAnsi="宋体"/>
          <w:color w:val="auto"/>
          <w:szCs w:val="21"/>
        </w:rPr>
      </w:pPr>
      <w:r>
        <w:rPr>
          <w:rFonts w:hint="eastAsia" w:ascii="宋体" w:hAnsi="宋体"/>
          <w:color w:val="auto"/>
          <w:szCs w:val="21"/>
        </w:rPr>
        <w:t>⑩督促并配合设计、施工单位搞好工程创优工作。</w:t>
      </w:r>
    </w:p>
    <w:p w14:paraId="68A74254">
      <w:pPr>
        <w:spacing w:line="360" w:lineRule="auto"/>
        <w:ind w:firstLine="205" w:firstLineChars="98"/>
        <w:rPr>
          <w:rFonts w:hint="eastAsia" w:ascii="宋体" w:hAnsi="宋体"/>
          <w:color w:val="auto"/>
          <w:szCs w:val="21"/>
        </w:rPr>
      </w:pPr>
      <w:r>
        <w:rPr>
          <w:rFonts w:hint="eastAsia" w:ascii="宋体" w:hAnsi="宋体"/>
          <w:color w:val="auto"/>
          <w:szCs w:val="21"/>
        </w:rPr>
        <w:t>（2）工程进度监理：</w:t>
      </w:r>
    </w:p>
    <w:p w14:paraId="2A46E04B">
      <w:pPr>
        <w:spacing w:line="360" w:lineRule="auto"/>
        <w:ind w:firstLine="205" w:firstLineChars="98"/>
        <w:rPr>
          <w:rFonts w:hint="eastAsia" w:ascii="宋体" w:hAnsi="宋体"/>
          <w:color w:val="auto"/>
          <w:szCs w:val="21"/>
        </w:rPr>
      </w:pPr>
      <w:r>
        <w:rPr>
          <w:rFonts w:hint="eastAsia" w:ascii="宋体" w:hAnsi="宋体"/>
          <w:color w:val="auto"/>
          <w:szCs w:val="21"/>
        </w:rPr>
        <w:t>1）监督施工单位严格按照《施工承发包合同》规定的工期和承包方下达的季度、年度施工计划组织施工，每月向承包方报告施工计划的执行情况和存在的问题。</w:t>
      </w:r>
    </w:p>
    <w:p w14:paraId="44B6FABE">
      <w:pPr>
        <w:spacing w:line="360" w:lineRule="auto"/>
        <w:ind w:firstLine="205" w:firstLineChars="98"/>
        <w:rPr>
          <w:rFonts w:hint="eastAsia" w:ascii="宋体" w:hAnsi="宋体"/>
          <w:color w:val="auto"/>
          <w:szCs w:val="21"/>
        </w:rPr>
      </w:pPr>
      <w:r>
        <w:rPr>
          <w:rFonts w:hint="eastAsia" w:ascii="宋体" w:hAnsi="宋体"/>
          <w:color w:val="auto"/>
          <w:szCs w:val="21"/>
        </w:rPr>
        <w:t>2）掌握并准确了解工程进度，如发生延误，及时分析原因提出相应措施，并报告委托人。</w:t>
      </w:r>
    </w:p>
    <w:p w14:paraId="60423881">
      <w:pPr>
        <w:spacing w:line="360" w:lineRule="auto"/>
        <w:ind w:firstLine="205" w:firstLineChars="98"/>
        <w:rPr>
          <w:rFonts w:hint="eastAsia" w:ascii="宋体" w:hAnsi="宋体"/>
          <w:color w:val="auto"/>
          <w:szCs w:val="21"/>
        </w:rPr>
      </w:pPr>
      <w:r>
        <w:rPr>
          <w:rFonts w:hint="eastAsia" w:ascii="宋体" w:hAnsi="宋体"/>
          <w:color w:val="auto"/>
          <w:szCs w:val="21"/>
        </w:rPr>
        <w:t>（3）控制合同造价</w:t>
      </w:r>
    </w:p>
    <w:p w14:paraId="479DA936">
      <w:pPr>
        <w:spacing w:line="360" w:lineRule="auto"/>
        <w:ind w:firstLine="205" w:firstLineChars="98"/>
        <w:rPr>
          <w:rFonts w:hint="eastAsia" w:ascii="宋体" w:hAnsi="宋体"/>
          <w:color w:val="auto"/>
          <w:szCs w:val="21"/>
        </w:rPr>
      </w:pPr>
      <w:r>
        <w:rPr>
          <w:rFonts w:hint="eastAsia" w:ascii="宋体" w:hAnsi="宋体"/>
          <w:color w:val="auto"/>
          <w:szCs w:val="21"/>
        </w:rPr>
        <w:t>1）按委托人制定的有关办法和规定办理验工计价签证，涉及投资变更的事项应先请示委托人得到认可后方可下达变更指令，保证验工签定的各项工程质量合格、数量准确（做到不超验、不漏验）。</w:t>
      </w:r>
    </w:p>
    <w:p w14:paraId="1C5E7EAB">
      <w:pPr>
        <w:spacing w:line="360" w:lineRule="auto"/>
        <w:ind w:firstLine="205" w:firstLineChars="98"/>
        <w:rPr>
          <w:rFonts w:hint="eastAsia" w:ascii="宋体" w:hAnsi="宋体"/>
          <w:color w:val="auto"/>
          <w:szCs w:val="21"/>
        </w:rPr>
      </w:pPr>
      <w:r>
        <w:rPr>
          <w:rFonts w:hint="eastAsia" w:ascii="宋体" w:hAnsi="宋体"/>
          <w:color w:val="auto"/>
          <w:szCs w:val="21"/>
        </w:rPr>
        <w:t>2）建立工程进度台帐，核对工程形象进度，按月、季向委托人报告。</w:t>
      </w:r>
    </w:p>
    <w:p w14:paraId="63DFE21E">
      <w:pPr>
        <w:spacing w:line="360" w:lineRule="auto"/>
        <w:ind w:firstLine="205" w:firstLineChars="98"/>
        <w:rPr>
          <w:rFonts w:hint="eastAsia" w:ascii="宋体" w:hAnsi="宋体"/>
          <w:color w:val="auto"/>
          <w:szCs w:val="21"/>
        </w:rPr>
      </w:pPr>
      <w:r>
        <w:rPr>
          <w:rFonts w:hint="eastAsia" w:ascii="宋体" w:hAnsi="宋体"/>
          <w:color w:val="auto"/>
          <w:szCs w:val="21"/>
        </w:rPr>
        <w:t>3）建立验工计价台帐，每季向委托人报送一次，每月末与施工单位核对清算一次，核对清算后资料报委托人。</w:t>
      </w:r>
    </w:p>
    <w:p w14:paraId="65ECDDAD">
      <w:pPr>
        <w:spacing w:line="360" w:lineRule="auto"/>
        <w:ind w:firstLine="205" w:firstLineChars="98"/>
        <w:rPr>
          <w:rFonts w:hint="eastAsia" w:ascii="宋体" w:hAnsi="宋体"/>
          <w:color w:val="auto"/>
          <w:szCs w:val="21"/>
        </w:rPr>
      </w:pPr>
      <w:r>
        <w:rPr>
          <w:rFonts w:hint="eastAsia" w:ascii="宋体" w:hAnsi="宋体"/>
          <w:color w:val="auto"/>
          <w:szCs w:val="21"/>
        </w:rPr>
        <w:t>4）对不符合质量标准的工程，未经返工处理达标前不予验工。</w:t>
      </w:r>
    </w:p>
    <w:p w14:paraId="79ABAA89">
      <w:pPr>
        <w:spacing w:line="360" w:lineRule="auto"/>
        <w:ind w:firstLine="205" w:firstLineChars="98"/>
        <w:rPr>
          <w:rFonts w:hint="eastAsia" w:ascii="宋体" w:hAnsi="宋体"/>
          <w:color w:val="auto"/>
          <w:szCs w:val="21"/>
        </w:rPr>
      </w:pPr>
      <w:r>
        <w:rPr>
          <w:rFonts w:hint="eastAsia" w:ascii="宋体" w:hAnsi="宋体"/>
          <w:color w:val="auto"/>
          <w:szCs w:val="21"/>
        </w:rPr>
        <w:t>5）组织召开现场例会，重要协调事项应事先向委托人报告。</w:t>
      </w:r>
    </w:p>
    <w:p w14:paraId="2D89D967">
      <w:pPr>
        <w:spacing w:line="360" w:lineRule="auto"/>
        <w:ind w:firstLine="205" w:firstLineChars="98"/>
        <w:rPr>
          <w:rFonts w:hint="eastAsia" w:ascii="宋体" w:hAnsi="宋体"/>
          <w:color w:val="auto"/>
          <w:szCs w:val="21"/>
        </w:rPr>
      </w:pPr>
      <w:r>
        <w:rPr>
          <w:rFonts w:hint="eastAsia" w:ascii="宋体" w:hAnsi="宋体"/>
          <w:color w:val="auto"/>
          <w:szCs w:val="21"/>
        </w:rPr>
        <w:t>6）</w:t>
      </w:r>
      <w:r>
        <w:rPr>
          <w:rFonts w:ascii="宋体" w:hAnsi="宋体"/>
          <w:color w:val="auto"/>
          <w:szCs w:val="21"/>
        </w:rPr>
        <w:t>工程结算工程量、综合单价及费用复核审查并出具书面审查意见报委托人，并承担复核审查责任</w:t>
      </w:r>
      <w:r>
        <w:rPr>
          <w:rFonts w:hint="eastAsia" w:ascii="宋体" w:hAnsi="宋体"/>
          <w:color w:val="auto"/>
          <w:szCs w:val="21"/>
        </w:rPr>
        <w:t>。</w:t>
      </w:r>
    </w:p>
    <w:p w14:paraId="4AABFEE2">
      <w:pPr>
        <w:spacing w:line="360" w:lineRule="auto"/>
        <w:ind w:firstLine="205" w:firstLineChars="98"/>
        <w:rPr>
          <w:rFonts w:hint="eastAsia" w:ascii="宋体" w:hAnsi="宋体"/>
          <w:color w:val="auto"/>
          <w:szCs w:val="21"/>
        </w:rPr>
      </w:pPr>
      <w:r>
        <w:rPr>
          <w:rFonts w:hint="eastAsia" w:ascii="宋体" w:hAnsi="宋体"/>
          <w:color w:val="auto"/>
          <w:szCs w:val="21"/>
        </w:rPr>
        <w:t>（4）变更设计</w:t>
      </w:r>
    </w:p>
    <w:p w14:paraId="79AEC2E7">
      <w:pPr>
        <w:spacing w:line="360" w:lineRule="auto"/>
        <w:ind w:firstLine="205" w:firstLineChars="98"/>
        <w:rPr>
          <w:rFonts w:hint="eastAsia" w:ascii="宋体" w:hAnsi="宋体"/>
          <w:color w:val="auto"/>
          <w:szCs w:val="21"/>
        </w:rPr>
      </w:pPr>
      <w:r>
        <w:rPr>
          <w:rFonts w:hint="eastAsia" w:ascii="宋体" w:hAnsi="宋体"/>
          <w:color w:val="auto"/>
          <w:szCs w:val="21"/>
        </w:rPr>
        <w:t>1）控制设计变更和项目变更。</w:t>
      </w:r>
    </w:p>
    <w:p w14:paraId="25C20783">
      <w:pPr>
        <w:spacing w:line="360" w:lineRule="auto"/>
        <w:ind w:firstLine="205" w:firstLineChars="98"/>
        <w:rPr>
          <w:rFonts w:hint="eastAsia" w:ascii="宋体" w:hAnsi="宋体"/>
          <w:color w:val="auto"/>
          <w:szCs w:val="21"/>
        </w:rPr>
      </w:pPr>
      <w:r>
        <w:rPr>
          <w:rFonts w:hint="eastAsia" w:ascii="宋体" w:hAnsi="宋体"/>
          <w:color w:val="auto"/>
          <w:szCs w:val="21"/>
        </w:rPr>
        <w:t>2）督促、检查施工单位及时整理竣工文件和验收资料，并提出监理意见。</w:t>
      </w:r>
    </w:p>
    <w:p w14:paraId="7C287534">
      <w:pPr>
        <w:spacing w:line="360" w:lineRule="auto"/>
        <w:ind w:firstLine="205" w:firstLineChars="98"/>
        <w:rPr>
          <w:rFonts w:hint="eastAsia" w:ascii="宋体" w:hAnsi="宋体"/>
          <w:color w:val="auto"/>
          <w:szCs w:val="21"/>
        </w:rPr>
      </w:pPr>
      <w:r>
        <w:rPr>
          <w:rFonts w:hint="eastAsia" w:ascii="宋体" w:hAnsi="宋体"/>
          <w:color w:val="auto"/>
          <w:szCs w:val="21"/>
        </w:rPr>
        <w:t>3）审查施工单位的工程竣工报告，并提出工程质量评价报告以作为验收的依据。</w:t>
      </w:r>
    </w:p>
    <w:p w14:paraId="208D002E">
      <w:pPr>
        <w:spacing w:line="360" w:lineRule="auto"/>
        <w:ind w:firstLine="205" w:firstLineChars="98"/>
        <w:rPr>
          <w:rFonts w:hint="eastAsia" w:ascii="宋体" w:hAnsi="宋体"/>
          <w:color w:val="auto"/>
          <w:szCs w:val="21"/>
        </w:rPr>
      </w:pPr>
      <w:r>
        <w:rPr>
          <w:rFonts w:hint="eastAsia" w:ascii="宋体" w:hAnsi="宋体"/>
          <w:color w:val="auto"/>
          <w:szCs w:val="21"/>
        </w:rPr>
        <w:t>4）协助委托人完成工程决算。</w:t>
      </w:r>
    </w:p>
    <w:p w14:paraId="5F91B50C">
      <w:pPr>
        <w:spacing w:line="360" w:lineRule="auto"/>
        <w:ind w:firstLine="205" w:firstLineChars="98"/>
        <w:rPr>
          <w:rFonts w:hint="eastAsia" w:ascii="宋体" w:hAnsi="宋体"/>
          <w:color w:val="auto"/>
          <w:szCs w:val="21"/>
        </w:rPr>
      </w:pPr>
      <w:r>
        <w:rPr>
          <w:rFonts w:hint="eastAsia" w:ascii="宋体" w:hAnsi="宋体"/>
          <w:color w:val="auto"/>
          <w:szCs w:val="21"/>
        </w:rPr>
        <w:t>（三）工程保修监理：本工程按国家有关规定实行保修，在保修期间承包方仍应负责监理所发生的质量问题。</w:t>
      </w:r>
    </w:p>
    <w:p w14:paraId="27F39F23">
      <w:pPr>
        <w:spacing w:line="360" w:lineRule="auto"/>
        <w:ind w:firstLine="205" w:firstLineChars="98"/>
        <w:rPr>
          <w:rFonts w:hint="eastAsia" w:ascii="宋体" w:hAnsi="宋体"/>
          <w:color w:val="auto"/>
          <w:szCs w:val="21"/>
        </w:rPr>
      </w:pPr>
      <w:r>
        <w:rPr>
          <w:rFonts w:hint="eastAsia" w:ascii="宋体" w:hAnsi="宋体"/>
          <w:color w:val="auto"/>
          <w:szCs w:val="21"/>
        </w:rPr>
        <w:t>（四）监理工作报告制度</w:t>
      </w:r>
    </w:p>
    <w:p w14:paraId="1391380A">
      <w:pPr>
        <w:spacing w:line="360" w:lineRule="auto"/>
        <w:ind w:firstLine="205" w:firstLineChars="98"/>
        <w:rPr>
          <w:rFonts w:hint="eastAsia" w:ascii="宋体" w:hAnsi="宋体"/>
          <w:color w:val="auto"/>
          <w:szCs w:val="21"/>
        </w:rPr>
      </w:pPr>
      <w:r>
        <w:rPr>
          <w:rFonts w:hint="eastAsia" w:ascii="宋体" w:hAnsi="宋体"/>
          <w:color w:val="auto"/>
          <w:szCs w:val="21"/>
        </w:rPr>
        <w:t>（1）工程情况报告：承包方每月5日前将是月工程形象进度、主要实物工程量施工质量情况、安全情况、施工中的主要问题及建议书面报送委托人。</w:t>
      </w:r>
    </w:p>
    <w:p w14:paraId="669665F4">
      <w:pPr>
        <w:spacing w:line="360" w:lineRule="auto"/>
        <w:ind w:firstLine="205" w:firstLineChars="98"/>
        <w:rPr>
          <w:rFonts w:hint="eastAsia" w:ascii="宋体" w:hAnsi="宋体"/>
          <w:color w:val="auto"/>
          <w:szCs w:val="21"/>
        </w:rPr>
      </w:pPr>
      <w:r>
        <w:rPr>
          <w:rFonts w:hint="eastAsia" w:ascii="宋体" w:hAnsi="宋体"/>
          <w:color w:val="auto"/>
          <w:szCs w:val="21"/>
        </w:rPr>
        <w:t>（2）验收报告：承包方在每月末办理验工计价后五日内，将投资完成情况、工程进度与委托人下达的计划进行对照，制度并附分析说明报委托人。</w:t>
      </w:r>
    </w:p>
    <w:p w14:paraId="44795B9E">
      <w:pPr>
        <w:spacing w:line="360" w:lineRule="auto"/>
        <w:ind w:firstLine="205" w:firstLineChars="98"/>
        <w:rPr>
          <w:rFonts w:hint="eastAsia" w:ascii="宋体" w:hAnsi="宋体"/>
          <w:color w:val="auto"/>
          <w:szCs w:val="21"/>
        </w:rPr>
      </w:pPr>
      <w:r>
        <w:rPr>
          <w:rFonts w:hint="eastAsia" w:ascii="宋体" w:hAnsi="宋体"/>
          <w:color w:val="auto"/>
          <w:szCs w:val="21"/>
        </w:rPr>
        <w:t>（3）隐蔽工程检查报告：承包方在每季末将隐蔽工程检查项数，监理工程师实际检查项数。施工中质量检查情况，各种事件的试验报告单，到达工地材料、成品、半成品、设备等质量问题的件数，验工计价台帐副本报送到委托人。</w:t>
      </w:r>
    </w:p>
    <w:p w14:paraId="2B19187E">
      <w:pPr>
        <w:spacing w:line="360" w:lineRule="auto"/>
        <w:ind w:firstLine="205" w:firstLineChars="98"/>
        <w:rPr>
          <w:rFonts w:hint="eastAsia" w:ascii="宋体" w:hAnsi="宋体"/>
          <w:color w:val="auto"/>
          <w:szCs w:val="21"/>
        </w:rPr>
      </w:pPr>
      <w:r>
        <w:rPr>
          <w:rFonts w:hint="eastAsia" w:ascii="宋体" w:hAnsi="宋体"/>
          <w:color w:val="auto"/>
          <w:szCs w:val="21"/>
        </w:rPr>
        <w:t>（4）工地发生大及重大质量事故、工伤事故或其他紧急情况，承包方应及时通知委托人，并及时报送质量事故报告，包括事故情况的描述、原因分析、处理过程及结果。</w:t>
      </w:r>
    </w:p>
    <w:p w14:paraId="7E74E78D">
      <w:pPr>
        <w:spacing w:line="360" w:lineRule="auto"/>
        <w:ind w:firstLine="205" w:firstLineChars="98"/>
        <w:rPr>
          <w:rFonts w:hint="eastAsia" w:ascii="宋体" w:hAnsi="宋体"/>
          <w:color w:val="auto"/>
          <w:szCs w:val="21"/>
        </w:rPr>
      </w:pPr>
      <w:r>
        <w:rPr>
          <w:rFonts w:hint="eastAsia" w:ascii="宋体" w:hAnsi="宋体"/>
          <w:color w:val="auto"/>
          <w:szCs w:val="21"/>
        </w:rPr>
        <w:t>（5）变更设计月报：截止本月度批准的变更设计情况和实际完成情况抄送委托人。</w:t>
      </w:r>
    </w:p>
    <w:p w14:paraId="103922A5">
      <w:pPr>
        <w:spacing w:line="360" w:lineRule="auto"/>
        <w:ind w:firstLine="205" w:firstLineChars="98"/>
        <w:rPr>
          <w:rFonts w:hint="eastAsia" w:ascii="宋体" w:hAnsi="宋体"/>
          <w:color w:val="auto"/>
          <w:szCs w:val="21"/>
        </w:rPr>
      </w:pPr>
      <w:r>
        <w:rPr>
          <w:rFonts w:hint="eastAsia" w:ascii="宋体" w:hAnsi="宋体"/>
          <w:color w:val="auto"/>
          <w:szCs w:val="21"/>
        </w:rPr>
        <w:t>（6）阶段验收报告。</w:t>
      </w:r>
    </w:p>
    <w:p w14:paraId="259FCCBB">
      <w:pPr>
        <w:spacing w:line="360" w:lineRule="auto"/>
        <w:ind w:firstLine="205" w:firstLineChars="98"/>
        <w:rPr>
          <w:rFonts w:hint="eastAsia" w:ascii="宋体" w:hAnsi="宋体"/>
          <w:color w:val="auto"/>
          <w:szCs w:val="21"/>
        </w:rPr>
      </w:pPr>
      <w:r>
        <w:rPr>
          <w:rFonts w:hint="eastAsia" w:ascii="宋体" w:hAnsi="宋体"/>
          <w:color w:val="auto"/>
          <w:szCs w:val="21"/>
        </w:rPr>
        <w:t>（7）工程质量评估报告。</w:t>
      </w:r>
    </w:p>
    <w:p w14:paraId="396E5BB4">
      <w:pPr>
        <w:spacing w:line="360" w:lineRule="auto"/>
        <w:ind w:firstLine="205" w:firstLineChars="98"/>
        <w:rPr>
          <w:rFonts w:hint="eastAsia" w:ascii="宋体" w:hAnsi="宋体"/>
          <w:color w:val="auto"/>
          <w:szCs w:val="21"/>
        </w:rPr>
      </w:pPr>
      <w:r>
        <w:rPr>
          <w:rFonts w:hint="eastAsia" w:ascii="宋体" w:hAnsi="宋体"/>
          <w:color w:val="auto"/>
          <w:szCs w:val="21"/>
        </w:rPr>
        <w:t>（8）监理工作总结。</w:t>
      </w:r>
    </w:p>
    <w:p w14:paraId="00A64B06">
      <w:pPr>
        <w:spacing w:line="360" w:lineRule="auto"/>
        <w:ind w:firstLine="205" w:firstLineChars="98"/>
        <w:rPr>
          <w:rFonts w:hint="eastAsia" w:ascii="宋体" w:hAnsi="宋体"/>
          <w:color w:val="auto"/>
          <w:szCs w:val="21"/>
        </w:rPr>
      </w:pPr>
      <w:r>
        <w:rPr>
          <w:rFonts w:hint="eastAsia" w:ascii="宋体" w:hAnsi="宋体"/>
          <w:color w:val="auto"/>
          <w:szCs w:val="21"/>
        </w:rPr>
        <w:t>（五）监理工程师应把热情服务作为自己义不容辞的职责，在实施监理的同时，充分发挥其专业技术特长和管理方面的知识，帮助施工单位提高技术业务和管理水平，攻克技术难点献计献策。</w:t>
      </w:r>
    </w:p>
    <w:p w14:paraId="20F1BBF3">
      <w:pPr>
        <w:spacing w:line="360" w:lineRule="auto"/>
        <w:ind w:firstLine="205" w:firstLineChars="98"/>
        <w:rPr>
          <w:rFonts w:hint="eastAsia" w:ascii="宋体" w:hAnsi="宋体"/>
          <w:color w:val="auto"/>
          <w:szCs w:val="21"/>
        </w:rPr>
      </w:pPr>
      <w:r>
        <w:rPr>
          <w:rFonts w:hint="eastAsia" w:ascii="宋体" w:hAnsi="宋体"/>
          <w:color w:val="auto"/>
          <w:szCs w:val="21"/>
        </w:rPr>
        <w:t>（1）组织工程验收：分部验收、单项验收（环保、规划、人防、消防、档案等验收）、工程竣工验收。</w:t>
      </w:r>
    </w:p>
    <w:p w14:paraId="161BEF1F">
      <w:pPr>
        <w:spacing w:line="360" w:lineRule="auto"/>
        <w:ind w:firstLine="205" w:firstLineChars="98"/>
        <w:rPr>
          <w:rFonts w:hint="eastAsia" w:ascii="宋体" w:hAnsi="宋体"/>
          <w:color w:val="auto"/>
          <w:szCs w:val="21"/>
        </w:rPr>
      </w:pPr>
      <w:r>
        <w:rPr>
          <w:rFonts w:hint="eastAsia" w:ascii="宋体" w:hAnsi="宋体"/>
          <w:color w:val="auto"/>
          <w:szCs w:val="21"/>
        </w:rPr>
        <w:t>（2）组织对图纸的综合审查。</w:t>
      </w:r>
    </w:p>
    <w:p w14:paraId="4F91C3BF">
      <w:pPr>
        <w:spacing w:line="360" w:lineRule="auto"/>
        <w:ind w:firstLine="205" w:firstLineChars="98"/>
        <w:rPr>
          <w:rFonts w:hint="eastAsia" w:ascii="宋体" w:hAnsi="宋体"/>
          <w:color w:val="auto"/>
          <w:szCs w:val="21"/>
        </w:rPr>
      </w:pPr>
      <w:r>
        <w:rPr>
          <w:rFonts w:hint="eastAsia" w:ascii="宋体" w:hAnsi="宋体"/>
          <w:color w:val="auto"/>
          <w:szCs w:val="21"/>
        </w:rPr>
        <w:t>（3）协助发包人进行日常资料管理及竣工资料的归档、移交、管理。</w:t>
      </w:r>
    </w:p>
    <w:p w14:paraId="7A6DD12A">
      <w:pPr>
        <w:spacing w:line="360" w:lineRule="auto"/>
        <w:ind w:firstLine="205" w:firstLineChars="98"/>
        <w:rPr>
          <w:rFonts w:hint="eastAsia" w:ascii="宋体" w:hAnsi="宋体"/>
          <w:color w:val="auto"/>
          <w:szCs w:val="21"/>
        </w:rPr>
      </w:pPr>
      <w:r>
        <w:rPr>
          <w:rFonts w:hint="eastAsia" w:ascii="宋体" w:hAnsi="宋体"/>
          <w:color w:val="auto"/>
          <w:szCs w:val="21"/>
        </w:rPr>
        <w:t>（4）工程设计变更的审查和协调，包括与设计单位的沟通和协调工作，做好设计变更的费用分析和技术分析等。</w:t>
      </w:r>
    </w:p>
    <w:p w14:paraId="4025FAD3">
      <w:pPr>
        <w:spacing w:line="360" w:lineRule="auto"/>
        <w:ind w:firstLine="205" w:firstLineChars="98"/>
        <w:rPr>
          <w:rFonts w:hint="eastAsia" w:ascii="宋体" w:hAnsi="宋体"/>
          <w:color w:val="auto"/>
          <w:szCs w:val="21"/>
        </w:rPr>
      </w:pPr>
      <w:r>
        <w:rPr>
          <w:rFonts w:hint="eastAsia" w:ascii="宋体" w:hAnsi="宋体"/>
          <w:color w:val="auto"/>
          <w:szCs w:val="21"/>
        </w:rPr>
        <w:t>（5）履行规范相关要求和规定，做好见证取样、施工旁站等。</w:t>
      </w:r>
    </w:p>
    <w:p w14:paraId="7B4009B7">
      <w:pPr>
        <w:spacing w:line="360" w:lineRule="auto"/>
        <w:ind w:firstLine="205" w:firstLineChars="98"/>
        <w:rPr>
          <w:rFonts w:hint="eastAsia" w:ascii="宋体" w:hAnsi="宋体"/>
          <w:color w:val="auto"/>
          <w:szCs w:val="21"/>
        </w:rPr>
      </w:pPr>
      <w:r>
        <w:rPr>
          <w:rFonts w:hint="eastAsia" w:ascii="宋体" w:hAnsi="宋体"/>
          <w:color w:val="auto"/>
          <w:szCs w:val="21"/>
        </w:rPr>
        <w:t>（6）招标文件中规定的和投标承诺的其他内容。</w:t>
      </w:r>
    </w:p>
    <w:p w14:paraId="7D1B3526">
      <w:pPr>
        <w:spacing w:line="360" w:lineRule="auto"/>
        <w:ind w:firstLine="205" w:firstLineChars="98"/>
        <w:rPr>
          <w:rFonts w:hint="eastAsia" w:ascii="宋体" w:hAnsi="宋体"/>
          <w:color w:val="auto"/>
          <w:szCs w:val="21"/>
        </w:rPr>
      </w:pPr>
      <w:r>
        <w:rPr>
          <w:rFonts w:hint="eastAsia" w:ascii="宋体" w:hAnsi="宋体"/>
          <w:color w:val="auto"/>
          <w:szCs w:val="21"/>
        </w:rPr>
        <w:t>（7）质保期阶段：按相关规定做好质保期内的质量缺陷调查，督促施工单位整改，同时协</w:t>
      </w:r>
    </w:p>
    <w:p w14:paraId="7955A298">
      <w:pPr>
        <w:spacing w:line="360" w:lineRule="auto"/>
        <w:ind w:firstLine="205" w:firstLineChars="98"/>
        <w:rPr>
          <w:rFonts w:hint="eastAsia" w:ascii="宋体" w:hAnsi="宋体"/>
          <w:color w:val="auto"/>
          <w:szCs w:val="21"/>
        </w:rPr>
      </w:pPr>
      <w:r>
        <w:rPr>
          <w:rFonts w:hint="eastAsia" w:ascii="宋体" w:hAnsi="宋体"/>
          <w:color w:val="auto"/>
          <w:szCs w:val="21"/>
        </w:rPr>
        <w:t>助委托人做好质量回访工作等。</w:t>
      </w:r>
    </w:p>
    <w:p w14:paraId="0F1DD9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 监理与相关服务依据</w:t>
      </w:r>
    </w:p>
    <w:p w14:paraId="24C08E98">
      <w:pPr>
        <w:spacing w:line="360" w:lineRule="auto"/>
        <w:ind w:firstLine="420" w:firstLineChars="200"/>
        <w:rPr>
          <w:rFonts w:hint="eastAsia" w:ascii="宋体" w:hAnsi="宋体"/>
          <w:color w:val="auto"/>
          <w:szCs w:val="21"/>
        </w:rPr>
      </w:pPr>
      <w:r>
        <w:rPr>
          <w:rFonts w:hint="eastAsia" w:ascii="宋体" w:hAnsi="宋体"/>
          <w:color w:val="auto"/>
          <w:szCs w:val="21"/>
        </w:rPr>
        <w:t>2.2.1 监理依据包括：</w:t>
      </w:r>
    </w:p>
    <w:p w14:paraId="4A64BC06">
      <w:pPr>
        <w:spacing w:line="360" w:lineRule="auto"/>
        <w:ind w:firstLine="415" w:firstLineChars="198"/>
        <w:rPr>
          <w:rFonts w:hint="eastAsia" w:ascii="宋体" w:hAnsi="宋体"/>
          <w:color w:val="auto"/>
          <w:szCs w:val="21"/>
        </w:rPr>
      </w:pPr>
      <w:r>
        <w:rPr>
          <w:rFonts w:hint="eastAsia" w:ascii="宋体" w:hAnsi="宋体"/>
          <w:color w:val="auto"/>
          <w:szCs w:val="21"/>
        </w:rPr>
        <w:t>1)《中华人民共和国建筑法》；</w:t>
      </w:r>
    </w:p>
    <w:p w14:paraId="21675658">
      <w:pPr>
        <w:spacing w:line="360" w:lineRule="auto"/>
        <w:ind w:firstLine="415" w:firstLineChars="198"/>
        <w:rPr>
          <w:rFonts w:hint="eastAsia" w:ascii="宋体" w:hAnsi="宋体"/>
          <w:color w:val="auto"/>
          <w:szCs w:val="21"/>
        </w:rPr>
      </w:pPr>
      <w:r>
        <w:rPr>
          <w:rFonts w:hint="eastAsia" w:ascii="宋体" w:hAnsi="宋体"/>
          <w:color w:val="auto"/>
          <w:szCs w:val="21"/>
        </w:rPr>
        <w:t>2)《中华人民共和国民法典》；</w:t>
      </w:r>
    </w:p>
    <w:p w14:paraId="71F73FF2">
      <w:pPr>
        <w:spacing w:line="360" w:lineRule="auto"/>
        <w:ind w:firstLine="415" w:firstLineChars="198"/>
        <w:rPr>
          <w:rFonts w:hint="eastAsia" w:ascii="宋体" w:hAnsi="宋体"/>
          <w:color w:val="auto"/>
          <w:szCs w:val="21"/>
        </w:rPr>
      </w:pPr>
      <w:r>
        <w:rPr>
          <w:rFonts w:hint="eastAsia" w:ascii="宋体" w:hAnsi="宋体"/>
          <w:color w:val="auto"/>
          <w:szCs w:val="21"/>
        </w:rPr>
        <w:t>3)《工程建设监理规定》（建设部建监[1995]737 号令）；</w:t>
      </w:r>
    </w:p>
    <w:p w14:paraId="5953CD7B">
      <w:pPr>
        <w:spacing w:line="360" w:lineRule="auto"/>
        <w:ind w:firstLine="415" w:firstLineChars="198"/>
        <w:rPr>
          <w:rFonts w:hint="eastAsia" w:ascii="宋体" w:hAnsi="宋体"/>
          <w:color w:val="auto"/>
          <w:szCs w:val="21"/>
        </w:rPr>
      </w:pPr>
      <w:r>
        <w:rPr>
          <w:rFonts w:hint="eastAsia" w:ascii="宋体" w:hAnsi="宋体"/>
          <w:color w:val="auto"/>
          <w:szCs w:val="21"/>
        </w:rPr>
        <w:t>4)《建筑工程质量管理条例》（国务院第 279 号令）；</w:t>
      </w:r>
    </w:p>
    <w:p w14:paraId="4B98A87D">
      <w:pPr>
        <w:spacing w:line="360" w:lineRule="auto"/>
        <w:ind w:firstLine="415" w:firstLineChars="198"/>
        <w:rPr>
          <w:rFonts w:hint="eastAsia" w:ascii="宋体" w:hAnsi="宋体"/>
          <w:color w:val="auto"/>
          <w:szCs w:val="21"/>
        </w:rPr>
      </w:pPr>
      <w:r>
        <w:rPr>
          <w:rFonts w:hint="eastAsia" w:ascii="宋体" w:hAnsi="宋体"/>
          <w:color w:val="auto"/>
          <w:szCs w:val="21"/>
        </w:rPr>
        <w:t>5)《建设工程监理规范》 （GB50319－2000）；</w:t>
      </w:r>
    </w:p>
    <w:p w14:paraId="3AD0B5A4">
      <w:pPr>
        <w:spacing w:line="360" w:lineRule="auto"/>
        <w:ind w:firstLine="415" w:firstLineChars="198"/>
        <w:rPr>
          <w:rFonts w:hint="eastAsia" w:ascii="宋体" w:hAnsi="宋体"/>
          <w:color w:val="auto"/>
          <w:szCs w:val="21"/>
        </w:rPr>
      </w:pPr>
      <w:r>
        <w:rPr>
          <w:rFonts w:hint="eastAsia" w:ascii="宋体" w:hAnsi="宋体"/>
          <w:color w:val="auto"/>
          <w:szCs w:val="21"/>
        </w:rPr>
        <w:t>6) 安徽省建设工程监理管理办法及有关规程；</w:t>
      </w:r>
    </w:p>
    <w:p w14:paraId="0F1419B8">
      <w:pPr>
        <w:spacing w:line="360" w:lineRule="auto"/>
        <w:ind w:firstLine="415" w:firstLineChars="198"/>
        <w:rPr>
          <w:rFonts w:ascii="宋体" w:hAnsi="宋体"/>
          <w:color w:val="auto"/>
          <w:szCs w:val="21"/>
        </w:rPr>
      </w:pPr>
      <w:r>
        <w:rPr>
          <w:rFonts w:hint="eastAsia" w:ascii="宋体" w:hAnsi="宋体"/>
          <w:color w:val="auto"/>
          <w:szCs w:val="21"/>
        </w:rPr>
        <w:t>7) 国家、地方颁发的现行施工验收规范、规程、质量检验评定标准。</w:t>
      </w:r>
    </w:p>
    <w:p w14:paraId="6306DE38">
      <w:pPr>
        <w:adjustRightInd w:val="0"/>
        <w:snapToGrid w:val="0"/>
        <w:spacing w:line="360" w:lineRule="auto"/>
        <w:ind w:firstLine="420" w:firstLineChars="200"/>
        <w:rPr>
          <w:rFonts w:ascii="宋体" w:hAnsi="宋体"/>
          <w:dstrike/>
          <w:color w:val="auto"/>
          <w:szCs w:val="21"/>
        </w:rPr>
      </w:pPr>
      <w:r>
        <w:rPr>
          <w:rFonts w:hint="eastAsia" w:ascii="宋体" w:hAnsi="宋体"/>
          <w:color w:val="auto"/>
          <w:szCs w:val="21"/>
        </w:rPr>
        <w:t>2.2.2 相关服务依据包括：</w:t>
      </w:r>
      <w:r>
        <w:rPr>
          <w:rFonts w:hint="eastAsia" w:ascii="宋体" w:hAnsi="宋体"/>
          <w:color w:val="auto"/>
          <w:szCs w:val="21"/>
          <w:u w:val="single"/>
        </w:rPr>
        <w:t xml:space="preserve">         /         </w:t>
      </w:r>
      <w:r>
        <w:rPr>
          <w:rFonts w:hint="eastAsia" w:ascii="宋体" w:hAnsi="宋体"/>
          <w:color w:val="auto"/>
          <w:szCs w:val="21"/>
        </w:rPr>
        <w:t>。</w:t>
      </w:r>
    </w:p>
    <w:p w14:paraId="73BA3031">
      <w:pPr>
        <w:spacing w:line="360" w:lineRule="auto"/>
        <w:rPr>
          <w:rFonts w:ascii="宋体" w:hAnsi="宋体"/>
          <w:color w:val="auto"/>
          <w:szCs w:val="21"/>
        </w:rPr>
      </w:pPr>
      <w:r>
        <w:rPr>
          <w:rFonts w:hint="eastAsia" w:ascii="宋体" w:hAnsi="宋体"/>
          <w:color w:val="auto"/>
          <w:szCs w:val="21"/>
        </w:rPr>
        <w:t xml:space="preserve">  2.3</w:t>
      </w:r>
      <w:r>
        <w:rPr>
          <w:rFonts w:hint="eastAsia" w:ascii="宋体" w:hAnsi="宋体" w:cs="宋体"/>
          <w:color w:val="auto"/>
          <w:kern w:val="0"/>
          <w:szCs w:val="21"/>
        </w:rPr>
        <w:t>项目监理机构和人员</w:t>
      </w:r>
    </w:p>
    <w:p w14:paraId="3D5A41A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2.3.4 </w:t>
      </w:r>
      <w:r>
        <w:rPr>
          <w:rFonts w:hint="eastAsia" w:ascii="宋体" w:hAnsi="宋体"/>
          <w:color w:val="auto"/>
          <w:kern w:val="0"/>
          <w:szCs w:val="21"/>
        </w:rPr>
        <w:t>更换监理人员的其他情形：</w:t>
      </w:r>
      <w:r>
        <w:rPr>
          <w:rFonts w:hint="eastAsia" w:ascii="宋体" w:hAnsi="宋体"/>
          <w:color w:val="auto"/>
          <w:szCs w:val="21"/>
          <w:u w:val="single"/>
        </w:rPr>
        <w:t>执行《滨湖集团建设工程合约单位违约行为违约金支付标准管理办法》</w:t>
      </w:r>
      <w:r>
        <w:rPr>
          <w:rFonts w:hint="eastAsia" w:ascii="宋体" w:hAnsi="宋体"/>
          <w:color w:val="auto"/>
          <w:szCs w:val="21"/>
        </w:rPr>
        <w:t>。</w:t>
      </w:r>
    </w:p>
    <w:p w14:paraId="02AAFED9">
      <w:pPr>
        <w:spacing w:line="360" w:lineRule="auto"/>
        <w:ind w:firstLine="205" w:firstLineChars="98"/>
        <w:rPr>
          <w:rFonts w:ascii="宋体" w:hAnsi="宋体"/>
          <w:color w:val="auto"/>
          <w:szCs w:val="21"/>
        </w:rPr>
      </w:pPr>
      <w:r>
        <w:rPr>
          <w:rFonts w:hint="eastAsia" w:ascii="宋体" w:hAnsi="宋体"/>
          <w:color w:val="auto"/>
          <w:szCs w:val="21"/>
        </w:rPr>
        <w:t xml:space="preserve">2.4 </w:t>
      </w:r>
      <w:r>
        <w:rPr>
          <w:rFonts w:hint="eastAsia" w:ascii="宋体" w:hAnsi="宋体" w:cs="宋体"/>
          <w:color w:val="auto"/>
          <w:kern w:val="0"/>
          <w:szCs w:val="21"/>
        </w:rPr>
        <w:t>履行职责</w:t>
      </w:r>
    </w:p>
    <w:p w14:paraId="09B6DFF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2.4.3 对监理人的授权范围：</w:t>
      </w:r>
    </w:p>
    <w:p w14:paraId="5F9CD263">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①工程施工现场的质量、进度、投资、安全控制，合同管理、信息管理，现场之间的协调全权委托监理单位。</w:t>
      </w:r>
    </w:p>
    <w:p w14:paraId="748186AB">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②委托人（业主代表）的一切指令均应通过现场监理机构下达到承包商，不得越过监理单位。凡委托人单独或直接下达给承包商的指令，现场监理机构均不予认可及计量。</w:t>
      </w:r>
    </w:p>
    <w:p w14:paraId="7E089C1E">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③工程质量认可、工程计量、工程款支付项目总监未签字的，委托人不得支付工程款。</w:t>
      </w:r>
    </w:p>
    <w:p w14:paraId="4E53C95F">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④委托人（业主代表）不得授意监理单位对某承包商的变更请求进行批准或要求监理单位同意某个承包商的变更申请。</w:t>
      </w:r>
    </w:p>
    <w:p w14:paraId="00E7E2C3">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⑤对施工合同中约定的暂定价的材料或设备，采购时必须要有项目总监或专业工程师参与，否则，项目总监对该部分不予计量支付。</w:t>
      </w:r>
    </w:p>
    <w:p w14:paraId="52320053">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⑥委托人应支持配合监理单位的日常管理工作，项目总监下达的暂停指令、整改通知、监理通知或停工指令，承包商拒绝或不执行时，委托人应积极配合、要求承包商坚决执行，不得助长承包商的野蛮施工行为。</w:t>
      </w:r>
    </w:p>
    <w:p w14:paraId="4C1EE8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在涉及工程延期</w:t>
      </w:r>
      <w:r>
        <w:rPr>
          <w:rFonts w:hint="eastAsia" w:ascii="宋体" w:hAnsi="宋体"/>
          <w:color w:val="auto"/>
          <w:szCs w:val="21"/>
          <w:u w:val="single"/>
        </w:rPr>
        <w:t xml:space="preserve">   /   </w:t>
      </w:r>
      <w:r>
        <w:rPr>
          <w:rFonts w:hint="eastAsia" w:ascii="宋体" w:hAnsi="宋体"/>
          <w:color w:val="auto"/>
          <w:szCs w:val="21"/>
        </w:rPr>
        <w:t>天内和（或）金额</w:t>
      </w:r>
      <w:r>
        <w:rPr>
          <w:rFonts w:hint="eastAsia" w:ascii="宋体" w:hAnsi="宋体"/>
          <w:color w:val="auto"/>
          <w:szCs w:val="21"/>
          <w:u w:val="single"/>
        </w:rPr>
        <w:t xml:space="preserve">   /   </w:t>
      </w:r>
      <w:r>
        <w:rPr>
          <w:rFonts w:hint="eastAsia" w:ascii="宋体" w:hAnsi="宋体"/>
          <w:color w:val="auto"/>
          <w:szCs w:val="21"/>
        </w:rPr>
        <w:t>万元内的变更，监理人不需请示委托人即可向承包人发布变更通知。</w:t>
      </w:r>
    </w:p>
    <w:p w14:paraId="6AFB2110">
      <w:pPr>
        <w:adjustRightInd w:val="0"/>
        <w:snapToGrid w:val="0"/>
        <w:spacing w:line="360" w:lineRule="auto"/>
        <w:ind w:firstLine="315" w:firstLineChars="150"/>
        <w:jc w:val="left"/>
        <w:rPr>
          <w:rFonts w:hint="eastAsia" w:ascii="宋体" w:hAnsi="宋体"/>
          <w:color w:val="auto"/>
          <w:szCs w:val="21"/>
        </w:rPr>
      </w:pPr>
      <w:r>
        <w:rPr>
          <w:rFonts w:hint="eastAsia" w:ascii="宋体" w:hAnsi="宋体"/>
          <w:color w:val="auto"/>
          <w:kern w:val="0"/>
          <w:szCs w:val="21"/>
        </w:rPr>
        <w:t>2.4.4 监理人有权要求承包人调换其人员</w:t>
      </w:r>
      <w:r>
        <w:rPr>
          <w:rFonts w:hint="eastAsia" w:ascii="宋体" w:hAnsi="宋体"/>
          <w:color w:val="auto"/>
          <w:szCs w:val="21"/>
        </w:rPr>
        <w:t>的限制条件：</w:t>
      </w:r>
      <w:r>
        <w:rPr>
          <w:rFonts w:hint="eastAsia" w:ascii="宋体" w:hAnsi="宋体"/>
          <w:color w:val="auto"/>
          <w:szCs w:val="21"/>
          <w:u w:val="single"/>
        </w:rPr>
        <w:t xml:space="preserve"> 经建设单位同意 </w:t>
      </w:r>
      <w:r>
        <w:rPr>
          <w:rFonts w:hint="eastAsia" w:ascii="宋体" w:hAnsi="宋体"/>
          <w:color w:val="auto"/>
          <w:szCs w:val="21"/>
        </w:rPr>
        <w:t>。</w:t>
      </w:r>
    </w:p>
    <w:p w14:paraId="3D4690CA">
      <w:pPr>
        <w:adjustRightInd w:val="0"/>
        <w:snapToGrid w:val="0"/>
        <w:spacing w:line="360" w:lineRule="auto"/>
        <w:ind w:firstLine="315" w:firstLineChars="150"/>
        <w:jc w:val="left"/>
        <w:rPr>
          <w:rFonts w:ascii="宋体" w:hAnsi="宋体"/>
          <w:color w:val="auto"/>
          <w:szCs w:val="21"/>
        </w:rPr>
      </w:pPr>
      <w:r>
        <w:rPr>
          <w:rFonts w:hint="eastAsia" w:ascii="宋体" w:hAnsi="宋体"/>
          <w:color w:val="auto"/>
          <w:kern w:val="0"/>
          <w:szCs w:val="21"/>
        </w:rPr>
        <w:t xml:space="preserve">2.5 </w:t>
      </w:r>
      <w:r>
        <w:rPr>
          <w:rFonts w:hint="eastAsia" w:ascii="宋体" w:hAnsi="宋体"/>
          <w:color w:val="auto"/>
          <w:szCs w:val="21"/>
        </w:rPr>
        <w:t>提交</w:t>
      </w:r>
      <w:r>
        <w:rPr>
          <w:rFonts w:hint="eastAsia" w:ascii="宋体" w:hAnsi="宋体" w:cs="宋体"/>
          <w:color w:val="auto"/>
          <w:kern w:val="0"/>
          <w:szCs w:val="21"/>
        </w:rPr>
        <w:t>报告</w:t>
      </w:r>
    </w:p>
    <w:p w14:paraId="3773AA5D">
      <w:pPr>
        <w:adjustRightInd w:val="0"/>
        <w:snapToGrid w:val="0"/>
        <w:spacing w:line="360" w:lineRule="auto"/>
        <w:rPr>
          <w:rFonts w:hint="eastAsia" w:ascii="宋体" w:hAnsi="宋体"/>
          <w:color w:val="auto"/>
          <w:szCs w:val="21"/>
          <w:u w:val="single"/>
        </w:rPr>
      </w:pPr>
      <w:r>
        <w:rPr>
          <w:rFonts w:hint="eastAsia" w:ascii="宋体" w:hAnsi="宋体"/>
          <w:color w:val="auto"/>
          <w:szCs w:val="21"/>
        </w:rPr>
        <w:t>监理人应提交报告的种类(包括监理规划、监理月报及约定的专项报告)、时间和份数：</w:t>
      </w:r>
      <w:r>
        <w:rPr>
          <w:rFonts w:hint="eastAsia" w:ascii="宋体" w:hAnsi="宋体"/>
          <w:color w:val="auto"/>
          <w:szCs w:val="21"/>
          <w:u w:val="single"/>
        </w:rPr>
        <w:t>提交监理规划、监理实施细则各一份；每月25日前提交本月监理月报、监理安全评估报告及其他报告。</w:t>
      </w:r>
    </w:p>
    <w:p w14:paraId="47F0E61B">
      <w:pPr>
        <w:spacing w:line="360" w:lineRule="auto"/>
        <w:ind w:firstLine="420"/>
        <w:rPr>
          <w:color w:val="auto"/>
          <w:szCs w:val="21"/>
        </w:rPr>
      </w:pPr>
      <w:r>
        <w:rPr>
          <w:rFonts w:hint="eastAsia"/>
          <w:color w:val="auto"/>
          <w:szCs w:val="21"/>
        </w:rPr>
        <w:t xml:space="preserve">1）、监理人在图纸设计交底后 7 天内编制并向委托人提交详细的监理规划，委托人在7 天内予以审定或提出修改意见并批准实施监理。 </w:t>
      </w:r>
    </w:p>
    <w:p w14:paraId="4E686F71">
      <w:pPr>
        <w:spacing w:line="360" w:lineRule="auto"/>
        <w:ind w:firstLine="420"/>
        <w:rPr>
          <w:color w:val="auto"/>
          <w:szCs w:val="21"/>
        </w:rPr>
      </w:pPr>
      <w:r>
        <w:rPr>
          <w:rFonts w:hint="eastAsia"/>
          <w:color w:val="auto"/>
          <w:szCs w:val="21"/>
        </w:rPr>
        <w:t xml:space="preserve">2）、监理人对施工承包单位月施工计划进行核实后送交委托人。 </w:t>
      </w:r>
    </w:p>
    <w:p w14:paraId="375E1604">
      <w:pPr>
        <w:spacing w:line="360" w:lineRule="auto"/>
        <w:ind w:firstLine="420"/>
        <w:rPr>
          <w:color w:val="auto"/>
          <w:szCs w:val="21"/>
        </w:rPr>
      </w:pPr>
      <w:r>
        <w:rPr>
          <w:rFonts w:hint="eastAsia"/>
          <w:color w:val="auto"/>
          <w:szCs w:val="21"/>
        </w:rPr>
        <w:t xml:space="preserve">3）、监理人在每月25日之前向甲方提供监理月报，统计报表一式四份；每月25日之前向委托人提供已完成工程支付证书，一式四份。 </w:t>
      </w:r>
    </w:p>
    <w:p w14:paraId="681DF0AA">
      <w:pPr>
        <w:spacing w:line="360" w:lineRule="auto"/>
        <w:ind w:firstLine="420"/>
        <w:rPr>
          <w:color w:val="auto"/>
          <w:szCs w:val="21"/>
        </w:rPr>
      </w:pPr>
      <w:r>
        <w:rPr>
          <w:rFonts w:hint="eastAsia"/>
          <w:color w:val="auto"/>
          <w:szCs w:val="21"/>
        </w:rPr>
        <w:t>4）、监理例会会议纪要每周按时提供。</w:t>
      </w:r>
    </w:p>
    <w:p w14:paraId="6517A076">
      <w:pPr>
        <w:spacing w:line="360" w:lineRule="auto"/>
        <w:ind w:firstLine="420"/>
        <w:rPr>
          <w:color w:val="auto"/>
          <w:szCs w:val="21"/>
        </w:rPr>
      </w:pPr>
      <w:r>
        <w:rPr>
          <w:rFonts w:hint="eastAsia"/>
          <w:color w:val="auto"/>
          <w:szCs w:val="21"/>
        </w:rPr>
        <w:t>5）、评估报告于验收前7天提供；</w:t>
      </w:r>
    </w:p>
    <w:p w14:paraId="6E25B7B1">
      <w:pPr>
        <w:spacing w:line="360" w:lineRule="auto"/>
        <w:rPr>
          <w:rFonts w:ascii="宋体" w:hAnsi="宋体" w:cs="宋体"/>
          <w:color w:val="auto"/>
          <w:kern w:val="0"/>
          <w:szCs w:val="21"/>
        </w:rPr>
      </w:pPr>
      <w:r>
        <w:rPr>
          <w:rFonts w:hint="eastAsia" w:ascii="宋体" w:hAnsi="宋体"/>
          <w:color w:val="auto"/>
          <w:kern w:val="0"/>
          <w:szCs w:val="21"/>
        </w:rPr>
        <w:t xml:space="preserve"> 2.7 </w:t>
      </w:r>
      <w:r>
        <w:rPr>
          <w:rFonts w:hint="eastAsia" w:ascii="宋体" w:hAnsi="宋体" w:cs="宋体"/>
          <w:color w:val="auto"/>
          <w:kern w:val="0"/>
          <w:szCs w:val="21"/>
        </w:rPr>
        <w:t>使用委托人的财产</w:t>
      </w:r>
    </w:p>
    <w:p w14:paraId="7934BE0E">
      <w:pPr>
        <w:adjustRightInd w:val="0"/>
        <w:snapToGrid w:val="0"/>
        <w:spacing w:line="360" w:lineRule="auto"/>
        <w:ind w:firstLine="420" w:firstLineChars="200"/>
        <w:rPr>
          <w:rFonts w:ascii="宋体" w:hAnsi="宋体"/>
          <w:color w:val="auto"/>
          <w:kern w:val="0"/>
          <w:szCs w:val="21"/>
        </w:rPr>
      </w:pPr>
      <w:r>
        <w:rPr>
          <w:rFonts w:hint="eastAsia" w:ascii="宋体" w:hAnsi="宋体"/>
          <w:color w:val="auto"/>
          <w:szCs w:val="21"/>
        </w:rPr>
        <w:t>附录B中由委托人无偿提供的房屋、设备的所有权属于：</w:t>
      </w:r>
      <w:r>
        <w:rPr>
          <w:rFonts w:hint="eastAsia" w:ascii="宋体" w:hAnsi="宋体"/>
          <w:color w:val="auto"/>
          <w:szCs w:val="21"/>
          <w:u w:val="single"/>
        </w:rPr>
        <w:t xml:space="preserve">  /   </w:t>
      </w:r>
      <w:r>
        <w:rPr>
          <w:rFonts w:hint="eastAsia" w:ascii="宋体" w:hAnsi="宋体"/>
          <w:color w:val="auto"/>
          <w:szCs w:val="21"/>
        </w:rPr>
        <w:t>。</w:t>
      </w:r>
    </w:p>
    <w:p w14:paraId="1375EDD5">
      <w:pPr>
        <w:spacing w:line="360" w:lineRule="auto"/>
        <w:ind w:firstLine="420" w:firstLineChars="200"/>
        <w:rPr>
          <w:rFonts w:ascii="宋体" w:hAnsi="宋体"/>
          <w:color w:val="auto"/>
          <w:kern w:val="0"/>
          <w:szCs w:val="21"/>
        </w:rPr>
      </w:pPr>
      <w:r>
        <w:rPr>
          <w:rFonts w:hint="eastAsia" w:ascii="宋体" w:hAnsi="宋体"/>
          <w:color w:val="auto"/>
          <w:szCs w:val="21"/>
        </w:rPr>
        <w:t>监理人应在本合同终止后</w:t>
      </w:r>
      <w:r>
        <w:rPr>
          <w:rFonts w:hint="eastAsia" w:ascii="宋体" w:hAnsi="宋体"/>
          <w:color w:val="auto"/>
          <w:szCs w:val="21"/>
          <w:u w:val="single"/>
        </w:rPr>
        <w:t xml:space="preserve">  15  </w:t>
      </w:r>
      <w:r>
        <w:rPr>
          <w:rFonts w:hint="eastAsia" w:ascii="宋体" w:hAnsi="宋体"/>
          <w:color w:val="auto"/>
          <w:szCs w:val="21"/>
        </w:rPr>
        <w:t>天内移交委托人无偿提供的房屋、设备，移交的时间和方式为：</w:t>
      </w:r>
      <w:r>
        <w:rPr>
          <w:rFonts w:hint="eastAsia" w:ascii="宋体" w:hAnsi="宋体"/>
          <w:color w:val="auto"/>
          <w:szCs w:val="21"/>
          <w:u w:val="single"/>
        </w:rPr>
        <w:t xml:space="preserve">   /     </w:t>
      </w:r>
      <w:r>
        <w:rPr>
          <w:rFonts w:hint="eastAsia" w:ascii="宋体" w:hAnsi="宋体"/>
          <w:color w:val="auto"/>
          <w:szCs w:val="21"/>
        </w:rPr>
        <w:t>。</w:t>
      </w:r>
    </w:p>
    <w:p w14:paraId="58E9DAC4">
      <w:pPr>
        <w:adjustRightInd w:val="0"/>
        <w:snapToGrid w:val="0"/>
        <w:spacing w:line="360" w:lineRule="auto"/>
        <w:rPr>
          <w:rFonts w:ascii="宋体" w:hAnsi="宋体"/>
          <w:b/>
          <w:color w:val="auto"/>
          <w:szCs w:val="21"/>
        </w:rPr>
      </w:pPr>
      <w:r>
        <w:rPr>
          <w:rFonts w:hint="eastAsia" w:ascii="宋体" w:hAnsi="宋体"/>
          <w:b/>
          <w:color w:val="auto"/>
          <w:kern w:val="0"/>
          <w:szCs w:val="21"/>
        </w:rPr>
        <w:t xml:space="preserve">3. 委托人义务  </w:t>
      </w:r>
    </w:p>
    <w:p w14:paraId="2AD33EAF">
      <w:pPr>
        <w:snapToGrid w:val="0"/>
        <w:spacing w:line="360" w:lineRule="auto"/>
        <w:rPr>
          <w:rFonts w:ascii="宋体" w:hAnsi="宋体"/>
          <w:color w:val="auto"/>
          <w:szCs w:val="21"/>
        </w:rPr>
      </w:pPr>
      <w:r>
        <w:rPr>
          <w:rFonts w:hint="eastAsia" w:ascii="宋体" w:hAnsi="宋体"/>
          <w:color w:val="auto"/>
          <w:szCs w:val="21"/>
        </w:rPr>
        <w:t xml:space="preserve">  </w:t>
      </w:r>
      <w:r>
        <w:rPr>
          <w:rFonts w:hint="eastAsia" w:ascii="宋体" w:hAnsi="宋体"/>
          <w:color w:val="auto"/>
          <w:kern w:val="0"/>
          <w:szCs w:val="21"/>
        </w:rPr>
        <w:t xml:space="preserve">3.4 </w:t>
      </w:r>
      <w:r>
        <w:rPr>
          <w:rFonts w:hint="eastAsia" w:ascii="宋体" w:hAnsi="宋体" w:cs="宋体"/>
          <w:color w:val="auto"/>
          <w:kern w:val="0"/>
          <w:szCs w:val="21"/>
        </w:rPr>
        <w:t>委托人代表</w:t>
      </w:r>
    </w:p>
    <w:p w14:paraId="77E99CDC">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委托人代表为：</w:t>
      </w:r>
      <w:r>
        <w:rPr>
          <w:rFonts w:hint="eastAsia" w:ascii="宋体" w:hAnsi="宋体"/>
          <w:color w:val="auto"/>
          <w:szCs w:val="21"/>
          <w:u w:val="single"/>
        </w:rPr>
        <w:t xml:space="preserve">         </w:t>
      </w:r>
      <w:r>
        <w:rPr>
          <w:rFonts w:hint="eastAsia" w:ascii="宋体" w:hAnsi="宋体"/>
          <w:color w:val="auto"/>
          <w:szCs w:val="21"/>
        </w:rPr>
        <w:t>。</w:t>
      </w:r>
    </w:p>
    <w:p w14:paraId="5E5E4290">
      <w:pPr>
        <w:adjustRightInd w:val="0"/>
        <w:snapToGrid w:val="0"/>
        <w:spacing w:line="360" w:lineRule="auto"/>
        <w:ind w:firstLine="205" w:firstLineChars="98"/>
        <w:rPr>
          <w:rFonts w:ascii="宋体" w:hAnsi="宋体" w:cs="宋体"/>
          <w:color w:val="auto"/>
          <w:kern w:val="0"/>
          <w:szCs w:val="21"/>
        </w:rPr>
      </w:pPr>
      <w:r>
        <w:rPr>
          <w:rFonts w:hint="eastAsia" w:ascii="宋体" w:hAnsi="宋体"/>
          <w:color w:val="auto"/>
          <w:kern w:val="0"/>
          <w:szCs w:val="21"/>
        </w:rPr>
        <w:t xml:space="preserve">3.6 </w:t>
      </w:r>
      <w:r>
        <w:rPr>
          <w:rFonts w:hint="eastAsia" w:ascii="宋体" w:hAnsi="宋体" w:cs="宋体"/>
          <w:color w:val="auto"/>
          <w:kern w:val="0"/>
          <w:szCs w:val="21"/>
        </w:rPr>
        <w:t>答复</w:t>
      </w:r>
    </w:p>
    <w:p w14:paraId="0FE06C3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委托人同意在</w:t>
      </w:r>
      <w:r>
        <w:rPr>
          <w:rFonts w:hint="eastAsia" w:ascii="宋体" w:hAnsi="宋体"/>
          <w:color w:val="auto"/>
          <w:szCs w:val="21"/>
          <w:u w:val="single"/>
        </w:rPr>
        <w:t xml:space="preserve">  14  </w:t>
      </w:r>
      <w:r>
        <w:rPr>
          <w:rFonts w:hint="eastAsia" w:ascii="宋体" w:hAnsi="宋体"/>
          <w:color w:val="auto"/>
          <w:szCs w:val="21"/>
        </w:rPr>
        <w:t>天内，对监理人书面提交并要求做出决定的事宜给予书面答复。</w:t>
      </w:r>
    </w:p>
    <w:p w14:paraId="1F33ECF4">
      <w:pPr>
        <w:snapToGrid w:val="0"/>
        <w:spacing w:line="360" w:lineRule="auto"/>
        <w:rPr>
          <w:rFonts w:ascii="宋体" w:hAnsi="宋体"/>
          <w:b/>
          <w:bCs/>
          <w:color w:val="auto"/>
          <w:szCs w:val="21"/>
        </w:rPr>
      </w:pPr>
      <w:r>
        <w:rPr>
          <w:rFonts w:hint="eastAsia" w:ascii="宋体" w:hAnsi="宋体"/>
          <w:b/>
          <w:bCs/>
          <w:color w:val="auto"/>
          <w:szCs w:val="21"/>
        </w:rPr>
        <w:t>4. 违约责任</w:t>
      </w:r>
    </w:p>
    <w:p w14:paraId="42006E0B">
      <w:pPr>
        <w:spacing w:line="360" w:lineRule="auto"/>
        <w:ind w:left="210" w:leftChars="100"/>
        <w:rPr>
          <w:rFonts w:ascii="宋体" w:hAnsi="宋体" w:cs="宋体"/>
          <w:color w:val="auto"/>
          <w:kern w:val="0"/>
          <w:szCs w:val="21"/>
        </w:rPr>
      </w:pPr>
      <w:r>
        <w:rPr>
          <w:rFonts w:hint="eastAsia" w:ascii="宋体" w:hAnsi="宋体"/>
          <w:color w:val="auto"/>
          <w:kern w:val="0"/>
          <w:szCs w:val="21"/>
        </w:rPr>
        <w:t xml:space="preserve">4.1 </w:t>
      </w:r>
      <w:r>
        <w:rPr>
          <w:rFonts w:hint="eastAsia" w:ascii="宋体" w:hAnsi="宋体" w:cs="宋体"/>
          <w:color w:val="auto"/>
          <w:kern w:val="0"/>
          <w:szCs w:val="21"/>
        </w:rPr>
        <w:t>监理人的违约责任</w:t>
      </w:r>
    </w:p>
    <w:p w14:paraId="5241F8BE">
      <w:pPr>
        <w:adjustRightInd w:val="0"/>
        <w:snapToGrid w:val="0"/>
        <w:spacing w:line="360" w:lineRule="auto"/>
        <w:ind w:firstLine="420" w:firstLineChars="200"/>
        <w:rPr>
          <w:rFonts w:ascii="宋体" w:hAnsi="宋体"/>
          <w:color w:val="auto"/>
          <w:kern w:val="0"/>
          <w:szCs w:val="21"/>
        </w:rPr>
      </w:pPr>
      <w:r>
        <w:rPr>
          <w:rFonts w:hint="eastAsia" w:ascii="宋体" w:hAnsi="宋体"/>
          <w:color w:val="auto"/>
          <w:kern w:val="0"/>
          <w:szCs w:val="21"/>
        </w:rPr>
        <w:t>4.1.1监理人赔偿金额按下列方法确定：</w:t>
      </w:r>
    </w:p>
    <w:p w14:paraId="0BB4DAC2">
      <w:pPr>
        <w:adjustRightInd w:val="0"/>
        <w:snapToGrid w:val="0"/>
        <w:spacing w:line="360" w:lineRule="auto"/>
        <w:ind w:firstLine="420" w:firstLineChars="200"/>
        <w:rPr>
          <w:rFonts w:ascii="宋体" w:hAnsi="宋体" w:cs="宋体"/>
          <w:color w:val="auto"/>
          <w:kern w:val="0"/>
          <w:szCs w:val="21"/>
        </w:rPr>
      </w:pPr>
      <w:r>
        <w:rPr>
          <w:rFonts w:hint="eastAsia" w:ascii="宋体" w:hAnsi="宋体"/>
          <w:color w:val="auto"/>
          <w:szCs w:val="21"/>
        </w:rPr>
        <w:t>赔偿金＝直接经济损失×正常工作酬金÷工程概算</w:t>
      </w:r>
      <w:r>
        <w:rPr>
          <w:rFonts w:hint="eastAsia" w:ascii="宋体" w:hAnsi="宋体" w:cs="宋体"/>
          <w:color w:val="auto"/>
          <w:kern w:val="0"/>
          <w:szCs w:val="21"/>
        </w:rPr>
        <w:t>投资额（或建筑安装工程费）</w:t>
      </w:r>
    </w:p>
    <w:p w14:paraId="6FE25602">
      <w:pPr>
        <w:snapToGrid w:val="0"/>
        <w:spacing w:line="360" w:lineRule="auto"/>
        <w:ind w:firstLine="210" w:firstLineChars="100"/>
        <w:rPr>
          <w:rFonts w:ascii="宋体" w:hAnsi="宋体" w:cs="宋体"/>
          <w:color w:val="auto"/>
          <w:kern w:val="0"/>
          <w:szCs w:val="21"/>
        </w:rPr>
      </w:pPr>
      <w:r>
        <w:rPr>
          <w:rFonts w:hint="eastAsia" w:ascii="宋体" w:hAnsi="宋体"/>
          <w:color w:val="auto"/>
          <w:kern w:val="0"/>
          <w:szCs w:val="21"/>
        </w:rPr>
        <w:t>4.2 委</w:t>
      </w:r>
      <w:r>
        <w:rPr>
          <w:rFonts w:hint="eastAsia" w:ascii="宋体" w:hAnsi="宋体" w:cs="宋体"/>
          <w:color w:val="auto"/>
          <w:kern w:val="0"/>
          <w:szCs w:val="21"/>
        </w:rPr>
        <w:t>托人的违约责任</w:t>
      </w:r>
    </w:p>
    <w:p w14:paraId="0FACAF77">
      <w:pPr>
        <w:spacing w:line="360" w:lineRule="auto"/>
        <w:ind w:firstLine="420" w:firstLineChars="200"/>
        <w:rPr>
          <w:rFonts w:hint="eastAsia" w:ascii="宋体" w:hAnsi="宋体"/>
          <w:color w:val="auto"/>
          <w:kern w:val="0"/>
          <w:szCs w:val="21"/>
        </w:rPr>
      </w:pPr>
      <w:r>
        <w:rPr>
          <w:rFonts w:hint="eastAsia" w:ascii="宋体" w:hAnsi="宋体"/>
          <w:color w:val="auto"/>
          <w:szCs w:val="21"/>
        </w:rPr>
        <w:t>4.2.3 委托人</w:t>
      </w:r>
      <w:r>
        <w:rPr>
          <w:rFonts w:hint="eastAsia" w:ascii="宋体" w:hAnsi="宋体"/>
          <w:color w:val="auto"/>
          <w:kern w:val="0"/>
          <w:szCs w:val="21"/>
        </w:rPr>
        <w:t>逾期付款利息按下列方法确定：</w:t>
      </w:r>
      <w:r>
        <w:rPr>
          <w:rFonts w:hint="eastAsia" w:ascii="宋体" w:hAnsi="宋体"/>
          <w:color w:val="auto"/>
          <w:szCs w:val="21"/>
        </w:rPr>
        <w:t>另行商定</w:t>
      </w:r>
    </w:p>
    <w:p w14:paraId="57DAB522">
      <w:pPr>
        <w:snapToGrid w:val="0"/>
        <w:spacing w:line="360" w:lineRule="auto"/>
        <w:rPr>
          <w:rFonts w:ascii="宋体" w:hAnsi="宋体"/>
          <w:b/>
          <w:color w:val="auto"/>
          <w:szCs w:val="21"/>
        </w:rPr>
      </w:pPr>
      <w:r>
        <w:rPr>
          <w:rFonts w:hint="eastAsia" w:ascii="宋体" w:hAnsi="宋体"/>
          <w:b/>
          <w:bCs/>
          <w:color w:val="auto"/>
          <w:szCs w:val="21"/>
        </w:rPr>
        <w:t>5. 支付</w:t>
      </w:r>
    </w:p>
    <w:p w14:paraId="21C6EF1F">
      <w:pPr>
        <w:snapToGrid w:val="0"/>
        <w:spacing w:line="360" w:lineRule="auto"/>
        <w:rPr>
          <w:rFonts w:ascii="宋体" w:hAnsi="宋体"/>
          <w:bCs/>
          <w:color w:val="auto"/>
          <w:szCs w:val="21"/>
        </w:rPr>
      </w:pPr>
      <w:r>
        <w:rPr>
          <w:rFonts w:hint="eastAsia" w:ascii="宋体" w:hAnsi="宋体"/>
          <w:color w:val="auto"/>
          <w:szCs w:val="21"/>
        </w:rPr>
        <w:t xml:space="preserve">  5.1 </w:t>
      </w:r>
      <w:r>
        <w:rPr>
          <w:rFonts w:hint="eastAsia" w:ascii="宋体" w:hAnsi="宋体"/>
          <w:bCs/>
          <w:color w:val="auto"/>
          <w:szCs w:val="21"/>
        </w:rPr>
        <w:t>支付货币</w:t>
      </w:r>
    </w:p>
    <w:p w14:paraId="3C692515">
      <w:pPr>
        <w:snapToGrid w:val="0"/>
        <w:spacing w:line="360" w:lineRule="auto"/>
        <w:ind w:firstLine="420" w:firstLineChars="200"/>
        <w:rPr>
          <w:rFonts w:ascii="宋体" w:hAnsi="宋体"/>
          <w:color w:val="auto"/>
          <w:szCs w:val="21"/>
        </w:rPr>
      </w:pPr>
      <w:r>
        <w:rPr>
          <w:rFonts w:hint="eastAsia" w:ascii="宋体" w:hAnsi="宋体"/>
          <w:color w:val="auto"/>
          <w:szCs w:val="21"/>
        </w:rPr>
        <w:t>币种为：</w:t>
      </w:r>
      <w:r>
        <w:rPr>
          <w:rFonts w:hint="eastAsia" w:ascii="宋体" w:hAnsi="宋体"/>
          <w:color w:val="auto"/>
          <w:szCs w:val="21"/>
          <w:u w:val="single"/>
        </w:rPr>
        <w:t>人民币</w:t>
      </w:r>
      <w:r>
        <w:rPr>
          <w:rFonts w:hint="eastAsia" w:ascii="宋体" w:hAnsi="宋体"/>
          <w:color w:val="auto"/>
          <w:szCs w:val="21"/>
        </w:rPr>
        <w:t>，比例为：</w:t>
      </w:r>
      <w:r>
        <w:rPr>
          <w:rFonts w:hint="eastAsia" w:ascii="宋体" w:hAnsi="宋体"/>
          <w:color w:val="auto"/>
          <w:szCs w:val="21"/>
          <w:u w:val="single"/>
        </w:rPr>
        <w:t xml:space="preserve"> /  </w:t>
      </w:r>
      <w:r>
        <w:rPr>
          <w:rFonts w:hint="eastAsia" w:ascii="宋体" w:hAnsi="宋体"/>
          <w:color w:val="auto"/>
          <w:szCs w:val="21"/>
        </w:rPr>
        <w:t>，汇率为：</w:t>
      </w:r>
      <w:r>
        <w:rPr>
          <w:rFonts w:hint="eastAsia" w:ascii="宋体" w:hAnsi="宋体"/>
          <w:color w:val="auto"/>
          <w:szCs w:val="21"/>
          <w:u w:val="single"/>
        </w:rPr>
        <w:t xml:space="preserve">   /   </w:t>
      </w:r>
      <w:r>
        <w:rPr>
          <w:rFonts w:hint="eastAsia" w:ascii="宋体" w:hAnsi="宋体"/>
          <w:color w:val="auto"/>
          <w:szCs w:val="21"/>
        </w:rPr>
        <w:t xml:space="preserve">。 </w:t>
      </w:r>
    </w:p>
    <w:p w14:paraId="3B55BA2A">
      <w:pPr>
        <w:snapToGrid w:val="0"/>
        <w:spacing w:line="360" w:lineRule="auto"/>
        <w:rPr>
          <w:rFonts w:ascii="宋体" w:hAnsi="宋体"/>
          <w:bCs/>
          <w:color w:val="auto"/>
          <w:szCs w:val="21"/>
        </w:rPr>
      </w:pPr>
      <w:r>
        <w:rPr>
          <w:rFonts w:hint="eastAsia" w:ascii="宋体" w:hAnsi="宋体"/>
          <w:color w:val="auto"/>
          <w:szCs w:val="21"/>
        </w:rPr>
        <w:t xml:space="preserve">  5.1 </w:t>
      </w:r>
      <w:r>
        <w:rPr>
          <w:rFonts w:hint="eastAsia" w:ascii="宋体" w:hAnsi="宋体"/>
          <w:bCs/>
          <w:color w:val="auto"/>
          <w:szCs w:val="21"/>
        </w:rPr>
        <w:t>支付货币</w:t>
      </w:r>
    </w:p>
    <w:p w14:paraId="36E98A17">
      <w:pPr>
        <w:snapToGrid w:val="0"/>
        <w:spacing w:line="360" w:lineRule="auto"/>
        <w:ind w:firstLine="420" w:firstLineChars="200"/>
        <w:rPr>
          <w:rFonts w:ascii="宋体" w:hAnsi="宋体"/>
          <w:color w:val="auto"/>
          <w:szCs w:val="21"/>
        </w:rPr>
      </w:pPr>
      <w:r>
        <w:rPr>
          <w:rFonts w:hint="eastAsia" w:ascii="宋体" w:hAnsi="宋体"/>
          <w:color w:val="auto"/>
          <w:szCs w:val="21"/>
        </w:rPr>
        <w:t>币种为：</w:t>
      </w:r>
      <w:r>
        <w:rPr>
          <w:rFonts w:hint="eastAsia" w:ascii="宋体" w:hAnsi="宋体"/>
          <w:color w:val="auto"/>
          <w:szCs w:val="21"/>
          <w:u w:val="single"/>
        </w:rPr>
        <w:t>人民币</w:t>
      </w:r>
      <w:r>
        <w:rPr>
          <w:rFonts w:hint="eastAsia" w:ascii="宋体" w:hAnsi="宋体"/>
          <w:color w:val="auto"/>
          <w:szCs w:val="21"/>
        </w:rPr>
        <w:t>，比例为：</w:t>
      </w:r>
      <w:r>
        <w:rPr>
          <w:rFonts w:hint="eastAsia" w:ascii="宋体" w:hAnsi="宋体"/>
          <w:color w:val="auto"/>
          <w:szCs w:val="21"/>
          <w:u w:val="single"/>
        </w:rPr>
        <w:t xml:space="preserve"> /  </w:t>
      </w:r>
      <w:r>
        <w:rPr>
          <w:rFonts w:hint="eastAsia" w:ascii="宋体" w:hAnsi="宋体"/>
          <w:color w:val="auto"/>
          <w:szCs w:val="21"/>
        </w:rPr>
        <w:t>，汇率为：</w:t>
      </w:r>
      <w:r>
        <w:rPr>
          <w:rFonts w:hint="eastAsia" w:ascii="宋体" w:hAnsi="宋体"/>
          <w:color w:val="auto"/>
          <w:szCs w:val="21"/>
          <w:u w:val="single"/>
        </w:rPr>
        <w:t xml:space="preserve">   /   </w:t>
      </w:r>
      <w:r>
        <w:rPr>
          <w:rFonts w:hint="eastAsia" w:ascii="宋体" w:hAnsi="宋体"/>
          <w:color w:val="auto"/>
          <w:szCs w:val="21"/>
        </w:rPr>
        <w:t xml:space="preserve">。 </w:t>
      </w:r>
    </w:p>
    <w:p w14:paraId="652565A3">
      <w:pPr>
        <w:snapToGrid w:val="0"/>
        <w:spacing w:line="360" w:lineRule="auto"/>
        <w:ind w:firstLine="210" w:firstLineChars="100"/>
        <w:rPr>
          <w:rFonts w:hint="eastAsia" w:ascii="宋体" w:hAnsi="宋体"/>
          <w:color w:val="auto"/>
          <w:kern w:val="0"/>
          <w:szCs w:val="21"/>
        </w:rPr>
      </w:pPr>
      <w:r>
        <w:rPr>
          <w:rFonts w:hint="eastAsia" w:ascii="宋体" w:hAnsi="宋体"/>
          <w:color w:val="auto"/>
          <w:kern w:val="0"/>
          <w:szCs w:val="21"/>
        </w:rPr>
        <w:t>5.2 支付酬金：</w:t>
      </w:r>
    </w:p>
    <w:p w14:paraId="16884A53">
      <w:pPr>
        <w:snapToGrid w:val="0"/>
        <w:spacing w:line="360" w:lineRule="auto"/>
        <w:ind w:firstLine="210" w:firstLineChars="100"/>
        <w:rPr>
          <w:rFonts w:hint="eastAsia" w:ascii="宋体" w:hAnsi="宋体"/>
          <w:b/>
          <w:bCs/>
          <w:color w:val="auto"/>
          <w:kern w:val="0"/>
          <w:szCs w:val="21"/>
        </w:rPr>
      </w:pPr>
      <w:r>
        <w:rPr>
          <w:rFonts w:hint="eastAsia" w:ascii="宋体" w:hAnsi="宋体"/>
          <w:color w:val="auto"/>
          <w:kern w:val="0"/>
          <w:szCs w:val="21"/>
        </w:rPr>
        <w:t>（1）</w:t>
      </w:r>
      <w:r>
        <w:rPr>
          <w:rFonts w:hint="eastAsia" w:ascii="宋体" w:hAnsi="宋体"/>
          <w:color w:val="auto"/>
          <w:kern w:val="0"/>
          <w:szCs w:val="21"/>
          <w:lang w:eastAsia="zh-CN"/>
        </w:rPr>
        <w:t>施工过程监理服务费支付：按照施工单位每季度实际完成合格工程量（施工产值）×中标监理费率×80%</w:t>
      </w:r>
      <w:r>
        <w:rPr>
          <w:rFonts w:hint="eastAsia" w:ascii="宋体" w:hAnsi="宋体"/>
          <w:b/>
          <w:bCs/>
          <w:color w:val="auto"/>
          <w:kern w:val="0"/>
          <w:szCs w:val="21"/>
        </w:rPr>
        <w:t>。</w:t>
      </w:r>
    </w:p>
    <w:p w14:paraId="7576DA44">
      <w:pPr>
        <w:pStyle w:val="97"/>
        <w:adjustRightInd w:val="0"/>
        <w:snapToGrid w:val="0"/>
        <w:spacing w:line="360" w:lineRule="auto"/>
        <w:ind w:firstLine="480" w:firstLineChars="200"/>
        <w:rPr>
          <w:rFonts w:hint="eastAsia" w:ascii="宋体" w:hAnsi="宋体" w:cs="宋体"/>
          <w:color w:val="auto"/>
          <w:kern w:val="0"/>
          <w:szCs w:val="24"/>
        </w:rPr>
      </w:pPr>
      <w:r>
        <w:rPr>
          <w:rFonts w:hint="eastAsia" w:ascii="宋体" w:hAnsi="宋体" w:cs="宋体"/>
          <w:color w:val="auto"/>
          <w:kern w:val="0"/>
          <w:szCs w:val="24"/>
        </w:rPr>
        <w:t>（2）最终监理服务费结算及支付：最终监理服务费结算价＝∑</w:t>
      </w:r>
      <w:r>
        <w:rPr>
          <w:rFonts w:hint="eastAsia" w:ascii="宋体" w:hAnsi="宋体" w:cs="宋体"/>
          <w:color w:val="auto"/>
          <w:kern w:val="0"/>
          <w:szCs w:val="24"/>
          <w:lang w:eastAsia="zh-CN"/>
        </w:rPr>
        <w:t>（</w:t>
      </w:r>
      <w:r>
        <w:rPr>
          <w:rFonts w:hint="eastAsia" w:ascii="宋体" w:hAnsi="宋体" w:cs="宋体"/>
          <w:color w:val="auto"/>
          <w:kern w:val="0"/>
          <w:szCs w:val="24"/>
        </w:rPr>
        <w:t>施工</w:t>
      </w:r>
      <w:r>
        <w:rPr>
          <w:rFonts w:hint="eastAsia" w:ascii="宋体" w:hAnsi="宋体" w:cs="宋体"/>
          <w:color w:val="auto"/>
          <w:kern w:val="0"/>
          <w:szCs w:val="24"/>
          <w:lang w:val="en-US" w:eastAsia="zh-CN"/>
        </w:rPr>
        <w:t>工程结算价</w:t>
      </w:r>
      <w:r>
        <w:rPr>
          <w:rFonts w:hint="eastAsia" w:ascii="宋体" w:hAnsi="宋体" w:cs="宋体"/>
          <w:color w:val="auto"/>
          <w:kern w:val="0"/>
          <w:szCs w:val="24"/>
          <w:lang w:eastAsia="zh-CN"/>
        </w:rPr>
        <w:t>）</w:t>
      </w:r>
      <w:r>
        <w:rPr>
          <w:rFonts w:hint="eastAsia" w:ascii="宋体" w:hAnsi="宋体" w:cs="宋体"/>
          <w:color w:val="auto"/>
          <w:kern w:val="0"/>
          <w:szCs w:val="24"/>
        </w:rPr>
        <w:t>×中标监理费率。监理合同范围内所有工程竣工验收合格且办理</w:t>
      </w:r>
      <w:r>
        <w:rPr>
          <w:rFonts w:hint="eastAsia" w:ascii="宋体" w:hAnsi="宋体" w:cs="宋体"/>
          <w:color w:val="auto"/>
          <w:kern w:val="0"/>
          <w:szCs w:val="24"/>
          <w:lang w:val="en-US" w:eastAsia="zh-CN"/>
        </w:rPr>
        <w:t>移交</w:t>
      </w:r>
      <w:r>
        <w:rPr>
          <w:rFonts w:hint="eastAsia" w:ascii="宋体" w:hAnsi="宋体" w:cs="宋体"/>
          <w:color w:val="auto"/>
          <w:kern w:val="0"/>
          <w:szCs w:val="24"/>
        </w:rPr>
        <w:t>手续后累计支付至最终监理服务费结算价97%，剩余款项待本工程</w:t>
      </w:r>
      <w:r>
        <w:rPr>
          <w:rFonts w:hint="eastAsia" w:ascii="宋体" w:hAnsi="宋体" w:eastAsia="宋体" w:cs="宋体"/>
          <w:color w:val="auto"/>
          <w:kern w:val="0"/>
          <w:szCs w:val="24"/>
        </w:rPr>
        <w:t>质保期</w:t>
      </w:r>
      <w:r>
        <w:rPr>
          <w:rFonts w:hint="eastAsia" w:ascii="宋体" w:hAnsi="宋体" w:cs="宋体"/>
          <w:color w:val="auto"/>
          <w:kern w:val="0"/>
          <w:szCs w:val="24"/>
        </w:rPr>
        <w:t>（两年）满后付清（不计利息）。</w:t>
      </w:r>
    </w:p>
    <w:p w14:paraId="26E0DD75">
      <w:pPr>
        <w:spacing w:line="360" w:lineRule="auto"/>
        <w:rPr>
          <w:rFonts w:hint="eastAsia" w:ascii="宋体" w:hAnsi="宋体" w:cs="宋体"/>
          <w:color w:val="auto"/>
          <w:kern w:val="0"/>
          <w:szCs w:val="24"/>
        </w:rPr>
      </w:pPr>
      <w:r>
        <w:rPr>
          <w:rFonts w:hint="eastAsia" w:ascii="宋体" w:hAnsi="宋体" w:cs="宋体"/>
          <w:color w:val="auto"/>
          <w:kern w:val="0"/>
          <w:szCs w:val="24"/>
        </w:rPr>
        <w:t>（3）工程施工工期延期时，监理服务期相应顺延，并且监理费不予调整</w:t>
      </w:r>
    </w:p>
    <w:p w14:paraId="05771037">
      <w:pPr>
        <w:spacing w:line="360" w:lineRule="auto"/>
        <w:rPr>
          <w:rFonts w:hint="eastAsia" w:ascii="宋体" w:hAnsi="宋体" w:cs="新宋体"/>
          <w:b/>
          <w:color w:val="auto"/>
          <w:szCs w:val="21"/>
        </w:rPr>
      </w:pPr>
      <w:r>
        <w:rPr>
          <w:rFonts w:hint="eastAsia" w:ascii="宋体" w:hAnsi="宋体" w:cs="新宋体"/>
          <w:b/>
          <w:color w:val="auto"/>
          <w:szCs w:val="21"/>
        </w:rPr>
        <w:t>注</w:t>
      </w:r>
    </w:p>
    <w:p w14:paraId="098C09E4">
      <w:pPr>
        <w:spacing w:line="360" w:lineRule="auto"/>
        <w:ind w:firstLine="422" w:firstLineChars="200"/>
        <w:rPr>
          <w:rFonts w:hint="eastAsia" w:ascii="宋体" w:hAnsi="宋体" w:cs="新宋体"/>
          <w:b/>
          <w:color w:val="auto"/>
          <w:szCs w:val="21"/>
        </w:rPr>
      </w:pPr>
      <w:r>
        <w:rPr>
          <w:rFonts w:hint="eastAsia" w:ascii="宋体" w:hAnsi="宋体" w:cs="新宋体"/>
          <w:b/>
          <w:color w:val="auto"/>
          <w:szCs w:val="21"/>
        </w:rPr>
        <w:t>1.如承包人采用“银行保函或保证保险等方式”提交等额余款，则在结算完成后发包人应付至最终结算价款的100%（无息）</w:t>
      </w:r>
    </w:p>
    <w:p w14:paraId="41A5DA1D">
      <w:pPr>
        <w:spacing w:line="360" w:lineRule="auto"/>
        <w:ind w:firstLine="422" w:firstLineChars="200"/>
        <w:rPr>
          <w:rFonts w:ascii="宋体" w:hAnsi="宋体" w:cs="新宋体"/>
          <w:b/>
          <w:color w:val="auto"/>
          <w:szCs w:val="21"/>
        </w:rPr>
      </w:pPr>
      <w:r>
        <w:rPr>
          <w:rFonts w:ascii="宋体" w:hAnsi="宋体" w:cs="新宋体"/>
          <w:b/>
          <w:color w:val="auto"/>
          <w:szCs w:val="21"/>
        </w:rPr>
        <w:t>2.</w:t>
      </w:r>
      <w:r>
        <w:rPr>
          <w:rFonts w:hint="eastAsia" w:ascii="宋体" w:hAnsi="宋体" w:cs="新宋体"/>
          <w:b/>
          <w:color w:val="auto"/>
          <w:szCs w:val="21"/>
        </w:rPr>
        <w:t>开票要求：在付款前承包人须按照一般计税方法提供增值税专用发票（税率：6%），如未按约定开具增值税专用发票或实际开具的增值税专用发票税率低于合同中约定税率的，承包人应向发包人支付无法抵扣部分的税款金额。</w:t>
      </w:r>
    </w:p>
    <w:p w14:paraId="19956BA6">
      <w:pPr>
        <w:snapToGrid w:val="0"/>
        <w:spacing w:line="360" w:lineRule="auto"/>
        <w:rPr>
          <w:rFonts w:ascii="宋体" w:hAnsi="宋体"/>
          <w:b/>
          <w:bCs/>
          <w:color w:val="auto"/>
          <w:szCs w:val="21"/>
        </w:rPr>
      </w:pPr>
      <w:r>
        <w:rPr>
          <w:rFonts w:hint="eastAsia" w:ascii="宋体" w:hAnsi="宋体"/>
          <w:bCs/>
          <w:color w:val="auto"/>
          <w:szCs w:val="21"/>
        </w:rPr>
        <w:t>6</w:t>
      </w:r>
      <w:r>
        <w:rPr>
          <w:rFonts w:hint="eastAsia" w:ascii="宋体" w:hAnsi="宋体"/>
          <w:b/>
          <w:bCs/>
          <w:color w:val="auto"/>
          <w:szCs w:val="21"/>
        </w:rPr>
        <w:t>. 合同生效、变更、暂停、解除与终止</w:t>
      </w:r>
    </w:p>
    <w:p w14:paraId="6826D4FA">
      <w:pPr>
        <w:adjustRightInd w:val="0"/>
        <w:snapToGrid w:val="0"/>
        <w:spacing w:line="360" w:lineRule="auto"/>
        <w:ind w:firstLine="210" w:firstLineChars="100"/>
        <w:rPr>
          <w:rFonts w:ascii="宋体" w:hAnsi="宋体"/>
          <w:color w:val="auto"/>
          <w:szCs w:val="21"/>
        </w:rPr>
      </w:pPr>
      <w:r>
        <w:rPr>
          <w:rFonts w:hint="eastAsia" w:ascii="宋体" w:hAnsi="宋体"/>
          <w:color w:val="auto"/>
          <w:szCs w:val="21"/>
        </w:rPr>
        <w:t>6.1 生效</w:t>
      </w:r>
    </w:p>
    <w:p w14:paraId="0D8D8A44">
      <w:pPr>
        <w:adjustRightInd w:val="0"/>
        <w:snapToGrid w:val="0"/>
        <w:spacing w:line="360" w:lineRule="auto"/>
        <w:ind w:firstLine="480"/>
        <w:rPr>
          <w:rFonts w:ascii="宋体" w:hAnsi="宋体"/>
          <w:color w:val="auto"/>
          <w:szCs w:val="21"/>
        </w:rPr>
      </w:pPr>
      <w:r>
        <w:rPr>
          <w:rFonts w:hint="eastAsia" w:ascii="宋体" w:hAnsi="宋体"/>
          <w:color w:val="auto"/>
          <w:szCs w:val="21"/>
        </w:rPr>
        <w:t>本合同生效条件：</w:t>
      </w:r>
      <w:r>
        <w:rPr>
          <w:rFonts w:hint="eastAsia" w:ascii="宋体" w:hAnsi="宋体"/>
          <w:color w:val="auto"/>
          <w:szCs w:val="21"/>
          <w:u w:val="single"/>
        </w:rPr>
        <w:t xml:space="preserve"> 双方签字盖章后 </w:t>
      </w:r>
      <w:r>
        <w:rPr>
          <w:rFonts w:hint="eastAsia" w:ascii="宋体" w:hAnsi="宋体"/>
          <w:color w:val="auto"/>
          <w:szCs w:val="21"/>
        </w:rPr>
        <w:t>。</w:t>
      </w:r>
    </w:p>
    <w:p w14:paraId="47C61BA7">
      <w:pPr>
        <w:adjustRightInd w:val="0"/>
        <w:snapToGrid w:val="0"/>
        <w:spacing w:line="360" w:lineRule="auto"/>
        <w:ind w:firstLine="205" w:firstLineChars="98"/>
        <w:rPr>
          <w:rFonts w:ascii="宋体" w:hAnsi="宋体"/>
          <w:color w:val="auto"/>
          <w:szCs w:val="21"/>
        </w:rPr>
      </w:pPr>
      <w:r>
        <w:rPr>
          <w:rFonts w:hint="eastAsia" w:ascii="宋体" w:hAnsi="宋体"/>
          <w:color w:val="auto"/>
          <w:szCs w:val="21"/>
        </w:rPr>
        <w:t>6.2 变更</w:t>
      </w:r>
    </w:p>
    <w:p w14:paraId="479CEB64">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rPr>
        <w:t>6.2.2 除不可抗力外， 因非监理人原因导致本合同期限延长时，附加工作酬金按下列方法确定：</w:t>
      </w:r>
      <w:r>
        <w:rPr>
          <w:rFonts w:hint="eastAsia" w:ascii="宋体" w:hAnsi="宋体"/>
          <w:color w:val="auto"/>
          <w:kern w:val="0"/>
          <w:szCs w:val="21"/>
          <w:u w:val="single"/>
        </w:rPr>
        <w:t>本项目不采用</w:t>
      </w:r>
    </w:p>
    <w:p w14:paraId="4C99CFDE">
      <w:pPr>
        <w:adjustRightInd w:val="0"/>
        <w:snapToGrid w:val="0"/>
        <w:spacing w:line="360" w:lineRule="auto"/>
        <w:ind w:firstLine="420" w:firstLineChars="200"/>
        <w:rPr>
          <w:rFonts w:ascii="宋体" w:hAnsi="宋体"/>
          <w:color w:val="auto"/>
          <w:kern w:val="0"/>
          <w:szCs w:val="21"/>
        </w:rPr>
      </w:pPr>
      <w:r>
        <w:rPr>
          <w:rFonts w:hint="eastAsia" w:ascii="宋体" w:hAnsi="宋体"/>
          <w:color w:val="auto"/>
          <w:szCs w:val="21"/>
        </w:rPr>
        <w:t>6.2.3附加工作酬金按下列方法确定：</w:t>
      </w:r>
      <w:r>
        <w:rPr>
          <w:rFonts w:hint="eastAsia" w:ascii="宋体" w:hAnsi="宋体"/>
          <w:color w:val="auto"/>
          <w:kern w:val="0"/>
          <w:szCs w:val="21"/>
          <w:u w:val="single"/>
        </w:rPr>
        <w:t>本项目不采用</w:t>
      </w:r>
    </w:p>
    <w:p w14:paraId="09B0827B">
      <w:pPr>
        <w:adjustRightInd w:val="0"/>
        <w:snapToGrid w:val="0"/>
        <w:spacing w:line="360" w:lineRule="auto"/>
        <w:ind w:firstLine="480"/>
        <w:rPr>
          <w:rFonts w:ascii="宋体" w:hAnsi="宋体"/>
          <w:color w:val="auto"/>
          <w:kern w:val="0"/>
          <w:szCs w:val="21"/>
        </w:rPr>
      </w:pPr>
      <w:r>
        <w:rPr>
          <w:rFonts w:hint="eastAsia" w:ascii="宋体" w:hAnsi="宋体"/>
          <w:color w:val="auto"/>
          <w:szCs w:val="21"/>
        </w:rPr>
        <w:t>6.2.5 正常工作酬金增加额按下列方法确定：</w:t>
      </w:r>
      <w:r>
        <w:rPr>
          <w:rFonts w:hint="eastAsia" w:ascii="宋体" w:hAnsi="宋体"/>
          <w:color w:val="auto"/>
          <w:szCs w:val="21"/>
          <w:u w:val="single"/>
        </w:rPr>
        <w:t xml:space="preserve"> / </w:t>
      </w:r>
    </w:p>
    <w:p w14:paraId="5F7418D0">
      <w:pPr>
        <w:snapToGrid w:val="0"/>
        <w:spacing w:line="360" w:lineRule="auto"/>
        <w:ind w:firstLine="420" w:firstLineChars="200"/>
        <w:rPr>
          <w:rFonts w:ascii="宋体" w:hAnsi="宋体"/>
          <w:color w:val="auto"/>
          <w:szCs w:val="21"/>
        </w:rPr>
      </w:pPr>
      <w:r>
        <w:rPr>
          <w:rFonts w:hint="eastAsia" w:ascii="宋体" w:hAnsi="宋体"/>
          <w:color w:val="auto"/>
          <w:szCs w:val="21"/>
        </w:rPr>
        <w:t>6.2.6 因工程规模、监理范围的变化导致监理人的正常工作量减少时，按减少工作量的比例从协议书约定的正常工作酬金中扣减相同比例的酬金。</w:t>
      </w:r>
    </w:p>
    <w:p w14:paraId="5C027D4E">
      <w:pPr>
        <w:snapToGrid w:val="0"/>
        <w:spacing w:line="360" w:lineRule="auto"/>
        <w:rPr>
          <w:rFonts w:ascii="宋体" w:hAnsi="宋体"/>
          <w:b/>
          <w:color w:val="auto"/>
          <w:szCs w:val="21"/>
        </w:rPr>
      </w:pPr>
      <w:r>
        <w:rPr>
          <w:rFonts w:hint="eastAsia" w:ascii="宋体" w:hAnsi="宋体"/>
          <w:b/>
          <w:bCs/>
          <w:color w:val="auto"/>
          <w:szCs w:val="21"/>
        </w:rPr>
        <w:t>7. 争议解决</w:t>
      </w:r>
    </w:p>
    <w:p w14:paraId="727DB19B">
      <w:pPr>
        <w:snapToGrid w:val="0"/>
        <w:spacing w:line="360" w:lineRule="auto"/>
        <w:ind w:firstLine="205" w:firstLineChars="98"/>
        <w:rPr>
          <w:rFonts w:ascii="宋体" w:hAnsi="宋体"/>
          <w:color w:val="auto"/>
          <w:szCs w:val="21"/>
        </w:rPr>
      </w:pPr>
      <w:r>
        <w:rPr>
          <w:rFonts w:hint="eastAsia" w:ascii="宋体" w:hAnsi="宋体"/>
          <w:color w:val="auto"/>
          <w:szCs w:val="21"/>
        </w:rPr>
        <w:t xml:space="preserve">7.2 </w:t>
      </w:r>
      <w:r>
        <w:rPr>
          <w:rFonts w:hint="eastAsia" w:ascii="宋体" w:hAnsi="宋体"/>
          <w:bCs/>
          <w:color w:val="auto"/>
          <w:szCs w:val="21"/>
        </w:rPr>
        <w:t>调解</w:t>
      </w:r>
    </w:p>
    <w:p w14:paraId="117AFFAF">
      <w:pPr>
        <w:snapToGrid w:val="0"/>
        <w:spacing w:line="360" w:lineRule="auto"/>
        <w:ind w:firstLine="411" w:firstLineChars="196"/>
        <w:rPr>
          <w:rFonts w:ascii="宋体" w:hAnsi="宋体"/>
          <w:color w:val="auto"/>
          <w:szCs w:val="21"/>
        </w:rPr>
      </w:pPr>
      <w:r>
        <w:rPr>
          <w:rFonts w:hint="eastAsia" w:ascii="宋体" w:hAnsi="宋体"/>
          <w:color w:val="auto"/>
          <w:szCs w:val="21"/>
        </w:rPr>
        <w:t>本合同争议进行调解时，可提交</w:t>
      </w:r>
      <w:r>
        <w:rPr>
          <w:rFonts w:hint="eastAsia" w:ascii="宋体" w:hAnsi="宋体"/>
          <w:color w:val="auto"/>
          <w:szCs w:val="21"/>
          <w:u w:val="single"/>
        </w:rPr>
        <w:t xml:space="preserve">  /  </w:t>
      </w:r>
      <w:r>
        <w:rPr>
          <w:rFonts w:hint="eastAsia" w:ascii="宋体" w:hAnsi="宋体"/>
          <w:color w:val="auto"/>
          <w:szCs w:val="21"/>
        </w:rPr>
        <w:t>进行调解。</w:t>
      </w:r>
    </w:p>
    <w:p w14:paraId="45D2F2C2">
      <w:pPr>
        <w:snapToGrid w:val="0"/>
        <w:spacing w:line="360" w:lineRule="auto"/>
        <w:ind w:firstLine="205" w:firstLineChars="98"/>
        <w:rPr>
          <w:rFonts w:ascii="宋体" w:hAnsi="宋体"/>
          <w:color w:val="auto"/>
          <w:szCs w:val="21"/>
        </w:rPr>
      </w:pPr>
      <w:r>
        <w:rPr>
          <w:rFonts w:hint="eastAsia" w:ascii="宋体" w:hAnsi="宋体"/>
          <w:color w:val="auto"/>
          <w:szCs w:val="21"/>
        </w:rPr>
        <w:t xml:space="preserve">7.3 </w:t>
      </w:r>
      <w:r>
        <w:rPr>
          <w:rFonts w:hint="eastAsia" w:ascii="宋体" w:hAnsi="宋体"/>
          <w:bCs/>
          <w:color w:val="auto"/>
          <w:szCs w:val="21"/>
        </w:rPr>
        <w:t>仲裁或诉讼</w:t>
      </w:r>
    </w:p>
    <w:p w14:paraId="78DFAE6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合同争议的最终解决方式为下列第</w:t>
      </w:r>
      <w:r>
        <w:rPr>
          <w:rFonts w:hint="eastAsia" w:ascii="宋体" w:hAnsi="宋体"/>
          <w:color w:val="auto"/>
          <w:szCs w:val="21"/>
          <w:u w:val="single"/>
        </w:rPr>
        <w:t xml:space="preserve">  （2）  </w:t>
      </w:r>
      <w:r>
        <w:rPr>
          <w:rFonts w:hint="eastAsia" w:ascii="宋体" w:hAnsi="宋体"/>
          <w:color w:val="auto"/>
          <w:szCs w:val="21"/>
        </w:rPr>
        <w:t>种方式：</w:t>
      </w:r>
    </w:p>
    <w:p w14:paraId="46393A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（1）提请</w:t>
      </w:r>
      <w:r>
        <w:rPr>
          <w:rFonts w:hint="eastAsia" w:ascii="宋体" w:hAnsi="宋体"/>
          <w:color w:val="auto"/>
          <w:szCs w:val="21"/>
          <w:u w:val="single"/>
        </w:rPr>
        <w:t xml:space="preserve">  合肥  </w:t>
      </w:r>
      <w:r>
        <w:rPr>
          <w:rFonts w:hint="eastAsia" w:ascii="宋体" w:hAnsi="宋体"/>
          <w:color w:val="auto"/>
          <w:szCs w:val="21"/>
        </w:rPr>
        <w:t>仲裁委员会进行仲裁。</w:t>
      </w:r>
    </w:p>
    <w:p w14:paraId="043D8BC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（2）向</w:t>
      </w:r>
      <w:r>
        <w:rPr>
          <w:rFonts w:hint="eastAsia" w:ascii="宋体" w:hAnsi="宋体"/>
          <w:color w:val="auto"/>
          <w:szCs w:val="21"/>
          <w:u w:val="single"/>
        </w:rPr>
        <w:t xml:space="preserve">  </w:t>
      </w:r>
      <w:r>
        <w:rPr>
          <w:rFonts w:hint="eastAsia" w:ascii="宋体" w:hAnsi="宋体"/>
          <w:color w:val="auto"/>
          <w:szCs w:val="21"/>
          <w:u w:val="single"/>
          <w:lang w:eastAsia="zh-CN"/>
        </w:rPr>
        <w:t>项目</w:t>
      </w:r>
      <w:r>
        <w:rPr>
          <w:rFonts w:hint="eastAsia" w:ascii="宋体" w:hAnsi="宋体"/>
          <w:color w:val="auto"/>
          <w:szCs w:val="21"/>
          <w:u w:val="single"/>
        </w:rPr>
        <w:t xml:space="preserve">所在地 </w:t>
      </w:r>
      <w:r>
        <w:rPr>
          <w:rFonts w:hint="eastAsia" w:ascii="宋体" w:hAnsi="宋体"/>
          <w:color w:val="auto"/>
          <w:szCs w:val="21"/>
        </w:rPr>
        <w:t>人民法院提起诉讼。</w:t>
      </w:r>
    </w:p>
    <w:p w14:paraId="5287340A">
      <w:pPr>
        <w:adjustRightInd w:val="0"/>
        <w:snapToGrid w:val="0"/>
        <w:spacing w:line="360" w:lineRule="auto"/>
        <w:rPr>
          <w:rFonts w:ascii="宋体" w:hAnsi="宋体"/>
          <w:b/>
          <w:bCs/>
          <w:color w:val="auto"/>
          <w:szCs w:val="21"/>
        </w:rPr>
      </w:pPr>
      <w:r>
        <w:rPr>
          <w:rFonts w:hint="eastAsia" w:ascii="宋体" w:hAnsi="宋体"/>
          <w:b/>
          <w:bCs/>
          <w:color w:val="auto"/>
          <w:szCs w:val="21"/>
        </w:rPr>
        <w:t>8. 其他</w:t>
      </w:r>
    </w:p>
    <w:p w14:paraId="7D455DBB">
      <w:pPr>
        <w:adjustRightInd w:val="0"/>
        <w:snapToGrid w:val="0"/>
        <w:spacing w:line="360" w:lineRule="auto"/>
        <w:rPr>
          <w:rFonts w:ascii="宋体" w:hAnsi="宋体"/>
          <w:bCs/>
          <w:color w:val="auto"/>
          <w:szCs w:val="21"/>
        </w:rPr>
      </w:pPr>
      <w:r>
        <w:rPr>
          <w:rFonts w:hint="eastAsia" w:ascii="宋体" w:hAnsi="宋体"/>
          <w:b/>
          <w:bCs/>
          <w:color w:val="auto"/>
          <w:szCs w:val="21"/>
        </w:rPr>
        <w:t xml:space="preserve">  </w:t>
      </w:r>
      <w:r>
        <w:rPr>
          <w:rFonts w:hint="eastAsia" w:ascii="宋体" w:hAnsi="宋体"/>
          <w:bCs/>
          <w:color w:val="auto"/>
          <w:szCs w:val="21"/>
        </w:rPr>
        <w:t>8.2 检测费用</w:t>
      </w:r>
    </w:p>
    <w:p w14:paraId="1F67DDA6">
      <w:pPr>
        <w:adjustRightInd w:val="0"/>
        <w:snapToGrid w:val="0"/>
        <w:spacing w:line="360" w:lineRule="auto"/>
        <w:rPr>
          <w:rFonts w:ascii="宋体" w:hAnsi="宋体"/>
          <w:bCs/>
          <w:color w:val="auto"/>
          <w:szCs w:val="21"/>
        </w:rPr>
      </w:pPr>
      <w:r>
        <w:rPr>
          <w:rFonts w:hint="eastAsia" w:ascii="宋体" w:hAnsi="宋体"/>
          <w:bCs/>
          <w:color w:val="auto"/>
          <w:szCs w:val="21"/>
        </w:rPr>
        <w:t xml:space="preserve">    委托人应在检测工作完成后</w:t>
      </w:r>
      <w:r>
        <w:rPr>
          <w:rFonts w:hint="eastAsia" w:ascii="宋体" w:hAnsi="宋体"/>
          <w:color w:val="auto"/>
          <w:szCs w:val="21"/>
          <w:u w:val="single"/>
        </w:rPr>
        <w:t xml:space="preserve"> / </w:t>
      </w:r>
      <w:r>
        <w:rPr>
          <w:rFonts w:hint="eastAsia" w:ascii="宋体" w:hAnsi="宋体"/>
          <w:bCs/>
          <w:color w:val="auto"/>
          <w:szCs w:val="21"/>
        </w:rPr>
        <w:t>天内支付检测费用。</w:t>
      </w:r>
    </w:p>
    <w:p w14:paraId="133B17A3">
      <w:pPr>
        <w:adjustRightInd w:val="0"/>
        <w:snapToGrid w:val="0"/>
        <w:spacing w:line="360" w:lineRule="auto"/>
        <w:rPr>
          <w:rFonts w:ascii="宋体" w:hAnsi="宋体"/>
          <w:bCs/>
          <w:color w:val="auto"/>
          <w:szCs w:val="21"/>
        </w:rPr>
      </w:pPr>
      <w:r>
        <w:rPr>
          <w:rFonts w:hint="eastAsia" w:ascii="宋体" w:hAnsi="宋体"/>
          <w:bCs/>
          <w:color w:val="auto"/>
          <w:szCs w:val="21"/>
        </w:rPr>
        <w:t xml:space="preserve">  8.3 咨询费用</w:t>
      </w:r>
    </w:p>
    <w:p w14:paraId="0CC42E9A">
      <w:pPr>
        <w:adjustRightInd w:val="0"/>
        <w:snapToGrid w:val="0"/>
        <w:spacing w:line="360" w:lineRule="auto"/>
        <w:rPr>
          <w:rFonts w:ascii="宋体" w:hAnsi="宋体"/>
          <w:bCs/>
          <w:color w:val="auto"/>
          <w:szCs w:val="21"/>
        </w:rPr>
      </w:pPr>
      <w:r>
        <w:rPr>
          <w:rFonts w:hint="eastAsia" w:ascii="宋体" w:hAnsi="宋体"/>
          <w:bCs/>
          <w:color w:val="auto"/>
          <w:szCs w:val="21"/>
        </w:rPr>
        <w:t xml:space="preserve">    委托人应在咨询工作完成后</w:t>
      </w:r>
      <w:r>
        <w:rPr>
          <w:rFonts w:hint="eastAsia" w:ascii="宋体" w:hAnsi="宋体"/>
          <w:color w:val="auto"/>
          <w:szCs w:val="21"/>
          <w:u w:val="single"/>
        </w:rPr>
        <w:t xml:space="preserve"> / </w:t>
      </w:r>
      <w:r>
        <w:rPr>
          <w:rFonts w:hint="eastAsia" w:ascii="宋体" w:hAnsi="宋体"/>
          <w:bCs/>
          <w:color w:val="auto"/>
          <w:szCs w:val="21"/>
        </w:rPr>
        <w:t>天内支付咨询费用。</w:t>
      </w:r>
    </w:p>
    <w:p w14:paraId="4B5AF14D">
      <w:pPr>
        <w:adjustRightInd w:val="0"/>
        <w:snapToGrid w:val="0"/>
        <w:spacing w:line="360" w:lineRule="auto"/>
        <w:ind w:firstLine="210" w:firstLineChars="100"/>
        <w:rPr>
          <w:rFonts w:ascii="宋体" w:hAnsi="宋体"/>
          <w:color w:val="auto"/>
          <w:szCs w:val="21"/>
        </w:rPr>
      </w:pPr>
      <w:r>
        <w:rPr>
          <w:rFonts w:hint="eastAsia" w:ascii="宋体" w:hAnsi="宋体"/>
          <w:color w:val="auto"/>
          <w:szCs w:val="21"/>
        </w:rPr>
        <w:t>8.4 奖励：</w:t>
      </w:r>
      <w:r>
        <w:rPr>
          <w:rFonts w:hint="eastAsia" w:ascii="宋体" w:hAnsi="宋体"/>
          <w:color w:val="auto"/>
          <w:szCs w:val="21"/>
          <w:u w:val="single"/>
        </w:rPr>
        <w:t>本项目不采用</w:t>
      </w:r>
      <w:r>
        <w:rPr>
          <w:rFonts w:hint="eastAsia" w:ascii="宋体" w:hAnsi="宋体"/>
          <w:color w:val="auto"/>
          <w:szCs w:val="21"/>
          <w:lang w:val="en-GB"/>
        </w:rPr>
        <w:t>。</w:t>
      </w:r>
    </w:p>
    <w:p w14:paraId="6550308E">
      <w:pPr>
        <w:adjustRightInd w:val="0"/>
        <w:snapToGrid w:val="0"/>
        <w:spacing w:line="360" w:lineRule="auto"/>
        <w:ind w:firstLine="205" w:firstLineChars="98"/>
        <w:rPr>
          <w:rFonts w:ascii="宋体" w:hAnsi="宋体"/>
          <w:color w:val="auto"/>
          <w:szCs w:val="21"/>
        </w:rPr>
      </w:pPr>
      <w:r>
        <w:rPr>
          <w:rFonts w:hint="eastAsia" w:ascii="宋体" w:hAnsi="宋体"/>
          <w:color w:val="auto"/>
          <w:szCs w:val="21"/>
        </w:rPr>
        <w:t>8.6 保密</w:t>
      </w:r>
    </w:p>
    <w:p w14:paraId="5CAB5E5F">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委托人申明的保密事项和期限：</w:t>
      </w:r>
      <w:r>
        <w:rPr>
          <w:rFonts w:hint="eastAsia" w:ascii="宋体" w:hAnsi="宋体"/>
          <w:color w:val="auto"/>
          <w:szCs w:val="21"/>
          <w:u w:val="single"/>
        </w:rPr>
        <w:t xml:space="preserve">      /            </w:t>
      </w:r>
      <w:r>
        <w:rPr>
          <w:rFonts w:hint="eastAsia" w:ascii="宋体" w:hAnsi="宋体"/>
          <w:color w:val="auto"/>
          <w:szCs w:val="21"/>
        </w:rPr>
        <w:t>。</w:t>
      </w:r>
    </w:p>
    <w:p w14:paraId="375CBA00">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监理人申明的保密事项和期限：</w:t>
      </w:r>
      <w:r>
        <w:rPr>
          <w:rFonts w:hint="eastAsia" w:ascii="宋体" w:hAnsi="宋体"/>
          <w:color w:val="auto"/>
          <w:szCs w:val="21"/>
          <w:u w:val="single"/>
        </w:rPr>
        <w:t xml:space="preserve">     /             </w:t>
      </w:r>
      <w:r>
        <w:rPr>
          <w:rFonts w:hint="eastAsia" w:ascii="宋体" w:hAnsi="宋体"/>
          <w:color w:val="auto"/>
          <w:szCs w:val="21"/>
        </w:rPr>
        <w:t>。</w:t>
      </w:r>
    </w:p>
    <w:p w14:paraId="4E2BB35B">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rPr>
        <w:t>第三方申明的保密事项和期限：</w:t>
      </w:r>
      <w:r>
        <w:rPr>
          <w:rFonts w:hint="eastAsia" w:ascii="宋体" w:hAnsi="宋体"/>
          <w:color w:val="auto"/>
          <w:szCs w:val="21"/>
          <w:u w:val="single"/>
        </w:rPr>
        <w:t xml:space="preserve">    /              </w:t>
      </w:r>
      <w:r>
        <w:rPr>
          <w:rFonts w:hint="eastAsia" w:ascii="宋体" w:hAnsi="宋体"/>
          <w:color w:val="auto"/>
          <w:szCs w:val="21"/>
        </w:rPr>
        <w:t>。</w:t>
      </w:r>
    </w:p>
    <w:p w14:paraId="6B1E43B1">
      <w:pPr>
        <w:snapToGrid w:val="0"/>
        <w:spacing w:line="360" w:lineRule="auto"/>
        <w:ind w:firstLine="205" w:firstLineChars="98"/>
        <w:rPr>
          <w:rFonts w:ascii="宋体" w:hAnsi="宋体"/>
          <w:bCs/>
          <w:color w:val="auto"/>
          <w:szCs w:val="21"/>
        </w:rPr>
      </w:pPr>
      <w:r>
        <w:rPr>
          <w:rFonts w:hint="eastAsia" w:ascii="宋体" w:hAnsi="宋体"/>
          <w:color w:val="auto"/>
          <w:szCs w:val="21"/>
        </w:rPr>
        <w:t>8.8</w:t>
      </w:r>
      <w:r>
        <w:rPr>
          <w:rFonts w:hint="eastAsia" w:ascii="宋体" w:hAnsi="宋体"/>
          <w:bCs/>
          <w:color w:val="auto"/>
          <w:szCs w:val="21"/>
        </w:rPr>
        <w:t>著作权</w:t>
      </w:r>
    </w:p>
    <w:p w14:paraId="5C708ABD">
      <w:pPr>
        <w:snapToGrid w:val="0"/>
        <w:spacing w:before="120" w:after="120" w:line="360" w:lineRule="auto"/>
        <w:ind w:firstLine="420" w:firstLineChars="200"/>
        <w:jc w:val="left"/>
        <w:rPr>
          <w:rFonts w:ascii="宋体" w:hAnsi="宋体"/>
          <w:color w:val="auto"/>
          <w:szCs w:val="21"/>
        </w:rPr>
      </w:pPr>
      <w:r>
        <w:rPr>
          <w:rFonts w:hint="eastAsia" w:ascii="宋体" w:hAnsi="宋体"/>
          <w:color w:val="auto"/>
          <w:szCs w:val="21"/>
        </w:rPr>
        <w:t>监理人在本合同履行期间及本合同终止后两年内出版涉及本工程的有关监理与相关服务的资料的限制条件：</w:t>
      </w:r>
      <w:r>
        <w:rPr>
          <w:rFonts w:hint="eastAsia" w:ascii="宋体" w:hAnsi="宋体"/>
          <w:color w:val="auto"/>
          <w:szCs w:val="21"/>
          <w:u w:val="single"/>
        </w:rPr>
        <w:t xml:space="preserve">    /    </w:t>
      </w:r>
      <w:r>
        <w:rPr>
          <w:rFonts w:hint="eastAsia" w:ascii="宋体" w:hAnsi="宋体"/>
          <w:color w:val="auto"/>
          <w:szCs w:val="21"/>
        </w:rPr>
        <w:t>。</w:t>
      </w:r>
    </w:p>
    <w:p w14:paraId="19D4F518">
      <w:pPr>
        <w:numPr>
          <w:ilvl w:val="0"/>
          <w:numId w:val="7"/>
        </w:numPr>
        <w:adjustRightInd w:val="0"/>
        <w:snapToGrid w:val="0"/>
        <w:spacing w:before="120" w:beforeLines="50" w:after="120" w:afterLines="50" w:line="360" w:lineRule="auto"/>
        <w:ind w:firstLine="210" w:firstLineChars="100"/>
        <w:rPr>
          <w:rFonts w:hint="eastAsia" w:ascii="宋体" w:hAnsi="宋体"/>
          <w:color w:val="auto"/>
          <w:szCs w:val="21"/>
        </w:rPr>
      </w:pPr>
      <w:r>
        <w:rPr>
          <w:rFonts w:hint="eastAsia" w:ascii="宋体" w:hAnsi="宋体"/>
          <w:color w:val="auto"/>
          <w:szCs w:val="21"/>
        </w:rPr>
        <w:t>补充条款：</w:t>
      </w:r>
    </w:p>
    <w:p w14:paraId="16081EDD">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 xml:space="preserve">9.1进场通知及开工令签发要求 </w:t>
      </w:r>
    </w:p>
    <w:p w14:paraId="2E23E71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进场通知：现场监理机构应在施工合同签订后的第二天（委托人有特殊要求的，以委托人的书面通知为准），向承包单位下达书面进场通知，通知应明确要求开工准备工作完成的最迟时限及准备工作应达到的标准。</w:t>
      </w:r>
    </w:p>
    <w:p w14:paraId="1C99258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开工令签发要求：现场监理机构收到的施工组织设计和开工报告，经审定符合招标文件及投标书约定的，其中项目管理班子、施工机械设备、施工准备工作满足开工条件的，监理人应向委托人提交项目经理、技术负责人已进场在位的书面确认函，确认函经委托人盖章确认后，立即向承包单位下达开工令。 </w:t>
      </w:r>
    </w:p>
    <w:p w14:paraId="5BCC22C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9.</w:t>
      </w:r>
      <w:r>
        <w:rPr>
          <w:rFonts w:ascii="宋体" w:hAnsi="宋体"/>
          <w:color w:val="auto"/>
          <w:szCs w:val="21"/>
        </w:rPr>
        <w:t>2</w:t>
      </w:r>
      <w:r>
        <w:rPr>
          <w:rFonts w:hint="eastAsia" w:ascii="宋体" w:hAnsi="宋体"/>
          <w:color w:val="auto"/>
          <w:szCs w:val="21"/>
        </w:rPr>
        <w:t xml:space="preserve"> 在建设过程中，监理人必须按投标时承诺配备的人员及时到位，配备专业人员，未经委托人同意，监理人不得擅自更换或者减少上述人员。根据现场施工情况，保证监理人员每天到场数量，委托人有权根据监理现场人员到位情况，要求其增加专业人员，监理单位必须服从，否则，视同监理人违约，委托人有权中止合同履行。</w:t>
      </w:r>
    </w:p>
    <w:p w14:paraId="64F769F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9.</w:t>
      </w:r>
      <w:r>
        <w:rPr>
          <w:rFonts w:ascii="宋体" w:hAnsi="宋体"/>
          <w:color w:val="auto"/>
          <w:szCs w:val="21"/>
        </w:rPr>
        <w:t>3</w:t>
      </w:r>
      <w:r>
        <w:rPr>
          <w:rFonts w:hint="eastAsia" w:ascii="宋体" w:hAnsi="宋体"/>
          <w:color w:val="auto"/>
          <w:szCs w:val="21"/>
        </w:rPr>
        <w:t xml:space="preserve"> 建设单位对本项目监理机构管理考核细则：</w:t>
      </w:r>
    </w:p>
    <w:p w14:paraId="2DE8C00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监理单位不得擅自更换项目总监、总监代表，如确要更换，应提前10日书面报告招标人，更换的项目总监</w:t>
      </w:r>
      <w:r>
        <w:rPr>
          <w:rFonts w:hint="eastAsia" w:ascii="宋体" w:hAnsi="宋体"/>
          <w:color w:val="auto"/>
          <w:szCs w:val="21"/>
          <w:lang w:eastAsia="zh-CN"/>
        </w:rPr>
        <w:t>、</w:t>
      </w:r>
      <w:r>
        <w:rPr>
          <w:rFonts w:hint="eastAsia" w:ascii="宋体" w:hAnsi="宋体"/>
          <w:color w:val="auto"/>
          <w:szCs w:val="21"/>
          <w:lang w:val="en-US" w:eastAsia="zh-CN"/>
        </w:rPr>
        <w:t>总监代表</w:t>
      </w:r>
      <w:r>
        <w:rPr>
          <w:rFonts w:hint="eastAsia" w:ascii="宋体" w:hAnsi="宋体"/>
          <w:color w:val="auto"/>
          <w:szCs w:val="21"/>
        </w:rPr>
        <w:t>的资格、阅历及经验等不得低于更换前的总监理工程师，且经业主方面试合格方可办理更换，同时对中标人将予以1万元的违约金处罚；更换其他专业监理人员，按上述程序办理，对中标人将予以每人次5000元的违约处罚。对于其它因特殊或不可抗力原因导致的人员更换，经与委托人充分协商，按上述程序办理免除罚款。</w:t>
      </w:r>
    </w:p>
    <w:p w14:paraId="3E7B1C6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乙方在履行合同过程中若发生违约行为，将按《滨湖集团建设工程服务类单位管理办法》规定向甲方支付违约金。《滨湖集团建设工程服务类单位管理办法》中所列违约金支付标准为单次支付标准。甲方下发整改通知单后，乙方仍不整改或整改期限内未完成整改的，甲方按单次支付标准乘以拖延的天数计算违约金，直至整改完毕。乙方拒不整改累计达到三次或超过整改期限30个日历天的，甲方有权解除合同，并追究乙方的违约责任。</w:t>
      </w:r>
    </w:p>
    <w:p w14:paraId="3F3B222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乙方发生违约行为的，甲方以书面形式通知到乙方。乙方在收到通知后14天内将违约金通过转账方式支付至甲方账户。乙方未在上述时间内完成支付，甲方有权利在最近一期的进度款中扣除。没有进度款或进度款不足扣除的，将在结算时扣除，并考虑违约金所产生的利息（中国人民银行发布的同期同类贷款的利息标准）。</w:t>
      </w:r>
    </w:p>
    <w:p w14:paraId="4585966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9.5 需要委托人批准后才能行使的权利： </w:t>
      </w:r>
    </w:p>
    <w:p w14:paraId="598C863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涉及增加合同价格的设计变更最终指令 </w:t>
      </w:r>
    </w:p>
    <w:p w14:paraId="0EAE77C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工程变更单价、数量的最终核定权 </w:t>
      </w:r>
    </w:p>
    <w:p w14:paraId="2F8C3CC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工程量清单遗漏项目单价最终核定权 </w:t>
      </w:r>
    </w:p>
    <w:p w14:paraId="6E5304C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工程施工工期延期天数确定权 </w:t>
      </w:r>
    </w:p>
    <w:p w14:paraId="0835F831">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9.6 工程验收合格交付委托人后，监理人应监督承包单位应在 30 日内向监理人提交完整的竣工结算资料，监理人应在 20 日内完成初步审查并提交审查意见给委托人（或使用单位），监理人应严格按照施工合同进行初步审查并对初步审查结论负责。委托人在项目审计期间积极协助。 </w:t>
      </w:r>
    </w:p>
    <w:p w14:paraId="1E1FC23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9.7 监理人的违约责任： </w:t>
      </w:r>
    </w:p>
    <w:p w14:paraId="2117887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①监理人不得在招投标中出借资质证书，允许其他单位或个人以本单位的名义进行投标活动。合同签订时如发现监理人出借资质证书，挂靠投标中标的，委托人将以书面形式报告相关部门，取消其中标资格并按照规定进行处罚。 </w:t>
      </w:r>
    </w:p>
    <w:p w14:paraId="09234CB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②监理人中标后不得转让监理业务，如发现中标后转让监理业务的，委托将取消其中标资格，没收履约担保并按照相关法律法规规定进行处罚。 </w:t>
      </w:r>
    </w:p>
    <w:p w14:paraId="370AA8E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③监理人应按投标文件承诺成立现场监理机构配备相应的人员及检测设备，委托人如发现人员和设备不满足监理项目需要的，责令改正，因此影响工程施工的，除承担承包商因此造成的索赔外，还应赔偿招标的损失及按期带来的收益。 </w:t>
      </w:r>
    </w:p>
    <w:p w14:paraId="51805AC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④现场监理机构人员应具备相应资质，取得上岗证书，如发现现场人员无相应资格的，视同该岗位缺岗。 </w:t>
      </w:r>
    </w:p>
    <w:p w14:paraId="2B85F82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⑤监理人应严格履行监理责任，对施工单位违章作业行为应立即制止并下达整改指令的，如听之任之，每发现 1 次，从履约担保中扣除合同价款 10%的违约金。发现 2 次的，还应通知监理人更换项目总监或相关的专业工程师。 </w:t>
      </w:r>
    </w:p>
    <w:p w14:paraId="632A0F0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⑥如因监理责任造成工程延期竣工的，每延期 1 天，还应从履约担保中扣除合同价款 5%的违约金。因履行合同不符合规定，监理工作不到位，造成验收不合格须返工的，按返工金额 10%的金额扣除违约金。对委托人发出的变更通知，应依据施工合同，合理测算变更价格。对承包商提出的变更，应视具体事项及实际变更的必要性认真对待，对承包商仅从方便施工的角度提出变更的 ，一律不得批准。对变更涉及投资变化的，审核应有依据，理由充分，价格合理且保持与中标时的同等价格水平。如发现监理人在工程计量、工程变更内容确定等方面不合理或弄虚作假的，或在变更价款的确定、竣工决算等方面存在损害委托人利益的，按照对等数额从监理费中扣除，不足部分另外赔偿，并依据相关规定，对其进行其他处罚。对凡因监理人原因给委托人造成损失的，除赔偿损失外，还应依法追究监理人法律责任。 </w:t>
      </w:r>
    </w:p>
    <w:p w14:paraId="15707CB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⑦因监理人责任造成变更的，由监理人自行承担，累计造成工程变更超过合同额 10%的，追加扣除监理人 20%的监理费用。造成重大经济损失和不良影响的，按照合同约定和相关法律法 规进行处罚。性质恶劣的，驱逐出包河区建筑市场。监理人与其他单位相互串通，采取弄虚作假等手段谋取非法利益的，依照相关规定，予以严厉查处；构成犯罪的，移交司法机关处理。</w:t>
      </w:r>
    </w:p>
    <w:p w14:paraId="05D25A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⑧监理人的过错给委托人造成的损失，监理人须全额赔偿。</w:t>
      </w:r>
    </w:p>
    <w:p w14:paraId="49CA088F">
      <w:pPr>
        <w:adjustRightInd w:val="0"/>
        <w:snapToGrid w:val="0"/>
        <w:spacing w:line="360" w:lineRule="auto"/>
        <w:ind w:firstLine="211" w:firstLineChars="100"/>
        <w:jc w:val="center"/>
        <w:rPr>
          <w:rFonts w:hint="eastAsia" w:ascii="宋体" w:hAnsi="宋体"/>
          <w:b/>
          <w:color w:val="auto"/>
          <w:szCs w:val="21"/>
        </w:rPr>
      </w:pPr>
      <w:r>
        <w:rPr>
          <w:rFonts w:hint="eastAsia" w:ascii="宋体" w:hAnsi="宋体"/>
          <w:b/>
          <w:color w:val="auto"/>
          <w:szCs w:val="21"/>
        </w:rPr>
        <w:t>办公用品一览表</w:t>
      </w:r>
    </w:p>
    <w:tbl>
      <w:tblPr>
        <w:tblStyle w:val="57"/>
        <w:tblW w:w="4722"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3256"/>
        <w:gridCol w:w="2387"/>
        <w:gridCol w:w="2442"/>
      </w:tblGrid>
      <w:tr w14:paraId="23C1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32FC9770">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序号</w:t>
            </w:r>
          </w:p>
        </w:tc>
        <w:tc>
          <w:tcPr>
            <w:tcW w:w="1672" w:type="pct"/>
            <w:noWrap w:val="0"/>
            <w:vAlign w:val="center"/>
          </w:tcPr>
          <w:p w14:paraId="5D4A2895">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名称（规格、型号）</w:t>
            </w:r>
          </w:p>
        </w:tc>
        <w:tc>
          <w:tcPr>
            <w:tcW w:w="1226" w:type="pct"/>
            <w:noWrap w:val="0"/>
            <w:vAlign w:val="center"/>
          </w:tcPr>
          <w:p w14:paraId="0EC12047">
            <w:pPr>
              <w:adjustRightInd w:val="0"/>
              <w:snapToGrid w:val="0"/>
              <w:spacing w:line="360" w:lineRule="auto"/>
              <w:ind w:firstLine="630" w:firstLineChars="300"/>
              <w:jc w:val="center"/>
              <w:rPr>
                <w:rFonts w:hint="eastAsia" w:ascii="宋体" w:hAnsi="宋体"/>
                <w:color w:val="auto"/>
                <w:szCs w:val="21"/>
              </w:rPr>
            </w:pPr>
            <w:r>
              <w:rPr>
                <w:rFonts w:hint="eastAsia" w:ascii="宋体" w:hAnsi="宋体"/>
                <w:color w:val="auto"/>
                <w:szCs w:val="21"/>
              </w:rPr>
              <w:t>数量</w:t>
            </w:r>
          </w:p>
        </w:tc>
        <w:tc>
          <w:tcPr>
            <w:tcW w:w="1254" w:type="pct"/>
            <w:noWrap w:val="0"/>
            <w:vAlign w:val="center"/>
          </w:tcPr>
          <w:p w14:paraId="3C3A6C25">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备注</w:t>
            </w:r>
          </w:p>
        </w:tc>
      </w:tr>
      <w:tr w14:paraId="3109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202217BB">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1</w:t>
            </w:r>
          </w:p>
        </w:tc>
        <w:tc>
          <w:tcPr>
            <w:tcW w:w="1672" w:type="pct"/>
            <w:noWrap w:val="0"/>
            <w:vAlign w:val="center"/>
          </w:tcPr>
          <w:p w14:paraId="5668D143">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电脑</w:t>
            </w:r>
          </w:p>
        </w:tc>
        <w:tc>
          <w:tcPr>
            <w:tcW w:w="1226" w:type="pct"/>
            <w:noWrap w:val="0"/>
            <w:vAlign w:val="center"/>
          </w:tcPr>
          <w:p w14:paraId="6D9DDD78">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lang w:val="en-US" w:eastAsia="zh-CN"/>
              </w:rPr>
              <w:t>1</w:t>
            </w:r>
          </w:p>
        </w:tc>
        <w:tc>
          <w:tcPr>
            <w:tcW w:w="1254" w:type="pct"/>
            <w:noWrap w:val="0"/>
            <w:vAlign w:val="center"/>
          </w:tcPr>
          <w:p w14:paraId="4AF83666">
            <w:pPr>
              <w:adjustRightInd w:val="0"/>
              <w:snapToGrid w:val="0"/>
              <w:spacing w:line="360" w:lineRule="auto"/>
              <w:ind w:firstLine="210" w:firstLineChars="100"/>
              <w:jc w:val="center"/>
              <w:rPr>
                <w:rFonts w:hint="eastAsia" w:ascii="宋体" w:hAnsi="宋体"/>
                <w:color w:val="auto"/>
                <w:szCs w:val="21"/>
              </w:rPr>
            </w:pPr>
          </w:p>
        </w:tc>
      </w:tr>
      <w:tr w14:paraId="0AD3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66AFAE74">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2</w:t>
            </w:r>
          </w:p>
        </w:tc>
        <w:tc>
          <w:tcPr>
            <w:tcW w:w="1672" w:type="pct"/>
            <w:noWrap w:val="0"/>
            <w:vAlign w:val="center"/>
          </w:tcPr>
          <w:p w14:paraId="4B99EE64">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打印机</w:t>
            </w:r>
          </w:p>
        </w:tc>
        <w:tc>
          <w:tcPr>
            <w:tcW w:w="1226" w:type="pct"/>
            <w:noWrap w:val="0"/>
            <w:vAlign w:val="center"/>
          </w:tcPr>
          <w:p w14:paraId="125FCCAD">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lang w:val="en-US" w:eastAsia="zh-CN"/>
              </w:rPr>
              <w:t>1</w:t>
            </w:r>
          </w:p>
        </w:tc>
        <w:tc>
          <w:tcPr>
            <w:tcW w:w="1254" w:type="pct"/>
            <w:noWrap w:val="0"/>
            <w:vAlign w:val="center"/>
          </w:tcPr>
          <w:p w14:paraId="2396EAC2">
            <w:pPr>
              <w:adjustRightInd w:val="0"/>
              <w:snapToGrid w:val="0"/>
              <w:spacing w:line="360" w:lineRule="auto"/>
              <w:ind w:firstLine="210" w:firstLineChars="100"/>
              <w:jc w:val="center"/>
              <w:rPr>
                <w:rFonts w:hint="eastAsia" w:ascii="宋体" w:hAnsi="宋体"/>
                <w:color w:val="auto"/>
                <w:szCs w:val="21"/>
              </w:rPr>
            </w:pPr>
          </w:p>
        </w:tc>
      </w:tr>
      <w:tr w14:paraId="02D9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443509F9">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3</w:t>
            </w:r>
          </w:p>
        </w:tc>
        <w:tc>
          <w:tcPr>
            <w:tcW w:w="1672" w:type="pct"/>
            <w:noWrap w:val="0"/>
            <w:vAlign w:val="center"/>
          </w:tcPr>
          <w:p w14:paraId="36DF933A">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数码照相机</w:t>
            </w:r>
          </w:p>
        </w:tc>
        <w:tc>
          <w:tcPr>
            <w:tcW w:w="1226" w:type="pct"/>
            <w:noWrap w:val="0"/>
            <w:vAlign w:val="center"/>
          </w:tcPr>
          <w:p w14:paraId="540933A0">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lang w:val="en-US" w:eastAsia="zh-CN"/>
              </w:rPr>
              <w:t>1</w:t>
            </w:r>
          </w:p>
        </w:tc>
        <w:tc>
          <w:tcPr>
            <w:tcW w:w="1254" w:type="pct"/>
            <w:noWrap w:val="0"/>
            <w:vAlign w:val="center"/>
          </w:tcPr>
          <w:p w14:paraId="1F124583">
            <w:pPr>
              <w:adjustRightInd w:val="0"/>
              <w:snapToGrid w:val="0"/>
              <w:spacing w:line="360" w:lineRule="auto"/>
              <w:ind w:firstLine="210" w:firstLineChars="100"/>
              <w:jc w:val="center"/>
              <w:rPr>
                <w:rFonts w:hint="eastAsia" w:ascii="宋体" w:hAnsi="宋体"/>
                <w:color w:val="auto"/>
                <w:szCs w:val="21"/>
              </w:rPr>
            </w:pPr>
          </w:p>
        </w:tc>
      </w:tr>
      <w:tr w14:paraId="74FC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3E712733">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4</w:t>
            </w:r>
          </w:p>
        </w:tc>
        <w:tc>
          <w:tcPr>
            <w:tcW w:w="1672" w:type="pct"/>
            <w:noWrap w:val="0"/>
            <w:vAlign w:val="center"/>
          </w:tcPr>
          <w:p w14:paraId="348F3A90">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考勤打卡机（指纹+人脸）</w:t>
            </w:r>
          </w:p>
        </w:tc>
        <w:tc>
          <w:tcPr>
            <w:tcW w:w="1226" w:type="pct"/>
            <w:noWrap w:val="0"/>
            <w:vAlign w:val="center"/>
          </w:tcPr>
          <w:p w14:paraId="055BB95D">
            <w:pPr>
              <w:adjustRightInd w:val="0"/>
              <w:snapToGrid w:val="0"/>
              <w:spacing w:line="360" w:lineRule="auto"/>
              <w:jc w:val="center"/>
              <w:rPr>
                <w:rFonts w:hint="eastAsia" w:ascii="宋体" w:hAnsi="宋体"/>
                <w:color w:val="auto"/>
                <w:szCs w:val="21"/>
              </w:rPr>
            </w:pPr>
            <w:r>
              <w:rPr>
                <w:rFonts w:hint="eastAsia" w:ascii="宋体" w:hAnsi="宋体"/>
                <w:color w:val="auto"/>
                <w:szCs w:val="21"/>
              </w:rPr>
              <w:t>1</w:t>
            </w:r>
          </w:p>
        </w:tc>
        <w:tc>
          <w:tcPr>
            <w:tcW w:w="1254" w:type="pct"/>
            <w:noWrap w:val="0"/>
            <w:vAlign w:val="center"/>
          </w:tcPr>
          <w:p w14:paraId="772DD94C">
            <w:pPr>
              <w:adjustRightInd w:val="0"/>
              <w:snapToGrid w:val="0"/>
              <w:spacing w:line="360" w:lineRule="auto"/>
              <w:ind w:firstLine="210" w:firstLineChars="100"/>
              <w:jc w:val="center"/>
              <w:rPr>
                <w:rFonts w:hint="eastAsia" w:ascii="宋体" w:hAnsi="宋体"/>
                <w:color w:val="auto"/>
                <w:szCs w:val="21"/>
              </w:rPr>
            </w:pPr>
          </w:p>
        </w:tc>
      </w:tr>
    </w:tbl>
    <w:p w14:paraId="6222AFA9">
      <w:pPr>
        <w:adjustRightInd w:val="0"/>
        <w:snapToGrid w:val="0"/>
        <w:spacing w:line="360" w:lineRule="auto"/>
        <w:ind w:firstLine="210" w:firstLineChars="100"/>
        <w:rPr>
          <w:rFonts w:hint="eastAsia" w:ascii="宋体" w:hAnsi="宋体"/>
          <w:color w:val="auto"/>
          <w:szCs w:val="21"/>
        </w:rPr>
      </w:pPr>
    </w:p>
    <w:p w14:paraId="330ABF58">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试验检测仪器设备一览表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806"/>
        <w:gridCol w:w="2128"/>
        <w:gridCol w:w="2128"/>
      </w:tblGrid>
      <w:tr w14:paraId="6B48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4C3AC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序号</w:t>
            </w:r>
          </w:p>
        </w:tc>
        <w:tc>
          <w:tcPr>
            <w:tcW w:w="2806" w:type="dxa"/>
            <w:noWrap w:val="0"/>
            <w:vAlign w:val="bottom"/>
          </w:tcPr>
          <w:p w14:paraId="766C16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名 称（规格、型号）</w:t>
            </w:r>
          </w:p>
        </w:tc>
        <w:tc>
          <w:tcPr>
            <w:tcW w:w="2128" w:type="dxa"/>
            <w:noWrap w:val="0"/>
            <w:vAlign w:val="bottom"/>
          </w:tcPr>
          <w:p w14:paraId="378B83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数 量</w:t>
            </w:r>
          </w:p>
        </w:tc>
        <w:tc>
          <w:tcPr>
            <w:tcW w:w="2128" w:type="dxa"/>
            <w:noWrap w:val="0"/>
            <w:vAlign w:val="bottom"/>
          </w:tcPr>
          <w:p w14:paraId="17B8B4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备 注</w:t>
            </w:r>
          </w:p>
        </w:tc>
      </w:tr>
      <w:tr w14:paraId="2182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2CFE0282">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806" w:type="dxa"/>
            <w:noWrap w:val="0"/>
            <w:vAlign w:val="center"/>
          </w:tcPr>
          <w:p w14:paraId="11353308">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测距仪</w:t>
            </w:r>
          </w:p>
        </w:tc>
        <w:tc>
          <w:tcPr>
            <w:tcW w:w="2128" w:type="dxa"/>
            <w:noWrap w:val="0"/>
            <w:vAlign w:val="bottom"/>
          </w:tcPr>
          <w:p w14:paraId="6E638EC1">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1</w:t>
            </w:r>
          </w:p>
        </w:tc>
        <w:tc>
          <w:tcPr>
            <w:tcW w:w="2128" w:type="dxa"/>
            <w:noWrap w:val="0"/>
            <w:vAlign w:val="bottom"/>
          </w:tcPr>
          <w:p w14:paraId="5E8FB160">
            <w:pPr>
              <w:adjustRightInd w:val="0"/>
              <w:snapToGrid w:val="0"/>
              <w:spacing w:line="360" w:lineRule="auto"/>
              <w:jc w:val="center"/>
              <w:rPr>
                <w:rFonts w:hint="eastAsia" w:ascii="宋体" w:hAnsi="宋体"/>
                <w:color w:val="auto"/>
                <w:szCs w:val="21"/>
              </w:rPr>
            </w:pPr>
          </w:p>
        </w:tc>
      </w:tr>
      <w:tr w14:paraId="6A1E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3E1621E7">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2</w:t>
            </w:r>
          </w:p>
        </w:tc>
        <w:tc>
          <w:tcPr>
            <w:tcW w:w="2806" w:type="dxa"/>
            <w:noWrap w:val="0"/>
            <w:vAlign w:val="bottom"/>
          </w:tcPr>
          <w:p w14:paraId="7BD6EDD2">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水准仪</w:t>
            </w:r>
          </w:p>
        </w:tc>
        <w:tc>
          <w:tcPr>
            <w:tcW w:w="2128" w:type="dxa"/>
            <w:noWrap w:val="0"/>
            <w:vAlign w:val="bottom"/>
          </w:tcPr>
          <w:p w14:paraId="3424E7D3">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4A827385">
            <w:pPr>
              <w:adjustRightInd w:val="0"/>
              <w:snapToGrid w:val="0"/>
              <w:spacing w:line="360" w:lineRule="auto"/>
              <w:jc w:val="center"/>
              <w:rPr>
                <w:rFonts w:hint="eastAsia" w:ascii="宋体" w:hAnsi="宋体"/>
                <w:color w:val="auto"/>
                <w:szCs w:val="21"/>
              </w:rPr>
            </w:pPr>
          </w:p>
        </w:tc>
      </w:tr>
      <w:tr w14:paraId="45A2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6868F39F">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3</w:t>
            </w:r>
          </w:p>
        </w:tc>
        <w:tc>
          <w:tcPr>
            <w:tcW w:w="2806" w:type="dxa"/>
            <w:noWrap w:val="0"/>
            <w:vAlign w:val="bottom"/>
          </w:tcPr>
          <w:p w14:paraId="3441DC3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经纬仪</w:t>
            </w:r>
          </w:p>
        </w:tc>
        <w:tc>
          <w:tcPr>
            <w:tcW w:w="2128" w:type="dxa"/>
            <w:noWrap w:val="0"/>
            <w:vAlign w:val="bottom"/>
          </w:tcPr>
          <w:p w14:paraId="701232A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0D535354">
            <w:pPr>
              <w:adjustRightInd w:val="0"/>
              <w:snapToGrid w:val="0"/>
              <w:spacing w:line="360" w:lineRule="auto"/>
              <w:jc w:val="center"/>
              <w:rPr>
                <w:rFonts w:hint="eastAsia" w:ascii="宋体" w:hAnsi="宋体"/>
                <w:color w:val="auto"/>
                <w:szCs w:val="21"/>
              </w:rPr>
            </w:pPr>
          </w:p>
        </w:tc>
      </w:tr>
      <w:tr w14:paraId="78D2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7751B69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4</w:t>
            </w:r>
          </w:p>
        </w:tc>
        <w:tc>
          <w:tcPr>
            <w:tcW w:w="2806" w:type="dxa"/>
            <w:noWrap w:val="0"/>
            <w:vAlign w:val="bottom"/>
          </w:tcPr>
          <w:p w14:paraId="35EBB480">
            <w:pPr>
              <w:adjustRightInd w:val="0"/>
              <w:snapToGrid w:val="0"/>
              <w:spacing w:line="360" w:lineRule="auto"/>
              <w:jc w:val="center"/>
              <w:rPr>
                <w:rFonts w:hint="eastAsia" w:ascii="宋体" w:hAnsi="宋体"/>
                <w:color w:val="auto"/>
                <w:szCs w:val="21"/>
              </w:rPr>
            </w:pPr>
            <w:r>
              <w:rPr>
                <w:rFonts w:hAnsi="宋体"/>
                <w:color w:val="auto"/>
                <w:sz w:val="24"/>
              </w:rPr>
              <w:t>钢尺</w:t>
            </w:r>
          </w:p>
        </w:tc>
        <w:tc>
          <w:tcPr>
            <w:tcW w:w="2128" w:type="dxa"/>
            <w:noWrap w:val="0"/>
            <w:vAlign w:val="bottom"/>
          </w:tcPr>
          <w:p w14:paraId="3626DB06">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2</w:t>
            </w:r>
          </w:p>
        </w:tc>
        <w:tc>
          <w:tcPr>
            <w:tcW w:w="2128" w:type="dxa"/>
            <w:noWrap w:val="0"/>
            <w:vAlign w:val="bottom"/>
          </w:tcPr>
          <w:p w14:paraId="65A4A901">
            <w:pPr>
              <w:adjustRightInd w:val="0"/>
              <w:snapToGrid w:val="0"/>
              <w:spacing w:line="360" w:lineRule="auto"/>
              <w:jc w:val="center"/>
              <w:rPr>
                <w:rFonts w:hint="eastAsia" w:ascii="宋体" w:hAnsi="宋体"/>
                <w:color w:val="auto"/>
                <w:szCs w:val="21"/>
              </w:rPr>
            </w:pPr>
          </w:p>
        </w:tc>
      </w:tr>
      <w:tr w14:paraId="3D02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4C6E2A0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5</w:t>
            </w:r>
          </w:p>
        </w:tc>
        <w:tc>
          <w:tcPr>
            <w:tcW w:w="2806" w:type="dxa"/>
            <w:noWrap w:val="0"/>
            <w:vAlign w:val="bottom"/>
          </w:tcPr>
          <w:p w14:paraId="4FECD0C9">
            <w:pPr>
              <w:adjustRightInd w:val="0"/>
              <w:snapToGrid w:val="0"/>
              <w:spacing w:line="360" w:lineRule="auto"/>
              <w:jc w:val="center"/>
              <w:rPr>
                <w:rFonts w:hint="eastAsia" w:ascii="宋体" w:hAnsi="宋体"/>
                <w:color w:val="auto"/>
                <w:szCs w:val="21"/>
              </w:rPr>
            </w:pPr>
            <w:r>
              <w:rPr>
                <w:color w:val="auto"/>
                <w:spacing w:val="-10"/>
                <w:sz w:val="24"/>
              </w:rPr>
              <w:t>3m</w:t>
            </w:r>
            <w:r>
              <w:rPr>
                <w:rFonts w:hAnsi="宋体"/>
                <w:color w:val="auto"/>
                <w:spacing w:val="-10"/>
                <w:sz w:val="24"/>
              </w:rPr>
              <w:t>直尺</w:t>
            </w:r>
          </w:p>
        </w:tc>
        <w:tc>
          <w:tcPr>
            <w:tcW w:w="2128" w:type="dxa"/>
            <w:noWrap w:val="0"/>
            <w:vAlign w:val="bottom"/>
          </w:tcPr>
          <w:p w14:paraId="2988F77B">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01A28AE4">
            <w:pPr>
              <w:adjustRightInd w:val="0"/>
              <w:snapToGrid w:val="0"/>
              <w:spacing w:line="360" w:lineRule="auto"/>
              <w:jc w:val="center"/>
              <w:rPr>
                <w:rFonts w:hint="eastAsia" w:ascii="宋体" w:hAnsi="宋体"/>
                <w:color w:val="auto"/>
                <w:szCs w:val="21"/>
              </w:rPr>
            </w:pPr>
          </w:p>
        </w:tc>
      </w:tr>
      <w:tr w14:paraId="53C6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24486CB1">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6</w:t>
            </w:r>
          </w:p>
        </w:tc>
        <w:tc>
          <w:tcPr>
            <w:tcW w:w="2806" w:type="dxa"/>
            <w:noWrap w:val="0"/>
            <w:vAlign w:val="bottom"/>
          </w:tcPr>
          <w:p w14:paraId="7B89775D">
            <w:pPr>
              <w:adjustRightInd w:val="0"/>
              <w:snapToGrid w:val="0"/>
              <w:spacing w:line="360" w:lineRule="auto"/>
              <w:jc w:val="center"/>
              <w:rPr>
                <w:rFonts w:hint="eastAsia" w:ascii="宋体" w:hAnsi="宋体"/>
                <w:color w:val="auto"/>
                <w:szCs w:val="21"/>
              </w:rPr>
            </w:pPr>
            <w:r>
              <w:rPr>
                <w:rFonts w:hAnsi="宋体"/>
                <w:color w:val="auto"/>
                <w:spacing w:val="-10"/>
                <w:sz w:val="24"/>
              </w:rPr>
              <w:t>塞尺</w:t>
            </w:r>
          </w:p>
        </w:tc>
        <w:tc>
          <w:tcPr>
            <w:tcW w:w="2128" w:type="dxa"/>
            <w:noWrap w:val="0"/>
            <w:vAlign w:val="bottom"/>
          </w:tcPr>
          <w:p w14:paraId="3F305E65">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2</w:t>
            </w:r>
          </w:p>
        </w:tc>
        <w:tc>
          <w:tcPr>
            <w:tcW w:w="2128" w:type="dxa"/>
            <w:noWrap w:val="0"/>
            <w:vAlign w:val="bottom"/>
          </w:tcPr>
          <w:p w14:paraId="20D76425">
            <w:pPr>
              <w:adjustRightInd w:val="0"/>
              <w:snapToGrid w:val="0"/>
              <w:spacing w:line="360" w:lineRule="auto"/>
              <w:jc w:val="center"/>
              <w:rPr>
                <w:rFonts w:hint="eastAsia" w:ascii="宋体" w:hAnsi="宋体"/>
                <w:color w:val="auto"/>
                <w:szCs w:val="21"/>
              </w:rPr>
            </w:pPr>
          </w:p>
        </w:tc>
      </w:tr>
      <w:tr w14:paraId="0500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07E8EC72">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7</w:t>
            </w:r>
          </w:p>
        </w:tc>
        <w:tc>
          <w:tcPr>
            <w:tcW w:w="2806" w:type="dxa"/>
            <w:noWrap w:val="0"/>
            <w:vAlign w:val="bottom"/>
          </w:tcPr>
          <w:p w14:paraId="308F67F8">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混凝土回弹仪</w:t>
            </w:r>
          </w:p>
        </w:tc>
        <w:tc>
          <w:tcPr>
            <w:tcW w:w="2128" w:type="dxa"/>
            <w:noWrap w:val="0"/>
            <w:vAlign w:val="bottom"/>
          </w:tcPr>
          <w:p w14:paraId="042D82AD">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3BE95A60">
            <w:pPr>
              <w:adjustRightInd w:val="0"/>
              <w:snapToGrid w:val="0"/>
              <w:spacing w:line="360" w:lineRule="auto"/>
              <w:jc w:val="center"/>
              <w:rPr>
                <w:rFonts w:hint="eastAsia" w:ascii="宋体" w:hAnsi="宋体"/>
                <w:color w:val="auto"/>
                <w:szCs w:val="21"/>
              </w:rPr>
            </w:pPr>
          </w:p>
        </w:tc>
      </w:tr>
    </w:tbl>
    <w:p w14:paraId="681F499F">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说明：监理合同履行期间，监理单位除按照以上要求配置办公及检测设备外，监理人还需根据项目情况及委托人要求配备足够的办公设备及检测设备。</w:t>
      </w:r>
    </w:p>
    <w:p w14:paraId="0F8CA5DF">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⑧监理人的过错给委托人造成的损失，监理人须全额赔偿。</w:t>
      </w:r>
    </w:p>
    <w:p w14:paraId="1EF1B73B">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附件A: 相关服务的范围和内容</w:t>
      </w:r>
    </w:p>
    <w:p w14:paraId="2E8E9B53">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附件B: 委托人派遣的人员和提供的房屋、资料、设备</w:t>
      </w:r>
    </w:p>
    <w:p w14:paraId="281A6B2F">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附件C：廉政协议</w:t>
      </w:r>
    </w:p>
    <w:p w14:paraId="358F2A1C">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附件D：履约保证金格式</w:t>
      </w:r>
    </w:p>
    <w:p w14:paraId="2C1195EE">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附件E：总监理工程师质量终身责任承诺</w:t>
      </w:r>
    </w:p>
    <w:tbl>
      <w:tblPr>
        <w:tblStyle w:val="57"/>
        <w:tblpPr w:leftFromText="180" w:rightFromText="180" w:vertAnchor="text" w:horzAnchor="margin" w:tblpY="407"/>
        <w:tblOverlap w:val="never"/>
        <w:tblW w:w="8504" w:type="dxa"/>
        <w:tblInd w:w="0" w:type="dxa"/>
        <w:tblLayout w:type="autofit"/>
        <w:tblCellMar>
          <w:top w:w="0" w:type="dxa"/>
          <w:left w:w="108" w:type="dxa"/>
          <w:bottom w:w="0" w:type="dxa"/>
          <w:right w:w="108" w:type="dxa"/>
        </w:tblCellMar>
      </w:tblPr>
      <w:tblGrid>
        <w:gridCol w:w="4786"/>
        <w:gridCol w:w="3718"/>
      </w:tblGrid>
      <w:tr w14:paraId="5FF9BC48">
        <w:tblPrEx>
          <w:tblCellMar>
            <w:top w:w="0" w:type="dxa"/>
            <w:left w:w="108" w:type="dxa"/>
            <w:bottom w:w="0" w:type="dxa"/>
            <w:right w:w="108" w:type="dxa"/>
          </w:tblCellMar>
        </w:tblPrEx>
        <w:trPr>
          <w:trHeight w:val="97" w:hRule="atLeast"/>
        </w:trPr>
        <w:tc>
          <w:tcPr>
            <w:tcW w:w="4786" w:type="dxa"/>
            <w:shd w:val="clear" w:color="auto" w:fill="auto"/>
            <w:noWrap w:val="0"/>
            <w:vAlign w:val="center"/>
          </w:tcPr>
          <w:p w14:paraId="6C74CF5B">
            <w:pPr>
              <w:adjustRightInd w:val="0"/>
              <w:snapToGrid w:val="0"/>
              <w:spacing w:line="360" w:lineRule="auto"/>
              <w:rPr>
                <w:rFonts w:ascii="宋体" w:hAnsi="宋体"/>
                <w:color w:val="auto"/>
                <w:kern w:val="0"/>
                <w:szCs w:val="21"/>
              </w:rPr>
            </w:pPr>
            <w:r>
              <w:rPr>
                <w:rFonts w:hint="eastAsia" w:ascii="宋体" w:hAnsi="宋体"/>
                <w:color w:val="auto"/>
                <w:kern w:val="0"/>
                <w:szCs w:val="21"/>
              </w:rPr>
              <w:t>委托人：（公章）</w:t>
            </w:r>
          </w:p>
          <w:p w14:paraId="6BCD8B99">
            <w:pPr>
              <w:adjustRightInd w:val="0"/>
              <w:snapToGrid w:val="0"/>
              <w:spacing w:line="360" w:lineRule="auto"/>
              <w:rPr>
                <w:rFonts w:ascii="宋体" w:hAnsi="宋体"/>
                <w:color w:val="auto"/>
                <w:kern w:val="0"/>
                <w:szCs w:val="21"/>
              </w:rPr>
            </w:pPr>
          </w:p>
        </w:tc>
        <w:tc>
          <w:tcPr>
            <w:tcW w:w="3718" w:type="dxa"/>
            <w:shd w:val="clear" w:color="auto" w:fill="auto"/>
            <w:noWrap w:val="0"/>
            <w:vAlign w:val="center"/>
          </w:tcPr>
          <w:p w14:paraId="3CDF09D3">
            <w:pPr>
              <w:adjustRightInd w:val="0"/>
              <w:snapToGrid w:val="0"/>
              <w:spacing w:line="360" w:lineRule="auto"/>
              <w:rPr>
                <w:rFonts w:ascii="宋体" w:hAnsi="宋体"/>
                <w:color w:val="auto"/>
                <w:kern w:val="0"/>
                <w:szCs w:val="21"/>
              </w:rPr>
            </w:pPr>
            <w:r>
              <w:rPr>
                <w:rFonts w:hint="eastAsia" w:ascii="宋体" w:hAnsi="宋体"/>
                <w:color w:val="auto"/>
                <w:kern w:val="0"/>
                <w:szCs w:val="21"/>
              </w:rPr>
              <w:t>监理人：（公章）</w:t>
            </w:r>
          </w:p>
          <w:p w14:paraId="1DAB7816">
            <w:pPr>
              <w:adjustRightInd w:val="0"/>
              <w:snapToGrid w:val="0"/>
              <w:spacing w:line="360" w:lineRule="auto"/>
              <w:rPr>
                <w:rFonts w:ascii="宋体" w:hAnsi="宋体"/>
                <w:color w:val="auto"/>
                <w:kern w:val="0"/>
                <w:szCs w:val="21"/>
              </w:rPr>
            </w:pPr>
          </w:p>
        </w:tc>
      </w:tr>
      <w:tr w14:paraId="65F7B438">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4FDA93F0">
            <w:pPr>
              <w:adjustRightInd w:val="0"/>
              <w:snapToGrid w:val="0"/>
              <w:spacing w:line="360" w:lineRule="auto"/>
              <w:rPr>
                <w:rFonts w:ascii="宋体" w:hAnsi="宋体"/>
                <w:color w:val="auto"/>
                <w:kern w:val="0"/>
                <w:szCs w:val="21"/>
              </w:rPr>
            </w:pPr>
            <w:r>
              <w:rPr>
                <w:rFonts w:hint="eastAsia" w:ascii="宋体" w:hAnsi="宋体"/>
                <w:color w:val="auto"/>
                <w:kern w:val="0"/>
                <w:szCs w:val="21"/>
              </w:rPr>
              <w:t>地址：</w:t>
            </w:r>
          </w:p>
        </w:tc>
        <w:tc>
          <w:tcPr>
            <w:tcW w:w="3718" w:type="dxa"/>
            <w:shd w:val="clear" w:color="auto" w:fill="auto"/>
            <w:noWrap w:val="0"/>
            <w:vAlign w:val="center"/>
          </w:tcPr>
          <w:p w14:paraId="538223FE">
            <w:pPr>
              <w:adjustRightInd w:val="0"/>
              <w:snapToGrid w:val="0"/>
              <w:spacing w:line="360" w:lineRule="auto"/>
              <w:rPr>
                <w:rFonts w:ascii="宋体" w:hAnsi="宋体"/>
                <w:color w:val="auto"/>
                <w:kern w:val="0"/>
                <w:szCs w:val="21"/>
              </w:rPr>
            </w:pPr>
            <w:r>
              <w:rPr>
                <w:rFonts w:hint="eastAsia" w:ascii="宋体" w:hAnsi="宋体"/>
                <w:color w:val="auto"/>
                <w:kern w:val="0"/>
                <w:szCs w:val="21"/>
              </w:rPr>
              <w:t>地址：</w:t>
            </w:r>
          </w:p>
        </w:tc>
      </w:tr>
      <w:tr w14:paraId="5FCA4F3F">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1A2FD4FF">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法定代表人：</w:t>
            </w:r>
          </w:p>
        </w:tc>
        <w:tc>
          <w:tcPr>
            <w:tcW w:w="3718" w:type="dxa"/>
            <w:shd w:val="clear" w:color="auto" w:fill="auto"/>
            <w:noWrap w:val="0"/>
            <w:vAlign w:val="center"/>
          </w:tcPr>
          <w:p w14:paraId="4775FA69">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法定代表人：</w:t>
            </w:r>
          </w:p>
        </w:tc>
      </w:tr>
      <w:tr w14:paraId="3DA605F9">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75742F49">
            <w:pPr>
              <w:adjustRightInd w:val="0"/>
              <w:snapToGrid w:val="0"/>
              <w:spacing w:line="360" w:lineRule="auto"/>
              <w:rPr>
                <w:rFonts w:ascii="宋体" w:hAnsi="宋体"/>
                <w:color w:val="auto"/>
                <w:kern w:val="0"/>
                <w:szCs w:val="21"/>
              </w:rPr>
            </w:pPr>
            <w:r>
              <w:rPr>
                <w:rFonts w:hint="eastAsia" w:ascii="宋体" w:hAnsi="宋体"/>
                <w:color w:val="auto"/>
                <w:kern w:val="0"/>
                <w:szCs w:val="21"/>
              </w:rPr>
              <w:t>委托代理人（签字）：</w:t>
            </w:r>
          </w:p>
        </w:tc>
        <w:tc>
          <w:tcPr>
            <w:tcW w:w="3718" w:type="dxa"/>
            <w:shd w:val="clear" w:color="auto" w:fill="auto"/>
            <w:noWrap w:val="0"/>
            <w:vAlign w:val="center"/>
          </w:tcPr>
          <w:p w14:paraId="348ACF5D">
            <w:pPr>
              <w:adjustRightInd w:val="0"/>
              <w:snapToGrid w:val="0"/>
              <w:spacing w:line="360" w:lineRule="auto"/>
              <w:rPr>
                <w:rFonts w:ascii="宋体" w:hAnsi="宋体"/>
                <w:color w:val="auto"/>
                <w:kern w:val="0"/>
                <w:szCs w:val="21"/>
              </w:rPr>
            </w:pPr>
            <w:r>
              <w:rPr>
                <w:rFonts w:hint="eastAsia" w:ascii="宋体" w:hAnsi="宋体"/>
                <w:color w:val="auto"/>
                <w:kern w:val="0"/>
                <w:szCs w:val="21"/>
              </w:rPr>
              <w:t>委托代理人（签字）：</w:t>
            </w:r>
          </w:p>
        </w:tc>
      </w:tr>
      <w:tr w14:paraId="55E464B5">
        <w:tblPrEx>
          <w:tblCellMar>
            <w:top w:w="0" w:type="dxa"/>
            <w:left w:w="108" w:type="dxa"/>
            <w:bottom w:w="0" w:type="dxa"/>
            <w:right w:w="108" w:type="dxa"/>
          </w:tblCellMar>
        </w:tblPrEx>
        <w:trPr>
          <w:trHeight w:val="90" w:hRule="atLeast"/>
        </w:trPr>
        <w:tc>
          <w:tcPr>
            <w:tcW w:w="4786" w:type="dxa"/>
            <w:shd w:val="clear" w:color="auto" w:fill="auto"/>
            <w:noWrap w:val="0"/>
            <w:vAlign w:val="center"/>
          </w:tcPr>
          <w:p w14:paraId="0BAC7923">
            <w:pPr>
              <w:adjustRightInd w:val="0"/>
              <w:snapToGrid w:val="0"/>
              <w:spacing w:line="360" w:lineRule="auto"/>
              <w:rPr>
                <w:rFonts w:ascii="宋体" w:hAnsi="宋体"/>
                <w:color w:val="auto"/>
                <w:kern w:val="0"/>
                <w:szCs w:val="21"/>
              </w:rPr>
            </w:pPr>
            <w:r>
              <w:rPr>
                <w:rFonts w:hint="eastAsia" w:ascii="宋体" w:hAnsi="宋体"/>
                <w:color w:val="auto"/>
                <w:kern w:val="0"/>
                <w:szCs w:val="21"/>
              </w:rPr>
              <w:t>电    话：</w:t>
            </w:r>
          </w:p>
        </w:tc>
        <w:tc>
          <w:tcPr>
            <w:tcW w:w="3718" w:type="dxa"/>
            <w:shd w:val="clear" w:color="auto" w:fill="auto"/>
            <w:noWrap w:val="0"/>
            <w:vAlign w:val="center"/>
          </w:tcPr>
          <w:p w14:paraId="02D3D4C9">
            <w:pPr>
              <w:adjustRightInd w:val="0"/>
              <w:snapToGrid w:val="0"/>
              <w:spacing w:line="360" w:lineRule="auto"/>
              <w:rPr>
                <w:rFonts w:ascii="宋体" w:hAnsi="宋体"/>
                <w:color w:val="auto"/>
                <w:kern w:val="0"/>
                <w:szCs w:val="21"/>
              </w:rPr>
            </w:pPr>
            <w:r>
              <w:rPr>
                <w:rFonts w:hint="eastAsia" w:ascii="宋体" w:hAnsi="宋体"/>
                <w:color w:val="auto"/>
                <w:kern w:val="0"/>
                <w:szCs w:val="21"/>
              </w:rPr>
              <w:t>电    话：</w:t>
            </w:r>
          </w:p>
        </w:tc>
      </w:tr>
      <w:tr w14:paraId="735BEEBF">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6A3CC57D">
            <w:pPr>
              <w:adjustRightInd w:val="0"/>
              <w:snapToGrid w:val="0"/>
              <w:spacing w:line="360" w:lineRule="auto"/>
              <w:rPr>
                <w:rFonts w:ascii="宋体" w:hAnsi="宋体"/>
                <w:color w:val="auto"/>
                <w:kern w:val="0"/>
                <w:szCs w:val="21"/>
              </w:rPr>
            </w:pPr>
            <w:r>
              <w:rPr>
                <w:rFonts w:hint="eastAsia" w:ascii="宋体" w:hAnsi="宋体"/>
                <w:color w:val="auto"/>
                <w:kern w:val="0"/>
                <w:szCs w:val="21"/>
              </w:rPr>
              <w:t>传    真：</w:t>
            </w:r>
          </w:p>
        </w:tc>
        <w:tc>
          <w:tcPr>
            <w:tcW w:w="3718" w:type="dxa"/>
            <w:shd w:val="clear" w:color="auto" w:fill="auto"/>
            <w:noWrap w:val="0"/>
            <w:vAlign w:val="center"/>
          </w:tcPr>
          <w:p w14:paraId="433A4B52">
            <w:pPr>
              <w:adjustRightInd w:val="0"/>
              <w:snapToGrid w:val="0"/>
              <w:spacing w:line="360" w:lineRule="auto"/>
              <w:rPr>
                <w:rFonts w:ascii="宋体" w:hAnsi="宋体"/>
                <w:color w:val="auto"/>
                <w:kern w:val="0"/>
                <w:szCs w:val="21"/>
              </w:rPr>
            </w:pPr>
            <w:r>
              <w:rPr>
                <w:rFonts w:hint="eastAsia" w:ascii="宋体" w:hAnsi="宋体"/>
                <w:color w:val="auto"/>
                <w:kern w:val="0"/>
                <w:szCs w:val="21"/>
              </w:rPr>
              <w:t>传    真：</w:t>
            </w:r>
          </w:p>
        </w:tc>
      </w:tr>
      <w:tr w14:paraId="0B3AA673">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2F090D32">
            <w:pPr>
              <w:adjustRightInd w:val="0"/>
              <w:snapToGrid w:val="0"/>
              <w:spacing w:line="360" w:lineRule="auto"/>
              <w:rPr>
                <w:rFonts w:ascii="宋体" w:hAnsi="宋体"/>
                <w:color w:val="auto"/>
                <w:kern w:val="0"/>
                <w:szCs w:val="21"/>
              </w:rPr>
            </w:pPr>
            <w:r>
              <w:rPr>
                <w:rFonts w:hint="eastAsia" w:ascii="宋体" w:hAnsi="宋体"/>
                <w:color w:val="auto"/>
                <w:kern w:val="0"/>
                <w:szCs w:val="21"/>
              </w:rPr>
              <w:t>开户银行：</w:t>
            </w:r>
          </w:p>
        </w:tc>
        <w:tc>
          <w:tcPr>
            <w:tcW w:w="3718" w:type="dxa"/>
            <w:shd w:val="clear" w:color="auto" w:fill="auto"/>
            <w:noWrap w:val="0"/>
            <w:vAlign w:val="center"/>
          </w:tcPr>
          <w:p w14:paraId="4D75A037">
            <w:pPr>
              <w:adjustRightInd w:val="0"/>
              <w:snapToGrid w:val="0"/>
              <w:spacing w:line="360" w:lineRule="auto"/>
              <w:rPr>
                <w:rFonts w:ascii="宋体" w:hAnsi="宋体"/>
                <w:color w:val="auto"/>
                <w:kern w:val="0"/>
                <w:szCs w:val="21"/>
              </w:rPr>
            </w:pPr>
            <w:r>
              <w:rPr>
                <w:rFonts w:hint="eastAsia" w:ascii="宋体" w:hAnsi="宋体"/>
                <w:color w:val="auto"/>
                <w:kern w:val="0"/>
                <w:szCs w:val="21"/>
              </w:rPr>
              <w:t>开户银行：</w:t>
            </w:r>
          </w:p>
        </w:tc>
      </w:tr>
      <w:tr w14:paraId="185377AB">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5C3FFE46">
            <w:pPr>
              <w:adjustRightInd w:val="0"/>
              <w:snapToGrid w:val="0"/>
              <w:spacing w:line="360" w:lineRule="auto"/>
              <w:rPr>
                <w:rFonts w:ascii="宋体" w:hAnsi="宋体"/>
                <w:color w:val="auto"/>
                <w:kern w:val="0"/>
                <w:szCs w:val="21"/>
              </w:rPr>
            </w:pPr>
            <w:r>
              <w:rPr>
                <w:rFonts w:hint="eastAsia" w:ascii="宋体" w:hAnsi="宋体"/>
                <w:color w:val="auto"/>
                <w:kern w:val="0"/>
                <w:szCs w:val="21"/>
              </w:rPr>
              <w:t>帐    号：</w:t>
            </w:r>
          </w:p>
        </w:tc>
        <w:tc>
          <w:tcPr>
            <w:tcW w:w="3718" w:type="dxa"/>
            <w:shd w:val="clear" w:color="auto" w:fill="auto"/>
            <w:noWrap w:val="0"/>
            <w:vAlign w:val="center"/>
          </w:tcPr>
          <w:p w14:paraId="4473E795">
            <w:pPr>
              <w:adjustRightInd w:val="0"/>
              <w:snapToGrid w:val="0"/>
              <w:spacing w:line="360" w:lineRule="auto"/>
              <w:rPr>
                <w:rFonts w:ascii="宋体" w:hAnsi="宋体"/>
                <w:color w:val="auto"/>
                <w:kern w:val="0"/>
                <w:szCs w:val="21"/>
              </w:rPr>
            </w:pPr>
            <w:r>
              <w:rPr>
                <w:rFonts w:hint="eastAsia" w:ascii="宋体" w:hAnsi="宋体"/>
                <w:color w:val="auto"/>
                <w:kern w:val="0"/>
                <w:szCs w:val="21"/>
              </w:rPr>
              <w:t>帐    号：</w:t>
            </w:r>
          </w:p>
        </w:tc>
      </w:tr>
      <w:tr w14:paraId="42D7CD5B">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531E40AC">
            <w:pPr>
              <w:adjustRightInd w:val="0"/>
              <w:snapToGrid w:val="0"/>
              <w:spacing w:line="360" w:lineRule="auto"/>
              <w:rPr>
                <w:rFonts w:ascii="宋体" w:hAnsi="宋体"/>
                <w:color w:val="auto"/>
                <w:kern w:val="0"/>
                <w:szCs w:val="21"/>
              </w:rPr>
            </w:pPr>
            <w:r>
              <w:rPr>
                <w:rFonts w:hint="eastAsia" w:ascii="宋体" w:hAnsi="宋体"/>
                <w:color w:val="auto"/>
                <w:kern w:val="0"/>
                <w:szCs w:val="21"/>
              </w:rPr>
              <w:t>邮政编码：</w:t>
            </w:r>
          </w:p>
        </w:tc>
        <w:tc>
          <w:tcPr>
            <w:tcW w:w="3718" w:type="dxa"/>
            <w:shd w:val="clear" w:color="auto" w:fill="auto"/>
            <w:noWrap w:val="0"/>
            <w:vAlign w:val="center"/>
          </w:tcPr>
          <w:p w14:paraId="5F6503C1">
            <w:pPr>
              <w:adjustRightInd w:val="0"/>
              <w:snapToGrid w:val="0"/>
              <w:spacing w:line="360" w:lineRule="auto"/>
              <w:rPr>
                <w:rFonts w:ascii="宋体" w:hAnsi="宋体"/>
                <w:color w:val="auto"/>
                <w:kern w:val="0"/>
                <w:szCs w:val="21"/>
              </w:rPr>
            </w:pPr>
            <w:r>
              <w:rPr>
                <w:rFonts w:hint="eastAsia" w:ascii="宋体" w:hAnsi="宋体"/>
                <w:color w:val="auto"/>
                <w:kern w:val="0"/>
                <w:szCs w:val="21"/>
              </w:rPr>
              <w:t>邮政编码：</w:t>
            </w:r>
          </w:p>
        </w:tc>
      </w:tr>
      <w:tr w14:paraId="1F97F5AF">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2A3FF59E">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时    间：      年    月    日</w:t>
            </w:r>
          </w:p>
        </w:tc>
        <w:tc>
          <w:tcPr>
            <w:tcW w:w="3718" w:type="dxa"/>
            <w:shd w:val="clear" w:color="auto" w:fill="auto"/>
            <w:noWrap w:val="0"/>
            <w:vAlign w:val="center"/>
          </w:tcPr>
          <w:p w14:paraId="497CAF6C">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时    间：      年    月    日</w:t>
            </w:r>
          </w:p>
        </w:tc>
      </w:tr>
    </w:tbl>
    <w:p w14:paraId="69E872B5">
      <w:pPr>
        <w:spacing w:line="360" w:lineRule="auto"/>
        <w:rPr>
          <w:color w:val="auto"/>
          <w:szCs w:val="21"/>
        </w:rPr>
      </w:pPr>
    </w:p>
    <w:p w14:paraId="09EAB177">
      <w:pPr>
        <w:rPr>
          <w:rFonts w:ascii="Times New Roman" w:hAnsi="Times New Roman"/>
          <w:color w:val="auto"/>
        </w:rPr>
      </w:pPr>
    </w:p>
    <w:p w14:paraId="5B13FA42">
      <w:pPr>
        <w:keepNext/>
        <w:keepLines/>
        <w:spacing w:before="120" w:after="120" w:line="360" w:lineRule="auto"/>
        <w:jc w:val="left"/>
        <w:outlineLvl w:val="2"/>
        <w:rPr>
          <w:rFonts w:ascii="黑体" w:hAnsi="黑体" w:eastAsia="黑体"/>
          <w:bCs/>
          <w:color w:val="auto"/>
          <w:sz w:val="24"/>
        </w:rPr>
      </w:pPr>
      <w:r>
        <w:rPr>
          <w:rFonts w:ascii="Times New Roman" w:hAnsi="Times New Roman"/>
          <w:color w:val="auto"/>
        </w:rPr>
        <w:br w:type="page"/>
      </w:r>
      <w:bookmarkStart w:id="41" w:name="_Toc144974831"/>
      <w:bookmarkEnd w:id="41"/>
      <w:bookmarkStart w:id="42" w:name="_Toc491798523"/>
      <w:bookmarkStart w:id="43" w:name="_Toc152045767"/>
      <w:bookmarkStart w:id="44" w:name="_Toc144974826"/>
      <w:bookmarkStart w:id="45" w:name="_Toc179632785"/>
      <w:bookmarkStart w:id="46" w:name="_Toc152042546"/>
      <w:r>
        <w:rPr>
          <w:rFonts w:hint="eastAsia" w:ascii="黑体" w:hAnsi="黑体" w:eastAsia="黑体"/>
          <w:bCs/>
          <w:color w:val="auto"/>
          <w:sz w:val="24"/>
        </w:rPr>
        <w:t>附录A：相关服务的范围和内容</w:t>
      </w:r>
    </w:p>
    <w:p w14:paraId="3E25B973">
      <w:pPr>
        <w:snapToGrid w:val="0"/>
        <w:spacing w:before="120" w:beforeLines="50" w:after="120" w:afterLines="50" w:line="360" w:lineRule="auto"/>
        <w:ind w:firstLine="1285" w:firstLineChars="400"/>
        <w:jc w:val="center"/>
        <w:rPr>
          <w:rFonts w:ascii="仿宋_GB2312" w:eastAsia="仿宋_GB2312"/>
          <w:color w:val="auto"/>
          <w:kern w:val="0"/>
          <w:sz w:val="32"/>
          <w:szCs w:val="32"/>
        </w:rPr>
      </w:pPr>
      <w:r>
        <w:rPr>
          <w:rFonts w:hint="eastAsia" w:ascii="宋体" w:hAnsi="宋体"/>
          <w:b/>
          <w:bCs/>
          <w:color w:val="auto"/>
          <w:kern w:val="0"/>
          <w:sz w:val="32"/>
          <w:szCs w:val="32"/>
        </w:rPr>
        <w:t>相关服务的范围和内容</w:t>
      </w:r>
    </w:p>
    <w:p w14:paraId="15DB4792">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A-1 </w:t>
      </w:r>
      <w:r>
        <w:rPr>
          <w:rFonts w:hint="eastAsia" w:ascii="宋体" w:hAnsi="宋体"/>
          <w:color w:val="auto"/>
          <w:kern w:val="0"/>
          <w:szCs w:val="21"/>
        </w:rPr>
        <w:t>勘察阶段：</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kern w:val="0"/>
          <w:szCs w:val="21"/>
        </w:rPr>
        <w:t>。</w:t>
      </w:r>
    </w:p>
    <w:p w14:paraId="1773F4C5">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A-2 </w:t>
      </w:r>
      <w:r>
        <w:rPr>
          <w:rFonts w:hint="eastAsia" w:ascii="宋体" w:hAnsi="宋体"/>
          <w:color w:val="auto"/>
          <w:kern w:val="0"/>
          <w:szCs w:val="21"/>
        </w:rPr>
        <w:t>设计阶段：</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szCs w:val="21"/>
        </w:rPr>
        <w:t>。</w:t>
      </w:r>
    </w:p>
    <w:p w14:paraId="5AA1781D">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A-3 </w:t>
      </w:r>
      <w:r>
        <w:rPr>
          <w:rFonts w:hint="eastAsia" w:ascii="宋体" w:hAnsi="宋体"/>
          <w:color w:val="auto"/>
          <w:kern w:val="0"/>
          <w:szCs w:val="21"/>
        </w:rPr>
        <w:t>保修阶段：</w:t>
      </w:r>
      <w:r>
        <w:rPr>
          <w:rFonts w:ascii="宋体" w:hAnsi="宋体"/>
          <w:color w:val="auto"/>
          <w:szCs w:val="21"/>
          <w:u w:val="single"/>
        </w:rPr>
        <w:t xml:space="preserve">                                                     </w:t>
      </w:r>
      <w:r>
        <w:rPr>
          <w:rFonts w:hint="eastAsia" w:ascii="宋体" w:hAnsi="宋体"/>
          <w:color w:val="auto"/>
          <w:szCs w:val="21"/>
        </w:rPr>
        <w:t>。</w:t>
      </w:r>
    </w:p>
    <w:p w14:paraId="0CC2547E">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A-4 </w:t>
      </w:r>
      <w:r>
        <w:rPr>
          <w:rFonts w:hint="eastAsia" w:ascii="宋体" w:hAnsi="宋体"/>
          <w:color w:val="auto"/>
          <w:szCs w:val="21"/>
        </w:rPr>
        <w:t>其他（专业技术咨询、外部协调工作等）：</w:t>
      </w:r>
      <w:r>
        <w:rPr>
          <w:rFonts w:ascii="宋体" w:hAnsi="宋体"/>
          <w:color w:val="auto"/>
          <w:szCs w:val="21"/>
          <w:u w:val="single"/>
        </w:rPr>
        <w:t xml:space="preserve">                         </w:t>
      </w:r>
      <w:r>
        <w:rPr>
          <w:rFonts w:hint="eastAsia" w:ascii="宋体" w:hAnsi="宋体"/>
          <w:color w:val="auto"/>
          <w:szCs w:val="21"/>
        </w:rPr>
        <w:t>。</w:t>
      </w:r>
    </w:p>
    <w:p w14:paraId="43BDA431">
      <w:pPr>
        <w:snapToGrid w:val="0"/>
        <w:spacing w:before="120" w:beforeLines="50" w:after="120" w:afterLines="50" w:line="360" w:lineRule="auto"/>
        <w:ind w:firstLine="420" w:firstLineChars="200"/>
        <w:rPr>
          <w:rFonts w:ascii="宋体" w:hAnsi="宋体"/>
          <w:color w:val="auto"/>
          <w:szCs w:val="21"/>
        </w:rPr>
      </w:pPr>
    </w:p>
    <w:p w14:paraId="45BB4A30">
      <w:pPr>
        <w:spacing w:line="360" w:lineRule="auto"/>
        <w:rPr>
          <w:rFonts w:ascii="仿宋_GB2312" w:hAnsi="宋体" w:eastAsia="仿宋_GB2312"/>
          <w:bCs/>
          <w:color w:val="auto"/>
          <w:sz w:val="30"/>
          <w:szCs w:val="30"/>
        </w:rPr>
      </w:pPr>
    </w:p>
    <w:p w14:paraId="5A2FD8B6">
      <w:pPr>
        <w:widowControl/>
        <w:jc w:val="left"/>
        <w:rPr>
          <w:rFonts w:ascii="黑体" w:hAnsi="黑体" w:eastAsia="黑体"/>
          <w:bCs/>
          <w:color w:val="auto"/>
          <w:sz w:val="24"/>
        </w:rPr>
      </w:pPr>
      <w:r>
        <w:rPr>
          <w:rFonts w:ascii="黑体" w:hAnsi="黑体" w:eastAsia="黑体"/>
          <w:bCs/>
          <w:color w:val="auto"/>
          <w:sz w:val="24"/>
        </w:rPr>
        <w:br w:type="page"/>
      </w:r>
    </w:p>
    <w:p w14:paraId="04D3EF45">
      <w:pPr>
        <w:keepNext/>
        <w:keepLines/>
        <w:spacing w:before="120" w:after="120" w:line="360" w:lineRule="auto"/>
        <w:jc w:val="left"/>
        <w:outlineLvl w:val="2"/>
        <w:rPr>
          <w:rFonts w:ascii="仿宋_GB2312" w:eastAsia="仿宋_GB2312"/>
          <w:b/>
          <w:bCs/>
          <w:color w:val="auto"/>
          <w:sz w:val="32"/>
          <w:szCs w:val="32"/>
        </w:rPr>
      </w:pPr>
      <w:r>
        <w:rPr>
          <w:rFonts w:hint="eastAsia" w:ascii="黑体" w:hAnsi="黑体" w:eastAsia="黑体"/>
          <w:bCs/>
          <w:color w:val="auto"/>
          <w:sz w:val="24"/>
        </w:rPr>
        <w:t>附录B：委托人派遣的人员和提供的房屋、资料、设备</w:t>
      </w:r>
    </w:p>
    <w:p w14:paraId="0FB46C6F">
      <w:pPr>
        <w:spacing w:before="120" w:beforeLines="50" w:line="360" w:lineRule="auto"/>
        <w:jc w:val="center"/>
        <w:rPr>
          <w:rFonts w:ascii="仿宋_GB2312" w:eastAsia="仿宋_GB2312"/>
          <w:b/>
          <w:color w:val="auto"/>
          <w:kern w:val="0"/>
          <w:sz w:val="32"/>
          <w:szCs w:val="32"/>
        </w:rPr>
      </w:pPr>
      <w:r>
        <w:rPr>
          <w:rFonts w:hint="eastAsia" w:ascii="宋体" w:hAnsi="宋体"/>
          <w:b/>
          <w:bCs/>
          <w:color w:val="auto"/>
          <w:kern w:val="0"/>
          <w:sz w:val="32"/>
          <w:szCs w:val="32"/>
        </w:rPr>
        <w:t>委托人派遣的人员和提供的房屋、资料、设备</w:t>
      </w:r>
    </w:p>
    <w:p w14:paraId="5BCE2F0E">
      <w:pPr>
        <w:spacing w:before="120" w:beforeLines="50" w:line="360" w:lineRule="auto"/>
        <w:rPr>
          <w:rFonts w:ascii="宋体" w:hAnsi="宋体"/>
          <w:b/>
          <w:color w:val="auto"/>
          <w:kern w:val="0"/>
          <w:szCs w:val="21"/>
        </w:rPr>
      </w:pPr>
      <w:r>
        <w:rPr>
          <w:rFonts w:ascii="宋体" w:hAnsi="宋体"/>
          <w:b/>
          <w:color w:val="auto"/>
          <w:kern w:val="0"/>
          <w:szCs w:val="21"/>
        </w:rPr>
        <w:t xml:space="preserve">B-1  </w:t>
      </w:r>
      <w:r>
        <w:rPr>
          <w:rFonts w:hint="eastAsia" w:ascii="宋体" w:hAnsi="宋体"/>
          <w:b/>
          <w:color w:val="auto"/>
          <w:kern w:val="0"/>
          <w:szCs w:val="21"/>
        </w:rPr>
        <w:t>委托人派遣的人员</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1860"/>
      </w:tblGrid>
      <w:tr w14:paraId="3E7E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7F6F08FE">
            <w:pPr>
              <w:spacing w:line="360" w:lineRule="auto"/>
              <w:jc w:val="center"/>
              <w:rPr>
                <w:rFonts w:ascii="宋体" w:hAnsi="宋体"/>
                <w:color w:val="auto"/>
                <w:szCs w:val="21"/>
              </w:rPr>
            </w:pPr>
            <w:r>
              <w:rPr>
                <w:rFonts w:hint="eastAsia" w:ascii="宋体" w:hAnsi="宋体"/>
                <w:color w:val="auto"/>
                <w:szCs w:val="21"/>
              </w:rPr>
              <w:t>名称</w:t>
            </w:r>
          </w:p>
        </w:tc>
        <w:tc>
          <w:tcPr>
            <w:tcW w:w="1770" w:type="dxa"/>
            <w:noWrap w:val="0"/>
            <w:vAlign w:val="top"/>
          </w:tcPr>
          <w:p w14:paraId="24285894">
            <w:pPr>
              <w:spacing w:line="360" w:lineRule="auto"/>
              <w:jc w:val="center"/>
              <w:rPr>
                <w:rFonts w:ascii="宋体" w:hAnsi="宋体"/>
                <w:color w:val="auto"/>
                <w:szCs w:val="21"/>
              </w:rPr>
            </w:pPr>
            <w:r>
              <w:rPr>
                <w:rFonts w:hint="eastAsia" w:ascii="宋体" w:hAnsi="宋体"/>
                <w:color w:val="auto"/>
                <w:szCs w:val="21"/>
              </w:rPr>
              <w:t>数量</w:t>
            </w:r>
          </w:p>
        </w:tc>
        <w:tc>
          <w:tcPr>
            <w:tcW w:w="2130" w:type="dxa"/>
            <w:noWrap w:val="0"/>
            <w:vAlign w:val="top"/>
          </w:tcPr>
          <w:p w14:paraId="3EC9A5EA">
            <w:pPr>
              <w:spacing w:line="360" w:lineRule="auto"/>
              <w:jc w:val="center"/>
              <w:rPr>
                <w:rFonts w:ascii="宋体" w:hAnsi="宋体"/>
                <w:color w:val="auto"/>
                <w:szCs w:val="21"/>
              </w:rPr>
            </w:pPr>
            <w:r>
              <w:rPr>
                <w:rFonts w:hint="eastAsia" w:ascii="宋体" w:hAnsi="宋体"/>
                <w:color w:val="auto"/>
                <w:szCs w:val="21"/>
              </w:rPr>
              <w:t>工作要求</w:t>
            </w:r>
          </w:p>
        </w:tc>
        <w:tc>
          <w:tcPr>
            <w:tcW w:w="1860" w:type="dxa"/>
            <w:noWrap w:val="0"/>
            <w:vAlign w:val="top"/>
          </w:tcPr>
          <w:p w14:paraId="0DC27CA8">
            <w:pPr>
              <w:spacing w:line="360" w:lineRule="auto"/>
              <w:jc w:val="center"/>
              <w:rPr>
                <w:rFonts w:ascii="宋体" w:hAnsi="宋体"/>
                <w:color w:val="auto"/>
                <w:szCs w:val="21"/>
              </w:rPr>
            </w:pPr>
            <w:r>
              <w:rPr>
                <w:rFonts w:hint="eastAsia" w:ascii="宋体" w:hAnsi="宋体"/>
                <w:color w:val="auto"/>
                <w:szCs w:val="21"/>
              </w:rPr>
              <w:t>提供时间</w:t>
            </w:r>
          </w:p>
        </w:tc>
      </w:tr>
      <w:tr w14:paraId="67D3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044AB422">
            <w:pPr>
              <w:spacing w:line="360" w:lineRule="auto"/>
              <w:rPr>
                <w:rFonts w:ascii="宋体" w:hAnsi="宋体"/>
                <w:color w:val="auto"/>
                <w:szCs w:val="21"/>
              </w:rPr>
            </w:pPr>
            <w:r>
              <w:rPr>
                <w:rFonts w:hint="eastAsia" w:ascii="宋体" w:hAnsi="宋体"/>
                <w:color w:val="auto"/>
                <w:szCs w:val="21"/>
              </w:rPr>
              <w:t xml:space="preserve">1. 工程技术人员 </w:t>
            </w:r>
          </w:p>
        </w:tc>
        <w:tc>
          <w:tcPr>
            <w:tcW w:w="1770" w:type="dxa"/>
            <w:noWrap w:val="0"/>
            <w:vAlign w:val="top"/>
          </w:tcPr>
          <w:p w14:paraId="47ABF844">
            <w:pPr>
              <w:spacing w:line="360" w:lineRule="auto"/>
              <w:rPr>
                <w:rFonts w:ascii="宋体" w:hAnsi="宋体"/>
                <w:color w:val="auto"/>
                <w:szCs w:val="21"/>
              </w:rPr>
            </w:pPr>
          </w:p>
        </w:tc>
        <w:tc>
          <w:tcPr>
            <w:tcW w:w="2130" w:type="dxa"/>
            <w:noWrap w:val="0"/>
            <w:vAlign w:val="top"/>
          </w:tcPr>
          <w:p w14:paraId="1DC1A83A">
            <w:pPr>
              <w:spacing w:line="360" w:lineRule="auto"/>
              <w:rPr>
                <w:rFonts w:ascii="宋体" w:hAnsi="宋体"/>
                <w:color w:val="auto"/>
                <w:szCs w:val="21"/>
              </w:rPr>
            </w:pPr>
          </w:p>
        </w:tc>
        <w:tc>
          <w:tcPr>
            <w:tcW w:w="1860" w:type="dxa"/>
            <w:noWrap w:val="0"/>
            <w:vAlign w:val="top"/>
          </w:tcPr>
          <w:p w14:paraId="20BF860D">
            <w:pPr>
              <w:spacing w:line="360" w:lineRule="auto"/>
              <w:rPr>
                <w:rFonts w:ascii="宋体" w:hAnsi="宋体"/>
                <w:color w:val="auto"/>
                <w:szCs w:val="21"/>
              </w:rPr>
            </w:pPr>
          </w:p>
        </w:tc>
      </w:tr>
      <w:tr w14:paraId="46D8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1DC61670">
            <w:pPr>
              <w:spacing w:line="360" w:lineRule="auto"/>
              <w:rPr>
                <w:rFonts w:ascii="宋体" w:hAnsi="宋体"/>
                <w:color w:val="auto"/>
                <w:szCs w:val="21"/>
              </w:rPr>
            </w:pPr>
            <w:r>
              <w:rPr>
                <w:rFonts w:ascii="宋体" w:hAnsi="宋体"/>
                <w:color w:val="auto"/>
                <w:szCs w:val="21"/>
              </w:rPr>
              <w:t xml:space="preserve">2. </w:t>
            </w:r>
            <w:r>
              <w:rPr>
                <w:rFonts w:hint="eastAsia" w:ascii="宋体" w:hAnsi="宋体"/>
                <w:color w:val="auto"/>
                <w:szCs w:val="21"/>
              </w:rPr>
              <w:t>辅助工作人员</w:t>
            </w:r>
          </w:p>
        </w:tc>
        <w:tc>
          <w:tcPr>
            <w:tcW w:w="1770" w:type="dxa"/>
            <w:noWrap w:val="0"/>
            <w:vAlign w:val="top"/>
          </w:tcPr>
          <w:p w14:paraId="17C4EFFC">
            <w:pPr>
              <w:spacing w:line="360" w:lineRule="auto"/>
              <w:rPr>
                <w:rFonts w:ascii="宋体" w:hAnsi="宋体"/>
                <w:color w:val="auto"/>
                <w:szCs w:val="21"/>
              </w:rPr>
            </w:pPr>
          </w:p>
        </w:tc>
        <w:tc>
          <w:tcPr>
            <w:tcW w:w="2130" w:type="dxa"/>
            <w:noWrap w:val="0"/>
            <w:vAlign w:val="top"/>
          </w:tcPr>
          <w:p w14:paraId="528008B1">
            <w:pPr>
              <w:spacing w:line="360" w:lineRule="auto"/>
              <w:rPr>
                <w:rFonts w:ascii="宋体" w:hAnsi="宋体"/>
                <w:color w:val="auto"/>
                <w:szCs w:val="21"/>
              </w:rPr>
            </w:pPr>
          </w:p>
        </w:tc>
        <w:tc>
          <w:tcPr>
            <w:tcW w:w="1860" w:type="dxa"/>
            <w:noWrap w:val="0"/>
            <w:vAlign w:val="top"/>
          </w:tcPr>
          <w:p w14:paraId="446E7C2A">
            <w:pPr>
              <w:spacing w:line="360" w:lineRule="auto"/>
              <w:rPr>
                <w:rFonts w:ascii="宋体" w:hAnsi="宋体"/>
                <w:color w:val="auto"/>
                <w:szCs w:val="21"/>
              </w:rPr>
            </w:pPr>
          </w:p>
        </w:tc>
      </w:tr>
      <w:tr w14:paraId="468C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45CBC8B8">
            <w:pPr>
              <w:spacing w:line="360" w:lineRule="auto"/>
              <w:rPr>
                <w:rFonts w:ascii="宋体" w:hAnsi="宋体"/>
                <w:color w:val="auto"/>
                <w:szCs w:val="21"/>
              </w:rPr>
            </w:pPr>
            <w:r>
              <w:rPr>
                <w:rFonts w:ascii="宋体" w:hAnsi="宋体"/>
                <w:color w:val="auto"/>
                <w:szCs w:val="21"/>
              </w:rPr>
              <w:t xml:space="preserve">3. </w:t>
            </w:r>
            <w:r>
              <w:rPr>
                <w:rFonts w:hint="eastAsia" w:ascii="宋体" w:hAnsi="宋体"/>
                <w:color w:val="auto"/>
                <w:szCs w:val="21"/>
              </w:rPr>
              <w:t>其他人员</w:t>
            </w:r>
          </w:p>
        </w:tc>
        <w:tc>
          <w:tcPr>
            <w:tcW w:w="1770" w:type="dxa"/>
            <w:noWrap w:val="0"/>
            <w:vAlign w:val="top"/>
          </w:tcPr>
          <w:p w14:paraId="3900EF2E">
            <w:pPr>
              <w:spacing w:line="360" w:lineRule="auto"/>
              <w:rPr>
                <w:rFonts w:ascii="宋体" w:hAnsi="宋体"/>
                <w:color w:val="auto"/>
                <w:szCs w:val="21"/>
              </w:rPr>
            </w:pPr>
          </w:p>
        </w:tc>
        <w:tc>
          <w:tcPr>
            <w:tcW w:w="2130" w:type="dxa"/>
            <w:noWrap w:val="0"/>
            <w:vAlign w:val="top"/>
          </w:tcPr>
          <w:p w14:paraId="3B9A72DF">
            <w:pPr>
              <w:spacing w:line="360" w:lineRule="auto"/>
              <w:rPr>
                <w:rFonts w:ascii="宋体" w:hAnsi="宋体"/>
                <w:color w:val="auto"/>
                <w:szCs w:val="21"/>
              </w:rPr>
            </w:pPr>
          </w:p>
        </w:tc>
        <w:tc>
          <w:tcPr>
            <w:tcW w:w="1860" w:type="dxa"/>
            <w:noWrap w:val="0"/>
            <w:vAlign w:val="top"/>
          </w:tcPr>
          <w:p w14:paraId="1B190CC5">
            <w:pPr>
              <w:spacing w:line="360" w:lineRule="auto"/>
              <w:rPr>
                <w:rFonts w:ascii="宋体" w:hAnsi="宋体"/>
                <w:color w:val="auto"/>
                <w:szCs w:val="21"/>
              </w:rPr>
            </w:pPr>
          </w:p>
        </w:tc>
      </w:tr>
      <w:tr w14:paraId="0F52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4A6D1C0B">
            <w:pPr>
              <w:spacing w:line="360" w:lineRule="auto"/>
              <w:rPr>
                <w:rFonts w:ascii="宋体" w:hAnsi="宋体"/>
                <w:color w:val="auto"/>
                <w:szCs w:val="21"/>
              </w:rPr>
            </w:pPr>
          </w:p>
        </w:tc>
        <w:tc>
          <w:tcPr>
            <w:tcW w:w="1770" w:type="dxa"/>
            <w:noWrap w:val="0"/>
            <w:vAlign w:val="top"/>
          </w:tcPr>
          <w:p w14:paraId="5C34C399">
            <w:pPr>
              <w:spacing w:line="360" w:lineRule="auto"/>
              <w:rPr>
                <w:rFonts w:ascii="宋体" w:hAnsi="宋体"/>
                <w:color w:val="auto"/>
                <w:szCs w:val="21"/>
              </w:rPr>
            </w:pPr>
          </w:p>
        </w:tc>
        <w:tc>
          <w:tcPr>
            <w:tcW w:w="2130" w:type="dxa"/>
            <w:noWrap w:val="0"/>
            <w:vAlign w:val="top"/>
          </w:tcPr>
          <w:p w14:paraId="272E0A48">
            <w:pPr>
              <w:spacing w:line="360" w:lineRule="auto"/>
              <w:rPr>
                <w:rFonts w:ascii="宋体" w:hAnsi="宋体"/>
                <w:color w:val="auto"/>
                <w:szCs w:val="21"/>
              </w:rPr>
            </w:pPr>
          </w:p>
        </w:tc>
        <w:tc>
          <w:tcPr>
            <w:tcW w:w="1860" w:type="dxa"/>
            <w:noWrap w:val="0"/>
            <w:vAlign w:val="top"/>
          </w:tcPr>
          <w:p w14:paraId="7272486E">
            <w:pPr>
              <w:spacing w:line="360" w:lineRule="auto"/>
              <w:rPr>
                <w:rFonts w:ascii="宋体" w:hAnsi="宋体"/>
                <w:color w:val="auto"/>
                <w:szCs w:val="21"/>
              </w:rPr>
            </w:pPr>
          </w:p>
        </w:tc>
      </w:tr>
    </w:tbl>
    <w:p w14:paraId="1B7FFE31">
      <w:pPr>
        <w:spacing w:before="120" w:beforeLines="50" w:line="360" w:lineRule="auto"/>
        <w:rPr>
          <w:rFonts w:ascii="宋体" w:hAnsi="宋体"/>
          <w:b/>
          <w:color w:val="auto"/>
          <w:kern w:val="0"/>
          <w:szCs w:val="21"/>
        </w:rPr>
      </w:pPr>
      <w:r>
        <w:rPr>
          <w:rFonts w:ascii="宋体" w:hAnsi="宋体"/>
          <w:b/>
          <w:color w:val="auto"/>
          <w:kern w:val="0"/>
          <w:szCs w:val="21"/>
        </w:rPr>
        <w:t xml:space="preserve">B-2  </w:t>
      </w:r>
      <w:r>
        <w:rPr>
          <w:rFonts w:hint="eastAsia" w:ascii="宋体" w:hAnsi="宋体"/>
          <w:b/>
          <w:color w:val="auto"/>
          <w:kern w:val="0"/>
          <w:szCs w:val="21"/>
        </w:rPr>
        <w:t>委托人提供的房屋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1860"/>
      </w:tblGrid>
      <w:tr w14:paraId="5543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5CDBE2DB">
            <w:pPr>
              <w:spacing w:line="360" w:lineRule="auto"/>
              <w:jc w:val="center"/>
              <w:rPr>
                <w:rFonts w:ascii="宋体" w:hAnsi="宋体"/>
                <w:color w:val="auto"/>
                <w:szCs w:val="21"/>
              </w:rPr>
            </w:pPr>
            <w:r>
              <w:rPr>
                <w:rFonts w:hint="eastAsia" w:ascii="宋体" w:hAnsi="宋体"/>
                <w:color w:val="auto"/>
                <w:szCs w:val="21"/>
              </w:rPr>
              <w:t>名称</w:t>
            </w:r>
          </w:p>
        </w:tc>
        <w:tc>
          <w:tcPr>
            <w:tcW w:w="2130" w:type="dxa"/>
            <w:noWrap w:val="0"/>
            <w:vAlign w:val="top"/>
          </w:tcPr>
          <w:p w14:paraId="704D86FD">
            <w:pPr>
              <w:spacing w:line="360" w:lineRule="auto"/>
              <w:jc w:val="center"/>
              <w:rPr>
                <w:rFonts w:ascii="宋体" w:hAnsi="宋体"/>
                <w:color w:val="auto"/>
                <w:szCs w:val="21"/>
              </w:rPr>
            </w:pPr>
            <w:r>
              <w:rPr>
                <w:rFonts w:hint="eastAsia" w:ascii="宋体" w:hAnsi="宋体"/>
                <w:color w:val="auto"/>
                <w:szCs w:val="21"/>
              </w:rPr>
              <w:t>数量</w:t>
            </w:r>
          </w:p>
        </w:tc>
        <w:tc>
          <w:tcPr>
            <w:tcW w:w="2130" w:type="dxa"/>
            <w:noWrap w:val="0"/>
            <w:vAlign w:val="top"/>
          </w:tcPr>
          <w:p w14:paraId="3EB2CEC9">
            <w:pPr>
              <w:spacing w:line="360" w:lineRule="auto"/>
              <w:jc w:val="center"/>
              <w:rPr>
                <w:rFonts w:ascii="宋体" w:hAnsi="宋体"/>
                <w:color w:val="auto"/>
                <w:szCs w:val="21"/>
              </w:rPr>
            </w:pPr>
            <w:r>
              <w:rPr>
                <w:rFonts w:hint="eastAsia" w:ascii="宋体" w:hAnsi="宋体"/>
                <w:color w:val="auto"/>
                <w:szCs w:val="21"/>
              </w:rPr>
              <w:t>面积</w:t>
            </w:r>
          </w:p>
        </w:tc>
        <w:tc>
          <w:tcPr>
            <w:tcW w:w="1860" w:type="dxa"/>
            <w:noWrap w:val="0"/>
            <w:vAlign w:val="top"/>
          </w:tcPr>
          <w:p w14:paraId="1DFB7B0A">
            <w:pPr>
              <w:spacing w:line="360" w:lineRule="auto"/>
              <w:jc w:val="center"/>
              <w:rPr>
                <w:rFonts w:ascii="宋体" w:hAnsi="宋体"/>
                <w:color w:val="auto"/>
                <w:szCs w:val="21"/>
              </w:rPr>
            </w:pPr>
            <w:r>
              <w:rPr>
                <w:rFonts w:hint="eastAsia" w:ascii="宋体" w:hAnsi="宋体"/>
                <w:color w:val="auto"/>
                <w:szCs w:val="21"/>
              </w:rPr>
              <w:t>提供时间</w:t>
            </w:r>
          </w:p>
        </w:tc>
      </w:tr>
      <w:tr w14:paraId="0009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4FCDE6E5">
            <w:pPr>
              <w:spacing w:line="360" w:lineRule="auto"/>
              <w:rPr>
                <w:rFonts w:ascii="宋体" w:hAnsi="宋体"/>
                <w:color w:val="auto"/>
                <w:szCs w:val="21"/>
              </w:rPr>
            </w:pPr>
            <w:r>
              <w:rPr>
                <w:rFonts w:ascii="宋体" w:hAnsi="宋体"/>
                <w:color w:val="auto"/>
                <w:szCs w:val="21"/>
              </w:rPr>
              <w:t xml:space="preserve">1. </w:t>
            </w:r>
            <w:r>
              <w:rPr>
                <w:rFonts w:hint="eastAsia" w:ascii="宋体" w:hAnsi="宋体"/>
                <w:color w:val="auto"/>
                <w:szCs w:val="21"/>
              </w:rPr>
              <w:t>办公用房</w:t>
            </w:r>
          </w:p>
        </w:tc>
        <w:tc>
          <w:tcPr>
            <w:tcW w:w="2130" w:type="dxa"/>
            <w:noWrap w:val="0"/>
            <w:vAlign w:val="top"/>
          </w:tcPr>
          <w:p w14:paraId="127340D0">
            <w:pPr>
              <w:spacing w:line="360" w:lineRule="auto"/>
              <w:ind w:firstLine="210" w:firstLineChars="100"/>
              <w:rPr>
                <w:rFonts w:ascii="宋体" w:hAnsi="宋体"/>
                <w:color w:val="auto"/>
                <w:szCs w:val="21"/>
              </w:rPr>
            </w:pPr>
            <w:r>
              <w:rPr>
                <w:rFonts w:ascii="宋体" w:hAnsi="宋体"/>
                <w:color w:val="auto"/>
                <w:szCs w:val="21"/>
              </w:rPr>
              <w:t xml:space="preserve"> </w:t>
            </w:r>
          </w:p>
        </w:tc>
        <w:tc>
          <w:tcPr>
            <w:tcW w:w="2130" w:type="dxa"/>
            <w:noWrap w:val="0"/>
            <w:vAlign w:val="top"/>
          </w:tcPr>
          <w:p w14:paraId="217FA8DD">
            <w:pPr>
              <w:spacing w:line="360" w:lineRule="auto"/>
              <w:ind w:firstLine="210" w:firstLineChars="100"/>
              <w:rPr>
                <w:rFonts w:ascii="宋体" w:hAnsi="宋体"/>
                <w:color w:val="auto"/>
                <w:szCs w:val="21"/>
              </w:rPr>
            </w:pPr>
            <w:r>
              <w:rPr>
                <w:rFonts w:ascii="宋体" w:hAnsi="宋体"/>
                <w:color w:val="auto"/>
                <w:szCs w:val="21"/>
              </w:rPr>
              <w:t xml:space="preserve"> </w:t>
            </w:r>
          </w:p>
        </w:tc>
        <w:tc>
          <w:tcPr>
            <w:tcW w:w="1860" w:type="dxa"/>
            <w:noWrap w:val="0"/>
            <w:vAlign w:val="top"/>
          </w:tcPr>
          <w:p w14:paraId="18BB9797">
            <w:pPr>
              <w:spacing w:line="360" w:lineRule="auto"/>
              <w:rPr>
                <w:rFonts w:ascii="宋体" w:hAnsi="宋体"/>
                <w:color w:val="auto"/>
                <w:szCs w:val="21"/>
              </w:rPr>
            </w:pPr>
          </w:p>
        </w:tc>
      </w:tr>
      <w:tr w14:paraId="2897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5D104349">
            <w:pPr>
              <w:spacing w:line="360" w:lineRule="auto"/>
              <w:rPr>
                <w:rFonts w:ascii="宋体" w:hAnsi="宋体"/>
                <w:color w:val="auto"/>
                <w:szCs w:val="21"/>
              </w:rPr>
            </w:pPr>
            <w:r>
              <w:rPr>
                <w:rFonts w:ascii="宋体" w:hAnsi="宋体"/>
                <w:color w:val="auto"/>
                <w:szCs w:val="21"/>
              </w:rPr>
              <w:t xml:space="preserve">2. </w:t>
            </w:r>
            <w:r>
              <w:rPr>
                <w:rFonts w:hint="eastAsia" w:ascii="宋体" w:hAnsi="宋体"/>
                <w:color w:val="auto"/>
                <w:szCs w:val="21"/>
              </w:rPr>
              <w:t>生活用房</w:t>
            </w:r>
          </w:p>
        </w:tc>
        <w:tc>
          <w:tcPr>
            <w:tcW w:w="2130" w:type="dxa"/>
            <w:noWrap w:val="0"/>
            <w:vAlign w:val="top"/>
          </w:tcPr>
          <w:p w14:paraId="241CE23B">
            <w:pPr>
              <w:spacing w:line="360" w:lineRule="auto"/>
              <w:rPr>
                <w:rFonts w:ascii="宋体" w:hAnsi="宋体"/>
                <w:color w:val="auto"/>
                <w:szCs w:val="21"/>
              </w:rPr>
            </w:pPr>
          </w:p>
        </w:tc>
        <w:tc>
          <w:tcPr>
            <w:tcW w:w="2130" w:type="dxa"/>
            <w:noWrap w:val="0"/>
            <w:vAlign w:val="top"/>
          </w:tcPr>
          <w:p w14:paraId="300C8114">
            <w:pPr>
              <w:spacing w:line="360" w:lineRule="auto"/>
              <w:rPr>
                <w:rFonts w:ascii="宋体" w:hAnsi="宋体"/>
                <w:color w:val="auto"/>
                <w:szCs w:val="21"/>
              </w:rPr>
            </w:pPr>
          </w:p>
        </w:tc>
        <w:tc>
          <w:tcPr>
            <w:tcW w:w="1860" w:type="dxa"/>
            <w:noWrap w:val="0"/>
            <w:vAlign w:val="top"/>
          </w:tcPr>
          <w:p w14:paraId="1C67403C">
            <w:pPr>
              <w:spacing w:line="360" w:lineRule="auto"/>
              <w:rPr>
                <w:rFonts w:ascii="宋体" w:hAnsi="宋体"/>
                <w:color w:val="auto"/>
                <w:szCs w:val="21"/>
              </w:rPr>
            </w:pPr>
          </w:p>
        </w:tc>
      </w:tr>
      <w:tr w14:paraId="2941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22A2F406">
            <w:pPr>
              <w:spacing w:line="360" w:lineRule="auto"/>
              <w:rPr>
                <w:rFonts w:ascii="宋体" w:hAnsi="宋体"/>
                <w:dstrike/>
                <w:color w:val="auto"/>
                <w:szCs w:val="21"/>
              </w:rPr>
            </w:pPr>
            <w:r>
              <w:rPr>
                <w:rFonts w:ascii="宋体" w:hAnsi="宋体"/>
                <w:color w:val="auto"/>
                <w:szCs w:val="21"/>
              </w:rPr>
              <w:t xml:space="preserve">3. </w:t>
            </w:r>
            <w:r>
              <w:rPr>
                <w:rFonts w:hint="eastAsia" w:ascii="宋体" w:hAnsi="宋体"/>
                <w:color w:val="auto"/>
                <w:szCs w:val="21"/>
              </w:rPr>
              <w:t>试验用房</w:t>
            </w:r>
          </w:p>
        </w:tc>
        <w:tc>
          <w:tcPr>
            <w:tcW w:w="2130" w:type="dxa"/>
            <w:noWrap w:val="0"/>
            <w:vAlign w:val="top"/>
          </w:tcPr>
          <w:p w14:paraId="5A447DCC">
            <w:pPr>
              <w:spacing w:line="360" w:lineRule="auto"/>
              <w:rPr>
                <w:rFonts w:ascii="宋体" w:hAnsi="宋体"/>
                <w:color w:val="auto"/>
                <w:szCs w:val="21"/>
              </w:rPr>
            </w:pPr>
          </w:p>
        </w:tc>
        <w:tc>
          <w:tcPr>
            <w:tcW w:w="2130" w:type="dxa"/>
            <w:noWrap w:val="0"/>
            <w:vAlign w:val="top"/>
          </w:tcPr>
          <w:p w14:paraId="044065CB">
            <w:pPr>
              <w:spacing w:line="360" w:lineRule="auto"/>
              <w:rPr>
                <w:rFonts w:ascii="宋体" w:hAnsi="宋体"/>
                <w:color w:val="auto"/>
                <w:szCs w:val="21"/>
              </w:rPr>
            </w:pPr>
          </w:p>
        </w:tc>
        <w:tc>
          <w:tcPr>
            <w:tcW w:w="1860" w:type="dxa"/>
            <w:noWrap w:val="0"/>
            <w:vAlign w:val="top"/>
          </w:tcPr>
          <w:p w14:paraId="22ABF438">
            <w:pPr>
              <w:spacing w:line="360" w:lineRule="auto"/>
              <w:rPr>
                <w:rFonts w:ascii="宋体" w:hAnsi="宋体"/>
                <w:color w:val="auto"/>
                <w:szCs w:val="21"/>
              </w:rPr>
            </w:pPr>
          </w:p>
        </w:tc>
      </w:tr>
      <w:tr w14:paraId="28DD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79B2160C">
            <w:pPr>
              <w:spacing w:line="360" w:lineRule="auto"/>
              <w:rPr>
                <w:rFonts w:ascii="宋体" w:hAnsi="宋体"/>
                <w:color w:val="auto"/>
                <w:szCs w:val="21"/>
              </w:rPr>
            </w:pPr>
            <w:r>
              <w:rPr>
                <w:rFonts w:ascii="宋体" w:hAnsi="宋体"/>
                <w:color w:val="auto"/>
                <w:szCs w:val="21"/>
              </w:rPr>
              <w:t xml:space="preserve">4. </w:t>
            </w:r>
            <w:r>
              <w:rPr>
                <w:rFonts w:hint="eastAsia" w:ascii="宋体" w:hAnsi="宋体"/>
                <w:color w:val="auto"/>
                <w:szCs w:val="21"/>
              </w:rPr>
              <w:t>样品用房</w:t>
            </w:r>
          </w:p>
        </w:tc>
        <w:tc>
          <w:tcPr>
            <w:tcW w:w="2130" w:type="dxa"/>
            <w:noWrap w:val="0"/>
            <w:vAlign w:val="top"/>
          </w:tcPr>
          <w:p w14:paraId="7D94D0B3">
            <w:pPr>
              <w:spacing w:line="360" w:lineRule="auto"/>
              <w:rPr>
                <w:rFonts w:ascii="宋体" w:hAnsi="宋体"/>
                <w:color w:val="auto"/>
                <w:szCs w:val="21"/>
              </w:rPr>
            </w:pPr>
          </w:p>
        </w:tc>
        <w:tc>
          <w:tcPr>
            <w:tcW w:w="2130" w:type="dxa"/>
            <w:noWrap w:val="0"/>
            <w:vAlign w:val="top"/>
          </w:tcPr>
          <w:p w14:paraId="141A8C1F">
            <w:pPr>
              <w:spacing w:line="360" w:lineRule="auto"/>
              <w:rPr>
                <w:rFonts w:ascii="宋体" w:hAnsi="宋体"/>
                <w:color w:val="auto"/>
                <w:szCs w:val="21"/>
              </w:rPr>
            </w:pPr>
          </w:p>
        </w:tc>
        <w:tc>
          <w:tcPr>
            <w:tcW w:w="1860" w:type="dxa"/>
            <w:noWrap w:val="0"/>
            <w:vAlign w:val="top"/>
          </w:tcPr>
          <w:p w14:paraId="4BADC692">
            <w:pPr>
              <w:spacing w:line="360" w:lineRule="auto"/>
              <w:rPr>
                <w:rFonts w:ascii="宋体" w:hAnsi="宋体"/>
                <w:color w:val="auto"/>
                <w:szCs w:val="21"/>
              </w:rPr>
            </w:pPr>
          </w:p>
        </w:tc>
      </w:tr>
      <w:tr w14:paraId="4A92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2EDCA6B4">
            <w:pPr>
              <w:spacing w:line="360" w:lineRule="auto"/>
              <w:rPr>
                <w:rFonts w:ascii="宋体" w:hAnsi="宋体"/>
                <w:color w:val="auto"/>
                <w:szCs w:val="21"/>
              </w:rPr>
            </w:pPr>
          </w:p>
        </w:tc>
        <w:tc>
          <w:tcPr>
            <w:tcW w:w="2130" w:type="dxa"/>
            <w:noWrap w:val="0"/>
            <w:vAlign w:val="top"/>
          </w:tcPr>
          <w:p w14:paraId="6797898B">
            <w:pPr>
              <w:spacing w:line="360" w:lineRule="auto"/>
              <w:rPr>
                <w:rFonts w:ascii="宋体" w:hAnsi="宋体"/>
                <w:color w:val="auto"/>
                <w:szCs w:val="21"/>
              </w:rPr>
            </w:pPr>
          </w:p>
        </w:tc>
        <w:tc>
          <w:tcPr>
            <w:tcW w:w="2130" w:type="dxa"/>
            <w:noWrap w:val="0"/>
            <w:vAlign w:val="top"/>
          </w:tcPr>
          <w:p w14:paraId="463E28B7">
            <w:pPr>
              <w:spacing w:line="360" w:lineRule="auto"/>
              <w:rPr>
                <w:rFonts w:ascii="宋体" w:hAnsi="宋体"/>
                <w:color w:val="auto"/>
                <w:szCs w:val="21"/>
              </w:rPr>
            </w:pPr>
          </w:p>
        </w:tc>
        <w:tc>
          <w:tcPr>
            <w:tcW w:w="1860" w:type="dxa"/>
            <w:noWrap w:val="0"/>
            <w:vAlign w:val="top"/>
          </w:tcPr>
          <w:p w14:paraId="52D220FB">
            <w:pPr>
              <w:spacing w:line="360" w:lineRule="auto"/>
              <w:rPr>
                <w:rFonts w:ascii="宋体" w:hAnsi="宋体"/>
                <w:color w:val="auto"/>
                <w:szCs w:val="21"/>
              </w:rPr>
            </w:pPr>
          </w:p>
        </w:tc>
      </w:tr>
      <w:tr w14:paraId="3C9A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093D0DBD">
            <w:pPr>
              <w:spacing w:line="360" w:lineRule="auto"/>
              <w:rPr>
                <w:rFonts w:ascii="宋体" w:hAnsi="宋体"/>
                <w:color w:val="auto"/>
                <w:szCs w:val="21"/>
              </w:rPr>
            </w:pPr>
            <w:r>
              <w:rPr>
                <w:rFonts w:hint="eastAsia" w:ascii="宋体" w:hAnsi="宋体"/>
                <w:color w:val="auto"/>
                <w:szCs w:val="21"/>
              </w:rPr>
              <w:t>用餐及其他生活条件</w:t>
            </w:r>
          </w:p>
        </w:tc>
        <w:tc>
          <w:tcPr>
            <w:tcW w:w="6120" w:type="dxa"/>
            <w:gridSpan w:val="3"/>
            <w:noWrap w:val="0"/>
            <w:vAlign w:val="top"/>
          </w:tcPr>
          <w:p w14:paraId="1CC35606">
            <w:pPr>
              <w:spacing w:line="360" w:lineRule="auto"/>
              <w:rPr>
                <w:rFonts w:ascii="宋体" w:hAnsi="宋体"/>
                <w:color w:val="auto"/>
                <w:szCs w:val="21"/>
              </w:rPr>
            </w:pPr>
          </w:p>
        </w:tc>
      </w:tr>
    </w:tbl>
    <w:p w14:paraId="25E63D2C">
      <w:pPr>
        <w:widowControl/>
        <w:jc w:val="left"/>
        <w:rPr>
          <w:rFonts w:ascii="宋体" w:hAnsi="宋体"/>
          <w:color w:val="auto"/>
          <w:szCs w:val="21"/>
        </w:rPr>
      </w:pPr>
    </w:p>
    <w:p w14:paraId="205E338C">
      <w:pPr>
        <w:widowControl/>
        <w:jc w:val="left"/>
        <w:rPr>
          <w:rFonts w:ascii="宋体" w:hAnsi="宋体"/>
          <w:bCs/>
          <w:color w:val="auto"/>
          <w:szCs w:val="21"/>
        </w:rPr>
      </w:pPr>
      <w:r>
        <w:rPr>
          <w:rFonts w:ascii="宋体" w:hAnsi="宋体"/>
          <w:bCs/>
          <w:color w:val="auto"/>
          <w:szCs w:val="21"/>
        </w:rPr>
        <w:br w:type="page"/>
      </w:r>
    </w:p>
    <w:p w14:paraId="3A2ED3D0">
      <w:pPr>
        <w:keepNext/>
        <w:keepLines/>
        <w:spacing w:before="120" w:after="120" w:line="360" w:lineRule="auto"/>
        <w:jc w:val="left"/>
        <w:outlineLvl w:val="2"/>
        <w:rPr>
          <w:rFonts w:ascii="黑体" w:hAnsi="黑体" w:eastAsia="黑体"/>
          <w:bCs/>
          <w:color w:val="auto"/>
          <w:sz w:val="24"/>
        </w:rPr>
      </w:pPr>
      <w:r>
        <w:rPr>
          <w:rFonts w:hint="eastAsia" w:ascii="黑体" w:hAnsi="黑体" w:eastAsia="黑体"/>
          <w:bCs/>
          <w:color w:val="auto"/>
          <w:sz w:val="24"/>
        </w:rPr>
        <w:t>附</w:t>
      </w:r>
      <w:bookmarkStart w:id="47" w:name="_Toc296891271"/>
      <w:bookmarkStart w:id="48" w:name="_Toc296347230"/>
      <w:bookmarkStart w:id="49" w:name="_Toc296944570"/>
      <w:bookmarkStart w:id="50" w:name="_Toc296891059"/>
      <w:bookmarkStart w:id="51" w:name="_Toc296346732"/>
      <w:bookmarkStart w:id="52" w:name="_Toc296503231"/>
      <w:r>
        <w:rPr>
          <w:rFonts w:hint="eastAsia" w:ascii="黑体" w:hAnsi="黑体" w:eastAsia="黑体"/>
          <w:bCs/>
          <w:color w:val="auto"/>
          <w:sz w:val="24"/>
        </w:rPr>
        <w:t>件C：廉政协议</w:t>
      </w:r>
    </w:p>
    <w:bookmarkEnd w:id="47"/>
    <w:bookmarkEnd w:id="48"/>
    <w:bookmarkEnd w:id="49"/>
    <w:bookmarkEnd w:id="50"/>
    <w:bookmarkEnd w:id="51"/>
    <w:bookmarkEnd w:id="52"/>
    <w:p w14:paraId="7021B189">
      <w:pPr>
        <w:widowControl/>
        <w:spacing w:line="360" w:lineRule="auto"/>
        <w:ind w:firstLine="643"/>
        <w:jc w:val="center"/>
        <w:rPr>
          <w:rFonts w:ascii="宋体" w:hAnsi="宋体"/>
          <w:b/>
          <w:bCs/>
          <w:color w:val="auto"/>
          <w:kern w:val="0"/>
          <w:sz w:val="32"/>
          <w:szCs w:val="32"/>
        </w:rPr>
      </w:pPr>
      <w:r>
        <w:rPr>
          <w:rFonts w:hint="eastAsia" w:ascii="宋体" w:hAnsi="宋体"/>
          <w:b/>
          <w:bCs/>
          <w:color w:val="auto"/>
          <w:kern w:val="0"/>
          <w:sz w:val="32"/>
          <w:szCs w:val="32"/>
        </w:rPr>
        <w:t>廉 政 协 议</w:t>
      </w:r>
    </w:p>
    <w:p w14:paraId="5CBF5BD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为促进双方诚信经营、廉洁从业，防范商业贿赂，保护国家、集体和当事人的合法权益，根据国家有关法律法规和安徽省、合肥市廉政建设的规定，</w:t>
      </w:r>
      <w:r>
        <w:rPr>
          <w:rFonts w:hint="eastAsia" w:ascii="宋体" w:hAnsi="宋体"/>
          <w:color w:val="auto"/>
          <w:kern w:val="0"/>
          <w:szCs w:val="21"/>
          <w:u w:val="single"/>
        </w:rPr>
        <w:t xml:space="preserve">                 </w:t>
      </w:r>
      <w:r>
        <w:rPr>
          <w:rFonts w:hint="eastAsia" w:ascii="宋体" w:hAnsi="宋体"/>
          <w:color w:val="auto"/>
          <w:kern w:val="0"/>
          <w:szCs w:val="21"/>
        </w:rPr>
        <w:t>(以下称甲方)与</w:t>
      </w:r>
      <w:r>
        <w:rPr>
          <w:rFonts w:hint="eastAsia" w:ascii="宋体" w:hAnsi="宋体"/>
          <w:color w:val="auto"/>
          <w:kern w:val="0"/>
          <w:szCs w:val="21"/>
          <w:u w:val="single"/>
        </w:rPr>
        <w:t xml:space="preserve">                     </w:t>
      </w:r>
      <w:r>
        <w:rPr>
          <w:rFonts w:hint="eastAsia" w:ascii="宋体" w:hAnsi="宋体"/>
          <w:color w:val="auto"/>
          <w:kern w:val="0"/>
          <w:szCs w:val="21"/>
        </w:rPr>
        <w:t>(以下称乙方)，特此订立本协议共同遵照执行。</w:t>
      </w:r>
    </w:p>
    <w:p w14:paraId="5CF69EE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第一条 甲乙双方的权利和义务</w:t>
      </w:r>
    </w:p>
    <w:p w14:paraId="08CC47D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236FB43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（二）严格执行</w:t>
      </w:r>
      <w:r>
        <w:rPr>
          <w:rFonts w:hint="eastAsia" w:ascii="宋体" w:hAnsi="宋体"/>
          <w:color w:val="auto"/>
          <w:kern w:val="0"/>
          <w:szCs w:val="21"/>
          <w:u w:val="single"/>
        </w:rPr>
        <w:t xml:space="preserve">                                </w:t>
      </w:r>
      <w:r>
        <w:rPr>
          <w:rFonts w:hint="eastAsia" w:ascii="宋体" w:hAnsi="宋体"/>
          <w:color w:val="auto"/>
          <w:kern w:val="0"/>
          <w:szCs w:val="21"/>
        </w:rPr>
        <w:t>的合同要求，自觉履行合同约定的相关义务。</w:t>
      </w:r>
    </w:p>
    <w:p w14:paraId="35631FA9">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（三）在业务活动中坚持公开、公正、诚信、透明的原则，不得损害国家、集体利益。</w:t>
      </w:r>
    </w:p>
    <w:p w14:paraId="316B409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（四）建立健全廉政制度，开展廉政教育，公布举报电话，监督并认真查处违法违纪行为。</w:t>
      </w:r>
    </w:p>
    <w:p w14:paraId="73DCFD42">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（五）发现对方在业务活动中有违反廉政规定的行为，应及时提醒对方纠正。情节严重的，应向其上级有关部门举报、建议给予处理，并有权要求告知处理结果。</w:t>
      </w:r>
    </w:p>
    <w:p w14:paraId="11022336">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第二条 甲方的义务</w:t>
      </w:r>
    </w:p>
    <w:p w14:paraId="2EC2B4B2">
      <w:pPr>
        <w:widowControl/>
        <w:spacing w:line="360" w:lineRule="auto"/>
        <w:ind w:firstLine="525" w:firstLineChars="250"/>
        <w:jc w:val="left"/>
        <w:rPr>
          <w:rFonts w:ascii="宋体" w:hAnsi="宋体"/>
          <w:color w:val="auto"/>
          <w:kern w:val="0"/>
          <w:szCs w:val="21"/>
        </w:rPr>
      </w:pPr>
      <w:r>
        <w:rPr>
          <w:rFonts w:hint="eastAsia" w:ascii="宋体" w:hAnsi="宋体"/>
          <w:color w:val="auto"/>
          <w:kern w:val="0"/>
          <w:szCs w:val="21"/>
        </w:rPr>
        <w:t>(一)甲方及其工作人员不得索要或接受乙方的礼金、有价证券和贵重物品，不得在乙方报销任何应由甲方单位或个人支付的费用等。</w:t>
      </w:r>
    </w:p>
    <w:p w14:paraId="77AD201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ACD6633">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（三） 甲方及其工作人员不得要求或者接受乙方为其住房装修、婚丧嫁娶活动、配偶子女工作安排以及出国出境、旅游等提供方便等。</w:t>
      </w:r>
    </w:p>
    <w:p w14:paraId="23984F8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（四） 甲方工作人员不得在乙方有股权关联的企业兼职，不得向乙方介绍家属或者亲友从事与甲方业务有关的经济活动。</w:t>
      </w:r>
    </w:p>
    <w:p w14:paraId="2D983DA5">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（五）甲方工作人员不得以明显低于市场的价格向乙方购买房屋、汽车等物品；不得以明显高于市场的价格向乙方出售房屋、汽车等物品；不得以其他交易形式非法收受请托人财物。</w:t>
      </w:r>
    </w:p>
    <w:p w14:paraId="1D5794E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（六）甲方工作人员不得利用职务之便收受乙方以回扣、手续费、加班费、咨询费、劳务费、协调费、辛苦费等各种名义给予或赠送的钱物。</w:t>
      </w:r>
    </w:p>
    <w:p w14:paraId="29983DF3">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（七）甲方工作人员不得接受乙方给予或赠送的干股或红利。</w:t>
      </w:r>
    </w:p>
    <w:p w14:paraId="6245E8E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（八）甲方任何人不得以个人的名义向乙方推荐设备、部件等供货商以及其它合作单位。</w:t>
      </w:r>
    </w:p>
    <w:p w14:paraId="107C68A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第三条 乙方的义务</w:t>
      </w:r>
    </w:p>
    <w:p w14:paraId="550DF2E0">
      <w:pPr>
        <w:widowControl/>
        <w:spacing w:line="360" w:lineRule="auto"/>
        <w:ind w:firstLine="525" w:firstLineChars="250"/>
        <w:jc w:val="left"/>
        <w:rPr>
          <w:rFonts w:ascii="宋体" w:hAnsi="宋体"/>
          <w:color w:val="auto"/>
          <w:kern w:val="0"/>
          <w:szCs w:val="21"/>
        </w:rPr>
      </w:pPr>
      <w:r>
        <w:rPr>
          <w:rFonts w:hint="eastAsia" w:ascii="宋体" w:hAnsi="宋体"/>
          <w:color w:val="auto"/>
          <w:kern w:val="0"/>
          <w:szCs w:val="21"/>
        </w:rPr>
        <w:t>(一)乙方不得以任何理由向甲方及其工作人员行贿或馈赠礼金、有价证券、贵重礼品。</w:t>
      </w:r>
    </w:p>
    <w:p w14:paraId="5CA1EFE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（二)乙方不得以任何名义为甲方及其工作人员报销应由甲方单位或个人支付的任何费用。</w:t>
      </w:r>
    </w:p>
    <w:p w14:paraId="031AA75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(三)乙方不得以任何理由安排甲方工作人员参加可能影响相关业务公开、公正、公平性的宴请及娱乐活动。</w:t>
      </w:r>
    </w:p>
    <w:p w14:paraId="690E1D12">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（四）乙方不得为甲方单位和个人购置或提供通讯工具和高档办公用品等物品，也不得为甲方提供与工作无关的房屋、汽车等。</w:t>
      </w:r>
    </w:p>
    <w:p w14:paraId="056ADBE9">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（五）乙方不得与甲方工作人员就合同中的质量、数量、价格、工程量、验收等条款进行私下商谈或者达成默契。</w:t>
      </w:r>
    </w:p>
    <w:p w14:paraId="772D096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（六）乙方不得以回扣、手续费、加班费、咨询费、劳务费、协调费、辛苦费等各种名义向甲方工作人员给予或赠送钱物。</w:t>
      </w:r>
    </w:p>
    <w:p w14:paraId="44700CA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（七）乙方不得向甲方工作人员提供干股或红利。</w:t>
      </w:r>
    </w:p>
    <w:p w14:paraId="31DAC192">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（八）乙方须按</w:t>
      </w:r>
      <w:r>
        <w:rPr>
          <w:rFonts w:hint="eastAsia" w:ascii="宋体" w:hAnsi="宋体"/>
          <w:color w:val="auto"/>
          <w:kern w:val="0"/>
          <w:szCs w:val="21"/>
          <w:u w:val="single"/>
        </w:rPr>
        <w:t xml:space="preserve">         </w:t>
      </w:r>
      <w:r>
        <w:rPr>
          <w:rFonts w:hint="eastAsia" w:ascii="宋体" w:hAnsi="宋体"/>
          <w:color w:val="auto"/>
          <w:kern w:val="0"/>
          <w:szCs w:val="21"/>
        </w:rPr>
        <w:t>专项纪检监察工作组(如有)要求开展相关工作。</w:t>
      </w:r>
    </w:p>
    <w:p w14:paraId="49DDEA8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第四条 违约责任</w:t>
      </w:r>
    </w:p>
    <w:p w14:paraId="171A6DFD">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5ABA7AB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甲方投诉联系部门：</w:t>
      </w:r>
      <w:r>
        <w:rPr>
          <w:rFonts w:hint="eastAsia" w:ascii="宋体" w:hAnsi="宋体"/>
          <w:color w:val="auto"/>
          <w:kern w:val="0"/>
          <w:szCs w:val="21"/>
          <w:u w:val="single"/>
        </w:rPr>
        <w:t xml:space="preserve">           </w:t>
      </w:r>
      <w:r>
        <w:rPr>
          <w:rFonts w:hint="eastAsia" w:ascii="宋体" w:hAnsi="宋体"/>
          <w:color w:val="auto"/>
          <w:kern w:val="0"/>
          <w:szCs w:val="21"/>
        </w:rPr>
        <w:t>，联系电话：</w:t>
      </w:r>
      <w:r>
        <w:rPr>
          <w:rFonts w:hint="eastAsia" w:ascii="宋体" w:hAnsi="宋体"/>
          <w:color w:val="auto"/>
          <w:kern w:val="0"/>
          <w:szCs w:val="21"/>
          <w:u w:val="single"/>
        </w:rPr>
        <w:t xml:space="preserve">           </w:t>
      </w:r>
      <w:r>
        <w:rPr>
          <w:rFonts w:hint="eastAsia" w:ascii="宋体" w:hAnsi="宋体"/>
          <w:color w:val="auto"/>
          <w:kern w:val="0"/>
          <w:szCs w:val="21"/>
        </w:rPr>
        <w:t>。</w:t>
      </w:r>
    </w:p>
    <w:p w14:paraId="4BF23F7B">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（二）乙方及其工作人员违反本协议第一、三条规定。根据具体情节和造成的后果，甲方有权对乙方采取以下一种或多种处理办法：</w:t>
      </w:r>
    </w:p>
    <w:p w14:paraId="094CF23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1.全额收取乙方合同履约保证金不予退还； </w:t>
      </w:r>
    </w:p>
    <w:p w14:paraId="0E192CB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2.追究乙方其他违约责任；</w:t>
      </w:r>
    </w:p>
    <w:p w14:paraId="51DC74C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3.终止或解除双方已签订的包括本合同在内的所有合同；</w:t>
      </w:r>
    </w:p>
    <w:p w14:paraId="61B23D49">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4.乙方一定期限内（6个月至3年，具体由甲方根据情况而定）不得参与甲方作为发包人（业主）的工程项目投标。</w:t>
      </w:r>
    </w:p>
    <w:p w14:paraId="001D589D">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甲方作出的处理意见，乙方应无条件接受并承担给甲方造成的损失，全额返还通过不正当手段从甲方获取的非法所得，并承担相应的法律责任。</w:t>
      </w:r>
    </w:p>
    <w:p w14:paraId="231FACAA">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第五条 双方约定</w:t>
      </w:r>
    </w:p>
    <w:p w14:paraId="2FF3A481">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40A423BA">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第六条  本协议有效期为甲乙双方签署之日起至合同终止。  </w:t>
      </w:r>
    </w:p>
    <w:p w14:paraId="2E153F2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第七条  本协议作为合同的附件，与本合同具有同等法律效力。</w:t>
      </w:r>
    </w:p>
    <w:p w14:paraId="47013A0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 </w:t>
      </w:r>
    </w:p>
    <w:p w14:paraId="56F24455">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甲方（盖章）： </w:t>
      </w:r>
      <w:r>
        <w:rPr>
          <w:rFonts w:hint="eastAsia" w:ascii="宋体" w:hAnsi="宋体"/>
          <w:color w:val="auto"/>
          <w:kern w:val="0"/>
          <w:szCs w:val="21"/>
          <w:u w:val="single"/>
        </w:rPr>
        <w:t xml:space="preserve">                      </w:t>
      </w:r>
      <w:r>
        <w:rPr>
          <w:rFonts w:hint="eastAsia" w:ascii="宋体" w:hAnsi="宋体"/>
          <w:color w:val="auto"/>
          <w:kern w:val="0"/>
          <w:szCs w:val="21"/>
        </w:rPr>
        <w:t xml:space="preserve">       乙方（盖章）：</w:t>
      </w:r>
      <w:r>
        <w:rPr>
          <w:rFonts w:hint="eastAsia" w:ascii="宋体" w:hAnsi="宋体"/>
          <w:color w:val="auto"/>
          <w:kern w:val="0"/>
          <w:szCs w:val="21"/>
          <w:u w:val="single"/>
        </w:rPr>
        <w:t xml:space="preserve">                      </w:t>
      </w:r>
    </w:p>
    <w:p w14:paraId="5170737A">
      <w:pPr>
        <w:widowControl/>
        <w:spacing w:line="360" w:lineRule="auto"/>
        <w:ind w:firstLine="420" w:firstLineChars="200"/>
        <w:jc w:val="left"/>
        <w:rPr>
          <w:rFonts w:ascii="宋体" w:hAnsi="宋体"/>
          <w:color w:val="auto"/>
          <w:kern w:val="0"/>
          <w:szCs w:val="21"/>
        </w:rPr>
      </w:pPr>
    </w:p>
    <w:p w14:paraId="6F59587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法定代表人或                                法定代表人或</w:t>
      </w:r>
    </w:p>
    <w:p w14:paraId="484BE08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授权代表：</w:t>
      </w:r>
      <w:r>
        <w:rPr>
          <w:rFonts w:hint="eastAsia" w:ascii="宋体" w:hAnsi="宋体"/>
          <w:color w:val="auto"/>
          <w:kern w:val="0"/>
          <w:szCs w:val="21"/>
          <w:u w:val="single"/>
        </w:rPr>
        <w:t xml:space="preserve">              </w:t>
      </w:r>
      <w:r>
        <w:rPr>
          <w:rFonts w:hint="eastAsia" w:ascii="宋体" w:hAnsi="宋体"/>
          <w:color w:val="auto"/>
          <w:kern w:val="0"/>
          <w:szCs w:val="21"/>
        </w:rPr>
        <w:t>(职务)              授权代表：</w:t>
      </w:r>
      <w:r>
        <w:rPr>
          <w:rFonts w:hint="eastAsia" w:ascii="宋体" w:hAnsi="宋体"/>
          <w:color w:val="auto"/>
          <w:kern w:val="0"/>
          <w:szCs w:val="21"/>
          <w:u w:val="single"/>
        </w:rPr>
        <w:t xml:space="preserve">             </w:t>
      </w:r>
      <w:r>
        <w:rPr>
          <w:rFonts w:hint="eastAsia" w:ascii="宋体" w:hAnsi="宋体"/>
          <w:color w:val="auto"/>
          <w:kern w:val="0"/>
          <w:szCs w:val="21"/>
        </w:rPr>
        <w:t>(职务)</w:t>
      </w:r>
    </w:p>
    <w:p w14:paraId="3A4D7E8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姓名：</w:t>
      </w:r>
      <w:r>
        <w:rPr>
          <w:rFonts w:hint="eastAsia" w:ascii="宋体" w:hAnsi="宋体"/>
          <w:color w:val="auto"/>
          <w:kern w:val="0"/>
          <w:szCs w:val="21"/>
          <w:u w:val="single"/>
        </w:rPr>
        <w:t xml:space="preserve">             </w:t>
      </w:r>
      <w:r>
        <w:rPr>
          <w:rFonts w:hint="eastAsia" w:ascii="宋体" w:hAnsi="宋体"/>
          <w:color w:val="auto"/>
          <w:kern w:val="0"/>
          <w:szCs w:val="21"/>
        </w:rPr>
        <w:t xml:space="preserve">                         姓名：</w:t>
      </w:r>
      <w:r>
        <w:rPr>
          <w:rFonts w:hint="eastAsia" w:ascii="宋体" w:hAnsi="宋体"/>
          <w:color w:val="auto"/>
          <w:kern w:val="0"/>
          <w:szCs w:val="21"/>
          <w:u w:val="single"/>
        </w:rPr>
        <w:t xml:space="preserve">             </w:t>
      </w:r>
    </w:p>
    <w:p w14:paraId="4586022E">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签字：</w:t>
      </w:r>
      <w:r>
        <w:rPr>
          <w:rFonts w:hint="eastAsia" w:ascii="宋体" w:hAnsi="宋体"/>
          <w:color w:val="auto"/>
          <w:kern w:val="0"/>
          <w:szCs w:val="21"/>
          <w:u w:val="single"/>
        </w:rPr>
        <w:t xml:space="preserve">             </w:t>
      </w:r>
      <w:r>
        <w:rPr>
          <w:rFonts w:hint="eastAsia" w:ascii="宋体" w:hAnsi="宋体"/>
          <w:color w:val="auto"/>
          <w:kern w:val="0"/>
          <w:szCs w:val="21"/>
        </w:rPr>
        <w:t xml:space="preserve">                         签字：</w:t>
      </w:r>
      <w:r>
        <w:rPr>
          <w:rFonts w:hint="eastAsia" w:ascii="宋体" w:hAnsi="宋体"/>
          <w:color w:val="auto"/>
          <w:kern w:val="0"/>
          <w:szCs w:val="21"/>
          <w:u w:val="single"/>
        </w:rPr>
        <w:t xml:space="preserve">             </w:t>
      </w:r>
    </w:p>
    <w:p w14:paraId="5C7D723A">
      <w:pPr>
        <w:widowControl/>
        <w:spacing w:line="360" w:lineRule="auto"/>
        <w:ind w:firstLine="420" w:firstLineChars="200"/>
        <w:jc w:val="left"/>
        <w:rPr>
          <w:rFonts w:ascii="宋体" w:hAnsi="宋体"/>
          <w:color w:val="auto"/>
          <w:kern w:val="0"/>
          <w:szCs w:val="21"/>
        </w:rPr>
      </w:pPr>
    </w:p>
    <w:p w14:paraId="3236DD5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廉政监督联系人                              廉政监督联系人</w:t>
      </w:r>
    </w:p>
    <w:p w14:paraId="00A4760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姓名：</w:t>
      </w:r>
      <w:r>
        <w:rPr>
          <w:rFonts w:hint="eastAsia" w:ascii="宋体" w:hAnsi="宋体"/>
          <w:color w:val="auto"/>
          <w:kern w:val="0"/>
          <w:szCs w:val="21"/>
          <w:u w:val="single"/>
        </w:rPr>
        <w:t xml:space="preserve">                       </w:t>
      </w:r>
      <w:r>
        <w:rPr>
          <w:rFonts w:hint="eastAsia" w:ascii="宋体" w:hAnsi="宋体"/>
          <w:color w:val="auto"/>
          <w:kern w:val="0"/>
          <w:szCs w:val="21"/>
        </w:rPr>
        <w:t xml:space="preserve">               姓名：</w:t>
      </w:r>
      <w:r>
        <w:rPr>
          <w:rFonts w:hint="eastAsia" w:ascii="宋体" w:hAnsi="宋体"/>
          <w:color w:val="auto"/>
          <w:kern w:val="0"/>
          <w:szCs w:val="21"/>
          <w:u w:val="single"/>
        </w:rPr>
        <w:t xml:space="preserve">                       </w:t>
      </w:r>
    </w:p>
    <w:p w14:paraId="4E1A0783">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签字：</w:t>
      </w:r>
      <w:r>
        <w:rPr>
          <w:rFonts w:hint="eastAsia" w:ascii="宋体" w:hAnsi="宋体"/>
          <w:color w:val="auto"/>
          <w:kern w:val="0"/>
          <w:szCs w:val="21"/>
          <w:u w:val="single"/>
        </w:rPr>
        <w:t xml:space="preserve">                       </w:t>
      </w:r>
      <w:r>
        <w:rPr>
          <w:rFonts w:hint="eastAsia" w:ascii="宋体" w:hAnsi="宋体"/>
          <w:color w:val="auto"/>
          <w:kern w:val="0"/>
          <w:szCs w:val="21"/>
        </w:rPr>
        <w:t xml:space="preserve">               签字：</w:t>
      </w:r>
      <w:r>
        <w:rPr>
          <w:rFonts w:hint="eastAsia" w:ascii="宋体" w:hAnsi="宋体"/>
          <w:color w:val="auto"/>
          <w:kern w:val="0"/>
          <w:szCs w:val="21"/>
          <w:u w:val="single"/>
        </w:rPr>
        <w:t xml:space="preserve">                       </w:t>
      </w:r>
    </w:p>
    <w:p w14:paraId="07B2A26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电话：</w:t>
      </w:r>
      <w:r>
        <w:rPr>
          <w:rFonts w:hint="eastAsia" w:ascii="宋体" w:hAnsi="宋体"/>
          <w:color w:val="auto"/>
          <w:kern w:val="0"/>
          <w:szCs w:val="21"/>
          <w:u w:val="single"/>
        </w:rPr>
        <w:t xml:space="preserve">                       </w:t>
      </w:r>
      <w:r>
        <w:rPr>
          <w:rFonts w:hint="eastAsia" w:ascii="宋体" w:hAnsi="宋体"/>
          <w:color w:val="auto"/>
          <w:kern w:val="0"/>
          <w:szCs w:val="21"/>
        </w:rPr>
        <w:t xml:space="preserve">               电话：</w:t>
      </w:r>
      <w:r>
        <w:rPr>
          <w:rFonts w:hint="eastAsia" w:ascii="宋体" w:hAnsi="宋体"/>
          <w:color w:val="auto"/>
          <w:kern w:val="0"/>
          <w:szCs w:val="21"/>
          <w:u w:val="single"/>
        </w:rPr>
        <w:t xml:space="preserve">                       </w:t>
      </w:r>
    </w:p>
    <w:p w14:paraId="0935F49B">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地址：</w:t>
      </w:r>
      <w:r>
        <w:rPr>
          <w:rFonts w:hint="eastAsia" w:ascii="宋体" w:hAnsi="宋体"/>
          <w:color w:val="auto"/>
          <w:kern w:val="0"/>
          <w:szCs w:val="21"/>
          <w:u w:val="single"/>
        </w:rPr>
        <w:t xml:space="preserve">                       </w:t>
      </w:r>
      <w:r>
        <w:rPr>
          <w:rFonts w:hint="eastAsia" w:ascii="宋体" w:hAnsi="宋体"/>
          <w:color w:val="auto"/>
          <w:kern w:val="0"/>
          <w:szCs w:val="21"/>
        </w:rPr>
        <w:t xml:space="preserve">               地址：</w:t>
      </w:r>
      <w:r>
        <w:rPr>
          <w:rFonts w:hint="eastAsia" w:ascii="宋体" w:hAnsi="宋体"/>
          <w:color w:val="auto"/>
          <w:kern w:val="0"/>
          <w:szCs w:val="21"/>
          <w:u w:val="single"/>
        </w:rPr>
        <w:t xml:space="preserve">                       </w:t>
      </w:r>
    </w:p>
    <w:p w14:paraId="6BC347BB">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日期：</w:t>
      </w:r>
      <w:r>
        <w:rPr>
          <w:rFonts w:hint="eastAsia" w:ascii="宋体" w:hAnsi="宋体"/>
          <w:color w:val="auto"/>
          <w:kern w:val="0"/>
          <w:szCs w:val="21"/>
          <w:u w:val="single"/>
        </w:rPr>
        <w:t xml:space="preserve">                       </w:t>
      </w:r>
      <w:r>
        <w:rPr>
          <w:rFonts w:hint="eastAsia" w:ascii="宋体" w:hAnsi="宋体"/>
          <w:color w:val="auto"/>
          <w:kern w:val="0"/>
          <w:szCs w:val="21"/>
        </w:rPr>
        <w:t xml:space="preserve">               日期：</w:t>
      </w:r>
      <w:r>
        <w:rPr>
          <w:rFonts w:hint="eastAsia" w:ascii="宋体" w:hAnsi="宋体"/>
          <w:color w:val="auto"/>
          <w:kern w:val="0"/>
          <w:szCs w:val="21"/>
          <w:u w:val="single"/>
        </w:rPr>
        <w:t xml:space="preserve">                       </w:t>
      </w:r>
    </w:p>
    <w:p w14:paraId="5210FD82">
      <w:pPr>
        <w:widowControl/>
        <w:jc w:val="left"/>
        <w:rPr>
          <w:rFonts w:ascii="Times New Roman" w:hAnsi="Times New Roman" w:eastAsia="黑体"/>
          <w:color w:val="auto"/>
          <w:sz w:val="28"/>
          <w:szCs w:val="20"/>
        </w:rPr>
      </w:pPr>
    </w:p>
    <w:p w14:paraId="461CEB1D">
      <w:pPr>
        <w:widowControl/>
        <w:jc w:val="left"/>
        <w:rPr>
          <w:rFonts w:ascii="黑体" w:hAnsi="黑体" w:eastAsia="黑体"/>
          <w:bCs/>
          <w:color w:val="auto"/>
          <w:sz w:val="24"/>
        </w:rPr>
      </w:pPr>
      <w:r>
        <w:rPr>
          <w:rFonts w:ascii="黑体" w:hAnsi="黑体" w:eastAsia="黑体"/>
          <w:bCs/>
          <w:color w:val="auto"/>
          <w:sz w:val="24"/>
        </w:rPr>
        <w:br w:type="page"/>
      </w:r>
    </w:p>
    <w:p w14:paraId="4EF33AEA">
      <w:pPr>
        <w:keepNext/>
        <w:keepLines/>
        <w:spacing w:before="120" w:after="120" w:line="360" w:lineRule="auto"/>
        <w:jc w:val="left"/>
        <w:outlineLvl w:val="2"/>
        <w:rPr>
          <w:rFonts w:ascii="黑体" w:hAnsi="黑体"/>
          <w:bCs/>
          <w:color w:val="auto"/>
          <w:sz w:val="24"/>
        </w:rPr>
      </w:pPr>
      <w:r>
        <w:rPr>
          <w:rFonts w:hint="eastAsia" w:ascii="黑体" w:hAnsi="黑体" w:eastAsia="黑体"/>
          <w:bCs/>
          <w:color w:val="auto"/>
          <w:sz w:val="24"/>
        </w:rPr>
        <w:t>附件D：履约保证金格式</w:t>
      </w:r>
      <w:bookmarkEnd w:id="42"/>
    </w:p>
    <w:bookmarkEnd w:id="43"/>
    <w:bookmarkEnd w:id="44"/>
    <w:bookmarkEnd w:id="45"/>
    <w:bookmarkEnd w:id="46"/>
    <w:p w14:paraId="10AD3B4C">
      <w:pPr>
        <w:spacing w:before="120" w:beforeLines="50" w:after="120" w:afterLines="50" w:line="360" w:lineRule="auto"/>
        <w:jc w:val="center"/>
        <w:rPr>
          <w:rFonts w:hint="eastAsia" w:ascii="宋体" w:hAnsi="宋体" w:cs="宋体"/>
          <w:b/>
          <w:color w:val="auto"/>
          <w:szCs w:val="21"/>
        </w:rPr>
      </w:pPr>
      <w:r>
        <w:rPr>
          <w:rFonts w:hint="eastAsia" w:ascii="宋体" w:hAnsi="宋体" w:cs="宋体"/>
          <w:b/>
          <w:color w:val="auto"/>
          <w:szCs w:val="21"/>
        </w:rPr>
        <w:t>履约保证金</w:t>
      </w:r>
    </w:p>
    <w:p w14:paraId="720E1DB7">
      <w:pPr>
        <w:spacing w:line="360" w:lineRule="auto"/>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（受益人名称）： </w:t>
      </w:r>
    </w:p>
    <w:p w14:paraId="72DA7A9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鉴于</w:t>
      </w:r>
      <w:r>
        <w:rPr>
          <w:rFonts w:hint="eastAsia" w:ascii="宋体" w:hAnsi="宋体" w:cs="宋体"/>
          <w:color w:val="auto"/>
          <w:szCs w:val="21"/>
          <w:u w:val="single"/>
        </w:rPr>
        <w:t xml:space="preserve">        </w:t>
      </w:r>
      <w:r>
        <w:rPr>
          <w:rFonts w:hint="eastAsia" w:ascii="宋体" w:hAnsi="宋体" w:cs="宋体"/>
          <w:color w:val="auto"/>
          <w:szCs w:val="21"/>
        </w:rPr>
        <w:t>（以下简称“受益人”）与</w:t>
      </w:r>
      <w:r>
        <w:rPr>
          <w:rFonts w:hint="eastAsia" w:ascii="宋体" w:hAnsi="宋体" w:cs="宋体"/>
          <w:color w:val="auto"/>
          <w:szCs w:val="21"/>
          <w:u w:val="single"/>
        </w:rPr>
        <w:t xml:space="preserve">         </w:t>
      </w:r>
      <w:r>
        <w:rPr>
          <w:rFonts w:hint="eastAsia" w:ascii="宋体" w:hAnsi="宋体" w:cs="宋体"/>
          <w:color w:val="auto"/>
          <w:szCs w:val="21"/>
        </w:rPr>
        <w:t>（以下简称“申请人”）于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日就</w:t>
      </w:r>
      <w:r>
        <w:rPr>
          <w:rFonts w:hint="eastAsia" w:ascii="宋体" w:hAnsi="宋体" w:cs="宋体"/>
          <w:snapToGrid w:val="0"/>
          <w:color w:val="auto"/>
          <w:kern w:val="0"/>
          <w:szCs w:val="21"/>
          <w:u w:val="single"/>
        </w:rPr>
        <w:t xml:space="preserve">        </w:t>
      </w:r>
      <w:r>
        <w:rPr>
          <w:rFonts w:hint="eastAsia" w:ascii="宋体" w:hAnsi="宋体" w:cs="宋体"/>
          <w:snapToGrid w:val="0"/>
          <w:color w:val="auto"/>
          <w:kern w:val="0"/>
          <w:szCs w:val="21"/>
        </w:rPr>
        <w:t>（标段编号）的</w:t>
      </w:r>
      <w:r>
        <w:rPr>
          <w:rFonts w:hint="eastAsia" w:ascii="宋体" w:hAnsi="宋体" w:cs="宋体"/>
          <w:snapToGrid w:val="0"/>
          <w:color w:val="auto"/>
          <w:kern w:val="0"/>
          <w:szCs w:val="21"/>
          <w:u w:val="single"/>
        </w:rPr>
        <w:t xml:space="preserve">         </w:t>
      </w:r>
      <w:r>
        <w:rPr>
          <w:rFonts w:hint="eastAsia" w:ascii="宋体" w:hAnsi="宋体" w:cs="宋体"/>
          <w:snapToGrid w:val="0"/>
          <w:color w:val="auto"/>
          <w:kern w:val="0"/>
          <w:szCs w:val="21"/>
        </w:rPr>
        <w:t>（标段名称）</w:t>
      </w:r>
      <w:r>
        <w:rPr>
          <w:rFonts w:hint="eastAsia" w:ascii="宋体" w:hAnsi="宋体" w:cs="宋体"/>
          <w:color w:val="auto"/>
          <w:szCs w:val="21"/>
        </w:rPr>
        <w:t>有关事项协商一致共同签订</w:t>
      </w:r>
      <w:r>
        <w:rPr>
          <w:rFonts w:hint="eastAsia" w:ascii="宋体" w:hAnsi="宋体" w:cs="宋体"/>
          <w:color w:val="auto"/>
          <w:szCs w:val="21"/>
          <w:u w:val="single"/>
        </w:rPr>
        <w:t>《        》</w:t>
      </w:r>
      <w:r>
        <w:rPr>
          <w:rFonts w:hint="eastAsia" w:ascii="宋体" w:hAnsi="宋体" w:cs="宋体"/>
          <w:color w:val="auto"/>
          <w:szCs w:val="21"/>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09985D5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一、本保函担保范围：承包人未按照基础合同的约定履行义务，应当向受益人承担的违约责任和赔偿因此造成的损失、利息、律师费、诉讼费用等实现债权的费用。</w:t>
      </w:r>
    </w:p>
    <w:p w14:paraId="26A841CC">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二、本保函担保金额最高不超过人民币（大写）</w:t>
      </w:r>
      <w:r>
        <w:rPr>
          <w:rFonts w:hint="eastAsia" w:ascii="宋体" w:hAnsi="宋体" w:cs="宋体"/>
          <w:color w:val="auto"/>
          <w:szCs w:val="21"/>
          <w:u w:val="single"/>
        </w:rPr>
        <w:t xml:space="preserve">          </w:t>
      </w:r>
      <w:r>
        <w:rPr>
          <w:rFonts w:hint="eastAsia" w:ascii="宋体" w:hAnsi="宋体" w:cs="宋体"/>
          <w:color w:val="auto"/>
          <w:szCs w:val="21"/>
        </w:rPr>
        <w:t>元（¥</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069CEB0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三、本保函有效期自开立之日起至基础合同约定的缺陷责任期满之日止。 </w:t>
      </w:r>
    </w:p>
    <w:p w14:paraId="536FC45C">
      <w:pPr>
        <w:spacing w:line="360" w:lineRule="auto"/>
        <w:ind w:firstLine="420" w:firstLineChars="200"/>
        <w:rPr>
          <w:rFonts w:hint="eastAsia" w:ascii="宋体" w:hAnsi="宋体" w:cs="宋体"/>
          <w:color w:val="auto"/>
          <w:szCs w:val="21"/>
        </w:rPr>
      </w:pPr>
      <w:bookmarkStart w:id="53" w:name="_Hlk40302764"/>
      <w:r>
        <w:rPr>
          <w:rFonts w:hint="eastAsia" w:ascii="宋体" w:hAnsi="宋体" w:cs="宋体"/>
          <w:color w:val="auto"/>
          <w:szCs w:val="21"/>
        </w:rPr>
        <w:t>四、开立人承诺，在收到受益人发来的书面付款通知后的七日内无条件支付，前述书面付款通知即为付款要求之单据，且应满足以下要求：</w:t>
      </w:r>
    </w:p>
    <w:bookmarkEnd w:id="53"/>
    <w:p w14:paraId="2B33323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（1）付款通知到达的日期在本保函的有效期内；</w:t>
      </w:r>
    </w:p>
    <w:p w14:paraId="462242D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（2）载明要求支付的金额；</w:t>
      </w:r>
    </w:p>
    <w:p w14:paraId="21841B6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（3）载明申请人违反合同义务的条款和内容；</w:t>
      </w:r>
    </w:p>
    <w:p w14:paraId="451629B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（4）声明不存在合同文件约定或我国法律规定免除申请人或开立人支付责任的情形；</w:t>
      </w:r>
    </w:p>
    <w:p w14:paraId="2DA5A48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（5）付款通知应在本保函有效期内到达的地址是：</w:t>
      </w:r>
      <w:r>
        <w:rPr>
          <w:rFonts w:hint="eastAsia" w:ascii="宋体" w:hAnsi="宋体" w:cs="宋体"/>
          <w:color w:val="auto"/>
          <w:szCs w:val="21"/>
          <w:u w:val="single"/>
        </w:rPr>
        <w:t xml:space="preserve">             </w:t>
      </w:r>
      <w:r>
        <w:rPr>
          <w:rFonts w:hint="eastAsia" w:ascii="宋体" w:hAnsi="宋体" w:cs="宋体"/>
          <w:color w:val="auto"/>
          <w:szCs w:val="21"/>
        </w:rPr>
        <w:t>。</w:t>
      </w:r>
    </w:p>
    <w:p w14:paraId="79A02E7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    </w:t>
      </w:r>
      <w:bookmarkStart w:id="54" w:name="_Hlk40303486"/>
      <w:r>
        <w:rPr>
          <w:rFonts w:hint="eastAsia" w:ascii="宋体" w:hAnsi="宋体" w:cs="宋体"/>
          <w:color w:val="auto"/>
          <w:szCs w:val="21"/>
        </w:rPr>
        <w:t>受益人发出的书面付款通知应由其法定代表人（负责人）或授权代理人签字并加盖公章。</w:t>
      </w:r>
      <w:bookmarkEnd w:id="54"/>
    </w:p>
    <w:p w14:paraId="72CFC5E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五、本保函项下的权利不得转让，不得设定担保。受益人未经我方书面同意转 让本保函或其项下任何权利，对我方不发生法律效力。 </w:t>
      </w:r>
    </w:p>
    <w:p w14:paraId="73CED90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六、与本保函有关的基础合同不成立、不生效、无效、被撤销、被解除，不影响本保函的独立有效。 </w:t>
      </w:r>
    </w:p>
    <w:p w14:paraId="107EFE26">
      <w:pPr>
        <w:spacing w:line="360" w:lineRule="auto"/>
        <w:ind w:firstLine="420" w:firstLineChars="200"/>
        <w:rPr>
          <w:rFonts w:hint="eastAsia" w:ascii="宋体" w:hAnsi="宋体" w:cs="宋体"/>
          <w:color w:val="auto"/>
          <w:szCs w:val="21"/>
        </w:rPr>
      </w:pPr>
      <w:bookmarkStart w:id="55" w:name="_Hlk40303383"/>
      <w:bookmarkStart w:id="56" w:name="_Hlk40354981"/>
      <w:r>
        <w:rPr>
          <w:rFonts w:hint="eastAsia" w:ascii="宋体" w:hAnsi="宋体" w:cs="宋体"/>
          <w:color w:val="auto"/>
          <w:szCs w:val="21"/>
        </w:rPr>
        <w:t xml:space="preserve">七、本保函项下的义务和责任均在保函有效期到期后自动消灭。 </w:t>
      </w:r>
    </w:p>
    <w:p w14:paraId="7BD1C45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八、本保函适用的法律为中华人民共和国法律，因本保函产生的纠纷案件，</w:t>
      </w:r>
      <w:bookmarkEnd w:id="55"/>
      <w:r>
        <w:rPr>
          <w:rFonts w:hint="eastAsia" w:ascii="宋体" w:hAnsi="宋体" w:cs="宋体"/>
          <w:color w:val="auto"/>
          <w:szCs w:val="21"/>
        </w:rPr>
        <w:t xml:space="preserve">由受益人所在地人民法院管辖。 </w:t>
      </w:r>
    </w:p>
    <w:bookmarkEnd w:id="56"/>
    <w:p w14:paraId="315608E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九、本保函自我方法定代表人或授权代表签字并加盖公章之日起生效。 </w:t>
      </w:r>
    </w:p>
    <w:p w14:paraId="31DCEE92">
      <w:pPr>
        <w:spacing w:line="360" w:lineRule="auto"/>
        <w:ind w:firstLine="420" w:firstLineChars="200"/>
        <w:rPr>
          <w:rFonts w:hint="eastAsia" w:ascii="宋体" w:hAnsi="宋体" w:cs="宋体"/>
          <w:color w:val="auto"/>
          <w:szCs w:val="21"/>
        </w:rPr>
      </w:pPr>
    </w:p>
    <w:p w14:paraId="2CBC4F57">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开 立 人：</w:t>
      </w:r>
      <w:r>
        <w:rPr>
          <w:rFonts w:hint="eastAsia" w:ascii="宋体" w:hAnsi="宋体" w:cs="宋体"/>
          <w:color w:val="auto"/>
          <w:szCs w:val="21"/>
          <w:u w:val="single"/>
        </w:rPr>
        <w:t xml:space="preserve">                              </w:t>
      </w:r>
      <w:r>
        <w:rPr>
          <w:rFonts w:hint="eastAsia" w:ascii="宋体" w:hAnsi="宋体" w:cs="宋体"/>
          <w:color w:val="auto"/>
          <w:szCs w:val="21"/>
        </w:rPr>
        <w:t xml:space="preserve">（公章） </w:t>
      </w:r>
    </w:p>
    <w:p w14:paraId="54B78B4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法定代表人（或授权代表）：</w:t>
      </w:r>
      <w:r>
        <w:rPr>
          <w:rFonts w:hint="eastAsia" w:ascii="宋体" w:hAnsi="宋体" w:cs="宋体"/>
          <w:color w:val="auto"/>
          <w:szCs w:val="21"/>
          <w:u w:val="single"/>
        </w:rPr>
        <w:t xml:space="preserve">               </w:t>
      </w:r>
      <w:r>
        <w:rPr>
          <w:rFonts w:hint="eastAsia" w:ascii="宋体" w:hAnsi="宋体" w:cs="宋体"/>
          <w:color w:val="auto"/>
          <w:szCs w:val="21"/>
        </w:rPr>
        <w:t xml:space="preserve">（签字） </w:t>
      </w:r>
    </w:p>
    <w:p w14:paraId="622BAAFE">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地    址：</w:t>
      </w:r>
      <w:r>
        <w:rPr>
          <w:rFonts w:hint="eastAsia" w:ascii="宋体" w:hAnsi="宋体" w:cs="宋体"/>
          <w:color w:val="auto"/>
          <w:szCs w:val="21"/>
          <w:u w:val="single"/>
        </w:rPr>
        <w:t xml:space="preserve">                                       </w:t>
      </w:r>
    </w:p>
    <w:p w14:paraId="5D256B1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邮政编码：</w:t>
      </w:r>
      <w:r>
        <w:rPr>
          <w:rFonts w:hint="eastAsia" w:ascii="宋体" w:hAnsi="宋体" w:cs="宋体"/>
          <w:color w:val="auto"/>
          <w:szCs w:val="21"/>
          <w:u w:val="single"/>
        </w:rPr>
        <w:t xml:space="preserve">                 </w:t>
      </w:r>
    </w:p>
    <w:p w14:paraId="4113CF2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电    话：</w:t>
      </w:r>
      <w:r>
        <w:rPr>
          <w:rFonts w:hint="eastAsia" w:ascii="宋体" w:hAnsi="宋体" w:cs="宋体"/>
          <w:color w:val="auto"/>
          <w:szCs w:val="21"/>
          <w:u w:val="single"/>
        </w:rPr>
        <w:t xml:space="preserve">                 </w:t>
      </w:r>
    </w:p>
    <w:p w14:paraId="1582A90D">
      <w:pPr>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传    真：</w:t>
      </w:r>
      <w:r>
        <w:rPr>
          <w:rFonts w:hint="eastAsia" w:ascii="宋体" w:hAnsi="宋体" w:cs="宋体"/>
          <w:color w:val="auto"/>
          <w:szCs w:val="21"/>
          <w:u w:val="single"/>
        </w:rPr>
        <w:t xml:space="preserve">                 </w:t>
      </w:r>
    </w:p>
    <w:p w14:paraId="5B20BB23">
      <w:pPr>
        <w:spacing w:line="360" w:lineRule="auto"/>
        <w:ind w:left="1323" w:leftChars="200" w:hanging="903" w:hangingChars="430"/>
        <w:rPr>
          <w:rFonts w:hint="eastAsia" w:ascii="宋体" w:hAnsi="宋体" w:cs="宋体"/>
          <w:color w:val="auto"/>
          <w:szCs w:val="21"/>
        </w:rPr>
      </w:pPr>
      <w:r>
        <w:rPr>
          <w:rFonts w:hint="eastAsia" w:ascii="宋体" w:hAnsi="宋体" w:cs="宋体"/>
          <w:color w:val="auto"/>
          <w:szCs w:val="21"/>
        </w:rPr>
        <w:t>开立时间：</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AA121B8">
      <w:pPr>
        <w:keepNext/>
        <w:keepLines/>
        <w:spacing w:before="120" w:after="120" w:line="360" w:lineRule="auto"/>
        <w:jc w:val="left"/>
        <w:outlineLvl w:val="2"/>
        <w:rPr>
          <w:rFonts w:hint="eastAsia" w:ascii="黑体" w:hAnsi="黑体" w:eastAsia="黑体"/>
          <w:bCs/>
          <w:color w:val="auto"/>
          <w:sz w:val="24"/>
        </w:rPr>
      </w:pPr>
      <w:r>
        <w:rPr>
          <w:rFonts w:ascii="Times New Roman" w:hAnsi="Times New Roman"/>
          <w:color w:val="auto"/>
          <w:szCs w:val="21"/>
        </w:rPr>
        <w:br w:type="page"/>
      </w:r>
      <w:r>
        <w:rPr>
          <w:rFonts w:hint="eastAsia" w:ascii="黑体" w:hAnsi="黑体" w:eastAsia="黑体"/>
          <w:bCs/>
          <w:color w:val="auto"/>
          <w:sz w:val="24"/>
        </w:rPr>
        <w:t>附件E：总监理工程师质量终身责任承诺</w:t>
      </w:r>
    </w:p>
    <w:p w14:paraId="639A6853">
      <w:pPr>
        <w:spacing w:line="440" w:lineRule="exact"/>
        <w:jc w:val="center"/>
        <w:rPr>
          <w:rFonts w:ascii="Times New Roman" w:hAnsi="Times New Roman" w:eastAsia="黑体"/>
          <w:color w:val="auto"/>
          <w:sz w:val="28"/>
        </w:rPr>
      </w:pPr>
      <w:r>
        <w:rPr>
          <w:rFonts w:ascii="Times New Roman" w:hAnsi="Times New Roman" w:eastAsia="黑体"/>
          <w:color w:val="auto"/>
          <w:sz w:val="28"/>
        </w:rPr>
        <w:t>总监理工程师质量终身责任承诺</w:t>
      </w:r>
    </w:p>
    <w:p w14:paraId="24B900D4">
      <w:pPr>
        <w:spacing w:line="360" w:lineRule="auto"/>
        <w:rPr>
          <w:rFonts w:ascii="宋体" w:hAnsi="宋体"/>
          <w:bCs/>
          <w:color w:val="auto"/>
          <w:sz w:val="24"/>
          <w:szCs w:val="21"/>
        </w:rPr>
      </w:pPr>
    </w:p>
    <w:p w14:paraId="31D4952A">
      <w:pPr>
        <w:spacing w:line="360" w:lineRule="auto"/>
        <w:rPr>
          <w:rFonts w:ascii="宋体" w:hAnsi="宋体"/>
          <w:bCs/>
          <w:color w:val="auto"/>
          <w:szCs w:val="21"/>
        </w:rPr>
      </w:pPr>
      <w:r>
        <w:rPr>
          <w:rFonts w:hint="eastAsia" w:ascii="宋体" w:hAnsi="宋体"/>
          <w:bCs/>
          <w:color w:val="auto"/>
          <w:szCs w:val="21"/>
        </w:rPr>
        <w:t>致：</w:t>
      </w:r>
      <w:r>
        <w:rPr>
          <w:rFonts w:ascii="宋体" w:hAnsi="宋体"/>
          <w:bCs/>
          <w:color w:val="auto"/>
          <w:szCs w:val="21"/>
        </w:rPr>
        <w:t>______________(招标人名称)</w:t>
      </w:r>
    </w:p>
    <w:p w14:paraId="6A88F22C">
      <w:pPr>
        <w:spacing w:line="360" w:lineRule="auto"/>
        <w:ind w:firstLine="420" w:firstLineChars="200"/>
        <w:rPr>
          <w:rFonts w:ascii="宋体" w:hAnsi="宋体"/>
          <w:bCs/>
          <w:color w:val="auto"/>
          <w:szCs w:val="21"/>
        </w:rPr>
      </w:pPr>
      <w:r>
        <w:rPr>
          <w:rFonts w:hint="eastAsia" w:ascii="宋体" w:hAnsi="宋体"/>
          <w:bCs/>
          <w:color w:val="auto"/>
          <w:szCs w:val="21"/>
        </w:rPr>
        <w:t>本人作为拟委任的</w:t>
      </w:r>
      <w:r>
        <w:rPr>
          <w:rFonts w:ascii="宋体" w:hAnsi="宋体"/>
          <w:bCs/>
          <w:color w:val="auto"/>
          <w:szCs w:val="21"/>
        </w:rPr>
        <w:t>总监理工程师</w:t>
      </w:r>
      <w:r>
        <w:rPr>
          <w:rFonts w:hint="eastAsia" w:ascii="宋体" w:hAnsi="宋体"/>
          <w:bCs/>
          <w:color w:val="auto"/>
          <w:szCs w:val="21"/>
        </w:rPr>
        <w:t>，承担相关质量终身责任，现郑重承诺如下：</w:t>
      </w:r>
    </w:p>
    <w:p w14:paraId="6828A6EB">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一</w:t>
      </w:r>
      <w:r>
        <w:rPr>
          <w:rFonts w:ascii="宋体" w:hAnsi="宋体" w:cs="宋体"/>
          <w:color w:val="auto"/>
          <w:kern w:val="0"/>
          <w:szCs w:val="21"/>
        </w:rPr>
        <w:t>、严格执行工程监理规范；</w:t>
      </w:r>
    </w:p>
    <w:p w14:paraId="509FD7E4">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二</w:t>
      </w:r>
      <w:r>
        <w:rPr>
          <w:rFonts w:ascii="宋体" w:hAnsi="宋体" w:cs="宋体"/>
          <w:color w:val="auto"/>
          <w:kern w:val="0"/>
          <w:szCs w:val="21"/>
        </w:rPr>
        <w:t>、严格按工程进度及监理工作情况配备人员，并确保所有人员到岗履职；</w:t>
      </w:r>
    </w:p>
    <w:p w14:paraId="3AAA9566">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三</w:t>
      </w:r>
      <w:r>
        <w:rPr>
          <w:rFonts w:ascii="宋体" w:hAnsi="宋体" w:cs="宋体"/>
          <w:color w:val="auto"/>
          <w:kern w:val="0"/>
          <w:szCs w:val="21"/>
        </w:rPr>
        <w:t>、严格依照法律、法规以及有关技术标准、经施工图审查机构审查合格的设计文件和监理合同对工程实施监理；</w:t>
      </w:r>
    </w:p>
    <w:p w14:paraId="13F79662">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四</w:t>
      </w:r>
      <w:r>
        <w:rPr>
          <w:rFonts w:ascii="宋体" w:hAnsi="宋体" w:cs="宋体"/>
          <w:color w:val="auto"/>
          <w:kern w:val="0"/>
          <w:szCs w:val="21"/>
        </w:rPr>
        <w:t>、发现施工过程有违法违规和违反工程建设强制性标准的行为，应签发监理通知书，要求施工单位整改，并认真对整改的结果进行复查，情况严重时，应签发工程停工令，并及时报告建设单位。施工单位拒不整改或不停工的，应及时向有关主管部门报送监理报告；</w:t>
      </w:r>
    </w:p>
    <w:p w14:paraId="7C0AC49A">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五</w:t>
      </w:r>
      <w:r>
        <w:rPr>
          <w:rFonts w:ascii="宋体" w:hAnsi="宋体" w:cs="宋体"/>
          <w:color w:val="auto"/>
          <w:kern w:val="0"/>
          <w:szCs w:val="21"/>
        </w:rPr>
        <w:t>、严格依法依规履行相关工程质量检查、验收及调查、处理事故等监理责任；</w:t>
      </w:r>
    </w:p>
    <w:p w14:paraId="4E9284FF">
      <w:pPr>
        <w:spacing w:line="360" w:lineRule="auto"/>
        <w:ind w:firstLine="420" w:firstLineChars="200"/>
        <w:rPr>
          <w:rFonts w:ascii="宋体" w:hAnsi="宋体"/>
          <w:bCs/>
          <w:color w:val="auto"/>
          <w:szCs w:val="21"/>
        </w:rPr>
      </w:pPr>
      <w:r>
        <w:rPr>
          <w:rFonts w:hint="eastAsia" w:ascii="宋体" w:hAnsi="宋体" w:cs="宋体"/>
          <w:color w:val="auto"/>
          <w:kern w:val="0"/>
          <w:szCs w:val="21"/>
        </w:rPr>
        <w:t>六</w:t>
      </w:r>
      <w:r>
        <w:rPr>
          <w:rFonts w:ascii="宋体" w:hAnsi="宋体" w:cs="宋体"/>
          <w:color w:val="auto"/>
          <w:kern w:val="0"/>
          <w:szCs w:val="21"/>
        </w:rPr>
        <w:t>、履行其他法律法规规定的职责。</w:t>
      </w:r>
    </w:p>
    <w:p w14:paraId="298150ED">
      <w:pPr>
        <w:spacing w:line="360" w:lineRule="auto"/>
        <w:ind w:left="359" w:leftChars="171" w:firstLine="630" w:firstLineChars="300"/>
        <w:rPr>
          <w:rFonts w:ascii="宋体" w:hAnsi="宋体"/>
          <w:bCs/>
          <w:color w:val="auto"/>
          <w:szCs w:val="21"/>
        </w:rPr>
      </w:pPr>
    </w:p>
    <w:p w14:paraId="40835912">
      <w:pPr>
        <w:spacing w:line="360" w:lineRule="auto"/>
        <w:ind w:left="359" w:leftChars="171" w:firstLine="630" w:firstLineChars="300"/>
        <w:rPr>
          <w:rFonts w:ascii="宋体" w:hAnsi="宋体"/>
          <w:bCs/>
          <w:color w:val="auto"/>
          <w:szCs w:val="21"/>
        </w:rPr>
      </w:pPr>
    </w:p>
    <w:p w14:paraId="54FDE6CB">
      <w:pPr>
        <w:spacing w:line="360" w:lineRule="auto"/>
        <w:ind w:firstLine="420" w:firstLineChars="200"/>
        <w:rPr>
          <w:rFonts w:ascii="宋体" w:hAnsi="宋体"/>
          <w:bCs/>
          <w:color w:val="auto"/>
          <w:szCs w:val="21"/>
        </w:rPr>
      </w:pPr>
      <w:r>
        <w:rPr>
          <w:rFonts w:ascii="宋体" w:hAnsi="宋体"/>
          <w:bCs/>
          <w:color w:val="auto"/>
          <w:szCs w:val="21"/>
        </w:rPr>
        <w:t>总监理工程师</w:t>
      </w:r>
      <w:r>
        <w:rPr>
          <w:rFonts w:hint="eastAsia" w:ascii="宋体" w:hAnsi="宋体"/>
          <w:bCs/>
          <w:color w:val="auto"/>
          <w:szCs w:val="21"/>
        </w:rPr>
        <w:t>：</w:t>
      </w:r>
      <w:r>
        <w:rPr>
          <w:rFonts w:ascii="宋体" w:hAnsi="宋体"/>
          <w:bCs/>
          <w:color w:val="auto"/>
          <w:szCs w:val="21"/>
          <w:u w:val="single"/>
        </w:rPr>
        <w:t xml:space="preserve">                   </w:t>
      </w:r>
      <w:r>
        <w:rPr>
          <w:rFonts w:hint="eastAsia" w:ascii="宋体" w:hAnsi="宋体"/>
          <w:bCs/>
          <w:color w:val="auto"/>
          <w:szCs w:val="21"/>
        </w:rPr>
        <w:t>（签字）</w:t>
      </w:r>
    </w:p>
    <w:p w14:paraId="743A1CC2">
      <w:pPr>
        <w:spacing w:line="360" w:lineRule="auto"/>
        <w:ind w:firstLine="420" w:firstLineChars="200"/>
        <w:rPr>
          <w:rFonts w:ascii="楷体" w:hAnsi="楷体" w:eastAsia="楷体"/>
          <w:color w:val="auto"/>
          <w:szCs w:val="21"/>
        </w:rPr>
      </w:pPr>
      <w:r>
        <w:rPr>
          <w:rFonts w:hint="eastAsia" w:ascii="宋体" w:hAnsi="宋体"/>
          <w:bCs/>
          <w:color w:val="auto"/>
          <w:szCs w:val="21"/>
        </w:rPr>
        <w:t>日期：</w:t>
      </w:r>
      <w:r>
        <w:rPr>
          <w:rFonts w:ascii="宋体" w:hAnsi="宋体"/>
          <w:bCs/>
          <w:color w:val="auto"/>
          <w:szCs w:val="21"/>
        </w:rPr>
        <w:t>_____年____月____日</w:t>
      </w:r>
    </w:p>
    <w:p w14:paraId="27565CF5">
      <w:pPr>
        <w:spacing w:line="360" w:lineRule="auto"/>
        <w:rPr>
          <w:color w:val="auto"/>
        </w:rPr>
      </w:pPr>
    </w:p>
    <w:p w14:paraId="6C04E80C">
      <w:pPr>
        <w:spacing w:line="360" w:lineRule="auto"/>
        <w:rPr>
          <w:color w:val="auto"/>
        </w:rPr>
      </w:pPr>
    </w:p>
    <w:p w14:paraId="3B4A5E4B">
      <w:pPr>
        <w:spacing w:line="360" w:lineRule="auto"/>
        <w:rPr>
          <w:color w:val="auto"/>
        </w:rPr>
      </w:pPr>
    </w:p>
    <w:p w14:paraId="2D72B901">
      <w:pPr>
        <w:spacing w:before="120" w:beforeLines="50" w:after="72" w:afterLines="30" w:line="360" w:lineRule="auto"/>
        <w:rPr>
          <w:rFonts w:ascii="宋体" w:hAnsi="宋体"/>
          <w:color w:val="auto"/>
          <w:sz w:val="24"/>
          <w:szCs w:val="27"/>
        </w:rPr>
      </w:pPr>
      <w:r>
        <w:rPr>
          <w:rFonts w:hint="eastAsia" w:ascii="宋体" w:hAnsi="宋体" w:cs="宋体"/>
          <w:b/>
          <w:color w:val="auto"/>
          <w:kern w:val="0"/>
          <w:sz w:val="24"/>
          <w:szCs w:val="24"/>
        </w:rPr>
        <w:t>备注：本合同的约定如与本项目招标文件的投标人须知前附表和招标需求的约定不一致的地方，以投标人须知前附表和招标需求的约定为准。</w:t>
      </w:r>
    </w:p>
    <w:p w14:paraId="111C075C">
      <w:pPr>
        <w:spacing w:line="360" w:lineRule="auto"/>
        <w:rPr>
          <w:color w:val="auto"/>
        </w:rPr>
      </w:pPr>
    </w:p>
    <w:p w14:paraId="6079C128">
      <w:pPr>
        <w:pStyle w:val="3"/>
        <w:pageBreakBefore/>
        <w:spacing w:line="500" w:lineRule="exact"/>
        <w:ind w:firstLine="629"/>
        <w:rPr>
          <w:color w:val="auto"/>
        </w:rPr>
      </w:pPr>
      <w:bookmarkStart w:id="57" w:name="_Toc328559333"/>
      <w:r>
        <w:rPr>
          <w:rFonts w:hint="eastAsia" w:ascii="宋体" w:hAnsi="宋体" w:eastAsia="宋体"/>
          <w:color w:val="auto"/>
        </w:rPr>
        <w:t>第八章 投标文件格</w:t>
      </w:r>
      <w:bookmarkEnd w:id="37"/>
      <w:bookmarkEnd w:id="38"/>
      <w:bookmarkEnd w:id="39"/>
      <w:bookmarkEnd w:id="57"/>
      <w:bookmarkStart w:id="58" w:name="_Toc232592019"/>
      <w:bookmarkStart w:id="59" w:name="_Toc220232394"/>
      <w:r>
        <w:rPr>
          <w:rFonts w:hint="eastAsia" w:ascii="宋体" w:hAnsi="宋体" w:eastAsia="宋体"/>
          <w:color w:val="auto"/>
        </w:rPr>
        <w:t>式</w:t>
      </w:r>
    </w:p>
    <w:p w14:paraId="13859939">
      <w:pPr>
        <w:pStyle w:val="3"/>
        <w:pageBreakBefore/>
        <w:ind w:firstLine="629"/>
        <w:rPr>
          <w:color w:val="auto"/>
        </w:rPr>
      </w:pPr>
      <w:bookmarkStart w:id="60" w:name="_Toc328559335"/>
      <w:bookmarkStart w:id="61" w:name="_Toc245714172"/>
      <w:bookmarkStart w:id="62" w:name="_Toc273602354"/>
      <w:r>
        <w:rPr>
          <w:rFonts w:hint="eastAsia" w:ascii="黑体"/>
          <w:color w:val="auto"/>
        </w:rPr>
        <w:t>●</w:t>
      </w:r>
      <w:r>
        <w:rPr>
          <w:rFonts w:hint="eastAsia"/>
          <w:color w:val="auto"/>
        </w:rPr>
        <w:t>技术标</w:t>
      </w:r>
      <w:bookmarkEnd w:id="60"/>
      <w:bookmarkEnd w:id="61"/>
      <w:bookmarkEnd w:id="62"/>
    </w:p>
    <w:p w14:paraId="3E4AEA15">
      <w:pPr>
        <w:spacing w:line="900" w:lineRule="exact"/>
        <w:jc w:val="center"/>
        <w:rPr>
          <w:rFonts w:ascii="宋体" w:hAnsi="宋体"/>
          <w:b/>
          <w:color w:val="auto"/>
          <w:sz w:val="44"/>
          <w:szCs w:val="44"/>
        </w:rPr>
      </w:pPr>
    </w:p>
    <w:p w14:paraId="39236A72">
      <w:pPr>
        <w:spacing w:line="900" w:lineRule="exact"/>
        <w:jc w:val="center"/>
        <w:rPr>
          <w:rFonts w:hint="eastAsia" w:ascii="宋体" w:hAnsi="宋体" w:eastAsia="宋体"/>
          <w:b/>
          <w:color w:val="auto"/>
          <w:sz w:val="72"/>
          <w:lang w:eastAsia="zh-CN"/>
        </w:rPr>
      </w:pPr>
      <w:r>
        <w:rPr>
          <w:rFonts w:hint="eastAsia" w:ascii="宋体" w:hAnsi="宋体"/>
          <w:b/>
          <w:color w:val="auto"/>
          <w:sz w:val="44"/>
          <w:szCs w:val="44"/>
          <w:u w:val="single"/>
          <w:lang w:eastAsia="zh-CN"/>
        </w:rPr>
        <w:t>合肥市篮球公园改造提升项目监理</w:t>
      </w:r>
    </w:p>
    <w:p w14:paraId="2CE2A099">
      <w:pPr>
        <w:spacing w:line="900" w:lineRule="exact"/>
        <w:jc w:val="center"/>
        <w:rPr>
          <w:rFonts w:ascii="宋体" w:hAnsi="宋体"/>
          <w:b/>
          <w:color w:val="auto"/>
          <w:sz w:val="72"/>
        </w:rPr>
      </w:pPr>
      <w:r>
        <w:rPr>
          <w:rFonts w:hint="eastAsia" w:ascii="宋体" w:hAnsi="宋体"/>
          <w:b/>
          <w:color w:val="auto"/>
          <w:sz w:val="72"/>
        </w:rPr>
        <w:t>投</w:t>
      </w:r>
    </w:p>
    <w:p w14:paraId="753FA2E7">
      <w:pPr>
        <w:spacing w:line="900" w:lineRule="exact"/>
        <w:jc w:val="center"/>
        <w:rPr>
          <w:rFonts w:ascii="宋体" w:hAnsi="宋体"/>
          <w:b/>
          <w:color w:val="auto"/>
          <w:sz w:val="72"/>
        </w:rPr>
      </w:pPr>
      <w:r>
        <w:rPr>
          <w:rFonts w:hint="eastAsia" w:ascii="宋体" w:hAnsi="宋体"/>
          <w:b/>
          <w:color w:val="auto"/>
          <w:sz w:val="72"/>
        </w:rPr>
        <w:t>标</w:t>
      </w:r>
    </w:p>
    <w:p w14:paraId="3F1057A8">
      <w:pPr>
        <w:spacing w:line="900" w:lineRule="exact"/>
        <w:jc w:val="center"/>
        <w:rPr>
          <w:rFonts w:ascii="宋体" w:hAnsi="宋体"/>
          <w:b/>
          <w:color w:val="auto"/>
          <w:sz w:val="72"/>
        </w:rPr>
      </w:pPr>
      <w:r>
        <w:rPr>
          <w:rFonts w:hint="eastAsia" w:ascii="宋体" w:hAnsi="宋体"/>
          <w:b/>
          <w:color w:val="auto"/>
          <w:sz w:val="72"/>
        </w:rPr>
        <w:t>文</w:t>
      </w:r>
    </w:p>
    <w:p w14:paraId="11A04748">
      <w:pPr>
        <w:jc w:val="center"/>
        <w:rPr>
          <w:rFonts w:ascii="宋体" w:hAnsi="宋体"/>
          <w:b/>
          <w:color w:val="auto"/>
          <w:sz w:val="72"/>
        </w:rPr>
      </w:pPr>
      <w:r>
        <w:rPr>
          <w:rFonts w:hint="eastAsia" w:ascii="宋体" w:hAnsi="宋体"/>
          <w:b/>
          <w:color w:val="auto"/>
          <w:sz w:val="72"/>
        </w:rPr>
        <w:t>件</w:t>
      </w:r>
    </w:p>
    <w:p w14:paraId="2EAF3492">
      <w:pPr>
        <w:spacing w:afterLines="50" w:line="500" w:lineRule="exact"/>
        <w:jc w:val="center"/>
        <w:rPr>
          <w:rFonts w:hint="eastAsia" w:ascii="宋体" w:hAnsi="宋体"/>
          <w:b/>
          <w:color w:val="auto"/>
          <w:sz w:val="36"/>
          <w:szCs w:val="36"/>
        </w:rPr>
      </w:pPr>
      <w:r>
        <w:rPr>
          <w:rFonts w:hint="eastAsia" w:ascii="宋体" w:hAnsi="宋体"/>
          <w:b/>
          <w:color w:val="auto"/>
          <w:sz w:val="36"/>
          <w:szCs w:val="36"/>
        </w:rPr>
        <w:t>【商务及技术文件】</w:t>
      </w:r>
    </w:p>
    <w:p w14:paraId="5038D4D5">
      <w:pPr>
        <w:spacing w:afterLines="50" w:line="500" w:lineRule="exact"/>
        <w:jc w:val="center"/>
        <w:rPr>
          <w:rFonts w:hint="eastAsia" w:ascii="宋体" w:hAnsi="宋体"/>
          <w:b/>
          <w:color w:val="auto"/>
          <w:sz w:val="36"/>
          <w:szCs w:val="36"/>
        </w:rPr>
      </w:pPr>
    </w:p>
    <w:p w14:paraId="14AAB4FC">
      <w:pPr>
        <w:spacing w:afterLines="50" w:line="500" w:lineRule="exact"/>
        <w:jc w:val="center"/>
        <w:rPr>
          <w:rFonts w:hint="eastAsia" w:ascii="宋体" w:hAnsi="宋体"/>
          <w:b/>
          <w:color w:val="auto"/>
          <w:sz w:val="36"/>
          <w:szCs w:val="36"/>
        </w:rPr>
      </w:pPr>
    </w:p>
    <w:p w14:paraId="0A266B62">
      <w:pPr>
        <w:spacing w:afterLines="50" w:line="500" w:lineRule="exact"/>
        <w:jc w:val="center"/>
        <w:rPr>
          <w:rFonts w:hint="eastAsia" w:ascii="宋体" w:hAnsi="宋体"/>
          <w:b/>
          <w:color w:val="auto"/>
          <w:sz w:val="36"/>
          <w:szCs w:val="36"/>
        </w:rPr>
      </w:pPr>
    </w:p>
    <w:p w14:paraId="67A1D72A">
      <w:pPr>
        <w:spacing w:afterLines="50" w:line="500" w:lineRule="exact"/>
        <w:jc w:val="center"/>
        <w:rPr>
          <w:rFonts w:ascii="宋体" w:hAnsi="宋体"/>
          <w:b/>
          <w:color w:val="auto"/>
          <w:sz w:val="72"/>
        </w:rPr>
      </w:pPr>
    </w:p>
    <w:p w14:paraId="64BB4660">
      <w:pPr>
        <w:spacing w:afterLines="50" w:line="500" w:lineRule="exact"/>
        <w:jc w:val="center"/>
        <w:rPr>
          <w:rFonts w:ascii="宋体" w:hAnsi="宋体"/>
          <w:b/>
          <w:color w:val="auto"/>
          <w:sz w:val="72"/>
        </w:rPr>
      </w:pPr>
    </w:p>
    <w:p w14:paraId="7522BFA0">
      <w:pPr>
        <w:spacing w:afterLines="50" w:line="500" w:lineRule="exact"/>
        <w:jc w:val="center"/>
        <w:rPr>
          <w:rFonts w:ascii="宋体" w:hAnsi="宋体"/>
          <w:b/>
          <w:color w:val="auto"/>
          <w:sz w:val="72"/>
        </w:rPr>
      </w:pPr>
    </w:p>
    <w:p w14:paraId="4D645F1F">
      <w:pPr>
        <w:spacing w:afterLines="50" w:line="500" w:lineRule="exact"/>
        <w:jc w:val="center"/>
        <w:rPr>
          <w:rFonts w:ascii="宋体" w:hAnsi="宋体"/>
          <w:b/>
          <w:color w:val="auto"/>
          <w:sz w:val="72"/>
        </w:rPr>
      </w:pPr>
    </w:p>
    <w:p w14:paraId="344AF2D2">
      <w:pPr>
        <w:spacing w:afterLines="50" w:line="500" w:lineRule="exact"/>
        <w:rPr>
          <w:rFonts w:hint="eastAsia" w:ascii="宋体" w:hAnsi="宋体" w:eastAsia="宋体"/>
          <w:b/>
          <w:color w:val="auto"/>
          <w:sz w:val="32"/>
          <w:u w:val="single"/>
          <w:lang w:eastAsia="zh-CN"/>
        </w:rPr>
      </w:pPr>
      <w:r>
        <w:rPr>
          <w:rFonts w:hint="eastAsia" w:ascii="宋体" w:hAnsi="宋体"/>
          <w:b/>
          <w:color w:val="auto"/>
          <w:sz w:val="30"/>
        </w:rPr>
        <w:t xml:space="preserve">                 </w:t>
      </w:r>
      <w:r>
        <w:rPr>
          <w:rFonts w:hint="eastAsia" w:ascii="宋体" w:hAnsi="宋体"/>
          <w:b/>
          <w:color w:val="auto"/>
          <w:sz w:val="32"/>
        </w:rPr>
        <w:t>投标人：</w:t>
      </w:r>
      <w:r>
        <w:rPr>
          <w:rFonts w:hint="eastAsia" w:ascii="宋体" w:hAnsi="宋体"/>
          <w:b/>
          <w:color w:val="auto"/>
          <w:sz w:val="32"/>
          <w:u w:val="single"/>
        </w:rPr>
        <w:t xml:space="preserve">                    </w:t>
      </w:r>
    </w:p>
    <w:p w14:paraId="61312195">
      <w:pPr>
        <w:spacing w:afterLines="50" w:line="500" w:lineRule="exact"/>
        <w:jc w:val="center"/>
        <w:rPr>
          <w:rFonts w:hint="eastAsia" w:ascii="宋体" w:hAnsi="宋体"/>
          <w:b/>
          <w:color w:val="auto"/>
          <w:sz w:val="32"/>
        </w:rPr>
      </w:pPr>
      <w:r>
        <w:rPr>
          <w:rFonts w:hint="eastAsia" w:ascii="宋体" w:hAnsi="宋体"/>
          <w:b/>
          <w:color w:val="auto"/>
          <w:sz w:val="32"/>
          <w:u w:val="single"/>
        </w:rPr>
        <w:t xml:space="preserve">    </w:t>
      </w:r>
      <w:r>
        <w:rPr>
          <w:rFonts w:hint="eastAsia" w:ascii="宋体" w:hAnsi="宋体"/>
          <w:b/>
          <w:color w:val="auto"/>
          <w:sz w:val="32"/>
        </w:rPr>
        <w:t>年</w:t>
      </w:r>
      <w:r>
        <w:rPr>
          <w:rFonts w:hint="eastAsia" w:ascii="宋体" w:hAnsi="宋体"/>
          <w:b/>
          <w:color w:val="auto"/>
          <w:sz w:val="32"/>
          <w:u w:val="single"/>
        </w:rPr>
        <w:t xml:space="preserve">     </w:t>
      </w:r>
      <w:r>
        <w:rPr>
          <w:rFonts w:hint="eastAsia" w:ascii="宋体" w:hAnsi="宋体"/>
          <w:b/>
          <w:color w:val="auto"/>
          <w:sz w:val="32"/>
        </w:rPr>
        <w:t>月</w:t>
      </w:r>
      <w:r>
        <w:rPr>
          <w:rFonts w:hint="eastAsia" w:ascii="宋体" w:hAnsi="宋体"/>
          <w:b/>
          <w:color w:val="auto"/>
          <w:sz w:val="32"/>
          <w:u w:val="single"/>
        </w:rPr>
        <w:t xml:space="preserve">     </w:t>
      </w:r>
      <w:r>
        <w:rPr>
          <w:rFonts w:hint="eastAsia" w:ascii="宋体" w:hAnsi="宋体"/>
          <w:b/>
          <w:color w:val="auto"/>
          <w:sz w:val="32"/>
        </w:rPr>
        <w:t>日</w:t>
      </w:r>
    </w:p>
    <w:p w14:paraId="4950F904">
      <w:pPr>
        <w:rPr>
          <w:rFonts w:hint="eastAsia" w:ascii="宋体" w:hAnsi="宋体"/>
          <w:b/>
          <w:color w:val="auto"/>
          <w:sz w:val="32"/>
        </w:rPr>
      </w:pPr>
      <w:r>
        <w:rPr>
          <w:rFonts w:hint="eastAsia" w:ascii="宋体" w:hAnsi="宋体"/>
          <w:b/>
          <w:color w:val="auto"/>
          <w:sz w:val="32"/>
        </w:rPr>
        <w:br w:type="page"/>
      </w:r>
    </w:p>
    <w:p w14:paraId="6B66B612">
      <w:pPr>
        <w:spacing w:line="600" w:lineRule="exact"/>
        <w:jc w:val="center"/>
        <w:rPr>
          <w:rFonts w:ascii="黑体" w:hAnsi="黑体" w:eastAsia="黑体"/>
          <w:color w:val="auto"/>
          <w:sz w:val="32"/>
          <w:szCs w:val="32"/>
        </w:rPr>
      </w:pPr>
      <w:bookmarkStart w:id="63" w:name="_Toc273602355"/>
      <w:bookmarkStart w:id="64" w:name="_Toc245714173"/>
      <w:bookmarkStart w:id="65" w:name="_Toc328559336"/>
      <w:r>
        <w:rPr>
          <w:rFonts w:hint="eastAsia" w:ascii="黑体" w:hAnsi="黑体" w:eastAsia="黑体"/>
          <w:color w:val="auto"/>
          <w:sz w:val="32"/>
          <w:szCs w:val="32"/>
        </w:rPr>
        <w:t xml:space="preserve">目 </w:t>
      </w:r>
      <w:r>
        <w:rPr>
          <w:rFonts w:ascii="黑体" w:hAnsi="黑体" w:eastAsia="黑体"/>
          <w:color w:val="auto"/>
          <w:sz w:val="32"/>
          <w:szCs w:val="32"/>
        </w:rPr>
        <w:t xml:space="preserve"> </w:t>
      </w:r>
      <w:r>
        <w:rPr>
          <w:rFonts w:hint="eastAsia" w:ascii="黑体" w:hAnsi="黑体" w:eastAsia="黑体"/>
          <w:color w:val="auto"/>
          <w:sz w:val="32"/>
          <w:szCs w:val="32"/>
        </w:rPr>
        <w:t>录</w:t>
      </w:r>
    </w:p>
    <w:p w14:paraId="0A2F8412">
      <w:pPr>
        <w:spacing w:line="600" w:lineRule="exact"/>
        <w:rPr>
          <w:rFonts w:ascii="宋体" w:hAnsi="宋体"/>
          <w:color w:val="auto"/>
          <w:szCs w:val="21"/>
        </w:rPr>
      </w:pPr>
      <w:r>
        <w:rPr>
          <w:rFonts w:hint="eastAsia" w:ascii="宋体" w:hAnsi="宋体"/>
          <w:color w:val="auto"/>
          <w:szCs w:val="21"/>
        </w:rPr>
        <w:t>一、投标函（不含报价）</w:t>
      </w:r>
    </w:p>
    <w:p w14:paraId="0EB0AC75">
      <w:pPr>
        <w:spacing w:line="600" w:lineRule="exact"/>
        <w:rPr>
          <w:rFonts w:ascii="宋体" w:hAnsi="宋体"/>
          <w:color w:val="auto"/>
          <w:szCs w:val="21"/>
        </w:rPr>
      </w:pPr>
      <w:r>
        <w:rPr>
          <w:rFonts w:hint="eastAsia" w:ascii="宋体" w:hAnsi="宋体"/>
          <w:color w:val="auto"/>
          <w:szCs w:val="21"/>
        </w:rPr>
        <w:t>二、法定代表人身份证明或授权委托书</w:t>
      </w:r>
    </w:p>
    <w:p w14:paraId="57F130A9">
      <w:pPr>
        <w:spacing w:line="600" w:lineRule="exact"/>
        <w:rPr>
          <w:rFonts w:ascii="宋体" w:hAnsi="宋体"/>
          <w:color w:val="auto"/>
          <w:szCs w:val="21"/>
        </w:rPr>
      </w:pPr>
      <w:r>
        <w:rPr>
          <w:rFonts w:hint="eastAsia" w:ascii="宋体" w:hAnsi="宋体"/>
          <w:color w:val="auto"/>
          <w:szCs w:val="21"/>
          <w:lang w:val="en-US" w:eastAsia="zh-CN"/>
        </w:rPr>
        <w:t>三</w:t>
      </w:r>
      <w:r>
        <w:rPr>
          <w:rFonts w:hint="eastAsia" w:ascii="宋体" w:hAnsi="宋体"/>
          <w:color w:val="auto"/>
          <w:szCs w:val="21"/>
        </w:rPr>
        <w:t>、</w:t>
      </w:r>
      <w:r>
        <w:rPr>
          <w:rFonts w:ascii="Times New Roman" w:hAnsi="Times New Roman"/>
          <w:color w:val="auto"/>
        </w:rPr>
        <w:t>拟委任的主要人员汇总表</w:t>
      </w:r>
    </w:p>
    <w:p w14:paraId="1826E27D">
      <w:pPr>
        <w:spacing w:line="600" w:lineRule="exact"/>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、资格审查资料</w:t>
      </w:r>
    </w:p>
    <w:p w14:paraId="1309476E">
      <w:pPr>
        <w:spacing w:line="600" w:lineRule="exact"/>
        <w:rPr>
          <w:rFonts w:ascii="宋体" w:hAnsi="宋体"/>
          <w:color w:val="auto"/>
          <w:szCs w:val="21"/>
        </w:rPr>
      </w:pPr>
      <w:r>
        <w:rPr>
          <w:rFonts w:hint="eastAsia" w:ascii="宋体" w:hAnsi="宋体"/>
          <w:color w:val="auto"/>
          <w:szCs w:val="21"/>
        </w:rPr>
        <w:t>（一）投标人基本情况表</w:t>
      </w:r>
    </w:p>
    <w:p w14:paraId="3C3D1B4D">
      <w:pPr>
        <w:spacing w:line="600" w:lineRule="exact"/>
        <w:rPr>
          <w:rFonts w:ascii="宋体" w:hAnsi="宋体"/>
          <w:color w:val="auto"/>
          <w:szCs w:val="21"/>
        </w:rPr>
      </w:pPr>
      <w:r>
        <w:rPr>
          <w:rFonts w:hint="eastAsia" w:ascii="宋体" w:hAnsi="宋体"/>
          <w:color w:val="auto"/>
          <w:szCs w:val="21"/>
        </w:rPr>
        <w:t>（二）投标人近年完成的类似项目情况表</w:t>
      </w:r>
    </w:p>
    <w:p w14:paraId="4D293E34">
      <w:pPr>
        <w:spacing w:line="600" w:lineRule="exact"/>
        <w:rPr>
          <w:rFonts w:ascii="宋体" w:hAnsi="宋体"/>
          <w:color w:val="auto"/>
          <w:szCs w:val="21"/>
        </w:rPr>
      </w:pPr>
      <w:r>
        <w:rPr>
          <w:rFonts w:hint="eastAsia" w:ascii="宋体" w:hAnsi="宋体"/>
          <w:color w:val="auto"/>
          <w:szCs w:val="21"/>
        </w:rPr>
        <w:t>（三）总监理工程师近年完成的类似项目情况表</w:t>
      </w:r>
    </w:p>
    <w:p w14:paraId="0557361C">
      <w:pPr>
        <w:spacing w:line="600" w:lineRule="exact"/>
        <w:rPr>
          <w:rFonts w:ascii="宋体" w:hAnsi="宋体"/>
          <w:color w:val="auto"/>
          <w:szCs w:val="21"/>
        </w:rPr>
      </w:pPr>
      <w:r>
        <w:rPr>
          <w:rFonts w:hint="eastAsia" w:ascii="宋体" w:hAnsi="宋体"/>
          <w:color w:val="auto"/>
          <w:szCs w:val="21"/>
        </w:rPr>
        <w:t>（四）主要人员简历表</w:t>
      </w:r>
    </w:p>
    <w:p w14:paraId="62408B8C">
      <w:pPr>
        <w:spacing w:line="600" w:lineRule="exact"/>
        <w:rPr>
          <w:rFonts w:ascii="宋体" w:hAnsi="宋体"/>
          <w:color w:val="auto"/>
          <w:szCs w:val="21"/>
        </w:rPr>
      </w:pPr>
      <w:r>
        <w:rPr>
          <w:rFonts w:hint="eastAsia" w:ascii="宋体" w:hAnsi="宋体"/>
          <w:color w:val="auto"/>
          <w:szCs w:val="21"/>
        </w:rPr>
        <w:t>（五）拟投入本项目的主要试验检测仪器设备表</w:t>
      </w:r>
    </w:p>
    <w:p w14:paraId="5A132CA7">
      <w:pPr>
        <w:spacing w:line="600" w:lineRule="exact"/>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、监理大纲</w:t>
      </w:r>
    </w:p>
    <w:p w14:paraId="3C1EDC91">
      <w:pPr>
        <w:spacing w:line="600" w:lineRule="exact"/>
        <w:rPr>
          <w:rFonts w:ascii="宋体" w:hAnsi="宋体"/>
          <w:color w:val="auto"/>
          <w:szCs w:val="21"/>
        </w:rPr>
      </w:pPr>
      <w:r>
        <w:rPr>
          <w:rFonts w:hint="eastAsia" w:ascii="宋体" w:hAnsi="宋体"/>
          <w:color w:val="auto"/>
          <w:szCs w:val="21"/>
          <w:lang w:val="en-US" w:eastAsia="zh-CN"/>
        </w:rPr>
        <w:t>六</w:t>
      </w:r>
      <w:r>
        <w:rPr>
          <w:rFonts w:hint="eastAsia" w:ascii="宋体" w:hAnsi="宋体"/>
          <w:color w:val="auto"/>
          <w:szCs w:val="21"/>
        </w:rPr>
        <w:t>、其他资料</w:t>
      </w:r>
    </w:p>
    <w:p w14:paraId="75BACFA6">
      <w:pPr>
        <w:pStyle w:val="4"/>
        <w:pageBreakBefore/>
        <w:rPr>
          <w:rFonts w:hAnsi="宋体"/>
          <w:color w:val="auto"/>
          <w:sz w:val="28"/>
        </w:rPr>
      </w:pPr>
      <w:r>
        <w:rPr>
          <w:rFonts w:hint="eastAsia" w:hAnsi="宋体"/>
          <w:color w:val="auto"/>
          <w:sz w:val="28"/>
        </w:rPr>
        <w:t>一．投标函</w:t>
      </w:r>
      <w:bookmarkEnd w:id="63"/>
      <w:bookmarkEnd w:id="64"/>
      <w:bookmarkEnd w:id="65"/>
    </w:p>
    <w:p w14:paraId="247C9EEE">
      <w:pPr>
        <w:pStyle w:val="31"/>
        <w:spacing w:line="360" w:lineRule="auto"/>
        <w:rPr>
          <w:rFonts w:hint="default" w:ascii="宋体" w:hAns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合肥滨湖投资控股集团有限公司</w:t>
      </w:r>
    </w:p>
    <w:p w14:paraId="1B52ACA1">
      <w:pPr>
        <w:spacing w:line="440" w:lineRule="exact"/>
        <w:ind w:firstLine="405"/>
        <w:rPr>
          <w:rFonts w:hint="eastAsia" w:ascii="宋体" w:hAnsi="宋体" w:eastAsia="宋体" w:cs="宋体"/>
          <w:color w:val="auto"/>
          <w:sz w:val="24"/>
          <w:szCs w:val="24"/>
        </w:rPr>
      </w:pPr>
      <w:r>
        <w:rPr>
          <w:rFonts w:hint="eastAsia" w:ascii="宋体" w:hAnsi="宋体" w:eastAsia="宋体" w:cs="宋体"/>
          <w:color w:val="auto"/>
          <w:sz w:val="24"/>
          <w:szCs w:val="24"/>
        </w:rPr>
        <w:t>1．我方已仔细研究</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合肥市篮球公园改造提升项目监理</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招标文件的全部内容，在考察</w:t>
      </w:r>
      <w:r>
        <w:rPr>
          <w:rFonts w:hint="eastAsia" w:ascii="宋体" w:hAnsi="宋体" w:cs="宋体"/>
          <w:color w:val="auto"/>
          <w:sz w:val="24"/>
          <w:szCs w:val="24"/>
          <w:lang w:eastAsia="zh-CN"/>
        </w:rPr>
        <w:t>项目</w:t>
      </w:r>
      <w:r>
        <w:rPr>
          <w:rFonts w:hint="eastAsia" w:ascii="宋体" w:hAnsi="宋体" w:eastAsia="宋体" w:cs="宋体"/>
          <w:color w:val="auto"/>
          <w:sz w:val="24"/>
          <w:szCs w:val="24"/>
        </w:rPr>
        <w:t>现场后，愿以</w:t>
      </w:r>
      <w:r>
        <w:rPr>
          <w:rFonts w:hint="eastAsia" w:ascii="宋体" w:hAnsi="宋体" w:eastAsia="宋体" w:cs="宋体"/>
          <w:color w:val="auto"/>
          <w:sz w:val="24"/>
          <w:szCs w:val="24"/>
          <w:u w:val="single"/>
        </w:rPr>
        <w:t>报价文件投标函中的</w:t>
      </w:r>
      <w:r>
        <w:rPr>
          <w:rFonts w:hint="eastAsia" w:ascii="宋体" w:hAnsi="宋体" w:eastAsia="宋体" w:cs="宋体"/>
          <w:color w:val="auto"/>
          <w:sz w:val="24"/>
          <w:szCs w:val="24"/>
        </w:rPr>
        <w:t>投标总报价，并承诺按本招标文件、合同条款的条件、承担上述工程的监理。</w:t>
      </w:r>
    </w:p>
    <w:p w14:paraId="4E6C1565">
      <w:pPr>
        <w:tabs>
          <w:tab w:val="left" w:pos="7560"/>
        </w:tabs>
        <w:adjustRightInd w:val="0"/>
        <w:snapToGrid w:val="0"/>
        <w:spacing w:before="48" w:beforeLines="20" w:after="48" w:afterLines="20"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我方承诺在招标文件规定的投标有效期内不撤销投标文件。</w:t>
      </w:r>
    </w:p>
    <w:p w14:paraId="4882AAB4">
      <w:pPr>
        <w:tabs>
          <w:tab w:val="left" w:pos="7560"/>
        </w:tabs>
        <w:adjustRightInd w:val="0"/>
        <w:snapToGrid w:val="0"/>
        <w:spacing w:before="48" w:beforeLines="20" w:after="48" w:afterLines="20"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工程质量：</w:t>
      </w:r>
      <w:r>
        <w:rPr>
          <w:rFonts w:hint="eastAsia" w:ascii="宋体" w:hAnsi="宋体" w:eastAsia="宋体" w:cs="宋体"/>
          <w:color w:val="auto"/>
          <w:sz w:val="24"/>
          <w:szCs w:val="24"/>
          <w:u w:val="single"/>
        </w:rPr>
        <w:t>响应招标文件要求</w:t>
      </w:r>
      <w:r>
        <w:rPr>
          <w:rFonts w:hint="eastAsia" w:ascii="宋体" w:hAnsi="宋体" w:eastAsia="宋体" w:cs="宋体"/>
          <w:color w:val="auto"/>
          <w:sz w:val="24"/>
          <w:szCs w:val="24"/>
        </w:rPr>
        <w:t>；监理服务期限：</w:t>
      </w:r>
      <w:r>
        <w:rPr>
          <w:rFonts w:hint="eastAsia" w:ascii="宋体" w:hAnsi="宋体" w:eastAsia="宋体" w:cs="宋体"/>
          <w:color w:val="auto"/>
          <w:sz w:val="24"/>
          <w:szCs w:val="24"/>
          <w:u w:val="single"/>
        </w:rPr>
        <w:t>响应招标文件要求</w:t>
      </w:r>
      <w:r>
        <w:rPr>
          <w:rFonts w:hint="eastAsia" w:ascii="宋体" w:hAnsi="宋体" w:eastAsia="宋体" w:cs="宋体"/>
          <w:color w:val="auto"/>
          <w:sz w:val="24"/>
          <w:szCs w:val="24"/>
        </w:rPr>
        <w:t>。</w:t>
      </w:r>
    </w:p>
    <w:p w14:paraId="05E6D403">
      <w:pPr>
        <w:tabs>
          <w:tab w:val="left" w:pos="7560"/>
        </w:tabs>
        <w:adjustRightInd w:val="0"/>
        <w:snapToGrid w:val="0"/>
        <w:spacing w:before="48" w:beforeLines="20" w:after="48" w:afterLines="20" w:line="40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4. 我方将与本投标函一起提交投标保证金，且承诺投标保证金转出账户真实有效。</w:t>
      </w:r>
    </w:p>
    <w:p w14:paraId="42C03AF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5．如我方中标，我方承诺：</w:t>
      </w:r>
    </w:p>
    <w:p w14:paraId="25CC94A4">
      <w:pPr>
        <w:spacing w:line="400" w:lineRule="exact"/>
        <w:ind w:firstLine="405"/>
        <w:rPr>
          <w:rFonts w:hint="eastAsia" w:ascii="宋体" w:hAnsi="宋体" w:eastAsia="宋体" w:cs="宋体"/>
          <w:bCs/>
          <w:color w:val="auto"/>
          <w:sz w:val="24"/>
          <w:szCs w:val="24"/>
        </w:rPr>
      </w:pPr>
      <w:r>
        <w:rPr>
          <w:rFonts w:hint="eastAsia" w:ascii="宋体" w:hAnsi="宋体" w:eastAsia="宋体" w:cs="宋体"/>
          <w:bCs/>
          <w:color w:val="auto"/>
          <w:sz w:val="24"/>
          <w:szCs w:val="24"/>
        </w:rPr>
        <w:t>（1）在收到中标通知书后，在中标通知书规定的期限内与你方签订合同；</w:t>
      </w:r>
    </w:p>
    <w:p w14:paraId="6F196464">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（2）在签订合同时不向你方提出附加条件；</w:t>
      </w:r>
    </w:p>
    <w:p w14:paraId="381C594F">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（3）按照招标文件要求提交履约保证金；</w:t>
      </w:r>
    </w:p>
    <w:p w14:paraId="6EDCAC30">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（4）在合同约定的期限内完成合同规定的全部义务；</w:t>
      </w:r>
    </w:p>
    <w:p w14:paraId="6CF2DFA5">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（5）</w:t>
      </w:r>
      <w:r>
        <w:rPr>
          <w:rFonts w:hint="eastAsia" w:ascii="宋体" w:hAnsi="宋体" w:eastAsia="宋体" w:cs="宋体"/>
          <w:color w:val="auto"/>
          <w:sz w:val="24"/>
          <w:szCs w:val="24"/>
        </w:rPr>
        <w:t>在你方和我方进行合同谈判之前，我方将按照投标文件中填报人员及招标文件提出的最低要求填报派驻本标段的其他管理和技术人员及试验检测仪器设备，经你方审批后作为派驻本标段的项目监理机构主要人员和试验检测仪器设备且不进行更换。我方承诺除非招标文件另有约定，我方派驻本标段的项目总监及项目监理机构主要人员均为我单位在职人员（不含外聘人员、返聘人员、临时聘用人员）。如我方拟派驻的人员和设备不满足合同附件要求，你方有权取消我方中标资格；</w:t>
      </w:r>
    </w:p>
    <w:p w14:paraId="2ED1F3E6">
      <w:pPr>
        <w:spacing w:line="400" w:lineRule="exact"/>
        <w:ind w:firstLine="405"/>
        <w:rPr>
          <w:rFonts w:hint="eastAsia" w:ascii="宋体" w:hAnsi="宋体" w:eastAsia="宋体" w:cs="宋体"/>
          <w:color w:val="auto"/>
          <w:sz w:val="24"/>
          <w:szCs w:val="24"/>
        </w:rPr>
      </w:pPr>
      <w:r>
        <w:rPr>
          <w:rFonts w:hint="eastAsia" w:ascii="宋体" w:hAnsi="宋体" w:eastAsia="宋体" w:cs="宋体"/>
          <w:bCs/>
          <w:color w:val="auto"/>
          <w:sz w:val="24"/>
          <w:szCs w:val="24"/>
        </w:rPr>
        <w:t>（6）</w:t>
      </w:r>
      <w:r>
        <w:rPr>
          <w:rFonts w:hint="eastAsia" w:ascii="宋体" w:hAnsi="宋体" w:eastAsia="宋体" w:cs="宋体"/>
          <w:color w:val="auto"/>
          <w:sz w:val="24"/>
          <w:szCs w:val="24"/>
        </w:rPr>
        <w:t>按照《纳税人跨县（市、区）提供建筑服务增值税征收管理暂行办法》（国家税务总局公告2016年第17号）规定，在建筑服务发生地及时足额预缴增值税（适用于注册地不在合肥市行政区域范围（含四县一市）的中标人）；</w:t>
      </w:r>
    </w:p>
    <w:p w14:paraId="66C17DBC">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bookmarkStart w:id="66" w:name="_Toc352691658"/>
      <w:bookmarkStart w:id="67" w:name="_Toc1187"/>
      <w:bookmarkStart w:id="68" w:name="_Toc369531694"/>
      <w:r>
        <w:rPr>
          <w:rFonts w:hint="eastAsia" w:ascii="宋体" w:hAnsi="宋体" w:eastAsia="宋体" w:cs="宋体"/>
          <w:bCs/>
          <w:color w:val="auto"/>
          <w:sz w:val="24"/>
          <w:szCs w:val="24"/>
        </w:rPr>
        <w:t>6.</w:t>
      </w:r>
      <w:r>
        <w:rPr>
          <w:rFonts w:hint="eastAsia" w:ascii="宋体" w:hAnsi="宋体" w:eastAsia="宋体" w:cs="宋体"/>
          <w:snapToGrid w:val="0"/>
          <w:color w:val="auto"/>
          <w:kern w:val="0"/>
          <w:sz w:val="24"/>
          <w:szCs w:val="24"/>
        </w:rPr>
        <w:t xml:space="preserve"> 我方在此声明，所递交的投标文件及有关资料内容完整、真实和准确，符合资格审查条件(信誉最低要求)，且不存在招标文件第二章“投标人须知”第1.4.3项和第1.4.4项规定的任何一种情形。</w:t>
      </w:r>
    </w:p>
    <w:p w14:paraId="32BCEE16">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7. 除非另外达成协议并生效，你方的中标通知书和本投标文件以及招标文件、招标文件澄清、修改、补充文件将成为约束双方的合同文件的组成部分。</w:t>
      </w:r>
    </w:p>
    <w:bookmarkEnd w:id="66"/>
    <w:bookmarkEnd w:id="67"/>
    <w:bookmarkEnd w:id="68"/>
    <w:p w14:paraId="0B662F3E">
      <w:pPr>
        <w:adjustRightInd w:val="0"/>
        <w:snapToGrid w:val="0"/>
        <w:spacing w:before="48" w:beforeLines="20" w:after="48" w:afterLines="20" w:line="400" w:lineRule="exact"/>
        <w:ind w:firstLine="422" w:firstLineChars="175"/>
        <w:rPr>
          <w:rFonts w:hint="eastAsia" w:ascii="宋体" w:hAnsi="宋体" w:eastAsia="宋体" w:cs="宋体"/>
          <w:b/>
          <w:bCs/>
          <w:color w:val="auto"/>
          <w:sz w:val="24"/>
          <w:szCs w:val="24"/>
        </w:rPr>
      </w:pPr>
      <w:r>
        <w:rPr>
          <w:rFonts w:hint="eastAsia" w:ascii="宋体" w:hAnsi="宋体" w:eastAsia="宋体" w:cs="宋体"/>
          <w:b/>
          <w:bCs/>
          <w:color w:val="auto"/>
          <w:sz w:val="24"/>
          <w:szCs w:val="24"/>
        </w:rPr>
        <w:t>8.我方在此声明，如我单位中标，中标后将提供符合招标文件“人员配备表”的服务团队人员。合同签订前招标人核查，若不符合招标文件要求或提供虚假材料，招标人有权要求我方调整更换至满足要求为止，招标人也有权不与我方签订合同。</w:t>
      </w:r>
    </w:p>
    <w:p w14:paraId="69C61276">
      <w:pPr>
        <w:adjustRightInd w:val="0"/>
        <w:snapToGrid w:val="0"/>
        <w:spacing w:before="48" w:beforeLines="20" w:after="48" w:afterLines="20" w:line="400" w:lineRule="exact"/>
        <w:ind w:firstLine="420" w:firstLineChars="175"/>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9.</w:t>
      </w:r>
      <w:r>
        <w:rPr>
          <w:rFonts w:hint="eastAsia" w:ascii="宋体" w:hAnsi="宋体" w:eastAsia="宋体" w:cs="宋体"/>
          <w:color w:val="auto"/>
          <w:sz w:val="24"/>
          <w:szCs w:val="24"/>
        </w:rPr>
        <w:t>我方完全响应招标文件</w:t>
      </w:r>
      <w:r>
        <w:rPr>
          <w:rFonts w:hint="eastAsia" w:ascii="宋体" w:hAnsi="宋体" w:eastAsia="宋体" w:cs="宋体"/>
          <w:color w:val="auto"/>
          <w:sz w:val="24"/>
          <w:szCs w:val="24"/>
          <w:lang w:val="en-US" w:eastAsia="zh-CN"/>
        </w:rPr>
        <w:t>全部内容</w:t>
      </w:r>
      <w:r>
        <w:rPr>
          <w:rFonts w:hint="eastAsia" w:ascii="宋体" w:hAnsi="宋体" w:eastAsia="宋体" w:cs="宋体"/>
          <w:color w:val="auto"/>
          <w:sz w:val="24"/>
          <w:szCs w:val="24"/>
          <w:lang w:eastAsia="zh-CN"/>
        </w:rPr>
        <w:t>。</w:t>
      </w:r>
    </w:p>
    <w:p w14:paraId="57711B7D">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w:t>
      </w:r>
      <w:r>
        <w:rPr>
          <w:rFonts w:hint="eastAsia" w:ascii="宋体" w:hAnsi="宋体" w:eastAsia="宋体" w:cs="宋体"/>
          <w:snapToGrid w:val="0"/>
          <w:color w:val="auto"/>
          <w:kern w:val="0"/>
          <w:sz w:val="24"/>
          <w:szCs w:val="24"/>
          <w:u w:val="single"/>
        </w:rPr>
        <w:t xml:space="preserve">               </w:t>
      </w:r>
      <w:r>
        <w:rPr>
          <w:rFonts w:hint="eastAsia" w:ascii="宋体" w:hAnsi="宋体" w:eastAsia="宋体" w:cs="宋体"/>
          <w:snapToGrid w:val="0"/>
          <w:color w:val="auto"/>
          <w:kern w:val="0"/>
          <w:sz w:val="24"/>
          <w:szCs w:val="24"/>
        </w:rPr>
        <w:t>（其他补充说明）。</w:t>
      </w:r>
    </w:p>
    <w:p w14:paraId="44193C2D">
      <w:pPr>
        <w:spacing w:line="360" w:lineRule="auto"/>
        <w:ind w:firstLine="630"/>
        <w:rPr>
          <w:rFonts w:hint="eastAsia" w:ascii="宋体" w:hAnsi="宋体" w:eastAsia="宋体" w:cs="宋体"/>
          <w:color w:val="auto"/>
          <w:sz w:val="24"/>
          <w:szCs w:val="24"/>
        </w:rPr>
      </w:pPr>
    </w:p>
    <w:p w14:paraId="145C16B7">
      <w:pPr>
        <w:spacing w:line="360" w:lineRule="auto"/>
        <w:ind w:firstLine="630"/>
        <w:rPr>
          <w:rFonts w:hint="eastAsia" w:ascii="宋体" w:hAnsi="宋体" w:eastAsia="宋体" w:cs="宋体"/>
          <w:color w:val="auto"/>
          <w:sz w:val="24"/>
          <w:szCs w:val="24"/>
          <w:u w:val="single"/>
        </w:rPr>
      </w:pPr>
      <w:r>
        <w:rPr>
          <w:rFonts w:hint="eastAsia" w:ascii="宋体" w:hAnsi="宋体" w:eastAsia="宋体" w:cs="宋体"/>
          <w:color w:val="auto"/>
          <w:sz w:val="24"/>
          <w:szCs w:val="24"/>
        </w:rPr>
        <w:t>电    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传    真：</w:t>
      </w:r>
      <w:r>
        <w:rPr>
          <w:rFonts w:hint="eastAsia" w:ascii="宋体" w:hAnsi="宋体" w:eastAsia="宋体" w:cs="宋体"/>
          <w:color w:val="auto"/>
          <w:sz w:val="24"/>
          <w:szCs w:val="24"/>
          <w:u w:val="single"/>
        </w:rPr>
        <w:t xml:space="preserve">                 </w:t>
      </w:r>
    </w:p>
    <w:p w14:paraId="6E54C015">
      <w:pPr>
        <w:spacing w:line="360" w:lineRule="auto"/>
        <w:ind w:firstLine="630"/>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投标人（公章）：</w:t>
      </w:r>
      <w:r>
        <w:rPr>
          <w:rFonts w:hint="eastAsia" w:ascii="宋体" w:hAnsi="宋体" w:eastAsia="宋体" w:cs="宋体"/>
          <w:color w:val="auto"/>
          <w:sz w:val="24"/>
          <w:szCs w:val="24"/>
          <w:u w:val="single"/>
        </w:rPr>
        <w:t xml:space="preserve">                     </w:t>
      </w:r>
    </w:p>
    <w:p w14:paraId="3CBA614A">
      <w:pPr>
        <w:tabs>
          <w:tab w:val="left" w:pos="630"/>
        </w:tabs>
        <w:spacing w:line="360" w:lineRule="auto"/>
        <w:ind w:firstLine="630"/>
        <w:rPr>
          <w:rFonts w:ascii="宋体" w:hAnsi="宋体"/>
          <w:color w:val="auto"/>
          <w:sz w:val="24"/>
        </w:rPr>
      </w:pPr>
      <w:r>
        <w:rPr>
          <w:rFonts w:hint="eastAsia" w:ascii="宋体" w:hAnsi="宋体" w:eastAsia="宋体" w:cs="宋体"/>
          <w:color w:val="auto"/>
          <w:sz w:val="24"/>
          <w:szCs w:val="24"/>
        </w:rPr>
        <w:t>日    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48347038">
      <w:pPr>
        <w:rPr>
          <w:rFonts w:ascii="宋体" w:hAnsi="宋体"/>
          <w:color w:val="auto"/>
          <w:sz w:val="24"/>
        </w:rPr>
      </w:pPr>
      <w:r>
        <w:rPr>
          <w:rFonts w:ascii="宋体" w:hAnsi="宋体"/>
          <w:color w:val="auto"/>
          <w:sz w:val="24"/>
        </w:rPr>
        <w:br w:type="page"/>
      </w:r>
    </w:p>
    <w:p w14:paraId="4189DE83">
      <w:pPr>
        <w:pStyle w:val="4"/>
        <w:ind w:firstLine="137"/>
        <w:jc w:val="center"/>
        <w:rPr>
          <w:color w:val="auto"/>
          <w:sz w:val="24"/>
          <w:szCs w:val="24"/>
        </w:rPr>
      </w:pPr>
      <w:bookmarkStart w:id="69" w:name="_Toc245714174"/>
      <w:bookmarkStart w:id="70" w:name="_Toc328559337"/>
      <w:bookmarkStart w:id="71" w:name="_Toc273602356"/>
      <w:r>
        <w:rPr>
          <w:rFonts w:hint="eastAsia" w:hAnsi="宋体"/>
          <w:color w:val="auto"/>
          <w:sz w:val="28"/>
        </w:rPr>
        <w:t>二．</w:t>
      </w:r>
      <w:r>
        <w:rPr>
          <w:rFonts w:hint="eastAsia"/>
          <w:color w:val="auto"/>
          <w:sz w:val="24"/>
          <w:szCs w:val="24"/>
        </w:rPr>
        <w:t>法定代表人身份证明或授权委托书</w:t>
      </w:r>
    </w:p>
    <w:p w14:paraId="2539E56E">
      <w:pPr>
        <w:jc w:val="center"/>
        <w:rPr>
          <w:rFonts w:ascii="黑体" w:hAnsi="黑体" w:eastAsia="黑体"/>
          <w:bCs/>
          <w:color w:val="auto"/>
          <w:sz w:val="24"/>
        </w:rPr>
      </w:pPr>
      <w:r>
        <w:rPr>
          <w:rFonts w:hint="eastAsia" w:ascii="黑体" w:hAnsi="黑体" w:eastAsia="黑体"/>
          <w:bCs/>
          <w:color w:val="auto"/>
          <w:sz w:val="24"/>
        </w:rPr>
        <w:t>法定代表人身份证明</w:t>
      </w:r>
    </w:p>
    <w:p w14:paraId="48B48BC7">
      <w:pPr>
        <w:ind w:left="765"/>
        <w:rPr>
          <w:rFonts w:ascii="宋体" w:hAnsi="宋体"/>
          <w:color w:val="auto"/>
        </w:rPr>
      </w:pPr>
    </w:p>
    <w:p w14:paraId="0EAB32B8">
      <w:pPr>
        <w:spacing w:line="500" w:lineRule="exact"/>
        <w:rPr>
          <w:rFonts w:ascii="宋体" w:hAnsi="宋体"/>
          <w:color w:val="auto"/>
          <w:szCs w:val="21"/>
        </w:rPr>
      </w:pPr>
      <w:r>
        <w:rPr>
          <w:rFonts w:hint="eastAsia" w:ascii="宋体" w:hAnsi="宋体"/>
          <w:color w:val="auto"/>
          <w:szCs w:val="21"/>
        </w:rPr>
        <w:t>投 标 人：</w:t>
      </w:r>
      <w:r>
        <w:rPr>
          <w:rFonts w:hint="eastAsia" w:ascii="宋体" w:hAnsi="宋体"/>
          <w:color w:val="auto"/>
          <w:szCs w:val="21"/>
          <w:u w:val="single"/>
        </w:rPr>
        <w:t xml:space="preserve">                                                        </w:t>
      </w:r>
    </w:p>
    <w:p w14:paraId="1B2DCB50">
      <w:pPr>
        <w:spacing w:line="500" w:lineRule="exact"/>
        <w:rPr>
          <w:rFonts w:ascii="宋体" w:hAnsi="宋体"/>
          <w:color w:val="auto"/>
          <w:szCs w:val="21"/>
        </w:rPr>
      </w:pPr>
      <w:r>
        <w:rPr>
          <w:rFonts w:hint="eastAsia" w:ascii="宋体" w:hAnsi="宋体"/>
          <w:color w:val="auto"/>
          <w:szCs w:val="21"/>
        </w:rPr>
        <w:t>单位性质：</w:t>
      </w:r>
      <w:r>
        <w:rPr>
          <w:rFonts w:hint="eastAsia" w:ascii="宋体" w:hAnsi="宋体"/>
          <w:color w:val="auto"/>
          <w:szCs w:val="21"/>
          <w:u w:val="single"/>
        </w:rPr>
        <w:t xml:space="preserve">                                                        </w:t>
      </w:r>
    </w:p>
    <w:p w14:paraId="3FB60123">
      <w:pPr>
        <w:spacing w:line="500" w:lineRule="exact"/>
        <w:rPr>
          <w:rFonts w:ascii="宋体" w:hAnsi="宋体"/>
          <w:color w:val="auto"/>
          <w:szCs w:val="21"/>
        </w:rPr>
      </w:pPr>
      <w:r>
        <w:rPr>
          <w:rFonts w:hint="eastAsia" w:ascii="宋体" w:hAnsi="宋体"/>
          <w:color w:val="auto"/>
          <w:szCs w:val="21"/>
        </w:rPr>
        <w:t>地    址：</w:t>
      </w:r>
      <w:r>
        <w:rPr>
          <w:rFonts w:hint="eastAsia" w:ascii="宋体" w:hAnsi="宋体"/>
          <w:color w:val="auto"/>
          <w:szCs w:val="21"/>
          <w:u w:val="single"/>
        </w:rPr>
        <w:t xml:space="preserve">                                                        </w:t>
      </w:r>
    </w:p>
    <w:p w14:paraId="51886216">
      <w:pPr>
        <w:spacing w:line="500" w:lineRule="exact"/>
        <w:rPr>
          <w:rFonts w:ascii="宋体" w:hAnsi="宋体"/>
          <w:color w:val="auto"/>
          <w:szCs w:val="21"/>
        </w:rPr>
      </w:pPr>
      <w:r>
        <w:rPr>
          <w:rFonts w:hint="eastAsia" w:ascii="宋体" w:hAnsi="宋体"/>
          <w:color w:val="auto"/>
          <w:szCs w:val="21"/>
        </w:rPr>
        <w:t>成立时间：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2DDA9830">
      <w:pPr>
        <w:spacing w:line="500" w:lineRule="exact"/>
        <w:rPr>
          <w:rFonts w:ascii="宋体" w:hAnsi="宋体"/>
          <w:color w:val="auto"/>
          <w:szCs w:val="21"/>
        </w:rPr>
      </w:pPr>
      <w:r>
        <w:rPr>
          <w:rFonts w:hint="eastAsia" w:ascii="宋体" w:hAnsi="宋体"/>
          <w:color w:val="auto"/>
          <w:szCs w:val="21"/>
        </w:rPr>
        <w:t>经营期限：</w:t>
      </w:r>
      <w:r>
        <w:rPr>
          <w:rFonts w:hint="eastAsia" w:ascii="宋体" w:hAnsi="宋体"/>
          <w:color w:val="auto"/>
          <w:szCs w:val="21"/>
          <w:u w:val="single"/>
        </w:rPr>
        <w:t xml:space="preserve">                                                        </w:t>
      </w:r>
    </w:p>
    <w:p w14:paraId="7759EE67">
      <w:pPr>
        <w:spacing w:line="500" w:lineRule="exact"/>
        <w:rPr>
          <w:rFonts w:ascii="宋体" w:hAnsi="宋体"/>
          <w:color w:val="auto"/>
          <w:szCs w:val="21"/>
        </w:rPr>
      </w:pPr>
      <w:r>
        <w:rPr>
          <w:rFonts w:hint="eastAsia" w:ascii="宋体" w:hAnsi="宋体"/>
          <w:color w:val="auto"/>
          <w:szCs w:val="21"/>
        </w:rPr>
        <w:t>姓    名：</w:t>
      </w:r>
      <w:r>
        <w:rPr>
          <w:rFonts w:hint="eastAsia" w:ascii="宋体" w:hAnsi="宋体"/>
          <w:color w:val="auto"/>
          <w:szCs w:val="21"/>
          <w:u w:val="single"/>
        </w:rPr>
        <w:t xml:space="preserve">                          </w:t>
      </w:r>
      <w:r>
        <w:rPr>
          <w:rFonts w:hint="eastAsia" w:ascii="宋体" w:hAnsi="宋体"/>
          <w:color w:val="auto"/>
          <w:szCs w:val="21"/>
        </w:rPr>
        <w:t>性        别：</w:t>
      </w:r>
      <w:r>
        <w:rPr>
          <w:rFonts w:hint="eastAsia" w:ascii="宋体" w:hAnsi="宋体"/>
          <w:color w:val="auto"/>
          <w:szCs w:val="21"/>
          <w:u w:val="single"/>
        </w:rPr>
        <w:t xml:space="preserve">                </w:t>
      </w:r>
    </w:p>
    <w:p w14:paraId="16F401B5">
      <w:pPr>
        <w:spacing w:line="500" w:lineRule="exact"/>
        <w:rPr>
          <w:rFonts w:ascii="宋体" w:hAnsi="宋体"/>
          <w:color w:val="auto"/>
          <w:szCs w:val="21"/>
        </w:rPr>
      </w:pPr>
      <w:r>
        <w:rPr>
          <w:rFonts w:hint="eastAsia" w:ascii="宋体" w:hAnsi="宋体"/>
          <w:color w:val="auto"/>
          <w:szCs w:val="21"/>
        </w:rPr>
        <w:t>年    龄：</w:t>
      </w:r>
      <w:r>
        <w:rPr>
          <w:rFonts w:hint="eastAsia" w:ascii="宋体" w:hAnsi="宋体"/>
          <w:color w:val="auto"/>
          <w:szCs w:val="21"/>
          <w:u w:val="single"/>
        </w:rPr>
        <w:t xml:space="preserve">                          </w:t>
      </w:r>
      <w:r>
        <w:rPr>
          <w:rFonts w:hint="eastAsia" w:ascii="宋体" w:hAnsi="宋体"/>
          <w:color w:val="auto"/>
          <w:szCs w:val="21"/>
        </w:rPr>
        <w:t>职        务：</w:t>
      </w:r>
      <w:r>
        <w:rPr>
          <w:rFonts w:hint="eastAsia" w:ascii="宋体" w:hAnsi="宋体"/>
          <w:color w:val="auto"/>
          <w:szCs w:val="21"/>
          <w:u w:val="single"/>
        </w:rPr>
        <w:t xml:space="preserve">                </w:t>
      </w:r>
    </w:p>
    <w:p w14:paraId="5CB60CA0">
      <w:pPr>
        <w:spacing w:line="500" w:lineRule="exact"/>
        <w:rPr>
          <w:rFonts w:ascii="宋体" w:hAnsi="宋体"/>
          <w:color w:val="auto"/>
          <w:szCs w:val="21"/>
        </w:rPr>
      </w:pPr>
      <w:r>
        <w:rPr>
          <w:rFonts w:hint="eastAsia" w:ascii="宋体" w:hAnsi="宋体"/>
          <w:color w:val="auto"/>
          <w:szCs w:val="21"/>
        </w:rPr>
        <w:t>系</w:t>
      </w:r>
      <w:r>
        <w:rPr>
          <w:rFonts w:hint="eastAsia" w:ascii="宋体" w:hAnsi="宋体"/>
          <w:color w:val="auto"/>
          <w:szCs w:val="21"/>
          <w:u w:val="single"/>
        </w:rPr>
        <w:t xml:space="preserve">                                                 </w:t>
      </w:r>
      <w:r>
        <w:rPr>
          <w:rFonts w:hint="eastAsia" w:ascii="宋体" w:hAnsi="宋体"/>
          <w:color w:val="auto"/>
          <w:szCs w:val="21"/>
        </w:rPr>
        <w:t>（投标人名称）的法定代表人。</w:t>
      </w:r>
    </w:p>
    <w:p w14:paraId="2EA16F5A">
      <w:pPr>
        <w:spacing w:line="500" w:lineRule="exact"/>
        <w:rPr>
          <w:rFonts w:ascii="宋体" w:hAnsi="宋体"/>
          <w:color w:val="auto"/>
          <w:szCs w:val="21"/>
        </w:rPr>
      </w:pPr>
      <w:r>
        <w:rPr>
          <w:rFonts w:hint="eastAsia" w:ascii="宋体" w:hAnsi="宋体"/>
          <w:color w:val="auto"/>
          <w:szCs w:val="21"/>
        </w:rPr>
        <w:t>特此证明。</w:t>
      </w:r>
    </w:p>
    <w:p w14:paraId="445862B5">
      <w:pPr>
        <w:spacing w:line="500" w:lineRule="exact"/>
        <w:rPr>
          <w:rFonts w:ascii="宋体" w:hAnsi="宋体"/>
          <w:color w:val="auto"/>
          <w:szCs w:val="21"/>
        </w:rPr>
      </w:pPr>
    </w:p>
    <w:p w14:paraId="0672DCFB">
      <w:pPr>
        <w:spacing w:line="500" w:lineRule="exact"/>
        <w:rPr>
          <w:rFonts w:ascii="宋体" w:hAnsi="宋体"/>
          <w:color w:val="auto"/>
          <w:szCs w:val="21"/>
        </w:rPr>
      </w:pPr>
    </w:p>
    <w:p w14:paraId="7AA67101">
      <w:pPr>
        <w:wordWrap w:val="0"/>
        <w:spacing w:line="500" w:lineRule="exact"/>
        <w:jc w:val="right"/>
        <w:rPr>
          <w:rFonts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（盖单位章）</w:t>
      </w:r>
    </w:p>
    <w:p w14:paraId="3DD3AA5F">
      <w:pPr>
        <w:spacing w:before="48" w:beforeLines="20" w:after="48" w:afterLines="20" w:line="540" w:lineRule="exact"/>
        <w:ind w:firstLine="5565" w:firstLineChars="2650"/>
        <w:rPr>
          <w:rFonts w:hint="eastAsia"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7B7542A2">
      <w:pPr>
        <w:spacing w:before="48" w:beforeLines="20" w:after="48" w:afterLines="20" w:line="540" w:lineRule="exact"/>
        <w:ind w:firstLine="5565" w:firstLineChars="2650"/>
        <w:rPr>
          <w:rFonts w:hint="eastAsia" w:ascii="宋体" w:hAnsi="宋体"/>
          <w:color w:val="auto"/>
          <w:szCs w:val="21"/>
        </w:rPr>
      </w:pP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4"/>
        <w:gridCol w:w="5155"/>
      </w:tblGrid>
      <w:tr w14:paraId="365A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54" w:type="dxa"/>
            <w:tcBorders>
              <w:top w:val="nil"/>
              <w:left w:val="nil"/>
              <w:bottom w:val="nil"/>
              <w:right w:val="nil"/>
              <w:tl2br w:val="nil"/>
            </w:tcBorders>
            <w:shd w:val="clear" w:color="auto" w:fill="FFFFFF"/>
          </w:tcPr>
          <w:p w14:paraId="6902EA2F">
            <w:pPr>
              <w:rPr>
                <w:rFonts w:ascii="宋体" w:hAnsi="宋体"/>
                <w:color w:val="auto"/>
                <w:sz w:val="24"/>
                <w:szCs w:val="28"/>
              </w:rPr>
            </w:pPr>
            <w:r>
              <w:rPr>
                <w:rFonts w:hint="eastAsia" w:ascii="宋体" w:hAnsi="宋体"/>
                <w:color w:val="auto"/>
                <w:sz w:val="24"/>
                <w:szCs w:val="28"/>
              </w:rPr>
              <w:t>法定代表人身份证（正反面）</w:t>
            </w:r>
          </w:p>
        </w:tc>
        <w:tc>
          <w:tcPr>
            <w:tcW w:w="5155" w:type="dxa"/>
            <w:tcBorders>
              <w:top w:val="nil"/>
              <w:left w:val="nil"/>
              <w:bottom w:val="nil"/>
              <w:right w:val="nil"/>
            </w:tcBorders>
            <w:shd w:val="clear" w:color="auto" w:fill="FFFFFF"/>
          </w:tcPr>
          <w:p w14:paraId="2B26EED1">
            <w:pPr>
              <w:rPr>
                <w:rFonts w:ascii="宋体" w:hAnsi="宋体"/>
                <w:color w:val="auto"/>
                <w:sz w:val="24"/>
                <w:szCs w:val="28"/>
              </w:rPr>
            </w:pPr>
            <w:r>
              <w:rPr>
                <w:rFonts w:hint="eastAsia" w:ascii="宋体" w:hAnsi="宋体"/>
                <w:color w:val="auto"/>
                <w:sz w:val="24"/>
                <w:szCs w:val="28"/>
              </w:rPr>
              <w:t>法定代表人身份证（正反面）</w:t>
            </w:r>
          </w:p>
        </w:tc>
      </w:tr>
    </w:tbl>
    <w:p w14:paraId="2A4F94AA">
      <w:pPr>
        <w:tabs>
          <w:tab w:val="left" w:pos="5760"/>
        </w:tabs>
        <w:autoSpaceDE w:val="0"/>
        <w:autoSpaceDN w:val="0"/>
        <w:adjustRightInd w:val="0"/>
        <w:spacing w:line="300" w:lineRule="exact"/>
        <w:ind w:right="11"/>
        <w:rPr>
          <w:rFonts w:ascii="宋体" w:hAnsi="宋体"/>
          <w:color w:val="auto"/>
          <w:kern w:val="0"/>
        </w:rPr>
      </w:pPr>
    </w:p>
    <w:p w14:paraId="34B3FDF7">
      <w:pPr>
        <w:tabs>
          <w:tab w:val="left" w:pos="5760"/>
        </w:tabs>
        <w:autoSpaceDE w:val="0"/>
        <w:autoSpaceDN w:val="0"/>
        <w:adjustRightInd w:val="0"/>
        <w:spacing w:line="300" w:lineRule="exact"/>
        <w:ind w:right="11"/>
        <w:rPr>
          <w:rFonts w:ascii="宋体" w:hAnsi="宋体"/>
          <w:b/>
          <w:bCs/>
          <w:color w:val="auto"/>
          <w:kern w:val="0"/>
        </w:rPr>
      </w:pPr>
      <w:r>
        <w:rPr>
          <w:rFonts w:hint="eastAsia" w:ascii="宋体" w:hAnsi="宋体"/>
          <w:b/>
          <w:bCs/>
          <w:color w:val="auto"/>
          <w:kern w:val="0"/>
        </w:rPr>
        <w:t>注：</w:t>
      </w:r>
    </w:p>
    <w:p w14:paraId="1B1BC558">
      <w:pPr>
        <w:tabs>
          <w:tab w:val="left" w:pos="5760"/>
        </w:tabs>
        <w:autoSpaceDE w:val="0"/>
        <w:autoSpaceDN w:val="0"/>
        <w:adjustRightInd w:val="0"/>
        <w:spacing w:line="300" w:lineRule="exact"/>
        <w:ind w:right="11"/>
        <w:rPr>
          <w:rFonts w:ascii="宋体" w:hAnsi="宋体"/>
          <w:b/>
          <w:bCs/>
          <w:color w:val="auto"/>
          <w:kern w:val="0"/>
        </w:rPr>
      </w:pPr>
      <w:r>
        <w:rPr>
          <w:rFonts w:hint="eastAsia" w:ascii="宋体" w:hAnsi="宋体"/>
          <w:b/>
          <w:bCs/>
          <w:color w:val="auto"/>
          <w:kern w:val="0"/>
        </w:rPr>
        <w:t>法定代表人参加投标活动并签署文件的不需要授权委托书，只需提供法定代表人身份证明</w:t>
      </w:r>
      <w:r>
        <w:rPr>
          <w:rFonts w:hint="eastAsia" w:ascii="宋体" w:hAnsi="宋体"/>
          <w:b/>
          <w:bCs/>
          <w:color w:val="auto"/>
          <w:kern w:val="0"/>
          <w:lang w:eastAsia="zh-CN"/>
        </w:rPr>
        <w:t>（</w:t>
      </w:r>
      <w:r>
        <w:rPr>
          <w:rFonts w:hint="eastAsia" w:ascii="宋体" w:hAnsi="宋体"/>
          <w:b/>
          <w:bCs/>
          <w:color w:val="auto"/>
          <w:kern w:val="0"/>
          <w:lang w:val="en-US" w:eastAsia="zh-CN"/>
        </w:rPr>
        <w:t>附身份证正反面扫描件</w:t>
      </w:r>
      <w:r>
        <w:rPr>
          <w:rFonts w:hint="eastAsia" w:ascii="宋体" w:hAnsi="宋体"/>
          <w:b/>
          <w:bCs/>
          <w:color w:val="auto"/>
          <w:kern w:val="0"/>
          <w:lang w:eastAsia="zh-CN"/>
        </w:rPr>
        <w:t>）</w:t>
      </w:r>
      <w:r>
        <w:rPr>
          <w:rFonts w:hint="eastAsia" w:ascii="宋体" w:hAnsi="宋体"/>
          <w:b/>
          <w:bCs/>
          <w:color w:val="auto"/>
          <w:kern w:val="0"/>
        </w:rPr>
        <w:t>；非法定代表人参加投标活动及签署文件的除提供法定代表人身份证明外还须提供授权委托书。</w:t>
      </w:r>
    </w:p>
    <w:p w14:paraId="0991314A">
      <w:pPr>
        <w:spacing w:before="48" w:beforeLines="20" w:after="48" w:afterLines="20" w:line="540" w:lineRule="exact"/>
        <w:ind w:firstLine="5565" w:firstLineChars="2650"/>
        <w:rPr>
          <w:rFonts w:hint="eastAsia" w:ascii="宋体" w:hAnsi="宋体"/>
          <w:color w:val="auto"/>
          <w:szCs w:val="21"/>
        </w:rPr>
      </w:pPr>
    </w:p>
    <w:p w14:paraId="3F1C9B02">
      <w:pPr>
        <w:widowControl/>
        <w:jc w:val="left"/>
        <w:rPr>
          <w:rFonts w:ascii="黑体" w:hAnsi="黑体" w:eastAsia="黑体"/>
          <w:bCs/>
          <w:color w:val="auto"/>
          <w:sz w:val="24"/>
        </w:rPr>
      </w:pPr>
      <w:r>
        <w:rPr>
          <w:rFonts w:ascii="黑体" w:hAnsi="黑体" w:eastAsia="黑体"/>
          <w:bCs/>
          <w:color w:val="auto"/>
          <w:sz w:val="24"/>
        </w:rPr>
        <w:br w:type="page"/>
      </w:r>
    </w:p>
    <w:p w14:paraId="7EA547DD">
      <w:pPr>
        <w:pStyle w:val="4"/>
        <w:pageBreakBefore/>
        <w:rPr>
          <w:rFonts w:hAnsi="宋体"/>
          <w:color w:val="auto"/>
          <w:sz w:val="28"/>
        </w:rPr>
      </w:pPr>
      <w:r>
        <w:rPr>
          <w:rFonts w:hint="eastAsia" w:hAnsi="宋体"/>
          <w:color w:val="auto"/>
          <w:sz w:val="28"/>
        </w:rPr>
        <w:t>投标授权书</w:t>
      </w:r>
      <w:bookmarkEnd w:id="69"/>
      <w:bookmarkEnd w:id="70"/>
      <w:bookmarkEnd w:id="71"/>
    </w:p>
    <w:p w14:paraId="0625695F">
      <w:pPr>
        <w:pStyle w:val="27"/>
        <w:snapToGrid w:val="0"/>
        <w:spacing w:line="480" w:lineRule="auto"/>
        <w:ind w:firstLine="480" w:firstLineChars="200"/>
        <w:jc w:val="left"/>
        <w:rPr>
          <w:rFonts w:hAnsi="宋体"/>
          <w:color w:val="auto"/>
          <w:sz w:val="24"/>
          <w:szCs w:val="28"/>
        </w:rPr>
      </w:pPr>
      <w:r>
        <w:rPr>
          <w:rFonts w:hint="eastAsia" w:hAnsi="宋体"/>
          <w:color w:val="auto"/>
          <w:sz w:val="24"/>
          <w:szCs w:val="28"/>
        </w:rPr>
        <w:t>本授权书声明：</w:t>
      </w:r>
      <w:r>
        <w:rPr>
          <w:rFonts w:hint="eastAsia" w:hAnsi="宋体"/>
          <w:color w:val="auto"/>
          <w:sz w:val="24"/>
          <w:szCs w:val="28"/>
          <w:u w:val="single"/>
        </w:rPr>
        <w:t xml:space="preserve">           </w:t>
      </w:r>
      <w:r>
        <w:rPr>
          <w:rFonts w:hint="eastAsia" w:hAnsi="宋体"/>
          <w:color w:val="auto"/>
          <w:sz w:val="24"/>
          <w:szCs w:val="28"/>
        </w:rPr>
        <w:t>（投标单位）授权本公司</w:t>
      </w:r>
      <w:r>
        <w:rPr>
          <w:rFonts w:hint="eastAsia" w:hAnsi="宋体"/>
          <w:color w:val="auto"/>
          <w:sz w:val="24"/>
          <w:szCs w:val="28"/>
          <w:u w:val="single"/>
        </w:rPr>
        <w:t xml:space="preserve">       </w:t>
      </w:r>
      <w:r>
        <w:rPr>
          <w:rFonts w:hint="eastAsia" w:hAnsi="宋体"/>
          <w:color w:val="auto"/>
          <w:sz w:val="24"/>
          <w:szCs w:val="28"/>
        </w:rPr>
        <w:t>（投标人代表姓名、职务）代表本公司参加</w:t>
      </w:r>
      <w:r>
        <w:rPr>
          <w:rFonts w:hint="eastAsia" w:hAnsi="宋体"/>
          <w:color w:val="auto"/>
          <w:sz w:val="24"/>
          <w:szCs w:val="28"/>
          <w:u w:val="single"/>
        </w:rPr>
        <w:t xml:space="preserve"> </w:t>
      </w:r>
      <w:r>
        <w:rPr>
          <w:rFonts w:hint="eastAsia" w:hAnsi="宋体"/>
          <w:color w:val="auto"/>
          <w:sz w:val="24"/>
          <w:szCs w:val="28"/>
          <w:u w:val="single"/>
          <w:lang w:val="en-US" w:eastAsia="zh-CN"/>
        </w:rPr>
        <w:t>合肥市篮球公园改造提升项目监理</w:t>
      </w:r>
      <w:r>
        <w:rPr>
          <w:rFonts w:hint="eastAsia" w:hAnsi="宋体"/>
          <w:color w:val="auto"/>
          <w:sz w:val="24"/>
          <w:szCs w:val="18"/>
          <w:u w:val="single"/>
        </w:rPr>
        <w:t xml:space="preserve"> </w:t>
      </w:r>
      <w:r>
        <w:rPr>
          <w:rFonts w:hint="eastAsia" w:hAnsi="宋体"/>
          <w:bCs/>
          <w:color w:val="auto"/>
          <w:sz w:val="24"/>
          <w:szCs w:val="28"/>
        </w:rPr>
        <w:t>招标活动（项目编号：）</w:t>
      </w:r>
      <w:r>
        <w:rPr>
          <w:rFonts w:hint="eastAsia" w:hAnsi="宋体"/>
          <w:color w:val="auto"/>
          <w:sz w:val="24"/>
          <w:szCs w:val="28"/>
        </w:rPr>
        <w:t>，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02B77604">
      <w:pPr>
        <w:pStyle w:val="27"/>
        <w:snapToGrid w:val="0"/>
        <w:spacing w:line="480" w:lineRule="auto"/>
        <w:ind w:firstLine="480" w:firstLineChars="200"/>
        <w:jc w:val="left"/>
        <w:rPr>
          <w:rFonts w:hAnsi="宋体"/>
          <w:color w:val="auto"/>
          <w:sz w:val="24"/>
          <w:szCs w:val="28"/>
        </w:rPr>
      </w:pPr>
      <w:r>
        <w:rPr>
          <w:rFonts w:hint="eastAsia" w:hAnsi="宋体"/>
          <w:color w:val="auto"/>
          <w:sz w:val="24"/>
          <w:szCs w:val="28"/>
        </w:rPr>
        <w:t>委托期限：自本委托书签署之日起至投标有效期期满。</w:t>
      </w:r>
    </w:p>
    <w:p w14:paraId="60924977">
      <w:pPr>
        <w:spacing w:line="360" w:lineRule="auto"/>
        <w:rPr>
          <w:rFonts w:ascii="宋体" w:hAnsi="宋体"/>
          <w:color w:val="auto"/>
          <w:sz w:val="24"/>
          <w:szCs w:val="28"/>
        </w:rPr>
      </w:pPr>
    </w:p>
    <w:p w14:paraId="4B632844">
      <w:pPr>
        <w:spacing w:line="360" w:lineRule="auto"/>
        <w:ind w:firstLine="645"/>
        <w:rPr>
          <w:rFonts w:ascii="宋体" w:hAnsi="宋体"/>
          <w:color w:val="auto"/>
          <w:sz w:val="24"/>
          <w:szCs w:val="28"/>
        </w:rPr>
      </w:pPr>
      <w:r>
        <w:rPr>
          <w:rFonts w:hint="eastAsia" w:ascii="宋体" w:hAnsi="宋体"/>
          <w:color w:val="auto"/>
          <w:sz w:val="24"/>
          <w:szCs w:val="28"/>
        </w:rPr>
        <w:t>特此声明。</w:t>
      </w:r>
    </w:p>
    <w:p w14:paraId="1FC50173">
      <w:pPr>
        <w:spacing w:line="360" w:lineRule="auto"/>
        <w:rPr>
          <w:rFonts w:ascii="宋体" w:hAnsi="宋体"/>
          <w:color w:val="auto"/>
          <w:sz w:val="24"/>
          <w:szCs w:val="28"/>
        </w:rPr>
      </w:pPr>
    </w:p>
    <w:p w14:paraId="4B49CDF9">
      <w:pPr>
        <w:spacing w:line="360" w:lineRule="auto"/>
        <w:ind w:firstLine="241" w:firstLineChars="100"/>
        <w:rPr>
          <w:rFonts w:ascii="仿宋_GB2312" w:eastAsia="仿宋_GB2312"/>
          <w:b/>
          <w:color w:val="auto"/>
          <w:sz w:val="24"/>
          <w:szCs w:val="24"/>
        </w:rPr>
      </w:pPr>
      <w:r>
        <w:rPr>
          <w:rFonts w:hint="eastAsia" w:ascii="仿宋_GB2312" w:eastAsia="仿宋_GB2312"/>
          <w:b/>
          <w:color w:val="auto"/>
          <w:sz w:val="24"/>
          <w:szCs w:val="24"/>
        </w:rPr>
        <w:t>投标人（公章）：</w:t>
      </w:r>
      <w:r>
        <w:rPr>
          <w:rFonts w:hint="eastAsia" w:ascii="仿宋_GB2312" w:eastAsia="仿宋_GB2312"/>
          <w:b/>
          <w:color w:val="auto"/>
          <w:sz w:val="24"/>
          <w:szCs w:val="24"/>
          <w:u w:val="single"/>
        </w:rPr>
        <w:t xml:space="preserve">                </w:t>
      </w:r>
    </w:p>
    <w:p w14:paraId="56459F2D">
      <w:pPr>
        <w:spacing w:line="360" w:lineRule="auto"/>
        <w:ind w:firstLine="241" w:firstLineChars="100"/>
        <w:rPr>
          <w:rFonts w:ascii="仿宋_GB2312" w:eastAsia="仿宋_GB2312"/>
          <w:b/>
          <w:color w:val="auto"/>
          <w:sz w:val="24"/>
          <w:szCs w:val="24"/>
        </w:rPr>
      </w:pPr>
      <w:r>
        <w:rPr>
          <w:rFonts w:hint="eastAsia" w:ascii="仿宋_GB2312" w:eastAsia="仿宋_GB2312"/>
          <w:b/>
          <w:color w:val="auto"/>
          <w:sz w:val="24"/>
          <w:szCs w:val="24"/>
        </w:rPr>
        <w:t>日期：</w:t>
      </w:r>
      <w:r>
        <w:rPr>
          <w:rFonts w:hint="eastAsia" w:ascii="仿宋_GB2312" w:eastAsia="仿宋_GB2312"/>
          <w:b/>
          <w:color w:val="auto"/>
          <w:sz w:val="24"/>
          <w:szCs w:val="24"/>
          <w:u w:val="single"/>
        </w:rPr>
        <w:t xml:space="preserve">        </w:t>
      </w:r>
      <w:r>
        <w:rPr>
          <w:rFonts w:hint="eastAsia" w:ascii="仿宋_GB2312" w:eastAsia="仿宋_GB2312"/>
          <w:b/>
          <w:color w:val="auto"/>
          <w:sz w:val="24"/>
          <w:szCs w:val="24"/>
        </w:rPr>
        <w:t>年</w:t>
      </w:r>
      <w:r>
        <w:rPr>
          <w:rFonts w:hint="eastAsia" w:ascii="仿宋_GB2312" w:eastAsia="仿宋_GB2312"/>
          <w:b/>
          <w:color w:val="auto"/>
          <w:sz w:val="24"/>
          <w:szCs w:val="24"/>
          <w:u w:val="single"/>
        </w:rPr>
        <w:t xml:space="preserve">      </w:t>
      </w:r>
      <w:r>
        <w:rPr>
          <w:rFonts w:hint="eastAsia" w:ascii="仿宋_GB2312" w:eastAsia="仿宋_GB2312"/>
          <w:b/>
          <w:color w:val="auto"/>
          <w:sz w:val="24"/>
          <w:szCs w:val="24"/>
        </w:rPr>
        <w:t>月</w:t>
      </w:r>
      <w:r>
        <w:rPr>
          <w:rFonts w:hint="eastAsia" w:ascii="仿宋_GB2312" w:eastAsia="仿宋_GB2312"/>
          <w:b/>
          <w:color w:val="auto"/>
          <w:sz w:val="24"/>
          <w:szCs w:val="24"/>
          <w:u w:val="single"/>
        </w:rPr>
        <w:t xml:space="preserve">       </w:t>
      </w:r>
      <w:r>
        <w:rPr>
          <w:rFonts w:hint="eastAsia" w:ascii="仿宋_GB2312" w:eastAsia="仿宋_GB2312"/>
          <w:b/>
          <w:color w:val="auto"/>
          <w:sz w:val="24"/>
          <w:szCs w:val="24"/>
        </w:rPr>
        <w:t>日</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4"/>
        <w:gridCol w:w="5155"/>
      </w:tblGrid>
      <w:tr w14:paraId="24FC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54" w:type="dxa"/>
            <w:tcBorders>
              <w:top w:val="nil"/>
              <w:left w:val="nil"/>
              <w:bottom w:val="nil"/>
              <w:right w:val="nil"/>
              <w:tl2br w:val="nil"/>
            </w:tcBorders>
            <w:shd w:val="clear" w:color="auto" w:fill="FFFFFF"/>
          </w:tcPr>
          <w:p w14:paraId="416568E3">
            <w:pPr>
              <w:rPr>
                <w:rFonts w:ascii="宋体" w:hAnsi="宋体"/>
                <w:color w:val="auto"/>
                <w:sz w:val="24"/>
                <w:szCs w:val="28"/>
              </w:rPr>
            </w:pPr>
            <w:r>
              <w:rPr>
                <w:rFonts w:hint="eastAsia" w:ascii="宋体" w:hAnsi="宋体"/>
                <w:color w:val="auto"/>
                <w:sz w:val="24"/>
                <w:szCs w:val="28"/>
              </w:rPr>
              <w:t>法定代表人身份证（正反面）</w:t>
            </w:r>
          </w:p>
        </w:tc>
        <w:tc>
          <w:tcPr>
            <w:tcW w:w="5155" w:type="dxa"/>
            <w:tcBorders>
              <w:top w:val="nil"/>
              <w:left w:val="nil"/>
              <w:bottom w:val="nil"/>
              <w:right w:val="nil"/>
            </w:tcBorders>
            <w:shd w:val="clear" w:color="auto" w:fill="FFFFFF"/>
          </w:tcPr>
          <w:p w14:paraId="6BBC5930">
            <w:pPr>
              <w:rPr>
                <w:rFonts w:ascii="宋体" w:hAnsi="宋体"/>
                <w:color w:val="auto"/>
                <w:sz w:val="24"/>
                <w:szCs w:val="28"/>
              </w:rPr>
            </w:pPr>
            <w:r>
              <w:rPr>
                <w:rFonts w:hint="eastAsia" w:ascii="宋体" w:hAnsi="宋体"/>
                <w:color w:val="auto"/>
                <w:sz w:val="24"/>
                <w:szCs w:val="28"/>
              </w:rPr>
              <w:t>法定代表人身份证（正反面）</w:t>
            </w:r>
          </w:p>
        </w:tc>
      </w:tr>
      <w:tr w14:paraId="0CAF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54" w:type="dxa"/>
            <w:tcBorders>
              <w:top w:val="nil"/>
              <w:left w:val="nil"/>
              <w:bottom w:val="nil"/>
              <w:right w:val="nil"/>
            </w:tcBorders>
            <w:shd w:val="clear" w:color="auto" w:fill="FFFFFF"/>
          </w:tcPr>
          <w:p w14:paraId="5AF2BEAB">
            <w:pPr>
              <w:rPr>
                <w:rFonts w:ascii="宋体" w:hAnsi="宋体"/>
                <w:color w:val="auto"/>
                <w:sz w:val="24"/>
                <w:szCs w:val="28"/>
              </w:rPr>
            </w:pPr>
            <w:r>
              <w:rPr>
                <w:rFonts w:hint="eastAsia" w:ascii="宋体" w:hAnsi="宋体"/>
                <w:color w:val="auto"/>
                <w:sz w:val="24"/>
                <w:szCs w:val="28"/>
              </w:rPr>
              <w:t>授权委托人身份证（正反面）</w:t>
            </w:r>
          </w:p>
        </w:tc>
        <w:tc>
          <w:tcPr>
            <w:tcW w:w="5155" w:type="dxa"/>
            <w:tcBorders>
              <w:top w:val="nil"/>
              <w:left w:val="nil"/>
              <w:bottom w:val="nil"/>
              <w:right w:val="nil"/>
            </w:tcBorders>
            <w:shd w:val="clear" w:color="auto" w:fill="FFFFFF"/>
          </w:tcPr>
          <w:p w14:paraId="668541ED">
            <w:pPr>
              <w:rPr>
                <w:rFonts w:ascii="宋体" w:hAnsi="宋体"/>
                <w:color w:val="auto"/>
                <w:sz w:val="24"/>
                <w:szCs w:val="28"/>
              </w:rPr>
            </w:pPr>
            <w:r>
              <w:rPr>
                <w:rFonts w:hint="eastAsia" w:ascii="宋体" w:hAnsi="宋体"/>
                <w:color w:val="auto"/>
                <w:sz w:val="24"/>
                <w:szCs w:val="28"/>
              </w:rPr>
              <w:t>授权委托人身份证（正反面）</w:t>
            </w:r>
          </w:p>
        </w:tc>
      </w:tr>
    </w:tbl>
    <w:p w14:paraId="16F1BD12">
      <w:pPr>
        <w:pStyle w:val="4"/>
        <w:pageBreakBefore/>
        <w:numPr>
          <w:ilvl w:val="0"/>
          <w:numId w:val="8"/>
        </w:numPr>
        <w:rPr>
          <w:color w:val="auto"/>
        </w:rPr>
      </w:pPr>
      <w:r>
        <w:rPr>
          <w:rFonts w:ascii="Times New Roman" w:hAnsi="Times New Roman"/>
          <w:color w:val="auto"/>
        </w:rPr>
        <w:t>拟委任的主要人员汇总表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92"/>
        <w:gridCol w:w="735"/>
        <w:gridCol w:w="709"/>
        <w:gridCol w:w="1134"/>
        <w:gridCol w:w="992"/>
        <w:gridCol w:w="709"/>
        <w:gridCol w:w="976"/>
      </w:tblGrid>
      <w:tr w14:paraId="07D0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noWrap w:val="0"/>
            <w:vAlign w:val="center"/>
          </w:tcPr>
          <w:p w14:paraId="265F6759">
            <w:pPr>
              <w:spacing w:line="440" w:lineRule="exact"/>
              <w:jc w:val="center"/>
              <w:rPr>
                <w:rFonts w:ascii="Times New Roman" w:hAnsi="Times New Roman"/>
                <w:color w:val="auto"/>
              </w:rPr>
            </w:pPr>
            <w:r>
              <w:rPr>
                <w:rFonts w:ascii="Times New Roman" w:hAnsi="Times New Roman"/>
                <w:color w:val="auto"/>
              </w:rPr>
              <w:t>序号</w:t>
            </w:r>
          </w:p>
        </w:tc>
        <w:tc>
          <w:tcPr>
            <w:tcW w:w="1275" w:type="dxa"/>
            <w:vMerge w:val="restart"/>
            <w:noWrap w:val="0"/>
            <w:vAlign w:val="center"/>
          </w:tcPr>
          <w:p w14:paraId="6A6E8755">
            <w:pPr>
              <w:spacing w:line="440" w:lineRule="exact"/>
              <w:jc w:val="center"/>
              <w:rPr>
                <w:rFonts w:ascii="Times New Roman" w:hAnsi="Times New Roman"/>
                <w:color w:val="auto"/>
              </w:rPr>
            </w:pPr>
            <w:r>
              <w:rPr>
                <w:rFonts w:ascii="Times New Roman" w:hAnsi="Times New Roman"/>
                <w:color w:val="auto"/>
              </w:rPr>
              <w:t>本项目任职</w:t>
            </w:r>
          </w:p>
        </w:tc>
        <w:tc>
          <w:tcPr>
            <w:tcW w:w="992" w:type="dxa"/>
            <w:vMerge w:val="restart"/>
            <w:noWrap w:val="0"/>
            <w:vAlign w:val="center"/>
          </w:tcPr>
          <w:p w14:paraId="59D88472">
            <w:pPr>
              <w:spacing w:line="440" w:lineRule="exact"/>
              <w:jc w:val="center"/>
              <w:rPr>
                <w:rFonts w:ascii="Times New Roman" w:hAnsi="Times New Roman"/>
                <w:color w:val="auto"/>
              </w:rPr>
            </w:pPr>
            <w:r>
              <w:rPr>
                <w:rFonts w:ascii="Times New Roman" w:hAnsi="Times New Roman"/>
                <w:color w:val="auto"/>
              </w:rPr>
              <w:t>姓名</w:t>
            </w:r>
          </w:p>
        </w:tc>
        <w:tc>
          <w:tcPr>
            <w:tcW w:w="735" w:type="dxa"/>
            <w:vMerge w:val="restart"/>
            <w:noWrap w:val="0"/>
            <w:vAlign w:val="center"/>
          </w:tcPr>
          <w:p w14:paraId="1CB16262">
            <w:pPr>
              <w:spacing w:line="440" w:lineRule="exact"/>
              <w:jc w:val="center"/>
              <w:rPr>
                <w:rFonts w:ascii="Times New Roman" w:hAnsi="Times New Roman"/>
                <w:color w:val="auto"/>
              </w:rPr>
            </w:pPr>
            <w:r>
              <w:rPr>
                <w:rFonts w:hint="eastAsia" w:ascii="Times New Roman" w:hAnsi="Times New Roman"/>
                <w:color w:val="auto"/>
              </w:rPr>
              <w:t>职称</w:t>
            </w:r>
          </w:p>
        </w:tc>
        <w:tc>
          <w:tcPr>
            <w:tcW w:w="709" w:type="dxa"/>
            <w:vMerge w:val="restart"/>
            <w:noWrap w:val="0"/>
            <w:vAlign w:val="center"/>
          </w:tcPr>
          <w:p w14:paraId="120B4CB2">
            <w:pPr>
              <w:spacing w:line="440" w:lineRule="exact"/>
              <w:jc w:val="center"/>
              <w:rPr>
                <w:rFonts w:ascii="Times New Roman" w:hAnsi="Times New Roman"/>
                <w:color w:val="auto"/>
              </w:rPr>
            </w:pPr>
            <w:r>
              <w:rPr>
                <w:rFonts w:hint="eastAsia" w:ascii="Times New Roman" w:hAnsi="Times New Roman"/>
                <w:color w:val="auto"/>
              </w:rPr>
              <w:t>专业</w:t>
            </w:r>
          </w:p>
        </w:tc>
        <w:tc>
          <w:tcPr>
            <w:tcW w:w="2835" w:type="dxa"/>
            <w:gridSpan w:val="3"/>
            <w:noWrap w:val="0"/>
            <w:vAlign w:val="center"/>
          </w:tcPr>
          <w:p w14:paraId="1EF32313">
            <w:pPr>
              <w:spacing w:line="440" w:lineRule="exact"/>
              <w:jc w:val="center"/>
              <w:rPr>
                <w:rFonts w:ascii="Times New Roman" w:hAnsi="Times New Roman"/>
                <w:color w:val="auto"/>
              </w:rPr>
            </w:pPr>
            <w:r>
              <w:rPr>
                <w:rFonts w:ascii="Times New Roman" w:hAnsi="Times New Roman"/>
                <w:color w:val="auto"/>
              </w:rPr>
              <w:t>执业或职业资格证明</w:t>
            </w:r>
          </w:p>
        </w:tc>
        <w:tc>
          <w:tcPr>
            <w:tcW w:w="976" w:type="dxa"/>
            <w:noWrap w:val="0"/>
            <w:vAlign w:val="center"/>
          </w:tcPr>
          <w:p w14:paraId="2471FA1D">
            <w:pPr>
              <w:spacing w:line="440" w:lineRule="exact"/>
              <w:jc w:val="center"/>
              <w:rPr>
                <w:rFonts w:ascii="Times New Roman" w:hAnsi="Times New Roman"/>
                <w:color w:val="auto"/>
              </w:rPr>
            </w:pPr>
            <w:r>
              <w:rPr>
                <w:rFonts w:ascii="Times New Roman" w:hAnsi="Times New Roman"/>
                <w:color w:val="auto"/>
              </w:rPr>
              <w:t>备注</w:t>
            </w:r>
          </w:p>
        </w:tc>
      </w:tr>
      <w:tr w14:paraId="59E9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noWrap w:val="0"/>
            <w:vAlign w:val="center"/>
          </w:tcPr>
          <w:p w14:paraId="27130AA1">
            <w:pPr>
              <w:rPr>
                <w:rFonts w:ascii="Times New Roman" w:hAnsi="Times New Roman"/>
                <w:color w:val="auto"/>
              </w:rPr>
            </w:pPr>
          </w:p>
        </w:tc>
        <w:tc>
          <w:tcPr>
            <w:tcW w:w="1275" w:type="dxa"/>
            <w:vMerge w:val="continue"/>
            <w:noWrap w:val="0"/>
            <w:vAlign w:val="top"/>
          </w:tcPr>
          <w:p w14:paraId="34CEDD21">
            <w:pPr>
              <w:rPr>
                <w:rFonts w:ascii="Times New Roman" w:hAnsi="Times New Roman"/>
                <w:color w:val="auto"/>
              </w:rPr>
            </w:pPr>
          </w:p>
        </w:tc>
        <w:tc>
          <w:tcPr>
            <w:tcW w:w="992" w:type="dxa"/>
            <w:vMerge w:val="continue"/>
            <w:noWrap w:val="0"/>
            <w:vAlign w:val="center"/>
          </w:tcPr>
          <w:p w14:paraId="43B416AA">
            <w:pPr>
              <w:rPr>
                <w:rFonts w:ascii="Times New Roman" w:hAnsi="Times New Roman"/>
                <w:color w:val="auto"/>
              </w:rPr>
            </w:pPr>
          </w:p>
        </w:tc>
        <w:tc>
          <w:tcPr>
            <w:tcW w:w="735" w:type="dxa"/>
            <w:vMerge w:val="continue"/>
            <w:noWrap w:val="0"/>
            <w:vAlign w:val="center"/>
          </w:tcPr>
          <w:p w14:paraId="4245ACDD">
            <w:pPr>
              <w:rPr>
                <w:rFonts w:ascii="Times New Roman" w:hAnsi="Times New Roman"/>
                <w:color w:val="auto"/>
              </w:rPr>
            </w:pPr>
          </w:p>
        </w:tc>
        <w:tc>
          <w:tcPr>
            <w:tcW w:w="709" w:type="dxa"/>
            <w:vMerge w:val="continue"/>
            <w:noWrap w:val="0"/>
            <w:vAlign w:val="center"/>
          </w:tcPr>
          <w:p w14:paraId="68C854BB">
            <w:pPr>
              <w:spacing w:line="440" w:lineRule="exact"/>
              <w:jc w:val="center"/>
              <w:rPr>
                <w:rFonts w:ascii="Times New Roman" w:hAnsi="Times New Roman"/>
                <w:color w:val="auto"/>
              </w:rPr>
            </w:pPr>
          </w:p>
        </w:tc>
        <w:tc>
          <w:tcPr>
            <w:tcW w:w="1134" w:type="dxa"/>
            <w:noWrap w:val="0"/>
            <w:vAlign w:val="center"/>
          </w:tcPr>
          <w:p w14:paraId="53115E1B">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证书名称</w:t>
            </w:r>
          </w:p>
        </w:tc>
        <w:tc>
          <w:tcPr>
            <w:tcW w:w="992" w:type="dxa"/>
            <w:noWrap w:val="0"/>
            <w:vAlign w:val="center"/>
          </w:tcPr>
          <w:p w14:paraId="1B52EA4E">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级别</w:t>
            </w:r>
          </w:p>
        </w:tc>
        <w:tc>
          <w:tcPr>
            <w:tcW w:w="709" w:type="dxa"/>
            <w:noWrap w:val="0"/>
            <w:vAlign w:val="center"/>
          </w:tcPr>
          <w:p w14:paraId="3C5CEF1E">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证号</w:t>
            </w:r>
          </w:p>
        </w:tc>
        <w:tc>
          <w:tcPr>
            <w:tcW w:w="976" w:type="dxa"/>
            <w:noWrap w:val="0"/>
            <w:vAlign w:val="center"/>
          </w:tcPr>
          <w:p w14:paraId="7BDC7DB3">
            <w:pPr>
              <w:spacing w:line="440" w:lineRule="exact"/>
              <w:jc w:val="center"/>
              <w:rPr>
                <w:rFonts w:ascii="Times New Roman" w:hAnsi="Times New Roman"/>
                <w:color w:val="auto"/>
              </w:rPr>
            </w:pPr>
          </w:p>
        </w:tc>
      </w:tr>
      <w:tr w14:paraId="57D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center"/>
          </w:tcPr>
          <w:p w14:paraId="67D24C9E">
            <w:pPr>
              <w:spacing w:line="440" w:lineRule="exact"/>
              <w:jc w:val="center"/>
              <w:rPr>
                <w:rFonts w:ascii="Times New Roman" w:hAnsi="Times New Roman"/>
                <w:color w:val="auto"/>
              </w:rPr>
            </w:pPr>
          </w:p>
        </w:tc>
        <w:tc>
          <w:tcPr>
            <w:tcW w:w="1275" w:type="dxa"/>
            <w:noWrap w:val="0"/>
            <w:vAlign w:val="top"/>
          </w:tcPr>
          <w:p w14:paraId="54079A87">
            <w:pPr>
              <w:spacing w:line="440" w:lineRule="exact"/>
              <w:jc w:val="center"/>
              <w:rPr>
                <w:rFonts w:ascii="Times New Roman" w:hAnsi="Times New Roman"/>
                <w:color w:val="auto"/>
              </w:rPr>
            </w:pPr>
          </w:p>
        </w:tc>
        <w:tc>
          <w:tcPr>
            <w:tcW w:w="992" w:type="dxa"/>
            <w:noWrap w:val="0"/>
            <w:vAlign w:val="center"/>
          </w:tcPr>
          <w:p w14:paraId="22AB299B">
            <w:pPr>
              <w:spacing w:line="440" w:lineRule="exact"/>
              <w:jc w:val="center"/>
              <w:rPr>
                <w:rFonts w:ascii="Times New Roman" w:hAnsi="Times New Roman"/>
                <w:color w:val="auto"/>
              </w:rPr>
            </w:pPr>
          </w:p>
        </w:tc>
        <w:tc>
          <w:tcPr>
            <w:tcW w:w="735" w:type="dxa"/>
            <w:noWrap w:val="0"/>
            <w:vAlign w:val="center"/>
          </w:tcPr>
          <w:p w14:paraId="04B47ED0">
            <w:pPr>
              <w:spacing w:line="440" w:lineRule="exact"/>
              <w:jc w:val="center"/>
              <w:rPr>
                <w:rFonts w:ascii="Times New Roman" w:hAnsi="Times New Roman"/>
                <w:color w:val="auto"/>
              </w:rPr>
            </w:pPr>
          </w:p>
        </w:tc>
        <w:tc>
          <w:tcPr>
            <w:tcW w:w="709" w:type="dxa"/>
            <w:noWrap w:val="0"/>
            <w:vAlign w:val="center"/>
          </w:tcPr>
          <w:p w14:paraId="6D62C7BE">
            <w:pPr>
              <w:spacing w:line="440" w:lineRule="exact"/>
              <w:jc w:val="center"/>
              <w:rPr>
                <w:rFonts w:ascii="Times New Roman" w:hAnsi="Times New Roman"/>
                <w:color w:val="auto"/>
              </w:rPr>
            </w:pPr>
          </w:p>
        </w:tc>
        <w:tc>
          <w:tcPr>
            <w:tcW w:w="1134" w:type="dxa"/>
            <w:noWrap w:val="0"/>
            <w:vAlign w:val="center"/>
          </w:tcPr>
          <w:p w14:paraId="3C330DF3">
            <w:pPr>
              <w:spacing w:line="440" w:lineRule="exact"/>
              <w:jc w:val="center"/>
              <w:rPr>
                <w:rFonts w:ascii="Times New Roman" w:hAnsi="Times New Roman"/>
                <w:color w:val="auto"/>
              </w:rPr>
            </w:pPr>
          </w:p>
        </w:tc>
        <w:tc>
          <w:tcPr>
            <w:tcW w:w="992" w:type="dxa"/>
            <w:noWrap w:val="0"/>
            <w:vAlign w:val="center"/>
          </w:tcPr>
          <w:p w14:paraId="766849EE">
            <w:pPr>
              <w:spacing w:line="440" w:lineRule="exact"/>
              <w:jc w:val="center"/>
              <w:rPr>
                <w:rFonts w:ascii="Times New Roman" w:hAnsi="Times New Roman"/>
                <w:color w:val="auto"/>
              </w:rPr>
            </w:pPr>
          </w:p>
        </w:tc>
        <w:tc>
          <w:tcPr>
            <w:tcW w:w="709" w:type="dxa"/>
            <w:noWrap w:val="0"/>
            <w:vAlign w:val="center"/>
          </w:tcPr>
          <w:p w14:paraId="6111D589">
            <w:pPr>
              <w:spacing w:line="440" w:lineRule="exact"/>
              <w:jc w:val="center"/>
              <w:rPr>
                <w:rFonts w:ascii="Times New Roman" w:hAnsi="Times New Roman"/>
                <w:color w:val="auto"/>
              </w:rPr>
            </w:pPr>
          </w:p>
        </w:tc>
        <w:tc>
          <w:tcPr>
            <w:tcW w:w="976" w:type="dxa"/>
            <w:noWrap w:val="0"/>
            <w:vAlign w:val="center"/>
          </w:tcPr>
          <w:p w14:paraId="1AE1D896">
            <w:pPr>
              <w:spacing w:line="440" w:lineRule="exact"/>
              <w:jc w:val="center"/>
              <w:rPr>
                <w:rFonts w:ascii="Times New Roman" w:hAnsi="Times New Roman"/>
                <w:color w:val="auto"/>
              </w:rPr>
            </w:pPr>
          </w:p>
        </w:tc>
      </w:tr>
      <w:tr w14:paraId="7704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B8B6812">
            <w:pPr>
              <w:spacing w:line="440" w:lineRule="exact"/>
              <w:jc w:val="center"/>
              <w:rPr>
                <w:rFonts w:ascii="Times New Roman" w:hAnsi="Times New Roman"/>
                <w:color w:val="auto"/>
              </w:rPr>
            </w:pPr>
          </w:p>
        </w:tc>
        <w:tc>
          <w:tcPr>
            <w:tcW w:w="1275" w:type="dxa"/>
            <w:noWrap w:val="0"/>
            <w:vAlign w:val="top"/>
          </w:tcPr>
          <w:p w14:paraId="19FEA2C3">
            <w:pPr>
              <w:spacing w:line="440" w:lineRule="exact"/>
              <w:jc w:val="center"/>
              <w:rPr>
                <w:rFonts w:ascii="Times New Roman" w:hAnsi="Times New Roman"/>
                <w:color w:val="auto"/>
              </w:rPr>
            </w:pPr>
          </w:p>
        </w:tc>
        <w:tc>
          <w:tcPr>
            <w:tcW w:w="992" w:type="dxa"/>
            <w:noWrap w:val="0"/>
            <w:vAlign w:val="top"/>
          </w:tcPr>
          <w:p w14:paraId="6317553C">
            <w:pPr>
              <w:spacing w:line="440" w:lineRule="exact"/>
              <w:jc w:val="center"/>
              <w:rPr>
                <w:rFonts w:ascii="Times New Roman" w:hAnsi="Times New Roman"/>
                <w:color w:val="auto"/>
              </w:rPr>
            </w:pPr>
          </w:p>
        </w:tc>
        <w:tc>
          <w:tcPr>
            <w:tcW w:w="735" w:type="dxa"/>
            <w:noWrap w:val="0"/>
            <w:vAlign w:val="top"/>
          </w:tcPr>
          <w:p w14:paraId="43263E62">
            <w:pPr>
              <w:spacing w:line="440" w:lineRule="exact"/>
              <w:jc w:val="center"/>
              <w:rPr>
                <w:rFonts w:ascii="Times New Roman" w:hAnsi="Times New Roman"/>
                <w:color w:val="auto"/>
              </w:rPr>
            </w:pPr>
          </w:p>
        </w:tc>
        <w:tc>
          <w:tcPr>
            <w:tcW w:w="709" w:type="dxa"/>
            <w:noWrap w:val="0"/>
            <w:vAlign w:val="top"/>
          </w:tcPr>
          <w:p w14:paraId="250A4C0F">
            <w:pPr>
              <w:spacing w:line="440" w:lineRule="exact"/>
              <w:jc w:val="center"/>
              <w:rPr>
                <w:rFonts w:ascii="Times New Roman" w:hAnsi="Times New Roman"/>
                <w:color w:val="auto"/>
              </w:rPr>
            </w:pPr>
          </w:p>
        </w:tc>
        <w:tc>
          <w:tcPr>
            <w:tcW w:w="1134" w:type="dxa"/>
            <w:noWrap w:val="0"/>
            <w:vAlign w:val="top"/>
          </w:tcPr>
          <w:p w14:paraId="349592FB">
            <w:pPr>
              <w:spacing w:line="440" w:lineRule="exact"/>
              <w:jc w:val="center"/>
              <w:rPr>
                <w:rFonts w:ascii="Times New Roman" w:hAnsi="Times New Roman"/>
                <w:color w:val="auto"/>
              </w:rPr>
            </w:pPr>
          </w:p>
        </w:tc>
        <w:tc>
          <w:tcPr>
            <w:tcW w:w="992" w:type="dxa"/>
            <w:noWrap w:val="0"/>
            <w:vAlign w:val="top"/>
          </w:tcPr>
          <w:p w14:paraId="4151B19B">
            <w:pPr>
              <w:spacing w:line="440" w:lineRule="exact"/>
              <w:jc w:val="center"/>
              <w:rPr>
                <w:rFonts w:ascii="Times New Roman" w:hAnsi="Times New Roman"/>
                <w:color w:val="auto"/>
              </w:rPr>
            </w:pPr>
          </w:p>
        </w:tc>
        <w:tc>
          <w:tcPr>
            <w:tcW w:w="709" w:type="dxa"/>
            <w:noWrap w:val="0"/>
            <w:vAlign w:val="top"/>
          </w:tcPr>
          <w:p w14:paraId="7BE43A4F">
            <w:pPr>
              <w:spacing w:line="440" w:lineRule="exact"/>
              <w:jc w:val="center"/>
              <w:rPr>
                <w:rFonts w:ascii="Times New Roman" w:hAnsi="Times New Roman"/>
                <w:color w:val="auto"/>
              </w:rPr>
            </w:pPr>
          </w:p>
        </w:tc>
        <w:tc>
          <w:tcPr>
            <w:tcW w:w="976" w:type="dxa"/>
            <w:noWrap w:val="0"/>
            <w:vAlign w:val="top"/>
          </w:tcPr>
          <w:p w14:paraId="0045C011">
            <w:pPr>
              <w:spacing w:line="440" w:lineRule="exact"/>
              <w:jc w:val="center"/>
              <w:rPr>
                <w:rFonts w:ascii="Times New Roman" w:hAnsi="Times New Roman"/>
                <w:color w:val="auto"/>
              </w:rPr>
            </w:pPr>
          </w:p>
        </w:tc>
      </w:tr>
      <w:tr w14:paraId="7288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C310039">
            <w:pPr>
              <w:spacing w:line="440" w:lineRule="exact"/>
              <w:jc w:val="center"/>
              <w:rPr>
                <w:rFonts w:ascii="Times New Roman" w:hAnsi="Times New Roman"/>
                <w:color w:val="auto"/>
              </w:rPr>
            </w:pPr>
          </w:p>
        </w:tc>
        <w:tc>
          <w:tcPr>
            <w:tcW w:w="1275" w:type="dxa"/>
            <w:noWrap w:val="0"/>
            <w:vAlign w:val="top"/>
          </w:tcPr>
          <w:p w14:paraId="60BE3D6B">
            <w:pPr>
              <w:spacing w:line="440" w:lineRule="exact"/>
              <w:jc w:val="center"/>
              <w:rPr>
                <w:rFonts w:ascii="Times New Roman" w:hAnsi="Times New Roman"/>
                <w:color w:val="auto"/>
              </w:rPr>
            </w:pPr>
          </w:p>
        </w:tc>
        <w:tc>
          <w:tcPr>
            <w:tcW w:w="992" w:type="dxa"/>
            <w:noWrap w:val="0"/>
            <w:vAlign w:val="top"/>
          </w:tcPr>
          <w:p w14:paraId="1245E3E2">
            <w:pPr>
              <w:spacing w:line="440" w:lineRule="exact"/>
              <w:jc w:val="center"/>
              <w:rPr>
                <w:rFonts w:ascii="Times New Roman" w:hAnsi="Times New Roman"/>
                <w:color w:val="auto"/>
              </w:rPr>
            </w:pPr>
          </w:p>
        </w:tc>
        <w:tc>
          <w:tcPr>
            <w:tcW w:w="735" w:type="dxa"/>
            <w:noWrap w:val="0"/>
            <w:vAlign w:val="top"/>
          </w:tcPr>
          <w:p w14:paraId="3B71B9C9">
            <w:pPr>
              <w:spacing w:line="440" w:lineRule="exact"/>
              <w:jc w:val="center"/>
              <w:rPr>
                <w:rFonts w:ascii="Times New Roman" w:hAnsi="Times New Roman"/>
                <w:color w:val="auto"/>
              </w:rPr>
            </w:pPr>
          </w:p>
        </w:tc>
        <w:tc>
          <w:tcPr>
            <w:tcW w:w="709" w:type="dxa"/>
            <w:noWrap w:val="0"/>
            <w:vAlign w:val="top"/>
          </w:tcPr>
          <w:p w14:paraId="1F61B3D4">
            <w:pPr>
              <w:spacing w:line="440" w:lineRule="exact"/>
              <w:jc w:val="center"/>
              <w:rPr>
                <w:rFonts w:ascii="Times New Roman" w:hAnsi="Times New Roman"/>
                <w:color w:val="auto"/>
              </w:rPr>
            </w:pPr>
          </w:p>
        </w:tc>
        <w:tc>
          <w:tcPr>
            <w:tcW w:w="1134" w:type="dxa"/>
            <w:noWrap w:val="0"/>
            <w:vAlign w:val="top"/>
          </w:tcPr>
          <w:p w14:paraId="4DADCF7C">
            <w:pPr>
              <w:spacing w:line="440" w:lineRule="exact"/>
              <w:jc w:val="center"/>
              <w:rPr>
                <w:rFonts w:ascii="Times New Roman" w:hAnsi="Times New Roman"/>
                <w:color w:val="auto"/>
              </w:rPr>
            </w:pPr>
          </w:p>
        </w:tc>
        <w:tc>
          <w:tcPr>
            <w:tcW w:w="992" w:type="dxa"/>
            <w:noWrap w:val="0"/>
            <w:vAlign w:val="top"/>
          </w:tcPr>
          <w:p w14:paraId="05375CF1">
            <w:pPr>
              <w:spacing w:line="440" w:lineRule="exact"/>
              <w:jc w:val="center"/>
              <w:rPr>
                <w:rFonts w:ascii="Times New Roman" w:hAnsi="Times New Roman"/>
                <w:color w:val="auto"/>
              </w:rPr>
            </w:pPr>
          </w:p>
        </w:tc>
        <w:tc>
          <w:tcPr>
            <w:tcW w:w="709" w:type="dxa"/>
            <w:noWrap w:val="0"/>
            <w:vAlign w:val="top"/>
          </w:tcPr>
          <w:p w14:paraId="7B2FF2D2">
            <w:pPr>
              <w:spacing w:line="440" w:lineRule="exact"/>
              <w:jc w:val="center"/>
              <w:rPr>
                <w:rFonts w:ascii="Times New Roman" w:hAnsi="Times New Roman"/>
                <w:color w:val="auto"/>
              </w:rPr>
            </w:pPr>
          </w:p>
        </w:tc>
        <w:tc>
          <w:tcPr>
            <w:tcW w:w="976" w:type="dxa"/>
            <w:noWrap w:val="0"/>
            <w:vAlign w:val="top"/>
          </w:tcPr>
          <w:p w14:paraId="38CEEF02">
            <w:pPr>
              <w:spacing w:line="440" w:lineRule="exact"/>
              <w:jc w:val="center"/>
              <w:rPr>
                <w:rFonts w:ascii="Times New Roman" w:hAnsi="Times New Roman"/>
                <w:color w:val="auto"/>
              </w:rPr>
            </w:pPr>
          </w:p>
        </w:tc>
      </w:tr>
      <w:tr w14:paraId="3605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CBA43AD">
            <w:pPr>
              <w:spacing w:line="440" w:lineRule="exact"/>
              <w:jc w:val="center"/>
              <w:rPr>
                <w:rFonts w:ascii="Times New Roman" w:hAnsi="Times New Roman"/>
                <w:color w:val="auto"/>
              </w:rPr>
            </w:pPr>
          </w:p>
        </w:tc>
        <w:tc>
          <w:tcPr>
            <w:tcW w:w="1275" w:type="dxa"/>
            <w:noWrap w:val="0"/>
            <w:vAlign w:val="top"/>
          </w:tcPr>
          <w:p w14:paraId="2123DBD0">
            <w:pPr>
              <w:spacing w:line="440" w:lineRule="exact"/>
              <w:jc w:val="center"/>
              <w:rPr>
                <w:rFonts w:ascii="Times New Roman" w:hAnsi="Times New Roman"/>
                <w:color w:val="auto"/>
              </w:rPr>
            </w:pPr>
          </w:p>
        </w:tc>
        <w:tc>
          <w:tcPr>
            <w:tcW w:w="992" w:type="dxa"/>
            <w:noWrap w:val="0"/>
            <w:vAlign w:val="top"/>
          </w:tcPr>
          <w:p w14:paraId="20D76EA5">
            <w:pPr>
              <w:spacing w:line="440" w:lineRule="exact"/>
              <w:jc w:val="center"/>
              <w:rPr>
                <w:rFonts w:ascii="Times New Roman" w:hAnsi="Times New Roman"/>
                <w:color w:val="auto"/>
              </w:rPr>
            </w:pPr>
          </w:p>
        </w:tc>
        <w:tc>
          <w:tcPr>
            <w:tcW w:w="735" w:type="dxa"/>
            <w:noWrap w:val="0"/>
            <w:vAlign w:val="top"/>
          </w:tcPr>
          <w:p w14:paraId="55DC535C">
            <w:pPr>
              <w:spacing w:line="440" w:lineRule="exact"/>
              <w:jc w:val="center"/>
              <w:rPr>
                <w:rFonts w:ascii="Times New Roman" w:hAnsi="Times New Roman"/>
                <w:color w:val="auto"/>
              </w:rPr>
            </w:pPr>
          </w:p>
        </w:tc>
        <w:tc>
          <w:tcPr>
            <w:tcW w:w="709" w:type="dxa"/>
            <w:noWrap w:val="0"/>
            <w:vAlign w:val="top"/>
          </w:tcPr>
          <w:p w14:paraId="6CBFA69D">
            <w:pPr>
              <w:spacing w:line="440" w:lineRule="exact"/>
              <w:jc w:val="center"/>
              <w:rPr>
                <w:rFonts w:ascii="Times New Roman" w:hAnsi="Times New Roman"/>
                <w:color w:val="auto"/>
              </w:rPr>
            </w:pPr>
          </w:p>
        </w:tc>
        <w:tc>
          <w:tcPr>
            <w:tcW w:w="1134" w:type="dxa"/>
            <w:noWrap w:val="0"/>
            <w:vAlign w:val="top"/>
          </w:tcPr>
          <w:p w14:paraId="1F081C24">
            <w:pPr>
              <w:spacing w:line="440" w:lineRule="exact"/>
              <w:jc w:val="center"/>
              <w:rPr>
                <w:rFonts w:ascii="Times New Roman" w:hAnsi="Times New Roman"/>
                <w:color w:val="auto"/>
              </w:rPr>
            </w:pPr>
          </w:p>
        </w:tc>
        <w:tc>
          <w:tcPr>
            <w:tcW w:w="992" w:type="dxa"/>
            <w:noWrap w:val="0"/>
            <w:vAlign w:val="top"/>
          </w:tcPr>
          <w:p w14:paraId="22E615AD">
            <w:pPr>
              <w:spacing w:line="440" w:lineRule="exact"/>
              <w:jc w:val="center"/>
              <w:rPr>
                <w:rFonts w:ascii="Times New Roman" w:hAnsi="Times New Roman"/>
                <w:color w:val="auto"/>
              </w:rPr>
            </w:pPr>
          </w:p>
        </w:tc>
        <w:tc>
          <w:tcPr>
            <w:tcW w:w="709" w:type="dxa"/>
            <w:noWrap w:val="0"/>
            <w:vAlign w:val="top"/>
          </w:tcPr>
          <w:p w14:paraId="061FFD3E">
            <w:pPr>
              <w:spacing w:line="440" w:lineRule="exact"/>
              <w:jc w:val="center"/>
              <w:rPr>
                <w:rFonts w:ascii="Times New Roman" w:hAnsi="Times New Roman"/>
                <w:color w:val="auto"/>
              </w:rPr>
            </w:pPr>
          </w:p>
        </w:tc>
        <w:tc>
          <w:tcPr>
            <w:tcW w:w="976" w:type="dxa"/>
            <w:noWrap w:val="0"/>
            <w:vAlign w:val="top"/>
          </w:tcPr>
          <w:p w14:paraId="39FD8756">
            <w:pPr>
              <w:spacing w:line="440" w:lineRule="exact"/>
              <w:jc w:val="center"/>
              <w:rPr>
                <w:rFonts w:ascii="Times New Roman" w:hAnsi="Times New Roman"/>
                <w:color w:val="auto"/>
              </w:rPr>
            </w:pPr>
          </w:p>
        </w:tc>
      </w:tr>
      <w:tr w14:paraId="1797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F7B04AE">
            <w:pPr>
              <w:spacing w:line="440" w:lineRule="exact"/>
              <w:jc w:val="center"/>
              <w:rPr>
                <w:rFonts w:ascii="Times New Roman" w:hAnsi="Times New Roman"/>
                <w:color w:val="auto"/>
              </w:rPr>
            </w:pPr>
          </w:p>
        </w:tc>
        <w:tc>
          <w:tcPr>
            <w:tcW w:w="1275" w:type="dxa"/>
            <w:noWrap w:val="0"/>
            <w:vAlign w:val="top"/>
          </w:tcPr>
          <w:p w14:paraId="4D0FC8BB">
            <w:pPr>
              <w:spacing w:line="440" w:lineRule="exact"/>
              <w:jc w:val="center"/>
              <w:rPr>
                <w:rFonts w:ascii="Times New Roman" w:hAnsi="Times New Roman"/>
                <w:color w:val="auto"/>
              </w:rPr>
            </w:pPr>
          </w:p>
        </w:tc>
        <w:tc>
          <w:tcPr>
            <w:tcW w:w="992" w:type="dxa"/>
            <w:noWrap w:val="0"/>
            <w:vAlign w:val="top"/>
          </w:tcPr>
          <w:p w14:paraId="5F04F951">
            <w:pPr>
              <w:spacing w:line="440" w:lineRule="exact"/>
              <w:jc w:val="center"/>
              <w:rPr>
                <w:rFonts w:ascii="Times New Roman" w:hAnsi="Times New Roman"/>
                <w:color w:val="auto"/>
              </w:rPr>
            </w:pPr>
          </w:p>
        </w:tc>
        <w:tc>
          <w:tcPr>
            <w:tcW w:w="735" w:type="dxa"/>
            <w:noWrap w:val="0"/>
            <w:vAlign w:val="top"/>
          </w:tcPr>
          <w:p w14:paraId="0610302A">
            <w:pPr>
              <w:spacing w:line="440" w:lineRule="exact"/>
              <w:jc w:val="center"/>
              <w:rPr>
                <w:rFonts w:ascii="Times New Roman" w:hAnsi="Times New Roman"/>
                <w:color w:val="auto"/>
              </w:rPr>
            </w:pPr>
          </w:p>
        </w:tc>
        <w:tc>
          <w:tcPr>
            <w:tcW w:w="709" w:type="dxa"/>
            <w:noWrap w:val="0"/>
            <w:vAlign w:val="top"/>
          </w:tcPr>
          <w:p w14:paraId="1FB65DDA">
            <w:pPr>
              <w:spacing w:line="440" w:lineRule="exact"/>
              <w:jc w:val="center"/>
              <w:rPr>
                <w:rFonts w:ascii="Times New Roman" w:hAnsi="Times New Roman"/>
                <w:color w:val="auto"/>
              </w:rPr>
            </w:pPr>
          </w:p>
        </w:tc>
        <w:tc>
          <w:tcPr>
            <w:tcW w:w="1134" w:type="dxa"/>
            <w:noWrap w:val="0"/>
            <w:vAlign w:val="top"/>
          </w:tcPr>
          <w:p w14:paraId="77E26645">
            <w:pPr>
              <w:spacing w:line="440" w:lineRule="exact"/>
              <w:jc w:val="center"/>
              <w:rPr>
                <w:rFonts w:ascii="Times New Roman" w:hAnsi="Times New Roman"/>
                <w:color w:val="auto"/>
              </w:rPr>
            </w:pPr>
          </w:p>
        </w:tc>
        <w:tc>
          <w:tcPr>
            <w:tcW w:w="992" w:type="dxa"/>
            <w:noWrap w:val="0"/>
            <w:vAlign w:val="top"/>
          </w:tcPr>
          <w:p w14:paraId="4291AC2A">
            <w:pPr>
              <w:spacing w:line="440" w:lineRule="exact"/>
              <w:jc w:val="center"/>
              <w:rPr>
                <w:rFonts w:ascii="Times New Roman" w:hAnsi="Times New Roman"/>
                <w:color w:val="auto"/>
              </w:rPr>
            </w:pPr>
          </w:p>
        </w:tc>
        <w:tc>
          <w:tcPr>
            <w:tcW w:w="709" w:type="dxa"/>
            <w:noWrap w:val="0"/>
            <w:vAlign w:val="top"/>
          </w:tcPr>
          <w:p w14:paraId="71AB465C">
            <w:pPr>
              <w:spacing w:line="440" w:lineRule="exact"/>
              <w:jc w:val="center"/>
              <w:rPr>
                <w:rFonts w:ascii="Times New Roman" w:hAnsi="Times New Roman"/>
                <w:color w:val="auto"/>
              </w:rPr>
            </w:pPr>
          </w:p>
        </w:tc>
        <w:tc>
          <w:tcPr>
            <w:tcW w:w="976" w:type="dxa"/>
            <w:noWrap w:val="0"/>
            <w:vAlign w:val="top"/>
          </w:tcPr>
          <w:p w14:paraId="6C116FEF">
            <w:pPr>
              <w:spacing w:line="440" w:lineRule="exact"/>
              <w:jc w:val="center"/>
              <w:rPr>
                <w:rFonts w:ascii="Times New Roman" w:hAnsi="Times New Roman"/>
                <w:color w:val="auto"/>
              </w:rPr>
            </w:pPr>
          </w:p>
        </w:tc>
      </w:tr>
      <w:tr w14:paraId="6AC6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8B51C5A">
            <w:pPr>
              <w:spacing w:line="440" w:lineRule="exact"/>
              <w:jc w:val="center"/>
              <w:rPr>
                <w:rFonts w:ascii="Times New Roman" w:hAnsi="Times New Roman"/>
                <w:color w:val="auto"/>
              </w:rPr>
            </w:pPr>
          </w:p>
        </w:tc>
        <w:tc>
          <w:tcPr>
            <w:tcW w:w="1275" w:type="dxa"/>
            <w:noWrap w:val="0"/>
            <w:vAlign w:val="top"/>
          </w:tcPr>
          <w:p w14:paraId="2AB5EEC4">
            <w:pPr>
              <w:spacing w:line="440" w:lineRule="exact"/>
              <w:jc w:val="center"/>
              <w:rPr>
                <w:rFonts w:ascii="Times New Roman" w:hAnsi="Times New Roman"/>
                <w:color w:val="auto"/>
              </w:rPr>
            </w:pPr>
          </w:p>
        </w:tc>
        <w:tc>
          <w:tcPr>
            <w:tcW w:w="992" w:type="dxa"/>
            <w:noWrap w:val="0"/>
            <w:vAlign w:val="top"/>
          </w:tcPr>
          <w:p w14:paraId="089B8E27">
            <w:pPr>
              <w:spacing w:line="440" w:lineRule="exact"/>
              <w:jc w:val="center"/>
              <w:rPr>
                <w:rFonts w:ascii="Times New Roman" w:hAnsi="Times New Roman"/>
                <w:color w:val="auto"/>
              </w:rPr>
            </w:pPr>
          </w:p>
        </w:tc>
        <w:tc>
          <w:tcPr>
            <w:tcW w:w="735" w:type="dxa"/>
            <w:noWrap w:val="0"/>
            <w:vAlign w:val="top"/>
          </w:tcPr>
          <w:p w14:paraId="7A5E8C5B">
            <w:pPr>
              <w:spacing w:line="440" w:lineRule="exact"/>
              <w:jc w:val="center"/>
              <w:rPr>
                <w:rFonts w:ascii="Times New Roman" w:hAnsi="Times New Roman"/>
                <w:color w:val="auto"/>
              </w:rPr>
            </w:pPr>
          </w:p>
        </w:tc>
        <w:tc>
          <w:tcPr>
            <w:tcW w:w="709" w:type="dxa"/>
            <w:noWrap w:val="0"/>
            <w:vAlign w:val="top"/>
          </w:tcPr>
          <w:p w14:paraId="4DFB0A45">
            <w:pPr>
              <w:spacing w:line="440" w:lineRule="exact"/>
              <w:jc w:val="center"/>
              <w:rPr>
                <w:rFonts w:ascii="Times New Roman" w:hAnsi="Times New Roman"/>
                <w:color w:val="auto"/>
              </w:rPr>
            </w:pPr>
          </w:p>
        </w:tc>
        <w:tc>
          <w:tcPr>
            <w:tcW w:w="1134" w:type="dxa"/>
            <w:noWrap w:val="0"/>
            <w:vAlign w:val="top"/>
          </w:tcPr>
          <w:p w14:paraId="78F24E33">
            <w:pPr>
              <w:spacing w:line="440" w:lineRule="exact"/>
              <w:jc w:val="center"/>
              <w:rPr>
                <w:rFonts w:ascii="Times New Roman" w:hAnsi="Times New Roman"/>
                <w:color w:val="auto"/>
              </w:rPr>
            </w:pPr>
          </w:p>
        </w:tc>
        <w:tc>
          <w:tcPr>
            <w:tcW w:w="992" w:type="dxa"/>
            <w:noWrap w:val="0"/>
            <w:vAlign w:val="top"/>
          </w:tcPr>
          <w:p w14:paraId="2CD39A0B">
            <w:pPr>
              <w:spacing w:line="440" w:lineRule="exact"/>
              <w:jc w:val="center"/>
              <w:rPr>
                <w:rFonts w:ascii="Times New Roman" w:hAnsi="Times New Roman"/>
                <w:color w:val="auto"/>
              </w:rPr>
            </w:pPr>
          </w:p>
        </w:tc>
        <w:tc>
          <w:tcPr>
            <w:tcW w:w="709" w:type="dxa"/>
            <w:noWrap w:val="0"/>
            <w:vAlign w:val="top"/>
          </w:tcPr>
          <w:p w14:paraId="38E2AEB1">
            <w:pPr>
              <w:spacing w:line="440" w:lineRule="exact"/>
              <w:jc w:val="center"/>
              <w:rPr>
                <w:rFonts w:ascii="Times New Roman" w:hAnsi="Times New Roman"/>
                <w:color w:val="auto"/>
              </w:rPr>
            </w:pPr>
          </w:p>
        </w:tc>
        <w:tc>
          <w:tcPr>
            <w:tcW w:w="976" w:type="dxa"/>
            <w:noWrap w:val="0"/>
            <w:vAlign w:val="top"/>
          </w:tcPr>
          <w:p w14:paraId="2CD0939B">
            <w:pPr>
              <w:spacing w:line="440" w:lineRule="exact"/>
              <w:jc w:val="center"/>
              <w:rPr>
                <w:rFonts w:ascii="Times New Roman" w:hAnsi="Times New Roman"/>
                <w:color w:val="auto"/>
              </w:rPr>
            </w:pPr>
          </w:p>
        </w:tc>
      </w:tr>
      <w:tr w14:paraId="2F9A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EF91210">
            <w:pPr>
              <w:spacing w:line="440" w:lineRule="exact"/>
              <w:jc w:val="center"/>
              <w:rPr>
                <w:rFonts w:ascii="Times New Roman" w:hAnsi="Times New Roman"/>
                <w:color w:val="auto"/>
              </w:rPr>
            </w:pPr>
          </w:p>
        </w:tc>
        <w:tc>
          <w:tcPr>
            <w:tcW w:w="1275" w:type="dxa"/>
            <w:noWrap w:val="0"/>
            <w:vAlign w:val="top"/>
          </w:tcPr>
          <w:p w14:paraId="3E04909B">
            <w:pPr>
              <w:spacing w:line="440" w:lineRule="exact"/>
              <w:jc w:val="center"/>
              <w:rPr>
                <w:rFonts w:ascii="Times New Roman" w:hAnsi="Times New Roman"/>
                <w:color w:val="auto"/>
              </w:rPr>
            </w:pPr>
          </w:p>
        </w:tc>
        <w:tc>
          <w:tcPr>
            <w:tcW w:w="992" w:type="dxa"/>
            <w:noWrap w:val="0"/>
            <w:vAlign w:val="top"/>
          </w:tcPr>
          <w:p w14:paraId="59206B18">
            <w:pPr>
              <w:spacing w:line="440" w:lineRule="exact"/>
              <w:jc w:val="center"/>
              <w:rPr>
                <w:rFonts w:ascii="Times New Roman" w:hAnsi="Times New Roman"/>
                <w:color w:val="auto"/>
              </w:rPr>
            </w:pPr>
          </w:p>
        </w:tc>
        <w:tc>
          <w:tcPr>
            <w:tcW w:w="735" w:type="dxa"/>
            <w:noWrap w:val="0"/>
            <w:vAlign w:val="top"/>
          </w:tcPr>
          <w:p w14:paraId="09F1DCD2">
            <w:pPr>
              <w:spacing w:line="440" w:lineRule="exact"/>
              <w:jc w:val="center"/>
              <w:rPr>
                <w:rFonts w:ascii="Times New Roman" w:hAnsi="Times New Roman"/>
                <w:color w:val="auto"/>
              </w:rPr>
            </w:pPr>
          </w:p>
        </w:tc>
        <w:tc>
          <w:tcPr>
            <w:tcW w:w="709" w:type="dxa"/>
            <w:noWrap w:val="0"/>
            <w:vAlign w:val="top"/>
          </w:tcPr>
          <w:p w14:paraId="2630A0FF">
            <w:pPr>
              <w:spacing w:line="440" w:lineRule="exact"/>
              <w:jc w:val="center"/>
              <w:rPr>
                <w:rFonts w:ascii="Times New Roman" w:hAnsi="Times New Roman"/>
                <w:color w:val="auto"/>
              </w:rPr>
            </w:pPr>
          </w:p>
        </w:tc>
        <w:tc>
          <w:tcPr>
            <w:tcW w:w="1134" w:type="dxa"/>
            <w:noWrap w:val="0"/>
            <w:vAlign w:val="top"/>
          </w:tcPr>
          <w:p w14:paraId="68C1D191">
            <w:pPr>
              <w:spacing w:line="440" w:lineRule="exact"/>
              <w:jc w:val="center"/>
              <w:rPr>
                <w:rFonts w:ascii="Times New Roman" w:hAnsi="Times New Roman"/>
                <w:color w:val="auto"/>
              </w:rPr>
            </w:pPr>
          </w:p>
        </w:tc>
        <w:tc>
          <w:tcPr>
            <w:tcW w:w="992" w:type="dxa"/>
            <w:noWrap w:val="0"/>
            <w:vAlign w:val="top"/>
          </w:tcPr>
          <w:p w14:paraId="22691DDA">
            <w:pPr>
              <w:spacing w:line="440" w:lineRule="exact"/>
              <w:jc w:val="center"/>
              <w:rPr>
                <w:rFonts w:ascii="Times New Roman" w:hAnsi="Times New Roman"/>
                <w:color w:val="auto"/>
              </w:rPr>
            </w:pPr>
          </w:p>
        </w:tc>
        <w:tc>
          <w:tcPr>
            <w:tcW w:w="709" w:type="dxa"/>
            <w:noWrap w:val="0"/>
            <w:vAlign w:val="top"/>
          </w:tcPr>
          <w:p w14:paraId="76049712">
            <w:pPr>
              <w:spacing w:line="440" w:lineRule="exact"/>
              <w:jc w:val="center"/>
              <w:rPr>
                <w:rFonts w:ascii="Times New Roman" w:hAnsi="Times New Roman"/>
                <w:color w:val="auto"/>
              </w:rPr>
            </w:pPr>
          </w:p>
        </w:tc>
        <w:tc>
          <w:tcPr>
            <w:tcW w:w="976" w:type="dxa"/>
            <w:noWrap w:val="0"/>
            <w:vAlign w:val="top"/>
          </w:tcPr>
          <w:p w14:paraId="644701D7">
            <w:pPr>
              <w:spacing w:line="440" w:lineRule="exact"/>
              <w:jc w:val="center"/>
              <w:rPr>
                <w:rFonts w:ascii="Times New Roman" w:hAnsi="Times New Roman"/>
                <w:color w:val="auto"/>
              </w:rPr>
            </w:pPr>
          </w:p>
        </w:tc>
      </w:tr>
      <w:tr w14:paraId="11A6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585A0BA">
            <w:pPr>
              <w:spacing w:line="440" w:lineRule="exact"/>
              <w:jc w:val="center"/>
              <w:rPr>
                <w:rFonts w:ascii="Times New Roman" w:hAnsi="Times New Roman"/>
                <w:color w:val="auto"/>
              </w:rPr>
            </w:pPr>
          </w:p>
        </w:tc>
        <w:tc>
          <w:tcPr>
            <w:tcW w:w="1275" w:type="dxa"/>
            <w:noWrap w:val="0"/>
            <w:vAlign w:val="top"/>
          </w:tcPr>
          <w:p w14:paraId="371C522A">
            <w:pPr>
              <w:spacing w:line="440" w:lineRule="exact"/>
              <w:jc w:val="center"/>
              <w:rPr>
                <w:rFonts w:ascii="Times New Roman" w:hAnsi="Times New Roman"/>
                <w:color w:val="auto"/>
              </w:rPr>
            </w:pPr>
          </w:p>
        </w:tc>
        <w:tc>
          <w:tcPr>
            <w:tcW w:w="992" w:type="dxa"/>
            <w:noWrap w:val="0"/>
            <w:vAlign w:val="top"/>
          </w:tcPr>
          <w:p w14:paraId="78464B67">
            <w:pPr>
              <w:spacing w:line="440" w:lineRule="exact"/>
              <w:jc w:val="center"/>
              <w:rPr>
                <w:rFonts w:ascii="Times New Roman" w:hAnsi="Times New Roman"/>
                <w:color w:val="auto"/>
              </w:rPr>
            </w:pPr>
          </w:p>
        </w:tc>
        <w:tc>
          <w:tcPr>
            <w:tcW w:w="735" w:type="dxa"/>
            <w:noWrap w:val="0"/>
            <w:vAlign w:val="top"/>
          </w:tcPr>
          <w:p w14:paraId="3DEE72B0">
            <w:pPr>
              <w:spacing w:line="440" w:lineRule="exact"/>
              <w:jc w:val="center"/>
              <w:rPr>
                <w:rFonts w:ascii="Times New Roman" w:hAnsi="Times New Roman"/>
                <w:color w:val="auto"/>
              </w:rPr>
            </w:pPr>
          </w:p>
        </w:tc>
        <w:tc>
          <w:tcPr>
            <w:tcW w:w="709" w:type="dxa"/>
            <w:noWrap w:val="0"/>
            <w:vAlign w:val="top"/>
          </w:tcPr>
          <w:p w14:paraId="3AA017AC">
            <w:pPr>
              <w:spacing w:line="440" w:lineRule="exact"/>
              <w:jc w:val="center"/>
              <w:rPr>
                <w:rFonts w:ascii="Times New Roman" w:hAnsi="Times New Roman"/>
                <w:color w:val="auto"/>
              </w:rPr>
            </w:pPr>
          </w:p>
        </w:tc>
        <w:tc>
          <w:tcPr>
            <w:tcW w:w="1134" w:type="dxa"/>
            <w:noWrap w:val="0"/>
            <w:vAlign w:val="top"/>
          </w:tcPr>
          <w:p w14:paraId="30B0B796">
            <w:pPr>
              <w:spacing w:line="440" w:lineRule="exact"/>
              <w:jc w:val="center"/>
              <w:rPr>
                <w:rFonts w:ascii="Times New Roman" w:hAnsi="Times New Roman"/>
                <w:color w:val="auto"/>
              </w:rPr>
            </w:pPr>
          </w:p>
        </w:tc>
        <w:tc>
          <w:tcPr>
            <w:tcW w:w="992" w:type="dxa"/>
            <w:noWrap w:val="0"/>
            <w:vAlign w:val="top"/>
          </w:tcPr>
          <w:p w14:paraId="09915F4E">
            <w:pPr>
              <w:spacing w:line="440" w:lineRule="exact"/>
              <w:jc w:val="center"/>
              <w:rPr>
                <w:rFonts w:ascii="Times New Roman" w:hAnsi="Times New Roman"/>
                <w:color w:val="auto"/>
              </w:rPr>
            </w:pPr>
          </w:p>
        </w:tc>
        <w:tc>
          <w:tcPr>
            <w:tcW w:w="709" w:type="dxa"/>
            <w:noWrap w:val="0"/>
            <w:vAlign w:val="top"/>
          </w:tcPr>
          <w:p w14:paraId="5A372AB4">
            <w:pPr>
              <w:spacing w:line="440" w:lineRule="exact"/>
              <w:jc w:val="center"/>
              <w:rPr>
                <w:rFonts w:ascii="Times New Roman" w:hAnsi="Times New Roman"/>
                <w:color w:val="auto"/>
              </w:rPr>
            </w:pPr>
          </w:p>
        </w:tc>
        <w:tc>
          <w:tcPr>
            <w:tcW w:w="976" w:type="dxa"/>
            <w:noWrap w:val="0"/>
            <w:vAlign w:val="top"/>
          </w:tcPr>
          <w:p w14:paraId="0827C201">
            <w:pPr>
              <w:spacing w:line="440" w:lineRule="exact"/>
              <w:jc w:val="center"/>
              <w:rPr>
                <w:rFonts w:ascii="Times New Roman" w:hAnsi="Times New Roman"/>
                <w:color w:val="auto"/>
              </w:rPr>
            </w:pPr>
          </w:p>
        </w:tc>
      </w:tr>
      <w:tr w14:paraId="1B1C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42CDB26">
            <w:pPr>
              <w:spacing w:line="440" w:lineRule="exact"/>
              <w:jc w:val="center"/>
              <w:rPr>
                <w:rFonts w:ascii="Times New Roman" w:hAnsi="Times New Roman"/>
                <w:color w:val="auto"/>
              </w:rPr>
            </w:pPr>
          </w:p>
        </w:tc>
        <w:tc>
          <w:tcPr>
            <w:tcW w:w="1275" w:type="dxa"/>
            <w:noWrap w:val="0"/>
            <w:vAlign w:val="top"/>
          </w:tcPr>
          <w:p w14:paraId="6B056842">
            <w:pPr>
              <w:spacing w:line="440" w:lineRule="exact"/>
              <w:jc w:val="center"/>
              <w:rPr>
                <w:rFonts w:ascii="Times New Roman" w:hAnsi="Times New Roman"/>
                <w:color w:val="auto"/>
              </w:rPr>
            </w:pPr>
          </w:p>
        </w:tc>
        <w:tc>
          <w:tcPr>
            <w:tcW w:w="992" w:type="dxa"/>
            <w:noWrap w:val="0"/>
            <w:vAlign w:val="top"/>
          </w:tcPr>
          <w:p w14:paraId="6EF19456">
            <w:pPr>
              <w:spacing w:line="440" w:lineRule="exact"/>
              <w:jc w:val="center"/>
              <w:rPr>
                <w:rFonts w:ascii="Times New Roman" w:hAnsi="Times New Roman"/>
                <w:color w:val="auto"/>
              </w:rPr>
            </w:pPr>
          </w:p>
        </w:tc>
        <w:tc>
          <w:tcPr>
            <w:tcW w:w="735" w:type="dxa"/>
            <w:noWrap w:val="0"/>
            <w:vAlign w:val="top"/>
          </w:tcPr>
          <w:p w14:paraId="63147431">
            <w:pPr>
              <w:spacing w:line="440" w:lineRule="exact"/>
              <w:jc w:val="center"/>
              <w:rPr>
                <w:rFonts w:ascii="Times New Roman" w:hAnsi="Times New Roman"/>
                <w:color w:val="auto"/>
              </w:rPr>
            </w:pPr>
          </w:p>
        </w:tc>
        <w:tc>
          <w:tcPr>
            <w:tcW w:w="709" w:type="dxa"/>
            <w:noWrap w:val="0"/>
            <w:vAlign w:val="top"/>
          </w:tcPr>
          <w:p w14:paraId="5402808C">
            <w:pPr>
              <w:spacing w:line="440" w:lineRule="exact"/>
              <w:jc w:val="center"/>
              <w:rPr>
                <w:rFonts w:ascii="Times New Roman" w:hAnsi="Times New Roman"/>
                <w:color w:val="auto"/>
              </w:rPr>
            </w:pPr>
          </w:p>
        </w:tc>
        <w:tc>
          <w:tcPr>
            <w:tcW w:w="1134" w:type="dxa"/>
            <w:noWrap w:val="0"/>
            <w:vAlign w:val="top"/>
          </w:tcPr>
          <w:p w14:paraId="5B9705C6">
            <w:pPr>
              <w:spacing w:line="440" w:lineRule="exact"/>
              <w:jc w:val="center"/>
              <w:rPr>
                <w:rFonts w:ascii="Times New Roman" w:hAnsi="Times New Roman"/>
                <w:color w:val="auto"/>
              </w:rPr>
            </w:pPr>
          </w:p>
        </w:tc>
        <w:tc>
          <w:tcPr>
            <w:tcW w:w="992" w:type="dxa"/>
            <w:noWrap w:val="0"/>
            <w:vAlign w:val="top"/>
          </w:tcPr>
          <w:p w14:paraId="0B42D693">
            <w:pPr>
              <w:spacing w:line="440" w:lineRule="exact"/>
              <w:jc w:val="center"/>
              <w:rPr>
                <w:rFonts w:ascii="Times New Roman" w:hAnsi="Times New Roman"/>
                <w:color w:val="auto"/>
              </w:rPr>
            </w:pPr>
          </w:p>
        </w:tc>
        <w:tc>
          <w:tcPr>
            <w:tcW w:w="709" w:type="dxa"/>
            <w:noWrap w:val="0"/>
            <w:vAlign w:val="top"/>
          </w:tcPr>
          <w:p w14:paraId="7FA69473">
            <w:pPr>
              <w:spacing w:line="440" w:lineRule="exact"/>
              <w:jc w:val="center"/>
              <w:rPr>
                <w:rFonts w:ascii="Times New Roman" w:hAnsi="Times New Roman"/>
                <w:color w:val="auto"/>
              </w:rPr>
            </w:pPr>
          </w:p>
        </w:tc>
        <w:tc>
          <w:tcPr>
            <w:tcW w:w="976" w:type="dxa"/>
            <w:noWrap w:val="0"/>
            <w:vAlign w:val="top"/>
          </w:tcPr>
          <w:p w14:paraId="58B93DA7">
            <w:pPr>
              <w:spacing w:line="440" w:lineRule="exact"/>
              <w:jc w:val="center"/>
              <w:rPr>
                <w:rFonts w:ascii="Times New Roman" w:hAnsi="Times New Roman"/>
                <w:color w:val="auto"/>
              </w:rPr>
            </w:pPr>
          </w:p>
        </w:tc>
      </w:tr>
      <w:tr w14:paraId="740C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10C7FA3">
            <w:pPr>
              <w:spacing w:line="440" w:lineRule="exact"/>
              <w:jc w:val="center"/>
              <w:rPr>
                <w:rFonts w:ascii="Times New Roman" w:hAnsi="Times New Roman"/>
                <w:color w:val="auto"/>
              </w:rPr>
            </w:pPr>
          </w:p>
        </w:tc>
        <w:tc>
          <w:tcPr>
            <w:tcW w:w="1275" w:type="dxa"/>
            <w:noWrap w:val="0"/>
            <w:vAlign w:val="top"/>
          </w:tcPr>
          <w:p w14:paraId="6DEC599D">
            <w:pPr>
              <w:spacing w:line="440" w:lineRule="exact"/>
              <w:jc w:val="center"/>
              <w:rPr>
                <w:rFonts w:ascii="Times New Roman" w:hAnsi="Times New Roman"/>
                <w:color w:val="auto"/>
              </w:rPr>
            </w:pPr>
          </w:p>
        </w:tc>
        <w:tc>
          <w:tcPr>
            <w:tcW w:w="992" w:type="dxa"/>
            <w:noWrap w:val="0"/>
            <w:vAlign w:val="top"/>
          </w:tcPr>
          <w:p w14:paraId="78B40A81">
            <w:pPr>
              <w:spacing w:line="440" w:lineRule="exact"/>
              <w:jc w:val="center"/>
              <w:rPr>
                <w:rFonts w:ascii="Times New Roman" w:hAnsi="Times New Roman"/>
                <w:color w:val="auto"/>
              </w:rPr>
            </w:pPr>
          </w:p>
        </w:tc>
        <w:tc>
          <w:tcPr>
            <w:tcW w:w="735" w:type="dxa"/>
            <w:noWrap w:val="0"/>
            <w:vAlign w:val="top"/>
          </w:tcPr>
          <w:p w14:paraId="78B675D4">
            <w:pPr>
              <w:spacing w:line="440" w:lineRule="exact"/>
              <w:jc w:val="center"/>
              <w:rPr>
                <w:rFonts w:ascii="Times New Roman" w:hAnsi="Times New Roman"/>
                <w:color w:val="auto"/>
              </w:rPr>
            </w:pPr>
          </w:p>
        </w:tc>
        <w:tc>
          <w:tcPr>
            <w:tcW w:w="709" w:type="dxa"/>
            <w:noWrap w:val="0"/>
            <w:vAlign w:val="top"/>
          </w:tcPr>
          <w:p w14:paraId="07B8AB5C">
            <w:pPr>
              <w:spacing w:line="440" w:lineRule="exact"/>
              <w:jc w:val="center"/>
              <w:rPr>
                <w:rFonts w:ascii="Times New Roman" w:hAnsi="Times New Roman"/>
                <w:color w:val="auto"/>
              </w:rPr>
            </w:pPr>
          </w:p>
        </w:tc>
        <w:tc>
          <w:tcPr>
            <w:tcW w:w="1134" w:type="dxa"/>
            <w:noWrap w:val="0"/>
            <w:vAlign w:val="top"/>
          </w:tcPr>
          <w:p w14:paraId="16FEAC08">
            <w:pPr>
              <w:spacing w:line="440" w:lineRule="exact"/>
              <w:jc w:val="center"/>
              <w:rPr>
                <w:rFonts w:ascii="Times New Roman" w:hAnsi="Times New Roman"/>
                <w:color w:val="auto"/>
              </w:rPr>
            </w:pPr>
          </w:p>
        </w:tc>
        <w:tc>
          <w:tcPr>
            <w:tcW w:w="992" w:type="dxa"/>
            <w:noWrap w:val="0"/>
            <w:vAlign w:val="top"/>
          </w:tcPr>
          <w:p w14:paraId="46D0702C">
            <w:pPr>
              <w:spacing w:line="440" w:lineRule="exact"/>
              <w:jc w:val="center"/>
              <w:rPr>
                <w:rFonts w:ascii="Times New Roman" w:hAnsi="Times New Roman"/>
                <w:color w:val="auto"/>
              </w:rPr>
            </w:pPr>
          </w:p>
        </w:tc>
        <w:tc>
          <w:tcPr>
            <w:tcW w:w="709" w:type="dxa"/>
            <w:noWrap w:val="0"/>
            <w:vAlign w:val="top"/>
          </w:tcPr>
          <w:p w14:paraId="7850974C">
            <w:pPr>
              <w:spacing w:line="440" w:lineRule="exact"/>
              <w:jc w:val="center"/>
              <w:rPr>
                <w:rFonts w:ascii="Times New Roman" w:hAnsi="Times New Roman"/>
                <w:color w:val="auto"/>
              </w:rPr>
            </w:pPr>
          </w:p>
        </w:tc>
        <w:tc>
          <w:tcPr>
            <w:tcW w:w="976" w:type="dxa"/>
            <w:noWrap w:val="0"/>
            <w:vAlign w:val="top"/>
          </w:tcPr>
          <w:p w14:paraId="67EEADA4">
            <w:pPr>
              <w:spacing w:line="440" w:lineRule="exact"/>
              <w:jc w:val="center"/>
              <w:rPr>
                <w:rFonts w:ascii="Times New Roman" w:hAnsi="Times New Roman"/>
                <w:color w:val="auto"/>
              </w:rPr>
            </w:pPr>
          </w:p>
        </w:tc>
      </w:tr>
      <w:tr w14:paraId="123A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6F5CB8F">
            <w:pPr>
              <w:spacing w:line="440" w:lineRule="exact"/>
              <w:jc w:val="center"/>
              <w:rPr>
                <w:rFonts w:ascii="Times New Roman" w:hAnsi="Times New Roman"/>
                <w:color w:val="auto"/>
              </w:rPr>
            </w:pPr>
          </w:p>
        </w:tc>
        <w:tc>
          <w:tcPr>
            <w:tcW w:w="1275" w:type="dxa"/>
            <w:noWrap w:val="0"/>
            <w:vAlign w:val="top"/>
          </w:tcPr>
          <w:p w14:paraId="016AFB63">
            <w:pPr>
              <w:spacing w:line="440" w:lineRule="exact"/>
              <w:jc w:val="center"/>
              <w:rPr>
                <w:rFonts w:ascii="Times New Roman" w:hAnsi="Times New Roman"/>
                <w:color w:val="auto"/>
              </w:rPr>
            </w:pPr>
          </w:p>
        </w:tc>
        <w:tc>
          <w:tcPr>
            <w:tcW w:w="992" w:type="dxa"/>
            <w:noWrap w:val="0"/>
            <w:vAlign w:val="top"/>
          </w:tcPr>
          <w:p w14:paraId="18AD2B50">
            <w:pPr>
              <w:spacing w:line="440" w:lineRule="exact"/>
              <w:jc w:val="center"/>
              <w:rPr>
                <w:rFonts w:ascii="Times New Roman" w:hAnsi="Times New Roman"/>
                <w:color w:val="auto"/>
              </w:rPr>
            </w:pPr>
          </w:p>
        </w:tc>
        <w:tc>
          <w:tcPr>
            <w:tcW w:w="735" w:type="dxa"/>
            <w:noWrap w:val="0"/>
            <w:vAlign w:val="top"/>
          </w:tcPr>
          <w:p w14:paraId="1B75170B">
            <w:pPr>
              <w:spacing w:line="440" w:lineRule="exact"/>
              <w:jc w:val="center"/>
              <w:rPr>
                <w:rFonts w:ascii="Times New Roman" w:hAnsi="Times New Roman"/>
                <w:color w:val="auto"/>
              </w:rPr>
            </w:pPr>
          </w:p>
        </w:tc>
        <w:tc>
          <w:tcPr>
            <w:tcW w:w="709" w:type="dxa"/>
            <w:noWrap w:val="0"/>
            <w:vAlign w:val="top"/>
          </w:tcPr>
          <w:p w14:paraId="65219355">
            <w:pPr>
              <w:spacing w:line="440" w:lineRule="exact"/>
              <w:jc w:val="center"/>
              <w:rPr>
                <w:rFonts w:ascii="Times New Roman" w:hAnsi="Times New Roman"/>
                <w:color w:val="auto"/>
              </w:rPr>
            </w:pPr>
          </w:p>
        </w:tc>
        <w:tc>
          <w:tcPr>
            <w:tcW w:w="1134" w:type="dxa"/>
            <w:noWrap w:val="0"/>
            <w:vAlign w:val="top"/>
          </w:tcPr>
          <w:p w14:paraId="3E98350A">
            <w:pPr>
              <w:spacing w:line="440" w:lineRule="exact"/>
              <w:jc w:val="center"/>
              <w:rPr>
                <w:rFonts w:ascii="Times New Roman" w:hAnsi="Times New Roman"/>
                <w:color w:val="auto"/>
              </w:rPr>
            </w:pPr>
          </w:p>
        </w:tc>
        <w:tc>
          <w:tcPr>
            <w:tcW w:w="992" w:type="dxa"/>
            <w:noWrap w:val="0"/>
            <w:vAlign w:val="top"/>
          </w:tcPr>
          <w:p w14:paraId="40716B30">
            <w:pPr>
              <w:spacing w:line="440" w:lineRule="exact"/>
              <w:jc w:val="center"/>
              <w:rPr>
                <w:rFonts w:ascii="Times New Roman" w:hAnsi="Times New Roman"/>
                <w:color w:val="auto"/>
              </w:rPr>
            </w:pPr>
          </w:p>
        </w:tc>
        <w:tc>
          <w:tcPr>
            <w:tcW w:w="709" w:type="dxa"/>
            <w:noWrap w:val="0"/>
            <w:vAlign w:val="top"/>
          </w:tcPr>
          <w:p w14:paraId="000A60D7">
            <w:pPr>
              <w:spacing w:line="440" w:lineRule="exact"/>
              <w:jc w:val="center"/>
              <w:rPr>
                <w:rFonts w:ascii="Times New Roman" w:hAnsi="Times New Roman"/>
                <w:color w:val="auto"/>
              </w:rPr>
            </w:pPr>
          </w:p>
        </w:tc>
        <w:tc>
          <w:tcPr>
            <w:tcW w:w="976" w:type="dxa"/>
            <w:noWrap w:val="0"/>
            <w:vAlign w:val="top"/>
          </w:tcPr>
          <w:p w14:paraId="3FC88B3B">
            <w:pPr>
              <w:spacing w:line="440" w:lineRule="exact"/>
              <w:jc w:val="center"/>
              <w:rPr>
                <w:rFonts w:ascii="Times New Roman" w:hAnsi="Times New Roman"/>
                <w:color w:val="auto"/>
              </w:rPr>
            </w:pPr>
          </w:p>
        </w:tc>
      </w:tr>
      <w:tr w14:paraId="2267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B59A281">
            <w:pPr>
              <w:spacing w:line="440" w:lineRule="exact"/>
              <w:jc w:val="center"/>
              <w:rPr>
                <w:rFonts w:ascii="Times New Roman" w:hAnsi="Times New Roman"/>
                <w:color w:val="auto"/>
              </w:rPr>
            </w:pPr>
          </w:p>
        </w:tc>
        <w:tc>
          <w:tcPr>
            <w:tcW w:w="1275" w:type="dxa"/>
            <w:noWrap w:val="0"/>
            <w:vAlign w:val="top"/>
          </w:tcPr>
          <w:p w14:paraId="52B0FDAA">
            <w:pPr>
              <w:spacing w:line="440" w:lineRule="exact"/>
              <w:jc w:val="center"/>
              <w:rPr>
                <w:rFonts w:ascii="Times New Roman" w:hAnsi="Times New Roman"/>
                <w:color w:val="auto"/>
              </w:rPr>
            </w:pPr>
          </w:p>
        </w:tc>
        <w:tc>
          <w:tcPr>
            <w:tcW w:w="992" w:type="dxa"/>
            <w:noWrap w:val="0"/>
            <w:vAlign w:val="top"/>
          </w:tcPr>
          <w:p w14:paraId="32D9C10B">
            <w:pPr>
              <w:spacing w:line="440" w:lineRule="exact"/>
              <w:jc w:val="center"/>
              <w:rPr>
                <w:rFonts w:ascii="Times New Roman" w:hAnsi="Times New Roman"/>
                <w:color w:val="auto"/>
              </w:rPr>
            </w:pPr>
          </w:p>
        </w:tc>
        <w:tc>
          <w:tcPr>
            <w:tcW w:w="735" w:type="dxa"/>
            <w:noWrap w:val="0"/>
            <w:vAlign w:val="top"/>
          </w:tcPr>
          <w:p w14:paraId="4B9D2F32">
            <w:pPr>
              <w:spacing w:line="440" w:lineRule="exact"/>
              <w:jc w:val="center"/>
              <w:rPr>
                <w:rFonts w:ascii="Times New Roman" w:hAnsi="Times New Roman"/>
                <w:color w:val="auto"/>
              </w:rPr>
            </w:pPr>
          </w:p>
        </w:tc>
        <w:tc>
          <w:tcPr>
            <w:tcW w:w="709" w:type="dxa"/>
            <w:noWrap w:val="0"/>
            <w:vAlign w:val="top"/>
          </w:tcPr>
          <w:p w14:paraId="39530576">
            <w:pPr>
              <w:spacing w:line="440" w:lineRule="exact"/>
              <w:jc w:val="center"/>
              <w:rPr>
                <w:rFonts w:ascii="Times New Roman" w:hAnsi="Times New Roman"/>
                <w:color w:val="auto"/>
              </w:rPr>
            </w:pPr>
          </w:p>
        </w:tc>
        <w:tc>
          <w:tcPr>
            <w:tcW w:w="1134" w:type="dxa"/>
            <w:noWrap w:val="0"/>
            <w:vAlign w:val="top"/>
          </w:tcPr>
          <w:p w14:paraId="551F5771">
            <w:pPr>
              <w:spacing w:line="440" w:lineRule="exact"/>
              <w:jc w:val="center"/>
              <w:rPr>
                <w:rFonts w:ascii="Times New Roman" w:hAnsi="Times New Roman"/>
                <w:color w:val="auto"/>
              </w:rPr>
            </w:pPr>
          </w:p>
        </w:tc>
        <w:tc>
          <w:tcPr>
            <w:tcW w:w="992" w:type="dxa"/>
            <w:noWrap w:val="0"/>
            <w:vAlign w:val="top"/>
          </w:tcPr>
          <w:p w14:paraId="01428DF1">
            <w:pPr>
              <w:spacing w:line="440" w:lineRule="exact"/>
              <w:jc w:val="center"/>
              <w:rPr>
                <w:rFonts w:ascii="Times New Roman" w:hAnsi="Times New Roman"/>
                <w:color w:val="auto"/>
              </w:rPr>
            </w:pPr>
          </w:p>
        </w:tc>
        <w:tc>
          <w:tcPr>
            <w:tcW w:w="709" w:type="dxa"/>
            <w:noWrap w:val="0"/>
            <w:vAlign w:val="top"/>
          </w:tcPr>
          <w:p w14:paraId="71201ED7">
            <w:pPr>
              <w:spacing w:line="440" w:lineRule="exact"/>
              <w:jc w:val="center"/>
              <w:rPr>
                <w:rFonts w:ascii="Times New Roman" w:hAnsi="Times New Roman"/>
                <w:color w:val="auto"/>
              </w:rPr>
            </w:pPr>
          </w:p>
        </w:tc>
        <w:tc>
          <w:tcPr>
            <w:tcW w:w="976" w:type="dxa"/>
            <w:noWrap w:val="0"/>
            <w:vAlign w:val="top"/>
          </w:tcPr>
          <w:p w14:paraId="1816BF2A">
            <w:pPr>
              <w:spacing w:line="440" w:lineRule="exact"/>
              <w:jc w:val="center"/>
              <w:rPr>
                <w:rFonts w:ascii="Times New Roman" w:hAnsi="Times New Roman"/>
                <w:color w:val="auto"/>
              </w:rPr>
            </w:pPr>
          </w:p>
        </w:tc>
      </w:tr>
      <w:tr w14:paraId="5539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2B11D06">
            <w:pPr>
              <w:spacing w:line="440" w:lineRule="exact"/>
              <w:jc w:val="center"/>
              <w:rPr>
                <w:rFonts w:ascii="Times New Roman" w:hAnsi="Times New Roman"/>
                <w:color w:val="auto"/>
              </w:rPr>
            </w:pPr>
          </w:p>
        </w:tc>
        <w:tc>
          <w:tcPr>
            <w:tcW w:w="1275" w:type="dxa"/>
            <w:noWrap w:val="0"/>
            <w:vAlign w:val="top"/>
          </w:tcPr>
          <w:p w14:paraId="081487F6">
            <w:pPr>
              <w:spacing w:line="440" w:lineRule="exact"/>
              <w:jc w:val="center"/>
              <w:rPr>
                <w:rFonts w:ascii="Times New Roman" w:hAnsi="Times New Roman"/>
                <w:color w:val="auto"/>
              </w:rPr>
            </w:pPr>
          </w:p>
        </w:tc>
        <w:tc>
          <w:tcPr>
            <w:tcW w:w="992" w:type="dxa"/>
            <w:noWrap w:val="0"/>
            <w:vAlign w:val="top"/>
          </w:tcPr>
          <w:p w14:paraId="10DF3AFE">
            <w:pPr>
              <w:spacing w:line="440" w:lineRule="exact"/>
              <w:jc w:val="center"/>
              <w:rPr>
                <w:rFonts w:ascii="Times New Roman" w:hAnsi="Times New Roman"/>
                <w:color w:val="auto"/>
              </w:rPr>
            </w:pPr>
          </w:p>
        </w:tc>
        <w:tc>
          <w:tcPr>
            <w:tcW w:w="735" w:type="dxa"/>
            <w:noWrap w:val="0"/>
            <w:vAlign w:val="top"/>
          </w:tcPr>
          <w:p w14:paraId="4FDA3DC1">
            <w:pPr>
              <w:spacing w:line="440" w:lineRule="exact"/>
              <w:jc w:val="center"/>
              <w:rPr>
                <w:rFonts w:ascii="Times New Roman" w:hAnsi="Times New Roman"/>
                <w:color w:val="auto"/>
              </w:rPr>
            </w:pPr>
          </w:p>
        </w:tc>
        <w:tc>
          <w:tcPr>
            <w:tcW w:w="709" w:type="dxa"/>
            <w:noWrap w:val="0"/>
            <w:vAlign w:val="top"/>
          </w:tcPr>
          <w:p w14:paraId="435C97E5">
            <w:pPr>
              <w:spacing w:line="440" w:lineRule="exact"/>
              <w:jc w:val="center"/>
              <w:rPr>
                <w:rFonts w:ascii="Times New Roman" w:hAnsi="Times New Roman"/>
                <w:color w:val="auto"/>
              </w:rPr>
            </w:pPr>
          </w:p>
        </w:tc>
        <w:tc>
          <w:tcPr>
            <w:tcW w:w="1134" w:type="dxa"/>
            <w:noWrap w:val="0"/>
            <w:vAlign w:val="top"/>
          </w:tcPr>
          <w:p w14:paraId="239F9EBF">
            <w:pPr>
              <w:spacing w:line="440" w:lineRule="exact"/>
              <w:jc w:val="center"/>
              <w:rPr>
                <w:rFonts w:ascii="Times New Roman" w:hAnsi="Times New Roman"/>
                <w:color w:val="auto"/>
              </w:rPr>
            </w:pPr>
          </w:p>
        </w:tc>
        <w:tc>
          <w:tcPr>
            <w:tcW w:w="992" w:type="dxa"/>
            <w:noWrap w:val="0"/>
            <w:vAlign w:val="top"/>
          </w:tcPr>
          <w:p w14:paraId="68DBA864">
            <w:pPr>
              <w:spacing w:line="440" w:lineRule="exact"/>
              <w:jc w:val="center"/>
              <w:rPr>
                <w:rFonts w:ascii="Times New Roman" w:hAnsi="Times New Roman"/>
                <w:color w:val="auto"/>
              </w:rPr>
            </w:pPr>
          </w:p>
        </w:tc>
        <w:tc>
          <w:tcPr>
            <w:tcW w:w="709" w:type="dxa"/>
            <w:noWrap w:val="0"/>
            <w:vAlign w:val="top"/>
          </w:tcPr>
          <w:p w14:paraId="5B04E975">
            <w:pPr>
              <w:spacing w:line="440" w:lineRule="exact"/>
              <w:jc w:val="center"/>
              <w:rPr>
                <w:rFonts w:ascii="Times New Roman" w:hAnsi="Times New Roman"/>
                <w:color w:val="auto"/>
              </w:rPr>
            </w:pPr>
          </w:p>
        </w:tc>
        <w:tc>
          <w:tcPr>
            <w:tcW w:w="976" w:type="dxa"/>
            <w:noWrap w:val="0"/>
            <w:vAlign w:val="top"/>
          </w:tcPr>
          <w:p w14:paraId="2DDAE3FD">
            <w:pPr>
              <w:spacing w:line="440" w:lineRule="exact"/>
              <w:jc w:val="center"/>
              <w:rPr>
                <w:rFonts w:ascii="Times New Roman" w:hAnsi="Times New Roman"/>
                <w:color w:val="auto"/>
              </w:rPr>
            </w:pPr>
          </w:p>
        </w:tc>
      </w:tr>
      <w:tr w14:paraId="0964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06F8A81">
            <w:pPr>
              <w:spacing w:line="440" w:lineRule="exact"/>
              <w:jc w:val="center"/>
              <w:rPr>
                <w:rFonts w:ascii="Times New Roman" w:hAnsi="Times New Roman"/>
                <w:color w:val="auto"/>
              </w:rPr>
            </w:pPr>
          </w:p>
        </w:tc>
        <w:tc>
          <w:tcPr>
            <w:tcW w:w="1275" w:type="dxa"/>
            <w:noWrap w:val="0"/>
            <w:vAlign w:val="top"/>
          </w:tcPr>
          <w:p w14:paraId="1B4B8B6F">
            <w:pPr>
              <w:spacing w:line="440" w:lineRule="exact"/>
              <w:jc w:val="center"/>
              <w:rPr>
                <w:rFonts w:ascii="Times New Roman" w:hAnsi="Times New Roman"/>
                <w:color w:val="auto"/>
              </w:rPr>
            </w:pPr>
          </w:p>
        </w:tc>
        <w:tc>
          <w:tcPr>
            <w:tcW w:w="992" w:type="dxa"/>
            <w:noWrap w:val="0"/>
            <w:vAlign w:val="top"/>
          </w:tcPr>
          <w:p w14:paraId="0F0274C8">
            <w:pPr>
              <w:spacing w:line="440" w:lineRule="exact"/>
              <w:jc w:val="center"/>
              <w:rPr>
                <w:rFonts w:ascii="Times New Roman" w:hAnsi="Times New Roman"/>
                <w:color w:val="auto"/>
              </w:rPr>
            </w:pPr>
          </w:p>
        </w:tc>
        <w:tc>
          <w:tcPr>
            <w:tcW w:w="735" w:type="dxa"/>
            <w:noWrap w:val="0"/>
            <w:vAlign w:val="top"/>
          </w:tcPr>
          <w:p w14:paraId="4CAF802C">
            <w:pPr>
              <w:spacing w:line="440" w:lineRule="exact"/>
              <w:jc w:val="center"/>
              <w:rPr>
                <w:rFonts w:ascii="Times New Roman" w:hAnsi="Times New Roman"/>
                <w:color w:val="auto"/>
              </w:rPr>
            </w:pPr>
          </w:p>
        </w:tc>
        <w:tc>
          <w:tcPr>
            <w:tcW w:w="709" w:type="dxa"/>
            <w:noWrap w:val="0"/>
            <w:vAlign w:val="top"/>
          </w:tcPr>
          <w:p w14:paraId="5F7D2DFE">
            <w:pPr>
              <w:spacing w:line="440" w:lineRule="exact"/>
              <w:jc w:val="center"/>
              <w:rPr>
                <w:rFonts w:ascii="Times New Roman" w:hAnsi="Times New Roman"/>
                <w:color w:val="auto"/>
              </w:rPr>
            </w:pPr>
          </w:p>
        </w:tc>
        <w:tc>
          <w:tcPr>
            <w:tcW w:w="1134" w:type="dxa"/>
            <w:noWrap w:val="0"/>
            <w:vAlign w:val="top"/>
          </w:tcPr>
          <w:p w14:paraId="07038DF1">
            <w:pPr>
              <w:spacing w:line="440" w:lineRule="exact"/>
              <w:jc w:val="center"/>
              <w:rPr>
                <w:rFonts w:ascii="Times New Roman" w:hAnsi="Times New Roman"/>
                <w:color w:val="auto"/>
              </w:rPr>
            </w:pPr>
          </w:p>
        </w:tc>
        <w:tc>
          <w:tcPr>
            <w:tcW w:w="992" w:type="dxa"/>
            <w:noWrap w:val="0"/>
            <w:vAlign w:val="top"/>
          </w:tcPr>
          <w:p w14:paraId="30E62DF5">
            <w:pPr>
              <w:spacing w:line="440" w:lineRule="exact"/>
              <w:jc w:val="center"/>
              <w:rPr>
                <w:rFonts w:ascii="Times New Roman" w:hAnsi="Times New Roman"/>
                <w:color w:val="auto"/>
              </w:rPr>
            </w:pPr>
          </w:p>
        </w:tc>
        <w:tc>
          <w:tcPr>
            <w:tcW w:w="709" w:type="dxa"/>
            <w:noWrap w:val="0"/>
            <w:vAlign w:val="top"/>
          </w:tcPr>
          <w:p w14:paraId="5A23A5FA">
            <w:pPr>
              <w:spacing w:line="440" w:lineRule="exact"/>
              <w:jc w:val="center"/>
              <w:rPr>
                <w:rFonts w:ascii="Times New Roman" w:hAnsi="Times New Roman"/>
                <w:color w:val="auto"/>
              </w:rPr>
            </w:pPr>
          </w:p>
        </w:tc>
        <w:tc>
          <w:tcPr>
            <w:tcW w:w="976" w:type="dxa"/>
            <w:noWrap w:val="0"/>
            <w:vAlign w:val="top"/>
          </w:tcPr>
          <w:p w14:paraId="4900E8A5">
            <w:pPr>
              <w:spacing w:line="440" w:lineRule="exact"/>
              <w:jc w:val="center"/>
              <w:rPr>
                <w:rFonts w:ascii="Times New Roman" w:hAnsi="Times New Roman"/>
                <w:color w:val="auto"/>
              </w:rPr>
            </w:pPr>
          </w:p>
        </w:tc>
      </w:tr>
      <w:tr w14:paraId="0101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2E41783">
            <w:pPr>
              <w:spacing w:line="440" w:lineRule="exact"/>
              <w:jc w:val="center"/>
              <w:rPr>
                <w:rFonts w:ascii="Times New Roman" w:hAnsi="Times New Roman"/>
                <w:color w:val="auto"/>
              </w:rPr>
            </w:pPr>
          </w:p>
        </w:tc>
        <w:tc>
          <w:tcPr>
            <w:tcW w:w="1275" w:type="dxa"/>
            <w:noWrap w:val="0"/>
            <w:vAlign w:val="top"/>
          </w:tcPr>
          <w:p w14:paraId="63910543">
            <w:pPr>
              <w:spacing w:line="440" w:lineRule="exact"/>
              <w:jc w:val="center"/>
              <w:rPr>
                <w:rFonts w:ascii="Times New Roman" w:hAnsi="Times New Roman"/>
                <w:color w:val="auto"/>
              </w:rPr>
            </w:pPr>
          </w:p>
        </w:tc>
        <w:tc>
          <w:tcPr>
            <w:tcW w:w="992" w:type="dxa"/>
            <w:noWrap w:val="0"/>
            <w:vAlign w:val="top"/>
          </w:tcPr>
          <w:p w14:paraId="6BA6A1F5">
            <w:pPr>
              <w:spacing w:line="440" w:lineRule="exact"/>
              <w:jc w:val="center"/>
              <w:rPr>
                <w:rFonts w:ascii="Times New Roman" w:hAnsi="Times New Roman"/>
                <w:color w:val="auto"/>
              </w:rPr>
            </w:pPr>
          </w:p>
        </w:tc>
        <w:tc>
          <w:tcPr>
            <w:tcW w:w="735" w:type="dxa"/>
            <w:noWrap w:val="0"/>
            <w:vAlign w:val="top"/>
          </w:tcPr>
          <w:p w14:paraId="54D6A6CC">
            <w:pPr>
              <w:spacing w:line="440" w:lineRule="exact"/>
              <w:jc w:val="center"/>
              <w:rPr>
                <w:rFonts w:ascii="Times New Roman" w:hAnsi="Times New Roman"/>
                <w:color w:val="auto"/>
              </w:rPr>
            </w:pPr>
          </w:p>
        </w:tc>
        <w:tc>
          <w:tcPr>
            <w:tcW w:w="709" w:type="dxa"/>
            <w:noWrap w:val="0"/>
            <w:vAlign w:val="top"/>
          </w:tcPr>
          <w:p w14:paraId="6E648902">
            <w:pPr>
              <w:spacing w:line="440" w:lineRule="exact"/>
              <w:jc w:val="center"/>
              <w:rPr>
                <w:rFonts w:ascii="Times New Roman" w:hAnsi="Times New Roman"/>
                <w:color w:val="auto"/>
              </w:rPr>
            </w:pPr>
          </w:p>
        </w:tc>
        <w:tc>
          <w:tcPr>
            <w:tcW w:w="1134" w:type="dxa"/>
            <w:noWrap w:val="0"/>
            <w:vAlign w:val="top"/>
          </w:tcPr>
          <w:p w14:paraId="31ED772E">
            <w:pPr>
              <w:spacing w:line="440" w:lineRule="exact"/>
              <w:jc w:val="center"/>
              <w:rPr>
                <w:rFonts w:ascii="Times New Roman" w:hAnsi="Times New Roman"/>
                <w:color w:val="auto"/>
              </w:rPr>
            </w:pPr>
          </w:p>
        </w:tc>
        <w:tc>
          <w:tcPr>
            <w:tcW w:w="992" w:type="dxa"/>
            <w:noWrap w:val="0"/>
            <w:vAlign w:val="top"/>
          </w:tcPr>
          <w:p w14:paraId="22866165">
            <w:pPr>
              <w:spacing w:line="440" w:lineRule="exact"/>
              <w:jc w:val="center"/>
              <w:rPr>
                <w:rFonts w:ascii="Times New Roman" w:hAnsi="Times New Roman"/>
                <w:color w:val="auto"/>
              </w:rPr>
            </w:pPr>
          </w:p>
        </w:tc>
        <w:tc>
          <w:tcPr>
            <w:tcW w:w="709" w:type="dxa"/>
            <w:noWrap w:val="0"/>
            <w:vAlign w:val="top"/>
          </w:tcPr>
          <w:p w14:paraId="495C02B4">
            <w:pPr>
              <w:spacing w:line="440" w:lineRule="exact"/>
              <w:jc w:val="center"/>
              <w:rPr>
                <w:rFonts w:ascii="Times New Roman" w:hAnsi="Times New Roman"/>
                <w:color w:val="auto"/>
              </w:rPr>
            </w:pPr>
          </w:p>
        </w:tc>
        <w:tc>
          <w:tcPr>
            <w:tcW w:w="976" w:type="dxa"/>
            <w:noWrap w:val="0"/>
            <w:vAlign w:val="top"/>
          </w:tcPr>
          <w:p w14:paraId="44F55600">
            <w:pPr>
              <w:spacing w:line="440" w:lineRule="exact"/>
              <w:jc w:val="center"/>
              <w:rPr>
                <w:rFonts w:ascii="Times New Roman" w:hAnsi="Times New Roman"/>
                <w:color w:val="auto"/>
              </w:rPr>
            </w:pPr>
          </w:p>
        </w:tc>
      </w:tr>
      <w:tr w14:paraId="3A31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C647AAF">
            <w:pPr>
              <w:spacing w:line="440" w:lineRule="exact"/>
              <w:jc w:val="center"/>
              <w:rPr>
                <w:rFonts w:ascii="Times New Roman" w:hAnsi="Times New Roman"/>
                <w:color w:val="auto"/>
              </w:rPr>
            </w:pPr>
          </w:p>
        </w:tc>
        <w:tc>
          <w:tcPr>
            <w:tcW w:w="1275" w:type="dxa"/>
            <w:noWrap w:val="0"/>
            <w:vAlign w:val="top"/>
          </w:tcPr>
          <w:p w14:paraId="0645B766">
            <w:pPr>
              <w:spacing w:line="440" w:lineRule="exact"/>
              <w:jc w:val="center"/>
              <w:rPr>
                <w:rFonts w:ascii="Times New Roman" w:hAnsi="Times New Roman"/>
                <w:color w:val="auto"/>
              </w:rPr>
            </w:pPr>
          </w:p>
        </w:tc>
        <w:tc>
          <w:tcPr>
            <w:tcW w:w="992" w:type="dxa"/>
            <w:noWrap w:val="0"/>
            <w:vAlign w:val="top"/>
          </w:tcPr>
          <w:p w14:paraId="2FC60AFD">
            <w:pPr>
              <w:spacing w:line="440" w:lineRule="exact"/>
              <w:jc w:val="center"/>
              <w:rPr>
                <w:rFonts w:ascii="Times New Roman" w:hAnsi="Times New Roman"/>
                <w:color w:val="auto"/>
              </w:rPr>
            </w:pPr>
          </w:p>
        </w:tc>
        <w:tc>
          <w:tcPr>
            <w:tcW w:w="735" w:type="dxa"/>
            <w:noWrap w:val="0"/>
            <w:vAlign w:val="top"/>
          </w:tcPr>
          <w:p w14:paraId="3F458AC2">
            <w:pPr>
              <w:spacing w:line="440" w:lineRule="exact"/>
              <w:jc w:val="center"/>
              <w:rPr>
                <w:rFonts w:ascii="Times New Roman" w:hAnsi="Times New Roman"/>
                <w:color w:val="auto"/>
              </w:rPr>
            </w:pPr>
          </w:p>
        </w:tc>
        <w:tc>
          <w:tcPr>
            <w:tcW w:w="709" w:type="dxa"/>
            <w:noWrap w:val="0"/>
            <w:vAlign w:val="top"/>
          </w:tcPr>
          <w:p w14:paraId="33A4FB73">
            <w:pPr>
              <w:spacing w:line="440" w:lineRule="exact"/>
              <w:jc w:val="center"/>
              <w:rPr>
                <w:rFonts w:ascii="Times New Roman" w:hAnsi="Times New Roman"/>
                <w:color w:val="auto"/>
              </w:rPr>
            </w:pPr>
          </w:p>
        </w:tc>
        <w:tc>
          <w:tcPr>
            <w:tcW w:w="1134" w:type="dxa"/>
            <w:noWrap w:val="0"/>
            <w:vAlign w:val="top"/>
          </w:tcPr>
          <w:p w14:paraId="18B0DF8B">
            <w:pPr>
              <w:spacing w:line="440" w:lineRule="exact"/>
              <w:jc w:val="center"/>
              <w:rPr>
                <w:rFonts w:ascii="Times New Roman" w:hAnsi="Times New Roman"/>
                <w:color w:val="auto"/>
              </w:rPr>
            </w:pPr>
          </w:p>
        </w:tc>
        <w:tc>
          <w:tcPr>
            <w:tcW w:w="992" w:type="dxa"/>
            <w:noWrap w:val="0"/>
            <w:vAlign w:val="top"/>
          </w:tcPr>
          <w:p w14:paraId="005B9369">
            <w:pPr>
              <w:spacing w:line="440" w:lineRule="exact"/>
              <w:jc w:val="center"/>
              <w:rPr>
                <w:rFonts w:ascii="Times New Roman" w:hAnsi="Times New Roman"/>
                <w:color w:val="auto"/>
              </w:rPr>
            </w:pPr>
          </w:p>
        </w:tc>
        <w:tc>
          <w:tcPr>
            <w:tcW w:w="709" w:type="dxa"/>
            <w:noWrap w:val="0"/>
            <w:vAlign w:val="top"/>
          </w:tcPr>
          <w:p w14:paraId="0D49EFAA">
            <w:pPr>
              <w:spacing w:line="440" w:lineRule="exact"/>
              <w:jc w:val="center"/>
              <w:rPr>
                <w:rFonts w:ascii="Times New Roman" w:hAnsi="Times New Roman"/>
                <w:color w:val="auto"/>
              </w:rPr>
            </w:pPr>
          </w:p>
        </w:tc>
        <w:tc>
          <w:tcPr>
            <w:tcW w:w="976" w:type="dxa"/>
            <w:noWrap w:val="0"/>
            <w:vAlign w:val="top"/>
          </w:tcPr>
          <w:p w14:paraId="14C5C188">
            <w:pPr>
              <w:spacing w:line="440" w:lineRule="exact"/>
              <w:jc w:val="center"/>
              <w:rPr>
                <w:rFonts w:ascii="Times New Roman" w:hAnsi="Times New Roman"/>
                <w:color w:val="auto"/>
              </w:rPr>
            </w:pPr>
          </w:p>
        </w:tc>
      </w:tr>
      <w:tr w14:paraId="7EFA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ADCD1DB">
            <w:pPr>
              <w:spacing w:line="440" w:lineRule="exact"/>
              <w:jc w:val="center"/>
              <w:rPr>
                <w:rFonts w:ascii="Times New Roman" w:hAnsi="Times New Roman"/>
                <w:color w:val="auto"/>
              </w:rPr>
            </w:pPr>
          </w:p>
        </w:tc>
        <w:tc>
          <w:tcPr>
            <w:tcW w:w="1275" w:type="dxa"/>
            <w:noWrap w:val="0"/>
            <w:vAlign w:val="top"/>
          </w:tcPr>
          <w:p w14:paraId="25B27412">
            <w:pPr>
              <w:spacing w:line="440" w:lineRule="exact"/>
              <w:jc w:val="center"/>
              <w:rPr>
                <w:rFonts w:ascii="Times New Roman" w:hAnsi="Times New Roman"/>
                <w:color w:val="auto"/>
              </w:rPr>
            </w:pPr>
          </w:p>
        </w:tc>
        <w:tc>
          <w:tcPr>
            <w:tcW w:w="992" w:type="dxa"/>
            <w:noWrap w:val="0"/>
            <w:vAlign w:val="top"/>
          </w:tcPr>
          <w:p w14:paraId="0021F21E">
            <w:pPr>
              <w:spacing w:line="440" w:lineRule="exact"/>
              <w:jc w:val="center"/>
              <w:rPr>
                <w:rFonts w:ascii="Times New Roman" w:hAnsi="Times New Roman"/>
                <w:color w:val="auto"/>
              </w:rPr>
            </w:pPr>
          </w:p>
        </w:tc>
        <w:tc>
          <w:tcPr>
            <w:tcW w:w="735" w:type="dxa"/>
            <w:noWrap w:val="0"/>
            <w:vAlign w:val="top"/>
          </w:tcPr>
          <w:p w14:paraId="0178D9E5">
            <w:pPr>
              <w:spacing w:line="440" w:lineRule="exact"/>
              <w:jc w:val="center"/>
              <w:rPr>
                <w:rFonts w:ascii="Times New Roman" w:hAnsi="Times New Roman"/>
                <w:color w:val="auto"/>
              </w:rPr>
            </w:pPr>
          </w:p>
        </w:tc>
        <w:tc>
          <w:tcPr>
            <w:tcW w:w="709" w:type="dxa"/>
            <w:noWrap w:val="0"/>
            <w:vAlign w:val="top"/>
          </w:tcPr>
          <w:p w14:paraId="3AC3898A">
            <w:pPr>
              <w:spacing w:line="440" w:lineRule="exact"/>
              <w:jc w:val="center"/>
              <w:rPr>
                <w:rFonts w:ascii="Times New Roman" w:hAnsi="Times New Roman"/>
                <w:color w:val="auto"/>
              </w:rPr>
            </w:pPr>
          </w:p>
        </w:tc>
        <w:tc>
          <w:tcPr>
            <w:tcW w:w="1134" w:type="dxa"/>
            <w:noWrap w:val="0"/>
            <w:vAlign w:val="top"/>
          </w:tcPr>
          <w:p w14:paraId="2683203A">
            <w:pPr>
              <w:spacing w:line="440" w:lineRule="exact"/>
              <w:jc w:val="center"/>
              <w:rPr>
                <w:rFonts w:ascii="Times New Roman" w:hAnsi="Times New Roman"/>
                <w:color w:val="auto"/>
              </w:rPr>
            </w:pPr>
          </w:p>
        </w:tc>
        <w:tc>
          <w:tcPr>
            <w:tcW w:w="992" w:type="dxa"/>
            <w:noWrap w:val="0"/>
            <w:vAlign w:val="top"/>
          </w:tcPr>
          <w:p w14:paraId="055769A7">
            <w:pPr>
              <w:spacing w:line="440" w:lineRule="exact"/>
              <w:jc w:val="center"/>
              <w:rPr>
                <w:rFonts w:ascii="Times New Roman" w:hAnsi="Times New Roman"/>
                <w:color w:val="auto"/>
              </w:rPr>
            </w:pPr>
          </w:p>
        </w:tc>
        <w:tc>
          <w:tcPr>
            <w:tcW w:w="709" w:type="dxa"/>
            <w:noWrap w:val="0"/>
            <w:vAlign w:val="top"/>
          </w:tcPr>
          <w:p w14:paraId="6FD1F312">
            <w:pPr>
              <w:spacing w:line="440" w:lineRule="exact"/>
              <w:jc w:val="center"/>
              <w:rPr>
                <w:rFonts w:ascii="Times New Roman" w:hAnsi="Times New Roman"/>
                <w:color w:val="auto"/>
              </w:rPr>
            </w:pPr>
          </w:p>
        </w:tc>
        <w:tc>
          <w:tcPr>
            <w:tcW w:w="976" w:type="dxa"/>
            <w:noWrap w:val="0"/>
            <w:vAlign w:val="top"/>
          </w:tcPr>
          <w:p w14:paraId="4BCC09DA">
            <w:pPr>
              <w:spacing w:line="440" w:lineRule="exact"/>
              <w:jc w:val="center"/>
              <w:rPr>
                <w:rFonts w:ascii="Times New Roman" w:hAnsi="Times New Roman"/>
                <w:color w:val="auto"/>
              </w:rPr>
            </w:pPr>
          </w:p>
        </w:tc>
      </w:tr>
      <w:tr w14:paraId="1BC0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2931CD5">
            <w:pPr>
              <w:spacing w:line="440" w:lineRule="exact"/>
              <w:jc w:val="center"/>
              <w:rPr>
                <w:rFonts w:ascii="Times New Roman" w:hAnsi="Times New Roman"/>
                <w:color w:val="auto"/>
              </w:rPr>
            </w:pPr>
          </w:p>
        </w:tc>
        <w:tc>
          <w:tcPr>
            <w:tcW w:w="1275" w:type="dxa"/>
            <w:noWrap w:val="0"/>
            <w:vAlign w:val="top"/>
          </w:tcPr>
          <w:p w14:paraId="2221CBE1">
            <w:pPr>
              <w:spacing w:line="440" w:lineRule="exact"/>
              <w:jc w:val="center"/>
              <w:rPr>
                <w:rFonts w:ascii="Times New Roman" w:hAnsi="Times New Roman"/>
                <w:color w:val="auto"/>
              </w:rPr>
            </w:pPr>
          </w:p>
        </w:tc>
        <w:tc>
          <w:tcPr>
            <w:tcW w:w="992" w:type="dxa"/>
            <w:noWrap w:val="0"/>
            <w:vAlign w:val="top"/>
          </w:tcPr>
          <w:p w14:paraId="3CBA8416">
            <w:pPr>
              <w:spacing w:line="440" w:lineRule="exact"/>
              <w:jc w:val="center"/>
              <w:rPr>
                <w:rFonts w:ascii="Times New Roman" w:hAnsi="Times New Roman"/>
                <w:color w:val="auto"/>
              </w:rPr>
            </w:pPr>
          </w:p>
        </w:tc>
        <w:tc>
          <w:tcPr>
            <w:tcW w:w="735" w:type="dxa"/>
            <w:noWrap w:val="0"/>
            <w:vAlign w:val="top"/>
          </w:tcPr>
          <w:p w14:paraId="429C401A">
            <w:pPr>
              <w:spacing w:line="440" w:lineRule="exact"/>
              <w:jc w:val="center"/>
              <w:rPr>
                <w:rFonts w:ascii="Times New Roman" w:hAnsi="Times New Roman"/>
                <w:color w:val="auto"/>
              </w:rPr>
            </w:pPr>
          </w:p>
        </w:tc>
        <w:tc>
          <w:tcPr>
            <w:tcW w:w="709" w:type="dxa"/>
            <w:noWrap w:val="0"/>
            <w:vAlign w:val="top"/>
          </w:tcPr>
          <w:p w14:paraId="2AFA5EB2">
            <w:pPr>
              <w:spacing w:line="440" w:lineRule="exact"/>
              <w:jc w:val="center"/>
              <w:rPr>
                <w:rFonts w:ascii="Times New Roman" w:hAnsi="Times New Roman"/>
                <w:color w:val="auto"/>
              </w:rPr>
            </w:pPr>
          </w:p>
        </w:tc>
        <w:tc>
          <w:tcPr>
            <w:tcW w:w="1134" w:type="dxa"/>
            <w:noWrap w:val="0"/>
            <w:vAlign w:val="top"/>
          </w:tcPr>
          <w:p w14:paraId="56F0845B">
            <w:pPr>
              <w:spacing w:line="440" w:lineRule="exact"/>
              <w:jc w:val="center"/>
              <w:rPr>
                <w:rFonts w:ascii="Times New Roman" w:hAnsi="Times New Roman"/>
                <w:color w:val="auto"/>
              </w:rPr>
            </w:pPr>
          </w:p>
        </w:tc>
        <w:tc>
          <w:tcPr>
            <w:tcW w:w="992" w:type="dxa"/>
            <w:noWrap w:val="0"/>
            <w:vAlign w:val="top"/>
          </w:tcPr>
          <w:p w14:paraId="05313514">
            <w:pPr>
              <w:spacing w:line="440" w:lineRule="exact"/>
              <w:jc w:val="center"/>
              <w:rPr>
                <w:rFonts w:ascii="Times New Roman" w:hAnsi="Times New Roman"/>
                <w:color w:val="auto"/>
              </w:rPr>
            </w:pPr>
          </w:p>
        </w:tc>
        <w:tc>
          <w:tcPr>
            <w:tcW w:w="709" w:type="dxa"/>
            <w:noWrap w:val="0"/>
            <w:vAlign w:val="top"/>
          </w:tcPr>
          <w:p w14:paraId="2EC2FC06">
            <w:pPr>
              <w:spacing w:line="440" w:lineRule="exact"/>
              <w:jc w:val="center"/>
              <w:rPr>
                <w:rFonts w:ascii="Times New Roman" w:hAnsi="Times New Roman"/>
                <w:color w:val="auto"/>
              </w:rPr>
            </w:pPr>
          </w:p>
        </w:tc>
        <w:tc>
          <w:tcPr>
            <w:tcW w:w="976" w:type="dxa"/>
            <w:noWrap w:val="0"/>
            <w:vAlign w:val="top"/>
          </w:tcPr>
          <w:p w14:paraId="2CF9F876">
            <w:pPr>
              <w:spacing w:line="440" w:lineRule="exact"/>
              <w:jc w:val="center"/>
              <w:rPr>
                <w:rFonts w:ascii="Times New Roman" w:hAnsi="Times New Roman"/>
                <w:color w:val="auto"/>
              </w:rPr>
            </w:pPr>
          </w:p>
        </w:tc>
      </w:tr>
    </w:tbl>
    <w:p w14:paraId="70DFFD54">
      <w:pPr>
        <w:rPr>
          <w:color w:val="auto"/>
        </w:rPr>
      </w:pPr>
    </w:p>
    <w:p w14:paraId="6BD3F05A">
      <w:pPr>
        <w:pStyle w:val="4"/>
        <w:pageBreakBefore/>
        <w:numPr>
          <w:ilvl w:val="0"/>
          <w:numId w:val="8"/>
        </w:numPr>
        <w:rPr>
          <w:color w:val="auto"/>
        </w:rPr>
      </w:pPr>
      <w:r>
        <w:rPr>
          <w:rFonts w:hint="eastAsia"/>
          <w:color w:val="auto"/>
          <w:lang w:val="en-US" w:eastAsia="zh-CN"/>
        </w:rPr>
        <w:t>资格审查资料</w:t>
      </w:r>
    </w:p>
    <w:p w14:paraId="2B5F2100">
      <w:pPr>
        <w:pStyle w:val="4"/>
        <w:spacing w:before="0" w:after="0" w:line="360" w:lineRule="auto"/>
        <w:ind w:firstLine="118"/>
        <w:jc w:val="center"/>
        <w:rPr>
          <w:rFonts w:ascii="宋体" w:hAnsi="宋体"/>
          <w:color w:val="auto"/>
          <w:sz w:val="24"/>
          <w:szCs w:val="24"/>
        </w:rPr>
      </w:pPr>
      <w:r>
        <w:rPr>
          <w:rFonts w:hint="eastAsia"/>
          <w:color w:val="auto"/>
          <w:sz w:val="24"/>
          <w:szCs w:val="24"/>
        </w:rPr>
        <w:t>（一）投标人基本情况表</w:t>
      </w:r>
    </w:p>
    <w:tbl>
      <w:tblPr>
        <w:tblStyle w:val="57"/>
        <w:tblW w:w="0" w:type="auto"/>
        <w:tblInd w:w="-5" w:type="dxa"/>
        <w:tblLayout w:type="fixed"/>
        <w:tblCellMar>
          <w:top w:w="0" w:type="dxa"/>
          <w:left w:w="0" w:type="dxa"/>
          <w:bottom w:w="0" w:type="dxa"/>
          <w:right w:w="0" w:type="dxa"/>
        </w:tblCellMar>
      </w:tblPr>
      <w:tblGrid>
        <w:gridCol w:w="1728"/>
        <w:gridCol w:w="898"/>
        <w:gridCol w:w="951"/>
        <w:gridCol w:w="840"/>
        <w:gridCol w:w="420"/>
        <w:gridCol w:w="96"/>
        <w:gridCol w:w="1293"/>
        <w:gridCol w:w="491"/>
        <w:gridCol w:w="859"/>
        <w:gridCol w:w="992"/>
      </w:tblGrid>
      <w:tr w14:paraId="616D4123">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2B816741">
            <w:pPr>
              <w:autoSpaceDE w:val="0"/>
              <w:autoSpaceDN w:val="0"/>
              <w:adjustRightInd w:val="0"/>
              <w:snapToGrid w:val="0"/>
              <w:jc w:val="center"/>
              <w:rPr>
                <w:rFonts w:ascii="宋体" w:hAnsi="宋体"/>
                <w:color w:val="auto"/>
                <w:kern w:val="0"/>
              </w:rPr>
            </w:pPr>
            <w:bookmarkStart w:id="72" w:name="_Toc390411623"/>
            <w:bookmarkStart w:id="73" w:name="_Toc421917003"/>
            <w:r>
              <w:rPr>
                <w:rFonts w:hint="eastAsia" w:ascii="宋体" w:hAnsi="宋体"/>
                <w:color w:val="auto"/>
                <w:kern w:val="0"/>
              </w:rPr>
              <w:t>投标人名称</w:t>
            </w:r>
          </w:p>
        </w:tc>
        <w:tc>
          <w:tcPr>
            <w:tcW w:w="6840" w:type="dxa"/>
            <w:gridSpan w:val="9"/>
            <w:tcBorders>
              <w:top w:val="single" w:color="000000" w:sz="4" w:space="0"/>
              <w:left w:val="single" w:color="000000" w:sz="4" w:space="0"/>
              <w:bottom w:val="single" w:color="000000" w:sz="4" w:space="0"/>
              <w:right w:val="single" w:color="000000" w:sz="4" w:space="0"/>
            </w:tcBorders>
            <w:noWrap w:val="0"/>
            <w:vAlign w:val="center"/>
          </w:tcPr>
          <w:p w14:paraId="350BAA14">
            <w:pPr>
              <w:autoSpaceDE w:val="0"/>
              <w:autoSpaceDN w:val="0"/>
              <w:adjustRightInd w:val="0"/>
              <w:snapToGrid w:val="0"/>
              <w:jc w:val="center"/>
              <w:rPr>
                <w:rFonts w:ascii="宋体" w:hAnsi="宋体"/>
                <w:color w:val="auto"/>
                <w:kern w:val="0"/>
              </w:rPr>
            </w:pPr>
          </w:p>
        </w:tc>
      </w:tr>
      <w:tr w14:paraId="7B34BBC2">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4E5B60BD">
            <w:pPr>
              <w:autoSpaceDE w:val="0"/>
              <w:autoSpaceDN w:val="0"/>
              <w:adjustRightInd w:val="0"/>
              <w:snapToGrid w:val="0"/>
              <w:jc w:val="center"/>
              <w:rPr>
                <w:rFonts w:ascii="宋体" w:hAnsi="宋体"/>
                <w:color w:val="auto"/>
                <w:kern w:val="0"/>
              </w:rPr>
            </w:pPr>
            <w:r>
              <w:rPr>
                <w:rFonts w:hint="eastAsia" w:ascii="宋体" w:hAnsi="宋体"/>
                <w:color w:val="auto"/>
                <w:kern w:val="0"/>
              </w:rPr>
              <w:t>注册地址</w:t>
            </w:r>
          </w:p>
        </w:tc>
        <w:tc>
          <w:tcPr>
            <w:tcW w:w="3205" w:type="dxa"/>
            <w:gridSpan w:val="5"/>
            <w:tcBorders>
              <w:top w:val="single" w:color="000000" w:sz="4" w:space="0"/>
              <w:left w:val="single" w:color="000000" w:sz="4" w:space="0"/>
              <w:bottom w:val="single" w:color="000000" w:sz="4" w:space="0"/>
              <w:right w:val="single" w:color="000000" w:sz="4" w:space="0"/>
            </w:tcBorders>
            <w:noWrap w:val="0"/>
            <w:vAlign w:val="center"/>
          </w:tcPr>
          <w:p w14:paraId="03A385B4">
            <w:pPr>
              <w:autoSpaceDE w:val="0"/>
              <w:autoSpaceDN w:val="0"/>
              <w:adjustRightInd w:val="0"/>
              <w:snapToGrid w:val="0"/>
              <w:jc w:val="center"/>
              <w:rPr>
                <w:rFonts w:ascii="宋体" w:hAnsi="宋体"/>
                <w:color w:val="auto"/>
                <w:kern w:val="0"/>
              </w:rPr>
            </w:pPr>
          </w:p>
        </w:tc>
        <w:tc>
          <w:tcPr>
            <w:tcW w:w="1293" w:type="dxa"/>
            <w:tcBorders>
              <w:top w:val="single" w:color="000000" w:sz="4" w:space="0"/>
              <w:left w:val="single" w:color="000000" w:sz="4" w:space="0"/>
              <w:bottom w:val="single" w:color="000000" w:sz="4" w:space="0"/>
              <w:right w:val="single" w:color="000000" w:sz="4" w:space="0"/>
            </w:tcBorders>
            <w:noWrap w:val="0"/>
            <w:vAlign w:val="center"/>
          </w:tcPr>
          <w:p w14:paraId="0BDDD60A">
            <w:pPr>
              <w:autoSpaceDE w:val="0"/>
              <w:autoSpaceDN w:val="0"/>
              <w:adjustRightInd w:val="0"/>
              <w:snapToGrid w:val="0"/>
              <w:jc w:val="center"/>
              <w:rPr>
                <w:rFonts w:ascii="宋体" w:hAnsi="宋体"/>
                <w:color w:val="auto"/>
                <w:kern w:val="0"/>
              </w:rPr>
            </w:pPr>
            <w:r>
              <w:rPr>
                <w:rFonts w:hint="eastAsia" w:ascii="宋体" w:hAnsi="宋体"/>
                <w:color w:val="auto"/>
                <w:kern w:val="0"/>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center"/>
          </w:tcPr>
          <w:p w14:paraId="6CB80C74">
            <w:pPr>
              <w:autoSpaceDE w:val="0"/>
              <w:autoSpaceDN w:val="0"/>
              <w:adjustRightInd w:val="0"/>
              <w:snapToGrid w:val="0"/>
              <w:jc w:val="center"/>
              <w:rPr>
                <w:rFonts w:ascii="宋体" w:hAnsi="宋体"/>
                <w:color w:val="auto"/>
                <w:kern w:val="0"/>
              </w:rPr>
            </w:pPr>
          </w:p>
        </w:tc>
      </w:tr>
      <w:tr w14:paraId="22806397">
        <w:tblPrEx>
          <w:tblCellMar>
            <w:top w:w="0" w:type="dxa"/>
            <w:left w:w="0" w:type="dxa"/>
            <w:bottom w:w="0" w:type="dxa"/>
            <w:right w:w="0" w:type="dxa"/>
          </w:tblCellMar>
        </w:tblPrEx>
        <w:trPr>
          <w:trHeight w:val="567" w:hRule="atLeast"/>
        </w:trPr>
        <w:tc>
          <w:tcPr>
            <w:tcW w:w="1728" w:type="dxa"/>
            <w:vMerge w:val="restart"/>
            <w:tcBorders>
              <w:top w:val="single" w:color="000000" w:sz="4" w:space="0"/>
              <w:left w:val="single" w:color="000000" w:sz="4" w:space="0"/>
              <w:bottom w:val="single" w:color="000000" w:sz="4" w:space="0"/>
              <w:right w:val="single" w:color="000000" w:sz="4" w:space="0"/>
            </w:tcBorders>
            <w:noWrap w:val="0"/>
            <w:vAlign w:val="center"/>
          </w:tcPr>
          <w:p w14:paraId="67CC0151">
            <w:pPr>
              <w:autoSpaceDE w:val="0"/>
              <w:autoSpaceDN w:val="0"/>
              <w:adjustRightInd w:val="0"/>
              <w:snapToGrid w:val="0"/>
              <w:jc w:val="center"/>
              <w:rPr>
                <w:rFonts w:ascii="宋体" w:hAnsi="宋体"/>
                <w:color w:val="auto"/>
                <w:kern w:val="0"/>
              </w:rPr>
            </w:pPr>
            <w:r>
              <w:rPr>
                <w:rFonts w:hint="eastAsia" w:ascii="宋体" w:hAnsi="宋体"/>
                <w:color w:val="auto"/>
                <w:kern w:val="0"/>
              </w:rPr>
              <w:t>联系方式</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434E5E29">
            <w:pPr>
              <w:autoSpaceDE w:val="0"/>
              <w:autoSpaceDN w:val="0"/>
              <w:adjustRightInd w:val="0"/>
              <w:snapToGrid w:val="0"/>
              <w:jc w:val="center"/>
              <w:rPr>
                <w:rFonts w:ascii="宋体" w:hAnsi="宋体"/>
                <w:color w:val="auto"/>
                <w:kern w:val="0"/>
              </w:rPr>
            </w:pPr>
            <w:r>
              <w:rPr>
                <w:rFonts w:hint="eastAsia" w:ascii="宋体" w:hAnsi="宋体"/>
                <w:color w:val="auto"/>
                <w:kern w:val="0"/>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center"/>
          </w:tcPr>
          <w:p w14:paraId="537D1873">
            <w:pPr>
              <w:autoSpaceDE w:val="0"/>
              <w:autoSpaceDN w:val="0"/>
              <w:adjustRightInd w:val="0"/>
              <w:snapToGrid w:val="0"/>
              <w:jc w:val="center"/>
              <w:rPr>
                <w:rFonts w:ascii="宋体" w:hAnsi="宋体"/>
                <w:color w:val="auto"/>
                <w:kern w:val="0"/>
              </w:rPr>
            </w:pPr>
          </w:p>
        </w:tc>
        <w:tc>
          <w:tcPr>
            <w:tcW w:w="1293" w:type="dxa"/>
            <w:tcBorders>
              <w:top w:val="single" w:color="000000" w:sz="4" w:space="0"/>
              <w:left w:val="single" w:color="000000" w:sz="4" w:space="0"/>
              <w:bottom w:val="single" w:color="000000" w:sz="4" w:space="0"/>
              <w:right w:val="single" w:color="000000" w:sz="4" w:space="0"/>
            </w:tcBorders>
            <w:noWrap w:val="0"/>
            <w:vAlign w:val="center"/>
          </w:tcPr>
          <w:p w14:paraId="46791CEE">
            <w:pPr>
              <w:autoSpaceDE w:val="0"/>
              <w:autoSpaceDN w:val="0"/>
              <w:adjustRightInd w:val="0"/>
              <w:snapToGrid w:val="0"/>
              <w:jc w:val="center"/>
              <w:rPr>
                <w:rFonts w:ascii="宋体" w:hAnsi="宋体"/>
                <w:color w:val="auto"/>
                <w:kern w:val="0"/>
              </w:rPr>
            </w:pPr>
            <w:r>
              <w:rPr>
                <w:rFonts w:hint="eastAsia" w:ascii="宋体" w:hAnsi="宋体"/>
                <w:color w:val="auto"/>
                <w:kern w:val="0"/>
              </w:rPr>
              <w:t xml:space="preserve">电 </w:t>
            </w:r>
            <w:r>
              <w:rPr>
                <w:rFonts w:hint="eastAsia" w:ascii="宋体" w:hAnsi="宋体"/>
                <w:color w:val="auto"/>
                <w:spacing w:val="1"/>
                <w:kern w:val="0"/>
              </w:rPr>
              <w:t xml:space="preserve"> </w:t>
            </w:r>
            <w:r>
              <w:rPr>
                <w:rFonts w:hint="eastAsia" w:ascii="宋体" w:hAnsi="宋体"/>
                <w:color w:val="auto"/>
                <w:kern w:val="0"/>
              </w:rPr>
              <w:t>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center"/>
          </w:tcPr>
          <w:p w14:paraId="5ACFEE61">
            <w:pPr>
              <w:autoSpaceDE w:val="0"/>
              <w:autoSpaceDN w:val="0"/>
              <w:adjustRightInd w:val="0"/>
              <w:snapToGrid w:val="0"/>
              <w:jc w:val="center"/>
              <w:rPr>
                <w:rFonts w:ascii="宋体" w:hAnsi="宋体"/>
                <w:color w:val="auto"/>
                <w:kern w:val="0"/>
              </w:rPr>
            </w:pPr>
          </w:p>
        </w:tc>
      </w:tr>
      <w:tr w14:paraId="56B649A1">
        <w:tblPrEx>
          <w:tblCellMar>
            <w:top w:w="0" w:type="dxa"/>
            <w:left w:w="0" w:type="dxa"/>
            <w:bottom w:w="0" w:type="dxa"/>
            <w:right w:w="0" w:type="dxa"/>
          </w:tblCellMar>
        </w:tblPrEx>
        <w:trPr>
          <w:trHeight w:val="567" w:hRule="atLeast"/>
        </w:trPr>
        <w:tc>
          <w:tcPr>
            <w:tcW w:w="17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1E22E">
            <w:pPr>
              <w:widowControl/>
              <w:adjustRightInd w:val="0"/>
              <w:snapToGrid w:val="0"/>
              <w:jc w:val="left"/>
              <w:rPr>
                <w:rFonts w:ascii="宋体" w:hAnsi="宋体"/>
                <w:color w:val="auto"/>
                <w:kern w:val="0"/>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588B9491">
            <w:pPr>
              <w:tabs>
                <w:tab w:val="left" w:pos="540"/>
              </w:tabs>
              <w:autoSpaceDE w:val="0"/>
              <w:autoSpaceDN w:val="0"/>
              <w:adjustRightInd w:val="0"/>
              <w:snapToGrid w:val="0"/>
              <w:jc w:val="center"/>
              <w:rPr>
                <w:rFonts w:ascii="宋体" w:hAnsi="宋体"/>
                <w:color w:val="auto"/>
                <w:kern w:val="0"/>
              </w:rPr>
            </w:pPr>
            <w:r>
              <w:rPr>
                <w:rFonts w:hint="eastAsia" w:ascii="宋体" w:hAnsi="宋体"/>
                <w:color w:val="auto"/>
                <w:kern w:val="0"/>
              </w:rPr>
              <w:t>传  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center"/>
          </w:tcPr>
          <w:p w14:paraId="43574DED">
            <w:pPr>
              <w:autoSpaceDE w:val="0"/>
              <w:autoSpaceDN w:val="0"/>
              <w:adjustRightInd w:val="0"/>
              <w:snapToGrid w:val="0"/>
              <w:jc w:val="center"/>
              <w:rPr>
                <w:rFonts w:ascii="宋体" w:hAnsi="宋体"/>
                <w:color w:val="auto"/>
                <w:kern w:val="0"/>
              </w:rPr>
            </w:pPr>
          </w:p>
        </w:tc>
        <w:tc>
          <w:tcPr>
            <w:tcW w:w="1293" w:type="dxa"/>
            <w:tcBorders>
              <w:top w:val="single" w:color="000000" w:sz="4" w:space="0"/>
              <w:left w:val="single" w:color="000000" w:sz="4" w:space="0"/>
              <w:bottom w:val="single" w:color="000000" w:sz="4" w:space="0"/>
              <w:right w:val="single" w:color="000000" w:sz="4" w:space="0"/>
            </w:tcBorders>
            <w:noWrap w:val="0"/>
            <w:vAlign w:val="center"/>
          </w:tcPr>
          <w:p w14:paraId="64AD95B6">
            <w:pPr>
              <w:autoSpaceDE w:val="0"/>
              <w:autoSpaceDN w:val="0"/>
              <w:adjustRightInd w:val="0"/>
              <w:snapToGrid w:val="0"/>
              <w:jc w:val="center"/>
              <w:rPr>
                <w:rFonts w:ascii="宋体" w:hAnsi="宋体"/>
                <w:color w:val="auto"/>
                <w:kern w:val="0"/>
              </w:rPr>
            </w:pPr>
            <w:r>
              <w:rPr>
                <w:rFonts w:hint="eastAsia" w:ascii="宋体" w:hAnsi="宋体"/>
                <w:color w:val="auto"/>
                <w:kern w:val="0"/>
              </w:rPr>
              <w:t>电子邮件</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center"/>
          </w:tcPr>
          <w:p w14:paraId="71E7A549">
            <w:pPr>
              <w:autoSpaceDE w:val="0"/>
              <w:autoSpaceDN w:val="0"/>
              <w:adjustRightInd w:val="0"/>
              <w:snapToGrid w:val="0"/>
              <w:jc w:val="center"/>
              <w:rPr>
                <w:rFonts w:ascii="宋体" w:hAnsi="宋体"/>
                <w:color w:val="auto"/>
                <w:kern w:val="0"/>
              </w:rPr>
            </w:pPr>
          </w:p>
        </w:tc>
      </w:tr>
      <w:tr w14:paraId="050C17F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3500110A">
            <w:pPr>
              <w:autoSpaceDE w:val="0"/>
              <w:autoSpaceDN w:val="0"/>
              <w:adjustRightInd w:val="0"/>
              <w:snapToGrid w:val="0"/>
              <w:jc w:val="center"/>
              <w:rPr>
                <w:rFonts w:ascii="宋体" w:hAnsi="宋体"/>
                <w:color w:val="auto"/>
                <w:kern w:val="0"/>
              </w:rPr>
            </w:pPr>
            <w:r>
              <w:rPr>
                <w:rFonts w:hint="eastAsia" w:ascii="宋体" w:hAnsi="宋体"/>
                <w:color w:val="auto"/>
                <w:kern w:val="0"/>
              </w:rPr>
              <w:t>法定代表人</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38EB0B0B">
            <w:pPr>
              <w:autoSpaceDE w:val="0"/>
              <w:autoSpaceDN w:val="0"/>
              <w:adjustRightInd w:val="0"/>
              <w:snapToGrid w:val="0"/>
              <w:jc w:val="center"/>
              <w:rPr>
                <w:rFonts w:ascii="宋体" w:hAnsi="宋体"/>
                <w:color w:val="auto"/>
                <w:kern w:val="0"/>
              </w:rPr>
            </w:pPr>
            <w:r>
              <w:rPr>
                <w:rFonts w:hint="eastAsia" w:ascii="宋体" w:hAnsi="宋体"/>
                <w:color w:val="auto"/>
                <w:kern w:val="0"/>
              </w:rPr>
              <w:t>姓名</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6D77E4F">
            <w:pPr>
              <w:autoSpaceDE w:val="0"/>
              <w:autoSpaceDN w:val="0"/>
              <w:adjustRightInd w:val="0"/>
              <w:snapToGrid w:val="0"/>
              <w:jc w:val="center"/>
              <w:rPr>
                <w:rFonts w:ascii="宋体" w:hAnsi="宋体"/>
                <w:color w:val="auto"/>
                <w:kern w:val="0"/>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18A348A6">
            <w:pPr>
              <w:autoSpaceDE w:val="0"/>
              <w:autoSpaceDN w:val="0"/>
              <w:adjustRightInd w:val="0"/>
              <w:snapToGrid w:val="0"/>
              <w:jc w:val="center"/>
              <w:rPr>
                <w:rFonts w:ascii="宋体" w:hAnsi="宋体"/>
                <w:color w:val="auto"/>
                <w:kern w:val="0"/>
              </w:rPr>
            </w:pPr>
            <w:r>
              <w:rPr>
                <w:rFonts w:hint="eastAsia" w:ascii="宋体" w:hAnsi="宋体"/>
                <w:color w:val="auto"/>
                <w:kern w:val="0"/>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center"/>
          </w:tcPr>
          <w:p w14:paraId="72CE8211">
            <w:pPr>
              <w:autoSpaceDE w:val="0"/>
              <w:autoSpaceDN w:val="0"/>
              <w:adjustRightInd w:val="0"/>
              <w:snapToGrid w:val="0"/>
              <w:jc w:val="center"/>
              <w:rPr>
                <w:rFonts w:ascii="宋体" w:hAnsi="宋体"/>
                <w:color w:val="auto"/>
                <w:kern w:val="0"/>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E5D0BC9">
            <w:pPr>
              <w:autoSpaceDE w:val="0"/>
              <w:autoSpaceDN w:val="0"/>
              <w:adjustRightInd w:val="0"/>
              <w:snapToGrid w:val="0"/>
              <w:jc w:val="center"/>
              <w:rPr>
                <w:rFonts w:ascii="宋体" w:hAnsi="宋体"/>
                <w:color w:val="auto"/>
                <w:kern w:val="0"/>
              </w:rPr>
            </w:pPr>
            <w:r>
              <w:rPr>
                <w:rFonts w:hint="eastAsia" w:ascii="宋体" w:hAnsi="宋体"/>
                <w:color w:val="auto"/>
                <w:kern w:val="0"/>
              </w:rPr>
              <w:t>电话</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CE6CC44">
            <w:pPr>
              <w:autoSpaceDE w:val="0"/>
              <w:autoSpaceDN w:val="0"/>
              <w:adjustRightInd w:val="0"/>
              <w:snapToGrid w:val="0"/>
              <w:jc w:val="center"/>
              <w:rPr>
                <w:rFonts w:ascii="宋体" w:hAnsi="宋体"/>
                <w:color w:val="auto"/>
                <w:kern w:val="0"/>
              </w:rPr>
            </w:pPr>
          </w:p>
        </w:tc>
      </w:tr>
      <w:tr w14:paraId="314E2A8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6EDD1D69">
            <w:pPr>
              <w:autoSpaceDE w:val="0"/>
              <w:autoSpaceDN w:val="0"/>
              <w:adjustRightInd w:val="0"/>
              <w:snapToGrid w:val="0"/>
              <w:jc w:val="center"/>
              <w:rPr>
                <w:rFonts w:ascii="宋体" w:hAnsi="宋体"/>
                <w:color w:val="auto"/>
                <w:kern w:val="0"/>
              </w:rPr>
            </w:pPr>
            <w:r>
              <w:rPr>
                <w:rFonts w:hint="eastAsia" w:ascii="宋体" w:hAnsi="宋体"/>
                <w:color w:val="auto"/>
                <w:kern w:val="0"/>
              </w:rPr>
              <w:t>技术负责人</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1E70D19A">
            <w:pPr>
              <w:autoSpaceDE w:val="0"/>
              <w:autoSpaceDN w:val="0"/>
              <w:adjustRightInd w:val="0"/>
              <w:snapToGrid w:val="0"/>
              <w:jc w:val="center"/>
              <w:rPr>
                <w:rFonts w:ascii="宋体" w:hAnsi="宋体"/>
                <w:color w:val="auto"/>
                <w:kern w:val="0"/>
              </w:rPr>
            </w:pPr>
            <w:r>
              <w:rPr>
                <w:rFonts w:hint="eastAsia" w:ascii="宋体" w:hAnsi="宋体"/>
                <w:color w:val="auto"/>
                <w:kern w:val="0"/>
              </w:rPr>
              <w:t>姓名</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8829867">
            <w:pPr>
              <w:autoSpaceDE w:val="0"/>
              <w:autoSpaceDN w:val="0"/>
              <w:adjustRightInd w:val="0"/>
              <w:snapToGrid w:val="0"/>
              <w:jc w:val="center"/>
              <w:rPr>
                <w:rFonts w:ascii="宋体" w:hAnsi="宋体"/>
                <w:color w:val="auto"/>
                <w:kern w:val="0"/>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65D25268">
            <w:pPr>
              <w:autoSpaceDE w:val="0"/>
              <w:autoSpaceDN w:val="0"/>
              <w:adjustRightInd w:val="0"/>
              <w:snapToGrid w:val="0"/>
              <w:jc w:val="center"/>
              <w:rPr>
                <w:rFonts w:ascii="宋体" w:hAnsi="宋体"/>
                <w:color w:val="auto"/>
                <w:kern w:val="0"/>
              </w:rPr>
            </w:pPr>
            <w:r>
              <w:rPr>
                <w:rFonts w:hint="eastAsia" w:ascii="宋体" w:hAnsi="宋体"/>
                <w:color w:val="auto"/>
                <w:kern w:val="0"/>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center"/>
          </w:tcPr>
          <w:p w14:paraId="329269FC">
            <w:pPr>
              <w:autoSpaceDE w:val="0"/>
              <w:autoSpaceDN w:val="0"/>
              <w:adjustRightInd w:val="0"/>
              <w:snapToGrid w:val="0"/>
              <w:jc w:val="center"/>
              <w:rPr>
                <w:rFonts w:ascii="宋体" w:hAnsi="宋体"/>
                <w:color w:val="auto"/>
                <w:kern w:val="0"/>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D72BDF0">
            <w:pPr>
              <w:autoSpaceDE w:val="0"/>
              <w:autoSpaceDN w:val="0"/>
              <w:adjustRightInd w:val="0"/>
              <w:snapToGrid w:val="0"/>
              <w:jc w:val="center"/>
              <w:rPr>
                <w:rFonts w:ascii="宋体" w:hAnsi="宋体"/>
                <w:color w:val="auto"/>
                <w:kern w:val="0"/>
              </w:rPr>
            </w:pPr>
            <w:r>
              <w:rPr>
                <w:rFonts w:hint="eastAsia" w:ascii="宋体" w:hAnsi="宋体"/>
                <w:color w:val="auto"/>
                <w:kern w:val="0"/>
              </w:rPr>
              <w:t>电话</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67AC2D64">
            <w:pPr>
              <w:autoSpaceDE w:val="0"/>
              <w:autoSpaceDN w:val="0"/>
              <w:adjustRightInd w:val="0"/>
              <w:snapToGrid w:val="0"/>
              <w:jc w:val="center"/>
              <w:rPr>
                <w:rFonts w:ascii="宋体" w:hAnsi="宋体"/>
                <w:color w:val="auto"/>
                <w:kern w:val="0"/>
              </w:rPr>
            </w:pPr>
          </w:p>
        </w:tc>
      </w:tr>
      <w:tr w14:paraId="4B950150">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1E8F5250">
            <w:pPr>
              <w:autoSpaceDE w:val="0"/>
              <w:autoSpaceDN w:val="0"/>
              <w:adjustRightInd w:val="0"/>
              <w:snapToGrid w:val="0"/>
              <w:jc w:val="center"/>
              <w:rPr>
                <w:rFonts w:ascii="宋体" w:hAnsi="宋体"/>
                <w:color w:val="auto"/>
                <w:kern w:val="0"/>
              </w:rPr>
            </w:pPr>
            <w:r>
              <w:rPr>
                <w:rFonts w:hint="eastAsia" w:ascii="宋体" w:hAnsi="宋体"/>
                <w:color w:val="auto"/>
                <w:kern w:val="0"/>
              </w:rPr>
              <w:t>成立时间</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63146190">
            <w:pPr>
              <w:autoSpaceDE w:val="0"/>
              <w:autoSpaceDN w:val="0"/>
              <w:adjustRightInd w:val="0"/>
              <w:snapToGrid w:val="0"/>
              <w:jc w:val="center"/>
              <w:rPr>
                <w:rFonts w:ascii="宋体" w:hAnsi="宋体"/>
                <w:color w:val="auto"/>
                <w:kern w:val="0"/>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center"/>
          </w:tcPr>
          <w:p w14:paraId="7EEE6337">
            <w:pPr>
              <w:autoSpaceDE w:val="0"/>
              <w:autoSpaceDN w:val="0"/>
              <w:adjustRightInd w:val="0"/>
              <w:snapToGrid w:val="0"/>
              <w:jc w:val="center"/>
              <w:rPr>
                <w:rFonts w:ascii="宋体" w:hAnsi="宋体"/>
                <w:color w:val="auto"/>
                <w:kern w:val="0"/>
              </w:rPr>
            </w:pPr>
            <w:r>
              <w:rPr>
                <w:rFonts w:hint="eastAsia" w:ascii="宋体" w:hAnsi="宋体"/>
                <w:color w:val="auto"/>
                <w:kern w:val="0"/>
              </w:rPr>
              <w:t>员工总人数：</w:t>
            </w:r>
          </w:p>
        </w:tc>
      </w:tr>
      <w:tr w14:paraId="10E9B56D">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7445B7EC">
            <w:pPr>
              <w:autoSpaceDE w:val="0"/>
              <w:autoSpaceDN w:val="0"/>
              <w:adjustRightInd w:val="0"/>
              <w:snapToGrid w:val="0"/>
              <w:jc w:val="center"/>
              <w:rPr>
                <w:rFonts w:ascii="宋体" w:hAnsi="宋体"/>
                <w:color w:val="auto"/>
                <w:kern w:val="0"/>
              </w:rPr>
            </w:pPr>
            <w:r>
              <w:rPr>
                <w:rFonts w:hint="eastAsia" w:ascii="宋体" w:hAnsi="宋体"/>
                <w:color w:val="auto"/>
                <w:kern w:val="0"/>
              </w:rPr>
              <w:t>企业资质等级</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5AE832E4">
            <w:pPr>
              <w:autoSpaceDE w:val="0"/>
              <w:autoSpaceDN w:val="0"/>
              <w:adjustRightInd w:val="0"/>
              <w:snapToGrid w:val="0"/>
              <w:jc w:val="center"/>
              <w:rPr>
                <w:rFonts w:ascii="宋体" w:hAnsi="宋体"/>
                <w:color w:val="auto"/>
                <w:kern w:val="0"/>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895D5">
            <w:pPr>
              <w:autoSpaceDE w:val="0"/>
              <w:autoSpaceDN w:val="0"/>
              <w:adjustRightInd w:val="0"/>
              <w:snapToGrid w:val="0"/>
              <w:jc w:val="center"/>
              <w:rPr>
                <w:rFonts w:ascii="宋体" w:hAnsi="宋体"/>
                <w:color w:val="auto"/>
                <w:kern w:val="0"/>
              </w:rPr>
            </w:pPr>
            <w:r>
              <w:rPr>
                <w:rFonts w:hint="eastAsia" w:ascii="宋体" w:hAnsi="宋体"/>
                <w:color w:val="auto"/>
                <w:kern w:val="0"/>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3A911D46">
            <w:pPr>
              <w:autoSpaceDE w:val="0"/>
              <w:autoSpaceDN w:val="0"/>
              <w:adjustRightInd w:val="0"/>
              <w:snapToGrid w:val="0"/>
              <w:jc w:val="center"/>
              <w:rPr>
                <w:rFonts w:ascii="宋体" w:hAnsi="宋体"/>
                <w:color w:val="auto"/>
                <w:kern w:val="0"/>
              </w:rPr>
            </w:pPr>
            <w:r>
              <w:rPr>
                <w:rFonts w:hint="eastAsia" w:ascii="宋体" w:hAnsi="宋体"/>
                <w:color w:val="auto"/>
                <w:kern w:val="0"/>
              </w:rPr>
              <w:t>国家注册监理工程师</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0A270FCA">
            <w:pPr>
              <w:autoSpaceDE w:val="0"/>
              <w:autoSpaceDN w:val="0"/>
              <w:adjustRightInd w:val="0"/>
              <w:snapToGrid w:val="0"/>
              <w:jc w:val="center"/>
              <w:rPr>
                <w:rFonts w:ascii="宋体" w:hAnsi="宋体"/>
                <w:color w:val="auto"/>
                <w:kern w:val="0"/>
              </w:rPr>
            </w:pPr>
          </w:p>
        </w:tc>
      </w:tr>
      <w:tr w14:paraId="76323AA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331B4B7D">
            <w:pPr>
              <w:autoSpaceDE w:val="0"/>
              <w:autoSpaceDN w:val="0"/>
              <w:adjustRightInd w:val="0"/>
              <w:snapToGrid w:val="0"/>
              <w:jc w:val="center"/>
              <w:rPr>
                <w:rFonts w:ascii="宋体" w:hAnsi="宋体"/>
                <w:color w:val="auto"/>
                <w:kern w:val="0"/>
              </w:rPr>
            </w:pPr>
            <w:r>
              <w:rPr>
                <w:rFonts w:hint="eastAsia" w:ascii="宋体" w:hAnsi="宋体"/>
                <w:color w:val="auto"/>
                <w:kern w:val="0"/>
              </w:rPr>
              <w:t>统一社会信用代码</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56248EDC">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F8637">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15320E16">
            <w:pPr>
              <w:autoSpaceDE w:val="0"/>
              <w:autoSpaceDN w:val="0"/>
              <w:adjustRightInd w:val="0"/>
              <w:snapToGrid w:val="0"/>
              <w:jc w:val="center"/>
              <w:rPr>
                <w:rFonts w:ascii="宋体" w:hAnsi="宋体"/>
                <w:color w:val="auto"/>
                <w:kern w:val="0"/>
              </w:rPr>
            </w:pPr>
            <w:r>
              <w:rPr>
                <w:rFonts w:hint="eastAsia" w:ascii="宋体" w:hAnsi="宋体"/>
                <w:color w:val="auto"/>
                <w:kern w:val="0"/>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71F6C105">
            <w:pPr>
              <w:autoSpaceDE w:val="0"/>
              <w:autoSpaceDN w:val="0"/>
              <w:adjustRightInd w:val="0"/>
              <w:snapToGrid w:val="0"/>
              <w:jc w:val="center"/>
              <w:rPr>
                <w:rFonts w:ascii="宋体" w:hAnsi="宋体"/>
                <w:color w:val="auto"/>
                <w:kern w:val="0"/>
              </w:rPr>
            </w:pPr>
          </w:p>
        </w:tc>
      </w:tr>
      <w:tr w14:paraId="5727ABD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041C76A9">
            <w:pPr>
              <w:autoSpaceDE w:val="0"/>
              <w:autoSpaceDN w:val="0"/>
              <w:adjustRightInd w:val="0"/>
              <w:snapToGrid w:val="0"/>
              <w:jc w:val="center"/>
              <w:rPr>
                <w:rFonts w:ascii="宋体" w:hAnsi="宋体"/>
                <w:color w:val="auto"/>
                <w:kern w:val="0"/>
              </w:rPr>
            </w:pPr>
            <w:r>
              <w:rPr>
                <w:rFonts w:hint="eastAsia" w:ascii="宋体" w:hAnsi="宋体"/>
                <w:color w:val="auto"/>
                <w:kern w:val="0"/>
              </w:rPr>
              <w:t>注册资本</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5E3BCCEF">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59F08">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2C09761B">
            <w:pPr>
              <w:autoSpaceDE w:val="0"/>
              <w:autoSpaceDN w:val="0"/>
              <w:adjustRightInd w:val="0"/>
              <w:snapToGrid w:val="0"/>
              <w:jc w:val="center"/>
              <w:rPr>
                <w:rFonts w:ascii="宋体" w:hAnsi="宋体"/>
                <w:color w:val="auto"/>
                <w:kern w:val="0"/>
              </w:rPr>
            </w:pPr>
            <w:r>
              <w:rPr>
                <w:rFonts w:hint="eastAsia" w:ascii="宋体" w:hAnsi="宋体"/>
                <w:color w:val="auto"/>
                <w:kern w:val="0"/>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74F54E06">
            <w:pPr>
              <w:autoSpaceDE w:val="0"/>
              <w:autoSpaceDN w:val="0"/>
              <w:adjustRightInd w:val="0"/>
              <w:snapToGrid w:val="0"/>
              <w:jc w:val="center"/>
              <w:rPr>
                <w:rFonts w:ascii="宋体" w:hAnsi="宋体"/>
                <w:color w:val="auto"/>
                <w:kern w:val="0"/>
              </w:rPr>
            </w:pPr>
          </w:p>
        </w:tc>
      </w:tr>
      <w:tr w14:paraId="25AEBCB4">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294548BF">
            <w:pPr>
              <w:autoSpaceDE w:val="0"/>
              <w:autoSpaceDN w:val="0"/>
              <w:adjustRightInd w:val="0"/>
              <w:snapToGrid w:val="0"/>
              <w:jc w:val="center"/>
              <w:rPr>
                <w:rFonts w:ascii="宋体" w:hAnsi="宋体"/>
                <w:color w:val="auto"/>
                <w:kern w:val="0"/>
              </w:rPr>
            </w:pPr>
            <w:r>
              <w:rPr>
                <w:rFonts w:hint="eastAsia" w:ascii="宋体" w:hAnsi="宋体"/>
                <w:color w:val="auto"/>
                <w:kern w:val="0"/>
              </w:rPr>
              <w:t>基本账户开户银行</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0F672F26">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87F7B">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7803D04D">
            <w:pPr>
              <w:autoSpaceDE w:val="0"/>
              <w:autoSpaceDN w:val="0"/>
              <w:adjustRightInd w:val="0"/>
              <w:snapToGrid w:val="0"/>
              <w:jc w:val="center"/>
              <w:rPr>
                <w:rFonts w:ascii="宋体" w:hAnsi="宋体"/>
                <w:color w:val="auto"/>
                <w:kern w:val="0"/>
              </w:rPr>
            </w:pPr>
            <w:r>
              <w:rPr>
                <w:rFonts w:hint="eastAsia" w:ascii="宋体" w:hAnsi="宋体"/>
                <w:color w:val="auto"/>
                <w:kern w:val="0"/>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108AA539">
            <w:pPr>
              <w:autoSpaceDE w:val="0"/>
              <w:autoSpaceDN w:val="0"/>
              <w:adjustRightInd w:val="0"/>
              <w:snapToGrid w:val="0"/>
              <w:jc w:val="center"/>
              <w:rPr>
                <w:rFonts w:ascii="宋体" w:hAnsi="宋体"/>
                <w:color w:val="auto"/>
                <w:kern w:val="0"/>
              </w:rPr>
            </w:pPr>
          </w:p>
        </w:tc>
      </w:tr>
      <w:tr w14:paraId="11B0FBE4">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31E5A9BF">
            <w:pPr>
              <w:autoSpaceDE w:val="0"/>
              <w:autoSpaceDN w:val="0"/>
              <w:adjustRightInd w:val="0"/>
              <w:snapToGrid w:val="0"/>
              <w:jc w:val="center"/>
              <w:rPr>
                <w:rFonts w:ascii="宋体" w:hAnsi="宋体"/>
                <w:color w:val="auto"/>
                <w:kern w:val="0"/>
              </w:rPr>
            </w:pPr>
            <w:r>
              <w:rPr>
                <w:rFonts w:hint="eastAsia" w:ascii="宋体" w:hAnsi="宋体"/>
                <w:color w:val="auto"/>
                <w:kern w:val="0"/>
              </w:rPr>
              <w:t>基本账户银行账号</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665CE1CC">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896A2">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5D26DEF5">
            <w:pPr>
              <w:autoSpaceDE w:val="0"/>
              <w:autoSpaceDN w:val="0"/>
              <w:adjustRightInd w:val="0"/>
              <w:snapToGrid w:val="0"/>
              <w:jc w:val="center"/>
              <w:rPr>
                <w:rFonts w:ascii="宋体" w:hAnsi="宋体"/>
                <w:color w:val="auto"/>
                <w:kern w:val="0"/>
              </w:rPr>
            </w:pPr>
            <w:r>
              <w:rPr>
                <w:rFonts w:hint="eastAsia" w:ascii="宋体" w:hAnsi="宋体"/>
                <w:color w:val="auto"/>
                <w:kern w:val="0"/>
              </w:rPr>
              <w:t>各类注册人员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5E31E587">
            <w:pPr>
              <w:autoSpaceDE w:val="0"/>
              <w:autoSpaceDN w:val="0"/>
              <w:adjustRightInd w:val="0"/>
              <w:snapToGrid w:val="0"/>
              <w:jc w:val="center"/>
              <w:rPr>
                <w:rFonts w:ascii="宋体" w:hAnsi="宋体"/>
                <w:color w:val="auto"/>
                <w:kern w:val="0"/>
              </w:rPr>
            </w:pPr>
          </w:p>
        </w:tc>
      </w:tr>
      <w:tr w14:paraId="6AB2F527">
        <w:tblPrEx>
          <w:tblCellMar>
            <w:top w:w="0" w:type="dxa"/>
            <w:left w:w="0" w:type="dxa"/>
            <w:bottom w:w="0" w:type="dxa"/>
            <w:right w:w="0" w:type="dxa"/>
          </w:tblCellMar>
        </w:tblPrEx>
        <w:trPr>
          <w:trHeight w:val="1277" w:hRule="atLeast"/>
        </w:trPr>
        <w:tc>
          <w:tcPr>
            <w:tcW w:w="1728" w:type="dxa"/>
            <w:tcBorders>
              <w:top w:val="single" w:color="000000" w:sz="4" w:space="0"/>
              <w:left w:val="single" w:color="000000" w:sz="4" w:space="0"/>
              <w:bottom w:val="single" w:color="auto" w:sz="4" w:space="0"/>
              <w:right w:val="single" w:color="000000" w:sz="4" w:space="0"/>
            </w:tcBorders>
            <w:noWrap w:val="0"/>
            <w:vAlign w:val="center"/>
          </w:tcPr>
          <w:p w14:paraId="4068AD21">
            <w:pPr>
              <w:autoSpaceDE w:val="0"/>
              <w:autoSpaceDN w:val="0"/>
              <w:adjustRightInd w:val="0"/>
              <w:snapToGrid w:val="0"/>
              <w:jc w:val="center"/>
              <w:rPr>
                <w:rFonts w:ascii="宋体" w:hAnsi="宋体"/>
                <w:color w:val="auto"/>
                <w:kern w:val="0"/>
              </w:rPr>
            </w:pPr>
            <w:r>
              <w:rPr>
                <w:rFonts w:hint="eastAsia" w:ascii="宋体" w:hAnsi="宋体"/>
                <w:color w:val="auto"/>
                <w:kern w:val="0"/>
              </w:rPr>
              <w:t>经营范围</w:t>
            </w:r>
          </w:p>
        </w:tc>
        <w:tc>
          <w:tcPr>
            <w:tcW w:w="6840" w:type="dxa"/>
            <w:gridSpan w:val="9"/>
            <w:tcBorders>
              <w:top w:val="single" w:color="000000" w:sz="4" w:space="0"/>
              <w:left w:val="single" w:color="000000" w:sz="4" w:space="0"/>
              <w:bottom w:val="single" w:color="auto" w:sz="4" w:space="0"/>
              <w:right w:val="single" w:color="000000" w:sz="4" w:space="0"/>
            </w:tcBorders>
            <w:noWrap w:val="0"/>
            <w:vAlign w:val="center"/>
          </w:tcPr>
          <w:p w14:paraId="442D4681">
            <w:pPr>
              <w:autoSpaceDE w:val="0"/>
              <w:autoSpaceDN w:val="0"/>
              <w:adjustRightInd w:val="0"/>
              <w:snapToGrid w:val="0"/>
              <w:jc w:val="center"/>
              <w:rPr>
                <w:rFonts w:ascii="宋体" w:hAnsi="宋体"/>
                <w:color w:val="auto"/>
                <w:kern w:val="0"/>
              </w:rPr>
            </w:pPr>
          </w:p>
        </w:tc>
      </w:tr>
      <w:tr w14:paraId="4EEFBC0E">
        <w:tblPrEx>
          <w:tblCellMar>
            <w:top w:w="0" w:type="dxa"/>
            <w:left w:w="0" w:type="dxa"/>
            <w:bottom w:w="0" w:type="dxa"/>
            <w:right w:w="0" w:type="dxa"/>
          </w:tblCellMar>
        </w:tblPrEx>
        <w:trPr>
          <w:trHeight w:val="2121" w:hRule="atLeast"/>
        </w:trPr>
        <w:tc>
          <w:tcPr>
            <w:tcW w:w="1728" w:type="dxa"/>
            <w:tcBorders>
              <w:top w:val="single" w:color="000000" w:sz="4" w:space="0"/>
              <w:left w:val="single" w:color="000000" w:sz="4" w:space="0"/>
              <w:bottom w:val="single" w:color="auto" w:sz="4" w:space="0"/>
              <w:right w:val="single" w:color="000000" w:sz="4" w:space="0"/>
            </w:tcBorders>
            <w:noWrap w:val="0"/>
            <w:vAlign w:val="center"/>
          </w:tcPr>
          <w:p w14:paraId="2F6AA771">
            <w:pPr>
              <w:autoSpaceDE w:val="0"/>
              <w:autoSpaceDN w:val="0"/>
              <w:adjustRightInd w:val="0"/>
              <w:snapToGrid w:val="0"/>
              <w:jc w:val="center"/>
              <w:rPr>
                <w:rFonts w:ascii="宋体" w:hAnsi="宋体"/>
                <w:color w:val="auto"/>
                <w:kern w:val="0"/>
              </w:rPr>
            </w:pPr>
            <w:r>
              <w:rPr>
                <w:rFonts w:ascii="宋体" w:hAnsi="宋体"/>
                <w:color w:val="auto"/>
                <w:kern w:val="0"/>
              </w:rPr>
              <w:t>投标人关联</w:t>
            </w:r>
          </w:p>
          <w:p w14:paraId="5CD0BAAD">
            <w:pPr>
              <w:autoSpaceDE w:val="0"/>
              <w:autoSpaceDN w:val="0"/>
              <w:adjustRightInd w:val="0"/>
              <w:snapToGrid w:val="0"/>
              <w:jc w:val="center"/>
              <w:rPr>
                <w:color w:val="auto"/>
                <w:szCs w:val="21"/>
              </w:rPr>
            </w:pPr>
            <w:r>
              <w:rPr>
                <w:rFonts w:ascii="宋体" w:hAnsi="宋体"/>
                <w:color w:val="auto"/>
                <w:kern w:val="0"/>
              </w:rPr>
              <w:t>企业情况</w:t>
            </w:r>
          </w:p>
        </w:tc>
        <w:tc>
          <w:tcPr>
            <w:tcW w:w="6840" w:type="dxa"/>
            <w:gridSpan w:val="9"/>
            <w:tcBorders>
              <w:top w:val="single" w:color="000000" w:sz="4" w:space="0"/>
              <w:left w:val="single" w:color="000000" w:sz="4" w:space="0"/>
              <w:bottom w:val="single" w:color="auto" w:sz="4" w:space="0"/>
              <w:right w:val="single" w:color="000000" w:sz="4" w:space="0"/>
            </w:tcBorders>
            <w:noWrap w:val="0"/>
            <w:vAlign w:val="center"/>
          </w:tcPr>
          <w:p w14:paraId="61BADEBE">
            <w:pPr>
              <w:topLinePunct/>
              <w:ind w:firstLine="420" w:firstLineChars="200"/>
              <w:jc w:val="left"/>
              <w:rPr>
                <w:color w:val="auto"/>
                <w:szCs w:val="21"/>
              </w:rPr>
            </w:pPr>
            <w:r>
              <w:rPr>
                <w:rFonts w:hint="eastAsia"/>
                <w:color w:val="auto"/>
                <w:szCs w:val="21"/>
              </w:rPr>
              <w:t>投标人应提供关联企业情况，包括：</w:t>
            </w:r>
          </w:p>
          <w:p w14:paraId="414603D6">
            <w:pPr>
              <w:topLinePunct/>
              <w:ind w:firstLine="420" w:firstLineChars="200"/>
              <w:jc w:val="left"/>
              <w:rPr>
                <w:color w:val="auto"/>
                <w:szCs w:val="21"/>
              </w:rPr>
            </w:pPr>
            <w:r>
              <w:rPr>
                <w:rFonts w:hint="eastAsia"/>
                <w:color w:val="auto"/>
                <w:szCs w:val="21"/>
              </w:rPr>
              <w:t>（1）投标人的所有股东名称及相应股权（出资额）比例；如投标人为上市公司，投标人应提供股权占公司股份总数__%以上的所有股东名称及相应股权比例；</w:t>
            </w:r>
          </w:p>
          <w:p w14:paraId="4E494339">
            <w:pPr>
              <w:topLinePunct/>
              <w:ind w:firstLine="420" w:firstLineChars="200"/>
              <w:jc w:val="left"/>
              <w:rPr>
                <w:color w:val="auto"/>
                <w:szCs w:val="21"/>
              </w:rPr>
            </w:pPr>
            <w:r>
              <w:rPr>
                <w:rFonts w:hint="eastAsia"/>
                <w:color w:val="auto"/>
                <w:szCs w:val="21"/>
              </w:rPr>
              <w:t>（2）投标人投资（控股）或管理的下属企业名称、持有股权（出资额）比例；</w:t>
            </w:r>
          </w:p>
          <w:p w14:paraId="327B15E7">
            <w:pPr>
              <w:topLinePunct/>
              <w:ind w:firstLine="420" w:firstLineChars="200"/>
              <w:jc w:val="left"/>
              <w:rPr>
                <w:color w:val="auto"/>
                <w:szCs w:val="21"/>
              </w:rPr>
            </w:pPr>
            <w:r>
              <w:rPr>
                <w:rFonts w:hint="eastAsia"/>
                <w:color w:val="auto"/>
                <w:szCs w:val="21"/>
              </w:rPr>
              <w:t>（3）与投标人单位负责人（即法定代表人）为同一人的其他单位名称。</w:t>
            </w:r>
          </w:p>
        </w:tc>
      </w:tr>
      <w:tr w14:paraId="6985C2E4">
        <w:tblPrEx>
          <w:tblCellMar>
            <w:top w:w="0" w:type="dxa"/>
            <w:left w:w="0" w:type="dxa"/>
            <w:bottom w:w="0" w:type="dxa"/>
            <w:right w:w="0" w:type="dxa"/>
          </w:tblCellMar>
        </w:tblPrEx>
        <w:trPr>
          <w:trHeight w:val="692"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09D37166">
            <w:pPr>
              <w:autoSpaceDE w:val="0"/>
              <w:autoSpaceDN w:val="0"/>
              <w:adjustRightInd w:val="0"/>
              <w:snapToGrid w:val="0"/>
              <w:jc w:val="center"/>
              <w:rPr>
                <w:rFonts w:ascii="宋体" w:hAnsi="宋体"/>
                <w:color w:val="auto"/>
                <w:kern w:val="0"/>
              </w:rPr>
            </w:pPr>
            <w:r>
              <w:rPr>
                <w:rFonts w:hint="eastAsia" w:ascii="宋体" w:hAnsi="宋体"/>
                <w:color w:val="auto"/>
                <w:kern w:val="0"/>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60C4FEC">
            <w:pPr>
              <w:autoSpaceDE w:val="0"/>
              <w:autoSpaceDN w:val="0"/>
              <w:adjustRightInd w:val="0"/>
              <w:snapToGrid w:val="0"/>
              <w:jc w:val="center"/>
              <w:rPr>
                <w:rFonts w:ascii="宋体" w:hAnsi="宋体"/>
                <w:color w:val="auto"/>
                <w:kern w:val="0"/>
              </w:rPr>
            </w:pPr>
          </w:p>
        </w:tc>
      </w:tr>
      <w:bookmarkEnd w:id="72"/>
      <w:bookmarkEnd w:id="73"/>
    </w:tbl>
    <w:p w14:paraId="2844B4E6">
      <w:pPr>
        <w:autoSpaceDE w:val="0"/>
        <w:autoSpaceDN w:val="0"/>
        <w:adjustRightInd w:val="0"/>
        <w:spacing w:line="300" w:lineRule="exact"/>
        <w:jc w:val="left"/>
        <w:rPr>
          <w:rFonts w:hint="eastAsia"/>
          <w:b/>
          <w:bCs/>
          <w:color w:val="auto"/>
          <w:sz w:val="30"/>
          <w:szCs w:val="30"/>
          <w:lang w:val="en-US" w:eastAsia="zh-CN"/>
        </w:rPr>
      </w:pPr>
    </w:p>
    <w:p w14:paraId="39A75DF3">
      <w:pPr>
        <w:autoSpaceDE w:val="0"/>
        <w:autoSpaceDN w:val="0"/>
        <w:adjustRightInd w:val="0"/>
        <w:spacing w:line="300" w:lineRule="exact"/>
        <w:jc w:val="left"/>
        <w:rPr>
          <w:rFonts w:hint="eastAsia" w:eastAsia="宋体"/>
          <w:color w:val="auto"/>
          <w:sz w:val="30"/>
          <w:szCs w:val="30"/>
          <w:lang w:val="en-US" w:eastAsia="zh-CN"/>
        </w:rPr>
      </w:pPr>
      <w:r>
        <w:rPr>
          <w:rFonts w:hint="eastAsia"/>
          <w:b/>
          <w:bCs/>
          <w:color w:val="auto"/>
          <w:sz w:val="30"/>
          <w:szCs w:val="30"/>
          <w:lang w:val="en-US" w:eastAsia="zh-CN"/>
        </w:rPr>
        <w:t>注：</w:t>
      </w:r>
      <w:r>
        <w:rPr>
          <w:rFonts w:hint="eastAsia" w:ascii="宋体" w:hAnsi="宋体" w:cs="宋体"/>
          <w:b/>
          <w:bCs/>
          <w:color w:val="auto"/>
          <w:kern w:val="0"/>
          <w:szCs w:val="21"/>
        </w:rPr>
        <w:t>投标人应根据招标文件</w:t>
      </w:r>
      <w:r>
        <w:rPr>
          <w:rFonts w:ascii="宋体" w:hAnsi="宋体" w:cs="宋体"/>
          <w:b/>
          <w:bCs/>
          <w:color w:val="auto"/>
          <w:kern w:val="0"/>
          <w:szCs w:val="21"/>
        </w:rPr>
        <w:t>的要求在本表后附</w:t>
      </w:r>
      <w:r>
        <w:rPr>
          <w:rFonts w:hint="eastAsia" w:ascii="宋体" w:hAnsi="宋体" w:cs="宋体"/>
          <w:b/>
          <w:bCs/>
          <w:color w:val="auto"/>
          <w:kern w:val="0"/>
          <w:szCs w:val="21"/>
        </w:rPr>
        <w:t>资质证书、营业执照等材料扫描件</w:t>
      </w:r>
      <w:r>
        <w:rPr>
          <w:rFonts w:hint="eastAsia" w:ascii="宋体" w:hAnsi="宋体"/>
          <w:b/>
          <w:bCs/>
          <w:color w:val="auto"/>
          <w:kern w:val="0"/>
        </w:rPr>
        <w:t>。</w:t>
      </w:r>
    </w:p>
    <w:p w14:paraId="0905FF7C">
      <w:pPr>
        <w:rPr>
          <w:color w:val="auto"/>
          <w:sz w:val="30"/>
          <w:szCs w:val="30"/>
        </w:rPr>
      </w:pPr>
    </w:p>
    <w:p w14:paraId="41ED7825">
      <w:pPr>
        <w:rPr>
          <w:color w:val="auto"/>
          <w:sz w:val="30"/>
          <w:szCs w:val="30"/>
        </w:rPr>
      </w:pPr>
    </w:p>
    <w:p w14:paraId="15ABED37">
      <w:pPr>
        <w:pStyle w:val="4"/>
        <w:spacing w:before="0" w:after="0" w:line="360" w:lineRule="auto"/>
        <w:ind w:firstLine="137"/>
        <w:jc w:val="center"/>
        <w:rPr>
          <w:color w:val="auto"/>
          <w:sz w:val="24"/>
          <w:szCs w:val="24"/>
        </w:rPr>
      </w:pPr>
      <w:r>
        <w:rPr>
          <w:rFonts w:hint="eastAsia"/>
          <w:color w:val="auto"/>
          <w:sz w:val="24"/>
          <w:szCs w:val="24"/>
        </w:rPr>
        <w:t>（</w:t>
      </w:r>
      <w:r>
        <w:rPr>
          <w:rFonts w:hint="eastAsia"/>
          <w:color w:val="auto"/>
          <w:sz w:val="24"/>
          <w:szCs w:val="24"/>
          <w:lang w:val="en-US" w:eastAsia="zh-CN"/>
        </w:rPr>
        <w:t>二</w:t>
      </w:r>
      <w:r>
        <w:rPr>
          <w:rFonts w:hint="eastAsia"/>
          <w:color w:val="auto"/>
          <w:sz w:val="24"/>
          <w:szCs w:val="24"/>
        </w:rPr>
        <w:t>）总监理工程师近年完成的类似项目情况表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6260"/>
      </w:tblGrid>
      <w:tr w14:paraId="29BB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AB5481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业绩编号</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DDB1EA6">
            <w:pPr>
              <w:autoSpaceDE w:val="0"/>
              <w:autoSpaceDN w:val="0"/>
              <w:adjustRightInd w:val="0"/>
              <w:spacing w:line="300" w:lineRule="exact"/>
              <w:jc w:val="center"/>
              <w:rPr>
                <w:rFonts w:ascii="宋体" w:hAnsi="宋体" w:cs="宋体"/>
                <w:color w:val="auto"/>
                <w:kern w:val="0"/>
                <w:szCs w:val="21"/>
              </w:rPr>
            </w:pPr>
          </w:p>
        </w:tc>
      </w:tr>
      <w:tr w14:paraId="3143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0B58AEE">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B1EFBD9">
            <w:pPr>
              <w:autoSpaceDE w:val="0"/>
              <w:autoSpaceDN w:val="0"/>
              <w:adjustRightInd w:val="0"/>
              <w:spacing w:line="300" w:lineRule="exact"/>
              <w:jc w:val="center"/>
              <w:rPr>
                <w:rFonts w:ascii="宋体" w:hAnsi="宋体" w:cs="宋体"/>
                <w:color w:val="auto"/>
                <w:kern w:val="0"/>
                <w:szCs w:val="21"/>
              </w:rPr>
            </w:pPr>
          </w:p>
        </w:tc>
      </w:tr>
      <w:tr w14:paraId="137F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995AF6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项目所在地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6B1F0A9A">
            <w:pPr>
              <w:autoSpaceDE w:val="0"/>
              <w:autoSpaceDN w:val="0"/>
              <w:adjustRightInd w:val="0"/>
              <w:spacing w:line="300" w:lineRule="exact"/>
              <w:jc w:val="center"/>
              <w:rPr>
                <w:rFonts w:ascii="宋体" w:hAnsi="宋体" w:cs="宋体"/>
                <w:color w:val="auto"/>
                <w:kern w:val="0"/>
                <w:szCs w:val="21"/>
              </w:rPr>
            </w:pPr>
          </w:p>
        </w:tc>
      </w:tr>
      <w:tr w14:paraId="21C2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3046A8B7">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88B49E8">
            <w:pPr>
              <w:autoSpaceDE w:val="0"/>
              <w:autoSpaceDN w:val="0"/>
              <w:adjustRightInd w:val="0"/>
              <w:spacing w:line="300" w:lineRule="exact"/>
              <w:jc w:val="center"/>
              <w:rPr>
                <w:rFonts w:ascii="宋体" w:hAnsi="宋体" w:cs="宋体"/>
                <w:color w:val="auto"/>
                <w:kern w:val="0"/>
                <w:szCs w:val="21"/>
              </w:rPr>
            </w:pPr>
          </w:p>
        </w:tc>
      </w:tr>
      <w:tr w14:paraId="6CF0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D86869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委托人地址</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2BA2EEC">
            <w:pPr>
              <w:autoSpaceDE w:val="0"/>
              <w:autoSpaceDN w:val="0"/>
              <w:adjustRightInd w:val="0"/>
              <w:spacing w:line="300" w:lineRule="exact"/>
              <w:jc w:val="center"/>
              <w:rPr>
                <w:rFonts w:ascii="宋体" w:hAnsi="宋体" w:cs="宋体"/>
                <w:color w:val="auto"/>
                <w:kern w:val="0"/>
                <w:szCs w:val="21"/>
              </w:rPr>
            </w:pPr>
          </w:p>
        </w:tc>
      </w:tr>
      <w:tr w14:paraId="665C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26E2B74E">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委托人电话</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99D7869">
            <w:pPr>
              <w:autoSpaceDE w:val="0"/>
              <w:autoSpaceDN w:val="0"/>
              <w:adjustRightInd w:val="0"/>
              <w:spacing w:line="300" w:lineRule="exact"/>
              <w:jc w:val="center"/>
              <w:rPr>
                <w:rFonts w:ascii="宋体" w:hAnsi="宋体" w:cs="宋体"/>
                <w:color w:val="auto"/>
                <w:kern w:val="0"/>
                <w:szCs w:val="21"/>
              </w:rPr>
            </w:pPr>
          </w:p>
        </w:tc>
      </w:tr>
      <w:tr w14:paraId="1219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E739351">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合同价格</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493A8C6">
            <w:pPr>
              <w:autoSpaceDE w:val="0"/>
              <w:autoSpaceDN w:val="0"/>
              <w:adjustRightInd w:val="0"/>
              <w:spacing w:line="300" w:lineRule="exact"/>
              <w:jc w:val="center"/>
              <w:rPr>
                <w:rFonts w:ascii="宋体" w:hAnsi="宋体" w:cs="宋体"/>
                <w:color w:val="auto"/>
                <w:kern w:val="0"/>
                <w:szCs w:val="21"/>
              </w:rPr>
            </w:pPr>
          </w:p>
        </w:tc>
      </w:tr>
      <w:tr w14:paraId="34C3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3A9F408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监理服务期限</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6CC13A5">
            <w:pPr>
              <w:autoSpaceDE w:val="0"/>
              <w:autoSpaceDN w:val="0"/>
              <w:adjustRightInd w:val="0"/>
              <w:spacing w:line="300" w:lineRule="exact"/>
              <w:jc w:val="center"/>
              <w:rPr>
                <w:rFonts w:ascii="宋体" w:hAnsi="宋体" w:cs="宋体"/>
                <w:color w:val="auto"/>
                <w:kern w:val="0"/>
                <w:szCs w:val="21"/>
              </w:rPr>
            </w:pPr>
          </w:p>
        </w:tc>
      </w:tr>
      <w:tr w14:paraId="5B72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4A1A2E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监理内容</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7DFAA57">
            <w:pPr>
              <w:autoSpaceDE w:val="0"/>
              <w:autoSpaceDN w:val="0"/>
              <w:adjustRightInd w:val="0"/>
              <w:spacing w:line="300" w:lineRule="exact"/>
              <w:jc w:val="center"/>
              <w:rPr>
                <w:rFonts w:ascii="宋体" w:hAnsi="宋体" w:cs="宋体"/>
                <w:color w:val="auto"/>
                <w:kern w:val="0"/>
                <w:szCs w:val="21"/>
              </w:rPr>
            </w:pPr>
          </w:p>
        </w:tc>
      </w:tr>
      <w:tr w14:paraId="023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F5FC36C">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总监理工程师</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8C00B2C">
            <w:pPr>
              <w:autoSpaceDE w:val="0"/>
              <w:autoSpaceDN w:val="0"/>
              <w:adjustRightInd w:val="0"/>
              <w:spacing w:line="300" w:lineRule="exact"/>
              <w:jc w:val="center"/>
              <w:rPr>
                <w:rFonts w:ascii="宋体" w:hAnsi="宋体" w:cs="宋体"/>
                <w:color w:val="auto"/>
                <w:kern w:val="0"/>
                <w:szCs w:val="21"/>
              </w:rPr>
            </w:pPr>
          </w:p>
        </w:tc>
      </w:tr>
      <w:tr w14:paraId="7CB0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2F5E9DE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项目描述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111C130">
            <w:pPr>
              <w:autoSpaceDE w:val="0"/>
              <w:autoSpaceDN w:val="0"/>
              <w:adjustRightInd w:val="0"/>
              <w:spacing w:line="300" w:lineRule="exact"/>
              <w:jc w:val="center"/>
              <w:rPr>
                <w:rFonts w:ascii="宋体" w:hAnsi="宋体" w:cs="宋体"/>
                <w:color w:val="auto"/>
                <w:kern w:val="0"/>
                <w:szCs w:val="21"/>
              </w:rPr>
            </w:pPr>
          </w:p>
        </w:tc>
      </w:tr>
      <w:tr w14:paraId="549B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D1801D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备注</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BC43C7A">
            <w:pPr>
              <w:autoSpaceDE w:val="0"/>
              <w:autoSpaceDN w:val="0"/>
              <w:adjustRightInd w:val="0"/>
              <w:spacing w:line="300" w:lineRule="exact"/>
              <w:jc w:val="center"/>
              <w:rPr>
                <w:rFonts w:ascii="Times New Roman" w:hAnsi="Times New Roman"/>
                <w:color w:val="auto"/>
                <w:szCs w:val="21"/>
              </w:rPr>
            </w:pPr>
            <w:r>
              <w:rPr>
                <w:rFonts w:hint="eastAsia" w:ascii="Times New Roman" w:hAnsi="Times New Roman"/>
                <w:color w:val="auto"/>
                <w:szCs w:val="21"/>
              </w:rPr>
              <w:t xml:space="preserve">□资格审查用业绩   </w:t>
            </w:r>
          </w:p>
        </w:tc>
      </w:tr>
    </w:tbl>
    <w:p w14:paraId="1A9A1469">
      <w:pPr>
        <w:autoSpaceDE w:val="0"/>
        <w:autoSpaceDN w:val="0"/>
        <w:adjustRightInd w:val="0"/>
        <w:spacing w:line="300" w:lineRule="exact"/>
        <w:jc w:val="left"/>
        <w:rPr>
          <w:rFonts w:hint="eastAsia" w:ascii="宋体" w:hAnsi="宋体" w:cs="宋体"/>
          <w:b/>
          <w:bCs/>
          <w:color w:val="auto"/>
          <w:kern w:val="0"/>
          <w:szCs w:val="21"/>
        </w:rPr>
      </w:pPr>
    </w:p>
    <w:p w14:paraId="1D7FC9DC">
      <w:pPr>
        <w:autoSpaceDE w:val="0"/>
        <w:autoSpaceDN w:val="0"/>
        <w:adjustRightInd w:val="0"/>
        <w:spacing w:line="300" w:lineRule="exact"/>
        <w:jc w:val="left"/>
        <w:rPr>
          <w:rFonts w:ascii="宋体" w:hAnsi="宋体" w:cs="宋体"/>
          <w:b/>
          <w:bCs/>
          <w:color w:val="auto"/>
          <w:kern w:val="0"/>
          <w:szCs w:val="21"/>
        </w:rPr>
      </w:pPr>
      <w:r>
        <w:rPr>
          <w:rFonts w:hint="eastAsia" w:ascii="宋体" w:hAnsi="宋体" w:cs="宋体"/>
          <w:b/>
          <w:bCs/>
          <w:color w:val="auto"/>
          <w:kern w:val="0"/>
          <w:szCs w:val="21"/>
        </w:rPr>
        <w:t>注：投标人应根据招标文件“投标人须知”前附表的要求在本表后附相关证明材料。</w:t>
      </w:r>
    </w:p>
    <w:p w14:paraId="6118356B">
      <w:pPr>
        <w:rPr>
          <w:color w:val="auto"/>
          <w:sz w:val="30"/>
          <w:szCs w:val="30"/>
        </w:rPr>
      </w:pPr>
    </w:p>
    <w:p w14:paraId="68DB0C31">
      <w:pPr>
        <w:rPr>
          <w:color w:val="auto"/>
          <w:sz w:val="30"/>
          <w:szCs w:val="30"/>
        </w:rPr>
      </w:pPr>
    </w:p>
    <w:p w14:paraId="2A65B02B">
      <w:pPr>
        <w:rPr>
          <w:color w:val="auto"/>
          <w:sz w:val="30"/>
          <w:szCs w:val="30"/>
        </w:rPr>
      </w:pPr>
    </w:p>
    <w:p w14:paraId="6EEB7A7D">
      <w:pPr>
        <w:ind w:firstLine="281" w:firstLineChars="100"/>
        <w:rPr>
          <w:rFonts w:ascii="仿宋_GB2312" w:eastAsia="仿宋_GB2312"/>
          <w:b/>
          <w:color w:val="auto"/>
          <w:sz w:val="28"/>
          <w:szCs w:val="28"/>
        </w:rPr>
      </w:pPr>
    </w:p>
    <w:p w14:paraId="12D3AF55">
      <w:pPr>
        <w:ind w:firstLine="281" w:firstLineChars="100"/>
        <w:rPr>
          <w:rFonts w:ascii="仿宋_GB2312" w:eastAsia="仿宋_GB2312"/>
          <w:b/>
          <w:color w:val="auto"/>
          <w:sz w:val="28"/>
          <w:szCs w:val="28"/>
        </w:rPr>
      </w:pPr>
    </w:p>
    <w:p w14:paraId="0B64A4D6">
      <w:pPr>
        <w:ind w:firstLine="281" w:firstLineChars="100"/>
        <w:rPr>
          <w:rFonts w:ascii="仿宋_GB2312" w:eastAsia="仿宋_GB2312"/>
          <w:b/>
          <w:color w:val="auto"/>
          <w:sz w:val="28"/>
          <w:szCs w:val="28"/>
        </w:rPr>
      </w:pPr>
    </w:p>
    <w:p w14:paraId="388B212F">
      <w:pPr>
        <w:ind w:firstLine="281" w:firstLineChars="100"/>
        <w:rPr>
          <w:rFonts w:ascii="仿宋_GB2312" w:eastAsia="仿宋_GB2312"/>
          <w:b/>
          <w:color w:val="auto"/>
          <w:sz w:val="28"/>
          <w:szCs w:val="28"/>
        </w:rPr>
      </w:pPr>
    </w:p>
    <w:p w14:paraId="68BD8FD9">
      <w:pPr>
        <w:ind w:firstLine="281" w:firstLineChars="100"/>
        <w:rPr>
          <w:rFonts w:ascii="仿宋_GB2312" w:eastAsia="仿宋_GB2312"/>
          <w:b/>
          <w:color w:val="auto"/>
          <w:sz w:val="28"/>
          <w:szCs w:val="28"/>
        </w:rPr>
      </w:pPr>
    </w:p>
    <w:p w14:paraId="3E42800B">
      <w:pPr>
        <w:widowControl/>
        <w:jc w:val="center"/>
        <w:outlineLvl w:val="2"/>
        <w:rPr>
          <w:rFonts w:ascii="黑体" w:eastAsia="黑体"/>
          <w:color w:val="auto"/>
          <w:sz w:val="24"/>
          <w:szCs w:val="24"/>
        </w:rPr>
      </w:pPr>
      <w:r>
        <w:rPr>
          <w:rFonts w:hint="eastAsia" w:ascii="黑体" w:eastAsia="黑体"/>
          <w:color w:val="auto"/>
          <w:sz w:val="24"/>
          <w:szCs w:val="24"/>
        </w:rPr>
        <w:t>（</w:t>
      </w:r>
      <w:r>
        <w:rPr>
          <w:rFonts w:hint="eastAsia" w:ascii="黑体" w:eastAsia="黑体"/>
          <w:color w:val="auto"/>
          <w:sz w:val="24"/>
          <w:szCs w:val="24"/>
          <w:lang w:val="en-US" w:eastAsia="zh-CN"/>
        </w:rPr>
        <w:t>三</w:t>
      </w:r>
      <w:r>
        <w:rPr>
          <w:rFonts w:hint="eastAsia" w:ascii="黑体" w:eastAsia="黑体"/>
          <w:color w:val="auto"/>
          <w:sz w:val="24"/>
          <w:szCs w:val="24"/>
        </w:rPr>
        <w:t>）主要人员简历表</w:t>
      </w:r>
    </w:p>
    <w:p w14:paraId="1DBEA12E">
      <w:pPr>
        <w:topLinePunct/>
        <w:spacing w:line="440" w:lineRule="exact"/>
        <w:jc w:val="center"/>
        <w:rPr>
          <w:rFonts w:ascii="黑体" w:eastAsia="黑体"/>
          <w:color w:val="auto"/>
          <w:sz w:val="24"/>
          <w:szCs w:val="24"/>
        </w:rPr>
      </w:pP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7E3B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noWrap w:val="0"/>
            <w:vAlign w:val="center"/>
          </w:tcPr>
          <w:p w14:paraId="13598B9B">
            <w:pPr>
              <w:spacing w:line="440" w:lineRule="exact"/>
              <w:jc w:val="center"/>
              <w:rPr>
                <w:rFonts w:ascii="Times New Roman" w:hAnsi="Times New Roman"/>
                <w:color w:val="auto"/>
              </w:rPr>
            </w:pPr>
            <w:r>
              <w:rPr>
                <w:rFonts w:ascii="Times New Roman" w:hAnsi="Times New Roman"/>
                <w:color w:val="auto"/>
              </w:rPr>
              <w:t>姓  名</w:t>
            </w:r>
          </w:p>
        </w:tc>
        <w:tc>
          <w:tcPr>
            <w:tcW w:w="1048" w:type="dxa"/>
            <w:gridSpan w:val="2"/>
            <w:noWrap w:val="0"/>
            <w:vAlign w:val="center"/>
          </w:tcPr>
          <w:p w14:paraId="58694967">
            <w:pPr>
              <w:spacing w:line="440" w:lineRule="exact"/>
              <w:jc w:val="center"/>
              <w:rPr>
                <w:rFonts w:ascii="Times New Roman" w:hAnsi="Times New Roman"/>
                <w:color w:val="auto"/>
              </w:rPr>
            </w:pPr>
          </w:p>
        </w:tc>
        <w:tc>
          <w:tcPr>
            <w:tcW w:w="958" w:type="dxa"/>
            <w:noWrap w:val="0"/>
            <w:vAlign w:val="center"/>
          </w:tcPr>
          <w:p w14:paraId="26A65BF1">
            <w:pPr>
              <w:spacing w:line="440" w:lineRule="exact"/>
              <w:jc w:val="center"/>
              <w:rPr>
                <w:rFonts w:ascii="Times New Roman" w:hAnsi="Times New Roman"/>
                <w:color w:val="auto"/>
              </w:rPr>
            </w:pPr>
            <w:r>
              <w:rPr>
                <w:rFonts w:ascii="Times New Roman" w:hAnsi="Times New Roman"/>
                <w:color w:val="auto"/>
              </w:rPr>
              <w:t>年龄</w:t>
            </w:r>
          </w:p>
        </w:tc>
        <w:tc>
          <w:tcPr>
            <w:tcW w:w="1065" w:type="dxa"/>
            <w:noWrap w:val="0"/>
            <w:vAlign w:val="center"/>
          </w:tcPr>
          <w:p w14:paraId="11F21382">
            <w:pPr>
              <w:spacing w:line="440" w:lineRule="exact"/>
              <w:jc w:val="center"/>
              <w:rPr>
                <w:rFonts w:ascii="Times New Roman" w:hAnsi="Times New Roman"/>
                <w:color w:val="auto"/>
              </w:rPr>
            </w:pPr>
          </w:p>
        </w:tc>
        <w:tc>
          <w:tcPr>
            <w:tcW w:w="2368" w:type="dxa"/>
            <w:gridSpan w:val="3"/>
            <w:noWrap w:val="0"/>
            <w:vAlign w:val="center"/>
          </w:tcPr>
          <w:p w14:paraId="7B9A74CA">
            <w:pPr>
              <w:spacing w:line="440" w:lineRule="exact"/>
              <w:jc w:val="center"/>
              <w:rPr>
                <w:rFonts w:ascii="Times New Roman" w:hAnsi="Times New Roman"/>
                <w:color w:val="auto"/>
              </w:rPr>
            </w:pPr>
            <w:r>
              <w:rPr>
                <w:rFonts w:hint="eastAsia" w:ascii="Times New Roman" w:hAnsi="Times New Roman"/>
                <w:color w:val="auto"/>
              </w:rPr>
              <w:t>执业或</w:t>
            </w:r>
            <w:r>
              <w:rPr>
                <w:rFonts w:ascii="Times New Roman" w:hAnsi="Times New Roman"/>
                <w:color w:val="auto"/>
              </w:rPr>
              <w:t>职业</w:t>
            </w:r>
          </w:p>
          <w:p w14:paraId="137EA7EA">
            <w:pPr>
              <w:spacing w:line="440" w:lineRule="exact"/>
              <w:jc w:val="center"/>
              <w:rPr>
                <w:rFonts w:ascii="Times New Roman" w:hAnsi="Times New Roman"/>
                <w:color w:val="auto"/>
              </w:rPr>
            </w:pPr>
            <w:r>
              <w:rPr>
                <w:rFonts w:hint="eastAsia" w:ascii="Times New Roman" w:hAnsi="Times New Roman"/>
                <w:color w:val="auto"/>
              </w:rPr>
              <w:t>资格证书名称</w:t>
            </w:r>
          </w:p>
        </w:tc>
        <w:tc>
          <w:tcPr>
            <w:tcW w:w="1896" w:type="dxa"/>
            <w:noWrap w:val="0"/>
            <w:vAlign w:val="center"/>
          </w:tcPr>
          <w:p w14:paraId="608E22AB">
            <w:pPr>
              <w:spacing w:line="440" w:lineRule="exact"/>
              <w:jc w:val="center"/>
              <w:rPr>
                <w:rFonts w:ascii="Times New Roman" w:hAnsi="Times New Roman"/>
                <w:color w:val="auto"/>
              </w:rPr>
            </w:pPr>
          </w:p>
        </w:tc>
      </w:tr>
      <w:tr w14:paraId="4C66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noWrap w:val="0"/>
            <w:vAlign w:val="center"/>
          </w:tcPr>
          <w:p w14:paraId="66C8C231">
            <w:pPr>
              <w:spacing w:line="440" w:lineRule="exact"/>
              <w:jc w:val="center"/>
              <w:rPr>
                <w:rFonts w:ascii="Times New Roman" w:hAnsi="Times New Roman"/>
                <w:color w:val="auto"/>
              </w:rPr>
            </w:pPr>
            <w:r>
              <w:rPr>
                <w:rFonts w:ascii="Times New Roman" w:hAnsi="Times New Roman"/>
                <w:color w:val="auto"/>
              </w:rPr>
              <w:t>职  称</w:t>
            </w:r>
          </w:p>
        </w:tc>
        <w:tc>
          <w:tcPr>
            <w:tcW w:w="1048" w:type="dxa"/>
            <w:gridSpan w:val="2"/>
            <w:noWrap w:val="0"/>
            <w:vAlign w:val="center"/>
          </w:tcPr>
          <w:p w14:paraId="28601D95">
            <w:pPr>
              <w:spacing w:line="440" w:lineRule="exact"/>
              <w:jc w:val="center"/>
              <w:rPr>
                <w:rFonts w:ascii="Times New Roman" w:hAnsi="Times New Roman"/>
                <w:color w:val="auto"/>
              </w:rPr>
            </w:pPr>
          </w:p>
        </w:tc>
        <w:tc>
          <w:tcPr>
            <w:tcW w:w="958" w:type="dxa"/>
            <w:noWrap w:val="0"/>
            <w:vAlign w:val="center"/>
          </w:tcPr>
          <w:p w14:paraId="687CD523">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学历</w:t>
            </w:r>
          </w:p>
        </w:tc>
        <w:tc>
          <w:tcPr>
            <w:tcW w:w="1065" w:type="dxa"/>
            <w:noWrap w:val="0"/>
            <w:vAlign w:val="center"/>
          </w:tcPr>
          <w:p w14:paraId="5223A115">
            <w:pPr>
              <w:spacing w:line="440" w:lineRule="exact"/>
              <w:jc w:val="center"/>
              <w:rPr>
                <w:rFonts w:ascii="Times New Roman" w:hAnsi="Times New Roman"/>
                <w:color w:val="auto"/>
              </w:rPr>
            </w:pPr>
          </w:p>
        </w:tc>
        <w:tc>
          <w:tcPr>
            <w:tcW w:w="2368" w:type="dxa"/>
            <w:gridSpan w:val="3"/>
            <w:noWrap w:val="0"/>
            <w:vAlign w:val="center"/>
          </w:tcPr>
          <w:p w14:paraId="7BD894FC">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拟在本项目任职</w:t>
            </w:r>
          </w:p>
        </w:tc>
        <w:tc>
          <w:tcPr>
            <w:tcW w:w="1896" w:type="dxa"/>
            <w:noWrap w:val="0"/>
            <w:vAlign w:val="center"/>
          </w:tcPr>
          <w:p w14:paraId="35C9E1A4">
            <w:pPr>
              <w:spacing w:line="440" w:lineRule="exact"/>
              <w:jc w:val="center"/>
              <w:rPr>
                <w:rFonts w:ascii="Times New Roman" w:hAnsi="Times New Roman"/>
                <w:color w:val="auto"/>
              </w:rPr>
            </w:pPr>
          </w:p>
        </w:tc>
      </w:tr>
      <w:tr w14:paraId="608A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noWrap w:val="0"/>
            <w:vAlign w:val="center"/>
          </w:tcPr>
          <w:p w14:paraId="51DCA2D7">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工作年限</w:t>
            </w:r>
          </w:p>
        </w:tc>
        <w:tc>
          <w:tcPr>
            <w:tcW w:w="3071" w:type="dxa"/>
            <w:gridSpan w:val="4"/>
            <w:noWrap w:val="0"/>
            <w:vAlign w:val="center"/>
          </w:tcPr>
          <w:p w14:paraId="5CF2BC43">
            <w:pPr>
              <w:spacing w:line="440" w:lineRule="exact"/>
              <w:jc w:val="center"/>
              <w:rPr>
                <w:rFonts w:ascii="Times New Roman" w:hAnsi="Times New Roman"/>
                <w:color w:val="auto"/>
              </w:rPr>
            </w:pPr>
          </w:p>
        </w:tc>
        <w:tc>
          <w:tcPr>
            <w:tcW w:w="2368" w:type="dxa"/>
            <w:gridSpan w:val="3"/>
            <w:noWrap w:val="0"/>
            <w:vAlign w:val="center"/>
          </w:tcPr>
          <w:p w14:paraId="6233D8D4">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从事监理工作年限</w:t>
            </w:r>
          </w:p>
        </w:tc>
        <w:tc>
          <w:tcPr>
            <w:tcW w:w="1896" w:type="dxa"/>
            <w:noWrap w:val="0"/>
            <w:vAlign w:val="center"/>
          </w:tcPr>
          <w:p w14:paraId="3BEAC35D">
            <w:pPr>
              <w:spacing w:line="440" w:lineRule="exact"/>
              <w:jc w:val="center"/>
              <w:rPr>
                <w:rFonts w:ascii="Times New Roman" w:hAnsi="Times New Roman"/>
                <w:color w:val="auto"/>
              </w:rPr>
            </w:pPr>
          </w:p>
        </w:tc>
      </w:tr>
      <w:tr w14:paraId="5616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noWrap w:val="0"/>
            <w:vAlign w:val="center"/>
          </w:tcPr>
          <w:p w14:paraId="6F0FAE11">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毕业学校</w:t>
            </w:r>
          </w:p>
        </w:tc>
        <w:tc>
          <w:tcPr>
            <w:tcW w:w="7335" w:type="dxa"/>
            <w:gridSpan w:val="8"/>
            <w:noWrap w:val="0"/>
            <w:vAlign w:val="center"/>
          </w:tcPr>
          <w:p w14:paraId="4B49F6A0">
            <w:pPr>
              <w:spacing w:before="100" w:beforeAutospacing="1" w:after="100" w:afterAutospacing="1" w:line="440" w:lineRule="exact"/>
              <w:ind w:firstLine="1155" w:firstLineChars="550"/>
              <w:rPr>
                <w:rFonts w:ascii="Times New Roman" w:hAnsi="Times New Roman"/>
                <w:color w:val="auto"/>
              </w:rPr>
            </w:pPr>
            <w:r>
              <w:rPr>
                <w:rFonts w:ascii="Times New Roman" w:hAnsi="Times New Roman"/>
                <w:color w:val="auto"/>
              </w:rPr>
              <w:t>年毕业于            学校        专业</w:t>
            </w:r>
          </w:p>
        </w:tc>
      </w:tr>
      <w:tr w14:paraId="6F02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noWrap w:val="0"/>
            <w:vAlign w:val="center"/>
          </w:tcPr>
          <w:p w14:paraId="4DE8BD25">
            <w:pPr>
              <w:spacing w:before="100" w:beforeAutospacing="1" w:after="100" w:afterAutospacing="1" w:line="440" w:lineRule="exact"/>
              <w:jc w:val="left"/>
              <w:rPr>
                <w:rFonts w:ascii="Times New Roman" w:hAnsi="Times New Roman"/>
                <w:color w:val="auto"/>
              </w:rPr>
            </w:pPr>
            <w:r>
              <w:rPr>
                <w:rFonts w:ascii="Times New Roman" w:hAnsi="Times New Roman"/>
                <w:color w:val="auto"/>
              </w:rPr>
              <w:t>主要工作经历</w:t>
            </w:r>
          </w:p>
        </w:tc>
      </w:tr>
      <w:tr w14:paraId="2C2E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noWrap w:val="0"/>
            <w:vAlign w:val="center"/>
          </w:tcPr>
          <w:p w14:paraId="29AF265B">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时  间</w:t>
            </w:r>
          </w:p>
        </w:tc>
        <w:tc>
          <w:tcPr>
            <w:tcW w:w="3420" w:type="dxa"/>
            <w:gridSpan w:val="4"/>
            <w:noWrap w:val="0"/>
            <w:vAlign w:val="center"/>
          </w:tcPr>
          <w:p w14:paraId="29E16CA2">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参加过的类似项目</w:t>
            </w:r>
          </w:p>
        </w:tc>
        <w:tc>
          <w:tcPr>
            <w:tcW w:w="1261" w:type="dxa"/>
            <w:noWrap w:val="0"/>
            <w:vAlign w:val="center"/>
          </w:tcPr>
          <w:p w14:paraId="4CE6597E">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担任职务</w:t>
            </w:r>
          </w:p>
        </w:tc>
        <w:tc>
          <w:tcPr>
            <w:tcW w:w="2297" w:type="dxa"/>
            <w:gridSpan w:val="2"/>
            <w:noWrap w:val="0"/>
            <w:vAlign w:val="center"/>
          </w:tcPr>
          <w:p w14:paraId="01CDC3E1">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委托人及联系电话</w:t>
            </w:r>
          </w:p>
        </w:tc>
      </w:tr>
      <w:tr w14:paraId="742E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55418012">
            <w:pPr>
              <w:spacing w:line="440" w:lineRule="exact"/>
              <w:rPr>
                <w:rFonts w:ascii="Times New Roman" w:hAnsi="Times New Roman"/>
                <w:color w:val="auto"/>
              </w:rPr>
            </w:pPr>
          </w:p>
        </w:tc>
        <w:tc>
          <w:tcPr>
            <w:tcW w:w="3420" w:type="dxa"/>
            <w:gridSpan w:val="4"/>
            <w:noWrap w:val="0"/>
            <w:vAlign w:val="top"/>
          </w:tcPr>
          <w:p w14:paraId="3C95C000">
            <w:pPr>
              <w:spacing w:line="440" w:lineRule="exact"/>
              <w:rPr>
                <w:rFonts w:ascii="Times New Roman" w:hAnsi="Times New Roman"/>
                <w:color w:val="auto"/>
              </w:rPr>
            </w:pPr>
          </w:p>
        </w:tc>
        <w:tc>
          <w:tcPr>
            <w:tcW w:w="1261" w:type="dxa"/>
            <w:noWrap w:val="0"/>
            <w:vAlign w:val="top"/>
          </w:tcPr>
          <w:p w14:paraId="5814E573">
            <w:pPr>
              <w:spacing w:line="440" w:lineRule="exact"/>
              <w:rPr>
                <w:rFonts w:ascii="Times New Roman" w:hAnsi="Times New Roman"/>
                <w:color w:val="auto"/>
              </w:rPr>
            </w:pPr>
          </w:p>
        </w:tc>
        <w:tc>
          <w:tcPr>
            <w:tcW w:w="2297" w:type="dxa"/>
            <w:gridSpan w:val="2"/>
            <w:noWrap w:val="0"/>
            <w:vAlign w:val="top"/>
          </w:tcPr>
          <w:p w14:paraId="04F418D6">
            <w:pPr>
              <w:spacing w:line="440" w:lineRule="exact"/>
              <w:rPr>
                <w:rFonts w:ascii="Times New Roman" w:hAnsi="Times New Roman"/>
                <w:color w:val="auto"/>
              </w:rPr>
            </w:pPr>
          </w:p>
        </w:tc>
      </w:tr>
      <w:tr w14:paraId="5AD2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4CDB5639">
            <w:pPr>
              <w:spacing w:line="440" w:lineRule="exact"/>
              <w:rPr>
                <w:rFonts w:ascii="Times New Roman" w:hAnsi="Times New Roman"/>
                <w:color w:val="auto"/>
              </w:rPr>
            </w:pPr>
          </w:p>
        </w:tc>
        <w:tc>
          <w:tcPr>
            <w:tcW w:w="3420" w:type="dxa"/>
            <w:gridSpan w:val="4"/>
            <w:noWrap w:val="0"/>
            <w:vAlign w:val="top"/>
          </w:tcPr>
          <w:p w14:paraId="38EB7443">
            <w:pPr>
              <w:spacing w:line="440" w:lineRule="exact"/>
              <w:rPr>
                <w:rFonts w:ascii="Times New Roman" w:hAnsi="Times New Roman"/>
                <w:color w:val="auto"/>
              </w:rPr>
            </w:pPr>
          </w:p>
        </w:tc>
        <w:tc>
          <w:tcPr>
            <w:tcW w:w="1261" w:type="dxa"/>
            <w:noWrap w:val="0"/>
            <w:vAlign w:val="top"/>
          </w:tcPr>
          <w:p w14:paraId="70784B1B">
            <w:pPr>
              <w:spacing w:line="440" w:lineRule="exact"/>
              <w:rPr>
                <w:rFonts w:ascii="Times New Roman" w:hAnsi="Times New Roman"/>
                <w:color w:val="auto"/>
              </w:rPr>
            </w:pPr>
          </w:p>
        </w:tc>
        <w:tc>
          <w:tcPr>
            <w:tcW w:w="2297" w:type="dxa"/>
            <w:gridSpan w:val="2"/>
            <w:noWrap w:val="0"/>
            <w:vAlign w:val="top"/>
          </w:tcPr>
          <w:p w14:paraId="76C059A2">
            <w:pPr>
              <w:spacing w:line="440" w:lineRule="exact"/>
              <w:rPr>
                <w:rFonts w:ascii="Times New Roman" w:hAnsi="Times New Roman"/>
                <w:color w:val="auto"/>
              </w:rPr>
            </w:pPr>
          </w:p>
        </w:tc>
      </w:tr>
      <w:tr w14:paraId="1C76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62D51D2C">
            <w:pPr>
              <w:spacing w:line="440" w:lineRule="exact"/>
              <w:rPr>
                <w:rFonts w:ascii="Times New Roman" w:hAnsi="Times New Roman"/>
                <w:color w:val="auto"/>
              </w:rPr>
            </w:pPr>
          </w:p>
        </w:tc>
        <w:tc>
          <w:tcPr>
            <w:tcW w:w="3420" w:type="dxa"/>
            <w:gridSpan w:val="4"/>
            <w:noWrap w:val="0"/>
            <w:vAlign w:val="top"/>
          </w:tcPr>
          <w:p w14:paraId="13A8E41F">
            <w:pPr>
              <w:spacing w:line="440" w:lineRule="exact"/>
              <w:rPr>
                <w:rFonts w:ascii="Times New Roman" w:hAnsi="Times New Roman"/>
                <w:color w:val="auto"/>
              </w:rPr>
            </w:pPr>
          </w:p>
        </w:tc>
        <w:tc>
          <w:tcPr>
            <w:tcW w:w="1261" w:type="dxa"/>
            <w:noWrap w:val="0"/>
            <w:vAlign w:val="top"/>
          </w:tcPr>
          <w:p w14:paraId="1C1E7E39">
            <w:pPr>
              <w:spacing w:line="440" w:lineRule="exact"/>
              <w:rPr>
                <w:rFonts w:ascii="Times New Roman" w:hAnsi="Times New Roman"/>
                <w:color w:val="auto"/>
              </w:rPr>
            </w:pPr>
          </w:p>
        </w:tc>
        <w:tc>
          <w:tcPr>
            <w:tcW w:w="2297" w:type="dxa"/>
            <w:gridSpan w:val="2"/>
            <w:noWrap w:val="0"/>
            <w:vAlign w:val="top"/>
          </w:tcPr>
          <w:p w14:paraId="7305AC7D">
            <w:pPr>
              <w:spacing w:line="440" w:lineRule="exact"/>
              <w:rPr>
                <w:rFonts w:ascii="Times New Roman" w:hAnsi="Times New Roman"/>
                <w:color w:val="auto"/>
              </w:rPr>
            </w:pPr>
          </w:p>
        </w:tc>
      </w:tr>
      <w:tr w14:paraId="19F6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13D7D2E5">
            <w:pPr>
              <w:spacing w:line="440" w:lineRule="exact"/>
              <w:rPr>
                <w:rFonts w:ascii="Times New Roman" w:hAnsi="Times New Roman"/>
                <w:color w:val="auto"/>
              </w:rPr>
            </w:pPr>
          </w:p>
        </w:tc>
        <w:tc>
          <w:tcPr>
            <w:tcW w:w="3420" w:type="dxa"/>
            <w:gridSpan w:val="4"/>
            <w:noWrap w:val="0"/>
            <w:vAlign w:val="center"/>
          </w:tcPr>
          <w:p w14:paraId="3CC42B7A">
            <w:pPr>
              <w:spacing w:line="440" w:lineRule="exact"/>
              <w:rPr>
                <w:rFonts w:ascii="Times New Roman" w:hAnsi="Times New Roman"/>
                <w:color w:val="auto"/>
              </w:rPr>
            </w:pPr>
          </w:p>
        </w:tc>
        <w:tc>
          <w:tcPr>
            <w:tcW w:w="1261" w:type="dxa"/>
            <w:noWrap w:val="0"/>
            <w:vAlign w:val="center"/>
          </w:tcPr>
          <w:p w14:paraId="700D0980">
            <w:pPr>
              <w:spacing w:line="440" w:lineRule="exact"/>
              <w:rPr>
                <w:rFonts w:ascii="Times New Roman" w:hAnsi="Times New Roman"/>
                <w:color w:val="auto"/>
              </w:rPr>
            </w:pPr>
          </w:p>
        </w:tc>
        <w:tc>
          <w:tcPr>
            <w:tcW w:w="2297" w:type="dxa"/>
            <w:gridSpan w:val="2"/>
            <w:noWrap w:val="0"/>
            <w:vAlign w:val="center"/>
          </w:tcPr>
          <w:p w14:paraId="602C413D">
            <w:pPr>
              <w:spacing w:line="440" w:lineRule="exact"/>
              <w:rPr>
                <w:rFonts w:ascii="Times New Roman" w:hAnsi="Times New Roman"/>
                <w:color w:val="auto"/>
              </w:rPr>
            </w:pPr>
          </w:p>
        </w:tc>
      </w:tr>
      <w:tr w14:paraId="5B30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16A9D41B">
            <w:pPr>
              <w:spacing w:line="440" w:lineRule="exact"/>
              <w:rPr>
                <w:rFonts w:ascii="Times New Roman" w:hAnsi="Times New Roman"/>
                <w:color w:val="auto"/>
              </w:rPr>
            </w:pPr>
          </w:p>
        </w:tc>
        <w:tc>
          <w:tcPr>
            <w:tcW w:w="3420" w:type="dxa"/>
            <w:gridSpan w:val="4"/>
            <w:noWrap w:val="0"/>
            <w:vAlign w:val="center"/>
          </w:tcPr>
          <w:p w14:paraId="52075C00">
            <w:pPr>
              <w:spacing w:line="440" w:lineRule="exact"/>
              <w:rPr>
                <w:rFonts w:ascii="Times New Roman" w:hAnsi="Times New Roman"/>
                <w:color w:val="auto"/>
              </w:rPr>
            </w:pPr>
          </w:p>
        </w:tc>
        <w:tc>
          <w:tcPr>
            <w:tcW w:w="1261" w:type="dxa"/>
            <w:noWrap w:val="0"/>
            <w:vAlign w:val="center"/>
          </w:tcPr>
          <w:p w14:paraId="2E74E86A">
            <w:pPr>
              <w:spacing w:line="440" w:lineRule="exact"/>
              <w:rPr>
                <w:rFonts w:ascii="Times New Roman" w:hAnsi="Times New Roman"/>
                <w:color w:val="auto"/>
              </w:rPr>
            </w:pPr>
          </w:p>
        </w:tc>
        <w:tc>
          <w:tcPr>
            <w:tcW w:w="2297" w:type="dxa"/>
            <w:gridSpan w:val="2"/>
            <w:noWrap w:val="0"/>
            <w:vAlign w:val="center"/>
          </w:tcPr>
          <w:p w14:paraId="76E8A43D">
            <w:pPr>
              <w:spacing w:line="440" w:lineRule="exact"/>
              <w:rPr>
                <w:rFonts w:ascii="Times New Roman" w:hAnsi="Times New Roman"/>
                <w:color w:val="auto"/>
              </w:rPr>
            </w:pPr>
          </w:p>
        </w:tc>
      </w:tr>
      <w:tr w14:paraId="5B68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6D4F2FBC">
            <w:pPr>
              <w:spacing w:line="440" w:lineRule="exact"/>
              <w:rPr>
                <w:rFonts w:ascii="Times New Roman" w:hAnsi="Times New Roman"/>
                <w:color w:val="auto"/>
              </w:rPr>
            </w:pPr>
          </w:p>
        </w:tc>
        <w:tc>
          <w:tcPr>
            <w:tcW w:w="3420" w:type="dxa"/>
            <w:gridSpan w:val="4"/>
            <w:noWrap w:val="0"/>
            <w:vAlign w:val="center"/>
          </w:tcPr>
          <w:p w14:paraId="3244C0CF">
            <w:pPr>
              <w:spacing w:line="440" w:lineRule="exact"/>
              <w:rPr>
                <w:rFonts w:ascii="Times New Roman" w:hAnsi="Times New Roman"/>
                <w:color w:val="auto"/>
              </w:rPr>
            </w:pPr>
          </w:p>
        </w:tc>
        <w:tc>
          <w:tcPr>
            <w:tcW w:w="1261" w:type="dxa"/>
            <w:noWrap w:val="0"/>
            <w:vAlign w:val="center"/>
          </w:tcPr>
          <w:p w14:paraId="076CBC4D">
            <w:pPr>
              <w:spacing w:line="440" w:lineRule="exact"/>
              <w:rPr>
                <w:rFonts w:ascii="Times New Roman" w:hAnsi="Times New Roman"/>
                <w:color w:val="auto"/>
              </w:rPr>
            </w:pPr>
          </w:p>
        </w:tc>
        <w:tc>
          <w:tcPr>
            <w:tcW w:w="2297" w:type="dxa"/>
            <w:gridSpan w:val="2"/>
            <w:noWrap w:val="0"/>
            <w:vAlign w:val="center"/>
          </w:tcPr>
          <w:p w14:paraId="3B5AEDB8">
            <w:pPr>
              <w:spacing w:line="440" w:lineRule="exact"/>
              <w:rPr>
                <w:rFonts w:ascii="Times New Roman" w:hAnsi="Times New Roman"/>
                <w:color w:val="auto"/>
              </w:rPr>
            </w:pPr>
          </w:p>
        </w:tc>
      </w:tr>
      <w:tr w14:paraId="751B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3969A9B5">
            <w:pPr>
              <w:spacing w:line="440" w:lineRule="exact"/>
              <w:rPr>
                <w:rFonts w:ascii="Times New Roman" w:hAnsi="Times New Roman"/>
                <w:color w:val="auto"/>
              </w:rPr>
            </w:pPr>
          </w:p>
        </w:tc>
        <w:tc>
          <w:tcPr>
            <w:tcW w:w="3420" w:type="dxa"/>
            <w:gridSpan w:val="4"/>
            <w:noWrap w:val="0"/>
            <w:vAlign w:val="center"/>
          </w:tcPr>
          <w:p w14:paraId="61BF252F">
            <w:pPr>
              <w:spacing w:line="440" w:lineRule="exact"/>
              <w:rPr>
                <w:rFonts w:ascii="Times New Roman" w:hAnsi="Times New Roman"/>
                <w:color w:val="auto"/>
              </w:rPr>
            </w:pPr>
          </w:p>
        </w:tc>
        <w:tc>
          <w:tcPr>
            <w:tcW w:w="1261" w:type="dxa"/>
            <w:noWrap w:val="0"/>
            <w:vAlign w:val="center"/>
          </w:tcPr>
          <w:p w14:paraId="4BD5DD50">
            <w:pPr>
              <w:spacing w:line="440" w:lineRule="exact"/>
              <w:rPr>
                <w:rFonts w:ascii="Times New Roman" w:hAnsi="Times New Roman"/>
                <w:color w:val="auto"/>
              </w:rPr>
            </w:pPr>
          </w:p>
        </w:tc>
        <w:tc>
          <w:tcPr>
            <w:tcW w:w="2297" w:type="dxa"/>
            <w:gridSpan w:val="2"/>
            <w:noWrap w:val="0"/>
            <w:vAlign w:val="center"/>
          </w:tcPr>
          <w:p w14:paraId="7D854DEC">
            <w:pPr>
              <w:spacing w:line="440" w:lineRule="exact"/>
              <w:rPr>
                <w:rFonts w:ascii="Times New Roman" w:hAnsi="Times New Roman"/>
                <w:color w:val="auto"/>
              </w:rPr>
            </w:pPr>
          </w:p>
        </w:tc>
      </w:tr>
    </w:tbl>
    <w:p w14:paraId="62AC924A">
      <w:pPr>
        <w:spacing w:line="440" w:lineRule="exact"/>
        <w:rPr>
          <w:rFonts w:ascii="Times New Roman" w:hAnsi="Times New Roman"/>
          <w:color w:val="auto"/>
        </w:rPr>
      </w:pPr>
    </w:p>
    <w:p w14:paraId="7D2032F0">
      <w:pPr>
        <w:spacing w:line="440" w:lineRule="exact"/>
        <w:rPr>
          <w:rFonts w:ascii="宋体" w:hAnsi="宋体"/>
          <w:b/>
          <w:bCs/>
          <w:color w:val="auto"/>
          <w:spacing w:val="-6"/>
          <w:szCs w:val="21"/>
        </w:rPr>
      </w:pPr>
      <w:r>
        <w:rPr>
          <w:rFonts w:ascii="Times New Roman" w:hAnsi="Times New Roman"/>
          <w:b/>
          <w:bCs/>
          <w:color w:val="auto"/>
        </w:rPr>
        <w:t>注：</w:t>
      </w:r>
      <w:r>
        <w:rPr>
          <w:rFonts w:hint="eastAsia" w:ascii="宋体" w:hAnsi="宋体"/>
          <w:b/>
          <w:bCs/>
          <w:color w:val="auto"/>
          <w:spacing w:val="-6"/>
          <w:szCs w:val="21"/>
        </w:rPr>
        <w:t>本表应填写总监理工程师相关</w:t>
      </w:r>
      <w:r>
        <w:rPr>
          <w:rFonts w:hint="eastAsia" w:ascii="宋体" w:hAnsi="宋体"/>
          <w:b/>
          <w:bCs/>
          <w:color w:val="auto"/>
          <w:spacing w:val="-6"/>
          <w:szCs w:val="21"/>
          <w:lang w:val="en-US" w:eastAsia="zh-CN"/>
        </w:rPr>
        <w:t>证书</w:t>
      </w:r>
      <w:r>
        <w:rPr>
          <w:rFonts w:hint="eastAsia" w:ascii="宋体" w:hAnsi="宋体"/>
          <w:b/>
          <w:bCs/>
          <w:color w:val="auto"/>
          <w:spacing w:val="-6"/>
          <w:szCs w:val="21"/>
        </w:rPr>
        <w:t>。</w:t>
      </w:r>
    </w:p>
    <w:p w14:paraId="4DCA36F4">
      <w:pPr>
        <w:ind w:firstLine="281" w:firstLineChars="100"/>
        <w:rPr>
          <w:rFonts w:ascii="仿宋_GB2312" w:eastAsia="仿宋_GB2312"/>
          <w:b/>
          <w:color w:val="auto"/>
          <w:sz w:val="28"/>
          <w:szCs w:val="28"/>
        </w:rPr>
      </w:pPr>
    </w:p>
    <w:p w14:paraId="7B063096">
      <w:pPr>
        <w:ind w:firstLine="281" w:firstLineChars="100"/>
        <w:rPr>
          <w:rFonts w:ascii="仿宋_GB2312" w:eastAsia="仿宋_GB2312"/>
          <w:b/>
          <w:color w:val="auto"/>
          <w:sz w:val="28"/>
          <w:szCs w:val="28"/>
        </w:rPr>
      </w:pPr>
    </w:p>
    <w:p w14:paraId="109AEC4F">
      <w:pPr>
        <w:ind w:firstLine="281" w:firstLineChars="100"/>
        <w:rPr>
          <w:rFonts w:ascii="仿宋_GB2312" w:eastAsia="仿宋_GB2312"/>
          <w:b/>
          <w:color w:val="auto"/>
          <w:sz w:val="28"/>
          <w:szCs w:val="28"/>
        </w:rPr>
      </w:pPr>
    </w:p>
    <w:p w14:paraId="3B6F2E4B">
      <w:pPr>
        <w:ind w:firstLine="281" w:firstLineChars="100"/>
        <w:rPr>
          <w:rFonts w:ascii="仿宋_GB2312" w:eastAsia="仿宋_GB2312"/>
          <w:b/>
          <w:color w:val="auto"/>
          <w:sz w:val="28"/>
          <w:szCs w:val="28"/>
        </w:rPr>
      </w:pPr>
    </w:p>
    <w:p w14:paraId="4FF99702">
      <w:pPr>
        <w:ind w:firstLine="281" w:firstLineChars="100"/>
        <w:rPr>
          <w:rFonts w:ascii="仿宋_GB2312" w:eastAsia="仿宋_GB2312"/>
          <w:b/>
          <w:color w:val="auto"/>
          <w:sz w:val="28"/>
          <w:szCs w:val="28"/>
        </w:rPr>
      </w:pPr>
    </w:p>
    <w:p w14:paraId="4D63FCB6">
      <w:pPr>
        <w:rPr>
          <w:rFonts w:ascii="仿宋_GB2312" w:eastAsia="仿宋_GB2312"/>
          <w:b/>
          <w:color w:val="auto"/>
          <w:sz w:val="28"/>
          <w:szCs w:val="28"/>
        </w:rPr>
      </w:pPr>
    </w:p>
    <w:p w14:paraId="32991015">
      <w:pPr>
        <w:widowControl/>
        <w:jc w:val="center"/>
        <w:outlineLvl w:val="2"/>
        <w:rPr>
          <w:rFonts w:ascii="Times New Roman" w:hAnsi="Times New Roman"/>
          <w:color w:val="auto"/>
          <w:sz w:val="24"/>
          <w:szCs w:val="24"/>
        </w:rPr>
      </w:pPr>
      <w:r>
        <w:rPr>
          <w:rFonts w:hint="eastAsia" w:ascii="Times New Roman" w:hAnsi="Times New Roman" w:eastAsia="黑体"/>
          <w:color w:val="auto"/>
          <w:sz w:val="24"/>
          <w:szCs w:val="24"/>
        </w:rPr>
        <w:t>（</w:t>
      </w:r>
      <w:r>
        <w:rPr>
          <w:rFonts w:hint="eastAsia" w:ascii="Times New Roman" w:hAnsi="Times New Roman" w:eastAsia="黑体"/>
          <w:color w:val="auto"/>
          <w:sz w:val="24"/>
          <w:szCs w:val="24"/>
          <w:lang w:val="en-US" w:eastAsia="zh-CN"/>
        </w:rPr>
        <w:t>四</w:t>
      </w:r>
      <w:r>
        <w:rPr>
          <w:rFonts w:hint="eastAsia" w:ascii="Times New Roman" w:hAnsi="Times New Roman" w:eastAsia="黑体"/>
          <w:color w:val="auto"/>
          <w:sz w:val="24"/>
          <w:szCs w:val="24"/>
        </w:rPr>
        <w:t>）拟投入本项目的主要试验检测仪器设备表</w:t>
      </w:r>
    </w:p>
    <w:p w14:paraId="7A704690">
      <w:pPr>
        <w:spacing w:line="440" w:lineRule="exact"/>
        <w:ind w:firstLine="398" w:firstLineChars="200"/>
        <w:rPr>
          <w:rFonts w:hint="eastAsia" w:ascii="宋体" w:hAnsi="宋体"/>
          <w:b/>
          <w:bCs/>
          <w:color w:val="auto"/>
          <w:spacing w:val="-6"/>
          <w:szCs w:val="21"/>
        </w:rPr>
      </w:pPr>
    </w:p>
    <w:p w14:paraId="7540C46E">
      <w:pPr>
        <w:spacing w:line="440" w:lineRule="exact"/>
        <w:ind w:firstLine="422" w:firstLineChars="200"/>
        <w:rPr>
          <w:rFonts w:hint="eastAsia" w:ascii="Times New Roman" w:hAnsi="Times New Roman"/>
          <w:b/>
          <w:bCs/>
          <w:color w:val="auto"/>
          <w:szCs w:val="21"/>
          <w:u w:val="none"/>
        </w:rPr>
      </w:pPr>
      <w:r>
        <w:rPr>
          <w:rFonts w:hint="eastAsia" w:ascii="Times New Roman" w:hAnsi="Times New Roman"/>
          <w:b/>
          <w:bCs/>
          <w:color w:val="auto"/>
          <w:szCs w:val="21"/>
          <w:u w:val="none"/>
          <w:lang w:val="en-US" w:eastAsia="zh-CN"/>
        </w:rPr>
        <w:t>致</w:t>
      </w:r>
      <w:r>
        <w:rPr>
          <w:rFonts w:hint="eastAsia"/>
          <w:b/>
          <w:bCs/>
          <w:color w:val="auto"/>
          <w:szCs w:val="21"/>
          <w:u w:val="none"/>
          <w:lang w:val="en-US" w:eastAsia="zh-CN"/>
        </w:rPr>
        <w:t>合肥滨湖投资控股集团有限公司</w:t>
      </w:r>
      <w:r>
        <w:rPr>
          <w:rFonts w:hint="eastAsia" w:ascii="Times New Roman" w:hAnsi="Times New Roman"/>
          <w:b/>
          <w:bCs/>
          <w:color w:val="auto"/>
          <w:szCs w:val="21"/>
          <w:u w:val="none"/>
        </w:rPr>
        <w:t>：</w:t>
      </w:r>
    </w:p>
    <w:p w14:paraId="643565C2">
      <w:pPr>
        <w:spacing w:line="440" w:lineRule="exact"/>
        <w:ind w:firstLine="396" w:firstLineChars="200"/>
        <w:rPr>
          <w:rFonts w:hint="eastAsia" w:ascii="宋体" w:hAnsi="宋体"/>
          <w:color w:val="auto"/>
          <w:spacing w:val="-6"/>
          <w:szCs w:val="21"/>
        </w:rPr>
      </w:pPr>
      <w:r>
        <w:rPr>
          <w:rFonts w:hint="eastAsia" w:ascii="宋体" w:hAnsi="宋体"/>
          <w:color w:val="auto"/>
          <w:spacing w:val="-6"/>
          <w:szCs w:val="21"/>
        </w:rPr>
        <w:t>我方承诺：在本项目服务过程中，须按照国家、地方、行业相关规范标准，配备相关仪器设备，并根据项目实际需要和招标人要求，增加仪器设备，所有费用包含在合同价中，不增加相关费用，如实际与承诺不符，你方可终止合同并报监管部门处理，造成的损失由我方承担。</w:t>
      </w:r>
    </w:p>
    <w:p w14:paraId="710F9C60">
      <w:pPr>
        <w:spacing w:line="440" w:lineRule="exact"/>
        <w:ind w:firstLine="396" w:firstLineChars="200"/>
        <w:rPr>
          <w:rFonts w:hint="eastAsia" w:ascii="宋体" w:hAnsi="宋体"/>
          <w:color w:val="auto"/>
          <w:spacing w:val="-6"/>
          <w:szCs w:val="21"/>
        </w:rPr>
      </w:pPr>
    </w:p>
    <w:p w14:paraId="07FC41A1">
      <w:pPr>
        <w:spacing w:line="400" w:lineRule="exact"/>
        <w:ind w:left="4362" w:leftChars="1700" w:hanging="792" w:hangingChars="400"/>
        <w:rPr>
          <w:rFonts w:hint="eastAsia" w:ascii="宋体" w:hAnsi="宋体"/>
          <w:color w:val="auto"/>
          <w:szCs w:val="21"/>
        </w:rPr>
      </w:pPr>
      <w:r>
        <w:rPr>
          <w:rFonts w:hint="eastAsia" w:ascii="宋体" w:hAnsi="宋体"/>
          <w:color w:val="auto"/>
          <w:spacing w:val="-6"/>
          <w:szCs w:val="21"/>
        </w:rPr>
        <w:t xml:space="preserve">                            </w:t>
      </w:r>
      <w:r>
        <w:rPr>
          <w:rFonts w:hint="eastAsia" w:ascii="宋体" w:hAnsi="宋体"/>
          <w:color w:val="auto"/>
          <w:szCs w:val="21"/>
        </w:rPr>
        <w:t>投  标  人：</w:t>
      </w:r>
      <w:r>
        <w:rPr>
          <w:rFonts w:hint="eastAsia" w:ascii="宋体" w:hAnsi="宋体"/>
          <w:color w:val="auto"/>
          <w:szCs w:val="21"/>
          <w:u w:val="single"/>
        </w:rPr>
        <w:t xml:space="preserve">              </w:t>
      </w:r>
      <w:r>
        <w:rPr>
          <w:rFonts w:hint="eastAsia" w:ascii="宋体" w:hAnsi="宋体"/>
          <w:color w:val="auto"/>
          <w:szCs w:val="21"/>
        </w:rPr>
        <w:t>（盖单位章）</w:t>
      </w:r>
    </w:p>
    <w:p w14:paraId="57B127E1">
      <w:pPr>
        <w:rPr>
          <w:rFonts w:hint="eastAsia" w:ascii="宋体" w:hAnsi="宋体"/>
          <w:color w:val="auto"/>
          <w:szCs w:val="21"/>
        </w:rPr>
      </w:pPr>
      <w:r>
        <w:rPr>
          <w:rFonts w:hint="eastAsia" w:ascii="宋体" w:hAnsi="宋体"/>
          <w:color w:val="auto"/>
          <w:szCs w:val="21"/>
        </w:rPr>
        <w:br w:type="page"/>
      </w:r>
    </w:p>
    <w:p w14:paraId="0995F2A5">
      <w:pPr>
        <w:pStyle w:val="4"/>
        <w:pageBreakBefore/>
        <w:spacing w:before="0" w:after="0" w:line="240" w:lineRule="auto"/>
        <w:rPr>
          <w:rFonts w:hint="eastAsia" w:ascii="Times New Roman" w:hAnsi="Times New Roman" w:eastAsia="黑体" w:cs="Times New Roman"/>
          <w:b w:val="0"/>
          <w:color w:val="auto"/>
          <w:kern w:val="2"/>
          <w:sz w:val="24"/>
          <w:szCs w:val="24"/>
          <w:lang w:val="en-US" w:eastAsia="zh-CN" w:bidi="ar-SA"/>
        </w:rPr>
      </w:pPr>
      <w:r>
        <w:rPr>
          <w:rFonts w:hint="eastAsia" w:ascii="Times New Roman" w:hAnsi="Times New Roman" w:eastAsia="黑体" w:cs="Times New Roman"/>
          <w:b w:val="0"/>
          <w:color w:val="auto"/>
          <w:kern w:val="2"/>
          <w:sz w:val="24"/>
          <w:szCs w:val="24"/>
          <w:lang w:val="en-US" w:eastAsia="zh-CN" w:bidi="ar-SA"/>
        </w:rPr>
        <w:t>（五）投标人信用承诺</w:t>
      </w:r>
    </w:p>
    <w:p w14:paraId="2F7F6180">
      <w:pPr>
        <w:spacing w:line="440" w:lineRule="exact"/>
        <w:ind w:firstLine="435"/>
        <w:rPr>
          <w:rFonts w:ascii="宋体" w:hAnsi="宋体"/>
          <w:color w:val="auto"/>
          <w:sz w:val="24"/>
          <w:szCs w:val="24"/>
        </w:rPr>
      </w:pPr>
      <w:r>
        <w:rPr>
          <w:rFonts w:hint="eastAsia" w:ascii="宋体" w:hAnsi="宋体"/>
          <w:color w:val="auto"/>
          <w:sz w:val="24"/>
          <w:szCs w:val="24"/>
        </w:rPr>
        <w:t>1.本单位郑重声明，我单位无以下不良信用记录情形：</w:t>
      </w:r>
    </w:p>
    <w:p w14:paraId="0241C51D">
      <w:pPr>
        <w:spacing w:line="360" w:lineRule="auto"/>
        <w:ind w:firstLine="435"/>
        <w:rPr>
          <w:rFonts w:ascii="宋体" w:hAnsi="宋体"/>
          <w:color w:val="auto"/>
          <w:sz w:val="24"/>
          <w:szCs w:val="18"/>
        </w:rPr>
      </w:pPr>
      <w:r>
        <w:rPr>
          <w:rFonts w:hint="eastAsia" w:ascii="宋体" w:hAnsi="宋体"/>
          <w:color w:val="auto"/>
          <w:sz w:val="24"/>
          <w:szCs w:val="18"/>
        </w:rPr>
        <w:t xml:space="preserve">（1）被责令停产停业，暂扣或者吊销许可证，暂扣或者吊销执照； </w:t>
      </w:r>
    </w:p>
    <w:p w14:paraId="5F18F0D3">
      <w:pPr>
        <w:spacing w:line="360" w:lineRule="auto"/>
        <w:ind w:firstLine="435"/>
        <w:rPr>
          <w:rFonts w:ascii="宋体" w:hAnsi="宋体"/>
          <w:color w:val="auto"/>
          <w:sz w:val="24"/>
          <w:szCs w:val="18"/>
        </w:rPr>
      </w:pPr>
      <w:r>
        <w:rPr>
          <w:rFonts w:hint="eastAsia" w:ascii="宋体" w:hAnsi="宋体"/>
          <w:color w:val="auto"/>
          <w:sz w:val="24"/>
          <w:szCs w:val="18"/>
        </w:rPr>
        <w:t xml:space="preserve">（2）进入清算程序，或被宣告破产，或其他丧失履约能力的情形； </w:t>
      </w:r>
    </w:p>
    <w:p w14:paraId="79BF31EA">
      <w:pPr>
        <w:spacing w:line="360" w:lineRule="auto"/>
        <w:ind w:firstLine="435"/>
        <w:rPr>
          <w:rFonts w:ascii="宋体" w:hAnsi="宋体"/>
          <w:color w:val="auto"/>
          <w:sz w:val="24"/>
          <w:szCs w:val="18"/>
        </w:rPr>
      </w:pPr>
      <w:r>
        <w:rPr>
          <w:rFonts w:hint="eastAsia" w:ascii="宋体" w:hAnsi="宋体"/>
          <w:color w:val="auto"/>
          <w:sz w:val="24"/>
          <w:szCs w:val="18"/>
        </w:rPr>
        <w:t>（3）在最近三年内（自投标截止之日向前追溯 3年， 下同）有骗取中标或串通投标或严重违约或重大工程质量事故或重大生产安全事故的（以相关行业主管部门的行政处罚决定或司法机关出具的有关法律文书为准），前述行政处罚已完成信用修复的，自行政处罚作出机关或信用修复主管部门同意修复之日起满一年，或在线修复审核通过之日起满一年的，不受三年期限限制；</w:t>
      </w:r>
    </w:p>
    <w:p w14:paraId="5A899044">
      <w:pPr>
        <w:spacing w:line="360" w:lineRule="auto"/>
        <w:ind w:firstLine="435"/>
        <w:rPr>
          <w:rFonts w:ascii="宋体" w:hAnsi="宋体"/>
          <w:color w:val="auto"/>
          <w:sz w:val="24"/>
          <w:szCs w:val="18"/>
        </w:rPr>
      </w:pPr>
      <w:r>
        <w:rPr>
          <w:rFonts w:hint="eastAsia" w:ascii="宋体" w:hAnsi="宋体"/>
          <w:color w:val="auto"/>
          <w:sz w:val="24"/>
          <w:szCs w:val="18"/>
        </w:rPr>
        <w:t xml:space="preserve">（4）在国家企业信用信息公示系统（http://www.gsxt.gov.cn/）中被列入严重违法失信企业名单； </w:t>
      </w:r>
    </w:p>
    <w:p w14:paraId="082A92E3">
      <w:pPr>
        <w:spacing w:line="360" w:lineRule="auto"/>
        <w:ind w:firstLine="435"/>
        <w:rPr>
          <w:rFonts w:ascii="宋体" w:hAnsi="宋体"/>
          <w:color w:val="auto"/>
          <w:sz w:val="24"/>
          <w:szCs w:val="18"/>
        </w:rPr>
      </w:pPr>
      <w:r>
        <w:rPr>
          <w:rFonts w:hint="eastAsia" w:ascii="宋体" w:hAnsi="宋体"/>
          <w:color w:val="auto"/>
          <w:sz w:val="24"/>
          <w:szCs w:val="18"/>
        </w:rPr>
        <w:t xml:space="preserve">（5）在“信用中国”网站（http://www.creditchina.gov.cn/）中被列入失信被执行人名单； </w:t>
      </w:r>
    </w:p>
    <w:p w14:paraId="1D243ABB">
      <w:pPr>
        <w:spacing w:line="360" w:lineRule="auto"/>
        <w:ind w:firstLine="435"/>
        <w:rPr>
          <w:rFonts w:ascii="宋体" w:hAnsi="宋体"/>
          <w:color w:val="auto"/>
          <w:sz w:val="24"/>
          <w:szCs w:val="18"/>
        </w:rPr>
      </w:pPr>
      <w:r>
        <w:rPr>
          <w:rFonts w:hint="eastAsia" w:ascii="宋体" w:hAnsi="宋体"/>
          <w:color w:val="auto"/>
          <w:sz w:val="24"/>
          <w:szCs w:val="18"/>
        </w:rPr>
        <w:t xml:space="preserve">（6）在“信用中国”网站（http://www.creditchina.gov.cn/）中被列入重大税收违法案件当事人名单； </w:t>
      </w:r>
    </w:p>
    <w:p w14:paraId="42278F53">
      <w:pPr>
        <w:spacing w:line="360" w:lineRule="auto"/>
        <w:ind w:firstLine="435"/>
        <w:rPr>
          <w:rFonts w:ascii="宋体" w:hAnsi="宋体"/>
          <w:color w:val="auto"/>
          <w:sz w:val="24"/>
          <w:szCs w:val="18"/>
        </w:rPr>
      </w:pPr>
      <w:r>
        <w:rPr>
          <w:rFonts w:hint="eastAsia" w:ascii="宋体" w:hAnsi="宋体"/>
          <w:color w:val="auto"/>
          <w:sz w:val="24"/>
          <w:szCs w:val="18"/>
        </w:rPr>
        <w:t>（7）在近三年内投标人或其法定代表人（单位负责人）有行贿犯罪行为的；</w:t>
      </w:r>
    </w:p>
    <w:p w14:paraId="61686666">
      <w:pPr>
        <w:spacing w:line="360" w:lineRule="auto"/>
        <w:ind w:firstLine="435"/>
        <w:rPr>
          <w:rFonts w:ascii="宋体" w:hAnsi="宋体"/>
          <w:color w:val="auto"/>
          <w:sz w:val="24"/>
          <w:szCs w:val="18"/>
        </w:rPr>
      </w:pPr>
      <w:r>
        <w:rPr>
          <w:rFonts w:hint="eastAsia" w:ascii="宋体" w:hAnsi="宋体"/>
          <w:color w:val="auto"/>
          <w:sz w:val="24"/>
          <w:szCs w:val="18"/>
        </w:rPr>
        <w:t>（8）投标人被设区的市级及以上建设行政主管部门/房屋建筑和市政基础设施工程招标投标活动的监督部门因安全生产责任事故限制本次招标项目工程所在地或公共资源交易平台所在地承接新的工程项目且在限制期内。</w:t>
      </w:r>
    </w:p>
    <w:p w14:paraId="69AB3669">
      <w:pPr>
        <w:spacing w:line="440" w:lineRule="exact"/>
        <w:ind w:firstLine="435"/>
        <w:rPr>
          <w:rFonts w:ascii="宋体" w:hAnsi="宋体"/>
          <w:color w:val="auto"/>
          <w:sz w:val="24"/>
          <w:szCs w:val="24"/>
        </w:rPr>
      </w:pPr>
      <w:r>
        <w:rPr>
          <w:rFonts w:hint="eastAsia" w:ascii="宋体" w:hAnsi="宋体"/>
          <w:color w:val="auto"/>
          <w:sz w:val="24"/>
          <w:szCs w:val="24"/>
        </w:rPr>
        <w:t xml:space="preserve">2.本单位郑重声明，符合下列情形之一： </w:t>
      </w:r>
    </w:p>
    <w:p w14:paraId="652C4E44">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1）开标日前两年内未被合肥市及其所辖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记不良行为记录或记不良行为记录累计未满10分的；</w:t>
      </w:r>
    </w:p>
    <w:p w14:paraId="4BAC1793">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2）最近一次被合肥市及其所辖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记不良行为记录累计记分达10分（含10分）到15分且公布日距开标日超过6个月；</w:t>
      </w:r>
    </w:p>
    <w:p w14:paraId="7855D472">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3）最近一次被合肥市及其所辖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记不良行为记录累计记分达15分（含15分）到20分且公布日距开标日超过12个月；</w:t>
      </w:r>
    </w:p>
    <w:p w14:paraId="74A3B95D">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4）最近一次被合肥市及其所辖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记不良行为记录累计记分达20分（含20分）及以上且公布日距开标日超过24个月。</w:t>
      </w:r>
    </w:p>
    <w:p w14:paraId="14306AEC">
      <w:pPr>
        <w:spacing w:line="440" w:lineRule="exact"/>
        <w:ind w:firstLine="435"/>
        <w:rPr>
          <w:rFonts w:ascii="宋体" w:hAnsi="宋体"/>
          <w:color w:val="auto"/>
          <w:sz w:val="24"/>
        </w:rPr>
      </w:pPr>
      <w:r>
        <w:rPr>
          <w:rFonts w:hint="eastAsia" w:ascii="宋体" w:hAnsi="宋体"/>
          <w:color w:val="auto"/>
          <w:sz w:val="24"/>
          <w:szCs w:val="24"/>
        </w:rPr>
        <w:t>本单位对上述声明的真实性负责。如有虚假，将依法承担相应责任。</w:t>
      </w:r>
      <w:r>
        <w:rPr>
          <w:rFonts w:hint="eastAsia" w:ascii="宋体" w:hAnsi="宋体"/>
          <w:color w:val="auto"/>
          <w:sz w:val="24"/>
        </w:rPr>
        <w:t xml:space="preserve"> </w:t>
      </w:r>
    </w:p>
    <w:p w14:paraId="35E81F1E">
      <w:pPr>
        <w:spacing w:line="360" w:lineRule="auto"/>
        <w:ind w:firstLine="482" w:firstLineChars="200"/>
        <w:rPr>
          <w:rFonts w:ascii="宋体" w:hAnsi="宋体"/>
          <w:color w:val="auto"/>
          <w:sz w:val="24"/>
        </w:rPr>
      </w:pPr>
      <w:r>
        <w:rPr>
          <w:rFonts w:ascii="宋体" w:hAnsi="宋体"/>
          <w:b/>
          <w:color w:val="auto"/>
          <w:sz w:val="24"/>
        </w:rPr>
        <w:t>我公司</w:t>
      </w:r>
      <w:r>
        <w:rPr>
          <w:rFonts w:hint="eastAsia" w:ascii="宋体" w:hAnsi="宋体"/>
          <w:b/>
          <w:color w:val="auto"/>
          <w:sz w:val="24"/>
        </w:rPr>
        <w:t>对以上承诺的真实性承担责任</w:t>
      </w:r>
      <w:r>
        <w:rPr>
          <w:rFonts w:ascii="宋体" w:hAnsi="宋体"/>
          <w:b/>
          <w:color w:val="auto"/>
          <w:sz w:val="24"/>
        </w:rPr>
        <w:t>。</w:t>
      </w:r>
    </w:p>
    <w:p w14:paraId="740007B6">
      <w:pPr>
        <w:spacing w:line="360" w:lineRule="auto"/>
        <w:ind w:firstLine="482" w:firstLineChars="200"/>
        <w:rPr>
          <w:rFonts w:hint="eastAsia" w:ascii="宋体" w:hAnsi="宋体"/>
          <w:b/>
          <w:color w:val="auto"/>
          <w:sz w:val="24"/>
          <w:szCs w:val="22"/>
        </w:rPr>
      </w:pPr>
    </w:p>
    <w:p w14:paraId="26B2A039">
      <w:pPr>
        <w:spacing w:line="360" w:lineRule="auto"/>
        <w:ind w:firstLine="482" w:firstLineChars="200"/>
        <w:rPr>
          <w:rFonts w:ascii="宋体" w:hAnsi="宋体"/>
          <w:b/>
          <w:color w:val="auto"/>
          <w:sz w:val="24"/>
          <w:szCs w:val="22"/>
        </w:rPr>
      </w:pPr>
      <w:r>
        <w:rPr>
          <w:rFonts w:hint="eastAsia" w:ascii="宋体" w:hAnsi="宋体"/>
          <w:b/>
          <w:color w:val="auto"/>
          <w:sz w:val="24"/>
          <w:szCs w:val="22"/>
        </w:rPr>
        <w:t xml:space="preserve">投标人（公章）：                </w:t>
      </w:r>
    </w:p>
    <w:p w14:paraId="3E6D1F0A">
      <w:pPr>
        <w:spacing w:line="360" w:lineRule="auto"/>
        <w:ind w:firstLine="482" w:firstLineChars="200"/>
        <w:rPr>
          <w:color w:val="auto"/>
          <w:sz w:val="36"/>
          <w:szCs w:val="36"/>
        </w:rPr>
      </w:pPr>
      <w:r>
        <w:rPr>
          <w:rFonts w:hint="eastAsia" w:ascii="宋体" w:hAnsi="宋体"/>
          <w:b/>
          <w:color w:val="auto"/>
          <w:sz w:val="24"/>
          <w:szCs w:val="22"/>
        </w:rPr>
        <w:t>日  期：      年    月     日</w:t>
      </w:r>
    </w:p>
    <w:p w14:paraId="11FE061D">
      <w:pPr>
        <w:rPr>
          <w:color w:val="auto"/>
          <w:sz w:val="30"/>
          <w:szCs w:val="30"/>
        </w:rPr>
      </w:pPr>
    </w:p>
    <w:p w14:paraId="2291E3D3">
      <w:pPr>
        <w:pStyle w:val="4"/>
        <w:spacing w:before="0" w:after="0" w:line="360" w:lineRule="auto"/>
        <w:ind w:firstLine="118"/>
        <w:jc w:val="center"/>
        <w:rPr>
          <w:rFonts w:hint="eastAsia" w:ascii="宋体" w:hAnsi="Times New Roman" w:eastAsia="宋体" w:cs="Times New Roman"/>
          <w:color w:val="auto"/>
        </w:rPr>
      </w:pPr>
      <w:bookmarkStart w:id="74" w:name="_Toc328559339"/>
      <w:bookmarkStart w:id="75" w:name="_Toc245714176"/>
      <w:bookmarkStart w:id="76" w:name="_Toc273602358"/>
      <w:r>
        <w:rPr>
          <w:rFonts w:hint="eastAsia"/>
          <w:color w:val="auto"/>
          <w:lang w:val="en-US" w:eastAsia="zh-CN"/>
        </w:rPr>
        <w:t>五</w:t>
      </w:r>
      <w:r>
        <w:rPr>
          <w:rFonts w:hint="eastAsia"/>
          <w:color w:val="auto"/>
        </w:rPr>
        <w:t>．</w:t>
      </w:r>
      <w:bookmarkEnd w:id="74"/>
      <w:bookmarkEnd w:id="75"/>
      <w:bookmarkEnd w:id="76"/>
      <w:bookmarkStart w:id="77" w:name="_Toc273602359"/>
      <w:bookmarkStart w:id="78" w:name="_Toc245714177"/>
      <w:bookmarkStart w:id="79" w:name="_Toc328559340"/>
      <w:bookmarkStart w:id="80" w:name="_Toc516969110"/>
      <w:bookmarkStart w:id="81" w:name="_Toc220232405"/>
      <w:bookmarkStart w:id="82" w:name="_Toc220232400"/>
      <w:r>
        <w:rPr>
          <w:rFonts w:hint="eastAsia" w:ascii="宋体" w:hAnsi="Times New Roman" w:eastAsia="宋体" w:cs="Times New Roman"/>
          <w:color w:val="auto"/>
        </w:rPr>
        <w:t>监理大纲</w:t>
      </w:r>
    </w:p>
    <w:p w14:paraId="1C803384">
      <w:pPr>
        <w:spacing w:line="360" w:lineRule="auto"/>
        <w:ind w:firstLine="474" w:firstLineChars="226"/>
        <w:rPr>
          <w:rFonts w:ascii="Times New Roman" w:hAnsi="Times New Roman"/>
          <w:color w:val="auto"/>
          <w:szCs w:val="21"/>
        </w:rPr>
      </w:pPr>
    </w:p>
    <w:p w14:paraId="1168D877">
      <w:pPr>
        <w:spacing w:line="360" w:lineRule="auto"/>
        <w:ind w:firstLine="474" w:firstLineChars="226"/>
        <w:rPr>
          <w:rFonts w:ascii="Times New Roman" w:hAnsi="Times New Roman"/>
          <w:color w:val="auto"/>
          <w:szCs w:val="21"/>
        </w:rPr>
      </w:pPr>
      <w:r>
        <w:rPr>
          <w:rFonts w:ascii="Times New Roman" w:hAnsi="Times New Roman"/>
          <w:color w:val="auto"/>
          <w:szCs w:val="21"/>
        </w:rPr>
        <w:t>监理大纲应包括（但不限于）下列内容：</w:t>
      </w:r>
    </w:p>
    <w:p w14:paraId="488DF926">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监理内容重点，制度及具体措施</w:t>
      </w:r>
    </w:p>
    <w:p w14:paraId="412A7F39">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工程质量控制措施</w:t>
      </w:r>
    </w:p>
    <w:p w14:paraId="262B78B8">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工程进度控制措施对策及监理建议</w:t>
      </w:r>
    </w:p>
    <w:p w14:paraId="1B54330A">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工程投资控制措施</w:t>
      </w:r>
    </w:p>
    <w:p w14:paraId="7BAADEBE">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工程合同与信息管理措施</w:t>
      </w:r>
    </w:p>
    <w:p w14:paraId="6840CD7E">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文明施工、安全生产的控制措施</w:t>
      </w:r>
    </w:p>
    <w:p w14:paraId="1C52184D">
      <w:pPr>
        <w:spacing w:line="360" w:lineRule="auto"/>
        <w:ind w:firstLine="420" w:firstLineChars="200"/>
        <w:jc w:val="both"/>
        <w:outlineLvl w:val="2"/>
        <w:rPr>
          <w:rFonts w:hint="eastAsia" w:eastAsia="宋体"/>
          <w:color w:val="auto"/>
          <w:lang w:eastAsia="zh-CN"/>
        </w:rPr>
      </w:pPr>
      <w:r>
        <w:rPr>
          <w:rFonts w:hint="eastAsia"/>
          <w:color w:val="auto"/>
          <w:szCs w:val="21"/>
          <w:lang w:eastAsia="zh-CN"/>
        </w:rPr>
        <w:t>便利化服务</w:t>
      </w:r>
    </w:p>
    <w:bookmarkEnd w:id="77"/>
    <w:bookmarkEnd w:id="78"/>
    <w:bookmarkEnd w:id="79"/>
    <w:p w14:paraId="081E3DCC">
      <w:pPr>
        <w:rPr>
          <w:color w:val="auto"/>
          <w:sz w:val="28"/>
          <w:szCs w:val="28"/>
        </w:rPr>
      </w:pPr>
    </w:p>
    <w:p w14:paraId="153349B6">
      <w:pPr>
        <w:rPr>
          <w:color w:val="auto"/>
          <w:sz w:val="28"/>
          <w:szCs w:val="28"/>
        </w:rPr>
      </w:pPr>
    </w:p>
    <w:p w14:paraId="5A0F7AA4">
      <w:pPr>
        <w:rPr>
          <w:color w:val="auto"/>
          <w:sz w:val="28"/>
          <w:szCs w:val="28"/>
        </w:rPr>
      </w:pPr>
    </w:p>
    <w:p w14:paraId="4BB92A31">
      <w:pPr>
        <w:rPr>
          <w:color w:val="auto"/>
          <w:sz w:val="28"/>
          <w:szCs w:val="28"/>
        </w:rPr>
      </w:pPr>
    </w:p>
    <w:p w14:paraId="6E98EBD1">
      <w:pPr>
        <w:rPr>
          <w:color w:val="auto"/>
          <w:sz w:val="28"/>
          <w:szCs w:val="28"/>
        </w:rPr>
      </w:pPr>
    </w:p>
    <w:p w14:paraId="7D41D3D9">
      <w:pPr>
        <w:rPr>
          <w:color w:val="auto"/>
          <w:sz w:val="28"/>
          <w:szCs w:val="28"/>
        </w:rPr>
      </w:pPr>
    </w:p>
    <w:p w14:paraId="0D3C7D32">
      <w:pPr>
        <w:rPr>
          <w:color w:val="auto"/>
          <w:sz w:val="28"/>
          <w:szCs w:val="28"/>
        </w:rPr>
      </w:pPr>
    </w:p>
    <w:p w14:paraId="1FC43457">
      <w:pPr>
        <w:rPr>
          <w:color w:val="auto"/>
          <w:sz w:val="28"/>
          <w:szCs w:val="28"/>
        </w:rPr>
      </w:pPr>
    </w:p>
    <w:p w14:paraId="4FFFCF39">
      <w:pPr>
        <w:rPr>
          <w:color w:val="auto"/>
          <w:sz w:val="28"/>
          <w:szCs w:val="28"/>
        </w:rPr>
      </w:pPr>
    </w:p>
    <w:p w14:paraId="3524E39E">
      <w:pPr>
        <w:rPr>
          <w:color w:val="auto"/>
          <w:sz w:val="28"/>
          <w:szCs w:val="28"/>
        </w:rPr>
      </w:pPr>
    </w:p>
    <w:bookmarkEnd w:id="80"/>
    <w:bookmarkEnd w:id="81"/>
    <w:bookmarkEnd w:id="82"/>
    <w:p w14:paraId="6899BEED">
      <w:pPr>
        <w:rPr>
          <w:color w:val="auto"/>
        </w:rPr>
      </w:pPr>
      <w:bookmarkStart w:id="83" w:name="_Toc245714178"/>
      <w:bookmarkStart w:id="84" w:name="_Toc328559341"/>
      <w:bookmarkStart w:id="85" w:name="_Toc273602360"/>
    </w:p>
    <w:p w14:paraId="677DCAF8">
      <w:pPr>
        <w:rPr>
          <w:color w:val="auto"/>
        </w:rPr>
      </w:pPr>
    </w:p>
    <w:p w14:paraId="73F44830">
      <w:pPr>
        <w:rPr>
          <w:color w:val="auto"/>
        </w:rPr>
      </w:pPr>
    </w:p>
    <w:p w14:paraId="58EED975">
      <w:pPr>
        <w:rPr>
          <w:color w:val="auto"/>
        </w:rPr>
      </w:pPr>
    </w:p>
    <w:p w14:paraId="304F5FEB">
      <w:pPr>
        <w:rPr>
          <w:color w:val="auto"/>
        </w:rPr>
      </w:pPr>
    </w:p>
    <w:p w14:paraId="6392432C">
      <w:pPr>
        <w:rPr>
          <w:color w:val="auto"/>
        </w:rPr>
      </w:pPr>
    </w:p>
    <w:p w14:paraId="78AADD0F">
      <w:pPr>
        <w:rPr>
          <w:color w:val="auto"/>
        </w:rPr>
      </w:pPr>
    </w:p>
    <w:p w14:paraId="0E9186D9">
      <w:pPr>
        <w:rPr>
          <w:color w:val="auto"/>
        </w:rPr>
      </w:pPr>
    </w:p>
    <w:p w14:paraId="62D92E8E">
      <w:pPr>
        <w:rPr>
          <w:color w:val="auto"/>
        </w:rPr>
      </w:pPr>
    </w:p>
    <w:p w14:paraId="00491855">
      <w:pPr>
        <w:rPr>
          <w:color w:val="auto"/>
        </w:rPr>
      </w:pPr>
    </w:p>
    <w:p w14:paraId="225B3D38">
      <w:pPr>
        <w:rPr>
          <w:color w:val="auto"/>
        </w:rPr>
      </w:pPr>
    </w:p>
    <w:p w14:paraId="24653373">
      <w:pPr>
        <w:rPr>
          <w:color w:val="auto"/>
        </w:rPr>
      </w:pPr>
    </w:p>
    <w:p w14:paraId="7B508199">
      <w:pPr>
        <w:rPr>
          <w:color w:val="auto"/>
        </w:rPr>
      </w:pPr>
    </w:p>
    <w:p w14:paraId="4A1DA83D">
      <w:pPr>
        <w:rPr>
          <w:color w:val="auto"/>
        </w:rPr>
      </w:pPr>
    </w:p>
    <w:p w14:paraId="670A7DC5">
      <w:pPr>
        <w:rPr>
          <w:color w:val="auto"/>
        </w:rPr>
      </w:pPr>
    </w:p>
    <w:p w14:paraId="48DFD935">
      <w:pPr>
        <w:rPr>
          <w:color w:val="auto"/>
        </w:rPr>
      </w:pPr>
    </w:p>
    <w:p w14:paraId="30BD9988">
      <w:pPr>
        <w:pStyle w:val="4"/>
        <w:pageBreakBefore/>
        <w:rPr>
          <w:rFonts w:hint="eastAsia" w:eastAsia="宋体"/>
          <w:color w:val="auto"/>
          <w:lang w:eastAsia="zh-CN"/>
        </w:rPr>
      </w:pPr>
      <w:r>
        <w:rPr>
          <w:rFonts w:hint="eastAsia"/>
          <w:color w:val="auto"/>
        </w:rPr>
        <w:t>六.</w:t>
      </w:r>
      <w:bookmarkEnd w:id="83"/>
      <w:bookmarkEnd w:id="84"/>
      <w:bookmarkEnd w:id="85"/>
      <w:r>
        <w:rPr>
          <w:rFonts w:hint="eastAsia"/>
          <w:color w:val="auto"/>
          <w:lang w:val="en-US" w:eastAsia="zh-CN"/>
        </w:rPr>
        <w:t>其他资料</w:t>
      </w:r>
    </w:p>
    <w:p w14:paraId="327A5259">
      <w:pPr>
        <w:tabs>
          <w:tab w:val="left" w:pos="5760"/>
        </w:tabs>
        <w:autoSpaceDE w:val="0"/>
        <w:autoSpaceDN w:val="0"/>
        <w:adjustRightInd w:val="0"/>
        <w:spacing w:line="300" w:lineRule="exact"/>
        <w:ind w:right="11" w:firstLine="560" w:firstLineChars="200"/>
        <w:rPr>
          <w:rFonts w:ascii="Times New Roman" w:hAnsi="Times New Roman"/>
          <w:color w:val="auto"/>
        </w:rPr>
      </w:pPr>
      <w:r>
        <w:rPr>
          <w:rFonts w:hint="eastAsia" w:ascii="宋体" w:hAnsi="宋体"/>
          <w:color w:val="auto"/>
          <w:sz w:val="28"/>
          <w:szCs w:val="28"/>
        </w:rPr>
        <w:t xml:space="preserve"> </w:t>
      </w:r>
      <w:r>
        <w:rPr>
          <w:rFonts w:hint="eastAsia" w:ascii="Times New Roman" w:hAnsi="Times New Roman"/>
          <w:color w:val="auto"/>
          <w:szCs w:val="21"/>
        </w:rPr>
        <w:t>投标人对照商务及技术文件初步评审及详细评审条件，自行提供其他相关资料（如有）</w:t>
      </w:r>
    </w:p>
    <w:p w14:paraId="39C8BD74">
      <w:pPr>
        <w:spacing w:line="440" w:lineRule="exact"/>
        <w:ind w:firstLine="2158" w:firstLineChars="1028"/>
        <w:outlineLvl w:val="1"/>
        <w:rPr>
          <w:rFonts w:ascii="宋体" w:hAnsi="宋体"/>
          <w:color w:val="auto"/>
        </w:rPr>
      </w:pPr>
      <w:r>
        <w:rPr>
          <w:rFonts w:hint="eastAsia" w:ascii="宋体" w:hAnsi="宋体"/>
          <w:color w:val="auto"/>
        </w:rPr>
        <w:t>（一）投标人近年类似业绩</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6260"/>
      </w:tblGrid>
      <w:tr w14:paraId="7F13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E0966AF">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业绩编号</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1A6D194">
            <w:pPr>
              <w:autoSpaceDE w:val="0"/>
              <w:autoSpaceDN w:val="0"/>
              <w:adjustRightInd w:val="0"/>
              <w:spacing w:line="300" w:lineRule="exact"/>
              <w:jc w:val="center"/>
              <w:rPr>
                <w:rFonts w:ascii="宋体" w:hAnsi="宋体" w:cs="宋体"/>
                <w:color w:val="auto"/>
                <w:kern w:val="0"/>
                <w:szCs w:val="21"/>
              </w:rPr>
            </w:pPr>
          </w:p>
        </w:tc>
      </w:tr>
      <w:tr w14:paraId="6D9C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777D9772">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07D4E60">
            <w:pPr>
              <w:autoSpaceDE w:val="0"/>
              <w:autoSpaceDN w:val="0"/>
              <w:adjustRightInd w:val="0"/>
              <w:spacing w:line="300" w:lineRule="exact"/>
              <w:jc w:val="center"/>
              <w:rPr>
                <w:rFonts w:ascii="宋体" w:hAnsi="宋体" w:cs="宋体"/>
                <w:color w:val="auto"/>
                <w:kern w:val="0"/>
                <w:szCs w:val="21"/>
              </w:rPr>
            </w:pPr>
          </w:p>
        </w:tc>
      </w:tr>
      <w:tr w14:paraId="2AB6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DCC8A0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项目所在地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AE7B5C4">
            <w:pPr>
              <w:autoSpaceDE w:val="0"/>
              <w:autoSpaceDN w:val="0"/>
              <w:adjustRightInd w:val="0"/>
              <w:spacing w:line="300" w:lineRule="exact"/>
              <w:jc w:val="center"/>
              <w:rPr>
                <w:rFonts w:ascii="宋体" w:hAnsi="宋体" w:cs="宋体"/>
                <w:color w:val="auto"/>
                <w:kern w:val="0"/>
                <w:szCs w:val="21"/>
              </w:rPr>
            </w:pPr>
          </w:p>
        </w:tc>
      </w:tr>
      <w:tr w14:paraId="4750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FAEC9A1">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999F446">
            <w:pPr>
              <w:autoSpaceDE w:val="0"/>
              <w:autoSpaceDN w:val="0"/>
              <w:adjustRightInd w:val="0"/>
              <w:spacing w:line="300" w:lineRule="exact"/>
              <w:jc w:val="center"/>
              <w:rPr>
                <w:rFonts w:ascii="宋体" w:hAnsi="宋体" w:cs="宋体"/>
                <w:color w:val="auto"/>
                <w:kern w:val="0"/>
                <w:szCs w:val="21"/>
              </w:rPr>
            </w:pPr>
          </w:p>
        </w:tc>
      </w:tr>
      <w:tr w14:paraId="138D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2D6939E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委托人地址</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C2E5124">
            <w:pPr>
              <w:autoSpaceDE w:val="0"/>
              <w:autoSpaceDN w:val="0"/>
              <w:adjustRightInd w:val="0"/>
              <w:spacing w:line="300" w:lineRule="exact"/>
              <w:jc w:val="center"/>
              <w:rPr>
                <w:rFonts w:ascii="宋体" w:hAnsi="宋体" w:cs="宋体"/>
                <w:color w:val="auto"/>
                <w:kern w:val="0"/>
                <w:szCs w:val="21"/>
              </w:rPr>
            </w:pPr>
          </w:p>
        </w:tc>
      </w:tr>
      <w:tr w14:paraId="51E9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FB6F3CD">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委托人电话</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01B2D32">
            <w:pPr>
              <w:autoSpaceDE w:val="0"/>
              <w:autoSpaceDN w:val="0"/>
              <w:adjustRightInd w:val="0"/>
              <w:spacing w:line="300" w:lineRule="exact"/>
              <w:jc w:val="center"/>
              <w:rPr>
                <w:rFonts w:ascii="宋体" w:hAnsi="宋体" w:cs="宋体"/>
                <w:color w:val="auto"/>
                <w:kern w:val="0"/>
                <w:szCs w:val="21"/>
              </w:rPr>
            </w:pPr>
          </w:p>
        </w:tc>
      </w:tr>
      <w:tr w14:paraId="7B4E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31E57ED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合同价格</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8FD629E">
            <w:pPr>
              <w:autoSpaceDE w:val="0"/>
              <w:autoSpaceDN w:val="0"/>
              <w:adjustRightInd w:val="0"/>
              <w:spacing w:line="300" w:lineRule="exact"/>
              <w:jc w:val="center"/>
              <w:rPr>
                <w:rFonts w:ascii="宋体" w:hAnsi="宋体" w:cs="宋体"/>
                <w:color w:val="auto"/>
                <w:kern w:val="0"/>
                <w:szCs w:val="21"/>
              </w:rPr>
            </w:pPr>
          </w:p>
        </w:tc>
      </w:tr>
      <w:tr w14:paraId="52C6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8575D3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监理服务期限</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BA39E15">
            <w:pPr>
              <w:autoSpaceDE w:val="0"/>
              <w:autoSpaceDN w:val="0"/>
              <w:adjustRightInd w:val="0"/>
              <w:spacing w:line="300" w:lineRule="exact"/>
              <w:jc w:val="center"/>
              <w:rPr>
                <w:rFonts w:ascii="宋体" w:hAnsi="宋体" w:cs="宋体"/>
                <w:color w:val="auto"/>
                <w:kern w:val="0"/>
                <w:szCs w:val="21"/>
              </w:rPr>
            </w:pPr>
          </w:p>
        </w:tc>
      </w:tr>
      <w:tr w14:paraId="19BE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47344EA">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监理内容</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074F191">
            <w:pPr>
              <w:autoSpaceDE w:val="0"/>
              <w:autoSpaceDN w:val="0"/>
              <w:adjustRightInd w:val="0"/>
              <w:spacing w:line="300" w:lineRule="exact"/>
              <w:jc w:val="center"/>
              <w:rPr>
                <w:rFonts w:ascii="宋体" w:hAnsi="宋体" w:cs="宋体"/>
                <w:color w:val="auto"/>
                <w:kern w:val="0"/>
                <w:szCs w:val="21"/>
              </w:rPr>
            </w:pPr>
          </w:p>
        </w:tc>
      </w:tr>
      <w:tr w14:paraId="2ABB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1F4E65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总监理工程师</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20A3882">
            <w:pPr>
              <w:autoSpaceDE w:val="0"/>
              <w:autoSpaceDN w:val="0"/>
              <w:adjustRightInd w:val="0"/>
              <w:spacing w:line="300" w:lineRule="exact"/>
              <w:jc w:val="center"/>
              <w:rPr>
                <w:rFonts w:ascii="宋体" w:hAnsi="宋体" w:cs="宋体"/>
                <w:color w:val="auto"/>
                <w:kern w:val="0"/>
                <w:szCs w:val="21"/>
              </w:rPr>
            </w:pPr>
          </w:p>
        </w:tc>
      </w:tr>
      <w:tr w14:paraId="7975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6C45A1D">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项目描述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3D409D9">
            <w:pPr>
              <w:autoSpaceDE w:val="0"/>
              <w:autoSpaceDN w:val="0"/>
              <w:adjustRightInd w:val="0"/>
              <w:spacing w:line="300" w:lineRule="exact"/>
              <w:jc w:val="center"/>
              <w:rPr>
                <w:rFonts w:ascii="宋体" w:hAnsi="宋体" w:cs="宋体"/>
                <w:color w:val="auto"/>
                <w:kern w:val="0"/>
                <w:szCs w:val="21"/>
              </w:rPr>
            </w:pPr>
          </w:p>
        </w:tc>
      </w:tr>
      <w:tr w14:paraId="1247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7C7688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备注</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60E8196">
            <w:pPr>
              <w:autoSpaceDE w:val="0"/>
              <w:autoSpaceDN w:val="0"/>
              <w:adjustRightInd w:val="0"/>
              <w:spacing w:line="300" w:lineRule="exact"/>
              <w:jc w:val="center"/>
              <w:rPr>
                <w:rFonts w:ascii="Times New Roman" w:hAnsi="Times New Roman"/>
                <w:color w:val="auto"/>
                <w:szCs w:val="21"/>
              </w:rPr>
            </w:pPr>
            <w:r>
              <w:rPr>
                <w:rFonts w:hint="eastAsia" w:ascii="Times New Roman" w:hAnsi="Times New Roman"/>
                <w:color w:val="auto"/>
              </w:rPr>
              <w:t>□</w:t>
            </w:r>
            <w:r>
              <w:rPr>
                <w:rFonts w:hint="eastAsia"/>
                <w:color w:val="auto"/>
              </w:rPr>
              <w:t>商务文件评分用业绩</w:t>
            </w:r>
            <w:r>
              <w:rPr>
                <w:rFonts w:hint="eastAsia" w:ascii="Times New Roman" w:hAnsi="Times New Roman"/>
                <w:color w:val="auto"/>
                <w:szCs w:val="21"/>
              </w:rPr>
              <w:t xml:space="preserve">  </w:t>
            </w:r>
          </w:p>
        </w:tc>
      </w:tr>
    </w:tbl>
    <w:p w14:paraId="41D7A65E">
      <w:pPr>
        <w:autoSpaceDE w:val="0"/>
        <w:autoSpaceDN w:val="0"/>
        <w:adjustRightInd w:val="0"/>
        <w:spacing w:line="300" w:lineRule="exact"/>
        <w:jc w:val="left"/>
        <w:rPr>
          <w:rFonts w:hint="eastAsia" w:ascii="宋体" w:hAnsi="宋体" w:cs="宋体"/>
          <w:color w:val="auto"/>
          <w:kern w:val="0"/>
          <w:szCs w:val="21"/>
        </w:rPr>
      </w:pPr>
      <w:r>
        <w:rPr>
          <w:rFonts w:hint="eastAsia" w:ascii="宋体" w:hAnsi="宋体" w:cs="宋体"/>
          <w:color w:val="auto"/>
          <w:kern w:val="0"/>
          <w:szCs w:val="21"/>
        </w:rPr>
        <w:t>注：投标人应根据招标文件要求在本表后附相关证明材料。</w:t>
      </w:r>
    </w:p>
    <w:p w14:paraId="7B27DB90">
      <w:pPr>
        <w:rPr>
          <w:rFonts w:hint="eastAsia" w:ascii="宋体" w:hAnsi="宋体" w:cs="宋体"/>
          <w:color w:val="auto"/>
          <w:kern w:val="0"/>
          <w:szCs w:val="21"/>
        </w:rPr>
      </w:pPr>
      <w:r>
        <w:rPr>
          <w:rFonts w:hint="eastAsia" w:ascii="宋体" w:hAnsi="宋体" w:cs="宋体"/>
          <w:color w:val="auto"/>
          <w:kern w:val="0"/>
          <w:szCs w:val="21"/>
        </w:rPr>
        <w:br w:type="page"/>
      </w:r>
    </w:p>
    <w:p w14:paraId="0D39D108">
      <w:pPr>
        <w:autoSpaceDE w:val="0"/>
        <w:autoSpaceDN w:val="0"/>
        <w:adjustRightInd w:val="0"/>
        <w:spacing w:line="300" w:lineRule="exact"/>
        <w:jc w:val="left"/>
        <w:rPr>
          <w:rFonts w:hint="eastAsia" w:ascii="宋体" w:hAnsi="宋体" w:cs="宋体"/>
          <w:color w:val="auto"/>
          <w:kern w:val="0"/>
          <w:szCs w:val="21"/>
        </w:rPr>
      </w:pPr>
    </w:p>
    <w:p w14:paraId="4F23A005">
      <w:pPr>
        <w:spacing w:line="440" w:lineRule="exact"/>
        <w:ind w:firstLine="2158" w:firstLineChars="1028"/>
        <w:outlineLvl w:val="1"/>
        <w:rPr>
          <w:rFonts w:ascii="宋体" w:hAnsi="宋体"/>
          <w:color w:val="auto"/>
        </w:rPr>
      </w:pPr>
      <w:r>
        <w:rPr>
          <w:rFonts w:hint="eastAsia" w:ascii="宋体" w:hAnsi="宋体"/>
          <w:color w:val="auto"/>
        </w:rPr>
        <w:t>（二）总监理工程师近年类似业绩</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6260"/>
      </w:tblGrid>
      <w:tr w14:paraId="710D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B30E967">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业绩编号</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F1049C0">
            <w:pPr>
              <w:autoSpaceDE w:val="0"/>
              <w:autoSpaceDN w:val="0"/>
              <w:adjustRightInd w:val="0"/>
              <w:spacing w:line="300" w:lineRule="exact"/>
              <w:jc w:val="center"/>
              <w:rPr>
                <w:rFonts w:ascii="宋体" w:hAnsi="宋体" w:cs="宋体"/>
                <w:color w:val="auto"/>
                <w:kern w:val="0"/>
                <w:szCs w:val="21"/>
              </w:rPr>
            </w:pPr>
          </w:p>
        </w:tc>
      </w:tr>
      <w:tr w14:paraId="3AE2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D80016A">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E0B726A">
            <w:pPr>
              <w:autoSpaceDE w:val="0"/>
              <w:autoSpaceDN w:val="0"/>
              <w:adjustRightInd w:val="0"/>
              <w:spacing w:line="300" w:lineRule="exact"/>
              <w:jc w:val="center"/>
              <w:rPr>
                <w:rFonts w:ascii="宋体" w:hAnsi="宋体" w:cs="宋体"/>
                <w:color w:val="auto"/>
                <w:kern w:val="0"/>
                <w:szCs w:val="21"/>
              </w:rPr>
            </w:pPr>
          </w:p>
        </w:tc>
      </w:tr>
      <w:tr w14:paraId="649A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A3554E4">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项目所在地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2D46403">
            <w:pPr>
              <w:autoSpaceDE w:val="0"/>
              <w:autoSpaceDN w:val="0"/>
              <w:adjustRightInd w:val="0"/>
              <w:spacing w:line="300" w:lineRule="exact"/>
              <w:jc w:val="center"/>
              <w:rPr>
                <w:rFonts w:ascii="宋体" w:hAnsi="宋体" w:cs="宋体"/>
                <w:color w:val="auto"/>
                <w:kern w:val="0"/>
                <w:szCs w:val="21"/>
              </w:rPr>
            </w:pPr>
          </w:p>
        </w:tc>
      </w:tr>
      <w:tr w14:paraId="1E3D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8D21ED4">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949EF62">
            <w:pPr>
              <w:autoSpaceDE w:val="0"/>
              <w:autoSpaceDN w:val="0"/>
              <w:adjustRightInd w:val="0"/>
              <w:spacing w:line="300" w:lineRule="exact"/>
              <w:jc w:val="center"/>
              <w:rPr>
                <w:rFonts w:ascii="宋体" w:hAnsi="宋体" w:cs="宋体"/>
                <w:color w:val="auto"/>
                <w:kern w:val="0"/>
                <w:szCs w:val="21"/>
              </w:rPr>
            </w:pPr>
          </w:p>
        </w:tc>
      </w:tr>
      <w:tr w14:paraId="41F9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9414E7C">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委托人地址</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A9CC75C">
            <w:pPr>
              <w:autoSpaceDE w:val="0"/>
              <w:autoSpaceDN w:val="0"/>
              <w:adjustRightInd w:val="0"/>
              <w:spacing w:line="300" w:lineRule="exact"/>
              <w:jc w:val="center"/>
              <w:rPr>
                <w:rFonts w:ascii="宋体" w:hAnsi="宋体" w:cs="宋体"/>
                <w:color w:val="auto"/>
                <w:kern w:val="0"/>
                <w:szCs w:val="21"/>
              </w:rPr>
            </w:pPr>
          </w:p>
        </w:tc>
      </w:tr>
      <w:tr w14:paraId="288E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79A002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委托人电话</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6C92234A">
            <w:pPr>
              <w:autoSpaceDE w:val="0"/>
              <w:autoSpaceDN w:val="0"/>
              <w:adjustRightInd w:val="0"/>
              <w:spacing w:line="300" w:lineRule="exact"/>
              <w:jc w:val="center"/>
              <w:rPr>
                <w:rFonts w:ascii="宋体" w:hAnsi="宋体" w:cs="宋体"/>
                <w:color w:val="auto"/>
                <w:kern w:val="0"/>
                <w:szCs w:val="21"/>
              </w:rPr>
            </w:pPr>
          </w:p>
        </w:tc>
      </w:tr>
      <w:tr w14:paraId="78EF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ADA4BD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合同价格</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2307B27">
            <w:pPr>
              <w:autoSpaceDE w:val="0"/>
              <w:autoSpaceDN w:val="0"/>
              <w:adjustRightInd w:val="0"/>
              <w:spacing w:line="300" w:lineRule="exact"/>
              <w:jc w:val="center"/>
              <w:rPr>
                <w:rFonts w:ascii="宋体" w:hAnsi="宋体" w:cs="宋体"/>
                <w:color w:val="auto"/>
                <w:kern w:val="0"/>
                <w:szCs w:val="21"/>
              </w:rPr>
            </w:pPr>
          </w:p>
        </w:tc>
      </w:tr>
      <w:tr w14:paraId="046A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DE678F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监理服务期限</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A687099">
            <w:pPr>
              <w:autoSpaceDE w:val="0"/>
              <w:autoSpaceDN w:val="0"/>
              <w:adjustRightInd w:val="0"/>
              <w:spacing w:line="300" w:lineRule="exact"/>
              <w:jc w:val="center"/>
              <w:rPr>
                <w:rFonts w:ascii="宋体" w:hAnsi="宋体" w:cs="宋体"/>
                <w:color w:val="auto"/>
                <w:kern w:val="0"/>
                <w:szCs w:val="21"/>
              </w:rPr>
            </w:pPr>
          </w:p>
        </w:tc>
      </w:tr>
      <w:tr w14:paraId="63DE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89230D5">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监理内容</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34E73683">
            <w:pPr>
              <w:autoSpaceDE w:val="0"/>
              <w:autoSpaceDN w:val="0"/>
              <w:adjustRightInd w:val="0"/>
              <w:spacing w:line="300" w:lineRule="exact"/>
              <w:jc w:val="center"/>
              <w:rPr>
                <w:rFonts w:ascii="宋体" w:hAnsi="宋体" w:cs="宋体"/>
                <w:color w:val="auto"/>
                <w:kern w:val="0"/>
                <w:szCs w:val="21"/>
              </w:rPr>
            </w:pPr>
          </w:p>
        </w:tc>
      </w:tr>
      <w:tr w14:paraId="7AE6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ECD5AF3">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总监理工程师</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25DB019">
            <w:pPr>
              <w:autoSpaceDE w:val="0"/>
              <w:autoSpaceDN w:val="0"/>
              <w:adjustRightInd w:val="0"/>
              <w:spacing w:line="300" w:lineRule="exact"/>
              <w:jc w:val="center"/>
              <w:rPr>
                <w:rFonts w:ascii="宋体" w:hAnsi="宋体" w:cs="宋体"/>
                <w:color w:val="auto"/>
                <w:kern w:val="0"/>
                <w:szCs w:val="21"/>
              </w:rPr>
            </w:pPr>
          </w:p>
        </w:tc>
      </w:tr>
      <w:tr w14:paraId="25FF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E39E5F3">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项目描述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5EAD495">
            <w:pPr>
              <w:autoSpaceDE w:val="0"/>
              <w:autoSpaceDN w:val="0"/>
              <w:adjustRightInd w:val="0"/>
              <w:spacing w:line="300" w:lineRule="exact"/>
              <w:jc w:val="center"/>
              <w:rPr>
                <w:rFonts w:ascii="宋体" w:hAnsi="宋体" w:cs="宋体"/>
                <w:color w:val="auto"/>
                <w:kern w:val="0"/>
                <w:szCs w:val="21"/>
              </w:rPr>
            </w:pPr>
          </w:p>
        </w:tc>
      </w:tr>
      <w:tr w14:paraId="4BED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6CCE40FF">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备注</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C2433F6">
            <w:pPr>
              <w:autoSpaceDE w:val="0"/>
              <w:autoSpaceDN w:val="0"/>
              <w:adjustRightInd w:val="0"/>
              <w:spacing w:line="300" w:lineRule="exact"/>
              <w:jc w:val="center"/>
              <w:rPr>
                <w:rFonts w:ascii="Times New Roman" w:hAnsi="Times New Roman"/>
                <w:color w:val="auto"/>
                <w:szCs w:val="21"/>
              </w:rPr>
            </w:pPr>
            <w:r>
              <w:rPr>
                <w:rFonts w:hint="eastAsia" w:ascii="Times New Roman" w:hAnsi="Times New Roman"/>
                <w:color w:val="auto"/>
              </w:rPr>
              <w:t>□</w:t>
            </w:r>
            <w:r>
              <w:rPr>
                <w:rFonts w:hint="eastAsia"/>
                <w:color w:val="auto"/>
              </w:rPr>
              <w:t>商务文件评分用业绩</w:t>
            </w:r>
          </w:p>
        </w:tc>
      </w:tr>
    </w:tbl>
    <w:p w14:paraId="37C55307">
      <w:pPr>
        <w:autoSpaceDE w:val="0"/>
        <w:autoSpaceDN w:val="0"/>
        <w:adjustRightInd w:val="0"/>
        <w:spacing w:line="300" w:lineRule="exact"/>
        <w:jc w:val="left"/>
        <w:rPr>
          <w:rFonts w:hint="eastAsia" w:ascii="宋体" w:hAnsi="宋体" w:cs="宋体"/>
          <w:color w:val="auto"/>
          <w:kern w:val="0"/>
          <w:szCs w:val="21"/>
        </w:rPr>
      </w:pPr>
      <w:r>
        <w:rPr>
          <w:rFonts w:hint="eastAsia" w:ascii="宋体" w:hAnsi="宋体" w:cs="宋体"/>
          <w:color w:val="auto"/>
          <w:kern w:val="0"/>
          <w:szCs w:val="21"/>
        </w:rPr>
        <w:t>注：投标人应根据招标文件要求在本表后附相关证明材料。</w:t>
      </w:r>
    </w:p>
    <w:p w14:paraId="5D17E421">
      <w:pPr>
        <w:rPr>
          <w:rFonts w:hint="eastAsia" w:ascii="宋体" w:hAnsi="宋体" w:cs="宋体"/>
          <w:color w:val="auto"/>
          <w:kern w:val="0"/>
          <w:szCs w:val="21"/>
        </w:rPr>
      </w:pPr>
      <w:r>
        <w:rPr>
          <w:rFonts w:hint="eastAsia" w:ascii="宋体" w:hAnsi="宋体" w:cs="宋体"/>
          <w:color w:val="auto"/>
          <w:kern w:val="0"/>
          <w:szCs w:val="21"/>
        </w:rPr>
        <w:br w:type="page"/>
      </w:r>
    </w:p>
    <w:p w14:paraId="4674A451">
      <w:pPr>
        <w:autoSpaceDE w:val="0"/>
        <w:autoSpaceDN w:val="0"/>
        <w:adjustRightInd w:val="0"/>
        <w:spacing w:line="300" w:lineRule="exact"/>
        <w:jc w:val="left"/>
        <w:rPr>
          <w:rFonts w:hint="eastAsia" w:ascii="宋体" w:hAnsi="宋体" w:cs="宋体"/>
          <w:color w:val="auto"/>
          <w:kern w:val="0"/>
          <w:szCs w:val="21"/>
        </w:rPr>
      </w:pPr>
    </w:p>
    <w:p w14:paraId="24D2847A">
      <w:pPr>
        <w:spacing w:line="360" w:lineRule="auto"/>
        <w:ind w:firstLine="437"/>
        <w:jc w:val="both"/>
        <w:rPr>
          <w:rFonts w:hint="eastAsia"/>
          <w:color w:val="auto"/>
        </w:rPr>
      </w:pPr>
    </w:p>
    <w:p w14:paraId="3F56FC53">
      <w:pPr>
        <w:spacing w:line="360" w:lineRule="auto"/>
        <w:ind w:firstLine="437"/>
        <w:jc w:val="center"/>
        <w:outlineLvl w:val="1"/>
        <w:rPr>
          <w:rFonts w:hint="eastAsia"/>
          <w:color w:val="auto"/>
        </w:rPr>
      </w:pPr>
      <w:r>
        <w:rPr>
          <w:rFonts w:hint="eastAsia"/>
          <w:color w:val="auto"/>
        </w:rPr>
        <w:t>（三）其他</w:t>
      </w:r>
    </w:p>
    <w:p w14:paraId="4C27E37B">
      <w:pPr>
        <w:spacing w:line="440" w:lineRule="exact"/>
        <w:ind w:firstLine="2158" w:firstLineChars="1028"/>
        <w:rPr>
          <w:rFonts w:ascii="Times New Roman" w:hAnsi="Times New Roman"/>
          <w:color w:val="auto"/>
        </w:rPr>
      </w:pPr>
    </w:p>
    <w:p w14:paraId="37D848A6">
      <w:pPr>
        <w:spacing w:line="440" w:lineRule="exact"/>
        <w:rPr>
          <w:rFonts w:ascii="Times New Roman" w:hAnsi="Times New Roman"/>
          <w:color w:val="auto"/>
          <w:szCs w:val="21"/>
        </w:rPr>
      </w:pPr>
      <w:r>
        <w:rPr>
          <w:rFonts w:hint="eastAsia" w:ascii="Times New Roman" w:hAnsi="Times New Roman"/>
          <w:color w:val="auto"/>
          <w:szCs w:val="21"/>
        </w:rPr>
        <w:t>注：对照商务及技术文件初步评审及详细评审条件，由投标人自行提供相关证明。如证明或声明与实际不符，将被取消投标或中标资格，其投标保证金按规定予以处理。</w:t>
      </w:r>
    </w:p>
    <w:p w14:paraId="54CCEC2D">
      <w:pPr>
        <w:spacing w:line="360" w:lineRule="auto"/>
        <w:ind w:firstLine="241" w:firstLineChars="100"/>
        <w:rPr>
          <w:rFonts w:ascii="仿宋_GB2312" w:eastAsia="仿宋_GB2312"/>
          <w:b/>
          <w:color w:val="auto"/>
          <w:sz w:val="24"/>
          <w:szCs w:val="24"/>
        </w:rPr>
      </w:pPr>
    </w:p>
    <w:p w14:paraId="55333F72">
      <w:pPr>
        <w:rPr>
          <w:color w:val="auto"/>
        </w:rPr>
      </w:pPr>
    </w:p>
    <w:p w14:paraId="6A841384">
      <w:pPr>
        <w:tabs>
          <w:tab w:val="left" w:pos="4620"/>
        </w:tabs>
        <w:spacing w:line="360" w:lineRule="auto"/>
        <w:ind w:firstLine="480" w:firstLineChars="200"/>
        <w:rPr>
          <w:rFonts w:ascii="宋体" w:hAnsi="宋体"/>
          <w:color w:val="auto"/>
          <w:sz w:val="24"/>
        </w:rPr>
      </w:pPr>
    </w:p>
    <w:p w14:paraId="6A62C8B6">
      <w:pPr>
        <w:pStyle w:val="4"/>
        <w:rPr>
          <w:color w:val="auto"/>
          <w:szCs w:val="22"/>
        </w:rPr>
      </w:pPr>
      <w:bookmarkStart w:id="86" w:name="_Toc515390052"/>
    </w:p>
    <w:p w14:paraId="0756EF45">
      <w:pPr>
        <w:pStyle w:val="4"/>
        <w:spacing w:before="0" w:after="0" w:line="240" w:lineRule="auto"/>
        <w:rPr>
          <w:color w:val="auto"/>
          <w:szCs w:val="22"/>
        </w:rPr>
      </w:pPr>
    </w:p>
    <w:bookmarkEnd w:id="86"/>
    <w:p w14:paraId="1444C24F">
      <w:pPr>
        <w:pStyle w:val="3"/>
        <w:pageBreakBefore/>
        <w:ind w:firstLine="629"/>
        <w:rPr>
          <w:color w:val="auto"/>
        </w:rPr>
      </w:pPr>
      <w:bookmarkStart w:id="87" w:name="_Toc245714181"/>
      <w:bookmarkStart w:id="88" w:name="_Toc273602362"/>
      <w:bookmarkStart w:id="89" w:name="_Toc328559343"/>
      <w:r>
        <w:rPr>
          <w:rFonts w:hint="eastAsia" w:ascii="黑体"/>
          <w:color w:val="auto"/>
        </w:rPr>
        <w:t>●</w:t>
      </w:r>
      <w:r>
        <w:rPr>
          <w:rFonts w:hint="eastAsia"/>
          <w:color w:val="auto"/>
        </w:rPr>
        <w:t>商务标</w:t>
      </w:r>
      <w:bookmarkEnd w:id="87"/>
      <w:bookmarkEnd w:id="88"/>
      <w:bookmarkEnd w:id="89"/>
    </w:p>
    <w:p w14:paraId="09E8035F">
      <w:pPr>
        <w:spacing w:line="900" w:lineRule="exact"/>
        <w:jc w:val="left"/>
        <w:rPr>
          <w:rFonts w:ascii="宋体" w:hAnsi="宋体"/>
          <w:b/>
          <w:bCs/>
          <w:color w:val="auto"/>
          <w:sz w:val="44"/>
          <w:szCs w:val="44"/>
        </w:rPr>
      </w:pPr>
      <w:r>
        <w:rPr>
          <w:rFonts w:hint="eastAsia" w:ascii="宋体" w:hAnsi="宋体"/>
          <w:b/>
          <w:bCs/>
          <w:color w:val="auto"/>
          <w:sz w:val="44"/>
          <w:szCs w:val="44"/>
          <w:u w:val="single"/>
        </w:rPr>
        <w:t xml:space="preserve">                          </w:t>
      </w:r>
      <w:r>
        <w:rPr>
          <w:rFonts w:hint="eastAsia" w:ascii="宋体" w:hAnsi="宋体"/>
          <w:b/>
          <w:bCs/>
          <w:color w:val="auto"/>
          <w:sz w:val="44"/>
          <w:szCs w:val="44"/>
        </w:rPr>
        <w:t>（项目名称）</w:t>
      </w:r>
    </w:p>
    <w:p w14:paraId="06356220">
      <w:pPr>
        <w:spacing w:line="900" w:lineRule="exact"/>
        <w:jc w:val="center"/>
        <w:rPr>
          <w:rFonts w:ascii="宋体" w:hAnsi="宋体"/>
          <w:b/>
          <w:color w:val="auto"/>
          <w:sz w:val="72"/>
        </w:rPr>
      </w:pPr>
      <w:r>
        <w:rPr>
          <w:rFonts w:hint="eastAsia" w:ascii="宋体" w:hAnsi="宋体"/>
          <w:b/>
          <w:color w:val="auto"/>
          <w:sz w:val="72"/>
        </w:rPr>
        <w:t>投</w:t>
      </w:r>
    </w:p>
    <w:p w14:paraId="7BF2D400">
      <w:pPr>
        <w:spacing w:line="900" w:lineRule="exact"/>
        <w:jc w:val="center"/>
        <w:rPr>
          <w:rFonts w:ascii="宋体" w:hAnsi="宋体"/>
          <w:b/>
          <w:color w:val="auto"/>
          <w:sz w:val="72"/>
        </w:rPr>
      </w:pPr>
      <w:r>
        <w:rPr>
          <w:rFonts w:hint="eastAsia" w:ascii="宋体" w:hAnsi="宋体"/>
          <w:b/>
          <w:color w:val="auto"/>
          <w:sz w:val="72"/>
        </w:rPr>
        <w:t>标</w:t>
      </w:r>
    </w:p>
    <w:p w14:paraId="0AD19886">
      <w:pPr>
        <w:spacing w:line="900" w:lineRule="exact"/>
        <w:jc w:val="center"/>
        <w:rPr>
          <w:rFonts w:ascii="宋体" w:hAnsi="宋体"/>
          <w:b/>
          <w:color w:val="auto"/>
          <w:sz w:val="72"/>
        </w:rPr>
      </w:pPr>
      <w:r>
        <w:rPr>
          <w:rFonts w:hint="eastAsia" w:ascii="宋体" w:hAnsi="宋体"/>
          <w:b/>
          <w:color w:val="auto"/>
          <w:sz w:val="72"/>
        </w:rPr>
        <w:t>文</w:t>
      </w:r>
    </w:p>
    <w:p w14:paraId="7DF5DA1F">
      <w:pPr>
        <w:jc w:val="center"/>
        <w:rPr>
          <w:rFonts w:ascii="宋体" w:hAnsi="宋体"/>
          <w:b/>
          <w:color w:val="auto"/>
          <w:sz w:val="72"/>
        </w:rPr>
      </w:pPr>
      <w:r>
        <w:rPr>
          <w:rFonts w:hint="eastAsia" w:ascii="宋体" w:hAnsi="宋体"/>
          <w:b/>
          <w:color w:val="auto"/>
          <w:sz w:val="72"/>
        </w:rPr>
        <w:t>件</w:t>
      </w:r>
    </w:p>
    <w:p w14:paraId="7E74F122">
      <w:pPr>
        <w:spacing w:afterLines="50" w:line="500" w:lineRule="exact"/>
        <w:jc w:val="center"/>
        <w:rPr>
          <w:rFonts w:ascii="宋体" w:hAnsi="宋体"/>
          <w:b/>
          <w:color w:val="auto"/>
          <w:sz w:val="36"/>
          <w:szCs w:val="36"/>
        </w:rPr>
      </w:pPr>
      <w:r>
        <w:rPr>
          <w:rFonts w:hint="eastAsia" w:ascii="宋体" w:hAnsi="宋体"/>
          <w:b/>
          <w:color w:val="auto"/>
          <w:sz w:val="36"/>
          <w:szCs w:val="36"/>
        </w:rPr>
        <w:t>【商务标】</w:t>
      </w:r>
    </w:p>
    <w:p w14:paraId="7501AE16">
      <w:pPr>
        <w:spacing w:afterLines="50" w:line="500" w:lineRule="exact"/>
        <w:jc w:val="center"/>
        <w:rPr>
          <w:rFonts w:ascii="宋体" w:hAnsi="宋体"/>
          <w:b/>
          <w:color w:val="auto"/>
          <w:sz w:val="72"/>
        </w:rPr>
      </w:pPr>
    </w:p>
    <w:p w14:paraId="51A70DFF">
      <w:pPr>
        <w:spacing w:afterLines="50" w:line="500" w:lineRule="exact"/>
        <w:rPr>
          <w:rFonts w:ascii="宋体" w:hAnsi="宋体"/>
          <w:b/>
          <w:color w:val="auto"/>
          <w:sz w:val="32"/>
          <w:u w:val="single"/>
        </w:rPr>
      </w:pPr>
      <w:r>
        <w:rPr>
          <w:rFonts w:hint="eastAsia" w:ascii="宋体" w:hAnsi="宋体"/>
          <w:b/>
          <w:color w:val="auto"/>
          <w:sz w:val="30"/>
        </w:rPr>
        <w:t xml:space="preserve">                 </w:t>
      </w:r>
      <w:r>
        <w:rPr>
          <w:rFonts w:hint="eastAsia" w:ascii="宋体" w:hAnsi="宋体"/>
          <w:b/>
          <w:color w:val="auto"/>
          <w:sz w:val="32"/>
        </w:rPr>
        <w:t>投标人：</w:t>
      </w:r>
      <w:r>
        <w:rPr>
          <w:rFonts w:hint="eastAsia" w:ascii="宋体" w:hAnsi="宋体"/>
          <w:b/>
          <w:color w:val="auto"/>
          <w:sz w:val="32"/>
          <w:u w:val="single"/>
        </w:rPr>
        <w:t xml:space="preserve">               </w:t>
      </w:r>
    </w:p>
    <w:p w14:paraId="687660C9">
      <w:pPr>
        <w:spacing w:afterLines="50" w:line="500" w:lineRule="exact"/>
        <w:jc w:val="center"/>
        <w:rPr>
          <w:rFonts w:ascii="宋体" w:hAnsi="宋体"/>
          <w:b/>
          <w:color w:val="auto"/>
          <w:sz w:val="32"/>
        </w:rPr>
      </w:pPr>
      <w:r>
        <w:rPr>
          <w:rFonts w:hint="eastAsia" w:ascii="宋体" w:hAnsi="宋体"/>
          <w:b/>
          <w:color w:val="auto"/>
          <w:sz w:val="32"/>
          <w:u w:val="single"/>
        </w:rPr>
        <w:t xml:space="preserve">    </w:t>
      </w:r>
      <w:r>
        <w:rPr>
          <w:rFonts w:hint="eastAsia" w:ascii="宋体" w:hAnsi="宋体"/>
          <w:b/>
          <w:color w:val="auto"/>
          <w:sz w:val="32"/>
        </w:rPr>
        <w:t>年</w:t>
      </w:r>
      <w:r>
        <w:rPr>
          <w:rFonts w:hint="eastAsia" w:ascii="宋体" w:hAnsi="宋体"/>
          <w:b/>
          <w:color w:val="auto"/>
          <w:sz w:val="32"/>
          <w:u w:val="single"/>
        </w:rPr>
        <w:t xml:space="preserve">    </w:t>
      </w:r>
      <w:r>
        <w:rPr>
          <w:rFonts w:hint="eastAsia" w:ascii="宋体" w:hAnsi="宋体"/>
          <w:b/>
          <w:color w:val="auto"/>
          <w:sz w:val="32"/>
        </w:rPr>
        <w:t>月</w:t>
      </w:r>
      <w:r>
        <w:rPr>
          <w:rFonts w:hint="eastAsia" w:ascii="宋体" w:hAnsi="宋体"/>
          <w:b/>
          <w:color w:val="auto"/>
          <w:sz w:val="32"/>
          <w:u w:val="single"/>
        </w:rPr>
        <w:t xml:space="preserve">    </w:t>
      </w:r>
      <w:r>
        <w:rPr>
          <w:rFonts w:hint="eastAsia" w:ascii="宋体" w:hAnsi="宋体"/>
          <w:b/>
          <w:color w:val="auto"/>
          <w:sz w:val="32"/>
        </w:rPr>
        <w:t>日</w:t>
      </w:r>
    </w:p>
    <w:p w14:paraId="123C1AD2">
      <w:pPr>
        <w:rPr>
          <w:color w:val="auto"/>
          <w:sz w:val="44"/>
          <w:szCs w:val="44"/>
        </w:rPr>
      </w:pPr>
    </w:p>
    <w:p w14:paraId="3992525D">
      <w:pPr>
        <w:rPr>
          <w:color w:val="auto"/>
          <w:sz w:val="44"/>
          <w:szCs w:val="44"/>
        </w:rPr>
      </w:pPr>
    </w:p>
    <w:p w14:paraId="7188540E">
      <w:pPr>
        <w:rPr>
          <w:color w:val="auto"/>
          <w:sz w:val="44"/>
          <w:szCs w:val="44"/>
        </w:rPr>
      </w:pPr>
    </w:p>
    <w:p w14:paraId="1858E588">
      <w:pPr>
        <w:rPr>
          <w:color w:val="auto"/>
          <w:sz w:val="44"/>
          <w:szCs w:val="44"/>
        </w:rPr>
      </w:pPr>
    </w:p>
    <w:p w14:paraId="6C9920CE">
      <w:pPr>
        <w:rPr>
          <w:color w:val="auto"/>
          <w:sz w:val="44"/>
          <w:szCs w:val="44"/>
        </w:rPr>
      </w:pPr>
    </w:p>
    <w:p w14:paraId="5DAC4F10">
      <w:pPr>
        <w:rPr>
          <w:color w:val="auto"/>
          <w:sz w:val="44"/>
          <w:szCs w:val="44"/>
        </w:rPr>
      </w:pPr>
    </w:p>
    <w:bookmarkEnd w:id="58"/>
    <w:p w14:paraId="76F3D417">
      <w:pPr>
        <w:pStyle w:val="4"/>
        <w:jc w:val="both"/>
        <w:rPr>
          <w:rFonts w:hAnsi="宋体"/>
          <w:color w:val="auto"/>
          <w:sz w:val="28"/>
        </w:rPr>
      </w:pPr>
      <w:bookmarkStart w:id="90" w:name="_Toc273602363"/>
      <w:bookmarkStart w:id="91" w:name="_Toc328559344"/>
      <w:bookmarkStart w:id="92" w:name="_Toc270410845"/>
      <w:bookmarkStart w:id="93" w:name="_Toc240898303"/>
    </w:p>
    <w:p w14:paraId="6B54EDF5">
      <w:pPr>
        <w:rPr>
          <w:color w:val="auto"/>
        </w:rPr>
      </w:pPr>
    </w:p>
    <w:p w14:paraId="54E4F8E3">
      <w:pPr>
        <w:pStyle w:val="4"/>
        <w:rPr>
          <w:rFonts w:hAnsi="宋体"/>
          <w:color w:val="auto"/>
          <w:sz w:val="28"/>
        </w:rPr>
      </w:pPr>
      <w:r>
        <w:rPr>
          <w:rFonts w:hint="eastAsia" w:hAnsi="宋体"/>
          <w:color w:val="auto"/>
          <w:sz w:val="28"/>
        </w:rPr>
        <w:t>一．开标一览表</w:t>
      </w:r>
      <w:bookmarkEnd w:id="90"/>
      <w:bookmarkEnd w:id="91"/>
      <w:bookmarkEnd w:id="92"/>
      <w:bookmarkEnd w:id="93"/>
    </w:p>
    <w:bookmarkEnd w:id="59"/>
    <w:p w14:paraId="35AB4B19">
      <w:pPr>
        <w:adjustRightInd w:val="0"/>
        <w:snapToGrid w:val="0"/>
        <w:spacing w:line="360" w:lineRule="auto"/>
        <w:rPr>
          <w:rFonts w:ascii="宋体" w:hAnsi="宋体"/>
          <w:color w:val="auto"/>
          <w:u w:val="single"/>
        </w:rPr>
      </w:pPr>
      <w:r>
        <w:rPr>
          <w:rFonts w:hint="eastAsia"/>
          <w:color w:val="auto"/>
          <w:szCs w:val="21"/>
          <w:u w:val="single"/>
          <w:lang w:val="en-US" w:eastAsia="zh-CN"/>
        </w:rPr>
        <w:t>合肥滨湖投资控股集团有限公司</w:t>
      </w:r>
      <w:r>
        <w:rPr>
          <w:rFonts w:hint="eastAsia"/>
          <w:snapToGrid w:val="0"/>
          <w:color w:val="auto"/>
          <w:kern w:val="0"/>
          <w:szCs w:val="21"/>
        </w:rPr>
        <w:t>：</w:t>
      </w:r>
    </w:p>
    <w:p w14:paraId="49405450">
      <w:pPr>
        <w:tabs>
          <w:tab w:val="left" w:pos="7560"/>
        </w:tabs>
        <w:adjustRightInd w:val="0"/>
        <w:snapToGrid w:val="0"/>
        <w:spacing w:before="48" w:beforeLines="20" w:after="48" w:afterLines="20" w:line="400" w:lineRule="exact"/>
        <w:ind w:firstLine="420" w:firstLineChars="200"/>
        <w:jc w:val="left"/>
        <w:rPr>
          <w:rFonts w:ascii="Times New Roman" w:hAnsi="Times New Roman"/>
          <w:color w:val="auto"/>
          <w:szCs w:val="21"/>
        </w:rPr>
      </w:pPr>
      <w:r>
        <w:rPr>
          <w:rFonts w:ascii="Times New Roman" w:hAnsi="Times New Roman"/>
          <w:color w:val="auto"/>
          <w:szCs w:val="21"/>
        </w:rPr>
        <w:t>1</w:t>
      </w:r>
      <w:r>
        <w:rPr>
          <w:rFonts w:hint="eastAsia" w:ascii="Times New Roman" w:hAnsi="Times New Roman"/>
          <w:color w:val="auto"/>
          <w:szCs w:val="21"/>
        </w:rPr>
        <w:t>．</w:t>
      </w:r>
      <w:r>
        <w:rPr>
          <w:rFonts w:hint="eastAsia" w:ascii="宋体" w:hAnsi="宋体"/>
          <w:color w:val="auto"/>
        </w:rPr>
        <w:t>我方已仔细研究</w:t>
      </w:r>
      <w:r>
        <w:rPr>
          <w:rFonts w:hint="eastAsia" w:ascii="宋体" w:hAnsi="宋体"/>
          <w:color w:val="auto"/>
          <w:u w:val="single"/>
          <w:lang w:eastAsia="zh-CN"/>
        </w:rPr>
        <w:t>合肥市篮球公园改造提升项目监理</w:t>
      </w:r>
      <w:r>
        <w:rPr>
          <w:rFonts w:hint="eastAsia" w:ascii="宋体" w:hAnsi="宋体"/>
          <w:color w:val="auto"/>
          <w:u w:val="none"/>
          <w:lang w:eastAsia="zh-CN"/>
        </w:rPr>
        <w:t>招标</w:t>
      </w:r>
      <w:r>
        <w:rPr>
          <w:rFonts w:hint="eastAsia" w:ascii="宋体" w:hAnsi="宋体"/>
          <w:color w:val="auto"/>
        </w:rPr>
        <w:t>文件，在考察</w:t>
      </w:r>
      <w:r>
        <w:rPr>
          <w:rFonts w:hint="eastAsia" w:ascii="宋体" w:hAnsi="宋体"/>
          <w:color w:val="auto"/>
          <w:lang w:eastAsia="zh-CN"/>
        </w:rPr>
        <w:t>项目</w:t>
      </w:r>
      <w:r>
        <w:rPr>
          <w:rFonts w:hint="eastAsia" w:ascii="宋体" w:hAnsi="宋体"/>
          <w:color w:val="auto"/>
        </w:rPr>
        <w:t>现场后，</w:t>
      </w:r>
      <w:r>
        <w:rPr>
          <w:rFonts w:hint="eastAsia" w:ascii="Times New Roman" w:hAnsi="Times New Roman"/>
          <w:color w:val="auto"/>
          <w:szCs w:val="21"/>
        </w:rPr>
        <w:t>愿意以</w:t>
      </w:r>
      <w:r>
        <w:rPr>
          <w:rFonts w:hint="eastAsia"/>
          <w:color w:val="auto"/>
          <w:szCs w:val="21"/>
          <w:lang w:eastAsia="zh-CN"/>
        </w:rPr>
        <w:t>招标</w:t>
      </w:r>
      <w:r>
        <w:rPr>
          <w:rFonts w:hint="eastAsia" w:ascii="Times New Roman" w:hAnsi="Times New Roman"/>
          <w:color w:val="auto"/>
          <w:szCs w:val="21"/>
        </w:rPr>
        <w:t>文件规定的投标费率</w:t>
      </w:r>
      <w:r>
        <w:rPr>
          <w:rFonts w:hint="eastAsia"/>
          <w:color w:val="auto"/>
          <w:szCs w:val="21"/>
          <w:u w:val="single"/>
          <w:lang w:val="en-US" w:eastAsia="zh-CN"/>
        </w:rPr>
        <w:t xml:space="preserve"> </w:t>
      </w:r>
      <w:r>
        <w:rPr>
          <w:rFonts w:hint="eastAsia"/>
          <w:b/>
          <w:bCs/>
          <w:color w:val="auto"/>
          <w:szCs w:val="21"/>
          <w:u w:val="single"/>
          <w:lang w:val="en-US" w:eastAsia="zh-CN"/>
        </w:rPr>
        <w:t xml:space="preserve"> 1.0%</w:t>
      </w:r>
      <w:r>
        <w:rPr>
          <w:rFonts w:hint="eastAsia"/>
          <w:color w:val="auto"/>
          <w:szCs w:val="21"/>
          <w:u w:val="single"/>
          <w:lang w:val="en-US" w:eastAsia="zh-CN"/>
        </w:rPr>
        <w:t xml:space="preserve">  </w:t>
      </w:r>
      <w:r>
        <w:rPr>
          <w:rFonts w:hint="eastAsia" w:ascii="Times New Roman" w:hAnsi="Times New Roman"/>
          <w:color w:val="auto"/>
          <w:szCs w:val="21"/>
        </w:rPr>
        <w:t>（定价，含税），并承诺按本招标文件、合同条款的条件、承担上述工程的监理。</w:t>
      </w:r>
    </w:p>
    <w:p w14:paraId="674D1664">
      <w:pPr>
        <w:adjustRightInd w:val="0"/>
        <w:snapToGrid w:val="0"/>
        <w:spacing w:before="48" w:beforeLines="20" w:after="48" w:afterLines="20" w:line="400" w:lineRule="exact"/>
        <w:ind w:firstLine="367" w:firstLineChars="175"/>
        <w:rPr>
          <w:rFonts w:ascii="宋体" w:hAnsi="宋体"/>
          <w:bCs/>
          <w:color w:val="auto"/>
          <w:szCs w:val="32"/>
        </w:rPr>
      </w:pPr>
      <w:r>
        <w:rPr>
          <w:rFonts w:ascii="宋体" w:hAnsi="宋体"/>
          <w:bCs/>
          <w:color w:val="auto"/>
          <w:szCs w:val="32"/>
        </w:rPr>
        <w:t>2.</w:t>
      </w:r>
      <w:r>
        <w:rPr>
          <w:rFonts w:hint="eastAsia" w:ascii="宋体" w:hAnsi="宋体"/>
          <w:bCs/>
          <w:color w:val="auto"/>
          <w:szCs w:val="32"/>
        </w:rPr>
        <w:t>我方已按</w:t>
      </w:r>
      <w:r>
        <w:rPr>
          <w:rFonts w:hint="eastAsia" w:ascii="宋体" w:hAnsi="宋体"/>
          <w:bCs/>
          <w:color w:val="auto"/>
          <w:szCs w:val="32"/>
          <w:lang w:eastAsia="zh-CN"/>
        </w:rPr>
        <w:t>招标</w:t>
      </w:r>
      <w:r>
        <w:rPr>
          <w:rFonts w:hint="eastAsia" w:ascii="宋体" w:hAnsi="宋体"/>
          <w:bCs/>
          <w:color w:val="auto"/>
          <w:szCs w:val="32"/>
        </w:rPr>
        <w:t>文件要求详细审核并确认全部</w:t>
      </w:r>
      <w:r>
        <w:rPr>
          <w:rFonts w:hint="eastAsia" w:ascii="宋体" w:hAnsi="宋体"/>
          <w:bCs/>
          <w:color w:val="auto"/>
          <w:szCs w:val="32"/>
          <w:lang w:eastAsia="zh-CN"/>
        </w:rPr>
        <w:t>招标</w:t>
      </w:r>
      <w:r>
        <w:rPr>
          <w:rFonts w:hint="eastAsia" w:ascii="宋体" w:hAnsi="宋体"/>
          <w:bCs/>
          <w:color w:val="auto"/>
          <w:szCs w:val="32"/>
        </w:rPr>
        <w:t>文件及有关附件，充分理解投标价格不得低于企业个别成本有关规定。我方经成本核算，所填报的投标报价不低于企业个别成本。</w:t>
      </w:r>
    </w:p>
    <w:p w14:paraId="42542ECB">
      <w:pPr>
        <w:adjustRightInd w:val="0"/>
        <w:snapToGrid w:val="0"/>
        <w:spacing w:before="48" w:beforeLines="20" w:after="48" w:afterLines="20" w:line="400" w:lineRule="exact"/>
        <w:ind w:firstLine="367" w:firstLineChars="175"/>
        <w:rPr>
          <w:rFonts w:ascii="宋体" w:hAnsi="宋体"/>
          <w:bCs/>
          <w:color w:val="auto"/>
          <w:szCs w:val="32"/>
        </w:rPr>
      </w:pPr>
      <w:r>
        <w:rPr>
          <w:rFonts w:ascii="宋体" w:hAnsi="宋体"/>
          <w:bCs/>
          <w:color w:val="auto"/>
          <w:szCs w:val="32"/>
        </w:rPr>
        <w:t xml:space="preserve">3. </w:t>
      </w:r>
      <w:r>
        <w:rPr>
          <w:rFonts w:eastAsia="黑体"/>
          <w:snapToGrid w:val="0"/>
          <w:color w:val="auto"/>
          <w:kern w:val="0"/>
          <w:szCs w:val="21"/>
          <w:u w:val="single"/>
        </w:rPr>
        <w:t xml:space="preserve">      </w:t>
      </w:r>
      <w:r>
        <w:rPr>
          <w:rFonts w:hint="eastAsia" w:eastAsia="黑体"/>
          <w:snapToGrid w:val="0"/>
          <w:color w:val="auto"/>
          <w:kern w:val="0"/>
          <w:szCs w:val="21"/>
          <w:u w:val="single"/>
        </w:rPr>
        <w:t>/</w:t>
      </w:r>
      <w:r>
        <w:rPr>
          <w:rFonts w:eastAsia="黑体"/>
          <w:snapToGrid w:val="0"/>
          <w:color w:val="auto"/>
          <w:kern w:val="0"/>
          <w:szCs w:val="21"/>
          <w:u w:val="single"/>
        </w:rPr>
        <w:t xml:space="preserve">       </w:t>
      </w:r>
      <w:r>
        <w:rPr>
          <w:rFonts w:hint="eastAsia"/>
          <w:snapToGrid w:val="0"/>
          <w:color w:val="auto"/>
          <w:kern w:val="0"/>
          <w:szCs w:val="21"/>
        </w:rPr>
        <w:t>。</w:t>
      </w:r>
    </w:p>
    <w:p w14:paraId="256CC936">
      <w:pPr>
        <w:adjustRightInd w:val="0"/>
        <w:snapToGrid w:val="0"/>
        <w:spacing w:before="48" w:beforeLines="20" w:after="48" w:afterLines="20" w:line="400" w:lineRule="exact"/>
        <w:ind w:firstLine="420" w:firstLineChars="200"/>
        <w:rPr>
          <w:rFonts w:ascii="宋体" w:hAnsi="宋体"/>
          <w:bCs/>
          <w:color w:val="auto"/>
          <w:szCs w:val="21"/>
        </w:rPr>
      </w:pPr>
    </w:p>
    <w:p w14:paraId="2F023250">
      <w:pPr>
        <w:adjustRightInd w:val="0"/>
        <w:snapToGrid w:val="0"/>
        <w:spacing w:before="48" w:beforeLines="20" w:after="48" w:afterLines="20" w:line="400" w:lineRule="exact"/>
        <w:ind w:firstLine="420" w:firstLineChars="200"/>
        <w:rPr>
          <w:rFonts w:ascii="宋体" w:hAnsi="宋体"/>
          <w:bCs/>
          <w:color w:val="auto"/>
          <w:szCs w:val="21"/>
        </w:rPr>
      </w:pPr>
    </w:p>
    <w:p w14:paraId="66D9C77B">
      <w:pPr>
        <w:adjustRightInd w:val="0"/>
        <w:snapToGrid w:val="0"/>
        <w:spacing w:before="48" w:beforeLines="20" w:after="48" w:afterLines="20" w:line="400" w:lineRule="exact"/>
        <w:ind w:firstLine="420" w:firstLineChars="200"/>
        <w:rPr>
          <w:rFonts w:ascii="宋体" w:hAnsi="宋体"/>
          <w:bCs/>
          <w:color w:val="auto"/>
          <w:szCs w:val="21"/>
        </w:rPr>
      </w:pPr>
    </w:p>
    <w:p w14:paraId="447C9701">
      <w:pPr>
        <w:adjustRightInd w:val="0"/>
        <w:snapToGrid w:val="0"/>
        <w:spacing w:before="48" w:beforeLines="20" w:after="48" w:afterLines="20" w:line="400" w:lineRule="exact"/>
        <w:ind w:firstLine="420" w:firstLineChars="200"/>
        <w:rPr>
          <w:rFonts w:ascii="宋体" w:hAnsi="宋体"/>
          <w:bCs/>
          <w:color w:val="auto"/>
          <w:szCs w:val="21"/>
          <w:u w:val="single"/>
        </w:rPr>
      </w:pPr>
      <w:r>
        <w:rPr>
          <w:rFonts w:hint="eastAsia" w:ascii="宋体" w:hAnsi="宋体"/>
          <w:bCs/>
          <w:color w:val="auto"/>
          <w:szCs w:val="21"/>
        </w:rPr>
        <w:t>投 标 人：</w:t>
      </w:r>
      <w:r>
        <w:rPr>
          <w:rFonts w:hint="eastAsia" w:ascii="宋体" w:hAnsi="宋体"/>
          <w:bCs/>
          <w:color w:val="auto"/>
          <w:szCs w:val="21"/>
          <w:u w:val="single"/>
        </w:rPr>
        <w:t xml:space="preserve">                                             </w:t>
      </w:r>
      <w:r>
        <w:rPr>
          <w:rFonts w:hint="eastAsia" w:ascii="宋体" w:hAnsi="宋体"/>
          <w:bCs/>
          <w:color w:val="auto"/>
          <w:szCs w:val="21"/>
        </w:rPr>
        <w:t>（盖单位章）</w:t>
      </w:r>
    </w:p>
    <w:p w14:paraId="409CD37D">
      <w:pPr>
        <w:adjustRightInd w:val="0"/>
        <w:snapToGrid w:val="0"/>
        <w:spacing w:before="48" w:beforeLines="20" w:after="48" w:afterLines="20" w:line="400" w:lineRule="exact"/>
        <w:ind w:firstLine="420" w:firstLineChars="200"/>
        <w:rPr>
          <w:rFonts w:ascii="宋体" w:hAnsi="宋体"/>
          <w:color w:val="auto"/>
          <w:szCs w:val="21"/>
          <w:u w:val="single"/>
        </w:rPr>
      </w:pPr>
      <w:r>
        <w:rPr>
          <w:rFonts w:hint="eastAsia" w:ascii="宋体" w:hAnsi="宋体"/>
          <w:color w:val="auto"/>
          <w:szCs w:val="21"/>
        </w:rPr>
        <w:t>法定代表人或其委托代理人：</w:t>
      </w:r>
      <w:r>
        <w:rPr>
          <w:rFonts w:hint="eastAsia" w:ascii="宋体" w:hAnsi="宋体"/>
          <w:color w:val="auto"/>
          <w:szCs w:val="21"/>
          <w:u w:val="single"/>
        </w:rPr>
        <w:t xml:space="preserve">                           </w:t>
      </w:r>
      <w:r>
        <w:rPr>
          <w:rFonts w:hint="eastAsia" w:ascii="宋体" w:hAnsi="宋体"/>
          <w:color w:val="auto"/>
          <w:szCs w:val="21"/>
        </w:rPr>
        <w:t>（签字或盖章）</w:t>
      </w:r>
    </w:p>
    <w:p w14:paraId="70AAE6A8">
      <w:pPr>
        <w:adjustRightInd w:val="0"/>
        <w:snapToGrid w:val="0"/>
        <w:spacing w:before="48" w:beforeLines="20" w:after="48" w:afterLines="20" w:line="400" w:lineRule="exact"/>
        <w:ind w:left="109" w:leftChars="52" w:firstLine="315" w:firstLineChars="150"/>
        <w:rPr>
          <w:rFonts w:ascii="宋体" w:hAnsi="宋体"/>
          <w:color w:val="auto"/>
          <w:szCs w:val="21"/>
          <w:u w:val="single"/>
        </w:rPr>
      </w:pPr>
      <w:r>
        <w:rPr>
          <w:rFonts w:hint="eastAsia" w:ascii="宋体" w:hAnsi="宋体"/>
          <w:color w:val="auto"/>
          <w:szCs w:val="21"/>
        </w:rPr>
        <w:t>单位地址：</w:t>
      </w:r>
      <w:r>
        <w:rPr>
          <w:rFonts w:hint="eastAsia" w:ascii="宋体" w:hAnsi="宋体"/>
          <w:color w:val="auto"/>
          <w:szCs w:val="21"/>
          <w:u w:val="single"/>
        </w:rPr>
        <w:t xml:space="preserve">                                                       </w:t>
      </w:r>
    </w:p>
    <w:p w14:paraId="1BB98E36">
      <w:pPr>
        <w:adjustRightInd w:val="0"/>
        <w:snapToGrid w:val="0"/>
        <w:spacing w:before="48" w:beforeLines="20" w:after="48" w:afterLines="20" w:line="400" w:lineRule="exact"/>
        <w:ind w:firstLine="420" w:firstLineChars="200"/>
        <w:rPr>
          <w:rFonts w:ascii="宋体" w:hAnsi="宋体"/>
          <w:color w:val="auto"/>
          <w:szCs w:val="21"/>
        </w:rPr>
      </w:pPr>
      <w:r>
        <w:rPr>
          <w:rFonts w:hint="eastAsia" w:ascii="宋体" w:hAnsi="宋体"/>
          <w:color w:val="auto"/>
          <w:szCs w:val="21"/>
        </w:rPr>
        <w:t>邮政编码：</w:t>
      </w:r>
      <w:r>
        <w:rPr>
          <w:rFonts w:hint="eastAsia" w:ascii="宋体" w:hAnsi="宋体"/>
          <w:bCs/>
          <w:color w:val="auto"/>
          <w:szCs w:val="32"/>
          <w:u w:val="single"/>
        </w:rPr>
        <w:t xml:space="preserve">           </w:t>
      </w:r>
      <w:r>
        <w:rPr>
          <w:rFonts w:hint="eastAsia" w:ascii="宋体" w:hAnsi="宋体"/>
          <w:color w:val="auto"/>
          <w:szCs w:val="21"/>
        </w:rPr>
        <w:t>电话：</w:t>
      </w:r>
      <w:r>
        <w:rPr>
          <w:rFonts w:hint="eastAsia" w:ascii="宋体" w:hAnsi="宋体"/>
          <w:bCs/>
          <w:color w:val="auto"/>
          <w:szCs w:val="32"/>
          <w:u w:val="single"/>
        </w:rPr>
        <w:t xml:space="preserve">           </w:t>
      </w:r>
      <w:r>
        <w:rPr>
          <w:rFonts w:hint="eastAsia" w:ascii="宋体" w:hAnsi="宋体"/>
          <w:color w:val="auto"/>
          <w:szCs w:val="21"/>
        </w:rPr>
        <w:t xml:space="preserve"> 传真：</w:t>
      </w:r>
      <w:r>
        <w:rPr>
          <w:rFonts w:hint="eastAsia" w:ascii="宋体" w:hAnsi="宋体"/>
          <w:color w:val="auto"/>
          <w:szCs w:val="21"/>
          <w:u w:val="single"/>
        </w:rPr>
        <w:t xml:space="preserve">                    </w:t>
      </w:r>
      <w:r>
        <w:rPr>
          <w:rFonts w:hint="eastAsia" w:ascii="宋体" w:hAnsi="宋体"/>
          <w:color w:val="auto"/>
          <w:szCs w:val="21"/>
        </w:rPr>
        <w:t xml:space="preserve"> </w:t>
      </w:r>
    </w:p>
    <w:p w14:paraId="62B15670">
      <w:pPr>
        <w:adjustRightInd w:val="0"/>
        <w:snapToGrid w:val="0"/>
        <w:spacing w:before="48" w:beforeLines="20" w:after="48" w:afterLines="20" w:line="400" w:lineRule="exact"/>
        <w:ind w:firstLine="420" w:firstLineChars="200"/>
        <w:rPr>
          <w:rFonts w:ascii="Times New Roman" w:hAnsi="Times New Roman" w:eastAsia="黑体"/>
          <w:b/>
          <w:color w:val="auto"/>
          <w:sz w:val="32"/>
          <w:szCs w:val="20"/>
        </w:rPr>
      </w:pPr>
      <w:r>
        <w:rPr>
          <w:rFonts w:hint="eastAsia" w:ascii="宋体" w:hAnsi="宋体"/>
          <w:color w:val="auto"/>
          <w:szCs w:val="21"/>
        </w:rPr>
        <w:t>日期：</w:t>
      </w:r>
      <w:r>
        <w:rPr>
          <w:rFonts w:hint="eastAsia" w:ascii="宋体" w:hAnsi="宋体"/>
          <w:color w:val="auto"/>
          <w:szCs w:val="21"/>
          <w:u w:val="none"/>
          <w:lang w:val="en-US" w:eastAsia="zh-CN"/>
        </w:rPr>
        <w:t xml:space="preserve">      </w:t>
      </w:r>
      <w:r>
        <w:rPr>
          <w:rFonts w:hint="eastAsia" w:ascii="宋体" w:hAnsi="宋体"/>
          <w:color w:val="auto"/>
          <w:szCs w:val="21"/>
          <w:u w:val="none"/>
        </w:rPr>
        <w:t>年</w:t>
      </w:r>
      <w:r>
        <w:rPr>
          <w:rFonts w:hint="eastAsia" w:ascii="宋体" w:hAnsi="宋体"/>
          <w:color w:val="auto"/>
          <w:szCs w:val="21"/>
          <w:u w:val="none"/>
          <w:lang w:val="en-US" w:eastAsia="zh-CN"/>
        </w:rPr>
        <w:t xml:space="preserve">      </w:t>
      </w:r>
      <w:r>
        <w:rPr>
          <w:rFonts w:hint="eastAsia" w:ascii="宋体" w:hAnsi="宋体"/>
          <w:color w:val="auto"/>
          <w:szCs w:val="21"/>
          <w:u w:val="none"/>
        </w:rPr>
        <w:t>月</w:t>
      </w:r>
      <w:r>
        <w:rPr>
          <w:rFonts w:hint="eastAsia" w:ascii="宋体" w:hAnsi="宋体"/>
          <w:color w:val="auto"/>
          <w:szCs w:val="21"/>
          <w:u w:val="none"/>
          <w:lang w:val="en-US" w:eastAsia="zh-CN"/>
        </w:rPr>
        <w:t xml:space="preserve">      </w:t>
      </w:r>
      <w:r>
        <w:rPr>
          <w:rFonts w:hint="eastAsia" w:ascii="宋体" w:hAnsi="宋体"/>
          <w:color w:val="auto"/>
          <w:szCs w:val="21"/>
          <w:u w:val="none"/>
        </w:rPr>
        <w:t>日</w:t>
      </w:r>
    </w:p>
    <w:p w14:paraId="1DEEE5BD">
      <w:pPr>
        <w:rPr>
          <w:rFonts w:ascii="宋体" w:hAnsi="宋体"/>
          <w:b/>
          <w:color w:val="auto"/>
        </w:rPr>
      </w:pPr>
      <w:r>
        <w:rPr>
          <w:rFonts w:ascii="宋体" w:hAnsi="宋体"/>
          <w:b/>
          <w:color w:val="auto"/>
        </w:rPr>
        <w:br w:type="page"/>
      </w:r>
    </w:p>
    <w:p w14:paraId="0A7FB74F">
      <w:pPr>
        <w:rPr>
          <w:color w:val="auto"/>
        </w:rPr>
      </w:pPr>
    </w:p>
    <w:p w14:paraId="6A98E673">
      <w:pPr>
        <w:pStyle w:val="4"/>
        <w:spacing w:before="0" w:after="0" w:line="360" w:lineRule="auto"/>
        <w:ind w:firstLine="137"/>
        <w:jc w:val="center"/>
        <w:rPr>
          <w:rFonts w:hAnsi="黑体"/>
          <w:color w:val="auto"/>
        </w:rPr>
      </w:pPr>
      <w:r>
        <w:rPr>
          <w:rFonts w:hint="eastAsia"/>
          <w:color w:val="auto"/>
        </w:rPr>
        <w:t>二</w:t>
      </w:r>
      <w:r>
        <w:rPr>
          <w:color w:val="auto"/>
        </w:rPr>
        <w:t>、</w:t>
      </w:r>
      <w:r>
        <w:rPr>
          <w:rFonts w:hint="eastAsia" w:hAnsi="黑体"/>
          <w:color w:val="auto"/>
          <w:szCs w:val="28"/>
        </w:rPr>
        <w:t>其他资料（报价文件）</w:t>
      </w:r>
    </w:p>
    <w:p w14:paraId="6E6DD000">
      <w:pPr>
        <w:tabs>
          <w:tab w:val="left" w:pos="5760"/>
        </w:tabs>
        <w:autoSpaceDE w:val="0"/>
        <w:autoSpaceDN w:val="0"/>
        <w:adjustRightInd w:val="0"/>
        <w:spacing w:line="300" w:lineRule="exact"/>
        <w:ind w:right="11" w:firstLine="420" w:firstLineChars="200"/>
        <w:rPr>
          <w:rFonts w:ascii="楷体" w:hAnsi="楷体" w:eastAsia="楷体"/>
          <w:color w:val="auto"/>
        </w:rPr>
      </w:pPr>
      <w:r>
        <w:rPr>
          <w:rFonts w:ascii="Times New Roman" w:hAnsi="Times New Roman"/>
          <w:color w:val="auto"/>
        </w:rPr>
        <w:t>投标人对照报价文件初步评审及详细评审条件，自行提供其他相关资料（如有）</w:t>
      </w:r>
    </w:p>
    <w:p w14:paraId="131F6FE5">
      <w:pPr>
        <w:spacing w:line="440" w:lineRule="exact"/>
        <w:ind w:firstLine="2158" w:firstLineChars="1028"/>
        <w:rPr>
          <w:rFonts w:ascii="Times New Roman" w:hAnsi="Times New Roman"/>
          <w:color w:val="auto"/>
        </w:rPr>
      </w:pPr>
    </w:p>
    <w:p w14:paraId="0973C5D4">
      <w:pPr>
        <w:pStyle w:val="40"/>
        <w:ind w:left="0" w:firstLine="0" w:firstLineChars="0"/>
        <w:rPr>
          <w:color w:val="auto"/>
        </w:rPr>
      </w:pPr>
    </w:p>
    <w:sectPr>
      <w:headerReference r:id="rId3" w:type="default"/>
      <w:footerReference r:id="rId4" w:type="default"/>
      <w:pgSz w:w="11907" w:h="16840"/>
      <w:pgMar w:top="1440" w:right="567" w:bottom="1440" w:left="1247" w:header="851" w:footer="992" w:gutter="0"/>
      <w:pgNumType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Wingdings 2">
    <w:altName w:val="Wingdings"/>
    <w:panose1 w:val="05020102010507070707"/>
    <w:charset w:val="02"/>
    <w:family w:val="auto"/>
    <w:pitch w:val="default"/>
    <w:sig w:usb0="00000000" w:usb1="00000000" w:usb2="00000000" w:usb3="00000000" w:csb0="80000000" w:csb1="00000000"/>
  </w:font>
  <w:font w:name="宋体-18030">
    <w:altName w:val="宋体"/>
    <w:panose1 w:val="00000000000000000000"/>
    <w:charset w:val="86"/>
    <w:family w:val="modern"/>
    <w:pitch w:val="default"/>
    <w:sig w:usb0="00000000" w:usb1="00000000" w:usb2="000A005E" w:usb3="00000000" w:csb0="00040001"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45316">
    <w:pPr>
      <w:pStyle w:val="34"/>
      <w:jc w:val="center"/>
      <w:rPr>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982AFDD">
                          <w:pPr>
                            <w:pStyle w:val="34"/>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fill on="f" focussize="0,0"/>
              <v:stroke on="f"/>
              <v:imagedata o:title=""/>
              <o:lock v:ext="edit" aspectratio="f"/>
              <v:textbox inset="0mm,0mm,0mm,0mm" style="mso-fit-shape-to-text:t;">
                <w:txbxContent>
                  <w:p w14:paraId="5982AFDD">
                    <w:pPr>
                      <w:pStyle w:val="34"/>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95762D">
                          <w:pPr>
                            <w:pStyle w:val="34"/>
                            <w:jc w:val="cente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0695762D">
                    <w:pPr>
                      <w:pStyle w:val="34"/>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6312">
    <w:pPr>
      <w:pStyle w:val="3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FAD84"/>
    <w:multiLevelType w:val="singleLevel"/>
    <w:tmpl w:val="A03FAD84"/>
    <w:lvl w:ilvl="0" w:tentative="0">
      <w:start w:val="1"/>
      <w:numFmt w:val="bullet"/>
      <w:pStyle w:val="28"/>
      <w:lvlText w:val=""/>
      <w:lvlJc w:val="left"/>
      <w:pPr>
        <w:tabs>
          <w:tab w:val="left" w:pos="2040"/>
        </w:tabs>
        <w:ind w:left="2040" w:hanging="360"/>
      </w:pPr>
      <w:rPr>
        <w:rFonts w:hint="default" w:ascii="Wingdings" w:hAnsi="Wingdings"/>
      </w:rPr>
    </w:lvl>
  </w:abstractNum>
  <w:abstractNum w:abstractNumId="1">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77"/>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2">
    <w:nsid w:val="0000000D"/>
    <w:multiLevelType w:val="multilevel"/>
    <w:tmpl w:val="0000000D"/>
    <w:lvl w:ilvl="0" w:tentative="0">
      <w:start w:val="1"/>
      <w:numFmt w:val="decimal"/>
      <w:pStyle w:val="7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0E"/>
    <w:multiLevelType w:val="multilevel"/>
    <w:tmpl w:val="0000000E"/>
    <w:lvl w:ilvl="0" w:tentative="0">
      <w:start w:val="1"/>
      <w:numFmt w:val="decimal"/>
      <w:pStyle w:val="81"/>
      <w:lvlText w:val="%1"/>
      <w:lvlJc w:val="left"/>
      <w:pPr>
        <w:tabs>
          <w:tab w:val="left" w:pos="425"/>
        </w:tabs>
        <w:ind w:left="425" w:hanging="425"/>
      </w:pPr>
      <w:rPr>
        <w:rFonts w:hint="default" w:ascii="Arial" w:hAnsi="Arial" w:eastAsia="黑体"/>
        <w:b w:val="0"/>
        <w:i w:val="0"/>
        <w:sz w:val="28"/>
      </w:rPr>
    </w:lvl>
    <w:lvl w:ilvl="1" w:tentative="0">
      <w:start w:val="1"/>
      <w:numFmt w:val="decimal"/>
      <w:pStyle w:val="76"/>
      <w:lvlText w:val="%1.%2"/>
      <w:lvlJc w:val="left"/>
      <w:pPr>
        <w:tabs>
          <w:tab w:val="left" w:pos="992"/>
        </w:tabs>
        <w:ind w:left="992" w:hanging="567"/>
      </w:pPr>
      <w:rPr>
        <w:rFonts w:hint="default" w:ascii="Arial" w:hAnsi="Arial" w:eastAsia="黑体"/>
        <w:b w:val="0"/>
        <w:i w:val="0"/>
        <w:sz w:val="24"/>
      </w:rPr>
    </w:lvl>
    <w:lvl w:ilvl="2" w:tentative="0">
      <w:start w:val="1"/>
      <w:numFmt w:val="decimal"/>
      <w:pStyle w:val="80"/>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19093A56"/>
    <w:multiLevelType w:val="singleLevel"/>
    <w:tmpl w:val="19093A56"/>
    <w:lvl w:ilvl="0" w:tentative="0">
      <w:start w:val="4"/>
      <w:numFmt w:val="chineseCounting"/>
      <w:suff w:val="nothing"/>
      <w:lvlText w:val="（%1）"/>
      <w:lvlJc w:val="left"/>
      <w:rPr>
        <w:rFonts w:hint="eastAsia"/>
      </w:rPr>
    </w:lvl>
  </w:abstractNum>
  <w:abstractNum w:abstractNumId="5">
    <w:nsid w:val="57B4342F"/>
    <w:multiLevelType w:val="singleLevel"/>
    <w:tmpl w:val="57B4342F"/>
    <w:lvl w:ilvl="0" w:tentative="0">
      <w:start w:val="9"/>
      <w:numFmt w:val="decimal"/>
      <w:suff w:val="space"/>
      <w:lvlText w:val="%1."/>
      <w:lvlJc w:val="left"/>
    </w:lvl>
  </w:abstractNum>
  <w:abstractNum w:abstractNumId="6">
    <w:nsid w:val="60B286F0"/>
    <w:multiLevelType w:val="singleLevel"/>
    <w:tmpl w:val="60B286F0"/>
    <w:lvl w:ilvl="0" w:tentative="0">
      <w:start w:val="1"/>
      <w:numFmt w:val="decimal"/>
      <w:lvlText w:val="%1."/>
      <w:lvlJc w:val="left"/>
      <w:pPr>
        <w:tabs>
          <w:tab w:val="left" w:pos="312"/>
        </w:tabs>
      </w:pPr>
    </w:lvl>
  </w:abstractNum>
  <w:abstractNum w:abstractNumId="7">
    <w:nsid w:val="79975319"/>
    <w:multiLevelType w:val="singleLevel"/>
    <w:tmpl w:val="79975319"/>
    <w:lvl w:ilvl="0" w:tentative="0">
      <w:start w:val="3"/>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 w:numId="5">
    <w:abstractNumId w:val="4"/>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5"/>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wZGY3MjBhYTZkYWExNjc2ZmJkYzZlZTA5YWM5NzcifQ=="/>
  </w:docVars>
  <w:rsids>
    <w:rsidRoot w:val="00172A27"/>
    <w:rsid w:val="0001340A"/>
    <w:rsid w:val="000217E4"/>
    <w:rsid w:val="000225C2"/>
    <w:rsid w:val="00035C13"/>
    <w:rsid w:val="00075D08"/>
    <w:rsid w:val="000930AE"/>
    <w:rsid w:val="0009394F"/>
    <w:rsid w:val="00094396"/>
    <w:rsid w:val="000A19DC"/>
    <w:rsid w:val="000A2736"/>
    <w:rsid w:val="000A78D6"/>
    <w:rsid w:val="000C024B"/>
    <w:rsid w:val="000C079B"/>
    <w:rsid w:val="000C3994"/>
    <w:rsid w:val="000C39FF"/>
    <w:rsid w:val="000D160E"/>
    <w:rsid w:val="000D7107"/>
    <w:rsid w:val="000E248D"/>
    <w:rsid w:val="000E2CE6"/>
    <w:rsid w:val="000E48B4"/>
    <w:rsid w:val="000F0C8D"/>
    <w:rsid w:val="00103CB3"/>
    <w:rsid w:val="00106FA6"/>
    <w:rsid w:val="00115F0F"/>
    <w:rsid w:val="00117A99"/>
    <w:rsid w:val="00121679"/>
    <w:rsid w:val="00121698"/>
    <w:rsid w:val="00126DE2"/>
    <w:rsid w:val="0012790B"/>
    <w:rsid w:val="00131D57"/>
    <w:rsid w:val="00140BAA"/>
    <w:rsid w:val="001438D5"/>
    <w:rsid w:val="00144761"/>
    <w:rsid w:val="00146C16"/>
    <w:rsid w:val="001471B3"/>
    <w:rsid w:val="00154933"/>
    <w:rsid w:val="00156779"/>
    <w:rsid w:val="0016125F"/>
    <w:rsid w:val="00164142"/>
    <w:rsid w:val="00170FFD"/>
    <w:rsid w:val="00172A27"/>
    <w:rsid w:val="00172F0D"/>
    <w:rsid w:val="001B34E0"/>
    <w:rsid w:val="001B5F99"/>
    <w:rsid w:val="001C207B"/>
    <w:rsid w:val="001C251A"/>
    <w:rsid w:val="001C4FB7"/>
    <w:rsid w:val="001C5EBA"/>
    <w:rsid w:val="001D6A6C"/>
    <w:rsid w:val="001E126A"/>
    <w:rsid w:val="001F4BA4"/>
    <w:rsid w:val="00207542"/>
    <w:rsid w:val="00207DDE"/>
    <w:rsid w:val="00210B37"/>
    <w:rsid w:val="00212838"/>
    <w:rsid w:val="00240588"/>
    <w:rsid w:val="0024094F"/>
    <w:rsid w:val="002415E9"/>
    <w:rsid w:val="0026359C"/>
    <w:rsid w:val="00282E1A"/>
    <w:rsid w:val="00290511"/>
    <w:rsid w:val="00290616"/>
    <w:rsid w:val="00293FFE"/>
    <w:rsid w:val="002B56A6"/>
    <w:rsid w:val="002C3548"/>
    <w:rsid w:val="002C3D7C"/>
    <w:rsid w:val="002D044D"/>
    <w:rsid w:val="002F007B"/>
    <w:rsid w:val="003152A3"/>
    <w:rsid w:val="00316163"/>
    <w:rsid w:val="00323D92"/>
    <w:rsid w:val="00330D02"/>
    <w:rsid w:val="00360EA1"/>
    <w:rsid w:val="003842B0"/>
    <w:rsid w:val="003858C5"/>
    <w:rsid w:val="003920AD"/>
    <w:rsid w:val="00397E22"/>
    <w:rsid w:val="003B0071"/>
    <w:rsid w:val="003B101B"/>
    <w:rsid w:val="003C2861"/>
    <w:rsid w:val="003C7FFC"/>
    <w:rsid w:val="003E2793"/>
    <w:rsid w:val="003E6130"/>
    <w:rsid w:val="003E7F27"/>
    <w:rsid w:val="003F5FAE"/>
    <w:rsid w:val="00401EDF"/>
    <w:rsid w:val="00406B56"/>
    <w:rsid w:val="004212EE"/>
    <w:rsid w:val="0042488C"/>
    <w:rsid w:val="00433975"/>
    <w:rsid w:val="00436C0E"/>
    <w:rsid w:val="00436EDE"/>
    <w:rsid w:val="004535F5"/>
    <w:rsid w:val="00462686"/>
    <w:rsid w:val="00463938"/>
    <w:rsid w:val="00465D60"/>
    <w:rsid w:val="0048490E"/>
    <w:rsid w:val="004A5B81"/>
    <w:rsid w:val="004B7BC7"/>
    <w:rsid w:val="004E4D34"/>
    <w:rsid w:val="004E71CA"/>
    <w:rsid w:val="004F27AD"/>
    <w:rsid w:val="005030A5"/>
    <w:rsid w:val="00506038"/>
    <w:rsid w:val="00511C4C"/>
    <w:rsid w:val="005628F2"/>
    <w:rsid w:val="00565F1C"/>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77B2E"/>
    <w:rsid w:val="00684622"/>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8495B"/>
    <w:rsid w:val="00795B4A"/>
    <w:rsid w:val="007963A3"/>
    <w:rsid w:val="007A5E1C"/>
    <w:rsid w:val="007B6A4D"/>
    <w:rsid w:val="007C0F61"/>
    <w:rsid w:val="007E48B4"/>
    <w:rsid w:val="007F25F3"/>
    <w:rsid w:val="007F7815"/>
    <w:rsid w:val="008069DB"/>
    <w:rsid w:val="0080782C"/>
    <w:rsid w:val="00814CE6"/>
    <w:rsid w:val="00833FC9"/>
    <w:rsid w:val="008369BF"/>
    <w:rsid w:val="00845CD3"/>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54282"/>
    <w:rsid w:val="009773FF"/>
    <w:rsid w:val="00983394"/>
    <w:rsid w:val="00985782"/>
    <w:rsid w:val="00985A88"/>
    <w:rsid w:val="009A27EE"/>
    <w:rsid w:val="009A2DC5"/>
    <w:rsid w:val="009A2DDB"/>
    <w:rsid w:val="009A3585"/>
    <w:rsid w:val="009B3998"/>
    <w:rsid w:val="009C205B"/>
    <w:rsid w:val="009C3099"/>
    <w:rsid w:val="009C4861"/>
    <w:rsid w:val="009F1E21"/>
    <w:rsid w:val="009F53DA"/>
    <w:rsid w:val="009F6FD0"/>
    <w:rsid w:val="00A00D00"/>
    <w:rsid w:val="00A01395"/>
    <w:rsid w:val="00A068BA"/>
    <w:rsid w:val="00A06AEE"/>
    <w:rsid w:val="00A12815"/>
    <w:rsid w:val="00A27E3A"/>
    <w:rsid w:val="00A32D10"/>
    <w:rsid w:val="00A36F65"/>
    <w:rsid w:val="00A519D0"/>
    <w:rsid w:val="00A55341"/>
    <w:rsid w:val="00A6571B"/>
    <w:rsid w:val="00A74730"/>
    <w:rsid w:val="00A856A4"/>
    <w:rsid w:val="00A93417"/>
    <w:rsid w:val="00AA282E"/>
    <w:rsid w:val="00AC10EA"/>
    <w:rsid w:val="00AC2F76"/>
    <w:rsid w:val="00AD35ED"/>
    <w:rsid w:val="00AE42B5"/>
    <w:rsid w:val="00B021A5"/>
    <w:rsid w:val="00B26AFD"/>
    <w:rsid w:val="00B2793B"/>
    <w:rsid w:val="00B27B7A"/>
    <w:rsid w:val="00B306A1"/>
    <w:rsid w:val="00B32758"/>
    <w:rsid w:val="00B431EB"/>
    <w:rsid w:val="00B57E57"/>
    <w:rsid w:val="00B66028"/>
    <w:rsid w:val="00B6642A"/>
    <w:rsid w:val="00BB678D"/>
    <w:rsid w:val="00BC5C8C"/>
    <w:rsid w:val="00BD29A9"/>
    <w:rsid w:val="00BD62FB"/>
    <w:rsid w:val="00BE53CB"/>
    <w:rsid w:val="00BE6DD5"/>
    <w:rsid w:val="00C035CD"/>
    <w:rsid w:val="00C07565"/>
    <w:rsid w:val="00C11EAB"/>
    <w:rsid w:val="00C16575"/>
    <w:rsid w:val="00C258CD"/>
    <w:rsid w:val="00C37EA2"/>
    <w:rsid w:val="00C4328B"/>
    <w:rsid w:val="00C45F34"/>
    <w:rsid w:val="00C561F1"/>
    <w:rsid w:val="00C67BDE"/>
    <w:rsid w:val="00C823C4"/>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3690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2236"/>
    <w:rsid w:val="00F33DAA"/>
    <w:rsid w:val="00F400DC"/>
    <w:rsid w:val="00F47ADB"/>
    <w:rsid w:val="00F52692"/>
    <w:rsid w:val="00F52DB5"/>
    <w:rsid w:val="00F60F8D"/>
    <w:rsid w:val="00F92908"/>
    <w:rsid w:val="00F94B3B"/>
    <w:rsid w:val="00FA03CB"/>
    <w:rsid w:val="00FA048B"/>
    <w:rsid w:val="00FA0B39"/>
    <w:rsid w:val="00FA4BE7"/>
    <w:rsid w:val="00FA77BF"/>
    <w:rsid w:val="00FA7C71"/>
    <w:rsid w:val="00FD1D01"/>
    <w:rsid w:val="00FE4EC7"/>
    <w:rsid w:val="00FE5EB8"/>
    <w:rsid w:val="00FF3873"/>
    <w:rsid w:val="01003950"/>
    <w:rsid w:val="01860B4B"/>
    <w:rsid w:val="01EC3E90"/>
    <w:rsid w:val="025832D3"/>
    <w:rsid w:val="02810A7C"/>
    <w:rsid w:val="02B97A9C"/>
    <w:rsid w:val="02E44D4C"/>
    <w:rsid w:val="030C6B9D"/>
    <w:rsid w:val="031045D4"/>
    <w:rsid w:val="034B2E38"/>
    <w:rsid w:val="03942A31"/>
    <w:rsid w:val="03A013D6"/>
    <w:rsid w:val="03E513EC"/>
    <w:rsid w:val="040556DD"/>
    <w:rsid w:val="045F4DED"/>
    <w:rsid w:val="04C85198"/>
    <w:rsid w:val="051C0F02"/>
    <w:rsid w:val="05512831"/>
    <w:rsid w:val="056004DF"/>
    <w:rsid w:val="05720B50"/>
    <w:rsid w:val="05C018BB"/>
    <w:rsid w:val="05E03D0C"/>
    <w:rsid w:val="0696653B"/>
    <w:rsid w:val="06DF5D71"/>
    <w:rsid w:val="07092B42"/>
    <w:rsid w:val="07380DAC"/>
    <w:rsid w:val="07741065"/>
    <w:rsid w:val="080B1CDB"/>
    <w:rsid w:val="08424C67"/>
    <w:rsid w:val="0865674A"/>
    <w:rsid w:val="08A37C53"/>
    <w:rsid w:val="08B2481E"/>
    <w:rsid w:val="08D01E2E"/>
    <w:rsid w:val="0926412B"/>
    <w:rsid w:val="0A2368BD"/>
    <w:rsid w:val="0AFF2E86"/>
    <w:rsid w:val="0B0E6AE0"/>
    <w:rsid w:val="0B445D61"/>
    <w:rsid w:val="0B5075CF"/>
    <w:rsid w:val="0B584344"/>
    <w:rsid w:val="0B653D0F"/>
    <w:rsid w:val="0C43716A"/>
    <w:rsid w:val="0C776299"/>
    <w:rsid w:val="0C850E36"/>
    <w:rsid w:val="0D786F20"/>
    <w:rsid w:val="0DA970D9"/>
    <w:rsid w:val="0DAF0B93"/>
    <w:rsid w:val="0E3A6A2E"/>
    <w:rsid w:val="0E491F21"/>
    <w:rsid w:val="0ED63853"/>
    <w:rsid w:val="0F1F58A5"/>
    <w:rsid w:val="0F491C79"/>
    <w:rsid w:val="0F604787"/>
    <w:rsid w:val="0F6C4862"/>
    <w:rsid w:val="0F77741D"/>
    <w:rsid w:val="0F7F00F1"/>
    <w:rsid w:val="0F971554"/>
    <w:rsid w:val="0FF705D0"/>
    <w:rsid w:val="0FFC5D23"/>
    <w:rsid w:val="10126EB0"/>
    <w:rsid w:val="10202C4B"/>
    <w:rsid w:val="10376C1E"/>
    <w:rsid w:val="106F460A"/>
    <w:rsid w:val="10767C05"/>
    <w:rsid w:val="107B2FAF"/>
    <w:rsid w:val="109C2F25"/>
    <w:rsid w:val="10FA6E82"/>
    <w:rsid w:val="1134135B"/>
    <w:rsid w:val="113849FC"/>
    <w:rsid w:val="114A0BD3"/>
    <w:rsid w:val="11F012C8"/>
    <w:rsid w:val="12162DEC"/>
    <w:rsid w:val="121A73FA"/>
    <w:rsid w:val="12597320"/>
    <w:rsid w:val="12A11C50"/>
    <w:rsid w:val="12B02CB8"/>
    <w:rsid w:val="131C20FB"/>
    <w:rsid w:val="134B6297"/>
    <w:rsid w:val="13531FC1"/>
    <w:rsid w:val="13BF1AC2"/>
    <w:rsid w:val="14197F4D"/>
    <w:rsid w:val="14213E6D"/>
    <w:rsid w:val="143D55B7"/>
    <w:rsid w:val="14D07641"/>
    <w:rsid w:val="14FE3D66"/>
    <w:rsid w:val="151C3F1C"/>
    <w:rsid w:val="15450B44"/>
    <w:rsid w:val="15534111"/>
    <w:rsid w:val="156721CE"/>
    <w:rsid w:val="15EA64E1"/>
    <w:rsid w:val="163F3677"/>
    <w:rsid w:val="16553B36"/>
    <w:rsid w:val="16571DC8"/>
    <w:rsid w:val="165878EE"/>
    <w:rsid w:val="171B2E71"/>
    <w:rsid w:val="17325C74"/>
    <w:rsid w:val="17463BEB"/>
    <w:rsid w:val="177B5642"/>
    <w:rsid w:val="17B872D3"/>
    <w:rsid w:val="17BC52F6"/>
    <w:rsid w:val="185502F3"/>
    <w:rsid w:val="187529D9"/>
    <w:rsid w:val="18C474BD"/>
    <w:rsid w:val="18C748B7"/>
    <w:rsid w:val="191C2E55"/>
    <w:rsid w:val="194E6BA4"/>
    <w:rsid w:val="1A400DC5"/>
    <w:rsid w:val="1A5A57B0"/>
    <w:rsid w:val="1A642D06"/>
    <w:rsid w:val="1A9C249F"/>
    <w:rsid w:val="1A9C7AD3"/>
    <w:rsid w:val="1AAE7662"/>
    <w:rsid w:val="1AFC34DC"/>
    <w:rsid w:val="1BA3785E"/>
    <w:rsid w:val="1BD01CD5"/>
    <w:rsid w:val="1D373F48"/>
    <w:rsid w:val="1D774AFE"/>
    <w:rsid w:val="1DD65CC8"/>
    <w:rsid w:val="1E116D00"/>
    <w:rsid w:val="1E200A3C"/>
    <w:rsid w:val="1EEF5513"/>
    <w:rsid w:val="1F3C5FFF"/>
    <w:rsid w:val="1FBD236A"/>
    <w:rsid w:val="200E0DCE"/>
    <w:rsid w:val="204038CD"/>
    <w:rsid w:val="20744B6F"/>
    <w:rsid w:val="20CE712B"/>
    <w:rsid w:val="211703FC"/>
    <w:rsid w:val="2154257E"/>
    <w:rsid w:val="2164183D"/>
    <w:rsid w:val="219F5D43"/>
    <w:rsid w:val="21ED538F"/>
    <w:rsid w:val="228C2DF9"/>
    <w:rsid w:val="229323DA"/>
    <w:rsid w:val="231D6147"/>
    <w:rsid w:val="23285A18"/>
    <w:rsid w:val="23B343B6"/>
    <w:rsid w:val="23EE769A"/>
    <w:rsid w:val="24977834"/>
    <w:rsid w:val="24C73F0D"/>
    <w:rsid w:val="2503311B"/>
    <w:rsid w:val="25442651"/>
    <w:rsid w:val="26F777DA"/>
    <w:rsid w:val="27125CC6"/>
    <w:rsid w:val="27343A60"/>
    <w:rsid w:val="273B6B9C"/>
    <w:rsid w:val="28B27332"/>
    <w:rsid w:val="28CB056A"/>
    <w:rsid w:val="28E76FDC"/>
    <w:rsid w:val="298628BB"/>
    <w:rsid w:val="299553EC"/>
    <w:rsid w:val="2A58372E"/>
    <w:rsid w:val="2A603244"/>
    <w:rsid w:val="2A845777"/>
    <w:rsid w:val="2B381D70"/>
    <w:rsid w:val="2C056941"/>
    <w:rsid w:val="2C22032B"/>
    <w:rsid w:val="2C523021"/>
    <w:rsid w:val="2C970D19"/>
    <w:rsid w:val="2D572256"/>
    <w:rsid w:val="2D696646"/>
    <w:rsid w:val="2DBB2EBC"/>
    <w:rsid w:val="2DCD2F2F"/>
    <w:rsid w:val="2DD26B69"/>
    <w:rsid w:val="2DDB5965"/>
    <w:rsid w:val="2E0E500A"/>
    <w:rsid w:val="2F176141"/>
    <w:rsid w:val="2F302AD6"/>
    <w:rsid w:val="2F916E19"/>
    <w:rsid w:val="304E5B92"/>
    <w:rsid w:val="307B44AD"/>
    <w:rsid w:val="30F304E8"/>
    <w:rsid w:val="31424BF3"/>
    <w:rsid w:val="31BB7257"/>
    <w:rsid w:val="31F71DB5"/>
    <w:rsid w:val="32470AEB"/>
    <w:rsid w:val="325007CC"/>
    <w:rsid w:val="32C57C62"/>
    <w:rsid w:val="32DB1233"/>
    <w:rsid w:val="334F40FB"/>
    <w:rsid w:val="33656CDC"/>
    <w:rsid w:val="348C4EDB"/>
    <w:rsid w:val="34FF56AD"/>
    <w:rsid w:val="35650626"/>
    <w:rsid w:val="35957DBF"/>
    <w:rsid w:val="35E61919"/>
    <w:rsid w:val="3612042F"/>
    <w:rsid w:val="3621295A"/>
    <w:rsid w:val="362829EA"/>
    <w:rsid w:val="362D54C8"/>
    <w:rsid w:val="36726593"/>
    <w:rsid w:val="367F5E2B"/>
    <w:rsid w:val="368A701A"/>
    <w:rsid w:val="36B66319"/>
    <w:rsid w:val="36F33FEE"/>
    <w:rsid w:val="372E5C86"/>
    <w:rsid w:val="38033706"/>
    <w:rsid w:val="385A3428"/>
    <w:rsid w:val="3876703E"/>
    <w:rsid w:val="38A1683B"/>
    <w:rsid w:val="38CB6D1D"/>
    <w:rsid w:val="39086662"/>
    <w:rsid w:val="39273424"/>
    <w:rsid w:val="399C6875"/>
    <w:rsid w:val="39B27192"/>
    <w:rsid w:val="39D76BF8"/>
    <w:rsid w:val="39FE34A2"/>
    <w:rsid w:val="3A986AFB"/>
    <w:rsid w:val="3AB46F3A"/>
    <w:rsid w:val="3AEF3ACE"/>
    <w:rsid w:val="3B6800E6"/>
    <w:rsid w:val="3B892174"/>
    <w:rsid w:val="3BD93250"/>
    <w:rsid w:val="3BDA652C"/>
    <w:rsid w:val="3C1860F4"/>
    <w:rsid w:val="3C7E335B"/>
    <w:rsid w:val="3C966BD2"/>
    <w:rsid w:val="3D98044D"/>
    <w:rsid w:val="3E4F1283"/>
    <w:rsid w:val="3ECF0EC5"/>
    <w:rsid w:val="3EEB27FE"/>
    <w:rsid w:val="3EED2A1A"/>
    <w:rsid w:val="3EF61BF0"/>
    <w:rsid w:val="3FA6711C"/>
    <w:rsid w:val="3FB95217"/>
    <w:rsid w:val="3FBF43B6"/>
    <w:rsid w:val="403703F1"/>
    <w:rsid w:val="403D3AD3"/>
    <w:rsid w:val="40AC436C"/>
    <w:rsid w:val="40DB5220"/>
    <w:rsid w:val="416F5968"/>
    <w:rsid w:val="421D3616"/>
    <w:rsid w:val="42723962"/>
    <w:rsid w:val="42DE7A0D"/>
    <w:rsid w:val="42F02098"/>
    <w:rsid w:val="43106CD7"/>
    <w:rsid w:val="437D69A6"/>
    <w:rsid w:val="43A044FF"/>
    <w:rsid w:val="43A26692"/>
    <w:rsid w:val="440C749E"/>
    <w:rsid w:val="443B7D84"/>
    <w:rsid w:val="45062E7F"/>
    <w:rsid w:val="451900C5"/>
    <w:rsid w:val="45521829"/>
    <w:rsid w:val="45B94E3D"/>
    <w:rsid w:val="45D52FF5"/>
    <w:rsid w:val="45E0442A"/>
    <w:rsid w:val="45E24B53"/>
    <w:rsid w:val="46410E14"/>
    <w:rsid w:val="46680A72"/>
    <w:rsid w:val="46696289"/>
    <w:rsid w:val="47226493"/>
    <w:rsid w:val="477C7053"/>
    <w:rsid w:val="47B42327"/>
    <w:rsid w:val="47CE00EA"/>
    <w:rsid w:val="47CF53B3"/>
    <w:rsid w:val="481F7E99"/>
    <w:rsid w:val="48457423"/>
    <w:rsid w:val="48BB1493"/>
    <w:rsid w:val="48BB1D99"/>
    <w:rsid w:val="48E94252"/>
    <w:rsid w:val="491312CF"/>
    <w:rsid w:val="4948541D"/>
    <w:rsid w:val="495F381E"/>
    <w:rsid w:val="49867CF3"/>
    <w:rsid w:val="49F7474D"/>
    <w:rsid w:val="4A450670"/>
    <w:rsid w:val="4A9106FD"/>
    <w:rsid w:val="4AB2310C"/>
    <w:rsid w:val="4B0C3CFC"/>
    <w:rsid w:val="4B0F7229"/>
    <w:rsid w:val="4BF66BE4"/>
    <w:rsid w:val="4C3E2B07"/>
    <w:rsid w:val="4C453E95"/>
    <w:rsid w:val="4D3168EA"/>
    <w:rsid w:val="4D6245D3"/>
    <w:rsid w:val="4D7471F6"/>
    <w:rsid w:val="4D834C75"/>
    <w:rsid w:val="4DBF37D4"/>
    <w:rsid w:val="4E0F1419"/>
    <w:rsid w:val="4E255D2C"/>
    <w:rsid w:val="4E467A51"/>
    <w:rsid w:val="4EAF55F6"/>
    <w:rsid w:val="4F4C72E9"/>
    <w:rsid w:val="4F5368C9"/>
    <w:rsid w:val="4F9A44F8"/>
    <w:rsid w:val="4FC357FD"/>
    <w:rsid w:val="4FF63C2D"/>
    <w:rsid w:val="50033E4B"/>
    <w:rsid w:val="50182E4C"/>
    <w:rsid w:val="501A2F43"/>
    <w:rsid w:val="50535FA7"/>
    <w:rsid w:val="514364CA"/>
    <w:rsid w:val="51873871"/>
    <w:rsid w:val="51A451BA"/>
    <w:rsid w:val="51E8779D"/>
    <w:rsid w:val="52264891"/>
    <w:rsid w:val="52943481"/>
    <w:rsid w:val="52BB0165"/>
    <w:rsid w:val="53316F22"/>
    <w:rsid w:val="534D53DE"/>
    <w:rsid w:val="536B319B"/>
    <w:rsid w:val="53A30247"/>
    <w:rsid w:val="53C102A5"/>
    <w:rsid w:val="541128AF"/>
    <w:rsid w:val="54227CDC"/>
    <w:rsid w:val="54352A41"/>
    <w:rsid w:val="54897BE3"/>
    <w:rsid w:val="556C6734"/>
    <w:rsid w:val="55760C1C"/>
    <w:rsid w:val="55C571C8"/>
    <w:rsid w:val="57A05D54"/>
    <w:rsid w:val="57DA66CB"/>
    <w:rsid w:val="57F14ED1"/>
    <w:rsid w:val="581A4428"/>
    <w:rsid w:val="584B2834"/>
    <w:rsid w:val="58845D45"/>
    <w:rsid w:val="591445A9"/>
    <w:rsid w:val="59723DF0"/>
    <w:rsid w:val="599A3158"/>
    <w:rsid w:val="59C77C98"/>
    <w:rsid w:val="5A51232C"/>
    <w:rsid w:val="5A6E0A5B"/>
    <w:rsid w:val="5AD92B11"/>
    <w:rsid w:val="5AE625AD"/>
    <w:rsid w:val="5AF460DB"/>
    <w:rsid w:val="5B04316E"/>
    <w:rsid w:val="5BA22E60"/>
    <w:rsid w:val="5C86208C"/>
    <w:rsid w:val="5CD5091E"/>
    <w:rsid w:val="5D0631CD"/>
    <w:rsid w:val="5E625DEB"/>
    <w:rsid w:val="5E922DE1"/>
    <w:rsid w:val="5E954808"/>
    <w:rsid w:val="5F895057"/>
    <w:rsid w:val="5FBE7D8F"/>
    <w:rsid w:val="5FDC139B"/>
    <w:rsid w:val="5FDE21DF"/>
    <w:rsid w:val="60EC6236"/>
    <w:rsid w:val="613A3445"/>
    <w:rsid w:val="61546EF4"/>
    <w:rsid w:val="61A41122"/>
    <w:rsid w:val="61C133FC"/>
    <w:rsid w:val="61D2367E"/>
    <w:rsid w:val="62145A44"/>
    <w:rsid w:val="621A5025"/>
    <w:rsid w:val="62614C47"/>
    <w:rsid w:val="62914F77"/>
    <w:rsid w:val="62944DD7"/>
    <w:rsid w:val="633250E1"/>
    <w:rsid w:val="635F3637"/>
    <w:rsid w:val="63716EC6"/>
    <w:rsid w:val="63DA0F0F"/>
    <w:rsid w:val="63E87188"/>
    <w:rsid w:val="64063AB3"/>
    <w:rsid w:val="64414AEB"/>
    <w:rsid w:val="65D11E9E"/>
    <w:rsid w:val="65F30067"/>
    <w:rsid w:val="663743F7"/>
    <w:rsid w:val="664663E8"/>
    <w:rsid w:val="666D7E19"/>
    <w:rsid w:val="66FD0009"/>
    <w:rsid w:val="671E4510"/>
    <w:rsid w:val="68B910F3"/>
    <w:rsid w:val="69780FAF"/>
    <w:rsid w:val="69787200"/>
    <w:rsid w:val="69C43732"/>
    <w:rsid w:val="6A5323C6"/>
    <w:rsid w:val="6AB54047"/>
    <w:rsid w:val="6AB55DE7"/>
    <w:rsid w:val="6B2A277C"/>
    <w:rsid w:val="6B6C1B01"/>
    <w:rsid w:val="6B8C0D41"/>
    <w:rsid w:val="6C3D5D84"/>
    <w:rsid w:val="6CA90308"/>
    <w:rsid w:val="6D284A9A"/>
    <w:rsid w:val="6D9263B7"/>
    <w:rsid w:val="6DE94229"/>
    <w:rsid w:val="6EAD10FE"/>
    <w:rsid w:val="71153587"/>
    <w:rsid w:val="711D72ED"/>
    <w:rsid w:val="717F7444"/>
    <w:rsid w:val="71AA7DD6"/>
    <w:rsid w:val="71F17B50"/>
    <w:rsid w:val="71FE634A"/>
    <w:rsid w:val="724972EE"/>
    <w:rsid w:val="72824C4C"/>
    <w:rsid w:val="72DD6326"/>
    <w:rsid w:val="73046FE8"/>
    <w:rsid w:val="737F118B"/>
    <w:rsid w:val="74227376"/>
    <w:rsid w:val="74F6722B"/>
    <w:rsid w:val="754B3A1B"/>
    <w:rsid w:val="75D03F20"/>
    <w:rsid w:val="75E33C54"/>
    <w:rsid w:val="75F45E61"/>
    <w:rsid w:val="76911902"/>
    <w:rsid w:val="76AF09F8"/>
    <w:rsid w:val="775C3AB7"/>
    <w:rsid w:val="77611FE3"/>
    <w:rsid w:val="77617526"/>
    <w:rsid w:val="77AB185C"/>
    <w:rsid w:val="781D055C"/>
    <w:rsid w:val="789D19E7"/>
    <w:rsid w:val="78A70361"/>
    <w:rsid w:val="78B81387"/>
    <w:rsid w:val="78ED7C21"/>
    <w:rsid w:val="79091C23"/>
    <w:rsid w:val="79132AA2"/>
    <w:rsid w:val="796450AB"/>
    <w:rsid w:val="79A90216"/>
    <w:rsid w:val="7A481388"/>
    <w:rsid w:val="7A507148"/>
    <w:rsid w:val="7A5B5DA9"/>
    <w:rsid w:val="7A6B246A"/>
    <w:rsid w:val="7AA663F1"/>
    <w:rsid w:val="7B047A71"/>
    <w:rsid w:val="7B672C31"/>
    <w:rsid w:val="7B6C2F11"/>
    <w:rsid w:val="7B9854E0"/>
    <w:rsid w:val="7BA14D11"/>
    <w:rsid w:val="7BF1074D"/>
    <w:rsid w:val="7C0D02B4"/>
    <w:rsid w:val="7C113123"/>
    <w:rsid w:val="7C635AEE"/>
    <w:rsid w:val="7C647D62"/>
    <w:rsid w:val="7C6677D5"/>
    <w:rsid w:val="7CD914B4"/>
    <w:rsid w:val="7D2C704A"/>
    <w:rsid w:val="7D4C6582"/>
    <w:rsid w:val="7D652812"/>
    <w:rsid w:val="7D835711"/>
    <w:rsid w:val="7DB44FF6"/>
    <w:rsid w:val="7DB67EA0"/>
    <w:rsid w:val="7E4E5C23"/>
    <w:rsid w:val="7E8F190C"/>
    <w:rsid w:val="7EB97C47"/>
    <w:rsid w:val="7EED78F1"/>
    <w:rsid w:val="7F6556D9"/>
    <w:rsid w:val="7F9839DA"/>
    <w:rsid w:val="7FAE7080"/>
    <w:rsid w:val="7FD46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autoRedefine/>
    <w:qFormat/>
    <w:uiPriority w:val="0"/>
    <w:pPr>
      <w:keepNext/>
      <w:keepLines/>
      <w:spacing w:before="340" w:after="330" w:line="576" w:lineRule="auto"/>
      <w:outlineLvl w:val="0"/>
    </w:pPr>
    <w:rPr>
      <w:b/>
      <w:kern w:val="44"/>
      <w:sz w:val="30"/>
    </w:rPr>
  </w:style>
  <w:style w:type="paragraph" w:styleId="3">
    <w:name w:val="heading 2"/>
    <w:basedOn w:val="1"/>
    <w:next w:val="1"/>
    <w:qFormat/>
    <w:uiPriority w:val="0"/>
    <w:pPr>
      <w:keepNext/>
      <w:keepLines/>
      <w:spacing w:before="260" w:after="260" w:line="413" w:lineRule="auto"/>
      <w:ind w:firstLine="628"/>
      <w:jc w:val="center"/>
      <w:outlineLvl w:val="1"/>
    </w:pPr>
    <w:rPr>
      <w:rFonts w:ascii="Arial" w:hAnsi="Arial" w:eastAsia="黑体"/>
      <w:b/>
      <w:sz w:val="32"/>
    </w:rPr>
  </w:style>
  <w:style w:type="paragraph" w:styleId="4">
    <w:name w:val="heading 3"/>
    <w:basedOn w:val="1"/>
    <w:next w:val="1"/>
    <w:autoRedefine/>
    <w:qFormat/>
    <w:uiPriority w:val="0"/>
    <w:pPr>
      <w:keepNext/>
      <w:keepLines/>
      <w:spacing w:before="260" w:after="260" w:line="413" w:lineRule="auto"/>
      <w:jc w:val="center"/>
      <w:outlineLvl w:val="2"/>
    </w:pPr>
    <w:rPr>
      <w:rFonts w:ascii="宋体"/>
      <w:b/>
      <w:sz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autoRedefine/>
    <w:qFormat/>
    <w:uiPriority w:val="0"/>
    <w:pPr>
      <w:keepNext/>
      <w:outlineLvl w:val="4"/>
    </w:pPr>
    <w:rPr>
      <w:rFonts w:ascii="宋体" w:hAnsi="Arial"/>
      <w:sz w:val="28"/>
    </w:rPr>
  </w:style>
  <w:style w:type="paragraph" w:styleId="7">
    <w:name w:val="heading 6"/>
    <w:basedOn w:val="1"/>
    <w:next w:val="1"/>
    <w:autoRedefine/>
    <w:qFormat/>
    <w:uiPriority w:val="0"/>
    <w:pPr>
      <w:keepNext/>
      <w:autoSpaceDE w:val="0"/>
      <w:autoSpaceDN w:val="0"/>
      <w:adjustRightInd w:val="0"/>
      <w:spacing w:beforeLines="50" w:afterLines="50" w:line="300" w:lineRule="exact"/>
      <w:jc w:val="center"/>
      <w:outlineLvl w:val="5"/>
    </w:pPr>
    <w:rPr>
      <w:rFonts w:ascii="宋体" w:hAnsi="宋体"/>
      <w:kern w:val="0"/>
      <w:sz w:val="28"/>
    </w:rPr>
  </w:style>
  <w:style w:type="paragraph" w:styleId="8">
    <w:name w:val="heading 7"/>
    <w:basedOn w:val="1"/>
    <w:next w:val="1"/>
    <w:autoRedefine/>
    <w:qFormat/>
    <w:uiPriority w:val="0"/>
    <w:pPr>
      <w:keepNext/>
      <w:keepLines/>
      <w:spacing w:before="240" w:after="64" w:line="317" w:lineRule="auto"/>
      <w:ind w:right="-10" w:rightChars="-10" w:firstLine="464" w:firstLineChars="225"/>
      <w:jc w:val="left"/>
      <w:outlineLvl w:val="6"/>
    </w:pPr>
    <w:rPr>
      <w:rFonts w:ascii="Arial" w:hAnsi="Arial" w:eastAsia="仿宋_GB2312"/>
      <w:b/>
      <w:spacing w:val="-4"/>
      <w:sz w:val="24"/>
    </w:rPr>
  </w:style>
  <w:style w:type="paragraph" w:styleId="9">
    <w:name w:val="heading 8"/>
    <w:basedOn w:val="1"/>
    <w:next w:val="1"/>
    <w:autoRedefine/>
    <w:qFormat/>
    <w:uiPriority w:val="0"/>
    <w:pPr>
      <w:keepNext/>
      <w:keepLines/>
      <w:spacing w:line="400" w:lineRule="exact"/>
      <w:jc w:val="center"/>
      <w:outlineLvl w:val="7"/>
    </w:pPr>
    <w:rPr>
      <w:rFonts w:ascii="宋体" w:hAnsi="宋体" w:eastAsia="黑体"/>
      <w:sz w:val="32"/>
      <w:szCs w:val="32"/>
    </w:rPr>
  </w:style>
  <w:style w:type="paragraph" w:styleId="10">
    <w:name w:val="heading 9"/>
    <w:basedOn w:val="9"/>
    <w:next w:val="1"/>
    <w:autoRedefine/>
    <w:qFormat/>
    <w:uiPriority w:val="0"/>
    <w:pPr>
      <w:tabs>
        <w:tab w:val="left" w:pos="2160"/>
      </w:tabs>
      <w:ind w:left="1559" w:hanging="1559"/>
      <w:outlineLvl w:val="8"/>
    </w:pPr>
    <w:rPr>
      <w:rFonts w:ascii="Times New Roman" w:hAnsi="Times New Roman" w:eastAsia="宋体"/>
      <w:b/>
      <w:bCs/>
      <w:sz w:val="30"/>
      <w:szCs w:val="18"/>
    </w:rPr>
  </w:style>
  <w:style w:type="character" w:default="1" w:styleId="59">
    <w:name w:val="Default Paragraph Font"/>
    <w:autoRedefine/>
    <w:semiHidden/>
    <w:unhideWhenUsed/>
    <w:qFormat/>
    <w:uiPriority w:val="1"/>
  </w:style>
  <w:style w:type="table" w:default="1" w:styleId="57">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1260"/>
      <w:jc w:val="left"/>
    </w:pPr>
  </w:style>
  <w:style w:type="paragraph" w:styleId="12">
    <w:name w:val="table of authorities"/>
    <w:basedOn w:val="1"/>
    <w:next w:val="1"/>
    <w:autoRedefine/>
    <w:qFormat/>
    <w:uiPriority w:val="0"/>
    <w:pPr>
      <w:ind w:left="420" w:leftChars="200"/>
    </w:pPr>
  </w:style>
  <w:style w:type="paragraph" w:styleId="13">
    <w:name w:val="index 8"/>
    <w:basedOn w:val="1"/>
    <w:next w:val="1"/>
    <w:autoRedefine/>
    <w:qFormat/>
    <w:uiPriority w:val="0"/>
    <w:pPr>
      <w:ind w:left="1400" w:leftChars="1400"/>
    </w:pPr>
  </w:style>
  <w:style w:type="paragraph" w:styleId="14">
    <w:name w:val="Normal Indent"/>
    <w:basedOn w:val="1"/>
    <w:autoRedefine/>
    <w:qFormat/>
    <w:uiPriority w:val="0"/>
    <w:pPr>
      <w:ind w:firstLine="420"/>
    </w:pPr>
  </w:style>
  <w:style w:type="paragraph" w:styleId="15">
    <w:name w:val="index 5"/>
    <w:basedOn w:val="1"/>
    <w:next w:val="1"/>
    <w:autoRedefine/>
    <w:qFormat/>
    <w:uiPriority w:val="0"/>
    <w:pPr>
      <w:ind w:left="800" w:leftChars="800"/>
    </w:pPr>
  </w:style>
  <w:style w:type="paragraph" w:styleId="16">
    <w:name w:val="Document Map"/>
    <w:basedOn w:val="1"/>
    <w:autoRedefine/>
    <w:qFormat/>
    <w:uiPriority w:val="0"/>
    <w:pPr>
      <w:shd w:val="clear" w:color="auto" w:fill="000080"/>
    </w:pPr>
  </w:style>
  <w:style w:type="paragraph" w:styleId="17">
    <w:name w:val="toa heading"/>
    <w:basedOn w:val="1"/>
    <w:next w:val="1"/>
    <w:autoRedefine/>
    <w:qFormat/>
    <w:uiPriority w:val="0"/>
    <w:pPr>
      <w:spacing w:before="120"/>
    </w:pPr>
    <w:rPr>
      <w:rFonts w:ascii="Arial" w:hAnsi="Arial"/>
      <w:b/>
    </w:rPr>
  </w:style>
  <w:style w:type="paragraph" w:styleId="18">
    <w:name w:val="annotation text"/>
    <w:basedOn w:val="1"/>
    <w:autoRedefine/>
    <w:qFormat/>
    <w:uiPriority w:val="0"/>
    <w:pPr>
      <w:jc w:val="left"/>
    </w:pPr>
  </w:style>
  <w:style w:type="paragraph" w:styleId="19">
    <w:name w:val="index 6"/>
    <w:basedOn w:val="1"/>
    <w:next w:val="1"/>
    <w:autoRedefine/>
    <w:qFormat/>
    <w:uiPriority w:val="0"/>
    <w:pPr>
      <w:ind w:left="1000" w:leftChars="1000"/>
    </w:pPr>
  </w:style>
  <w:style w:type="paragraph" w:styleId="20">
    <w:name w:val="Body Text 3"/>
    <w:basedOn w:val="1"/>
    <w:autoRedefine/>
    <w:qFormat/>
    <w:uiPriority w:val="0"/>
    <w:rPr>
      <w:rFonts w:ascii="黑体" w:hAnsi="Arial" w:eastAsia="黑体"/>
      <w:b/>
      <w:sz w:val="28"/>
    </w:rPr>
  </w:style>
  <w:style w:type="paragraph" w:styleId="21">
    <w:name w:val="Body Text"/>
    <w:basedOn w:val="1"/>
    <w:autoRedefine/>
    <w:qFormat/>
    <w:uiPriority w:val="0"/>
    <w:rPr>
      <w:rFonts w:ascii="宋体" w:hAnsi="Arial"/>
      <w:sz w:val="28"/>
    </w:rPr>
  </w:style>
  <w:style w:type="paragraph" w:styleId="22">
    <w:name w:val="Body Text Indent"/>
    <w:basedOn w:val="1"/>
    <w:next w:val="23"/>
    <w:autoRedefine/>
    <w:qFormat/>
    <w:uiPriority w:val="0"/>
    <w:pPr>
      <w:ind w:firstLine="645"/>
    </w:pPr>
    <w:rPr>
      <w:rFonts w:ascii="楷体_GB2312" w:eastAsia="楷体_GB2312"/>
      <w:sz w:val="32"/>
    </w:rPr>
  </w:style>
  <w:style w:type="paragraph" w:styleId="23">
    <w:name w:val="envelope return"/>
    <w:basedOn w:val="1"/>
    <w:autoRedefine/>
    <w:qFormat/>
    <w:uiPriority w:val="99"/>
    <w:pPr>
      <w:widowControl/>
    </w:pPr>
    <w:rPr>
      <w:kern w:val="0"/>
      <w:sz w:val="22"/>
      <w:lang w:eastAsia="en-US"/>
    </w:rPr>
  </w:style>
  <w:style w:type="paragraph" w:styleId="24">
    <w:name w:val="index 4"/>
    <w:basedOn w:val="1"/>
    <w:next w:val="1"/>
    <w:autoRedefine/>
    <w:qFormat/>
    <w:uiPriority w:val="0"/>
    <w:pPr>
      <w:ind w:left="600" w:leftChars="600"/>
    </w:pPr>
  </w:style>
  <w:style w:type="paragraph" w:styleId="25">
    <w:name w:val="toc 5"/>
    <w:basedOn w:val="1"/>
    <w:next w:val="1"/>
    <w:autoRedefine/>
    <w:qFormat/>
    <w:uiPriority w:val="0"/>
    <w:pPr>
      <w:ind w:left="840"/>
      <w:jc w:val="left"/>
    </w:pPr>
  </w:style>
  <w:style w:type="paragraph" w:styleId="26">
    <w:name w:val="toc 3"/>
    <w:basedOn w:val="1"/>
    <w:next w:val="1"/>
    <w:autoRedefine/>
    <w:qFormat/>
    <w:uiPriority w:val="0"/>
    <w:pPr>
      <w:ind w:left="420"/>
      <w:jc w:val="left"/>
    </w:pPr>
    <w:rPr>
      <w:i/>
    </w:rPr>
  </w:style>
  <w:style w:type="paragraph" w:styleId="27">
    <w:name w:val="Plain Text"/>
    <w:basedOn w:val="1"/>
    <w:autoRedefine/>
    <w:qFormat/>
    <w:uiPriority w:val="0"/>
    <w:rPr>
      <w:rFonts w:ascii="宋体" w:hAnsi="Courier New"/>
    </w:rPr>
  </w:style>
  <w:style w:type="paragraph" w:styleId="28">
    <w:name w:val="List Bullet 5"/>
    <w:basedOn w:val="1"/>
    <w:autoRedefine/>
    <w:qFormat/>
    <w:uiPriority w:val="0"/>
    <w:pPr>
      <w:numPr>
        <w:ilvl w:val="0"/>
        <w:numId w:val="1"/>
      </w:numPr>
    </w:pPr>
  </w:style>
  <w:style w:type="paragraph" w:styleId="29">
    <w:name w:val="toc 8"/>
    <w:basedOn w:val="1"/>
    <w:next w:val="1"/>
    <w:autoRedefine/>
    <w:qFormat/>
    <w:uiPriority w:val="0"/>
    <w:pPr>
      <w:ind w:left="1470"/>
      <w:jc w:val="left"/>
    </w:pPr>
  </w:style>
  <w:style w:type="paragraph" w:styleId="30">
    <w:name w:val="index 3"/>
    <w:basedOn w:val="1"/>
    <w:next w:val="1"/>
    <w:autoRedefine/>
    <w:qFormat/>
    <w:uiPriority w:val="0"/>
    <w:pPr>
      <w:ind w:left="400" w:leftChars="400"/>
    </w:pPr>
  </w:style>
  <w:style w:type="paragraph" w:styleId="31">
    <w:name w:val="Date"/>
    <w:basedOn w:val="1"/>
    <w:next w:val="1"/>
    <w:link w:val="70"/>
    <w:autoRedefine/>
    <w:qFormat/>
    <w:uiPriority w:val="0"/>
    <w:rPr>
      <w:b/>
      <w:sz w:val="28"/>
    </w:rPr>
  </w:style>
  <w:style w:type="paragraph" w:styleId="32">
    <w:name w:val="Body Text Indent 2"/>
    <w:basedOn w:val="1"/>
    <w:autoRedefine/>
    <w:qFormat/>
    <w:uiPriority w:val="0"/>
    <w:pPr>
      <w:ind w:left="630" w:firstLine="645"/>
    </w:pPr>
    <w:rPr>
      <w:rFonts w:ascii="Arial" w:hAnsi="Arial" w:eastAsia="仿宋_GB2312"/>
      <w:sz w:val="32"/>
    </w:rPr>
  </w:style>
  <w:style w:type="paragraph" w:styleId="33">
    <w:name w:val="Balloon Text"/>
    <w:basedOn w:val="1"/>
    <w:autoRedefine/>
    <w:qFormat/>
    <w:uiPriority w:val="0"/>
    <w:rPr>
      <w:sz w:val="18"/>
    </w:rPr>
  </w:style>
  <w:style w:type="paragraph" w:styleId="34">
    <w:name w:val="footer"/>
    <w:basedOn w:val="1"/>
    <w:link w:val="71"/>
    <w:autoRedefine/>
    <w:qFormat/>
    <w:uiPriority w:val="0"/>
    <w:pPr>
      <w:tabs>
        <w:tab w:val="center" w:pos="4153"/>
        <w:tab w:val="right" w:pos="8306"/>
      </w:tabs>
      <w:snapToGrid w:val="0"/>
      <w:jc w:val="left"/>
    </w:pPr>
    <w:rPr>
      <w:sz w:val="18"/>
    </w:rPr>
  </w:style>
  <w:style w:type="paragraph" w:styleId="35">
    <w:name w:val="header"/>
    <w:basedOn w:val="1"/>
    <w:link w:val="72"/>
    <w:autoRedefine/>
    <w:qFormat/>
    <w:uiPriority w:val="0"/>
    <w:pPr>
      <w:pBdr>
        <w:bottom w:val="single" w:color="auto" w:sz="6" w:space="1"/>
      </w:pBdr>
      <w:tabs>
        <w:tab w:val="center" w:pos="4153"/>
        <w:tab w:val="right" w:pos="8306"/>
      </w:tabs>
      <w:snapToGrid w:val="0"/>
      <w:jc w:val="center"/>
    </w:pPr>
    <w:rPr>
      <w:sz w:val="18"/>
    </w:rPr>
  </w:style>
  <w:style w:type="paragraph" w:styleId="36">
    <w:name w:val="toc 1"/>
    <w:basedOn w:val="1"/>
    <w:next w:val="1"/>
    <w:autoRedefine/>
    <w:qFormat/>
    <w:uiPriority w:val="0"/>
    <w:pPr>
      <w:spacing w:before="120" w:after="120"/>
      <w:jc w:val="left"/>
    </w:pPr>
    <w:rPr>
      <w:caps/>
    </w:rPr>
  </w:style>
  <w:style w:type="paragraph" w:styleId="37">
    <w:name w:val="toc 4"/>
    <w:basedOn w:val="1"/>
    <w:next w:val="1"/>
    <w:autoRedefine/>
    <w:qFormat/>
    <w:uiPriority w:val="0"/>
    <w:pPr>
      <w:ind w:left="630"/>
      <w:jc w:val="left"/>
    </w:pPr>
  </w:style>
  <w:style w:type="paragraph" w:styleId="38">
    <w:name w:val="index heading"/>
    <w:basedOn w:val="1"/>
    <w:next w:val="39"/>
    <w:autoRedefine/>
    <w:qFormat/>
    <w:uiPriority w:val="0"/>
  </w:style>
  <w:style w:type="paragraph" w:styleId="39">
    <w:name w:val="index 1"/>
    <w:basedOn w:val="1"/>
    <w:next w:val="1"/>
    <w:autoRedefine/>
    <w:qFormat/>
    <w:uiPriority w:val="0"/>
    <w:pPr>
      <w:jc w:val="center"/>
    </w:pPr>
    <w:rPr>
      <w:rFonts w:ascii="仿宋_GB2312" w:eastAsia="仿宋_GB2312"/>
      <w:b/>
      <w:sz w:val="28"/>
    </w:rPr>
  </w:style>
  <w:style w:type="paragraph" w:styleId="40">
    <w:name w:val="List"/>
    <w:basedOn w:val="1"/>
    <w:autoRedefine/>
    <w:qFormat/>
    <w:uiPriority w:val="0"/>
    <w:pPr>
      <w:ind w:left="200" w:hanging="200" w:hangingChars="200"/>
    </w:pPr>
    <w:rPr>
      <w:rFonts w:ascii="Calibri" w:hAnsi="Calibri"/>
      <w:szCs w:val="22"/>
    </w:rPr>
  </w:style>
  <w:style w:type="paragraph" w:styleId="41">
    <w:name w:val="footnote text"/>
    <w:basedOn w:val="1"/>
    <w:autoRedefine/>
    <w:unhideWhenUsed/>
    <w:qFormat/>
    <w:uiPriority w:val="0"/>
    <w:pPr>
      <w:snapToGrid w:val="0"/>
      <w:jc w:val="left"/>
    </w:pPr>
    <w:rPr>
      <w:sz w:val="18"/>
      <w:szCs w:val="18"/>
    </w:rPr>
  </w:style>
  <w:style w:type="paragraph" w:styleId="42">
    <w:name w:val="toc 6"/>
    <w:basedOn w:val="1"/>
    <w:next w:val="1"/>
    <w:autoRedefine/>
    <w:qFormat/>
    <w:uiPriority w:val="0"/>
    <w:pPr>
      <w:ind w:left="1050"/>
      <w:jc w:val="left"/>
    </w:pPr>
  </w:style>
  <w:style w:type="paragraph" w:styleId="43">
    <w:name w:val="Body Text Indent 3"/>
    <w:basedOn w:val="1"/>
    <w:autoRedefine/>
    <w:qFormat/>
    <w:uiPriority w:val="0"/>
    <w:pPr>
      <w:ind w:firstLine="645"/>
    </w:pPr>
    <w:rPr>
      <w:rFonts w:ascii="仿宋_GB2312" w:hAnsi="Arial" w:eastAsia="仿宋_GB2312"/>
      <w:color w:val="000000"/>
      <w:sz w:val="30"/>
    </w:rPr>
  </w:style>
  <w:style w:type="paragraph" w:styleId="44">
    <w:name w:val="index 7"/>
    <w:basedOn w:val="1"/>
    <w:next w:val="1"/>
    <w:autoRedefine/>
    <w:qFormat/>
    <w:uiPriority w:val="0"/>
    <w:pPr>
      <w:ind w:left="1200" w:leftChars="1200"/>
    </w:pPr>
  </w:style>
  <w:style w:type="paragraph" w:styleId="45">
    <w:name w:val="index 9"/>
    <w:basedOn w:val="1"/>
    <w:next w:val="1"/>
    <w:autoRedefine/>
    <w:qFormat/>
    <w:uiPriority w:val="0"/>
    <w:pPr>
      <w:ind w:left="1600" w:leftChars="1600"/>
    </w:pPr>
  </w:style>
  <w:style w:type="paragraph" w:styleId="46">
    <w:name w:val="toc 2"/>
    <w:basedOn w:val="1"/>
    <w:next w:val="1"/>
    <w:autoRedefine/>
    <w:qFormat/>
    <w:uiPriority w:val="0"/>
    <w:pPr>
      <w:ind w:left="210"/>
      <w:jc w:val="left"/>
    </w:pPr>
    <w:rPr>
      <w:smallCaps/>
      <w:sz w:val="28"/>
    </w:rPr>
  </w:style>
  <w:style w:type="paragraph" w:styleId="47">
    <w:name w:val="toc 9"/>
    <w:basedOn w:val="1"/>
    <w:next w:val="1"/>
    <w:autoRedefine/>
    <w:qFormat/>
    <w:uiPriority w:val="0"/>
    <w:pPr>
      <w:ind w:left="1680"/>
      <w:jc w:val="left"/>
    </w:pPr>
  </w:style>
  <w:style w:type="paragraph" w:styleId="48">
    <w:name w:val="Body Text 2"/>
    <w:basedOn w:val="1"/>
    <w:autoRedefine/>
    <w:qFormat/>
    <w:uiPriority w:val="0"/>
    <w:rPr>
      <w:rFonts w:ascii="仿宋_GB2312" w:eastAsia="仿宋_GB2312"/>
      <w:b/>
      <w:sz w:val="24"/>
    </w:rPr>
  </w:style>
  <w:style w:type="paragraph" w:styleId="49">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5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1">
    <w:name w:val="Normal (Web)"/>
    <w:basedOn w:val="1"/>
    <w:autoRedefine/>
    <w:qFormat/>
    <w:uiPriority w:val="0"/>
    <w:pPr>
      <w:widowControl/>
      <w:spacing w:before="100" w:beforeAutospacing="1" w:after="100" w:afterAutospacing="1"/>
      <w:jc w:val="left"/>
    </w:pPr>
    <w:rPr>
      <w:rFonts w:ascii="宋体" w:hAnsi="宋体"/>
      <w:kern w:val="0"/>
      <w:sz w:val="24"/>
    </w:rPr>
  </w:style>
  <w:style w:type="paragraph" w:styleId="52">
    <w:name w:val="index 2"/>
    <w:basedOn w:val="1"/>
    <w:next w:val="1"/>
    <w:autoRedefine/>
    <w:qFormat/>
    <w:uiPriority w:val="0"/>
    <w:pPr>
      <w:ind w:left="200" w:leftChars="200"/>
    </w:pPr>
  </w:style>
  <w:style w:type="paragraph" w:styleId="53">
    <w:name w:val="Title"/>
    <w:basedOn w:val="1"/>
    <w:next w:val="1"/>
    <w:autoRedefine/>
    <w:qFormat/>
    <w:uiPriority w:val="10"/>
    <w:pPr>
      <w:spacing w:before="240" w:after="60"/>
      <w:jc w:val="center"/>
      <w:outlineLvl w:val="0"/>
    </w:pPr>
    <w:rPr>
      <w:rFonts w:ascii="Cambria" w:hAnsi="Cambria"/>
      <w:b/>
      <w:bCs/>
      <w:sz w:val="32"/>
      <w:szCs w:val="32"/>
    </w:rPr>
  </w:style>
  <w:style w:type="paragraph" w:styleId="54">
    <w:name w:val="annotation subject"/>
    <w:basedOn w:val="18"/>
    <w:next w:val="18"/>
    <w:autoRedefine/>
    <w:qFormat/>
    <w:uiPriority w:val="0"/>
    <w:rPr>
      <w:b/>
      <w:bCs/>
    </w:rPr>
  </w:style>
  <w:style w:type="paragraph" w:styleId="55">
    <w:name w:val="Body Text First Indent"/>
    <w:basedOn w:val="1"/>
    <w:autoRedefine/>
    <w:qFormat/>
    <w:uiPriority w:val="0"/>
    <w:pPr>
      <w:autoSpaceDE w:val="0"/>
      <w:autoSpaceDN w:val="0"/>
      <w:adjustRightInd w:val="0"/>
      <w:spacing w:line="360" w:lineRule="auto"/>
      <w:ind w:right="-10" w:rightChars="-10" w:firstLine="425" w:firstLineChars="225"/>
    </w:pPr>
    <w:rPr>
      <w:rFonts w:ascii="Arial" w:hAnsi="Arial" w:eastAsia="仿宋_GB2312"/>
      <w:kern w:val="0"/>
      <w:sz w:val="24"/>
    </w:rPr>
  </w:style>
  <w:style w:type="paragraph" w:styleId="56">
    <w:name w:val="Body Text First Indent 2"/>
    <w:basedOn w:val="22"/>
    <w:next w:val="1"/>
    <w:autoRedefine/>
    <w:qFormat/>
    <w:uiPriority w:val="99"/>
    <w:pPr>
      <w:widowControl/>
      <w:spacing w:before="100" w:beforeAutospacing="1" w:after="100" w:afterAutospacing="1"/>
    </w:pPr>
    <w:rPr>
      <w:sz w:val="24"/>
      <w:szCs w:val="24"/>
    </w:rPr>
  </w:style>
  <w:style w:type="table" w:styleId="58">
    <w:name w:val="Table Grid"/>
    <w:basedOn w:val="57"/>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0">
    <w:name w:val="Strong"/>
    <w:autoRedefine/>
    <w:qFormat/>
    <w:uiPriority w:val="0"/>
    <w:rPr>
      <w:b/>
      <w:bCs/>
    </w:rPr>
  </w:style>
  <w:style w:type="character" w:styleId="61">
    <w:name w:val="page number"/>
    <w:basedOn w:val="59"/>
    <w:autoRedefine/>
    <w:qFormat/>
    <w:uiPriority w:val="0"/>
  </w:style>
  <w:style w:type="character" w:styleId="62">
    <w:name w:val="FollowedHyperlink"/>
    <w:basedOn w:val="59"/>
    <w:autoRedefine/>
    <w:qFormat/>
    <w:uiPriority w:val="0"/>
    <w:rPr>
      <w:color w:val="333333"/>
      <w:u w:val="none"/>
    </w:rPr>
  </w:style>
  <w:style w:type="character" w:styleId="63">
    <w:name w:val="Emphasis"/>
    <w:autoRedefine/>
    <w:qFormat/>
    <w:uiPriority w:val="0"/>
    <w:rPr>
      <w:color w:val="CC0033"/>
    </w:rPr>
  </w:style>
  <w:style w:type="character" w:styleId="64">
    <w:name w:val="HTML Definition"/>
    <w:basedOn w:val="59"/>
    <w:autoRedefine/>
    <w:qFormat/>
    <w:uiPriority w:val="0"/>
  </w:style>
  <w:style w:type="character" w:styleId="65">
    <w:name w:val="HTML Variable"/>
    <w:basedOn w:val="59"/>
    <w:autoRedefine/>
    <w:qFormat/>
    <w:uiPriority w:val="0"/>
  </w:style>
  <w:style w:type="character" w:styleId="66">
    <w:name w:val="Hyperlink"/>
    <w:basedOn w:val="59"/>
    <w:autoRedefine/>
    <w:qFormat/>
    <w:uiPriority w:val="0"/>
    <w:rPr>
      <w:color w:val="333333"/>
      <w:u w:val="none"/>
    </w:rPr>
  </w:style>
  <w:style w:type="character" w:styleId="67">
    <w:name w:val="annotation reference"/>
    <w:autoRedefine/>
    <w:qFormat/>
    <w:uiPriority w:val="0"/>
    <w:rPr>
      <w:sz w:val="21"/>
      <w:szCs w:val="21"/>
    </w:rPr>
  </w:style>
  <w:style w:type="character" w:styleId="68">
    <w:name w:val="HTML Cite"/>
    <w:basedOn w:val="59"/>
    <w:autoRedefine/>
    <w:qFormat/>
    <w:uiPriority w:val="0"/>
  </w:style>
  <w:style w:type="character" w:customStyle="1" w:styleId="69">
    <w:name w:val="标题 1 Char1"/>
    <w:link w:val="2"/>
    <w:autoRedefine/>
    <w:qFormat/>
    <w:uiPriority w:val="0"/>
    <w:rPr>
      <w:rFonts w:eastAsia="宋体"/>
      <w:b/>
      <w:kern w:val="44"/>
      <w:sz w:val="30"/>
      <w:lang w:val="en-US" w:eastAsia="zh-CN"/>
    </w:rPr>
  </w:style>
  <w:style w:type="character" w:customStyle="1" w:styleId="70">
    <w:name w:val="日期 Char"/>
    <w:link w:val="31"/>
    <w:autoRedefine/>
    <w:qFormat/>
    <w:uiPriority w:val="0"/>
    <w:rPr>
      <w:b/>
      <w:kern w:val="2"/>
      <w:sz w:val="28"/>
    </w:rPr>
  </w:style>
  <w:style w:type="character" w:customStyle="1" w:styleId="71">
    <w:name w:val="页脚 Char"/>
    <w:link w:val="34"/>
    <w:autoRedefine/>
    <w:qFormat/>
    <w:uiPriority w:val="0"/>
    <w:rPr>
      <w:kern w:val="2"/>
      <w:sz w:val="18"/>
    </w:rPr>
  </w:style>
  <w:style w:type="character" w:customStyle="1" w:styleId="72">
    <w:name w:val="页眉 Char"/>
    <w:link w:val="35"/>
    <w:autoRedefine/>
    <w:qFormat/>
    <w:uiPriority w:val="0"/>
    <w:rPr>
      <w:kern w:val="2"/>
      <w:sz w:val="18"/>
    </w:rPr>
  </w:style>
  <w:style w:type="character" w:customStyle="1" w:styleId="73">
    <w:name w:val="索引标题 Char Char"/>
    <w:autoRedefine/>
    <w:qFormat/>
    <w:uiPriority w:val="0"/>
    <w:rPr>
      <w:rFonts w:eastAsia="宋体"/>
      <w:kern w:val="2"/>
      <w:sz w:val="21"/>
      <w:lang w:val="en-US" w:eastAsia="zh-CN"/>
    </w:rPr>
  </w:style>
  <w:style w:type="character" w:customStyle="1" w:styleId="74">
    <w:name w:val="标题 4 Char"/>
    <w:autoRedefine/>
    <w:qFormat/>
    <w:uiPriority w:val="0"/>
    <w:rPr>
      <w:rFonts w:ascii="Arial" w:hAnsi="Arial" w:eastAsia="黑体"/>
      <w:b/>
      <w:kern w:val="2"/>
      <w:sz w:val="28"/>
      <w:lang w:val="en-US" w:eastAsia="zh-CN"/>
    </w:rPr>
  </w:style>
  <w:style w:type="character" w:customStyle="1" w:styleId="75">
    <w:name w:val="标题 1 Char"/>
    <w:autoRedefine/>
    <w:qFormat/>
    <w:uiPriority w:val="0"/>
    <w:rPr>
      <w:rFonts w:eastAsia="宋体"/>
      <w:b/>
      <w:kern w:val="44"/>
      <w:sz w:val="30"/>
      <w:lang w:val="en-US" w:eastAsia="zh-CN"/>
    </w:rPr>
  </w:style>
  <w:style w:type="paragraph" w:customStyle="1" w:styleId="76">
    <w:name w:val="文章正文"/>
    <w:basedOn w:val="1"/>
    <w:autoRedefine/>
    <w:qFormat/>
    <w:uiPriority w:val="0"/>
    <w:pPr>
      <w:numPr>
        <w:ilvl w:val="1"/>
        <w:numId w:val="2"/>
      </w:numPr>
      <w:spacing w:beforeLines="50" w:afterLines="50" w:line="320" w:lineRule="exact"/>
      <w:ind w:left="0" w:firstLine="200" w:firstLineChars="200"/>
    </w:pPr>
    <w:rPr>
      <w:rFonts w:ascii="仿宋_GB2312" w:eastAsia="仿宋_GB2312"/>
      <w:sz w:val="28"/>
    </w:rPr>
  </w:style>
  <w:style w:type="paragraph" w:customStyle="1" w:styleId="77">
    <w:name w:val="SUR-需求定义-第4级"/>
    <w:basedOn w:val="5"/>
    <w:next w:val="1"/>
    <w:autoRedefine/>
    <w:qFormat/>
    <w:uiPriority w:val="0"/>
    <w:pPr>
      <w:numPr>
        <w:ilvl w:val="3"/>
        <w:numId w:val="3"/>
      </w:numPr>
      <w:tabs>
        <w:tab w:val="left" w:pos="1080"/>
        <w:tab w:val="clear" w:pos="2934"/>
      </w:tabs>
      <w:spacing w:before="0" w:after="0"/>
      <w:ind w:left="-283" w:firstLine="283"/>
      <w:jc w:val="left"/>
    </w:pPr>
    <w:rPr>
      <w:b w:val="0"/>
      <w:color w:val="0000FF"/>
      <w:sz w:val="24"/>
    </w:rPr>
  </w:style>
  <w:style w:type="paragraph" w:customStyle="1" w:styleId="78">
    <w:name w:val="font9"/>
    <w:basedOn w:val="1"/>
    <w:autoRedefine/>
    <w:qFormat/>
    <w:uiPriority w:val="0"/>
    <w:pPr>
      <w:widowControl/>
      <w:spacing w:before="100" w:beforeAutospacing="1" w:after="100" w:afterAutospacing="1"/>
      <w:jc w:val="left"/>
    </w:pPr>
    <w:rPr>
      <w:rFonts w:hint="eastAsia" w:ascii="幼圆" w:hAnsi="宋体" w:eastAsia="幼圆"/>
      <w:kern w:val="0"/>
      <w:sz w:val="32"/>
    </w:rPr>
  </w:style>
  <w:style w:type="paragraph" w:customStyle="1" w:styleId="79">
    <w:name w:val="样式1"/>
    <w:basedOn w:val="1"/>
    <w:autoRedefine/>
    <w:qFormat/>
    <w:uiPriority w:val="0"/>
    <w:pPr>
      <w:numPr>
        <w:ilvl w:val="0"/>
        <w:numId w:val="4"/>
      </w:numPr>
      <w:adjustRightInd w:val="0"/>
      <w:textAlignment w:val="baseline"/>
    </w:pPr>
    <w:rPr>
      <w:rFonts w:ascii="宋体" w:hAnsi="宋体"/>
      <w:kern w:val="0"/>
    </w:rPr>
  </w:style>
  <w:style w:type="paragraph" w:customStyle="1" w:styleId="80">
    <w:name w:val="一级标题"/>
    <w:basedOn w:val="1"/>
    <w:next w:val="81"/>
    <w:autoRedefine/>
    <w:qFormat/>
    <w:uiPriority w:val="0"/>
    <w:pPr>
      <w:numPr>
        <w:ilvl w:val="2"/>
        <w:numId w:val="2"/>
      </w:numPr>
      <w:tabs>
        <w:tab w:val="left" w:pos="425"/>
        <w:tab w:val="clear" w:pos="1418"/>
      </w:tabs>
      <w:spacing w:afterLines="100"/>
      <w:ind w:left="850" w:hanging="425"/>
      <w:outlineLvl w:val="0"/>
    </w:pPr>
    <w:rPr>
      <w:rFonts w:ascii="黑体" w:eastAsia="黑体"/>
      <w:sz w:val="30"/>
    </w:rPr>
  </w:style>
  <w:style w:type="paragraph" w:customStyle="1" w:styleId="81">
    <w:name w:val="二级标题"/>
    <w:basedOn w:val="1"/>
    <w:next w:val="76"/>
    <w:autoRedefine/>
    <w:qFormat/>
    <w:uiPriority w:val="0"/>
    <w:pPr>
      <w:numPr>
        <w:ilvl w:val="0"/>
        <w:numId w:val="2"/>
      </w:numPr>
      <w:tabs>
        <w:tab w:val="left" w:pos="992"/>
        <w:tab w:val="clear" w:pos="425"/>
      </w:tabs>
      <w:ind w:left="992" w:hanging="567"/>
      <w:outlineLvl w:val="1"/>
    </w:pPr>
    <w:rPr>
      <w:rFonts w:ascii="黑体" w:eastAsia="黑体"/>
      <w:sz w:val="28"/>
    </w:rPr>
  </w:style>
  <w:style w:type="paragraph" w:customStyle="1" w:styleId="82">
    <w:name w:val="font7"/>
    <w:basedOn w:val="1"/>
    <w:autoRedefine/>
    <w:qFormat/>
    <w:uiPriority w:val="0"/>
    <w:pPr>
      <w:widowControl/>
      <w:spacing w:before="100" w:beforeAutospacing="1" w:after="100" w:afterAutospacing="1"/>
      <w:jc w:val="left"/>
    </w:pPr>
    <w:rPr>
      <w:rFonts w:hint="eastAsia" w:ascii="幼圆" w:hAnsi="宋体" w:eastAsia="幼圆"/>
      <w:kern w:val="0"/>
      <w:sz w:val="32"/>
    </w:rPr>
  </w:style>
  <w:style w:type="paragraph" w:customStyle="1" w:styleId="83">
    <w:name w:val="Char"/>
    <w:basedOn w:val="1"/>
    <w:autoRedefine/>
    <w:qFormat/>
    <w:uiPriority w:val="0"/>
    <w:rPr>
      <w:rFonts w:ascii="Tahoma" w:hAnsi="Tahoma"/>
      <w:sz w:val="24"/>
    </w:rPr>
  </w:style>
  <w:style w:type="paragraph" w:customStyle="1" w:styleId="84">
    <w:name w:val="D&amp;L"/>
    <w:basedOn w:val="35"/>
    <w:autoRedefine/>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5">
    <w:name w:val="font6"/>
    <w:basedOn w:val="1"/>
    <w:autoRedefine/>
    <w:qFormat/>
    <w:uiPriority w:val="0"/>
    <w:pPr>
      <w:widowControl/>
      <w:spacing w:before="100" w:beforeAutospacing="1" w:after="100" w:afterAutospacing="1"/>
      <w:jc w:val="left"/>
    </w:pPr>
    <w:rPr>
      <w:rFonts w:hint="eastAsia" w:ascii="宋体" w:hAnsi="宋体"/>
      <w:kern w:val="0"/>
      <w:sz w:val="18"/>
    </w:rPr>
  </w:style>
  <w:style w:type="paragraph" w:customStyle="1" w:styleId="86">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87">
    <w:name w:val="Default Paragraph Char Char Char Char"/>
    <w:basedOn w:val="1"/>
    <w:next w:val="1"/>
    <w:autoRedefine/>
    <w:qFormat/>
    <w:uiPriority w:val="0"/>
    <w:pPr>
      <w:widowControl/>
      <w:spacing w:line="360" w:lineRule="auto"/>
      <w:jc w:val="left"/>
    </w:pPr>
    <w:rPr>
      <w:kern w:val="0"/>
      <w:lang w:eastAsia="en-US"/>
    </w:rPr>
  </w:style>
  <w:style w:type="paragraph" w:styleId="88">
    <w:name w:val="List Paragraph"/>
    <w:basedOn w:val="1"/>
    <w:autoRedefine/>
    <w:qFormat/>
    <w:uiPriority w:val="0"/>
    <w:pPr>
      <w:ind w:firstLine="420" w:firstLineChars="200"/>
    </w:pPr>
    <w:rPr>
      <w:szCs w:val="24"/>
    </w:rPr>
  </w:style>
  <w:style w:type="paragraph" w:customStyle="1" w:styleId="89">
    <w:name w:val="基本文字 Char"/>
    <w:basedOn w:val="1"/>
    <w:autoRedefine/>
    <w:qFormat/>
    <w:uiPriority w:val="0"/>
    <w:pPr>
      <w:spacing w:before="156" w:line="400" w:lineRule="atLeast"/>
      <w:ind w:firstLine="540" w:firstLineChars="225"/>
    </w:pPr>
    <w:rPr>
      <w:sz w:val="24"/>
    </w:rPr>
  </w:style>
  <w:style w:type="paragraph" w:customStyle="1" w:styleId="90">
    <w:name w:val="Char1"/>
    <w:basedOn w:val="1"/>
    <w:autoRedefine/>
    <w:qFormat/>
    <w:uiPriority w:val="0"/>
    <w:rPr>
      <w:rFonts w:ascii="Tahoma" w:hAnsi="Tahoma"/>
      <w:sz w:val="24"/>
    </w:rPr>
  </w:style>
  <w:style w:type="paragraph" w:customStyle="1" w:styleId="91">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rPr>
  </w:style>
  <w:style w:type="paragraph" w:customStyle="1" w:styleId="92">
    <w:name w:val="正文（缩进）"/>
    <w:basedOn w:val="1"/>
    <w:autoRedefine/>
    <w:qFormat/>
    <w:uiPriority w:val="0"/>
    <w:pPr>
      <w:widowControl/>
      <w:spacing w:before="156" w:after="156"/>
      <w:ind w:firstLine="480" w:firstLineChars="200"/>
      <w:jc w:val="left"/>
    </w:pPr>
    <w:rPr>
      <w:rFonts w:ascii="仿宋_GB2312" w:eastAsia="仿宋_GB2312"/>
      <w:kern w:val="0"/>
      <w:sz w:val="24"/>
    </w:rPr>
  </w:style>
  <w:style w:type="paragraph" w:customStyle="1" w:styleId="93">
    <w:name w:val="Char2"/>
    <w:basedOn w:val="1"/>
    <w:autoRedefine/>
    <w:qFormat/>
    <w:uiPriority w:val="0"/>
  </w:style>
  <w:style w:type="paragraph" w:customStyle="1" w:styleId="94">
    <w:name w:val="Char Char Char"/>
    <w:basedOn w:val="1"/>
    <w:autoRedefine/>
    <w:qFormat/>
    <w:uiPriority w:val="0"/>
    <w:rPr>
      <w:rFonts w:ascii="Tahoma" w:hAnsi="Tahoma"/>
      <w:sz w:val="24"/>
    </w:rPr>
  </w:style>
  <w:style w:type="paragraph" w:customStyle="1" w:styleId="9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幼圆" w:hAnsi="宋体" w:eastAsia="幼圆"/>
      <w:kern w:val="0"/>
      <w:sz w:val="32"/>
    </w:rPr>
  </w:style>
  <w:style w:type="paragraph" w:customStyle="1" w:styleId="96">
    <w:name w:val="xl31"/>
    <w:basedOn w:val="1"/>
    <w:autoRedefine/>
    <w:qFormat/>
    <w:uiPriority w:val="0"/>
    <w:pPr>
      <w:widowControl/>
      <w:spacing w:before="100" w:beforeAutospacing="1" w:after="100" w:afterAutospacing="1"/>
      <w:jc w:val="center"/>
    </w:pPr>
    <w:rPr>
      <w:rFonts w:ascii="宋体" w:hAnsi="宋体"/>
      <w:b/>
      <w:kern w:val="0"/>
      <w:sz w:val="28"/>
    </w:rPr>
  </w:style>
  <w:style w:type="paragraph" w:customStyle="1" w:styleId="97">
    <w:name w:val="Char Char Char Char Char Char Char1 Char"/>
    <w:basedOn w:val="1"/>
    <w:autoRedefine/>
    <w:qFormat/>
    <w:uiPriority w:val="0"/>
    <w:rPr>
      <w:rFonts w:ascii="Tahoma" w:hAnsi="Tahoma"/>
      <w:sz w:val="24"/>
    </w:rPr>
  </w:style>
  <w:style w:type="paragraph" w:customStyle="1" w:styleId="98">
    <w:name w:val="font8"/>
    <w:basedOn w:val="1"/>
    <w:autoRedefine/>
    <w:qFormat/>
    <w:uiPriority w:val="0"/>
    <w:pPr>
      <w:widowControl/>
      <w:spacing w:before="100" w:beforeAutospacing="1" w:after="100" w:afterAutospacing="1"/>
      <w:jc w:val="left"/>
    </w:pPr>
    <w:rPr>
      <w:rFonts w:hint="eastAsia" w:ascii="宋体" w:hAnsi="宋体"/>
      <w:color w:val="000000"/>
      <w:kern w:val="0"/>
      <w:sz w:val="32"/>
    </w:rPr>
  </w:style>
  <w:style w:type="paragraph" w:customStyle="1" w:styleId="99">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幼圆" w:hAnsi="宋体" w:eastAsia="幼圆"/>
      <w:kern w:val="0"/>
      <w:sz w:val="32"/>
    </w:rPr>
  </w:style>
  <w:style w:type="paragraph" w:customStyle="1" w:styleId="100">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rPr>
  </w:style>
  <w:style w:type="paragraph" w:customStyle="1" w:styleId="101">
    <w:name w:val="font5"/>
    <w:basedOn w:val="1"/>
    <w:autoRedefine/>
    <w:qFormat/>
    <w:uiPriority w:val="0"/>
    <w:pPr>
      <w:widowControl/>
      <w:spacing w:before="100" w:beforeAutospacing="1" w:after="100" w:afterAutospacing="1"/>
      <w:jc w:val="left"/>
    </w:pPr>
    <w:rPr>
      <w:rFonts w:hint="eastAsia" w:ascii="宋体" w:hAnsi="宋体"/>
      <w:kern w:val="0"/>
      <w:sz w:val="18"/>
    </w:rPr>
  </w:style>
  <w:style w:type="paragraph" w:customStyle="1" w:styleId="102">
    <w:name w:val="Char Char Char Char Char"/>
    <w:basedOn w:val="1"/>
    <w:autoRedefine/>
    <w:qFormat/>
    <w:uiPriority w:val="0"/>
    <w:rPr>
      <w:rFonts w:ascii="Tahoma" w:hAnsi="Tahoma"/>
      <w:sz w:val="24"/>
    </w:rPr>
  </w:style>
  <w:style w:type="paragraph" w:customStyle="1" w:styleId="103">
    <w:name w:val="Char Char Char1"/>
    <w:basedOn w:val="1"/>
    <w:autoRedefine/>
    <w:qFormat/>
    <w:uiPriority w:val="0"/>
    <w:rPr>
      <w:rFonts w:ascii="Tahoma" w:hAnsi="Tahoma"/>
      <w:sz w:val="24"/>
    </w:rPr>
  </w:style>
  <w:style w:type="paragraph" w:customStyle="1" w:styleId="104">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05">
    <w:name w:val="font11"/>
    <w:basedOn w:val="59"/>
    <w:autoRedefine/>
    <w:qFormat/>
    <w:uiPriority w:val="0"/>
    <w:rPr>
      <w:rFonts w:hint="eastAsia" w:ascii="宋体" w:hAnsi="宋体" w:eastAsia="宋体" w:cs="宋体"/>
      <w:color w:val="000000"/>
      <w:sz w:val="24"/>
      <w:szCs w:val="24"/>
      <w:u w:val="none"/>
    </w:rPr>
  </w:style>
  <w:style w:type="paragraph" w:customStyle="1" w:styleId="106">
    <w:name w:val="纯文本1"/>
    <w:basedOn w:val="1"/>
    <w:autoRedefine/>
    <w:qFormat/>
    <w:uiPriority w:val="0"/>
    <w:rPr>
      <w:rFonts w:ascii="Arial" w:hAnsi="Arial" w:eastAsia="Arial" w:cs="黑体"/>
    </w:rPr>
  </w:style>
  <w:style w:type="paragraph" w:customStyle="1" w:styleId="107">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08">
    <w:name w:val="Normal_2"/>
    <w:autoRedefine/>
    <w:qFormat/>
    <w:uiPriority w:val="0"/>
    <w:rPr>
      <w:rFonts w:ascii="Times New Roman" w:hAnsi="Times New Roman" w:eastAsia="Times New Roman" w:cs="Times New Roman"/>
      <w:sz w:val="24"/>
      <w:szCs w:val="24"/>
      <w:lang w:val="en-US" w:eastAsia="zh-CN" w:bidi="ar-SA"/>
    </w:rPr>
  </w:style>
  <w:style w:type="paragraph" w:customStyle="1" w:styleId="109">
    <w:name w:val="普通 (Web)"/>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110">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11">
    <w:name w:val="font01"/>
    <w:basedOn w:val="59"/>
    <w:autoRedefine/>
    <w:qFormat/>
    <w:uiPriority w:val="0"/>
    <w:rPr>
      <w:rFonts w:hint="eastAsia" w:ascii="等线" w:hAnsi="等线" w:eastAsia="等线" w:cs="等线"/>
      <w:color w:val="000000"/>
      <w:sz w:val="22"/>
      <w:szCs w:val="22"/>
      <w:u w:val="none"/>
    </w:rPr>
  </w:style>
  <w:style w:type="character" w:customStyle="1" w:styleId="112">
    <w:name w:val="font21"/>
    <w:basedOn w:val="59"/>
    <w:autoRedefine/>
    <w:qFormat/>
    <w:uiPriority w:val="0"/>
    <w:rPr>
      <w:rFonts w:ascii="宋体" w:hAnsi="宋体" w:eastAsia="宋体" w:cs="宋体"/>
      <w:color w:val="000000"/>
      <w:sz w:val="22"/>
      <w:szCs w:val="22"/>
      <w:u w:val="none"/>
    </w:rPr>
  </w:style>
  <w:style w:type="character" w:customStyle="1" w:styleId="113">
    <w:name w:val="明显强调1"/>
    <w:autoRedefine/>
    <w:qFormat/>
    <w:uiPriority w:val="0"/>
    <w:rPr>
      <w:b/>
      <w:bCs/>
      <w:i/>
      <w:iCs/>
      <w:color w:val="4F81BD"/>
    </w:rPr>
  </w:style>
  <w:style w:type="character" w:customStyle="1" w:styleId="114">
    <w:name w:val="first-child"/>
    <w:basedOn w:val="59"/>
    <w:autoRedefine/>
    <w:qFormat/>
    <w:uiPriority w:val="0"/>
  </w:style>
  <w:style w:type="character" w:customStyle="1" w:styleId="115">
    <w:name w:val="layui-layer-tabnow"/>
    <w:basedOn w:val="59"/>
    <w:autoRedefine/>
    <w:qFormat/>
    <w:uiPriority w:val="0"/>
    <w:rPr>
      <w:bdr w:val="single" w:color="CCCCCC" w:sz="6" w:space="0"/>
      <w:shd w:val="clear" w:fill="FFFFFF"/>
    </w:rPr>
  </w:style>
  <w:style w:type="character" w:customStyle="1" w:styleId="116">
    <w:name w:val="status"/>
    <w:basedOn w:val="59"/>
    <w:autoRedefine/>
    <w:qFormat/>
    <w:uiPriority w:val="0"/>
    <w:rPr>
      <w:color w:val="0776DD"/>
    </w:rPr>
  </w:style>
  <w:style w:type="character" w:customStyle="1" w:styleId="117">
    <w:name w:val="time"/>
    <w:basedOn w:val="5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2202</Words>
  <Characters>2359</Characters>
  <Lines>141</Lines>
  <Paragraphs>39</Paragraphs>
  <TotalTime>53</TotalTime>
  <ScaleCrop>false</ScaleCrop>
  <LinksUpToDate>false</LinksUpToDate>
  <CharactersWithSpaces>2430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2024-01-31T07:07:00Z</dcterms:created>
  <dc:creator>lyl</dc:creator>
  <cp:lastModifiedBy>请称呼我Mr.Wan</cp:lastModifiedBy>
  <cp:lastPrinted>2026-09-10T09:10:00Z</cp:lastPrinted>
  <dcterms:modified xsi:type="dcterms:W3CDTF">2026-10-05T00:56:17Z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FAAF3982673547A5B307580A85493798_13</vt:lpwstr>
  </property>
  <property fmtid="{D5CDD505-2E9C-101B-9397-08002B2CF9AE}" pid="4" name="KSOTemplateDocerSaveRecord">
    <vt:lpwstr>eyJoZGlkIjoiYTdlMDA5MWY5NTQ5ZmZjNWNiZmEwNjBkZjYzOGY5OTQiLCJ1c2VySWQiOiIzMzcwNDIxMzUifQ==</vt:lpwstr>
  </property>
</Properties>
</file>